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1878" w:rsidRDefault="00672C55">
      <w:pPr>
        <w:spacing w:after="0" w:line="400" w:lineRule="auto"/>
        <w:ind w:left="566" w:right="0" w:firstLine="0"/>
        <w:jc w:val="left"/>
      </w:pPr>
      <w:r>
        <w:rPr>
          <w:b/>
          <w:i/>
          <w:sz w:val="24"/>
        </w:rPr>
        <w:t xml:space="preserve">Le violenze sessuali dell’armata rossa nella parte orientale del Reich tra mito e realtà – La doppia sconfitta della “Razza Superiore”. </w:t>
      </w:r>
    </w:p>
    <w:p w:rsidR="00611878" w:rsidRDefault="00672C55">
      <w:pPr>
        <w:spacing w:after="145" w:line="259" w:lineRule="auto"/>
        <w:ind w:left="566" w:right="0" w:firstLine="0"/>
        <w:jc w:val="left"/>
      </w:pPr>
      <w:r>
        <w:rPr>
          <w:b/>
          <w:sz w:val="24"/>
        </w:rPr>
        <w:t xml:space="preserve"> </w:t>
      </w:r>
    </w:p>
    <w:p w:rsidR="00611878" w:rsidRDefault="00672C55">
      <w:pPr>
        <w:spacing w:after="160" w:line="259" w:lineRule="auto"/>
        <w:ind w:left="937" w:right="0"/>
        <w:jc w:val="left"/>
      </w:pPr>
      <w:r>
        <w:rPr>
          <w:b/>
          <w:sz w:val="24"/>
          <w:u w:val="single" w:color="000000"/>
        </w:rPr>
        <w:t>Cartine geografiche……………………………………………….p. 3</w:t>
      </w:r>
      <w:r>
        <w:rPr>
          <w:b/>
          <w:sz w:val="24"/>
        </w:rPr>
        <w:t xml:space="preserve"> </w:t>
      </w:r>
    </w:p>
    <w:p w:rsidR="00611878" w:rsidRDefault="00672C55">
      <w:pPr>
        <w:spacing w:after="160" w:line="259" w:lineRule="auto"/>
        <w:ind w:left="937" w:right="0"/>
        <w:jc w:val="left"/>
      </w:pPr>
      <w:r>
        <w:rPr>
          <w:b/>
          <w:sz w:val="24"/>
          <w:u w:val="single" w:color="000000"/>
        </w:rPr>
        <w:t>Introduzione……………………………………………………..p. 7</w:t>
      </w:r>
      <w:r>
        <w:rPr>
          <w:b/>
          <w:sz w:val="24"/>
        </w:rPr>
        <w:t xml:space="preserve"> </w:t>
      </w:r>
    </w:p>
    <w:p w:rsidR="00611878" w:rsidRDefault="00672C55">
      <w:pPr>
        <w:numPr>
          <w:ilvl w:val="0"/>
          <w:numId w:val="1"/>
        </w:numPr>
        <w:spacing w:after="160" w:line="259" w:lineRule="auto"/>
        <w:ind w:left="911" w:right="0" w:hanging="360"/>
        <w:jc w:val="left"/>
      </w:pPr>
      <w:r>
        <w:rPr>
          <w:b/>
          <w:sz w:val="24"/>
          <w:u w:val="single" w:color="000000"/>
        </w:rPr>
        <w:t>Gli archivi e le difficoltà interpretative…………………………p.15</w:t>
      </w:r>
      <w:r>
        <w:rPr>
          <w:b/>
          <w:sz w:val="24"/>
        </w:rPr>
        <w:t xml:space="preserve"> </w:t>
      </w:r>
    </w:p>
    <w:p w:rsidR="00611878" w:rsidRDefault="00672C55">
      <w:pPr>
        <w:numPr>
          <w:ilvl w:val="1"/>
          <w:numId w:val="1"/>
        </w:numPr>
        <w:spacing w:after="156" w:line="259" w:lineRule="auto"/>
        <w:ind w:left="1271" w:right="707" w:hanging="720"/>
      </w:pPr>
      <w:r>
        <w:rPr>
          <w:sz w:val="24"/>
        </w:rPr>
        <w:t xml:space="preserve">L’Archivio di Bayreuth fonte di testimonianze e dubbi………p.15 </w:t>
      </w:r>
    </w:p>
    <w:p w:rsidR="00611878" w:rsidRDefault="00672C55">
      <w:pPr>
        <w:numPr>
          <w:ilvl w:val="1"/>
          <w:numId w:val="1"/>
        </w:numPr>
        <w:spacing w:after="160" w:line="259" w:lineRule="auto"/>
        <w:ind w:left="1271" w:right="707" w:hanging="720"/>
      </w:pPr>
      <w:r>
        <w:rPr>
          <w:sz w:val="24"/>
        </w:rPr>
        <w:t xml:space="preserve">Il Bundesarchiv di Berlino…………………………………... p. 36 </w:t>
      </w:r>
    </w:p>
    <w:p w:rsidR="00611878" w:rsidRDefault="00672C55">
      <w:pPr>
        <w:numPr>
          <w:ilvl w:val="1"/>
          <w:numId w:val="1"/>
        </w:numPr>
        <w:spacing w:after="176" w:line="259" w:lineRule="auto"/>
        <w:ind w:left="1271" w:right="707" w:hanging="720"/>
      </w:pPr>
      <w:r>
        <w:rPr>
          <w:sz w:val="24"/>
        </w:rPr>
        <w:t xml:space="preserve">Il Landesarchiv di Berlino……………………………………p. 37 </w:t>
      </w:r>
    </w:p>
    <w:p w:rsidR="00611878" w:rsidRDefault="00672C55">
      <w:pPr>
        <w:numPr>
          <w:ilvl w:val="0"/>
          <w:numId w:val="1"/>
        </w:numPr>
        <w:spacing w:after="115" w:line="259" w:lineRule="auto"/>
        <w:ind w:left="911" w:right="0" w:hanging="360"/>
        <w:jc w:val="left"/>
      </w:pPr>
      <w:r>
        <w:rPr>
          <w:b/>
          <w:sz w:val="24"/>
          <w:u w:val="single" w:color="000000"/>
        </w:rPr>
        <w:t>L’esercito e la razza……………………………………………p. 39</w:t>
      </w:r>
      <w:r>
        <w:rPr>
          <w:sz w:val="24"/>
        </w:rPr>
        <w:t xml:space="preserve"> </w:t>
      </w:r>
    </w:p>
    <w:p w:rsidR="00611878" w:rsidRDefault="00672C55">
      <w:pPr>
        <w:numPr>
          <w:ilvl w:val="1"/>
          <w:numId w:val="1"/>
        </w:numPr>
        <w:spacing w:after="27" w:line="366" w:lineRule="auto"/>
        <w:ind w:left="1271" w:right="707" w:hanging="720"/>
      </w:pPr>
      <w:r>
        <w:rPr>
          <w:sz w:val="24"/>
        </w:rPr>
        <w:t xml:space="preserve">Pars construens – dal Lebensborn alle Napola: tecniche per costruire la razza superiore………………………………….p. 39 </w:t>
      </w:r>
    </w:p>
    <w:p w:rsidR="00611878" w:rsidRDefault="00672C55">
      <w:pPr>
        <w:numPr>
          <w:ilvl w:val="1"/>
          <w:numId w:val="1"/>
        </w:numPr>
        <w:spacing w:after="29" w:line="366" w:lineRule="auto"/>
        <w:ind w:left="1271" w:right="707" w:hanging="720"/>
      </w:pPr>
      <w:r>
        <w:rPr>
          <w:sz w:val="24"/>
        </w:rPr>
        <w:t xml:space="preserve">Pars destruens – dalle Leggi razziali all’Aktion T4 ai campi di sterminio……………………………………………………p. 54 </w:t>
      </w:r>
    </w:p>
    <w:p w:rsidR="00611878" w:rsidRDefault="00672C55">
      <w:pPr>
        <w:numPr>
          <w:ilvl w:val="1"/>
          <w:numId w:val="1"/>
        </w:numPr>
        <w:spacing w:after="176" w:line="259" w:lineRule="auto"/>
        <w:ind w:left="1271" w:right="707" w:hanging="720"/>
      </w:pPr>
      <w:r>
        <w:rPr>
          <w:sz w:val="24"/>
        </w:rPr>
        <w:t xml:space="preserve">Ariani ma pericolosi………………………………………..p. 79 </w:t>
      </w:r>
    </w:p>
    <w:p w:rsidR="00611878" w:rsidRDefault="00672C55">
      <w:pPr>
        <w:numPr>
          <w:ilvl w:val="0"/>
          <w:numId w:val="1"/>
        </w:numPr>
        <w:spacing w:after="160" w:line="259" w:lineRule="auto"/>
        <w:ind w:left="911" w:right="0" w:hanging="360"/>
        <w:jc w:val="left"/>
      </w:pPr>
      <w:r>
        <w:rPr>
          <w:b/>
          <w:sz w:val="24"/>
          <w:u w:val="single" w:color="000000"/>
        </w:rPr>
        <w:t xml:space="preserve">L’inizio </w:t>
      </w:r>
      <w:r>
        <w:rPr>
          <w:b/>
          <w:sz w:val="24"/>
          <w:u w:val="single" w:color="000000"/>
        </w:rPr>
        <w:tab/>
        <w:t xml:space="preserve">dell’avanzata </w:t>
      </w:r>
      <w:r>
        <w:rPr>
          <w:b/>
          <w:sz w:val="24"/>
          <w:u w:val="single" w:color="000000"/>
        </w:rPr>
        <w:tab/>
        <w:t xml:space="preserve">dell’Armata </w:t>
      </w:r>
      <w:r>
        <w:rPr>
          <w:b/>
          <w:sz w:val="24"/>
          <w:u w:val="single" w:color="000000"/>
        </w:rPr>
        <w:tab/>
        <w:t xml:space="preserve">Rossa </w:t>
      </w:r>
      <w:r>
        <w:rPr>
          <w:b/>
          <w:sz w:val="24"/>
          <w:u w:val="single" w:color="000000"/>
        </w:rPr>
        <w:tab/>
        <w:t xml:space="preserve">e </w:t>
      </w:r>
      <w:r>
        <w:rPr>
          <w:b/>
          <w:sz w:val="24"/>
          <w:u w:val="single" w:color="000000"/>
        </w:rPr>
        <w:tab/>
        <w:t xml:space="preserve">il </w:t>
      </w:r>
      <w:r>
        <w:rPr>
          <w:b/>
          <w:sz w:val="24"/>
          <w:u w:val="single" w:color="000000"/>
        </w:rPr>
        <w:tab/>
        <w:t xml:space="preserve">caso </w:t>
      </w:r>
      <w:r>
        <w:rPr>
          <w:b/>
          <w:sz w:val="24"/>
          <w:u w:val="single" w:color="000000"/>
        </w:rPr>
        <w:tab/>
        <w:t>Nemmersdorf</w:t>
      </w:r>
      <w:r>
        <w:rPr>
          <w:b/>
          <w:sz w:val="24"/>
        </w:rPr>
        <w:t xml:space="preserve"> </w:t>
      </w:r>
    </w:p>
    <w:p w:rsidR="00611878" w:rsidRDefault="00672C55">
      <w:pPr>
        <w:spacing w:after="160" w:line="259" w:lineRule="auto"/>
        <w:ind w:left="937" w:right="0"/>
        <w:jc w:val="left"/>
      </w:pPr>
      <w:r>
        <w:rPr>
          <w:b/>
          <w:sz w:val="24"/>
          <w:u w:val="single" w:color="000000"/>
        </w:rPr>
        <w:t>………………………………………………………………….p. 84</w:t>
      </w:r>
      <w:r>
        <w:rPr>
          <w:sz w:val="24"/>
        </w:rPr>
        <w:t xml:space="preserve"> </w:t>
      </w:r>
    </w:p>
    <w:p w:rsidR="00611878" w:rsidRDefault="00672C55">
      <w:pPr>
        <w:numPr>
          <w:ilvl w:val="1"/>
          <w:numId w:val="1"/>
        </w:numPr>
        <w:spacing w:after="164" w:line="259" w:lineRule="auto"/>
        <w:ind w:left="1271" w:right="707" w:hanging="720"/>
      </w:pPr>
      <w:r>
        <w:rPr>
          <w:sz w:val="24"/>
        </w:rPr>
        <w:t xml:space="preserve">L’affaire Nemmersdorf……………………………………p. 84 </w:t>
      </w:r>
    </w:p>
    <w:p w:rsidR="00611878" w:rsidRDefault="00672C55">
      <w:pPr>
        <w:numPr>
          <w:ilvl w:val="1"/>
          <w:numId w:val="1"/>
        </w:numPr>
        <w:spacing w:after="175" w:line="259" w:lineRule="auto"/>
        <w:ind w:left="1271" w:right="707" w:hanging="720"/>
      </w:pPr>
      <w:r>
        <w:rPr>
          <w:sz w:val="24"/>
        </w:rPr>
        <w:t xml:space="preserve">La Propaganda……………………………………………..p. 100 </w:t>
      </w:r>
    </w:p>
    <w:p w:rsidR="00611878" w:rsidRDefault="00672C55">
      <w:pPr>
        <w:numPr>
          <w:ilvl w:val="0"/>
          <w:numId w:val="1"/>
        </w:numPr>
        <w:spacing w:after="160" w:line="259" w:lineRule="auto"/>
        <w:ind w:left="911" w:right="0" w:hanging="360"/>
        <w:jc w:val="left"/>
      </w:pPr>
      <w:r>
        <w:rPr>
          <w:b/>
          <w:sz w:val="24"/>
          <w:u w:val="single" w:color="000000"/>
        </w:rPr>
        <w:t>La fine………………………………………………………p.118</w:t>
      </w:r>
      <w:r>
        <w:rPr>
          <w:sz w:val="24"/>
        </w:rPr>
        <w:t xml:space="preserve"> </w:t>
      </w:r>
    </w:p>
    <w:p w:rsidR="00611878" w:rsidRDefault="00672C55">
      <w:pPr>
        <w:numPr>
          <w:ilvl w:val="1"/>
          <w:numId w:val="1"/>
        </w:numPr>
        <w:spacing w:after="150" w:line="259" w:lineRule="auto"/>
        <w:ind w:left="1271" w:right="707" w:hanging="720"/>
      </w:pPr>
      <w:r>
        <w:rPr>
          <w:sz w:val="24"/>
        </w:rPr>
        <w:t xml:space="preserve">Le deportazioni dei tedeschi……………………………p. 118 </w:t>
      </w:r>
    </w:p>
    <w:p w:rsidR="00611878" w:rsidRDefault="00672C55">
      <w:pPr>
        <w:numPr>
          <w:ilvl w:val="1"/>
          <w:numId w:val="1"/>
        </w:numPr>
        <w:spacing w:after="149" w:line="259" w:lineRule="auto"/>
        <w:ind w:left="1271" w:right="707" w:hanging="720"/>
      </w:pPr>
      <w:r>
        <w:rPr>
          <w:sz w:val="24"/>
        </w:rPr>
        <w:t xml:space="preserve">Il martirio di Berlino……………………………………p. 165 </w:t>
      </w:r>
    </w:p>
    <w:p w:rsidR="00611878" w:rsidRDefault="00672C55">
      <w:pPr>
        <w:numPr>
          <w:ilvl w:val="1"/>
          <w:numId w:val="1"/>
        </w:numPr>
        <w:spacing w:after="139" w:line="259" w:lineRule="auto"/>
        <w:ind w:left="1271" w:right="707" w:hanging="720"/>
      </w:pPr>
      <w:r>
        <w:rPr>
          <w:sz w:val="24"/>
        </w:rPr>
        <w:t xml:space="preserve">Stupri e aborti…………………………………………..p. 188 </w:t>
      </w:r>
    </w:p>
    <w:p w:rsidR="00611878" w:rsidRDefault="00672C55">
      <w:pPr>
        <w:numPr>
          <w:ilvl w:val="1"/>
          <w:numId w:val="1"/>
        </w:numPr>
        <w:spacing w:after="160" w:line="259" w:lineRule="auto"/>
        <w:ind w:left="1271" w:right="707" w:hanging="720"/>
      </w:pPr>
      <w:r>
        <w:rPr>
          <w:sz w:val="24"/>
        </w:rPr>
        <w:t xml:space="preserve">La città fortezza di Breslau…………………………….p. 207 </w:t>
      </w:r>
    </w:p>
    <w:p w:rsidR="00611878" w:rsidRDefault="00672C55">
      <w:pPr>
        <w:spacing w:after="168" w:line="259" w:lineRule="auto"/>
        <w:ind w:left="937" w:right="707"/>
      </w:pPr>
      <w:r>
        <w:rPr>
          <w:sz w:val="24"/>
        </w:rPr>
        <w:t xml:space="preserve">5.5. L’amministrazione della giustizia……………………...p. 212 </w:t>
      </w:r>
    </w:p>
    <w:p w:rsidR="00611878" w:rsidRDefault="00672C55">
      <w:pPr>
        <w:spacing w:after="178" w:line="265" w:lineRule="auto"/>
        <w:ind w:left="937" w:right="0"/>
        <w:jc w:val="left"/>
      </w:pPr>
      <w:r>
        <w:rPr>
          <w:b/>
          <w:sz w:val="24"/>
        </w:rPr>
        <w:t xml:space="preserve">Conclusioni…………………………………………………p. 225 Appendice I le foto……………………..…………………..p. 231 Fonti……………………………………………………….. p. 266 Biblioteche………………………………………………… p. 268 Bibliografia…………………………………………………p. 269 Sitografia…………………………………………………..p. 274 Video……………………………………………………….p. 274 </w:t>
      </w:r>
    </w:p>
    <w:p w:rsidR="00611878" w:rsidRDefault="00672C55">
      <w:pPr>
        <w:spacing w:after="0" w:line="259" w:lineRule="auto"/>
        <w:ind w:left="0" w:right="0" w:firstLine="0"/>
        <w:jc w:val="left"/>
      </w:pPr>
      <w:r>
        <w:rPr>
          <w:b/>
          <w:sz w:val="32"/>
        </w:rPr>
        <w:t xml:space="preserve"> </w:t>
      </w:r>
    </w:p>
    <w:p w:rsidR="00611878" w:rsidRDefault="00672C55">
      <w:pPr>
        <w:spacing w:after="153" w:line="259" w:lineRule="auto"/>
        <w:ind w:left="0" w:right="0" w:firstLine="0"/>
        <w:jc w:val="left"/>
      </w:pPr>
      <w:r>
        <w:rPr>
          <w:b/>
          <w:sz w:val="32"/>
        </w:rPr>
        <w:t xml:space="preserve">   </w:t>
      </w:r>
    </w:p>
    <w:p w:rsidR="00611878" w:rsidRDefault="00672C55">
      <w:pPr>
        <w:spacing w:after="426" w:line="259" w:lineRule="auto"/>
        <w:ind w:left="0" w:right="0" w:firstLine="0"/>
        <w:jc w:val="left"/>
      </w:pPr>
      <w:r>
        <w:rPr>
          <w:b/>
          <w:sz w:val="32"/>
        </w:rPr>
        <w:lastRenderedPageBreak/>
        <w:t xml:space="preserve"> </w:t>
      </w:r>
    </w:p>
    <w:p w:rsidR="00611878" w:rsidRDefault="00672C55">
      <w:pPr>
        <w:spacing w:after="55" w:line="421" w:lineRule="auto"/>
        <w:ind w:left="4289" w:right="1136"/>
        <w:jc w:val="right"/>
      </w:pPr>
      <w:r>
        <w:rPr>
          <w:i/>
          <w:sz w:val="32"/>
        </w:rPr>
        <w:t xml:space="preserve">Per il piacere di bestie mercenarie </w:t>
      </w:r>
      <w:bookmarkStart w:id="0" w:name="_GoBack"/>
      <w:bookmarkEnd w:id="0"/>
      <w:r>
        <w:rPr>
          <w:i/>
          <w:sz w:val="32"/>
        </w:rPr>
        <w:t xml:space="preserve">sotto gli occhi stranieri dei miei figli  fecero a pezzi le mie carni per mesi interi e quando il ventre ricominciò a gonfiarsi </w:t>
      </w:r>
    </w:p>
    <w:p w:rsidR="00611878" w:rsidRDefault="00672C55">
      <w:pPr>
        <w:pStyle w:val="Titolo1"/>
        <w:spacing w:after="249"/>
        <w:ind w:left="3991" w:right="1136"/>
      </w:pPr>
      <w:r>
        <w:t xml:space="preserve">[…] </w:t>
      </w:r>
    </w:p>
    <w:p w:rsidR="00611878" w:rsidRDefault="00672C55">
      <w:pPr>
        <w:spacing w:after="0" w:line="461" w:lineRule="auto"/>
        <w:ind w:left="3991" w:right="1136"/>
        <w:jc w:val="right"/>
      </w:pPr>
      <w:r>
        <w:rPr>
          <w:i/>
          <w:sz w:val="32"/>
        </w:rPr>
        <w:t xml:space="preserve">Avevo il marchio, nessuno nel paese m’avrebbe aperto l’uscio e dentro me  cresceva il seme che l’altra razza m’aveva in grembo vomitato. </w:t>
      </w:r>
    </w:p>
    <w:p w:rsidR="00611878" w:rsidRDefault="00672C55">
      <w:pPr>
        <w:pStyle w:val="Titolo1"/>
        <w:ind w:left="10" w:right="1136"/>
      </w:pPr>
      <w:r>
        <w:t xml:space="preserve">[da “Da stupro a stupro” di Luigi Paraboschi] </w:t>
      </w:r>
    </w:p>
    <w:p w:rsidR="00611878" w:rsidRDefault="00672C55">
      <w:pPr>
        <w:spacing w:after="274" w:line="259" w:lineRule="auto"/>
        <w:ind w:left="339" w:right="0" w:firstLine="0"/>
        <w:jc w:val="center"/>
      </w:pPr>
      <w:r>
        <w:rPr>
          <w:b/>
          <w:sz w:val="24"/>
        </w:rPr>
        <w:t xml:space="preserve"> </w:t>
      </w:r>
    </w:p>
    <w:p w:rsidR="00611878" w:rsidRDefault="00672C55">
      <w:pPr>
        <w:spacing w:after="273" w:line="259" w:lineRule="auto"/>
        <w:ind w:left="339" w:right="0" w:firstLine="0"/>
        <w:jc w:val="center"/>
      </w:pPr>
      <w:r>
        <w:rPr>
          <w:b/>
          <w:sz w:val="24"/>
        </w:rPr>
        <w:t xml:space="preserve"> </w:t>
      </w:r>
    </w:p>
    <w:p w:rsidR="00611878" w:rsidRDefault="00672C55">
      <w:pPr>
        <w:spacing w:after="273" w:line="259" w:lineRule="auto"/>
        <w:ind w:left="339" w:right="0" w:firstLine="0"/>
        <w:jc w:val="center"/>
      </w:pPr>
      <w:r>
        <w:rPr>
          <w:b/>
          <w:sz w:val="24"/>
        </w:rPr>
        <w:t xml:space="preserve"> </w:t>
      </w:r>
    </w:p>
    <w:p w:rsidR="00611878" w:rsidRDefault="00672C55">
      <w:pPr>
        <w:spacing w:after="273" w:line="259" w:lineRule="auto"/>
        <w:ind w:left="339" w:right="0" w:firstLine="0"/>
        <w:jc w:val="center"/>
      </w:pPr>
      <w:r>
        <w:rPr>
          <w:b/>
          <w:sz w:val="24"/>
        </w:rPr>
        <w:t xml:space="preserve"> </w:t>
      </w:r>
    </w:p>
    <w:p w:rsidR="00611878" w:rsidRDefault="00672C55">
      <w:pPr>
        <w:spacing w:after="273" w:line="259" w:lineRule="auto"/>
        <w:ind w:left="339" w:right="0" w:firstLine="0"/>
        <w:jc w:val="center"/>
      </w:pPr>
      <w:r>
        <w:rPr>
          <w:b/>
          <w:sz w:val="24"/>
        </w:rPr>
        <w:t xml:space="preserve"> </w:t>
      </w:r>
    </w:p>
    <w:p w:rsidR="00D806E2" w:rsidRDefault="00D806E2">
      <w:pPr>
        <w:spacing w:after="160" w:line="259" w:lineRule="auto"/>
        <w:ind w:left="0" w:right="0" w:firstLine="0"/>
        <w:jc w:val="left"/>
        <w:rPr>
          <w:b/>
          <w:sz w:val="24"/>
        </w:rPr>
      </w:pPr>
      <w:r>
        <w:rPr>
          <w:b/>
          <w:sz w:val="24"/>
        </w:rPr>
        <w:br w:type="page"/>
      </w:r>
    </w:p>
    <w:p w:rsidR="00611878" w:rsidRDefault="00672C55" w:rsidP="007418B3">
      <w:pPr>
        <w:spacing w:after="273" w:line="259" w:lineRule="auto"/>
        <w:ind w:left="339" w:right="0" w:firstLine="0"/>
        <w:jc w:val="center"/>
      </w:pPr>
      <w:r>
        <w:rPr>
          <w:sz w:val="24"/>
        </w:rPr>
        <w:lastRenderedPageBreak/>
        <w:t xml:space="preserve">Carte geografiche </w:t>
      </w:r>
    </w:p>
    <w:p w:rsidR="00611878" w:rsidRDefault="00672C55">
      <w:pPr>
        <w:spacing w:after="259" w:line="259" w:lineRule="auto"/>
        <w:ind w:left="339" w:right="0" w:firstLine="0"/>
        <w:jc w:val="center"/>
      </w:pPr>
      <w:r>
        <w:rPr>
          <w:b/>
          <w:sz w:val="24"/>
        </w:rPr>
        <w:t xml:space="preserve"> </w:t>
      </w:r>
    </w:p>
    <w:p w:rsidR="00611878" w:rsidRDefault="00672C55">
      <w:pPr>
        <w:spacing w:after="114" w:line="259" w:lineRule="auto"/>
        <w:ind w:left="566" w:right="0" w:firstLine="0"/>
        <w:jc w:val="left"/>
      </w:pPr>
      <w:r>
        <w:rPr>
          <w:rFonts w:ascii="Calibri" w:eastAsia="Calibri" w:hAnsi="Calibri" w:cs="Calibri"/>
        </w:rPr>
        <w:t xml:space="preserve"> </w:t>
      </w:r>
    </w:p>
    <w:p w:rsidR="00611878" w:rsidRDefault="00672C55">
      <w:pPr>
        <w:spacing w:after="74" w:line="259" w:lineRule="auto"/>
        <w:ind w:left="0" w:right="821" w:firstLine="0"/>
        <w:jc w:val="right"/>
      </w:pPr>
      <w:r>
        <w:rPr>
          <w:noProof/>
        </w:rPr>
        <w:drawing>
          <wp:inline distT="0" distB="0" distL="0" distR="0">
            <wp:extent cx="5749925" cy="3930650"/>
            <wp:effectExtent l="0" t="0" r="0" b="0"/>
            <wp:docPr id="271" name="Picture 271"/>
            <wp:cNvGraphicFramePr/>
            <a:graphic xmlns:a="http://schemas.openxmlformats.org/drawingml/2006/main">
              <a:graphicData uri="http://schemas.openxmlformats.org/drawingml/2006/picture">
                <pic:pic xmlns:pic="http://schemas.openxmlformats.org/drawingml/2006/picture">
                  <pic:nvPicPr>
                    <pic:cNvPr id="271" name="Picture 271"/>
                    <pic:cNvPicPr/>
                  </pic:nvPicPr>
                  <pic:blipFill>
                    <a:blip r:embed="rId9"/>
                    <a:stretch>
                      <a:fillRect/>
                    </a:stretch>
                  </pic:blipFill>
                  <pic:spPr>
                    <a:xfrm>
                      <a:off x="0" y="0"/>
                      <a:ext cx="5749925" cy="3930650"/>
                    </a:xfrm>
                    <a:prstGeom prst="rect">
                      <a:avLst/>
                    </a:prstGeom>
                  </pic:spPr>
                </pic:pic>
              </a:graphicData>
            </a:graphic>
          </wp:inline>
        </w:drawing>
      </w:r>
      <w:hyperlink r:id="rId10">
        <w:r>
          <w:rPr>
            <w:rFonts w:ascii="Calibri" w:eastAsia="Calibri" w:hAnsi="Calibri" w:cs="Calibri"/>
          </w:rPr>
          <w:t xml:space="preserve"> </w:t>
        </w:r>
      </w:hyperlink>
    </w:p>
    <w:p w:rsidR="00611878" w:rsidRDefault="00672C55">
      <w:pPr>
        <w:spacing w:after="164" w:line="259" w:lineRule="auto"/>
        <w:ind w:left="566" w:right="0" w:firstLine="0"/>
        <w:jc w:val="left"/>
      </w:pPr>
      <w:r>
        <w:rPr>
          <w:sz w:val="20"/>
        </w:rPr>
        <w:t xml:space="preserve"> </w:t>
      </w:r>
      <w:r>
        <w:rPr>
          <w:sz w:val="20"/>
        </w:rPr>
        <w:tab/>
        <w:t xml:space="preserve"> </w:t>
      </w:r>
    </w:p>
    <w:p w:rsidR="00611878" w:rsidRDefault="00791545">
      <w:pPr>
        <w:spacing w:after="140" w:line="259" w:lineRule="auto"/>
        <w:ind w:left="566" w:right="0" w:firstLine="0"/>
        <w:jc w:val="left"/>
      </w:pPr>
      <w:hyperlink r:id="rId11">
        <w:r w:rsidR="00672C55">
          <w:rPr>
            <w:color w:val="0563C1"/>
            <w:sz w:val="20"/>
            <w:u w:val="single" w:color="0563C1"/>
          </w:rPr>
          <w:t>http://commons.wikimedia.org/wiki/Image:NS_administrative_Gliederung_1944.png?uselang=it</w:t>
        </w:r>
      </w:hyperlink>
      <w:hyperlink r:id="rId12">
        <w:r w:rsidR="00672C55">
          <w:rPr>
            <w:b/>
            <w:sz w:val="20"/>
          </w:rPr>
          <w:t xml:space="preserve"> </w:t>
        </w:r>
      </w:hyperlink>
    </w:p>
    <w:p w:rsidR="007C08AB" w:rsidRDefault="00672C55">
      <w:pPr>
        <w:spacing w:after="0" w:line="259" w:lineRule="auto"/>
        <w:ind w:left="339" w:right="0" w:firstLine="0"/>
        <w:jc w:val="center"/>
        <w:rPr>
          <w:b/>
          <w:sz w:val="24"/>
        </w:rPr>
      </w:pPr>
      <w:r>
        <w:rPr>
          <w:b/>
          <w:sz w:val="24"/>
        </w:rPr>
        <w:t xml:space="preserve"> </w:t>
      </w:r>
    </w:p>
    <w:p w:rsidR="007C08AB" w:rsidRDefault="007C08AB">
      <w:pPr>
        <w:spacing w:after="160" w:line="259" w:lineRule="auto"/>
        <w:ind w:left="0" w:right="0" w:firstLine="0"/>
        <w:jc w:val="left"/>
        <w:rPr>
          <w:b/>
          <w:sz w:val="24"/>
        </w:rPr>
      </w:pPr>
      <w:r>
        <w:rPr>
          <w:b/>
          <w:sz w:val="24"/>
        </w:rPr>
        <w:br w:type="page"/>
      </w:r>
    </w:p>
    <w:p w:rsidR="007C08AB" w:rsidRDefault="007C08AB">
      <w:pPr>
        <w:spacing w:after="160" w:line="259" w:lineRule="auto"/>
        <w:ind w:left="0" w:right="0" w:firstLine="0"/>
        <w:jc w:val="left"/>
      </w:pPr>
      <w:r>
        <w:lastRenderedPageBreak/>
        <w:br w:type="page"/>
      </w:r>
    </w:p>
    <w:p w:rsidR="00611878" w:rsidRDefault="00611878">
      <w:pPr>
        <w:spacing w:after="0" w:line="259" w:lineRule="auto"/>
        <w:ind w:left="339" w:right="0" w:firstLine="0"/>
        <w:jc w:val="center"/>
      </w:pPr>
    </w:p>
    <w:p w:rsidR="00611878" w:rsidRDefault="00672C55">
      <w:pPr>
        <w:spacing w:after="175" w:line="259" w:lineRule="auto"/>
        <w:ind w:left="0" w:right="948" w:firstLine="0"/>
        <w:jc w:val="right"/>
      </w:pPr>
      <w:r>
        <w:rPr>
          <w:noProof/>
        </w:rPr>
        <w:drawing>
          <wp:inline distT="0" distB="0" distL="0" distR="0">
            <wp:extent cx="5213604" cy="2933700"/>
            <wp:effectExtent l="0" t="0" r="0" b="0"/>
            <wp:docPr id="292" name="Picture 292"/>
            <wp:cNvGraphicFramePr/>
            <a:graphic xmlns:a="http://schemas.openxmlformats.org/drawingml/2006/main">
              <a:graphicData uri="http://schemas.openxmlformats.org/drawingml/2006/picture">
                <pic:pic xmlns:pic="http://schemas.openxmlformats.org/drawingml/2006/picture">
                  <pic:nvPicPr>
                    <pic:cNvPr id="292" name="Picture 292"/>
                    <pic:cNvPicPr/>
                  </pic:nvPicPr>
                  <pic:blipFill>
                    <a:blip r:embed="rId13"/>
                    <a:stretch>
                      <a:fillRect/>
                    </a:stretch>
                  </pic:blipFill>
                  <pic:spPr>
                    <a:xfrm>
                      <a:off x="0" y="0"/>
                      <a:ext cx="5213604" cy="2933700"/>
                    </a:xfrm>
                    <a:prstGeom prst="rect">
                      <a:avLst/>
                    </a:prstGeom>
                  </pic:spPr>
                </pic:pic>
              </a:graphicData>
            </a:graphic>
          </wp:inline>
        </w:drawing>
      </w:r>
      <w:r>
        <w:rPr>
          <w:rFonts w:ascii="Calibri" w:eastAsia="Calibri" w:hAnsi="Calibri" w:cs="Calibri"/>
        </w:rPr>
        <w:t xml:space="preserve"> </w:t>
      </w:r>
    </w:p>
    <w:p w:rsidR="00611878" w:rsidRDefault="00672C55">
      <w:pPr>
        <w:spacing w:after="0" w:line="259" w:lineRule="auto"/>
        <w:ind w:left="3181" w:right="0"/>
        <w:jc w:val="left"/>
      </w:pPr>
      <w:r>
        <w:rPr>
          <w:rFonts w:ascii="Calibri" w:eastAsia="Calibri" w:hAnsi="Calibri" w:cs="Calibri"/>
          <w:i/>
          <w:color w:val="44546A"/>
          <w:sz w:val="18"/>
        </w:rPr>
        <w:t xml:space="preserve">Carte geografiche tratte da Berlino 1945 di A. Beevor </w:t>
      </w:r>
      <w:r>
        <w:br w:type="page"/>
      </w:r>
    </w:p>
    <w:p w:rsidR="00611878" w:rsidRDefault="00672C55">
      <w:pPr>
        <w:spacing w:after="0" w:line="259" w:lineRule="auto"/>
        <w:ind w:left="-566" w:right="11061" w:firstLine="0"/>
        <w:jc w:val="left"/>
      </w:pPr>
      <w:r>
        <w:rPr>
          <w:noProof/>
        </w:rPr>
        <w:lastRenderedPageBreak/>
        <w:drawing>
          <wp:anchor distT="0" distB="0" distL="114300" distR="114300" simplePos="0" relativeHeight="251658240" behindDoc="0" locked="0" layoutInCell="1" allowOverlap="0">
            <wp:simplePos x="0" y="0"/>
            <wp:positionH relativeFrom="page">
              <wp:posOffset>1007364</wp:posOffset>
            </wp:positionH>
            <wp:positionV relativeFrom="page">
              <wp:posOffset>900684</wp:posOffset>
            </wp:positionV>
            <wp:extent cx="5547360" cy="9768840"/>
            <wp:effectExtent l="0" t="0" r="0" b="0"/>
            <wp:wrapTopAndBottom/>
            <wp:docPr id="186352" name="Picture 186352"/>
            <wp:cNvGraphicFramePr/>
            <a:graphic xmlns:a="http://schemas.openxmlformats.org/drawingml/2006/main">
              <a:graphicData uri="http://schemas.openxmlformats.org/drawingml/2006/picture">
                <pic:pic xmlns:pic="http://schemas.openxmlformats.org/drawingml/2006/picture">
                  <pic:nvPicPr>
                    <pic:cNvPr id="186352" name="Picture 186352"/>
                    <pic:cNvPicPr/>
                  </pic:nvPicPr>
                  <pic:blipFill>
                    <a:blip r:embed="rId14"/>
                    <a:stretch>
                      <a:fillRect/>
                    </a:stretch>
                  </pic:blipFill>
                  <pic:spPr>
                    <a:xfrm>
                      <a:off x="0" y="0"/>
                      <a:ext cx="5547360" cy="9768840"/>
                    </a:xfrm>
                    <a:prstGeom prst="rect">
                      <a:avLst/>
                    </a:prstGeom>
                  </pic:spPr>
                </pic:pic>
              </a:graphicData>
            </a:graphic>
          </wp:anchor>
        </w:drawing>
      </w:r>
      <w:r>
        <w:br w:type="page"/>
      </w:r>
    </w:p>
    <w:p w:rsidR="00611878" w:rsidRDefault="00672C55">
      <w:pPr>
        <w:spacing w:after="218" w:line="259" w:lineRule="auto"/>
        <w:ind w:left="0" w:right="684" w:firstLine="0"/>
        <w:jc w:val="right"/>
      </w:pPr>
      <w:r>
        <w:rPr>
          <w:noProof/>
        </w:rPr>
        <w:lastRenderedPageBreak/>
        <w:drawing>
          <wp:inline distT="0" distB="0" distL="0" distR="0">
            <wp:extent cx="5812536" cy="3268981"/>
            <wp:effectExtent l="0" t="0" r="0" b="0"/>
            <wp:docPr id="322" name="Picture 322"/>
            <wp:cNvGraphicFramePr/>
            <a:graphic xmlns:a="http://schemas.openxmlformats.org/drawingml/2006/main">
              <a:graphicData uri="http://schemas.openxmlformats.org/drawingml/2006/picture">
                <pic:pic xmlns:pic="http://schemas.openxmlformats.org/drawingml/2006/picture">
                  <pic:nvPicPr>
                    <pic:cNvPr id="322" name="Picture 322"/>
                    <pic:cNvPicPr/>
                  </pic:nvPicPr>
                  <pic:blipFill>
                    <a:blip r:embed="rId15"/>
                    <a:stretch>
                      <a:fillRect/>
                    </a:stretch>
                  </pic:blipFill>
                  <pic:spPr>
                    <a:xfrm>
                      <a:off x="0" y="0"/>
                      <a:ext cx="5812536" cy="3268981"/>
                    </a:xfrm>
                    <a:prstGeom prst="rect">
                      <a:avLst/>
                    </a:prstGeom>
                  </pic:spPr>
                </pic:pic>
              </a:graphicData>
            </a:graphic>
          </wp:inline>
        </w:drawing>
      </w:r>
      <w:r>
        <w:rPr>
          <w:b/>
          <w:sz w:val="24"/>
        </w:rPr>
        <w:t xml:space="preserve"> </w:t>
      </w:r>
    </w:p>
    <w:p w:rsidR="00611878" w:rsidRDefault="00672C55">
      <w:pPr>
        <w:spacing w:after="276"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4"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6"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4"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3" w:line="259" w:lineRule="auto"/>
        <w:ind w:left="5387" w:right="0" w:firstLine="0"/>
        <w:jc w:val="left"/>
      </w:pPr>
      <w:r>
        <w:rPr>
          <w:b/>
          <w:sz w:val="24"/>
        </w:rPr>
        <w:t xml:space="preserve"> </w:t>
      </w:r>
    </w:p>
    <w:p w:rsidR="00611878" w:rsidRDefault="00672C55">
      <w:pPr>
        <w:spacing w:after="276" w:line="259" w:lineRule="auto"/>
        <w:ind w:left="5387" w:right="0" w:firstLine="0"/>
        <w:jc w:val="left"/>
      </w:pPr>
      <w:r>
        <w:rPr>
          <w:b/>
          <w:sz w:val="24"/>
        </w:rPr>
        <w:t xml:space="preserve"> </w:t>
      </w:r>
    </w:p>
    <w:p w:rsidR="00672C55" w:rsidRDefault="00672C55">
      <w:pPr>
        <w:spacing w:after="0" w:line="259" w:lineRule="auto"/>
        <w:ind w:left="5387" w:right="0" w:firstLine="0"/>
        <w:jc w:val="left"/>
        <w:rPr>
          <w:b/>
          <w:sz w:val="24"/>
        </w:rPr>
      </w:pPr>
    </w:p>
    <w:p w:rsidR="00611878" w:rsidRDefault="00672C55">
      <w:pPr>
        <w:spacing w:after="0" w:line="259" w:lineRule="auto"/>
        <w:ind w:left="5387" w:right="0" w:firstLine="0"/>
        <w:jc w:val="left"/>
      </w:pPr>
      <w:r>
        <w:rPr>
          <w:b/>
          <w:sz w:val="24"/>
        </w:rPr>
        <w:t xml:space="preserve"> </w:t>
      </w:r>
    </w:p>
    <w:p w:rsidR="00611878" w:rsidRDefault="00672C55">
      <w:pPr>
        <w:pStyle w:val="Titolo2"/>
        <w:spacing w:after="271"/>
        <w:ind w:left="574" w:right="285"/>
        <w:jc w:val="center"/>
      </w:pPr>
      <w:r>
        <w:rPr>
          <w:sz w:val="24"/>
        </w:rPr>
        <w:lastRenderedPageBreak/>
        <w:t xml:space="preserve">Introduzione </w:t>
      </w:r>
    </w:p>
    <w:p w:rsidR="00611878" w:rsidRDefault="00672C55">
      <w:pPr>
        <w:spacing w:after="273" w:line="259" w:lineRule="auto"/>
        <w:ind w:left="992" w:right="0" w:firstLine="0"/>
        <w:jc w:val="left"/>
      </w:pPr>
      <w:r>
        <w:rPr>
          <w:sz w:val="24"/>
        </w:rPr>
        <w:t xml:space="preserve"> </w:t>
      </w:r>
    </w:p>
    <w:p w:rsidR="00611878" w:rsidRDefault="00672C55" w:rsidP="007C08AB">
      <w:pPr>
        <w:tabs>
          <w:tab w:val="left" w:pos="9639"/>
        </w:tabs>
        <w:spacing w:after="240" w:line="367" w:lineRule="auto"/>
        <w:ind w:left="709" w:right="709" w:firstLine="425"/>
      </w:pPr>
      <w:r>
        <w:rPr>
          <w:sz w:val="24"/>
        </w:rPr>
        <w:t xml:space="preserve">Negli ultimi anni, il tema dei profughi provenienti dalle zone di guerra ha preso sempre più la scena all’interno del dibattito pubblico, soprattutto in occasione delle tragedie in mare. Eppure, anche se in modo saltuario, l’informazione si sofferma sui nati durante la traversata o immediatamente dopo. La nascita più celebre è quella di Francesca Marina, nata sulla motovedetta che portava lei e sua madre in salvo sulle coste italiane che ha attratto l’opinione pubblica per la concomitanza dell’evento con la venuta al mondo della principessa Charlotte di Cambridge. </w:t>
      </w:r>
    </w:p>
    <w:p w:rsidR="00611878" w:rsidRDefault="00672C55" w:rsidP="007C08AB">
      <w:pPr>
        <w:tabs>
          <w:tab w:val="left" w:pos="9639"/>
        </w:tabs>
        <w:spacing w:after="240" w:line="367" w:lineRule="auto"/>
        <w:ind w:left="709" w:right="709" w:firstLine="425"/>
      </w:pPr>
      <w:r>
        <w:rPr>
          <w:sz w:val="24"/>
        </w:rPr>
        <w:t xml:space="preserve">Nessuno si interroga, però, sulla paternità di quelle gravidanze. Non tutti quei bambini sono frutto di rapporti d’amore, a volte, sono l’evidenza di violenze subite durante il viaggio per raggiungere le coste africane del Mediterraneo.  </w:t>
      </w:r>
    </w:p>
    <w:p w:rsidR="00611878" w:rsidRDefault="00672C55" w:rsidP="007C08AB">
      <w:pPr>
        <w:tabs>
          <w:tab w:val="left" w:pos="9639"/>
        </w:tabs>
        <w:spacing w:after="240" w:line="367" w:lineRule="auto"/>
        <w:ind w:left="709" w:right="709" w:firstLine="425"/>
      </w:pPr>
      <w:r>
        <w:rPr>
          <w:sz w:val="24"/>
        </w:rPr>
        <w:t xml:space="preserve">La violenza sessuale è intimamente legata alla guerra. Da sempre le donne sono le vittime silenziose, silenti all’interno di società maschiliste che non le protegge, spesso le usa e poi le giudica o le segna per una violenza sessuale subita, di cui diventano vittime due volte. Ovidio ce ne rende una testimonianza tangibile, descrivendo il ratto delle sabine </w:t>
      </w:r>
    </w:p>
    <w:p w:rsidR="00611878" w:rsidRDefault="00672C55">
      <w:pPr>
        <w:spacing w:after="0" w:line="251" w:lineRule="auto"/>
        <w:ind w:left="1697" w:right="5373"/>
        <w:jc w:val="left"/>
      </w:pPr>
      <w:r>
        <w:rPr>
          <w:i/>
          <w:sz w:val="24"/>
        </w:rPr>
        <w:t xml:space="preserve">Romolo dette il segno sospirato </w:t>
      </w:r>
      <w:r>
        <w:rPr>
          <w:sz w:val="24"/>
        </w:rPr>
        <w:t xml:space="preserve"> </w:t>
      </w:r>
      <w:r>
        <w:rPr>
          <w:i/>
          <w:sz w:val="24"/>
        </w:rPr>
        <w:t>alla sua gente di buttarsi a preda,</w:t>
      </w:r>
      <w:r>
        <w:rPr>
          <w:sz w:val="24"/>
        </w:rPr>
        <w:t xml:space="preserve"> </w:t>
      </w:r>
      <w:r>
        <w:rPr>
          <w:i/>
          <w:sz w:val="24"/>
        </w:rPr>
        <w:t>tutti in piedi balzarono in un grido</w:t>
      </w:r>
      <w:r>
        <w:rPr>
          <w:sz w:val="24"/>
        </w:rPr>
        <w:t xml:space="preserve"> </w:t>
      </w:r>
      <w:r>
        <w:rPr>
          <w:i/>
          <w:sz w:val="24"/>
        </w:rPr>
        <w:t xml:space="preserve">rivelatore, e con bramose mani </w:t>
      </w:r>
      <w:r>
        <w:rPr>
          <w:sz w:val="24"/>
        </w:rPr>
        <w:t xml:space="preserve"> </w:t>
      </w:r>
      <w:r>
        <w:rPr>
          <w:i/>
          <w:sz w:val="24"/>
        </w:rPr>
        <w:t>furono sulle donne. Come un volo</w:t>
      </w:r>
      <w:r>
        <w:rPr>
          <w:sz w:val="24"/>
        </w:rPr>
        <w:t xml:space="preserve"> </w:t>
      </w:r>
      <w:r>
        <w:rPr>
          <w:i/>
          <w:sz w:val="24"/>
        </w:rPr>
        <w:t>di timide colombe fugge l’aquila,</w:t>
      </w:r>
      <w:r>
        <w:rPr>
          <w:sz w:val="24"/>
        </w:rPr>
        <w:t xml:space="preserve"> </w:t>
      </w:r>
      <w:r>
        <w:rPr>
          <w:i/>
          <w:sz w:val="24"/>
        </w:rPr>
        <w:t>od una fresca agnella fugge il lupo,</w:t>
      </w:r>
      <w:r>
        <w:rPr>
          <w:sz w:val="24"/>
        </w:rPr>
        <w:t xml:space="preserve"> </w:t>
      </w:r>
      <w:r>
        <w:rPr>
          <w:i/>
          <w:sz w:val="24"/>
        </w:rPr>
        <w:t>tremarono così quelle alla furia</w:t>
      </w:r>
      <w:r>
        <w:rPr>
          <w:sz w:val="24"/>
        </w:rPr>
        <w:t xml:space="preserve"> </w:t>
      </w:r>
      <w:r>
        <w:rPr>
          <w:i/>
          <w:sz w:val="24"/>
        </w:rPr>
        <w:t xml:space="preserve"> di tanti maschi. […]</w:t>
      </w:r>
      <w:r>
        <w:rPr>
          <w:sz w:val="24"/>
        </w:rPr>
        <w:t xml:space="preserve"> </w:t>
      </w:r>
    </w:p>
    <w:p w:rsidR="00611878" w:rsidRDefault="00672C55">
      <w:pPr>
        <w:spacing w:after="0" w:line="251" w:lineRule="auto"/>
        <w:ind w:left="1697" w:right="5243"/>
        <w:jc w:val="left"/>
      </w:pPr>
      <w:r>
        <w:rPr>
          <w:i/>
          <w:sz w:val="24"/>
        </w:rPr>
        <w:t xml:space="preserve">O Romolo, tu solo ai tuoi soldati </w:t>
      </w:r>
      <w:r>
        <w:rPr>
          <w:sz w:val="24"/>
        </w:rPr>
        <w:t xml:space="preserve"> </w:t>
      </w:r>
      <w:r>
        <w:rPr>
          <w:i/>
          <w:sz w:val="24"/>
        </w:rPr>
        <w:t>sapesti dare gioie così grandi:</w:t>
      </w:r>
      <w:r>
        <w:rPr>
          <w:sz w:val="24"/>
        </w:rPr>
        <w:t xml:space="preserve"> </w:t>
      </w:r>
      <w:r>
        <w:rPr>
          <w:i/>
          <w:sz w:val="24"/>
        </w:rPr>
        <w:t>a questo patto, son soldato anch’io!</w:t>
      </w:r>
      <w:r>
        <w:rPr>
          <w:i/>
          <w:sz w:val="24"/>
          <w:vertAlign w:val="superscript"/>
        </w:rPr>
        <w:footnoteReference w:id="1"/>
      </w:r>
      <w:r>
        <w:rPr>
          <w:sz w:val="24"/>
        </w:rPr>
        <w:t xml:space="preserve"> </w:t>
      </w:r>
    </w:p>
    <w:p w:rsidR="00611878" w:rsidRDefault="00672C55">
      <w:pPr>
        <w:spacing w:after="273" w:line="259" w:lineRule="auto"/>
        <w:ind w:left="992" w:right="0" w:firstLine="0"/>
        <w:jc w:val="left"/>
      </w:pPr>
      <w:r>
        <w:rPr>
          <w:sz w:val="24"/>
        </w:rPr>
        <w:t xml:space="preserve">   </w:t>
      </w:r>
    </w:p>
    <w:p w:rsidR="00611878" w:rsidRDefault="00672C55" w:rsidP="007C08AB">
      <w:pPr>
        <w:spacing w:after="240" w:line="367" w:lineRule="auto"/>
        <w:ind w:left="709" w:right="855" w:firstLine="425"/>
      </w:pPr>
      <w:r>
        <w:rPr>
          <w:sz w:val="24"/>
        </w:rPr>
        <w:t xml:space="preserve">Il lavoro è stato impostato come fosse un viaggio: il viaggio dei profughi tedeschi negli anni 1944-1946, soprattutto delle profughe, di origine tedesca dai territori orientali verso il confine costituito dall’Oder-Naisse. Come sostiene Johanna Bourke in guerra crollano le distanze tra rapporto consensuale e violenza sessuale, anzi, spesso l’incapacità delle donne </w:t>
      </w:r>
      <w:r>
        <w:rPr>
          <w:sz w:val="24"/>
        </w:rPr>
        <w:lastRenderedPageBreak/>
        <w:t xml:space="preserve">di opporsi le rende oggetto di scherno perché viene sottolineata la loro incapacità di difendersi. </w:t>
      </w:r>
    </w:p>
    <w:p w:rsidR="00611878" w:rsidRDefault="00672C55" w:rsidP="007C08AB">
      <w:pPr>
        <w:spacing w:after="240" w:line="367" w:lineRule="auto"/>
        <w:ind w:left="709" w:right="855" w:firstLine="425"/>
      </w:pPr>
      <w:r>
        <w:rPr>
          <w:sz w:val="24"/>
        </w:rPr>
        <w:t xml:space="preserve">Questa è la storia più antica del mondo: quella di donne violate in guerra e dei loro bambini. </w:t>
      </w:r>
    </w:p>
    <w:p w:rsidR="00611878" w:rsidRDefault="00672C55" w:rsidP="007C08AB">
      <w:pPr>
        <w:spacing w:after="240" w:line="367" w:lineRule="auto"/>
        <w:ind w:left="709" w:right="855" w:firstLine="425"/>
      </w:pPr>
      <w:r>
        <w:rPr>
          <w:sz w:val="24"/>
        </w:rPr>
        <w:t xml:space="preserve">Violate nel corpo e nell’anima, vittime di uomini che, una volta averle usate come fossero il migliore dei divertimenti possibili, le abbandonano, scordando per sempre quel breve momento di piacere, ma lasciando alle spalle una traccia indelebile del loro passaggio.  </w:t>
      </w:r>
    </w:p>
    <w:p w:rsidR="00611878" w:rsidRDefault="00672C55" w:rsidP="007C08AB">
      <w:pPr>
        <w:spacing w:after="240" w:line="367" w:lineRule="auto"/>
        <w:ind w:left="709" w:right="855" w:firstLine="425"/>
      </w:pPr>
      <w:r>
        <w:rPr>
          <w:sz w:val="24"/>
        </w:rPr>
        <w:t xml:space="preserve">Il corpo è da sempre uno strumento di guerra, alla stessa stregua di una pistola, ma l’Onu ha atteso fino al massacri della ex-Jugoslavia per riconoscerli come tali. </w:t>
      </w:r>
    </w:p>
    <w:p w:rsidR="00611878" w:rsidRDefault="00672C55" w:rsidP="007C08AB">
      <w:pPr>
        <w:spacing w:after="240" w:line="367" w:lineRule="auto"/>
        <w:ind w:left="709" w:right="855" w:firstLine="425"/>
      </w:pPr>
      <w:r>
        <w:rPr>
          <w:sz w:val="24"/>
        </w:rPr>
        <w:t xml:space="preserve"> Gli uomini hanno fatto del corpo delle donne un bottino di guerra da prendere e consumare a piacimento, da sodomizzare, da smembrare, senza preoccuparsi delle cause avevano vinto e quello era il loro trofeo, come testimoniato dalla Guenivert nel suo testo </w:t>
      </w:r>
      <w:r>
        <w:rPr>
          <w:i/>
          <w:sz w:val="24"/>
        </w:rPr>
        <w:t>Stupri di guerra</w:t>
      </w:r>
      <w:r>
        <w:rPr>
          <w:sz w:val="24"/>
        </w:rPr>
        <w:t xml:space="preserve">  </w:t>
      </w:r>
    </w:p>
    <w:p w:rsidR="00611878" w:rsidRDefault="00672C55">
      <w:pPr>
        <w:spacing w:after="195"/>
        <w:ind w:left="1428" w:right="706" w:firstLine="425"/>
      </w:pPr>
      <w:r>
        <w:t>A volte diviene trofeo, esibito alla stregua di stendardo della vittoria. Altre volte è offerta di pace che vincitore offre agli sconfitti, come risarcimento per il sangue versato […]. Talvolta ancora è mezzo di conquista. […]. La donna è incarnazione della terra, della madre, della nutrice e della patria, custode della tradizione e dei valori[…]. Sporcare la sua immagine vuol dire distruggere il paese.</w:t>
      </w:r>
      <w:r>
        <w:rPr>
          <w:vertAlign w:val="superscript"/>
        </w:rPr>
        <w:footnoteReference w:id="2"/>
      </w:r>
      <w:r>
        <w:t xml:space="preserve">  </w:t>
      </w:r>
    </w:p>
    <w:p w:rsidR="00611878" w:rsidRDefault="00672C55">
      <w:pPr>
        <w:spacing w:after="273" w:line="259" w:lineRule="auto"/>
        <w:ind w:left="992" w:right="0" w:firstLine="0"/>
        <w:jc w:val="left"/>
      </w:pPr>
      <w:r>
        <w:rPr>
          <w:sz w:val="24"/>
        </w:rPr>
        <w:t xml:space="preserve"> </w:t>
      </w:r>
    </w:p>
    <w:p w:rsidR="00611878" w:rsidRDefault="00672C55" w:rsidP="007C08AB">
      <w:pPr>
        <w:spacing w:after="240" w:line="367" w:lineRule="auto"/>
        <w:ind w:left="709" w:right="855" w:firstLine="425"/>
      </w:pPr>
      <w:r>
        <w:rPr>
          <w:sz w:val="24"/>
        </w:rPr>
        <w:t xml:space="preserve">Lo stupro etnico, perché di questo di fatto si parla, tende ad umiliare ulteriormente lo sconfitto, a prendere possesso del territorio e dei figli, i quali per 23 cromosomi apparterranno sempre al dominatore, come testimoniato da una lettera di un gruppo di donne bosniache indirizzata alla conferenza per la Jugoslavia, tenuta negli USA nel 1993 </w:t>
      </w:r>
    </w:p>
    <w:p w:rsidR="00611878" w:rsidRDefault="00672C55">
      <w:pPr>
        <w:spacing w:after="3" w:line="265" w:lineRule="auto"/>
        <w:ind w:left="10" w:right="704"/>
        <w:jc w:val="right"/>
      </w:pPr>
      <w:r>
        <w:t xml:space="preserve">le donne non serbe […] non solo sono torturate con lo stupro come tutte le donne, ma sono </w:t>
      </w:r>
    </w:p>
    <w:p w:rsidR="00611878" w:rsidRDefault="00672C55">
      <w:pPr>
        <w:spacing w:after="188"/>
        <w:ind w:left="1438" w:right="706"/>
      </w:pPr>
      <w:r>
        <w:t>stuprate perché ciò fa parte della politica serba di “pulizia etnica”</w:t>
      </w:r>
      <w:r>
        <w:rPr>
          <w:vertAlign w:val="superscript"/>
        </w:rPr>
        <w:footnoteReference w:id="3"/>
      </w:r>
      <w:r>
        <w:t xml:space="preserve">  </w:t>
      </w:r>
    </w:p>
    <w:p w:rsidR="00611878" w:rsidRDefault="00672C55">
      <w:pPr>
        <w:spacing w:after="273" w:line="259" w:lineRule="auto"/>
        <w:ind w:left="992" w:right="0" w:firstLine="0"/>
        <w:jc w:val="left"/>
      </w:pPr>
      <w:r>
        <w:rPr>
          <w:sz w:val="24"/>
        </w:rPr>
        <w:t xml:space="preserve"> </w:t>
      </w:r>
    </w:p>
    <w:p w:rsidR="00611878" w:rsidRDefault="00672C55" w:rsidP="007C08AB">
      <w:pPr>
        <w:spacing w:after="0" w:line="367" w:lineRule="auto"/>
        <w:ind w:left="709" w:right="855" w:hanging="11"/>
        <w:jc w:val="right"/>
      </w:pPr>
      <w:r>
        <w:rPr>
          <w:sz w:val="24"/>
        </w:rPr>
        <w:t xml:space="preserve">Fin dai romanzi dei secoli precedenti come </w:t>
      </w:r>
      <w:r>
        <w:rPr>
          <w:i/>
          <w:sz w:val="24"/>
        </w:rPr>
        <w:t xml:space="preserve">Ivanhoe </w:t>
      </w:r>
      <w:r>
        <w:rPr>
          <w:sz w:val="24"/>
        </w:rPr>
        <w:t xml:space="preserve">di Scott e </w:t>
      </w:r>
      <w:r>
        <w:rPr>
          <w:i/>
          <w:sz w:val="24"/>
        </w:rPr>
        <w:t>Die Herrmannschlacht</w:t>
      </w:r>
      <w:r>
        <w:rPr>
          <w:sz w:val="24"/>
        </w:rPr>
        <w:t xml:space="preserve"> di von </w:t>
      </w:r>
    </w:p>
    <w:p w:rsidR="00611878" w:rsidRDefault="00672C55" w:rsidP="007C08AB">
      <w:pPr>
        <w:spacing w:after="240" w:line="367" w:lineRule="auto"/>
        <w:ind w:left="709" w:right="855" w:hanging="11"/>
      </w:pPr>
      <w:r>
        <w:rPr>
          <w:sz w:val="24"/>
        </w:rPr>
        <w:lastRenderedPageBreak/>
        <w:t xml:space="preserve">Kleist, la verginità femminile era una virtù sacra al punto che la sua perdita in modo “illecito” da parte del vincitore era un fardello talmente pesante da portare che il tutore legale, padre o fratelli, uccidono la donna pur di salvare l’onore della famiglia e della Patria (dal latino </w:t>
      </w:r>
      <w:r>
        <w:rPr>
          <w:i/>
          <w:sz w:val="24"/>
        </w:rPr>
        <w:t>Pater</w:t>
      </w:r>
      <w:r>
        <w:rPr>
          <w:sz w:val="24"/>
        </w:rPr>
        <w:t>, inteso come capostipite). Una volta rotto l’imene, quindi, l’onore di un’intera nazione è leso.</w:t>
      </w:r>
      <w:r>
        <w:rPr>
          <w:sz w:val="24"/>
          <w:vertAlign w:val="superscript"/>
        </w:rPr>
        <w:footnoteReference w:id="4"/>
      </w:r>
      <w:r>
        <w:rPr>
          <w:sz w:val="24"/>
        </w:rPr>
        <w:t xml:space="preserve"> La Storia non si sofferma su di loro, sui loro drammi, perché le donne sono uno sfondo opaco, oggetti da compagnia; come sottolineato da Gianguido Pagi Palumbo, la storia scritta dagli storici è solo quella degli uomini, basti pensare al Risorgimento italiano del quale è immortale solo Anita Garibaldi, moglie del grande condottiero, le altre non sono mai esistite.</w:t>
      </w:r>
      <w:r>
        <w:rPr>
          <w:sz w:val="24"/>
          <w:vertAlign w:val="superscript"/>
        </w:rPr>
        <w:footnoteReference w:id="5"/>
      </w:r>
      <w:r>
        <w:rPr>
          <w:sz w:val="24"/>
        </w:rPr>
        <w:t xml:space="preserve"> </w:t>
      </w:r>
    </w:p>
    <w:p w:rsidR="00611878" w:rsidRDefault="00672C55" w:rsidP="007C08AB">
      <w:pPr>
        <w:spacing w:after="240" w:line="367" w:lineRule="auto"/>
        <w:ind w:left="709" w:right="855" w:hanging="11"/>
      </w:pPr>
      <w:r>
        <w:rPr>
          <w:sz w:val="24"/>
        </w:rPr>
        <w:t xml:space="preserve">Le donne non hanno mai avuto il diritto di lamentarsi perché, come gli uomini combattevano al fronte e tornavano segnati da ferite permanenti, quella era la loro guerra, la violazione della dignità la loro lacerazione perenne, ma difficilmente la si racconta. Al contrario degli uomini, che sono accolti in Patria come eroi, che hanno combattuto per l’onore della collettività, e possono trasformare le loro cicatrici visibili in racconti epici, le donne devono convivere con il loro dramma in silenzio, sperando che quei segni rimangano segreti il più a lungo possibile, fino a che il tempo non li copre di oblio, come sottolinea ancora la Guenivert </w:t>
      </w:r>
    </w:p>
    <w:p w:rsidR="00611878" w:rsidRDefault="00672C55">
      <w:pPr>
        <w:spacing w:after="193"/>
        <w:ind w:left="1428" w:right="706" w:firstLine="425"/>
      </w:pPr>
      <w:r>
        <w:t>Gli psicologi sono convinti che lo stupro faccia parte di quei crimini che provocano nella vittima il deterioramento della stima di sé, che porta a non fidarsi di se stessa, ispirandole in sentimento di svalutazione sociale.</w:t>
      </w:r>
      <w:r>
        <w:rPr>
          <w:vertAlign w:val="superscript"/>
        </w:rPr>
        <w:footnoteReference w:id="6"/>
      </w:r>
      <w:r>
        <w:t xml:space="preserve"> </w:t>
      </w:r>
    </w:p>
    <w:p w:rsidR="00611878" w:rsidRDefault="00672C55">
      <w:pPr>
        <w:spacing w:after="320" w:line="259" w:lineRule="auto"/>
        <w:ind w:left="992" w:right="0" w:firstLine="0"/>
        <w:jc w:val="left"/>
      </w:pPr>
      <w:r>
        <w:rPr>
          <w:sz w:val="24"/>
        </w:rPr>
        <w:t xml:space="preserve"> </w:t>
      </w:r>
    </w:p>
    <w:p w:rsidR="00611878" w:rsidRDefault="00672C55" w:rsidP="007C08AB">
      <w:pPr>
        <w:spacing w:after="240" w:line="367" w:lineRule="auto"/>
        <w:ind w:left="709" w:right="855" w:hanging="11"/>
      </w:pPr>
      <w:r>
        <w:rPr>
          <w:sz w:val="24"/>
        </w:rPr>
        <w:t xml:space="preserve"> Questo lavoro si pone l’obbiettivo di mettere l’accento sulle loro storie, farle uscire dal cassetto, raccontare la paura, sconfiggendo la vergogna. Si troveranno nomi, volti sconosciuti alla grande Storia, quella dei generali e delle battaglie, che hanno vissuto, sperato, gioito, sofferto, pianto e si sono trovate travolte dagli avvenimenti. </w:t>
      </w:r>
    </w:p>
    <w:p w:rsidR="00611878" w:rsidRDefault="00672C55" w:rsidP="007C08AB">
      <w:pPr>
        <w:spacing w:after="240" w:line="367" w:lineRule="auto"/>
        <w:ind w:left="709" w:right="855" w:hanging="11"/>
      </w:pPr>
      <w:r>
        <w:rPr>
          <w:sz w:val="24"/>
        </w:rPr>
        <w:t xml:space="preserve">Le violenze raccolte in questa tesi sono però di due generi a seconda del periodo storico al quale si riferiscono. </w:t>
      </w:r>
    </w:p>
    <w:p w:rsidR="00611878" w:rsidRDefault="00672C55" w:rsidP="007C08AB">
      <w:pPr>
        <w:spacing w:after="240" w:line="367" w:lineRule="auto"/>
        <w:ind w:left="709" w:right="855" w:hanging="11"/>
      </w:pPr>
      <w:r>
        <w:rPr>
          <w:sz w:val="24"/>
        </w:rPr>
        <w:lastRenderedPageBreak/>
        <w:t xml:space="preserve">Il primo capitolo descrive e analizza il programma nazista del Lebensborn, atto alla creazione della razza superiore, perché è la sintesi della concezione razziale e razzista della Germania nazista e lo strumento fondamentale per poter comprendere a pieno il quadro antropologico e sociale nel quale si inseriscono le violenze sessuali dell’Armata Rossa.  </w:t>
      </w:r>
    </w:p>
    <w:p w:rsidR="00611878" w:rsidRDefault="00672C55" w:rsidP="007C08AB">
      <w:pPr>
        <w:spacing w:after="240" w:line="367" w:lineRule="auto"/>
        <w:ind w:left="709" w:right="855" w:hanging="11"/>
      </w:pPr>
      <w:r>
        <w:rPr>
          <w:sz w:val="24"/>
        </w:rPr>
        <w:t xml:space="preserve"> Sebbene l’arco temporale preso in considerazione da questo lavoro (1944-1946) sia di per sé molto breve, il tipo di rapporto sessuale intercorso tra donne e militari nel territorio racchiuso nei 500 km est dalla frontiera orientale tedesca è diametralmente opposta. Se durante la fase gloriosa dell’espansione del Reich hitleriano essere oggetto delle attenzioni di un soldato occupante era sinonimo di sopravvivenza e di protezione, la controffensiva sovietica aveva il compito di umiliare l’ex alleato, il traditore, macchiando le donne e sporcando la razza ariana. </w:t>
      </w:r>
    </w:p>
    <w:p w:rsidR="00611878" w:rsidRDefault="00672C55" w:rsidP="007C08AB">
      <w:pPr>
        <w:spacing w:after="240" w:line="367" w:lineRule="auto"/>
        <w:ind w:left="709" w:right="855" w:hanging="11"/>
      </w:pPr>
      <w:r>
        <w:rPr>
          <w:sz w:val="24"/>
        </w:rPr>
        <w:t xml:space="preserve">Nonostante i recenti casi di stupro etnico in diversi paesi dell’Africa, in Jugoslavia anche l’ONU, come già evidenziato, ha impiegato moltissimo per riconoscere questa piaga come tale e prevedere un reato specifico, che adesso viene considerato anche dal Tribunale Speciale de L’Aia come crimine contro l’umanità. Questa nuova fattispecie di reato internazionale era stato contestato anche al leader libico Gheddafi, reo di aver incoraggiato le truppe a punire in questo modo i ribelli che avevano preso parte alla Primavera Araba, facendo distribuire ai militari farmaci stimolanti come il Viagra. La giustizia barbara del Popolo è arrivata prima di quella della Comunità Internazionale. </w:t>
      </w:r>
    </w:p>
    <w:p w:rsidR="00611878" w:rsidRDefault="00672C55" w:rsidP="007C08AB">
      <w:pPr>
        <w:spacing w:after="240" w:line="367" w:lineRule="auto"/>
        <w:ind w:left="709" w:right="855" w:hanging="11"/>
      </w:pPr>
      <w:r>
        <w:rPr>
          <w:sz w:val="24"/>
        </w:rPr>
        <w:t xml:space="preserve"> Le donne, nel frattempo, hanno imparato, dalle sabine in poi, a lavare i panni sporchi in casa. </w:t>
      </w:r>
    </w:p>
    <w:p w:rsidR="00611878" w:rsidRDefault="00672C55" w:rsidP="007C08AB">
      <w:pPr>
        <w:spacing w:after="240" w:line="367" w:lineRule="auto"/>
        <w:ind w:left="709" w:right="855" w:hanging="11"/>
      </w:pPr>
      <w:r>
        <w:rPr>
          <w:sz w:val="24"/>
        </w:rPr>
        <w:t xml:space="preserve">  Questo lavoro può essere considerato il capitolo finale dei lavori portati avanti con la tesi di laurea Triennale e quella per la laurea Specialistica nelle quali mi ero occupata dell’infanzia in guerra. Durante gli anni di lavoro su questo tema mi avevano sempre colpito due aspetti dei diari e dei racconti: la selezione razziale e la costruzione scientifica della razza superiore e il momento della liberazione, soprattutto nelle terre orientali. Le bambine, spesso, non assistevano a violenze sessuali, ma ne parlano, le raccontano, anche a distanza di anni, con un timore palpabile in ogni riga e parola. </w:t>
      </w:r>
    </w:p>
    <w:p w:rsidR="00611878" w:rsidRDefault="00672C55" w:rsidP="007C08AB">
      <w:pPr>
        <w:spacing w:after="240" w:line="367" w:lineRule="auto"/>
        <w:ind w:left="709" w:right="855" w:hanging="11"/>
      </w:pPr>
      <w:r>
        <w:rPr>
          <w:sz w:val="24"/>
        </w:rPr>
        <w:t xml:space="preserve">  La tesi ha come filo conduttore una serie di interrogativi: perché l’essere conquistati dai soldati dell’Armata Rossa è così devastante dal punto di vista psicologico da spingere al “suicidio preventivo” circa 5.000 donne berlinesi nel mese di aprile 1945? La causa </w:t>
      </w:r>
      <w:r>
        <w:rPr>
          <w:sz w:val="24"/>
        </w:rPr>
        <w:lastRenderedPageBreak/>
        <w:t xml:space="preserve">scatenante può essere solamente l’onta della sconfitta? Da dove, come nascono e come si diffondono le voci sui Russi stupratori? La psicosi collettiva di quei giorni è attribuibile alla paura dell’inquinamento della razza ariana? E soprattutto, quali sono le fondamenta e gli effetti della politica razziale? </w:t>
      </w:r>
    </w:p>
    <w:p w:rsidR="00611878" w:rsidRDefault="00672C55" w:rsidP="007C08AB">
      <w:pPr>
        <w:spacing w:after="240" w:line="367" w:lineRule="auto"/>
        <w:ind w:left="709" w:right="855" w:hanging="11"/>
      </w:pPr>
      <w:r>
        <w:rPr>
          <w:sz w:val="24"/>
        </w:rPr>
        <w:t xml:space="preserve">  La ricerca parte quindi dalle fonti. Uno degli archivi cardine è il Bundesarchiv di Bayreuth dove sono conservate 18.000 testimonianze, molte delle quali postume. È lì che mi sono imbattuta per la prima volta nel nome di un piccolo villaggio: Nemmersdorf e nel suo distretto Gumbinnen. </w:t>
      </w:r>
    </w:p>
    <w:p w:rsidR="00611878" w:rsidRDefault="00672C55" w:rsidP="007C08AB">
      <w:pPr>
        <w:spacing w:after="240" w:line="367" w:lineRule="auto"/>
        <w:ind w:left="709" w:right="855" w:hanging="11"/>
      </w:pPr>
      <w:r>
        <w:rPr>
          <w:sz w:val="24"/>
        </w:rPr>
        <w:t xml:space="preserve">Per comprendere il fenomeno si è andati a ricercare le origini della tragedia di un popolo, partendo dalle teorie razziali e razziste che guidavano il regime nazista, studiando i progetti connessi di creazione della razza superiore e distruzione di quelle considerate inferiori. </w:t>
      </w:r>
    </w:p>
    <w:p w:rsidR="00611878" w:rsidRDefault="00672C55" w:rsidP="007C08AB">
      <w:pPr>
        <w:spacing w:after="240" w:line="367" w:lineRule="auto"/>
        <w:ind w:left="709" w:right="855" w:hanging="11"/>
      </w:pPr>
      <w:r>
        <w:rPr>
          <w:sz w:val="24"/>
        </w:rPr>
        <w:t xml:space="preserve">  Il progetto nazista del Lebensborn è sconosciuto al grande pubblico e molto spesso anche agli storici che rilegano la questione razziale ai campi di sterminio e alla questione ebraica, ovvero, ad una parte di quella che in questo lavoro sarà definita la Pars destruens di un progetto più ampio e articolato. Occorre soffermare l’attenzione sul fatto che i nazisti non volessero spopolare la Terra per lasciare spazio alla razza ariana, bensì favorire, incrementare e aumentare la produzione di cittadini (possibilmente più uomini che donne) ariani. Questo avveniva attraverso lo studio della riproduzione umana, soprattutto in occasione di parti gemellari o plurigemellari e attraverso l’istituzione di centri appositi per la cura, il mantenimento ed il parto delle gestanti. </w:t>
      </w:r>
    </w:p>
    <w:p w:rsidR="00611878" w:rsidRDefault="00672C55" w:rsidP="007C08AB">
      <w:pPr>
        <w:spacing w:after="240" w:line="367" w:lineRule="auto"/>
        <w:ind w:left="709" w:right="855" w:hanging="11"/>
      </w:pPr>
      <w:r>
        <w:rPr>
          <w:sz w:val="24"/>
        </w:rPr>
        <w:t xml:space="preserve">  La riproduzione, dunque, era un ingranaggio inalienabile della catena di montaggio del sistema della Banalità del Male. I campi di sterminio erano propedeutici al Lebensborn, centri per la creazione di bambini alti, biondi e con gli occhi azzurri. Essi dovevano andare a costruire l’esercito del futuro, erano destinati a dominare il mondo e, per questo dovevano essere preparati.  </w:t>
      </w:r>
    </w:p>
    <w:p w:rsidR="00611878" w:rsidRDefault="00672C55" w:rsidP="007C08AB">
      <w:pPr>
        <w:spacing w:after="240" w:line="367" w:lineRule="auto"/>
        <w:ind w:left="709" w:right="855" w:hanging="11"/>
      </w:pPr>
      <w:r>
        <w:rPr>
          <w:sz w:val="24"/>
        </w:rPr>
        <w:t xml:space="preserve">  Il progetto di creazione della razza superiore passava anche attraverso la militarizzazione dei bambini e dei ragazzi che avveniva in fasi diverse e non era uguale per tutti, perché anche all’interno del futuro esercito dovevano esserci differenze di sorta. Se da un lato, infatti, c’era la famosa Hitler Jugend, dove si entrava al compimento del decimo anno di età dopo aver prestato giuramento al Führer nel giorno del suo compleanno, dall’altro c’era la vera e propria élite che frequentava le Napola, accademie militari vere e proprie. Per poter </w:t>
      </w:r>
      <w:r>
        <w:rPr>
          <w:sz w:val="24"/>
        </w:rPr>
        <w:lastRenderedPageBreak/>
        <w:t xml:space="preserve">accedere occorrevano requisiti razziali più alti e venivano catalogati e ispezionati anche il colore dei capelli e degli occhi, che dovevano rientrare in una certa scala di biondo e di azzurro-verde. Da queste scuole sarebbero usciti gli ufficiali del futuro III. </w:t>
      </w:r>
    </w:p>
    <w:p w:rsidR="00611878" w:rsidRDefault="00672C55" w:rsidP="007C08AB">
      <w:pPr>
        <w:spacing w:after="240" w:line="367" w:lineRule="auto"/>
        <w:ind w:left="709" w:right="855" w:hanging="11"/>
      </w:pPr>
      <w:r>
        <w:rPr>
          <w:sz w:val="24"/>
        </w:rPr>
        <w:t xml:space="preserve">  All’interno della presunta razza ariana erano presenti, però, dei soggetti che seppur puri erano considerati dei pericoli per il Reich perché pensavano in maniera autonoma dai diktat imposti dal regime. Questi cittadini, in grande maggioranza ragazzi, andavano eliminati negando loro la possibilità di riprodursi oppure condannandoli a morte attraverso l’emanazione di sentenze giunte al termine di processi farsa. Questa selezione era funzionale al selezionare la formazione delle future generazioni al momento della scelta dei possibili genitori. Per questo si analizzano le esperienze delle varie organizzazioni giovanili, da </w:t>
      </w:r>
      <w:r>
        <w:rPr>
          <w:i/>
          <w:sz w:val="24"/>
        </w:rPr>
        <w:t>La Rosa Bianca</w:t>
      </w:r>
      <w:r>
        <w:rPr>
          <w:sz w:val="24"/>
        </w:rPr>
        <w:t xml:space="preserve"> ai </w:t>
      </w:r>
      <w:r>
        <w:rPr>
          <w:i/>
          <w:sz w:val="24"/>
        </w:rPr>
        <w:t>Connewitz e Broadway</w:t>
      </w:r>
      <w:r>
        <w:rPr>
          <w:sz w:val="24"/>
        </w:rPr>
        <w:t xml:space="preserve">, che hanno avuto destini differenti ma hanno come denominatore comune la spinta propulsiva di opposizione al regime.     </w:t>
      </w:r>
    </w:p>
    <w:p w:rsidR="00611878" w:rsidRDefault="00672C55" w:rsidP="007C08AB">
      <w:pPr>
        <w:spacing w:after="240" w:line="367" w:lineRule="auto"/>
        <w:ind w:left="709" w:right="855" w:hanging="11"/>
      </w:pPr>
      <w:r>
        <w:rPr>
          <w:sz w:val="24"/>
        </w:rPr>
        <w:t xml:space="preserve">  La vicenda Nemmersdorf, il piccolo villaggio polacco sulla linea del fronte orientale, dal quale ha avuto origine la propaganda e la psicosi da una parte e l’incitamento allo stupro dall’altra è stata ricostruita attraverso tutte le testimonianze d’archivio, sollevando dubbi, dalla posizione dei corpi al racconto dell’unica superstite, che non ha mai subito/visto violenze sessuali commesse dai soldati dell’Armata Rossa e confrontandoli sulla propaganda dell’epoca sia nazista che comunista. Sarà, quindi, dimostrato che quell’episodio è  la scintilla della psicosi tedesca e del </w:t>
      </w:r>
      <w:r>
        <w:rPr>
          <w:i/>
          <w:sz w:val="24"/>
        </w:rPr>
        <w:t>placet</w:t>
      </w:r>
      <w:r>
        <w:rPr>
          <w:sz w:val="24"/>
        </w:rPr>
        <w:t xml:space="preserve"> ai soldati sovietici.   </w:t>
      </w:r>
    </w:p>
    <w:p w:rsidR="00611878" w:rsidRDefault="00672C55" w:rsidP="007C08AB">
      <w:pPr>
        <w:spacing w:after="240" w:line="367" w:lineRule="auto"/>
        <w:ind w:left="709" w:right="855" w:hanging="11"/>
      </w:pPr>
      <w:r>
        <w:rPr>
          <w:sz w:val="24"/>
        </w:rPr>
        <w:t xml:space="preserve">  Se prima dell’ottobre del 1944 nessuno racconta di violenze sessuali, dopo diventa un susseguirsi, un affastellarsi di narrazioni più o meno confuse, in un climax ascendente inarrestabile che fomenta anche i sovietici a prendersi il loro “bottino di guerra”. Nel testo si evidenzia come questa immagine del comunista stupratore non è funzionale solamente al regime nazista, ma anche alla Repubblica Federale che, in piena Guerra Fredda, sfrutta i racconti per creare una sorta di maxi dossier, pronto ad essere utilizzato in qualsiasi momento. Le testimonianze, infatti, sono frutto di un progetto riguardante il recupero della memoria e dell’Heimat perduta anche attraverso le risposte ad un questionario predisposto dallo stesso ministero. </w:t>
      </w:r>
    </w:p>
    <w:p w:rsidR="00611878" w:rsidRDefault="00672C55" w:rsidP="007C08AB">
      <w:pPr>
        <w:spacing w:after="240" w:line="367" w:lineRule="auto"/>
        <w:ind w:left="709" w:right="855" w:hanging="11"/>
      </w:pPr>
      <w:r>
        <w:rPr>
          <w:sz w:val="24"/>
        </w:rPr>
        <w:t xml:space="preserve">  L’analisi delle testimonianze prende le mosse dalla teoria di Alberto Mario Banti della rappresentazione femminile della Nazione a partire dalla Marianna, in Francia. Lo stupro, quindi, è percepito ed è perpetrato non solamente in uno scontro uno a uno tra uomo e </w:t>
      </w:r>
      <w:r>
        <w:rPr>
          <w:sz w:val="24"/>
        </w:rPr>
        <w:lastRenderedPageBreak/>
        <w:t xml:space="preserve">donna, soldato e sconfitta. La penetrazione è una rappresentazione simbolica e fisica di quella territoriale, una paura doppia. </w:t>
      </w:r>
    </w:p>
    <w:p w:rsidR="00611878" w:rsidRDefault="00672C55" w:rsidP="007C08AB">
      <w:pPr>
        <w:spacing w:after="240" w:line="367" w:lineRule="auto"/>
        <w:ind w:left="709" w:right="855" w:hanging="11"/>
      </w:pPr>
      <w:r>
        <w:rPr>
          <w:sz w:val="24"/>
        </w:rPr>
        <w:t xml:space="preserve">    La tesi prosegue seguendo il percorso dei profughi nel loro viaggio fino all’arrivo nelle due città di frontiere Breslau e Berlino, passando per i piccoli e grandi villaggi analizzando le condizioni economiche e sociali dei cittadini di origine tedesca che passano da essere dominatori a dominati. Si affronta il tema dei campi di concentramento e i segni distintivi e le deportazioni sia all’interno del territorio nazionale che con treni speciali con destinazione Siberia. In questa fase, l’attenzione non è solamente alle violenze di carattere sessuale contro le donne, ma anche i soprusi e gli espropri forzati dei beni, le umiliazioni. </w:t>
      </w:r>
    </w:p>
    <w:p w:rsidR="00611878" w:rsidRDefault="00672C55" w:rsidP="007C08AB">
      <w:pPr>
        <w:spacing w:after="240" w:line="367" w:lineRule="auto"/>
        <w:ind w:left="709" w:right="855" w:hanging="11"/>
      </w:pPr>
      <w:r>
        <w:rPr>
          <w:sz w:val="24"/>
        </w:rPr>
        <w:t xml:space="preserve">  I racconti rappresentano una realtà poco analizzata dagli storici sia dal punto di vista politico che sociale. Gli espropri di tutte le case e i terreni tolti ai cittadini di origine tedesca che vengono espulsi e costretti a migrare verso ovest, all’interno della linea dei fiumi Oder-Naisse, abbandonando tutti i loro averi immobili ed una gran parte dei beni mobili. </w:t>
      </w:r>
    </w:p>
    <w:p w:rsidR="00611878" w:rsidRDefault="00672C55" w:rsidP="007C08AB">
      <w:pPr>
        <w:spacing w:after="240" w:line="367" w:lineRule="auto"/>
        <w:ind w:left="709" w:right="855" w:hanging="11"/>
      </w:pPr>
      <w:r>
        <w:rPr>
          <w:sz w:val="24"/>
        </w:rPr>
        <w:t xml:space="preserve">  Questo grande esodo di massa lascia la sua traccia non solo nei racconti, ma anche nei canti  e nelle tradizioni che portano con sé, segnando un netto segno di demarcazione tra il concetto di “Vaterland” e quello di “Heimat”. I profughi di origine tedesca, infatti, tornano, rientrano nella Terra Dei Padri, lasciando l’Heimat, la Patria composta da usi, tradizioni e costumi, per tornare all’interno di confini geografici stabiliti, ma dove ci sono cittadini, o meglio compatrioti, che li definivano in maniera dispregiativa e che non li hanno accolti. </w:t>
      </w:r>
    </w:p>
    <w:p w:rsidR="00611878" w:rsidRDefault="00672C55" w:rsidP="007C08AB">
      <w:pPr>
        <w:spacing w:after="240" w:line="367" w:lineRule="auto"/>
        <w:ind w:left="709" w:right="855" w:hanging="11"/>
      </w:pPr>
      <w:r>
        <w:rPr>
          <w:sz w:val="24"/>
        </w:rPr>
        <w:t xml:space="preserve">  Alcune donne raggiungevano i confini e Berlino incinte e le gravidanze erano frutto delle violenze subite, portando con loro il dolore ma anche la responsabilità di abortire il figlio di razza mista. Il lavoro prosegue, quindi, con l’analisi di ciò che è avvenuto all’interno della Capitale del Reich, iniziando dal 20 aprile 1945, il giorno dell’attacco decisivo. Attraverso i documenti d’archivio è stato possibile ricostruire le statistiche e parzialmente le storie delle donne che hanno scelto di uccidere i propri figli e poi di suicidarsi, spinte dalle voci provenienti dall’est degli stupri e delle violenze. Successivamente si analizzano le testimonianze delle violenze, passando attraverso le “tecniche” utilizzate, mostrando come queste continuano anche a molta distanza dal termine della guerra, casa per casa, cantina per cantina, nella corsa estenuante alle donne e agli orologi, senza preferenze.  </w:t>
      </w:r>
    </w:p>
    <w:p w:rsidR="00611878" w:rsidRDefault="00672C55" w:rsidP="007C08AB">
      <w:pPr>
        <w:spacing w:after="240" w:line="367" w:lineRule="auto"/>
        <w:ind w:left="709" w:right="855" w:hanging="11"/>
      </w:pPr>
      <w:r>
        <w:rPr>
          <w:sz w:val="24"/>
        </w:rPr>
        <w:t xml:space="preserve">  Successivamente, si sono analizzate le possibilità legislative e pratiche fornite dal ministero della Salute per dare la possibilità a tutte di abortire seguendo rigide pratiche burocratiche </w:t>
      </w:r>
      <w:r>
        <w:rPr>
          <w:sz w:val="24"/>
        </w:rPr>
        <w:lastRenderedPageBreak/>
        <w:t xml:space="preserve">ma semplici. Nella tesi si evidenzia come il sistema basato su una visita medica attestante la gravidanza ed un successivo certificato medico, accompagnato da una dichiarazione giurata. Un meccanismo che permetteva di dichiarare che qualunque gravidanza fosse frutto di una violenza, impedendo di fatto la possibilità di avere delle statistiche reali del fenomeno, ma sono utili ad inquadrarlo dal punto di vista sociale. Le migliaia di certificati medici e richieste di aborto costituiscono un elemento determinante anche per un’analisi sociologica del fenomeno degli aborti. Nel testo, infatti, verrà ampiamente dimostrato come la spinta all’interruzione di gravidanza sia data dalle ragioni razziali, ma anche dalla difficoltà sociali di dimostrare, di giustificare un eventuale figlio al di fuori di un rapporto coniugale. Molte donne, infatti, motivano la scelta con la difficoltà di fornire al marito spiegazioni socialmente accettabili o, in caso di ragazze nubili, l’incapacità di giustificarsi e riuscire ad avere un futuro “normale”.   </w:t>
      </w:r>
    </w:p>
    <w:p w:rsidR="00611878" w:rsidRDefault="00672C55" w:rsidP="007C08AB">
      <w:pPr>
        <w:spacing w:after="240" w:line="367" w:lineRule="auto"/>
        <w:ind w:left="709" w:right="855" w:hanging="11"/>
      </w:pPr>
      <w:r>
        <w:rPr>
          <w:sz w:val="24"/>
        </w:rPr>
        <w:t xml:space="preserve">   L’analisi prosegue con la descrizione delle violenze successive la fine della guerra, al fine di mostrare come lo stupro non sia solo un’arma di guerra ma anche di occupazione e di umiliazione di una nazione e del suo popolo che aveva basato la propria grandezza sulla purezza della razza. </w:t>
      </w:r>
    </w:p>
    <w:p w:rsidR="00611878" w:rsidRDefault="00672C55" w:rsidP="007C08AB">
      <w:pPr>
        <w:spacing w:after="240" w:line="367" w:lineRule="auto"/>
        <w:ind w:left="709" w:right="855" w:hanging="11"/>
      </w:pPr>
      <w:r>
        <w:rPr>
          <w:sz w:val="24"/>
        </w:rPr>
        <w:t xml:space="preserve">     Il lavoro si conclude con un’analisi dell’amministrazione della giustizia al fine di mostrare le conseguenze politiche e sociali della divisione e soprattutto del processo di denazificazione effettuato nel settore di occupazione sovietica. In questa fase sono state utilizzate le testimonianze contenute nel Bundesarchiv di Berlino dei fascicoli di serie DDR/1 che sono i più delicati per ragione di riservatezza e legislazione che protegge la documentazione. Da questi testi emerge l’utilizzo strumentale della giustizia per il processo di socializzazione e per confermare la sottomissione del popolo, segnando il passaggio dalla sottomissione fisica a quella giuridica e amministrativa.    </w:t>
      </w:r>
    </w:p>
    <w:p w:rsidR="00611878" w:rsidRDefault="00672C55">
      <w:pPr>
        <w:spacing w:after="153" w:line="259" w:lineRule="auto"/>
        <w:ind w:left="0" w:right="0" w:firstLine="0"/>
        <w:jc w:val="left"/>
      </w:pPr>
      <w:r>
        <w:rPr>
          <w:b/>
          <w:sz w:val="32"/>
        </w:rPr>
        <w:t xml:space="preserve"> </w:t>
      </w:r>
    </w:p>
    <w:p w:rsidR="00611878" w:rsidRDefault="00672C55" w:rsidP="00791545">
      <w:pPr>
        <w:spacing w:after="153" w:line="259" w:lineRule="auto"/>
        <w:ind w:left="0" w:right="0" w:firstLine="0"/>
        <w:jc w:val="left"/>
      </w:pPr>
      <w:r>
        <w:rPr>
          <w:b/>
          <w:sz w:val="32"/>
        </w:rPr>
        <w:t xml:space="preserve"> </w:t>
      </w:r>
    </w:p>
    <w:p w:rsidR="00611878" w:rsidRDefault="00672C55">
      <w:pPr>
        <w:spacing w:after="0" w:line="259" w:lineRule="auto"/>
        <w:ind w:left="0" w:right="0" w:firstLine="0"/>
        <w:jc w:val="left"/>
      </w:pPr>
      <w:r>
        <w:rPr>
          <w:b/>
          <w:sz w:val="32"/>
        </w:rPr>
        <w:t xml:space="preserve"> </w:t>
      </w:r>
    </w:p>
    <w:p w:rsidR="007418B3" w:rsidRDefault="007418B3">
      <w:pPr>
        <w:spacing w:after="160" w:line="259" w:lineRule="auto"/>
        <w:ind w:left="0" w:right="0" w:firstLine="0"/>
        <w:jc w:val="left"/>
        <w:rPr>
          <w:b/>
          <w:sz w:val="32"/>
        </w:rPr>
      </w:pPr>
      <w:r>
        <w:br w:type="page"/>
      </w:r>
    </w:p>
    <w:p w:rsidR="00611878" w:rsidRDefault="00672C55">
      <w:pPr>
        <w:pStyle w:val="Titolo2"/>
        <w:spacing w:after="0"/>
        <w:ind w:left="561"/>
      </w:pPr>
      <w:r>
        <w:lastRenderedPageBreak/>
        <w:t>1.</w:t>
      </w:r>
      <w:r>
        <w:rPr>
          <w:rFonts w:ascii="Arial" w:eastAsia="Arial" w:hAnsi="Arial" w:cs="Arial"/>
        </w:rPr>
        <w:t xml:space="preserve"> </w:t>
      </w:r>
      <w:r>
        <w:t xml:space="preserve">Gli archivi e i problemi interpretativi dei documenti </w:t>
      </w:r>
    </w:p>
    <w:p w:rsidR="00611878" w:rsidRDefault="00672C55">
      <w:pPr>
        <w:spacing w:after="0" w:line="259" w:lineRule="auto"/>
        <w:ind w:left="0" w:right="0" w:firstLine="0"/>
        <w:jc w:val="left"/>
      </w:pPr>
      <w:r>
        <w:rPr>
          <w:b/>
          <w:sz w:val="32"/>
        </w:rPr>
        <w:t xml:space="preserve"> </w:t>
      </w:r>
    </w:p>
    <w:p w:rsidR="00611878" w:rsidRDefault="00672C55">
      <w:pPr>
        <w:spacing w:after="0" w:line="259" w:lineRule="auto"/>
        <w:ind w:left="0" w:right="0" w:firstLine="0"/>
        <w:jc w:val="left"/>
      </w:pPr>
      <w:r>
        <w:rPr>
          <w:b/>
          <w:sz w:val="32"/>
        </w:rPr>
        <w:t xml:space="preserve"> </w:t>
      </w:r>
    </w:p>
    <w:p w:rsidR="00611878" w:rsidRDefault="00672C55">
      <w:pPr>
        <w:spacing w:after="0" w:line="259" w:lineRule="auto"/>
        <w:ind w:left="566" w:right="0" w:firstLine="0"/>
        <w:jc w:val="left"/>
      </w:pPr>
      <w:r>
        <w:rPr>
          <w:b/>
          <w:sz w:val="24"/>
        </w:rPr>
        <w:t xml:space="preserve"> </w:t>
      </w:r>
    </w:p>
    <w:p w:rsidR="00611878" w:rsidRDefault="00672C55">
      <w:pPr>
        <w:pStyle w:val="Titolo3"/>
        <w:spacing w:after="0"/>
        <w:ind w:left="561"/>
      </w:pPr>
      <w:r>
        <w:t>1)</w:t>
      </w:r>
      <w:r>
        <w:rPr>
          <w:rFonts w:ascii="Arial" w:eastAsia="Arial" w:hAnsi="Arial" w:cs="Arial"/>
        </w:rPr>
        <w:t xml:space="preserve"> </w:t>
      </w:r>
      <w:r>
        <w:t xml:space="preserve">L’archivio di Bayreuth: fonte di testimonianze e dubbi </w:t>
      </w:r>
    </w:p>
    <w:p w:rsidR="00611878" w:rsidRDefault="00672C55">
      <w:pPr>
        <w:spacing w:after="0" w:line="259" w:lineRule="auto"/>
        <w:ind w:left="566" w:right="0" w:firstLine="0"/>
        <w:jc w:val="left"/>
      </w:pPr>
      <w:r>
        <w:rPr>
          <w:b/>
          <w:sz w:val="24"/>
        </w:rPr>
        <w:t xml:space="preserve"> </w:t>
      </w:r>
    </w:p>
    <w:p w:rsidR="00611878" w:rsidRDefault="00672C55">
      <w:pPr>
        <w:spacing w:after="119" w:line="259" w:lineRule="auto"/>
        <w:ind w:left="566" w:right="0" w:firstLine="0"/>
        <w:jc w:val="left"/>
      </w:pPr>
      <w:r>
        <w:rPr>
          <w:sz w:val="24"/>
        </w:rPr>
        <w:t xml:space="preserve"> </w:t>
      </w:r>
    </w:p>
    <w:p w:rsidR="00611878" w:rsidRDefault="00672C55">
      <w:pPr>
        <w:spacing w:line="366" w:lineRule="auto"/>
        <w:ind w:left="561" w:right="707"/>
      </w:pPr>
      <w:r>
        <w:rPr>
          <w:sz w:val="24"/>
        </w:rPr>
        <w:t xml:space="preserve">La Germania ha moltissimi archivi federali sparsi sul territorio di ogni Land, bellissimi, efficientissimi, pieni di documenti. A Bayreuth, la città di Wagner, celebre per il suo festival di musica classica, ce n'è uno di mattoncini rossi, immerso nel verde. I documenti sul fronte orientale sono divisi in tre gruppi: Ostdokumentation I raggruppa le testimonianze dirette e le pagine di diario della parte più orientale del Reich, la Prussia orientale; la Ostdokumentation II riporta 18 000 testimonianze di coloro che erano nelle altre regioni orientali; la Ostdokumentation III conserva le carte geografiche, i disegni e i rilievi grafici dell'Ostreich. Per la ricerca si sono prese in considerazione prevalentemente i documenti delle prime due sezioni. </w:t>
      </w:r>
    </w:p>
    <w:p w:rsidR="00611878" w:rsidRDefault="00672C55">
      <w:pPr>
        <w:spacing w:line="366" w:lineRule="auto"/>
        <w:ind w:left="551" w:right="707" w:firstLine="708"/>
      </w:pPr>
      <w:r>
        <w:rPr>
          <w:sz w:val="24"/>
        </w:rPr>
        <w:t xml:space="preserve">Nello studio dei testi disponibili sotto forma di microfilm si riscontrano degli elementi quantomeno surreali che hanno spostato l'attenzione sull'attendibilità di molte delle testimonianze. Il climax ascendente di molti racconti, la scelta degli aggettivi e i dettagli narrati hanno fatto porre sotto la lente di ingrandimento alcuni dei racconti. Inizialmente questi testi ponevano seri problemi interpretativi dal punto di vista linguistico e di contenuti. Un confronto con il direttore del Bundesarchiv di Bayreuth e la successiva ricostruzione della storia del fondo sono stati utili per dirimere alcune questioni, anche se i dubbi sull'attendibilità di molte testimonianze rimangono. </w:t>
      </w:r>
    </w:p>
    <w:p w:rsidR="00611878" w:rsidRDefault="00672C55">
      <w:pPr>
        <w:spacing w:line="366" w:lineRule="auto"/>
        <w:ind w:left="551" w:right="707" w:firstLine="461"/>
      </w:pPr>
      <w:r>
        <w:rPr>
          <w:sz w:val="24"/>
        </w:rPr>
        <w:t xml:space="preserve"> Tra il 1948 e il 1964, il ministero per i profughi della BRD ha portato avanti una politica atta a ricostruire la storia e le disavventure che hanno dovuto affrontare i profughi nel loro viaggio da est. A tal fine il ministero ha invitato tutti coloro che erano iscritti nei registri a spedire ai propri uffici eventuali testimonianze (pagine di diario, appunti sparsi); con quest’invito, gli ex profughi ricevevano un questionario preparato dagli addetti del ministero per "facilitare" i ricordi. Ma una domanda asettica, vergata su un foglio di carta da una macchina da scrivere, si presta a qualunque tipo di interpretazione. Le risposte venivano rispedite al mittente, accompagnate da un modulo di autorizzazione alla pubblicazione: </w:t>
      </w:r>
    </w:p>
    <w:p w:rsidR="00611878" w:rsidRDefault="00672C55">
      <w:pPr>
        <w:ind w:left="1887" w:right="706"/>
      </w:pPr>
      <w:r>
        <w:t xml:space="preserve">Alla Commissione scientifica per la documentazione dei reduci </w:t>
      </w:r>
    </w:p>
    <w:p w:rsidR="00611878" w:rsidRDefault="00672C55">
      <w:pPr>
        <w:ind w:left="1887" w:right="706"/>
      </w:pPr>
      <w:r>
        <w:t xml:space="preserve">Bonn </w:t>
      </w:r>
    </w:p>
    <w:p w:rsidR="00611878" w:rsidRDefault="00672C55">
      <w:pPr>
        <w:ind w:left="1887" w:right="706"/>
      </w:pPr>
      <w:r>
        <w:t xml:space="preserve">Husarenstr. 30 </w:t>
      </w:r>
    </w:p>
    <w:p w:rsidR="00611878" w:rsidRDefault="00672C55">
      <w:pPr>
        <w:ind w:left="1887" w:right="706"/>
      </w:pPr>
      <w:r>
        <w:t xml:space="preserve">Il racconto [titolo] è stato redatto da me in data […] e raccoglie esclusivamente esperienze di vita vissuta da me medesimo. </w:t>
      </w:r>
    </w:p>
    <w:p w:rsidR="00611878" w:rsidRDefault="00672C55">
      <w:pPr>
        <w:ind w:left="1887" w:right="706"/>
      </w:pPr>
      <w:r>
        <w:lastRenderedPageBreak/>
        <w:t>Il testo potrà essere reso pubblico con il mio nome.</w:t>
      </w:r>
      <w:r>
        <w:rPr>
          <w:vertAlign w:val="superscript"/>
        </w:rPr>
        <w:footnoteReference w:id="7"/>
      </w:r>
      <w:r>
        <w:t xml:space="preserve">  </w:t>
      </w:r>
    </w:p>
    <w:p w:rsidR="00611878" w:rsidRDefault="00672C55">
      <w:pPr>
        <w:spacing w:after="115" w:line="259" w:lineRule="auto"/>
        <w:ind w:left="1028" w:right="0" w:firstLine="0"/>
        <w:jc w:val="left"/>
      </w:pPr>
      <w:r>
        <w:rPr>
          <w:sz w:val="24"/>
        </w:rPr>
        <w:t xml:space="preserve"> </w:t>
      </w:r>
    </w:p>
    <w:p w:rsidR="00611878" w:rsidRDefault="00672C55">
      <w:pPr>
        <w:spacing w:after="36" w:line="366" w:lineRule="auto"/>
        <w:ind w:left="551" w:right="707" w:firstLine="461"/>
      </w:pPr>
      <w:r>
        <w:rPr>
          <w:sz w:val="24"/>
        </w:rPr>
        <w:t xml:space="preserve">Il metodo del questionario, o meglio della lettera a casa, per le indagini sui fenomeni di propaganda è ritenuta inattendibile già a partire dagli anni ’50. Lo psicologo Antonio Miotto, infatti, pur riconoscendo al metodo il merito di ottenere informazioni su larga scala, solleva un interrogativo sostanziale sull’attendibilità di queste analisi: </w:t>
      </w:r>
      <w:r>
        <w:rPr>
          <w:i/>
          <w:sz w:val="24"/>
        </w:rPr>
        <w:t>“Chi garantisce che la risposta non sia stata suggerita o scritta addirittura da un’altra persona (il figlio risponde per il padre e viceversa)? […]. Se si sceglie male il campione […] tutto il lavoro è perfettamente inutile”.</w:t>
      </w:r>
      <w:r>
        <w:rPr>
          <w:sz w:val="24"/>
          <w:vertAlign w:val="superscript"/>
        </w:rPr>
        <w:footnoteReference w:id="8"/>
      </w:r>
      <w:r>
        <w:rPr>
          <w:sz w:val="24"/>
        </w:rPr>
        <w:t xml:space="preserve"> Bisogna, inoltre, considerare che l'arco temporale che comprende le testimonianze, ne rende labile l'attendibilità. C'è, infatti, una differenza sostanziale tra una testimonianza resa a pochi mesi di distanza dall'evento e una redatta due decenni dopo. I ricordi cambiano, mutano, si trasformano in base alle proprie convinzioni, i particolari diventano sempre più labili, fino a cambiare, anche sulla base della propaganda esterna. Nell'analisi di questi testi, infatti, non si può prescindere dal considerare il contesto politico e sociale, dovuto alla Guerra Fredda contingente: una testimonianza resa nel 1965, ad esempio, risente fortemente della costruzione del Muro di Berlino e della conseguente divisione fisica e concettuale della Germania che identifica i sovietici (non più Stalin ma Chruščëv) come i primi colpevoli della separazione di intere famiglie. </w:t>
      </w:r>
    </w:p>
    <w:p w:rsidR="00611878" w:rsidRDefault="00672C55">
      <w:pPr>
        <w:spacing w:line="366" w:lineRule="auto"/>
        <w:ind w:left="561" w:right="707"/>
      </w:pPr>
      <w:r>
        <w:rPr>
          <w:sz w:val="24"/>
        </w:rPr>
        <w:t xml:space="preserve">  Spesso, sono le stesse donne a raccontare le loro difficoltà nel ricordare l’accaduto poiché allo scorrere del tempo si aggiunge il dolore del dover ricordare, anche se poi la narrazione si sussegue in un’alternanza di ricordi degli eventi e racconti degli stupri e delle violenze alle quali si è assistito, come fosse un unico flusso di pensieri </w:t>
      </w:r>
    </w:p>
    <w:p w:rsidR="00611878" w:rsidRDefault="00672C55">
      <w:pPr>
        <w:ind w:left="1438" w:right="706"/>
      </w:pPr>
      <w:r>
        <w:t xml:space="preserve">Oggi non mi è più possibile riferire tutte le esperienze spaventose e riesco appena a rappresentare con le parole tutte le impressioni, tutte le dure prove vissute allora, la miseria e la paura di morire. Diventerebbero tantissime pagine, volumi interi, se si volesse trattare singolarmente tutti gli eventi vissuti in questo periodo. Tuttavia, voglio riferirne alcuni fedelmente. Soltanto questo resoconto di morte [Todesanzeige] che in sè cela una massa di dolore e di sofferenza quasi insopportabile, dice già abbastanza. E questo è soltanto un destino fra i molti, quello della nostra famiglia, perché chissà quante famiglie ci sono nei territori orientali in cui sono verificati casi simili e perfino perdite peggiori. Il 9 febbraio 1945 i russi raggiunsero il nostro quartiere di Elbing, la mia città natale, all’incrocio tra Königsbergerstrasse e Hochstrasse. Dopo che i combattimenti più spaventosi furono terminati (è noto che Elbing è una delle città più distrutte dei territori orientali), credemmo di poter respirare e non immaginavamo ancora che da quel momento sarebbero iniziati per noi dolori molto più grandi. I russi ci avevano appena scoperti nel nostro piccolo bunker che avevamo </w:t>
      </w:r>
      <w:r>
        <w:lastRenderedPageBreak/>
        <w:t xml:space="preserve">costruito nel giardino, che subito cominciarono a saccheggiarci. Ci furono portati via orologi, valori, gioielli. Questo però non ci turbava, perchè noi tutti - eravamo circa 18 inquilini - eravamo completamente sfiniti e affamati e non avevamo potuto lasciare il bunker durante i bombardamenti che erano durati diversi giorni nel nostro quartiere. La nostra casa fu bruciata. Arrivò un russo ubriaco e pretese grappa, che naturalmente noi non avevamo. Pieno di rabbia, prese una bomba a mano e la gettò nel bunker che sarebbe inevitabilmente saltato in aria seppellendoci, se all’ingresso del bunker - che miracolo - non ci fosse stato un secchio d’acqua. La granata cadde infatti proprio in questo secchio d’acqua, fischiò, riempì il bunker di fumo e ferì solo quelli che erano più vicini all’ingresso, due dei quali in modo grave; questi ultimi furono uccisi dai russi con la pistola, fra cui mio zio Bernhard H. di 56 anni. Furono uccisi perchè non avevano più la forza di andare avanti; subito dopo fummo trascinati fuori dal bunker peggio degli animali. Così cominciò la via del dolore per molte migliaia di vecchi e giovani. Le persone furono concentrate e rinchiuse - proveniendo da tutte le strade e da tutte le case -, in prigione o in altri edifici pubblici. Noi, per esempio, fummo condotti nella Bergschule e dovemmo trascorrere là la notte. Fu orribile </w:t>
      </w:r>
    </w:p>
    <w:p w:rsidR="00611878" w:rsidRDefault="00672C55">
      <w:pPr>
        <w:spacing w:after="32"/>
        <w:ind w:left="1438" w:right="706"/>
      </w:pPr>
      <w:r>
        <w:t xml:space="preserve">[Grauenvoll]. Eravamo tutti stipati, uno accanto all’altro, tutti sfiniti, affamati. Alcuni mangiarono ancora qualcosa, la maggior parte però non aveva niente perchè non c’era stata alcuna possibilità di procurarsi da mangiare. Ancora credevamo, o meglio speravamo, che tutto ciò sarebbe finito presto e che saremmo stati di nuovo rimandati alle nostre case. Ci era stato promesso “cibo caldo”! Quale beffa, quanto a lungo la gran parte di noi non lo vide più, molti proprio mai più. La propria fame e i lamenti dei piccoli e degli adulti, che avevano fame e sete, erano insopportabili. Quando penso ai molti bambini che piangevano, ai miei piccoli di 2 e 3 anni (non c’è niente di più atroce che vedere i bambini piangere per fame), quando penso ad una partoriente senza alcun mezzo di sostegno, allora ancora oggi mi prende lo sconforto e l’orrore [grauen]. E allora cominciò veramente il peggio, il peggio che a noi donne potesse capitare. Fu sconvolgente quando riconoscemmo l’inimmaginabile: queste bestie [i sovietici, bestien] venivano senza sosta, illuminavano la stanza con le loro torce, prendevano le donne una dopo l’altra, non c’era nessun aiuto e non c’era neanche quasi alcuna donna alla quale fu risparmiato questo destino [Schicksal] di brutali violenze. Anch’io non sono stata risparmiata, così pure non furono risparmiate le mie povere sorelle, giovani ed inesperte e le molte donne e fanciulle che dovettero piegarsi se non volevano venire uccise. Se qualcuna si rifiutava di andare con loro, le veniva mostrata la pistola. Così trascorse la prima notte della “liberazione” da parte dei russi. La mattina l’intera massa umana fu condotta in città, donne e bambini in grandi gruppi separati dagli uomini. Era la mattina del 10 febbraio 1945, un giorno che rimarrà scolpito nella memoria per sempre. Io vedo tutto di fronte a me oggi come allora. Le scene strazianti che si svolsero allora non si possono riferire adeguatamente. Le mie due sorelle di 16 e 26 anni che avevano condotto con sé nostra madre, allora malata, furono separate da lei. Come potevamo solo immaginare che non ci saremmo più viste e lo stesso vale per mio padre che stava molto indietro nella fila degli uomini. Solo molto più tardi, quando avevamo lasciato Elbing, siamo venuti a sapere da amici e conoscenti tornati in patria, del calvario dei nostri poveri morti. Alcuni di loro, che erano con loro in Siberia, poterono soltanto comunicarci, che loro erano morti tutti, meglio detto, consumati [verendet]. Come risulta da quanto riferito, erano cadaveri ridotti a scheletri, ammassati in fosse comuni. Nessuno può comprendere quello che queste povere persone hanno dovuto soffrire. Io stessa sono sfuggita alla deportazione perchè tenni i miei due figli stretti in braccio quando i russi mi strattonarono. Fu un caso fortunato, perché anche il fatto di avere bambini non era un motivo di impedimento alla deportazione. Quante madri furono strappate via ai loro figli. Una giovane madre, dopo che aveva lasciato sul margine della strada il suo neonato morto di fame sul cuscino, mi cedette la sua carrozzina affinché io potessi riporvi mia figlia di un anno e mezzo, gravemente ammalata e mezza morta di fame (morì un anno più tardi per scorbuto hungerscorbut); ebbene, quella giovane madre fu immediatamente portata via dai russi. Lei chiamò, urlò chiamò - come tutte - sua madre, la quale si affrettava a soccorrerla, ma anche lei fu respinta e ricacciata via con colpi di calcio di fucile. Non potrò mai dimenticare per tutta la mia vita queste persone, giovani e forti, che allora appena si reggevano in piedi, alcune </w:t>
      </w:r>
      <w:r>
        <w:lastRenderedPageBreak/>
        <w:t xml:space="preserve">piangenti e lamentanti, altre completamente apatiche. Dopo che tutte le giovani ragazze e le donne furono separate con forza dal nostro gruppo, noi, quelle poche che rimanevamo, fummo condotte indietro nella città in fiamme. Riuscimmo ad arrivare sino al centro della città, dove io trovai rifugio presso una mia amica Edith K. I ripetuti stupri li voglio menzionare soltanto di sfuggita: queste molestie sembravano non avere fine. Eravamo allora un bel po’ di persone in questa casa e nelle settimane successive vivemmo nelle cantine in condizioni primitive, senza protezione, senza legge e senza diritti, esposti giorno e notte alla brutalità e all’arbitrio dei russi. I continui saccheggi non ci turbavano più, ma la paura costante di nuovi stupri ci paralizzava completamente (oggi ci si chiede come si sia potuto sopportare tutto questo). Le deportazioni proseguivano: quotidianamente si udivano le grida delle donne che imploravano aiuto, le quali venivano portate via dalle case, mentre si trovavano in cerca di cibo (si cercava infatti qualcosa da mangiare nelle cantine vuote o nelle abitazioni), oppure mentre si trovavano al pozzo a prendere l’acqua (le condutture di luce ed acqua erano ancora completamente distrutte). Io stessa vivevo sempre con la paura della morte perchè il pensiero di venire separata dai bambini era davvero il peggio che mi potesse capitare. E si era sempre e ovunque esposte al pericolo di essere rapite e deportate. Da qui in seguito voglio riferire come i russi eseguivano queste azioni di deportazione. Si era al Venerdì santo - i sovietici avevano una particolare preferenza nello scegliere questi giorni, o simili feste, o domeniche - quando la nostra strada fu improvvisamente bloccata. Si sentì fischiare e gridare da tutte e le parti e nel giro di pochi minuti tutte le case e i giardini furono accerchiati. Non si poteva perciò pensare di fuggire. Tutte le case furono perquisite da cima a fondo (soltanto chi ha vissuto qualcosa di simile può comprendere ciò che significa). Io riuscii all’ultimo istante a strisciare in un nascondiglio che avevo già predisposto per questo scopo (perchè questa non era la prima volta che avvenivano le retate). Là io aspettavo tremante e quasi priva di sensi, chiedendomi se stavolta [fine p. 382] sarei stata presa. Ma anche questa volta la passai liscia. Soltanto dalla nostra casa furono prese quattro donne (fra cui anche una madre di bambini piccoli; due di queste in seguito ritornarono a causa dell’età e delle malattie). Io riuscii appena a vedere - quando i russi lasciavano la casa, veloci così come vi erano arrivati, perchè una strada seguiva ad una altra e subito dopo questa veniva bloccata - una lunga fila di donne e ragazze, proprio in mezzo alla strada, piangenti; alcune di esse portavano con sè fagotti, altre con coperte e altre ancora persino senza un cappotto. Ed era freddo. Non dimenticherò anche questa triste corteo. Con i calci dei fucili, furono spinte avanti (e tremando io mi chiedevo quando sarebbe capitato a me). Poi venne il 20 aprile, anche quello un giorno di paura. Già da prima fummo raggiunte da voci. Ma il giorno trascorse tranquillo e noi eravamo fiduciose e ci mettemmo a dormire, tuttavia con i vestiti, perchè altrimenti non potevamo più stare tranquille. Nei casi di necessità si doveva per lo meno essere vestite, poi però venne una brutta notte. In questa notte ho visto appiccati sette grandi incendi. Di nuovo la casa era piena di russi. Sebbene noi avessimo messo delle assi per bloccare le porte della casa, loro erano improvvisamente là e stavolta non mi riuscì nemmeno di nascondermi. Stanca morta e piena di fame, come già si era, mancavano le forze anche per difendersi e ribellarsi. Pioveva a dirotto quando noi donne - lasciando indietro i bambini - fummo tutte portate fuori, tranne alcune persone anziane tra cui anche mia madre. Così mi rimase soltanto questa consolazione, cioè che entrambi i miei bambini piccoli per lo meno rimanevano al riparo con mia madre. Con il chiasso i bambini si erano svegliati e gridavano verso di me, mentre i russi già mi portavano via. Allora credevo che non sarei mai ritornata. Fu terribile e questo momento non è possibile riferirlo con le parole. Ma questo comportamento era abituale, quella notte fu un esempio di come i russi ci tormentavano [quälen] solamente per il selvaggio e il semplice desiderio di divertirsi. Ci portarono via facendoci passare presso numerosi focolai d’incendio, lasciando in ogni luogo un gruppo. Eravamo una lunga fila di donne, prese da un intero quartiere. E ci si stupiva che ci fossero ancora così tante le donne nel quartiere. Io stessa mi ritrovai all’interno di un gruppo che doveva rimanere nella Petristrasse. Lì bruciava una grande casa e noi dovemmo fermarci lì davanti. Da una parte la pioggia battente, dall’altra le fiamme alte, il crepitio, il calore insopportabile, la gran paura che la casa avrebbe potuto crollarci addosso. E improvvisamente i russi gridarono, fummo contate: una ogni dieci “avanzare” per essere uccise perchè i tedeschi </w:t>
      </w:r>
      <w:r>
        <w:lastRenderedPageBreak/>
        <w:t xml:space="preserve">avevano appiccato tutti questi incendi! Che folli, se un tedesco avesse osato mettere piede in strada durante la notte sarebbe stato ucciso dai soldati russi senza pietà. (E’impossibile trovare parole per questo, che cosa abbiamo provato in termini di tormento per quello che è successo). Mentre queste bestie contavano, altre sparavano sopra le nostre teste, si sentiva fischiare e esplosioni dappertutto e si creò una situazione di confusione generalizzata. Noi cercammo di fuggire ma senza speranza, perchè i russi ci avrebbero presto inseguite e accerchiate. Ancora oggi vedo davanti a me questo loro ghignare, queste smorfie demoniache; godevano della nostra paura folle, sapevano che eravamo indifese, poi ci colpirono improvvisamente con i calci dei loro fucili e ci urlarono che noi tutte dovevamo correre (sempre soltanto con parole spezzate, con tedesco stentato), altrimenti saremmo state uccise. Poi noi, stanche come eravamo allora, abbiamo corso pur di sopravvivere, finché non ci siamo sentite un po’ più sicure nell’oscurità. Erano le tre del mattino. Ci avevano portate fuori a mezzanotte. Alcuni di loro ci riportarono indietro, nella nostra strada, e non ci fecero più niente. Ogni volta, dopo una tale o simile esperienza, si crollava esauste. Nel corso di questo periodo eravamo diventate insensibili a queste e simili esperienze. Poi venne qualcosa che ci scosse di nuovo. Per lo meno per me fu così. Sotto la “guida” di una comunista tedesca e di suo marito, i quali dovevano aver ben fraternizzato con molti russi, fummo obbligate a seppellire i molti soldati tedeschi morti che giacevano sparsi in tutte le strade, case e cantine. Ancora oggi sarei in grado di andare là dove li abbiamo sepolti (all’inizio fra le lacrime, ma anche con quelle dovevamo andare prudenti, perchè non volevamo far arrabbiare le sentinelle). Ci era stato severamente vietato di prendere qualsiasi documento da questi cadaveri. Nemmeno quest’ultimo servizio potemmo prestare per questi poveri morti. A quanti che ancora oggi aspettano, si sarebbe potuto dare la notizia della loro morte. Io possiedo ancora un piccolo libro di preghiere di un soldato - purtroppo senza nome - che io presi quando noi seppellivamo i soldati; ci fu ordinato di seppellire un cadavere di cavallo con i soldati, un fatto così disumano. Si era talvolta quasi senza forze, provavamo compassione per questi morti e per i loro parenti che mai potemmo conoscere. In particolare è necessario citare un caso: nel cortile della Pestalozzischule (Logenstrasse) abbiamo seppellito circa 25 soldati. Questi poveri soldati erano stati gravemente feriti e giacevano nella cantina della scuola che doveva essere stata adibita a infermeria, in parte irrigiditi e contorti come in lotta contro la morte, in parte uno vicino o sopra l’altro. Era una visione sconvolgente. Alcuni portavano insopportabili segni di sfracellamento e ferite da arma da fuoco. Ancora oggi mi prende l’orrore se io rivedo davanti a me questo lago di sangue raggrumato. Tutti erano stati assassinati dai russi in modo bestiale. Nei cadaveri di due donne, che noi abbiamo seppellito, iaramente riconoscibile che erano state precedentemente stuprate e poi uccise con arma da fuoco, erano seminude, un’immagine straziante [ein Bild des Jammers]. Devono essersi difese e per questo devono essere state uccise. Ancora una cosa vorrei segnalare prima di arrivare alla conclusione. Ė vera e mi fu raccontata da una mia precedente vicina di casa (Frau P.) ancora nell’estate del 1945 ad Elbing. Nella Hochstrasse, di fronte alla piccola casa dei miei genitori </w:t>
      </w:r>
    </w:p>
    <w:p w:rsidR="00611878" w:rsidRDefault="00672C55">
      <w:pPr>
        <w:spacing w:after="37"/>
        <w:ind w:left="1438" w:right="706"/>
      </w:pPr>
      <w:r>
        <w:t xml:space="preserve">(che era stata bruciata durante i bombardamenti), c’era la casa a due piani della famiglia A. In questa casa si erano radunati un certo numero di vicini per aspettare la fine dei combattimenti nella città. Dopo la conquista della nostra città i russi trovarono un soldato russo morto che giaceva di fronte alla casa. Di lì a poco tutti gli uomini, che si trovavano nella cantina, furono rapidamente portati fuori e uccisi. Vorrei ricordare i nomi di alcuni che sono ancora nella mia memoria; li conoscevo sin dalla mia infanzia: 1) Sig. T., di circa 76 anni, 2) W., di circa 55, 3) P., di circa 56 (sua moglie è quella che mi raccontò questa vicenda), 4) A., di circa 62, 5) S., di circa 65, 6) S. (età sconosciuta). Inoltre, fra i morti, c’erano altri due uomini, i cui nomi non mi sono noti perchè non appartenevano alla cerchia dei nostri vicini. La casa poi fu subito dopo fatta saltare in aria dai russi (io stessa l’ho vista diroccata), senza riguardo per le donne e ragazze che ancora attendevano nella cantina. Quante di loro in quell’occasione ancora sono morte non lo so più. Due tombe - una giovane ragazza e una anziana donna - furono erette nel nostro giardino, nel campo di patate. Ho visto le tombe e la madre della ragazza che io vidi là mi raccontò piangendo del suo destino. Loro erano per strada, erano state sorprese dagli spari </w:t>
      </w:r>
      <w:r>
        <w:lastRenderedPageBreak/>
        <w:t>ed avevano cercato rifugio. Ogni singolo cittadino di Elbing può enumerare questi e altri infami crimini, e questa operazione non ha fine.</w:t>
      </w:r>
      <w:r>
        <w:rPr>
          <w:vertAlign w:val="superscript"/>
        </w:rPr>
        <w:footnoteReference w:id="9"/>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line="366" w:lineRule="auto"/>
        <w:ind w:left="561" w:right="707"/>
      </w:pPr>
      <w:r>
        <w:rPr>
          <w:sz w:val="24"/>
        </w:rPr>
        <w:t xml:space="preserve">Oltre alla difficoltà di ricordare, occorre evidenziare che in questa testimonianza la narratrice, pur essendo in età fertile potenzialmente attraente e, quindi, una potenziale vittima precisa che lei non è stata violentata. Eppure, ella racconta uno scenario apocalittico assolutamente attendibile e giustificato ma dando l’impressione di essere una semplice spettatrice degli eventi. La ricerca di superalcolici da parte dei russi che entrano nel suo rifugio testimonia dello stato alterato dei militari che, quindi, non sono in grado di scegliere le vittime delle violenze in modo “razionale” lasciandosi guidare dall’istinto. È evidente, però, che essendo questa una testimonianza destinata ad un pubblico, a dei lettori e ad un contesto istituzionale quale quello di un ministero è del tutto naturale che la donna voglia difendere la sua reputazione e quella delle sue sorelle. Inoltre, non si assiste a descrizioni del contesto, ma tutto rimane avvolto in una patina di mistero e violenza “impossibile da descrivere”. </w:t>
      </w:r>
    </w:p>
    <w:p w:rsidR="00611878" w:rsidRDefault="00672C55">
      <w:pPr>
        <w:spacing w:line="366" w:lineRule="auto"/>
        <w:ind w:left="561" w:right="707"/>
      </w:pPr>
      <w:r>
        <w:rPr>
          <w:sz w:val="24"/>
        </w:rPr>
        <w:t xml:space="preserve">  Al centro delle riflessioni della narratrice ci sono le donne, che però non sono tutte uguali: da un lato ci sono le vittime, dall’altro le carnefici. Un passaggio molto significativo in questo senso della testimonianza è sicuramente quello relativo al collaborazionismo, con la frase</w:t>
      </w:r>
      <w:r>
        <w:rPr>
          <w:i/>
          <w:sz w:val="24"/>
        </w:rPr>
        <w:t xml:space="preserve"> “sotto la “guida” di una comunista tedesca e di suo marito, i quali dovevano aver ben fraternizzato con molti russi, fummo obbligate a seppellire i molti soldati tedeschi morti”</w:t>
      </w:r>
      <w:r>
        <w:rPr>
          <w:sz w:val="24"/>
        </w:rPr>
        <w:t xml:space="preserve"> se delle vittime vengono riferiti nomi e cognomi, spesso anche dove abitassero, della delatrice non si sa nulla, solo che fosse </w:t>
      </w:r>
      <w:r>
        <w:rPr>
          <w:i/>
          <w:sz w:val="24"/>
        </w:rPr>
        <w:t>comunista</w:t>
      </w:r>
      <w:r>
        <w:rPr>
          <w:sz w:val="24"/>
        </w:rPr>
        <w:t xml:space="preserve">. Non è, quindi, chiaro se l’appartenenza politica della donna fosse accertata perché nota o se sia una deduzione postuma della testimone, dato il collaborazionismo con i sovietici. Infine, nonostante la presenza contemporanea del marito della donna all’azione, l’attenzione della testimone si concentra su di lei, da un lato perché tedesca, quindi traditrice, dall’altro perché è una donna che costringe altre donne ad un lavoro terribile come il sotterramento dei soldati.  </w:t>
      </w:r>
    </w:p>
    <w:p w:rsidR="00611878" w:rsidRDefault="00672C55">
      <w:pPr>
        <w:spacing w:line="366" w:lineRule="auto"/>
        <w:ind w:left="561" w:right="707"/>
      </w:pPr>
      <w:r>
        <w:rPr>
          <w:sz w:val="24"/>
        </w:rPr>
        <w:t xml:space="preserve">  Come sostiene Anna Bravo, inoltre, nella memorialistica femminile della seconda guerra mondiale si assiste ad una narrazione nuova, diversa. Il conflitto rappresenta anche la catarsi, il punto di passaggio fondamentale per quanto riguarda l’emancipazione femminile in Europa</w:t>
      </w:r>
      <w:r>
        <w:rPr>
          <w:sz w:val="24"/>
          <w:vertAlign w:val="superscript"/>
        </w:rPr>
        <w:footnoteReference w:id="10"/>
      </w:r>
      <w:r>
        <w:rPr>
          <w:sz w:val="24"/>
        </w:rPr>
        <w:t xml:space="preserve">. È chiaro, dunque, che all’interno delle testimonianze si trovano pochi riferimenti agli aspetti più specificamente femminili come la maternità, per lasciare ampio spazio alla narrazione del </w:t>
      </w:r>
      <w:r>
        <w:rPr>
          <w:sz w:val="24"/>
        </w:rPr>
        <w:lastRenderedPageBreak/>
        <w:t xml:space="preserve">lavoro e della vita quotidiana. È indispensabile, soprattutto nel ventennio successivo la fine del conflitto che le donne mostrino e dimostrino il loro saper fare, anche  in assenza dei tutori di sesso maschile. Per questo, i racconti parlano del lavoro, dei lavori, che in tempo di pace sarebbero spettati agli uomini, come il lavoro nei campi o quelli pesanti equiparabili allo sgombero delle macerie. Anche la difesa della prole, l’assalto e l’uccisione del nemico possono diventare prerogative femminili. La maternità, però deve essere messa da parte, perché da sempre considerata il punto debole delle donne.  </w:t>
      </w:r>
    </w:p>
    <w:p w:rsidR="00611878" w:rsidRDefault="00672C55">
      <w:pPr>
        <w:spacing w:after="32" w:line="366" w:lineRule="auto"/>
        <w:ind w:left="561" w:right="707"/>
      </w:pPr>
      <w:r>
        <w:rPr>
          <w:sz w:val="24"/>
        </w:rPr>
        <w:t xml:space="preserve">  Alla forte figura femminile se ne contrappone una maschile macilenta e passiva, molto lontana da quella eroica della Prima Guerra Mondiale. Soprattutto all’indomani del crollo del fronte orientale, i militari non vengono più identificati come i valorosi conquistatori che si battono per la grandezza del Reich, ma come dei soldatini incapaci di combattere, a volte descritti come dei traditori ed impiccati agli alberi come monito, altre volte bisognosi di cure e protezione. Non sono poche, infatti, le donne che si fanno carico dei feriti o dei disertori, che offrono loro rifugio e protezione, mettendo anche a rischio la propria vita. </w:t>
      </w:r>
    </w:p>
    <w:p w:rsidR="00611878" w:rsidRDefault="00672C55">
      <w:pPr>
        <w:spacing w:after="39" w:line="366" w:lineRule="auto"/>
        <w:ind w:left="561" w:right="707"/>
      </w:pPr>
      <w:r>
        <w:rPr>
          <w:sz w:val="24"/>
        </w:rPr>
        <w:t xml:space="preserve"> Nell’analisi e nella lettura delle differenti testimonianze, dunque, occorre considerare anche questi aspetti, oltre al tempo.  </w:t>
      </w:r>
    </w:p>
    <w:p w:rsidR="00611878" w:rsidRDefault="00672C55">
      <w:pPr>
        <w:spacing w:line="366" w:lineRule="auto"/>
        <w:ind w:left="561" w:right="707"/>
      </w:pPr>
      <w:r>
        <w:rPr>
          <w:sz w:val="24"/>
        </w:rPr>
        <w:t xml:space="preserve">  L’influenza dello scorrere del tempo e degli stereotipi radicati nelle testimonianze postume è evidenziata anche da Michela Ponzani nel suo testo </w:t>
      </w:r>
      <w:r>
        <w:rPr>
          <w:i/>
          <w:sz w:val="24"/>
        </w:rPr>
        <w:t>Guerra alle donne</w:t>
      </w:r>
      <w:r>
        <w:rPr>
          <w:sz w:val="24"/>
        </w:rPr>
        <w:t xml:space="preserve"> nel quale sottolinea: </w:t>
      </w:r>
    </w:p>
    <w:p w:rsidR="00611878" w:rsidRDefault="00672C55">
      <w:pPr>
        <w:ind w:left="1854" w:right="706"/>
      </w:pPr>
      <w:r>
        <w:t>Le donne sopravvissute al conflitto che scelgono di parlare dopo tanti anni, emergendo a fatica, da un antico processo di rimozione, non riescono però a estrapolare la matrice dei fatti di sangue dal mito pseudo storico del “cattivo tedesco” descritto come barbaro, sanguinario e insensibile.</w:t>
      </w:r>
      <w:r>
        <w:rPr>
          <w:vertAlign w:val="superscript"/>
        </w:rPr>
        <w:footnoteReference w:id="11"/>
      </w:r>
      <w:r>
        <w:t xml:space="preserve">  </w:t>
      </w:r>
    </w:p>
    <w:p w:rsidR="00611878" w:rsidRDefault="00672C55">
      <w:pPr>
        <w:spacing w:after="0" w:line="259" w:lineRule="auto"/>
        <w:ind w:left="1844" w:right="0" w:firstLine="0"/>
        <w:jc w:val="left"/>
      </w:pPr>
      <w:r>
        <w:t xml:space="preserve"> </w:t>
      </w:r>
    </w:p>
    <w:p w:rsidR="00611878" w:rsidRDefault="00672C55">
      <w:pPr>
        <w:spacing w:after="33" w:line="366" w:lineRule="auto"/>
        <w:ind w:left="561" w:right="707"/>
      </w:pPr>
      <w:r>
        <w:rPr>
          <w:sz w:val="24"/>
        </w:rPr>
        <w:t xml:space="preserve">  Gli stereotipi dunque, si fissano nella mente dei sopravvissuti e spesso costituiscono il binario che guida i ricordi degli uomini e delle donne, inconsapevolmente. </w:t>
      </w:r>
    </w:p>
    <w:p w:rsidR="00611878" w:rsidRDefault="00672C55">
      <w:pPr>
        <w:spacing w:after="34" w:line="366" w:lineRule="auto"/>
        <w:ind w:left="551" w:right="707" w:firstLine="708"/>
      </w:pPr>
      <w:r>
        <w:rPr>
          <w:sz w:val="24"/>
        </w:rPr>
        <w:t xml:space="preserve">Anche i racconti e i diari scritti nell’immediatezza degli eventi, però, possono portare dei dubbi. Una testimonianza resa poco tempo dopo il fatto è da un lato più attendibile, ma dall'altro può essere alterata dalla vergogna. Prova ne è che in molti racconti le violenze sessuali riguardano "le altre" e mai le narratrici: ammettere di aver subito uno stupro avrebbe potuto segnare per sempre la vita di una donna, impedendole di trovare un uomo disposto ad accogliere una donna di "seconda mano", o ripudiare una signora già sposata. Inoltre, la politica nazista del ripopolamento delle aree orientali del Reich, per la creazione di un esercito imbattibile, composto esclusivamente da ariani, aveva convinto le donne della necessità di non </w:t>
      </w:r>
      <w:r>
        <w:rPr>
          <w:sz w:val="24"/>
        </w:rPr>
        <w:lastRenderedPageBreak/>
        <w:t xml:space="preserve">sposare persone di razze inferiori, iniziata con la </w:t>
      </w:r>
      <w:r>
        <w:rPr>
          <w:i/>
          <w:sz w:val="24"/>
        </w:rPr>
        <w:t>Legge per la salute ereditaria del sangue tedesco</w:t>
      </w:r>
      <w:r>
        <w:rPr>
          <w:sz w:val="24"/>
        </w:rPr>
        <w:t xml:space="preserve">, la Terza Legge di </w:t>
      </w:r>
    </w:p>
    <w:p w:rsidR="00611878" w:rsidRDefault="00672C55">
      <w:pPr>
        <w:spacing w:line="366" w:lineRule="auto"/>
        <w:ind w:left="561" w:right="707"/>
      </w:pPr>
      <w:r>
        <w:rPr>
          <w:sz w:val="24"/>
        </w:rPr>
        <w:t xml:space="preserve">Norimberga varata nell’ottobre 1935, che fa seguito alle prime due adottate in settembre, la </w:t>
      </w:r>
      <w:r>
        <w:rPr>
          <w:i/>
          <w:sz w:val="24"/>
        </w:rPr>
        <w:t>Legge sulla cittadinanza</w:t>
      </w:r>
      <w:r>
        <w:rPr>
          <w:sz w:val="24"/>
        </w:rPr>
        <w:t xml:space="preserve"> e la </w:t>
      </w:r>
      <w:r>
        <w:rPr>
          <w:i/>
          <w:sz w:val="24"/>
        </w:rPr>
        <w:t>Legge per la difesa del sangue</w:t>
      </w:r>
      <w:r>
        <w:rPr>
          <w:sz w:val="24"/>
        </w:rPr>
        <w:t xml:space="preserve"> </w:t>
      </w:r>
      <w:r>
        <w:rPr>
          <w:i/>
          <w:sz w:val="24"/>
        </w:rPr>
        <w:t>e dell’onore tedesco</w:t>
      </w:r>
      <w:r>
        <w:rPr>
          <w:sz w:val="24"/>
        </w:rPr>
        <w:t xml:space="preserve">.  </w:t>
      </w:r>
    </w:p>
    <w:p w:rsidR="00611878" w:rsidRDefault="00672C55">
      <w:pPr>
        <w:spacing w:line="366" w:lineRule="auto"/>
        <w:ind w:left="551" w:right="707" w:firstLine="708"/>
      </w:pPr>
      <w:r>
        <w:rPr>
          <w:sz w:val="24"/>
        </w:rPr>
        <w:t xml:space="preserve">Secondo i progetti di Himmler, la popolazione doveva incrementarsi ad un ritmo costante ed andava riconsiderato l’intero diritto di famiglia: nei suoi piani c’era l’abolizione della monogamia per tutti i membri delle SS che, selezionati all’origine, sarebbero stati più liberi di procreare a piacimento. Tutto questo rientrava in pieno nella visione nazista del mondo nella quale l’uomo è il guerriero pronto a sacrificare la propria vita per la Patria, lottando per la supremazia </w:t>
      </w:r>
      <w:r>
        <w:rPr>
          <w:i/>
          <w:sz w:val="24"/>
        </w:rPr>
        <w:t>über alles</w:t>
      </w:r>
      <w:r>
        <w:rPr>
          <w:sz w:val="24"/>
        </w:rPr>
        <w:t>, mentre la donna era colei che doveva preservare e far sviluppare ovuli</w:t>
      </w:r>
      <w:r w:rsidR="00886D63">
        <w:rPr>
          <w:rStyle w:val="Rimandonotaapidipagina"/>
          <w:sz w:val="24"/>
        </w:rPr>
        <w:footnoteReference w:id="12"/>
      </w:r>
      <w:r>
        <w:rPr>
          <w:sz w:val="24"/>
        </w:rPr>
        <w:t xml:space="preserve">. Questa è una </w:t>
      </w:r>
      <w:r>
        <w:rPr>
          <w:i/>
          <w:sz w:val="24"/>
        </w:rPr>
        <w:t>conditio sine qua non</w:t>
      </w:r>
      <w:r>
        <w:rPr>
          <w:sz w:val="24"/>
        </w:rPr>
        <w:t xml:space="preserve"> per comprendere il contesto sociale nel quale si inseriscono le testimonianze. </w:t>
      </w:r>
    </w:p>
    <w:p w:rsidR="00611878" w:rsidRDefault="00672C55">
      <w:pPr>
        <w:spacing w:line="366" w:lineRule="auto"/>
        <w:ind w:left="551" w:right="707" w:firstLine="708"/>
      </w:pPr>
      <w:r>
        <w:rPr>
          <w:sz w:val="24"/>
        </w:rPr>
        <w:t xml:space="preserve">L'Ostdokumentation I si compone di testi redatti in risposta al questionario inviato dal Bundesministerium fur Vertriebene (Ministero per i profughi). Nel 1952 il ministero stabilisce di mettere ordine al materiale e pubblicare una raccolta dal titolo </w:t>
      </w:r>
      <w:r>
        <w:rPr>
          <w:i/>
          <w:sz w:val="24"/>
        </w:rPr>
        <w:t xml:space="preserve">Die Vertreibung der Deutschen aus Ost-Mitteleuropa. </w:t>
      </w:r>
      <w:r>
        <w:rPr>
          <w:sz w:val="24"/>
        </w:rPr>
        <w:t xml:space="preserve">Il ministero, successivamente, ha istituito una commissione di esperti guidati dal Professor Schieder dell'Università di Colonia, aiutato dal Professor Diestelkamp fino alla sua morte. L'obbiettivo era quello di collezionare esperienze di vita sulla catastrofe del 1945, nel tentativo di avere una rappresentazione obbiettiva della realtà. Il loro lavoro dura fino al 31 marzo 1956. </w:t>
      </w:r>
    </w:p>
    <w:p w:rsidR="00611878" w:rsidRDefault="00672C55">
      <w:pPr>
        <w:spacing w:line="366" w:lineRule="auto"/>
        <w:ind w:left="551" w:right="707" w:firstLine="720"/>
      </w:pPr>
      <w:r>
        <w:rPr>
          <w:sz w:val="24"/>
        </w:rPr>
        <w:t xml:space="preserve">Le domande del questionario sono stabilite asetticamente in una stanza, per quanto redatte da uno specialista. Questo crea un problema di interpretazione e di l'attendibilità dei testi. Scrivere sapendo che qualcuno leggerà quelle risposte porta a voler compiacere il destinatario del testo o comunque inviare un messaggio implicito a qualcuno, mentre una pagina di diario, è scritta per sé, senza secondi fini, semplicemente per registrare i fatti avvenuti.  </w:t>
      </w:r>
    </w:p>
    <w:p w:rsidR="00611878" w:rsidRDefault="00672C55">
      <w:pPr>
        <w:spacing w:line="366" w:lineRule="auto"/>
        <w:ind w:left="551" w:right="707" w:firstLine="720"/>
      </w:pPr>
      <w:r>
        <w:rPr>
          <w:sz w:val="24"/>
        </w:rPr>
        <w:t xml:space="preserve">Le 13 domande del questionario sono vaghe, generiche, per la necessaria esigenza di essere valide per tutti i profughi, senza tener conto delle specificità territoriale e storica della regione di provenienza: </w:t>
      </w:r>
    </w:p>
    <w:p w:rsidR="00611878" w:rsidRDefault="00672C55">
      <w:pPr>
        <w:numPr>
          <w:ilvl w:val="0"/>
          <w:numId w:val="2"/>
        </w:numPr>
        <w:ind w:right="706" w:hanging="401"/>
      </w:pPr>
      <w:r>
        <w:t xml:space="preserve">Su quale distretto di origine,  comunità o luogo è la Sua testimonianza? </w:t>
      </w:r>
    </w:p>
    <w:p w:rsidR="00611878" w:rsidRDefault="00672C55">
      <w:pPr>
        <w:numPr>
          <w:ilvl w:val="0"/>
          <w:numId w:val="2"/>
        </w:numPr>
        <w:ind w:right="706" w:hanging="401"/>
      </w:pPr>
      <w:r>
        <w:t xml:space="preserve">Ingresso dei nemici: in quale giorno, da quale direzione, con quale battaglione entrarono per la prima volta i nemici nel suo distretto di origine? </w:t>
      </w:r>
    </w:p>
    <w:p w:rsidR="00611878" w:rsidRDefault="00672C55">
      <w:pPr>
        <w:numPr>
          <w:ilvl w:val="0"/>
          <w:numId w:val="2"/>
        </w:numPr>
        <w:ind w:right="706" w:hanging="401"/>
      </w:pPr>
      <w:r>
        <w:lastRenderedPageBreak/>
        <w:t xml:space="preserve">Difesa e battaglia: c'è stata una battaglia nel suo distretto? Da quale reparto delle truppe tedesche siete stati difesi (fanteria, medici, mezzi corazzati, aeronautica, brigata del popolo, HitlerJugend)? Le truppe sovietiche sono penetrante nel suo territorio velocemente e senza alcuna opposizione? </w:t>
      </w:r>
    </w:p>
    <w:p w:rsidR="00611878" w:rsidRDefault="00672C55">
      <w:pPr>
        <w:numPr>
          <w:ilvl w:val="0"/>
          <w:numId w:val="2"/>
        </w:numPr>
        <w:ind w:right="706" w:hanging="401"/>
      </w:pPr>
      <w:r>
        <w:t xml:space="preserve">Occupazione: il suo distretto è stato occupato e posto sotto il controllo delle truppe sovietiche? </w:t>
      </w:r>
    </w:p>
    <w:p w:rsidR="00611878" w:rsidRDefault="00672C55">
      <w:pPr>
        <w:numPr>
          <w:ilvl w:val="0"/>
          <w:numId w:val="2"/>
        </w:numPr>
        <w:ind w:right="706" w:hanging="401"/>
      </w:pPr>
      <w:r>
        <w:t xml:space="preserve">Distruzione: cosa è stato distrutto nel suo territorio? </w:t>
      </w:r>
    </w:p>
    <w:p w:rsidR="00611878" w:rsidRDefault="00672C55">
      <w:pPr>
        <w:numPr>
          <w:ilvl w:val="0"/>
          <w:numId w:val="2"/>
        </w:numPr>
        <w:ind w:right="706" w:hanging="401"/>
      </w:pPr>
      <w:r>
        <w:t xml:space="preserve">Organizzazione degli spazi: quando è con che criterio è stato ordinato il suo distretto? Vi è stato concesso di mettervi in sicurezza o siete stati arruolati dall'esercito sovietico? </w:t>
      </w:r>
    </w:p>
    <w:p w:rsidR="00611878" w:rsidRDefault="00672C55" w:rsidP="00D806E2">
      <w:pPr>
        <w:numPr>
          <w:ilvl w:val="0"/>
          <w:numId w:val="2"/>
        </w:numPr>
        <w:spacing w:after="0"/>
        <w:ind w:left="1832" w:right="709" w:hanging="403"/>
      </w:pPr>
      <w:r>
        <w:t xml:space="preserve">Via di fuga: quando e in che modo è avvenuta l'evacuazione del suo distretto? Verso dove sono stati indirizzati i civili? Quali luoghi sono stati attraversati? Quante persone sono tornate indietro? A quante persone sono state portate direttamente ad ovest? Quante persone hanno deciso di affrontare il viaggio verso ovest? Quante persone sono morte nel suo distretto? </w:t>
      </w:r>
    </w:p>
    <w:p w:rsidR="00611878" w:rsidRDefault="00672C55">
      <w:pPr>
        <w:numPr>
          <w:ilvl w:val="0"/>
          <w:numId w:val="3"/>
        </w:numPr>
        <w:ind w:right="706" w:hanging="401"/>
      </w:pPr>
      <w:r>
        <w:t xml:space="preserve">Convogli nemici: i convogli nemici sono stati presi da altri distretti? Da dove venivano, dove si sono stanziati e che modo, quante perdite hanno avuto? </w:t>
      </w:r>
    </w:p>
    <w:p w:rsidR="00611878" w:rsidRDefault="00672C55">
      <w:pPr>
        <w:numPr>
          <w:ilvl w:val="0"/>
          <w:numId w:val="3"/>
        </w:numPr>
        <w:ind w:right="706" w:hanging="401"/>
      </w:pPr>
      <w:r>
        <w:t xml:space="preserve">Occupazione polacca: quando è iniziata l'occupazione polacca nel vostro territorio? Quali effetti ha avuto?  </w:t>
      </w:r>
    </w:p>
    <w:p w:rsidR="00611878" w:rsidRDefault="00672C55">
      <w:pPr>
        <w:numPr>
          <w:ilvl w:val="0"/>
          <w:numId w:val="3"/>
        </w:numPr>
        <w:ind w:right="706" w:hanging="401"/>
      </w:pPr>
      <w:r>
        <w:t xml:space="preserve">Crimini gravi: sono stati commessi crimini gravissimi da parte dei polacchi o dei russi (ad esempio esecuzioni di massa)? Quando, dove e con quale mezzi?  </w:t>
      </w:r>
    </w:p>
    <w:p w:rsidR="00611878" w:rsidRDefault="00672C55">
      <w:pPr>
        <w:numPr>
          <w:ilvl w:val="0"/>
          <w:numId w:val="3"/>
        </w:numPr>
        <w:ind w:right="706" w:hanging="401"/>
      </w:pPr>
      <w:r>
        <w:t xml:space="preserve">Campi di concentramento: quando, dove è attraverso chi sono stati costruiti nel vostro territorio? Esistono ancora? Erano parte dell'occupazione? </w:t>
      </w:r>
    </w:p>
    <w:p w:rsidR="00611878" w:rsidRDefault="00672C55">
      <w:pPr>
        <w:numPr>
          <w:ilvl w:val="0"/>
          <w:numId w:val="3"/>
        </w:numPr>
        <w:ind w:right="706" w:hanging="401"/>
      </w:pPr>
      <w:r>
        <w:t xml:space="preserve">Manifesti: c'erano manifesti o chiamata alle armi al fianco delle truppe sovietiche o polacche? Può consegnarne eventualmente qualche copia? </w:t>
      </w:r>
    </w:p>
    <w:p w:rsidR="00611878" w:rsidRDefault="00672C55">
      <w:pPr>
        <w:numPr>
          <w:ilvl w:val="0"/>
          <w:numId w:val="3"/>
        </w:numPr>
        <w:spacing w:after="45"/>
        <w:ind w:right="706" w:hanging="401"/>
      </w:pPr>
      <w:r>
        <w:t>Raccolta dei racconti: possiede racconti relativi al suo territorio, il suo luogo di nascita, lettere o documenti fotografici e così via? Chi può possedere qualche materiale? O racconti sulla città natale?</w:t>
      </w:r>
      <w:r w:rsidR="00886D63">
        <w:rPr>
          <w:rStyle w:val="Rimandonotaapidipagina"/>
        </w:rPr>
        <w:footnoteReference w:id="13"/>
      </w:r>
    </w:p>
    <w:p w:rsidR="00611878" w:rsidRDefault="00672C55" w:rsidP="00886D63">
      <w:pPr>
        <w:spacing w:after="349" w:line="366" w:lineRule="auto"/>
        <w:ind w:left="551" w:right="707" w:firstLine="401"/>
      </w:pPr>
      <w:r>
        <w:rPr>
          <w:sz w:val="24"/>
        </w:rPr>
        <w:lastRenderedPageBreak/>
        <w:t xml:space="preserve">Tra tutte le domande del questionario è molto interessante la numero 10 perché oltre all’utilizzo dell’aggettivo </w:t>
      </w:r>
      <w:r>
        <w:rPr>
          <w:i/>
          <w:sz w:val="24"/>
        </w:rPr>
        <w:t xml:space="preserve">schwere </w:t>
      </w:r>
      <w:r>
        <w:rPr>
          <w:sz w:val="24"/>
        </w:rPr>
        <w:t>per definire i crimini commessi dai sovietici, si fa anche l’esempio di una possibile risposta, la strage, prassi abbas</w:t>
      </w:r>
      <w:r w:rsidR="00886D63">
        <w:rPr>
          <w:sz w:val="24"/>
        </w:rPr>
        <w:t xml:space="preserve">tanza comune in tempo di guerra </w:t>
      </w:r>
      <w:r>
        <w:rPr>
          <w:sz w:val="24"/>
        </w:rPr>
        <w:t xml:space="preserve">soprattutto in fase di conquista del territorio nemico.  </w:t>
      </w:r>
    </w:p>
    <w:p w:rsidR="00611878" w:rsidRDefault="00672C55">
      <w:pPr>
        <w:spacing w:line="366" w:lineRule="auto"/>
        <w:ind w:left="551" w:right="707" w:firstLine="401"/>
      </w:pPr>
      <w:r>
        <w:rPr>
          <w:sz w:val="24"/>
        </w:rPr>
        <w:t xml:space="preserve">La Ostdokumentation II, invece, si compone di testi a redazione libera che possono essere sia pagine di diario sia testimonianze postume. È interessante notare l'atteggiamento di coloro che ricevevano la lettera da parte del Ministero che li invitava a inviare una loro testimonianza: molti di questi testi iniziano con un caloroso ringraziamento al funzionario che aveva inviato loro la richiesta. Dopo la Seconda Guerra Mondiale, molti mettono nel cassetto della memoria la loro storia, convinti che a nessuno possa interessare il loro bagaglio di esperienza, di tragedia, di sofferenza; convinzione ancor più radicata dopo gli orrori mostrati al mondo dai Processi di Norimberga. </w:t>
      </w:r>
    </w:p>
    <w:p w:rsidR="00611878" w:rsidRDefault="00672C55">
      <w:pPr>
        <w:spacing w:line="366" w:lineRule="auto"/>
        <w:ind w:left="551" w:right="707" w:firstLine="404"/>
      </w:pPr>
      <w:r>
        <w:rPr>
          <w:sz w:val="24"/>
        </w:rPr>
        <w:t xml:space="preserve"> Pur senza metterne in dubbio la complessiva fondatezza, le 18.000 testimonianze conservate nel Bundesarchiv di Bayreuth evidenziano alterazioni della realtà tali da rendere molto complessa l'interpretazione storiografica e l'attendibilità di molti testi. Il primo dubbio sorge dal testo di una testimonianza riportata da Matteo Ermacora nel suo breve saggio </w:t>
      </w:r>
      <w:r>
        <w:rPr>
          <w:i/>
          <w:sz w:val="24"/>
        </w:rPr>
        <w:t>Dorothea e le altre</w:t>
      </w:r>
      <w:r>
        <w:rPr>
          <w:sz w:val="24"/>
        </w:rPr>
        <w:t xml:space="preserve">: </w:t>
      </w:r>
    </w:p>
    <w:p w:rsidR="00611878" w:rsidRDefault="00672C55">
      <w:pPr>
        <w:ind w:left="1854" w:right="706"/>
      </w:pPr>
      <w:r>
        <w:t xml:space="preserve">Nella fuga dai Bolscevichi [die Bolschewisten], i miei bambini si ammalarono, il mio unico figlio maschio morì e così rimasi sola con mia suocera. Per non mettere in ulteriore pericolo la vita delle mie tre figlie, rimasi a Gletkau presso Danzica da mia sorella. Qui sono sopravvissuta all’ingresso dei russi. Solo pochi soldati tedeschi avevano difeso Zoppot. Fra Zoppot e Danzica si trovava un'unica mitragliatrice. Durante la notte improvvisamente udimmo dall’altoparlante queste parole: “qui parla Radio Mosca, siamo appena entrati a Zoppot e marciamo verso Danzica e Gotenhafen, deponete le armi e pensate alla vita delle vostre donne e bambini. Vi assicuriamo la vita e la libertà!”. Allora noi guardammo fuori dalle finestre e ci accorgemmo che i bolscevichi in tutta tranquillità, senza incontrare resistenza, avevano occupato Zoppot. La mattina seguente i bolscevichi bombardarono Gletkau, sebbene da parte tedesca non fosse partito alcun colpo. Noi </w:t>
      </w:r>
      <w:r>
        <w:lastRenderedPageBreak/>
        <w:t xml:space="preserve">risiedevamo tutti nella cantina della casa di mia sorella. Diverse granate colpirono la nostra casa e la distrussero completamente. Io strisciai fuori dalla finestra della cantina e vidi circa 100 carri armati proprio davanti a me; gridai ai Bolscevichi che lì si trovavano soltanto donne e bambini. Diversi Bolscevichi saltarono fuori dai panzer e si gettarono, armati di asce, verso la nostra casa. Io strisciai indietro attraverso la finestra e urlai: “Arrivano i russi”. I russi sfasciarono le porte con le asce ed entrarono urlando continuamente “Vodka”; noi stavamo sedute come impietrite, in un angolo, mentre i russi distruggevano le nostre casse e valige. Presero tutto quello che c’era di valore, e ciò che non gli piaceva lo calpestarono. La sera prima una vicina ci aveva pregato di prendersi cura di lei, noi ci recammo in casa della signora, una certa signora F. Quando arrivammo, proprio in quel momento i russi aprirono il garage della villa; qui si era nascosto un mitragliere tedesco e uscì fuori con le mani alzate: il russo che stava più avanti girò la sua carabina e lo colpi con il calcio di fucile sulla testa, cosicché lo sventurato cadde a terra svenuto. Gli altri russi lo liquidarono con alcuni colpi. Nella cantina della villa trovammo la signora F., un vecchio medico e la sua domestica trentenne; sul pavimento della cantina giaceva il cadavere in una pozza di sangue di una giovane a cui i russi avevano tagliato la pancia. Si era difesa quando i russi volevano violentarla. Atterrita da questo orribile gesto di violenza, la domestica del medico aveva dovuto subire le violenze dei soldati; circa 25 uomini avevano abusato di lei [sich an ihr vergangen, fine pag. 61]. Quando noi, ancora attoniti, fummo consapevoli di tutto questo orrore, comparvero di nuovo dei russi nella cantina e mi ordinarono di seguirli. Io presi il mio bambino più piccolo di 10 mesi e andai con i soldati. Giunta in un’altra stanza della cantina, vidi un ufficiale su una sedia che si faceva dare della grappa da un soldato con un cucchiaio. </w:t>
      </w:r>
    </w:p>
    <w:p w:rsidR="00611878" w:rsidRDefault="00672C55">
      <w:pPr>
        <w:spacing w:after="32"/>
        <w:ind w:left="1854" w:right="706"/>
      </w:pPr>
      <w:r>
        <w:t xml:space="preserve">Il soldato che mi aveva preso mi ordinò di sedermi in braccio all’ufficiale mentre un altro cercava di strapparmi via il bambino. Ci fu una lotta violenta, ma io non lasciai andare il mio bambino che piangeva; in polacco dissi all’ufficiale che era un miserabile e di vergognarsi dei suoi gradi perchè davanti ai suoi occhi i suoi soldati facevano quello che volevano. Queste parole sembrarono ferire il suo orgoglio e ordinò di rilasciarmi. Barcollando, ritornai indietro nella cantina, quando comparvero nuovamente i russi. Nella mano avevano delle mostrine di ufficiale tedesco e affermarono di aver trovato queste mostrine: “Tuo marito è ufficiale” mi urlarono. Io riconobbi per mia fortuna che sotto alle mostrine non c’era il giallo della cavalleria che portava mio marito bensì il giallo chiaro dei reparti di trasmissione. Ciò mi diede coraggio. Compresi che i soldati volevano solamente vendicarsi di me perchè in precedenza li avevo umiliati e così mi ordinarono di seguirli. Io presi i miei tre bambini per mano e andai fuori con i soldati così come loro richiedevano. Fuori mi spiegarono che avrei dovuto essere uccisa. I miei due figli più grandi lo capirono e implorarono di accelerare la fucilazione affinché lo strazio avesse fine; io gridai ai russi che erano degli straccioni e che non erano soldati e che mia avevano messo di soppiatto le mostrine nella carrozzina. Avevo già capito che solo questo genere di tono e di accuse avevano effetto sui russi. Arrivarono altri russi e dissero ai loro commilitoni che ero proprio una polacca perché gli abitanti di Danzica non parlano il polacco. “Lasciatela quindi andare”, aggiunsero, ed effettivamente i miei aguzzini [peiniger] mi lasciarono bestemmiando. Nonostante questo, non poteva esserci ancora pace. Il già citato ufficiale entrò, vide che mia suocera aveva addosso una giacca di pelle e pretese subito che se la togliesse; a me ordinò di cucire sopra questa giacca i suoi gradi. Io gli risposi che non avevo niente per cucire. Quindi lui si portò presso di sé un soldato il quale dovette attaccargli i gradi. Poco dopo i russi marciarono oltre e noi utilizzammo questa quiete temporanea per lasciare questo luogo, perchè temevamo la vendetta dei russi. Credevamo anche che saremmo stati più sicuri nella più popolosa Zoppot. Nel breve tragitto tra Gletkau e Zoppot giacevano diverse donne uccise con le gonne sollevate. Mia suocera si avvicinò ad una delle donne e le mise in ordine i vestiti: presto fischiarono alcune pallottole verso di noi. Sembrava che gli assassini [Mörder] non potessero sopportare che ci si accostasse alle loro vittime. Così proseguimmo rapidamente verso Zoppot, dovemmo però riconoscere [fine pag. 62] di essere cadute </w:t>
      </w:r>
      <w:r>
        <w:lastRenderedPageBreak/>
        <w:t xml:space="preserve">dalla padella nella brace. Alcune volte singoli soldati dell’Armata Rossa [rotarmisten] cercarono di spingerci nelle case ma poiché noi eravamo un insieme piuttosto numeroso di persone ci lasciarono, intimoriti dalle luce del sole e dalle grida dei bambini. Ci recammo nella casa dove abitava mia sorella sposata, che era già piena di donne; la gioia per il nostro arrivo fu grande poiché ciò rafforzò in loro un certo senso di sicurezza. Eravamo appena arrivate quando arrivò un impiegato del Nkvd, arrestò un vecchio medico così come tutti gli altri uomini che incontrarono. La notte successiva entrò un ufficiale e pretese una donna. Poiché naturalmente nessuna di noi si muoveva, minacciò di mandare i suoi soldati e poi effettivamente concretizzò la sua minaccia. E poco dopo sette soldati entrarono dentro con le braghe calate nella nostra abitazione, agitarono le armi per spingerci ad alzarci; in questo momento critico entrò un uomo che parlava perfettamente tedesco, un russo biondo, di bell’aspetto, e mandò fuori i soldati immediatamente. La banda [die Bande] si recò poi in una stanza accanto, dove abitava un ex soldato tedesco cui erano stati amputati entrambi i piedi con sua moglie e i suoi sei figli. Lo sfortunato fu colpito fino a perdere la conoscenza poiché non voleva lasciare sua moglie. L’orda disumana [entmenschte Horde] prese la donna e la portò fuori tirandola per i piedi, cosicché la sventurata batteva sempre con la nuca sul terreno. Semiincosciente, fu violentata da tutti e sette gli uomini dopo che per primo, l’ufficiale del gruppo, l’aveva violentata. Ora ringraziamo il nostro salvatore che non pretese niente per il suo gesto. Vedevamo con favore che si sviluppasse una relazione tra lui e una giovane vedova che era nel nostro gruppo. Così il giovane russo rimase tra di noi anche nel periodo successivo e ci difese da tutti gli intrusi. Non abbiamo mai capito per quale motivo i soldati russi si facessero condizionare da un singolo. Io credo che non fosse nient’altro che la soggezione degli slavi di fronte ad una presenza forte, energica. Il giorno successivo venne una donna conoscente nella nostra casa e ci raccontò in preda al panico che la sua figlia maggiore era stata uccisa. Circa 70 russi l’avevano violentata uno dietro l’altro, quando poi alla fine se ne andarono si era rifugiata in chiesa, dove sperava di trovare pace ma un russo l’aveva vista era corso dietro di lei e l’aveva massacrata per la rabbia pensando che lei volesse sfuggirgli. Poi, gli insaziabili russi avevano voluto buttarsi sulla sua figlioletta di 10 anni: avevano già strappato alla bambina i vestiti dal corpo; in questo momento cruciale la madre si era offerta a loro; i dissoluti avevano alla fine accettato questo scambio. Lo stesso giorno mi si offrì un quadro spaventoso: in una angolo della casa stava una giovane donna che sanguinava dalle mani e dai piedi; dopo diverse domande, venni a sapere dalla sventurata le più raccapriccianti atrocità [die schaurigsten Greueltaten] che io a mia volta avevo vissuto. La giovane aveva voluto difendersi con tutte le forze dalla violenza; allora per questo era stata gettata sul pavimento di legno e inchiodata a questo mani e piedi. Ridendo e cantando i demoni bestiali [die vertierten Unholde] si erano poi disposti amichevolmente verso la crocifissa e l’avevano lasciata lì [fine pag. 63]. Solo dopo alcune ore una vecchia l’aveva liberata dalla terribile situazione. Da ogni parte, quasi ad ogni ora, arrivavano donne che portavano simili annunci funesti. (Quando io allora arrivai a Danzica, un certo dottor S., un noto pediatra, protesse la mia seconda figlia da un destino simile, così come mio figlio, ora morto. Lo avevo incontrato ancora alcuni giorni prima dell’arrivo dei russi nella città; si era trovato in un grande conflitto di coscienza; doveva fuggire con la sua famiglia oppure doveva rimanere - qui, dove sarebbe stato utile, necessario? Lui era rimasto per compiere il suo dovere. Ancor più mi scosse la notizia che lui si era avvelenato assieme alla sua famiglia. Questo mi spinse verso la sua abitazione, e vidi l’intero quadro spaventoso; uno sopra l’altro incrociati, sul pavimento, c’erano i cadaveri dei due genitori e dei quattro bambini che ancor pochi giorni prima avevo visto giocare in strada. Una donna mi raccontò come si era svolto questo dramma. I soldati russi erano entrati e avevano voluto violentare la moglie del medico; quando suo marito si oppose, lo bloccarono e violentarono sua moglie senza nessun pudore, davanti ai suoi occhi. Nella più profonda disperazione ed abbattimento si erano poi avvelenati). Parallelamente agli stupri sistematici si verificava il sistematico incendio di intere strade; l’incantevole </w:t>
      </w:r>
      <w:r>
        <w:lastRenderedPageBreak/>
        <w:t>Seestrasse di Zoppot venne quasi completamente incendiata. Mi doleva il cuore quando io dovetti assistere ad una spedizione incendiaria: un gruppo di soldati andava di casa in casa e dietro alla squadra in movimento ogni volta si vedeva salire una colonna di fuoco verso il cielo. Da ultimo andò in fiamme il stabilimento di cura. Progressivamente i rapporti si normalizzarono un po’, ma accadde ancora che i soldati russi apparissero come un orda selvaggia [wilde Horde]. Sembravano avere una gioia infantile nel travestirsi e andavano in giro con cappelli da signora, in uniforme del partito nazista o anche in pigiama. Un giorno noi, sorprese, aprimmo le finestre quando udimmo il passo delle colonne di soldati in marcia. Si offrì un quadro impressionante. In ordine impeccabile, allineati, camminavano infinite colonne della Wehrmacht prigionieri dei russi. Erano 70 mila uomini che avrebbero dovuto essere imbarcati ad Hela e che invece dovettero arrendersi perché non c’erano navi. In questo periodo noi soffrimmo una fame atroce, e dovevamo sicuramente essere sembrati agli occhi di questi soldati affamate ed emaciate perché in modo compassionevole i soldati sovietici ci gettarono del cibo che noi, riconoscenti, accettammo. I russi avevano fatto ai soldati tedeschi grandi promesse nel caso in cui si fossero consegnati volontariamente: un buon trattamento, il rispetto della proprietà privata, la liberazione a breve termine. Tuttavia noi ormai conoscevamo i russi: la gran parte di loro non avrebbe mai più rivisto la patria. Purtroppo non sbagliammo; già nel campo di Narvik, in cui i prigionieri furono condotti, essi furono saccheggiati pesantemente e ridotti in mutande; dopo pochi giorni, quando rividi alcuni soldati, erano quasi irriconoscibili: erano soltanto delle figure ridotte agli stracci, piegate, curve, con guance incavate, trasandati, senza alcuna fiducia di riuscire a sopravvivere a questa vita di stenti. Dopo pochi mesi più del 75% di essi deve essere morto. Questo sembra essere il metodo per uccidere gli uomini.</w:t>
      </w:r>
      <w:r>
        <w:rPr>
          <w:vertAlign w:val="superscript"/>
        </w:rPr>
        <w:footnoteReference w:id="14"/>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line="366" w:lineRule="auto"/>
        <w:ind w:left="551" w:right="707" w:firstLine="401"/>
      </w:pPr>
      <w:r>
        <w:rPr>
          <w:sz w:val="24"/>
        </w:rPr>
        <w:t xml:space="preserve">Questo testo contiene palesemente delle alterazioni della realtà. Innanzitutto, il numero dei russi stupratori, come se un gruppo notevole di soldati occupanti di un piccolo paese potesse accanirsi su un'unica donna; inoltre, è quantomeno improbabile che una ragazza violentata da 70 persone sia in condizione di alzarsi e compiere una qualsivoglia azione. In realtà, la vittima dovrebbe avere un'emorragia, che le impedirebbe qualunque movimento. Per quanto riguarda la giovane crocefissa, avendo i piedi martoriati dai chiodi, non avrebbe potuto camminare e, successivamente, avrebbe dovuto contrarre la setticemia, data dalla presenza di ferro arrugginito.  </w:t>
      </w:r>
    </w:p>
    <w:p w:rsidR="00611878" w:rsidRDefault="00672C55">
      <w:pPr>
        <w:spacing w:after="47" w:line="357" w:lineRule="auto"/>
        <w:ind w:left="566" w:right="705" w:firstLine="401"/>
      </w:pPr>
      <w:r>
        <w:rPr>
          <w:sz w:val="24"/>
        </w:rPr>
        <w:t>Questo documento richiama l’attenzione, inoltre, su un elemento ricorrente nelle violenze di guerra e ottimamente analizzato da Alberto Mario Banti: l'uso simbolico del corpo della donna. Lo studioso sottolinea infatti la scelta iconografica, dalla Marianna in poi, di rappresentare la Patria con la figura di una donna combattente ma materna, che da la vita e difende i suoi figli. Questa concezione della Nazione-Donna giustifica lo stupro di guerra e l'accanimento dei militari sul corpo ed in particolare sul ventre delle vittime; il che aiuta a comprendere l'accanimento sul ventre delle donne e su eventuali feti, come testimoniato nel passaggio della precedente testimonianza “</w:t>
      </w:r>
      <w:r>
        <w:rPr>
          <w:i/>
          <w:sz w:val="24"/>
        </w:rPr>
        <w:t xml:space="preserve">Nella cantina della villa trovammo la signora F., un </w:t>
      </w:r>
      <w:r>
        <w:rPr>
          <w:i/>
          <w:sz w:val="24"/>
        </w:rPr>
        <w:lastRenderedPageBreak/>
        <w:t>vecchio medico e la sua domestica trentenne; sul pavimento della cantina giaceva il cadavere in una pozza di sangue di una giovane a cui i russi avevano tagliato la pancia. Si era difesa quando i russi volevano violentarla. Atterrita da questo orribile gesto di violenza, la domestica del medico aveva dovuto subire le violenze dei soldati; circa 25 uomini avevano abusato di lei [sich an ihr vergangen, fine pag. 61]. Quando noi, ancora attoniti, fummo consapevoli di tutto questo orrore, comparvero di nuovo dei russi nella cantina e mi ordinarono di seguirli. Io presi il mio bambino più piccolo di 10 mesi e andai con i soldati.</w:t>
      </w:r>
      <w:r>
        <w:rPr>
          <w:i/>
          <w:sz w:val="24"/>
          <w:vertAlign w:val="superscript"/>
        </w:rPr>
        <w:footnoteReference w:id="15"/>
      </w:r>
      <w:r>
        <w:rPr>
          <w:sz w:val="24"/>
        </w:rPr>
        <w:t xml:space="preserve"> </w:t>
      </w:r>
    </w:p>
    <w:p w:rsidR="00611878" w:rsidRDefault="00672C55">
      <w:pPr>
        <w:spacing w:after="93" w:line="259" w:lineRule="auto"/>
        <w:ind w:left="978" w:right="707"/>
      </w:pPr>
      <w:r>
        <w:rPr>
          <w:sz w:val="24"/>
        </w:rPr>
        <w:t xml:space="preserve">Anche la testimonianza di Charlotte P. suscita dubbi analoghi: </w:t>
      </w:r>
    </w:p>
    <w:p w:rsidR="00611878" w:rsidRDefault="00672C55">
      <w:pPr>
        <w:spacing w:after="30"/>
        <w:ind w:left="1854" w:right="706"/>
      </w:pPr>
      <w:r>
        <w:t xml:space="preserve">Fino al momento del crollo del fronte abitavo a Riesenburg, in Prussia Occidentale (Kreis Rosenberg). Non avevamo figli. Nel gennaio 1945, quando fu dato l’ordine di evacuazione generale, sono fuggita insieme con mia sorella verso Danzica (mio marito era in guerra). </w:t>
      </w:r>
    </w:p>
    <w:p w:rsidR="00611878" w:rsidRDefault="00672C55">
      <w:pPr>
        <w:ind w:left="1854" w:right="706"/>
      </w:pPr>
      <w:r>
        <w:t xml:space="preserve">Da là siamo state dirette verso Putzig, dove nel marzo 1945 ho vissuto l’ingresso dei russi. In questo giorno cominciò il calvario e il dramma delle donne tedesche che caddero nelle mani di questi esseri disumani [Unmenschen]. Come fossero animali, i soldati russi si gettarono sulle donne tedesche di ogni età. Giorno e notte eravamo esposte agli stupri. Non ci deve essere stata quasi nessuna donna che sfuggì a questi tormenti, se non nel caso in cui si fosse tolta la vita. Non voglio andare oltre nella descrizione delle mie esperienze vissute a Putzig, preferirei invece descrivere ciò che ho vissuto durante la fuga da Putzig verso Stolp, attraverso Neustadt/Westpreussen. Per sfuggire agli stupri disumani di ufficiali e soldati russi, mi apprestai con altre 70 donne e alcuni anziani e bambini ad andare a piedi verso Neustadt e oltre verso ovest. Quando noi all’inizio del marzo del 1945, uscimmo da Putzig, il clima era ancora invernale, il clima rigido si alternava con forti scrosci di pioggia. Nel primo giorno di marcia verso sera arrivammo poco lontano da Rheda, in un piccolo villaggio poco distante da questa località. Sostavamo poco lontano dalla strada principale. </w:t>
      </w:r>
    </w:p>
    <w:p w:rsidR="00611878" w:rsidRDefault="00672C55">
      <w:pPr>
        <w:ind w:left="1854" w:right="706"/>
      </w:pPr>
      <w:r>
        <w:t xml:space="preserve">Un anziano uomo del nostro gruppo andò avanti per vedere se potevamo rifugiarci da qualche parte. Questo luogo, come tutti i villaggi e i borghi di questo territorio, era pieno di soldati russi. Un ufficiale russo ci venne incontro improvvisamente e, dopo un breve interrogatorio, ci fece rifugiare in una vecchia scuola. Qui noi trovammo perlomeno protezione dalla pioggia che cadde forte nel pomeriggio. In piena emergenza cercammo di coprire le finestre rotte e ci sistemammo tutti insieme in una grande stanza. Ma non durò a lungo, si era già fatto buio, quando iniziarono le solite visite dei soldati russi, ben note fin dai tempi di Putzig. Illuminarono con le torce la stanza, presero e portarono fuori con la forza le loro vittime, cercando col calcio del fucile e con le minacce di far cessare le loro resistenze. Nonostante forti resistenze da parte nostra, fummo tutte violentate in riga. Anche una dodicenne che si trovava con noi non fu risparmiata, così perfino alcune donne anziane (fino a 70 anni). L’età media dei soldati russi deve essere stata circa di 18 anni. Il suono gutturale di “Frau komm” mi risuona ancora nelle orecchie. La stessa notte (gli stupri durarono tutta la notte, diverse donne furono violentate fino a 40 volte), verso l’una e un quarto fu portata fuori anche la moglie di un farmacista che si trovava lì. Il marito farmacista, un mutilato di guerra cui era stata amputata la gamba destra fino al femore e che aveva affrontato la marcia con due stampelle, cercò di opporsi allo stupro di sua moglie. Ricevette un colpo alla schiena col calcio del fucile, cosa che lo fece cadere al suolo. Poi fu portato via dall’ufficiale russo, che era già comparso con altri due nella caccia alle donne. Mentre il terzo soldato portò via la donna, l’ufficiale costrinse l’uomo a </w:t>
      </w:r>
      <w:r>
        <w:lastRenderedPageBreak/>
        <w:t xml:space="preserve">mettersi contro una quercia di fronte alla scuola e gli sparò brutalmente. Sebbene fosse ancora notte fonda, [fine p. 174] riuscimmo a riconoscere dalla nostra stanza i dettagli di questo orribile assassinio. </w:t>
      </w:r>
    </w:p>
    <w:p w:rsidR="00611878" w:rsidRDefault="00672C55">
      <w:pPr>
        <w:ind w:left="1854" w:right="706"/>
      </w:pPr>
      <w:r>
        <w:t xml:space="preserve">Il giorno dopo trovammo il farmacista ancora ai piedi dell’albero. Era morto. Sua moglie quella mattina vide sconvolta quell’orribile scena. Aveva dovuto passare tutta la notte in compagnia dell’ufficiale. Questo aveva messo una guardia di fronte alla porta, per impedire che potesse scappare. Non potemmo seppellire l’uomo, ma fummo cacciate indietro a botte e a colpi di calcio di fucile. Il nome della vittima non mi è purtroppo noto. So soltanto che veniva chiamato “Paul” da sua moglie e che probabilmente veniva dalla Prussia occidentale. Ripartimmo nuovamente per giungere a Neustadt/Westpreussen attraverso neve e poltiglia, con una scarsa alimentazione e vestiario inadeguato. Le difficoltà furono terribili. Per strada soldati russi a cavallo ci molestarono continuamente, prendevano questa o quella fra noi donne, ci gettavano sul bordo della strada e ci violentavano. In queste occasioni fummo anche private delle ultime cose che avevamo con noi. Quando noi dovemmo passare per un villaggio distante circa 6-8 chilometri che era stato fortificato, furono prese due giovani ragazze che facevano parte della carovana, di età tra i 18 e 21 anni. Anche qui purtroppo non ricordo più i nomi. Provenivano tuttavia dai dintorni di Marieburger. I genitori che si trovavano nel nostro gruppo non volevano lasciare le loro figlie in questa situazione. Ogni preghiera e supplica, per lo meno di poter rimanere in questo luogo, fu inutile. Con colpi di arma da fuoco per intimidirli, furono obbligati a rimettersi in marcia, mentre le ragazze venivano trattenute. A Neustadt fummo catturati dagli occupanti russi. I primi 8 giorni li passammo in una grande casa in pietra. Qui, (come già prima), servimmo da selvaggina per ufficiali e soldati. Con mezzi assai brutali ci obbligarono a esaudire i loro desideri sessuali. Dopo circa 14 giorni fummo consegnati ai polacchi. Fummo consegnate con circa 200 donne alla prigione di quel luogo che era sotto amministrazione polacca; qui dovemmo subire una periodo di sofferenza di tre settimane; con circa 34 donne fummo obbligate a rimanere in una cella di circa 15 metri quadrati. Con un alimentazione scarsa (due sottili fette di pane e un bicchiere d’acqua al giorno), così come in impossibili condizioni sanitarie (potevamo uscire soltanto in momenti determinati ecc.) eravamo più vicini alla morte che alla vita. Al posto del pranzo ricevevamo regolarmente venti colpi di manganello. Il guardiano che era responsabile della nostra cella sembrava essere un tedesco, parlava però fluentemente anche il polacco. Ci disse di nascosto che lui si era prestato a ciò soltanto per poter sopravvivere; così ci picchiava soltanto quando arrivava il controllo polacco (cosa che avveniva ogni tre giorni). Questo era del resto il compito di un polacco disumano il quale fu sempre chiamato dal nostro guardiano il “signor J.”. Correva voce fra noi prigionieri che numerosi compagni di prigionia, donne e uomini (questi ultimi del resto sono stati sempre maltrattati separatamente nella cantina della prigione), venivano regolarmente colpiti a morte da diversi guardiani. Alcuni membri delle SS arrestati, che si trovavano in prigione, ricevevano 50 colpi di manganello: le grida dei maltrattati si udivano ogni giorno nell’intero edificio. Nel momento in cui avvenivano scene di violenza, noi dovevamo sempre metterci su uno sgabello. Un giorno, può essere stato metà o fine aprile, sono stata rilasciata dalla prigione insieme ad altre 300 donne. Prima tuttavia ci era stata dipinta sui vestiti una grande croce uncinata con i colori ad olio. Davanti alla prigione fummo subito prese in consegna da un gruppo di russi (28 soldati e due ufficiali) [fine p. 175]. Si marciò a piedi fino a Stolp/Pommern e, come ci fu detto, da lì dovevamo essere trasportati in Siberia; la marcia era molto faticosa, tuttavia fummo rifocillati dai russi in modo relativamente abbondante. Una volta al giorno una cucina da campo mobile preparava un pasto caldo e caffé. Eravamo anche in qualche modo sicure per quanto riguarda le abituali molestie. Dopo circa otto giorni giungemmo a Stolp, e da quella località era già partito un trasporto di civili per la Siberia; pertanto noi donne per prima cosa fummo messe al lavoro presso i presidi russi; nel frattempo un abitante di Stolp, che era riuscito a fuggire da quel trasporto diretto in Siberia, ci riferì che alle numerose donne di questo convoglio erano stati tagliati i capelli. All’inizio del mese </w:t>
      </w:r>
      <w:r>
        <w:lastRenderedPageBreak/>
        <w:t xml:space="preserve">di maggio del 1945 un ufficiale ebreo mi disse (ero impiegata come cuoca) che non sarebbero partiti ulteriori convogli per la Siberia, perché a quanto pareva l’America non li autorizzava più. Pochi giorni più tardi sono stata ufficialmente lasciata andare via da questo presidio russo. Poiché circolavano delle voci secondo le quali i profughi avrebbero dovuto ritornare nei loro luoghi d’origine, decisi di mettermi a mia volta in marcia verso casa. Arrivai sino a Zezenow-Kreis Stolp/Pommern. Qui la popolazione tedesca era ancora relativamente numerosa. A causa della forte presenza in questa zona da parte delle truppe russe, cercai invano di uscire da Zezenow, ma era troppo rischioso per le donne muoversi sulla Landstrasse. Dappertutto c’erano soldati sovietici che ammassavano il bestiame e requisivano beni dei tedeschi; in queste situazioni i russi caricavano tutte le persone che potevano servire come forza lavoro da utilizzare in Russia. Volevo evitare ciò ad ogni costo, per questo tornai sui miei passi verso Zezenow. Quando ero lì ormai da tre giorni, io ero alloggiata presso il contadino H., una sera vennero nel villaggio nuove truppe. I soldati si sparpagliarono presto come d’abitudine, andando a caccia delle donne presenti in ogni angolo, in ogni stalla o granaio. Nel caseggiato dove vivevo c’erano ancora alcune profughe, fra cui una ventisettenne con la figlia di 2 anni di nome Ingrid. Appena vedemmo i soldati entrare nel caseggiato, ci precipitammo fuori dalla finestra verso il bosco lì appresso, solo questa giovane donna, che era impegnata a preparare qualcosa da mangiare alla propria figlioletta, non riuscì a fuggire in tempo. Rimase in casa anche un’anziana signora, una certa signora N. Quando il giorno dopo la situazione sembrò più tranquilla, osammo uscire dal bosco ed entrammo con grande cautela nel caseggiato. </w:t>
      </w:r>
    </w:p>
    <w:p w:rsidR="00611878" w:rsidRDefault="00672C55">
      <w:pPr>
        <w:spacing w:after="43"/>
        <w:ind w:left="1854" w:right="706"/>
      </w:pPr>
      <w:r>
        <w:t xml:space="preserve">L’anziana signora N. ci disse che i russi avevano portata via la giovane donna la sera precedente e che non era ancora tornata. La piccola bambina piangeva forte e chiamava la madre. Spinta da brutti presentimenti, mi misi alla ricerca della donna. Per prima cosa andai d’istinto in un fienile, le cui porte erano del tutto aperte. Con mio grande orrore trovai la donna nel fienile con la schiena su un tavolo, nuda, con i piedi e le mani legati. La chiamai, dovetti poi constatare che era morta. Era stata atrocemente violentata. La biancheria era coperta completamente dal sangue. Dietro di me arrivo subito dopo la anziana signora N., che fu così testimone di questo orribile crimine. Prese una pala e una coperta e noi seppellimmo la giovane uccisa proprio subito dietro il fienile. La piccola figlia fu presa con sé dalla signora N. Più tardi lei proseguì a piedi in direzione di Stolp. Due giorni dopo arrivavano continuamente nuove truppe nel villaggio [fine p. 176]; durante una perquisizione dei caseggiati, 15 uomini di Stolp, i quali avevano fatto parte della Volkssturm, erano stati trovati fuori da un granaio. Gli uomini della Volkssturm furono obbligati a scavare una fossa dietro al granaio dai sei soldati russi che li avevano scovati. Gli uomini, fra cui vi erano delle persone piuttosto anziane, dovettero mettersi sul bordo della fossa e furono poi uccisi da due soldati con i mitra. Gli uomini della Volkssturm caddero dentro la fossa. I sovietici sputarono ancora sui cadaveri e si divisero fra di loro i valori che avevano sottratto ai fucilati (orologi, anelli, ecc.). Saltarono sui loro carretti, cantarono inni al loro atto di eroismo e se ne andarono via in fretta. La guardia forestale di Zezenow deve aver preso e portato via i documenti delle persone uccise per poi consegnarli ai parenti dei defunti. Alla sera, un ufficiale sovietico prese dal fienile del contadino R. un altro tedesco, doveva essere un SS di circa 18 anni. Io mi trovavo proprio nel cortile a fianco e sentii come il giovane supplicava i russi di risparmiarlo; io vidi inoltre come l’ufficiale russo tenesse il giovane uomo per il bavero della giacca, lo schiacciava contro la parete del fienile e, da distanza ravvicinata, lo uccideva con un colpo di pistola. Il giovane cadde a terra. Il giorno successivo fu seppellito. Nei giorni seguenti le donne del villaggio furono prese e portate al lavoro. Io dovetti lavorare in una distilleria di Zezenow insieme ad una giovane ragazza di nome Frida K., originaria di Rastenburg. Il direttore lituano della distilleria, Oskar W., ci disse che nessun russo, in base ad un ordine del comando, era autorizzato ad entrare nella distilleria. Un giorno mi trovavo con la mia compagna in leggi cantina (era l’aprile del 1946) per vuotare i contenitori pieni di alcol; due ufficiali russi entrarono nella distilleria </w:t>
      </w:r>
      <w:r>
        <w:lastRenderedPageBreak/>
        <w:t>attraverso la porta che accidentalmente era rimasta aperta. Si precipitarono subito in cantina, si gettarono sopra di noi, ci misero un fazzoletto in bocca per impedirci di gridare e ci stuprarono. Io riuscii tuttavia a liberarmi del fazzoletto e a gridare. Fu allora che uno degli ufficiali afferrò una damigiana di 60 litri piena di alcol e rovesciò l’alcol su di noi; l’altro ufficiale, rapidamente, accese un fiammifero e lo gettò nell’alcol fuoriuscito. In pochi secondi l’alcol si infiammò e noi subimmo pesanti ustioni alle gambe. Con fatica e grandi difficoltà riuscimmo a uscire fuori. Il lituano che ci aveva sentito gridare, corse in cantina per cercarci e a sua volta subì grandi ustioni. Noi due donne andammo subito all’ospedaletto di Poblotsk. Passarono sette mesi prima di essere guarite completamente. In questi mesi constatai anche che in seguito alle continue violenze sessuali ero incinta. Nel gennaio 1947 lasciai Zezenow e fui caricata su un treno di profughi diretto verso la zona orientale della Germania. Da lì mi recai a Brema-Lilienthal dai miei genitori..</w:t>
      </w:r>
      <w:r>
        <w:rPr>
          <w:vertAlign w:val="superscript"/>
        </w:rPr>
        <w:footnoteReference w:id="16"/>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51" w:right="707" w:firstLine="401"/>
      </w:pPr>
      <w:r>
        <w:rPr>
          <w:sz w:val="24"/>
        </w:rPr>
        <w:t>La prima domanda che sorge nel leggere questa testimonianza è: quanti soldati russi occupavano il villaggio? Erano tutti ragazzi allo sbando e senza comando? Infatti, l'affermazione che "gli stupri durarono tutta la notte, diverse donne furono violentate fino a 40 volte",</w:t>
      </w:r>
      <w:r>
        <w:rPr>
          <w:i/>
          <w:sz w:val="24"/>
        </w:rPr>
        <w:t xml:space="preserve"> </w:t>
      </w:r>
      <w:r>
        <w:rPr>
          <w:sz w:val="24"/>
        </w:rPr>
        <w:t>implica la presenza di molte decine di uomini, presumibilmente in grado di avere più di un rapporto sessuale in un breve arco temporale e non viene specificato se ci sono vittime. È, infatti, poco probabile che donne di varia età, anche avanzata, subiscano violenze ripetute senza perdere la vita o avere conseguenze degne di essere ricordate in un testo così dettagliato. Altre testimonianze, molto meno precise, testimoniano di come fosse facile morire sotto le grinfie dei soldati sovietici: “La signora Amanda J. (38 anni) fu molestata e stuprata così pesantemente dai sovietici che morì qualche giorno dopo per le conseguenze riportate”.</w:t>
      </w:r>
      <w:r>
        <w:rPr>
          <w:sz w:val="24"/>
          <w:vertAlign w:val="superscript"/>
        </w:rPr>
        <w:footnoteReference w:id="17"/>
      </w:r>
      <w:r>
        <w:rPr>
          <w:sz w:val="24"/>
        </w:rPr>
        <w:t xml:space="preserve"> </w:t>
      </w:r>
    </w:p>
    <w:p w:rsidR="00611878" w:rsidRDefault="00672C55">
      <w:pPr>
        <w:spacing w:line="366" w:lineRule="auto"/>
        <w:ind w:left="551" w:right="707" w:firstLine="401"/>
      </w:pPr>
      <w:r>
        <w:rPr>
          <w:sz w:val="24"/>
        </w:rPr>
        <w:t xml:space="preserve">Ci possono essere tanti fattori che alterano la memoria. Da un lato la vergogna per la violenza subita, dall'altro il tempo che ha deformato i ricordi, rendendoli più cupi, aumentando, in un climax ascendente, la barbarie subita. Una spiegazione può essere quella proposta da Norbert Potzl, secondo il quale la propaganda nazionalsocialista sul concetto di </w:t>
      </w:r>
      <w:r>
        <w:rPr>
          <w:i/>
          <w:sz w:val="24"/>
        </w:rPr>
        <w:t>Untermenschen</w:t>
      </w:r>
      <w:r>
        <w:rPr>
          <w:sz w:val="24"/>
        </w:rPr>
        <w:t xml:space="preserve"> crea pregiudizi anche nei confronti degli Ostdeutsche che, una volta emigrati all'interno dei confini della Germania postbellica, venivano chiamati in modo dispregiativo </w:t>
      </w:r>
      <w:r>
        <w:rPr>
          <w:i/>
          <w:sz w:val="24"/>
        </w:rPr>
        <w:t>Kartoffelkäfer,</w:t>
      </w:r>
      <w:r>
        <w:rPr>
          <w:sz w:val="24"/>
        </w:rPr>
        <w:t xml:space="preserve"> </w:t>
      </w:r>
      <w:r>
        <w:rPr>
          <w:i/>
          <w:sz w:val="24"/>
        </w:rPr>
        <w:t>Wildschwein,</w:t>
      </w:r>
      <w:r>
        <w:rPr>
          <w:sz w:val="24"/>
        </w:rPr>
        <w:t xml:space="preserve"> </w:t>
      </w:r>
      <w:r>
        <w:rPr>
          <w:i/>
          <w:sz w:val="24"/>
        </w:rPr>
        <w:t>die Fluchtlinge.</w:t>
      </w:r>
      <w:r>
        <w:rPr>
          <w:sz w:val="24"/>
        </w:rPr>
        <w:t xml:space="preserve"> Si spiegherebbero così i numeri esagerati delle violenze subite, quasi un modo per giustificare il proprio viaggio della speranza, una sorta di colpa da espiare e spiegare. Nello stesso senso si può annoverare l'analisi di Andreas Kossert, storico dell'Europa Orientale, che nel suo </w:t>
      </w:r>
      <w:r>
        <w:rPr>
          <w:i/>
          <w:sz w:val="24"/>
        </w:rPr>
        <w:t>Die deutsche im Osten Europa</w:t>
      </w:r>
      <w:r>
        <w:rPr>
          <w:sz w:val="24"/>
        </w:rPr>
        <w:t xml:space="preserve"> definisce la Germania, intesa come i tedeschi all'interno dei confini, una</w:t>
      </w:r>
      <w:r>
        <w:rPr>
          <w:i/>
          <w:sz w:val="24"/>
        </w:rPr>
        <w:t xml:space="preserve"> "kalte Heimat",</w:t>
      </w:r>
      <w:r>
        <w:rPr>
          <w:sz w:val="24"/>
        </w:rPr>
        <w:t xml:space="preserve"> una patria fredda, inospitale: accettare ed accogliere i profughi avrebbe significato implicitamente accettare la sconfitta della guerra. Né </w:t>
      </w:r>
      <w:r>
        <w:rPr>
          <w:sz w:val="24"/>
        </w:rPr>
        <w:lastRenderedPageBreak/>
        <w:t>si trattava di presenze trascurabili: negli ultimi anni di guerra, i profughi tedeschi erano circa 5 milioni, ai quali se ne aggiungono 7 tra il 1945-1948 a causa delle espulsioni dalla</w:t>
      </w:r>
      <w:r>
        <w:rPr>
          <w:b/>
          <w:sz w:val="24"/>
        </w:rPr>
        <w:t xml:space="preserve"> </w:t>
      </w:r>
      <w:r>
        <w:rPr>
          <w:sz w:val="24"/>
        </w:rPr>
        <w:t>Romania, dall’Ungheria, dalla Polonia e dalla Cecoslovacchia.</w:t>
      </w:r>
      <w:r>
        <w:rPr>
          <w:sz w:val="24"/>
          <w:vertAlign w:val="superscript"/>
        </w:rPr>
        <w:footnoteReference w:id="18"/>
      </w:r>
      <w:r>
        <w:rPr>
          <w:sz w:val="24"/>
        </w:rPr>
        <w:t xml:space="preserve"> </w:t>
      </w:r>
    </w:p>
    <w:p w:rsidR="00611878" w:rsidRDefault="00672C55">
      <w:pPr>
        <w:spacing w:line="366" w:lineRule="auto"/>
        <w:ind w:left="551" w:right="707" w:firstLine="720"/>
      </w:pPr>
      <w:r>
        <w:rPr>
          <w:sz w:val="24"/>
        </w:rPr>
        <w:t xml:space="preserve">Anche la testimonianza di un maggiore sovietico riportata da Guido Knopp nel suo </w:t>
      </w:r>
      <w:r>
        <w:rPr>
          <w:i/>
          <w:sz w:val="24"/>
        </w:rPr>
        <w:t>Tedeschi in fuga</w:t>
      </w:r>
      <w:r>
        <w:rPr>
          <w:sz w:val="24"/>
        </w:rPr>
        <w:t xml:space="preserve"> contrasta con i racconti dell'archivio di Bayreuth: </w:t>
      </w:r>
    </w:p>
    <w:p w:rsidR="00611878" w:rsidRDefault="00672C55">
      <w:pPr>
        <w:spacing w:after="27"/>
        <w:ind w:left="1854" w:right="706"/>
      </w:pPr>
      <w:r>
        <w:t>In Polonia ci sono stati una serie di episodi spiacevoli, ma per quanto riguarda le donne era stata imposta una disciplina severa. Rubavano moltissimo, e rapinavano, questo si. I nostri ragazzi andavano pazzi per gli orologi da polso, questo non lo contesto. Però gli stupri di massa sono cominciati solo quando i nostri soldati sono arrivati in Germania.</w:t>
      </w:r>
      <w:r>
        <w:rPr>
          <w:vertAlign w:val="superscript"/>
        </w:rPr>
        <w:footnoteReference w:id="19"/>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51" w:right="707" w:firstLine="720"/>
      </w:pPr>
      <w:r>
        <w:rPr>
          <w:sz w:val="24"/>
        </w:rPr>
        <w:t>Uwe Klußmann sostiene inoltre che i soldati dell'Armata Rossa abbiano subito un vero shock nell'entrare</w:t>
      </w:r>
      <w:r>
        <w:rPr>
          <w:b/>
          <w:sz w:val="24"/>
        </w:rPr>
        <w:t xml:space="preserve"> </w:t>
      </w:r>
      <w:r>
        <w:rPr>
          <w:sz w:val="24"/>
        </w:rPr>
        <w:t xml:space="preserve">nelle città e nelle case dei tedeschi, dove trovavano un lusso del quale non conoscevano neanche l'esistenza. Forse per questo, Stalin era così accondiscendente con le truppe che saccheggiavano e distruggevano le case. Questo è un elemento ulteriore per comprendere come l’ingresso sul territorio tedesco sia determinante nel determinare la differenza di atteggiamento delle truppe nei confronti dei civili.        </w:t>
      </w:r>
    </w:p>
    <w:p w:rsidR="00611878" w:rsidRDefault="00672C55">
      <w:pPr>
        <w:spacing w:line="366" w:lineRule="auto"/>
        <w:ind w:left="561" w:right="707"/>
      </w:pPr>
      <w:r>
        <w:rPr>
          <w:sz w:val="24"/>
        </w:rPr>
        <w:t xml:space="preserve">Questa tesi è indirettamente sostenuta da Grigorij Michajlovic, capo ricognitore di un reggimento d'artiglieria:  </w:t>
      </w:r>
    </w:p>
    <w:p w:rsidR="00611878" w:rsidRDefault="00672C55">
      <w:pPr>
        <w:spacing w:after="34"/>
        <w:ind w:left="1854" w:right="706"/>
      </w:pPr>
      <w:r>
        <w:t>Noi eravamo, ovviamente, animati da sentimenti di vendetta verso i tedeschi. Avevano ucciso i nostri parenti prossimi, distrutto case e fattorie. Quando siamo arrivati in Germania, molti hanno pensato di poter finalmente pareggiare i conti con i tedeschi.</w:t>
      </w:r>
      <w:r>
        <w:rPr>
          <w:vertAlign w:val="superscript"/>
        </w:rPr>
        <w:footnoteReference w:id="20"/>
      </w:r>
      <w:r>
        <w:t xml:space="preserve">  </w:t>
      </w:r>
    </w:p>
    <w:p w:rsidR="00611878" w:rsidRDefault="00672C55">
      <w:pPr>
        <w:spacing w:after="119" w:line="259" w:lineRule="auto"/>
        <w:ind w:left="566" w:right="0" w:firstLine="0"/>
        <w:jc w:val="left"/>
      </w:pPr>
      <w:r>
        <w:rPr>
          <w:sz w:val="24"/>
        </w:rPr>
        <w:t xml:space="preserve"> </w:t>
      </w:r>
    </w:p>
    <w:p w:rsidR="00611878" w:rsidRDefault="00672C55">
      <w:pPr>
        <w:spacing w:after="108" w:line="265" w:lineRule="auto"/>
        <w:ind w:left="96" w:right="708"/>
        <w:jc w:val="right"/>
      </w:pPr>
      <w:r>
        <w:rPr>
          <w:sz w:val="24"/>
        </w:rPr>
        <w:t xml:space="preserve">Oltre il sentimento di vendetta per le violenze dirette subite da parte dei tedeschi c’era il </w:t>
      </w:r>
    </w:p>
    <w:p w:rsidR="00611878" w:rsidRDefault="00672C55">
      <w:pPr>
        <w:spacing w:line="366" w:lineRule="auto"/>
        <w:ind w:left="561" w:right="707"/>
      </w:pPr>
      <w:r>
        <w:rPr>
          <w:sz w:val="24"/>
        </w:rPr>
        <w:t xml:space="preserve">senso di rivalsa per le sofferenze imposte al popolo russo durante l’assedio di Leningrado e la battaglia di Stalingrado, il blocco dei rifornimenti e la fame che aveva spinto la popolazione ad episodi di cannibalismo ed a una decimazione costante  </w:t>
      </w:r>
    </w:p>
    <w:p w:rsidR="00611878" w:rsidRDefault="00672C55">
      <w:pPr>
        <w:ind w:left="2149" w:right="706"/>
      </w:pPr>
      <w:r>
        <w:t xml:space="preserve">7 febbraio 1942 </w:t>
      </w:r>
    </w:p>
    <w:p w:rsidR="00611878" w:rsidRDefault="00672C55">
      <w:pPr>
        <w:ind w:left="1428" w:right="706" w:firstLine="720"/>
      </w:pPr>
      <w:r>
        <w:t xml:space="preserve">La gente continua a morire. Sono morti Levka Cyrlin Aksenov, Gofman e ormai per le strade non trasportano più neppure le bare, ma solo cadaveri avvolti nelle coperte. Ne trasportano due per volta sulla stessa slitta. […]. </w:t>
      </w:r>
    </w:p>
    <w:p w:rsidR="00611878" w:rsidRDefault="00672C55">
      <w:pPr>
        <w:ind w:left="2149" w:right="706"/>
      </w:pPr>
      <w:r>
        <w:t xml:space="preserve">In giro non si fa che parlare di morti e defunti. </w:t>
      </w:r>
    </w:p>
    <w:p w:rsidR="00611878" w:rsidRDefault="00672C55">
      <w:pPr>
        <w:spacing w:after="37"/>
        <w:ind w:left="2149" w:right="706"/>
      </w:pPr>
      <w:r>
        <w:t>Possibile che riusciremo a sopravvivere, io, Jura, Jasa e il babbo?</w:t>
      </w:r>
      <w:r>
        <w:rPr>
          <w:vertAlign w:val="superscript"/>
        </w:rPr>
        <w:footnoteReference w:id="21"/>
      </w:r>
      <w:r>
        <w:t xml:space="preserve"> </w:t>
      </w:r>
    </w:p>
    <w:p w:rsidR="00611878" w:rsidRPr="007418B3" w:rsidRDefault="00672C55">
      <w:pPr>
        <w:spacing w:after="112" w:line="259" w:lineRule="auto"/>
        <w:ind w:left="1287" w:right="0" w:firstLine="0"/>
        <w:jc w:val="left"/>
        <w:rPr>
          <w:sz w:val="2"/>
          <w:szCs w:val="2"/>
        </w:rPr>
      </w:pPr>
      <w:r w:rsidRPr="007418B3">
        <w:rPr>
          <w:sz w:val="2"/>
          <w:szCs w:val="2"/>
        </w:rPr>
        <w:t xml:space="preserve"> </w:t>
      </w:r>
    </w:p>
    <w:p w:rsidR="00611878" w:rsidRDefault="00672C55">
      <w:pPr>
        <w:spacing w:line="366" w:lineRule="auto"/>
        <w:ind w:left="551" w:right="707" w:firstLine="720"/>
      </w:pPr>
      <w:r>
        <w:rPr>
          <w:sz w:val="24"/>
        </w:rPr>
        <w:lastRenderedPageBreak/>
        <w:t xml:space="preserve">Sono diverse le testimonianze di antropofagia alla quale sono stati costretti diversi cittadini, soprattutto perché in una città che non riceve in nessun modo approvvigionamenti erano finiti anche tutti gli animali. In quella città il cannibalismo diventa prassi comune, soprattutto se ad essere uccisi sono i bambini appena nati. In realtà non esiste un dato reale sul numero delle vittime, perché nel tentativo da parte dell’Unione Sovietica di occultare le difficoltà oggettive ha spinto la Commissione Municipale di Leningrado atta a stabilire il numero delle vittime da mettere a verbale in occasione del Processo di Norimberga a sottostimare i morti a 623.253, mentre gli studiosi sovietici innalzano il numero a 1.000.000 e quelli internazionali la portano a 2.000.000. Stando alle cifre fornite dagli pompe funebri della città, che stimano in 89.968 le vittime per il mese di marzo 1942 e 102.497 per aprile, si potrebbe ritenere attendibile quello degli storici stranieri. La difficoltà degli approvvigionamenti è acuita anche dalla volontà del regime di evitare il diffondersi delle notizie sull’effettivo stato di Leningrado, anche impedendo la spedizione dei pacchi dono individuali destinati alle organizzazioni della città. Questi dati, veicolati dalla propaganda, ha fomentato ulteriormente l’odio delle truppe dell’Armata Rossa verso i tedeschi in generale. </w:t>
      </w:r>
    </w:p>
    <w:p w:rsidR="00611878" w:rsidRDefault="00672C55">
      <w:pPr>
        <w:spacing w:line="366" w:lineRule="auto"/>
        <w:ind w:left="551" w:right="707" w:firstLine="720"/>
      </w:pPr>
      <w:r>
        <w:rPr>
          <w:sz w:val="24"/>
        </w:rPr>
        <w:t xml:space="preserve">In realtà gli stupri commessi da orde di commilitoni sono cominciati sicuramente prima dell'ingresso dei soldati sovietici su territorio tedesco. Chi subiva questo tipo di trattamento, però, non sopravviveva e, quindi, non poteva raccontarlo. Un prigioniero di guerra britannico testimonia davanti alle autorità statunitensi: </w:t>
      </w:r>
    </w:p>
    <w:p w:rsidR="00611878" w:rsidRDefault="00672C55">
      <w:pPr>
        <w:ind w:left="1854" w:right="706"/>
      </w:pPr>
      <w:r>
        <w:t>Nel territorio attorno al nostre campo di internamento, dove ci sono le città di Schlawe, Lauenburg, Bukow e molti grandi villaggi, i soldati rossi hanno violentato sistematicamente, nelle settimane dopo la conquista, tutte le donne e tutte le ragazze fra i dodici e i sessant'anni. [...]. Le uniche a salvarsi sono state quelle ragazze che sono riuscite a nascondersi tra i boschi o hanno avuto sufficiente presenza di spirito per fingere di essere malate di tifo, difterite o altre malattie contagiose. In preda all'ebbrezza della vittoria e spesso anche pieni del vino che avevano trovato nelle cantine dei ricchi possidenti della Pomerania</w:t>
      </w:r>
      <w:r w:rsidR="00886D63">
        <w:rPr>
          <w:rStyle w:val="Rimandonotaapidipagina"/>
        </w:rPr>
        <w:footnoteReference w:id="22"/>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51" w:right="707" w:firstLine="720"/>
      </w:pPr>
      <w:r>
        <w:rPr>
          <w:sz w:val="24"/>
        </w:rPr>
        <w:t xml:space="preserve">Questa testimonianza è confermata da un altro racconto fatto da una delle vittime che viveva in Pomerania </w:t>
      </w:r>
    </w:p>
    <w:p w:rsidR="00611878" w:rsidRDefault="00672C55">
      <w:pPr>
        <w:ind w:left="2149" w:right="706"/>
      </w:pPr>
      <w:r>
        <w:t xml:space="preserve">Domenica 4 marzo siamo stati svegliati da uno sparo. La nostra SS, che da ultimo aveva </w:t>
      </w:r>
    </w:p>
    <w:p w:rsidR="00611878" w:rsidRDefault="00672C55">
      <w:pPr>
        <w:spacing w:after="28"/>
        <w:ind w:left="1438" w:right="706"/>
      </w:pPr>
      <w:r>
        <w:t xml:space="preserve">combattuto a Lucknitzer Busch, è tornato a dirci che l’Armata Rossa ha conquistato la città (Baerwalde) […]. </w:t>
      </w:r>
    </w:p>
    <w:p w:rsidR="00611878" w:rsidRDefault="00672C55">
      <w:pPr>
        <w:ind w:left="1428" w:right="706" w:firstLine="720"/>
      </w:pPr>
      <w:r>
        <w:t xml:space="preserve">Pregavamo ovunque e sentivamo il grido “Urri, Urri”, un comando che ci faceva dirigere verso il comandante […]. Il quale ci dava un po’di Vodka dalla sua bottiglia, ognuno </w:t>
      </w:r>
      <w:r>
        <w:rPr>
          <w:i/>
        </w:rPr>
        <w:t xml:space="preserve">doveva </w:t>
      </w:r>
      <w:r>
        <w:t xml:space="preserve">berne due bicchieri. Poi ognuno di noi riceveva un pezzo di salsiccia e mangiavamo, </w:t>
      </w:r>
      <w:r>
        <w:lastRenderedPageBreak/>
        <w:t xml:space="preserve">anche se nessuno di noi aveva fame. Ci preoccupavamo, perché erano troppo amichevoli e non immaginavamo la fine. […]. </w:t>
      </w:r>
    </w:p>
    <w:p w:rsidR="00611878" w:rsidRDefault="00672C55">
      <w:pPr>
        <w:ind w:left="1428" w:right="706" w:firstLine="720"/>
      </w:pPr>
      <w:r>
        <w:t xml:space="preserve">Da lì andarono avanti, l’altro rimaneva davanti casa nostra e chiamava le truppe che nel frattempo erano andate avanti, delle quali sono tornate indietro orde di 7-10 uomini e mia sorella rimase da un lato della casa con la figlia di 7 anni, io sono stata violentata tra pianti e grida davanti ad un altro bambino e a mio marito, che stringeva una candela accesa tra le mani. Le bestie erano arrivate tra noi. </w:t>
      </w:r>
    </w:p>
    <w:p w:rsidR="00611878" w:rsidRDefault="00672C55">
      <w:pPr>
        <w:spacing w:after="27"/>
        <w:ind w:left="1428" w:right="706" w:firstLine="720"/>
      </w:pPr>
      <w:r>
        <w:t xml:space="preserve">Mio marito disse: “io non vi posso aiutare, loro sono certamente ubriachi fino ad aver perso la ragione, ma nessun soldato è caduto nelle loro mani”. </w:t>
      </w:r>
    </w:p>
    <w:p w:rsidR="00611878" w:rsidRPr="00672C55" w:rsidRDefault="00672C55" w:rsidP="00D96BB8">
      <w:pPr>
        <w:ind w:left="1428" w:right="706" w:firstLine="720"/>
        <w:rPr>
          <w:lang w:val="de-DE"/>
        </w:rPr>
      </w:pPr>
      <w:r>
        <w:t xml:space="preserve">Noi siamo rimasti appesi con l’impressione di entrambi i piccoli, che non si potevano consolare. Più tardi mi hanno detto tutti che le mie grida innaturali sono state sentite ad una distanza molto lontana dalla cantina anche, anche all’interno della cantina ma nessuno ha avuto il coraggio di intervenire, ogni battaglia per la propria vita è condotta da soli. Sebbene mi trovassi sul pavimento della mia proprietà, non sapevo ancora quale destino avesse avuto; quando anche io avevo ascoltato non sapevo ancora nulla. Quando anche io sono stata gettata sul pavimento, picchiata sulla testa e violentata, ho creduto. </w:t>
      </w:r>
      <w:r w:rsidRPr="00672C55">
        <w:rPr>
          <w:lang w:val="de-DE"/>
        </w:rPr>
        <w:t>Ero da subito senza parole.</w:t>
      </w:r>
      <w:r w:rsidR="00D96BB8">
        <w:rPr>
          <w:rStyle w:val="Rimandonotaapidipagina"/>
          <w:lang w:val="de-DE"/>
        </w:rPr>
        <w:footnoteReference w:id="23"/>
      </w:r>
      <w:r w:rsidRPr="00672C55">
        <w:rPr>
          <w:lang w:val="de-DE"/>
        </w:rPr>
        <w:t xml:space="preserve"> </w:t>
      </w:r>
      <w:r w:rsidR="00D96BB8">
        <w:rPr>
          <w:lang w:val="de-DE"/>
        </w:rPr>
        <w:t xml:space="preserve"> </w:t>
      </w:r>
      <w:r w:rsidRPr="00672C55">
        <w:rPr>
          <w:rFonts w:ascii="Calibri" w:eastAsia="Calibri" w:hAnsi="Calibri" w:cs="Calibri"/>
          <w:strike/>
          <w:lang w:val="de-DE"/>
        </w:rPr>
        <w:t xml:space="preserve">                                                     </w:t>
      </w:r>
      <w:r w:rsidRPr="00672C55">
        <w:rPr>
          <w:rFonts w:ascii="Calibri" w:eastAsia="Calibri" w:hAnsi="Calibri" w:cs="Calibri"/>
          <w:lang w:val="de-DE"/>
        </w:rPr>
        <w:t xml:space="preserve"> </w:t>
      </w:r>
    </w:p>
    <w:p w:rsidR="00611878" w:rsidRPr="00672C55" w:rsidRDefault="00672C55">
      <w:pPr>
        <w:spacing w:after="0" w:line="259" w:lineRule="auto"/>
        <w:ind w:left="566" w:right="0" w:firstLine="0"/>
        <w:jc w:val="left"/>
        <w:rPr>
          <w:lang w:val="de-DE"/>
        </w:rPr>
      </w:pPr>
      <w:r w:rsidRPr="00672C55">
        <w:rPr>
          <w:lang w:val="de-DE"/>
        </w:rPr>
        <w:t xml:space="preserve"> </w:t>
      </w:r>
    </w:p>
    <w:p w:rsidR="00611878" w:rsidRDefault="00672C55">
      <w:pPr>
        <w:spacing w:line="366" w:lineRule="auto"/>
        <w:ind w:left="551" w:right="707" w:firstLine="720"/>
      </w:pPr>
      <w:r>
        <w:rPr>
          <w:sz w:val="24"/>
        </w:rPr>
        <w:t xml:space="preserve">Ci sono soldati russi indignati per il comportamento animale dei propri commilitoni, mettono per iscritto la propria denuncia e ne pagano un prezzo altissimo, come Aleksandr Solzenicyn che, al termine di una notte trascorsa ad ascoltare impotente le grida delle donne violentate, scrive: </w:t>
      </w:r>
    </w:p>
    <w:p w:rsidR="00611878" w:rsidRDefault="00672C55">
      <w:pPr>
        <w:spacing w:after="31"/>
        <w:ind w:left="1438" w:right="706"/>
      </w:pPr>
      <w:r>
        <w:t>Höringstrasse 22. Nessun incendio ancora, però devastazioni, saccheggi. Attraverso la parete, attutito, un gemito: trovo la madre ancora viva. Quanti le sono piombati addosso sul materasso? Una compagnia? Un plotone? Che importa! La figlia, una bambina ancora, subito uccisa. Il tutto all'insegna della semplice parola d'ordine: Non dimenticare niente! Non perdonare niente! Sangue per sangue!... E dente per dente. Quelle che erano ancora vergini diventavano donne, e le donne... Cadaveri presto. Già annebbiata, gli occhi che sanguinano, lei implora 'uccidermi soldato!' Non vedete gli sguardi turbati? Sono anch'io uno di loro</w:t>
      </w:r>
      <w:r w:rsidR="00D96BB8">
        <w:rPr>
          <w:rStyle w:val="Rimandonotaapidipagina"/>
        </w:rPr>
        <w:footnoteReference w:id="24"/>
      </w:r>
      <w:r>
        <w:t xml:space="preserve">. </w:t>
      </w:r>
    </w:p>
    <w:p w:rsidR="00611878" w:rsidRPr="00D806E2" w:rsidRDefault="00672C55">
      <w:pPr>
        <w:spacing w:after="0" w:line="259" w:lineRule="auto"/>
        <w:ind w:left="0" w:right="0" w:firstLine="0"/>
        <w:jc w:val="left"/>
        <w:rPr>
          <w:sz w:val="2"/>
          <w:szCs w:val="2"/>
        </w:rPr>
      </w:pPr>
      <w:r w:rsidRPr="00D806E2">
        <w:rPr>
          <w:sz w:val="2"/>
          <w:szCs w:val="2"/>
        </w:rPr>
        <w:t xml:space="preserve">  </w:t>
      </w:r>
    </w:p>
    <w:p w:rsidR="00611878" w:rsidRDefault="00672C55">
      <w:pPr>
        <w:spacing w:line="366" w:lineRule="auto"/>
        <w:ind w:left="551" w:right="707" w:firstLine="708"/>
      </w:pPr>
      <w:r>
        <w:rPr>
          <w:sz w:val="24"/>
        </w:rPr>
        <w:lastRenderedPageBreak/>
        <w:t xml:space="preserve">La sua testimonianza più importante riguardo la sua esperienza delle violenze sul fronte, però, rimane impressa ne </w:t>
      </w:r>
      <w:r>
        <w:rPr>
          <w:i/>
          <w:sz w:val="24"/>
        </w:rPr>
        <w:t>Le Notti Prussiane</w:t>
      </w:r>
      <w:r>
        <w:rPr>
          <w:sz w:val="24"/>
        </w:rPr>
        <w:t xml:space="preserve">, in cui il poeta scrive </w:t>
      </w:r>
    </w:p>
    <w:p w:rsidR="00611878" w:rsidRDefault="00672C55">
      <w:pPr>
        <w:spacing w:line="246" w:lineRule="auto"/>
        <w:ind w:left="1285" w:right="5894"/>
        <w:jc w:val="left"/>
      </w:pPr>
      <w:r>
        <w:t xml:space="preserve">Veramente bene, veramente profondo Contiamo gli spazi al nemico Tutto brucia! E il quartiere? </w:t>
      </w:r>
    </w:p>
    <w:p w:rsidR="00611878" w:rsidRDefault="00672C55">
      <w:pPr>
        <w:ind w:left="1285" w:right="706"/>
      </w:pPr>
      <w:r>
        <w:t xml:space="preserve">Ci troviamo bene nella neve? </w:t>
      </w:r>
    </w:p>
    <w:p w:rsidR="00611878" w:rsidRDefault="00672C55">
      <w:pPr>
        <w:ind w:left="1285" w:right="706"/>
      </w:pPr>
      <w:r>
        <w:t xml:space="preserve">Eh, e che bello  </w:t>
      </w:r>
    </w:p>
    <w:p w:rsidR="00611878" w:rsidRDefault="00672C55">
      <w:pPr>
        <w:spacing w:after="32"/>
        <w:ind w:left="1285" w:right="6955"/>
      </w:pPr>
      <w:r>
        <w:t xml:space="preserve">Sediamo almeno Scintilla di rosso </w:t>
      </w:r>
    </w:p>
    <w:p w:rsidR="00611878" w:rsidRDefault="00672C55">
      <w:pPr>
        <w:ind w:left="1285" w:right="706"/>
      </w:pPr>
      <w:r>
        <w:t xml:space="preserve">Ovunque l’orizzonte? </w:t>
      </w:r>
    </w:p>
    <w:p w:rsidR="00611878" w:rsidRDefault="00672C55">
      <w:pPr>
        <w:spacing w:after="0" w:line="259" w:lineRule="auto"/>
        <w:ind w:left="1275" w:right="0" w:firstLine="0"/>
        <w:jc w:val="left"/>
      </w:pPr>
      <w:r>
        <w:t xml:space="preserve"> </w:t>
      </w:r>
    </w:p>
    <w:p w:rsidR="00611878" w:rsidRDefault="00672C55">
      <w:pPr>
        <w:ind w:left="1285" w:right="706"/>
      </w:pPr>
      <w:r>
        <w:t xml:space="preserve">Ciò che è stato fatto in qualche secolo </w:t>
      </w:r>
    </w:p>
    <w:p w:rsidR="00611878" w:rsidRDefault="00672C55">
      <w:pPr>
        <w:ind w:left="1285" w:right="706"/>
      </w:pPr>
      <w:r>
        <w:t xml:space="preserve">Brucia sconfitto e puzza di fumo </w:t>
      </w:r>
    </w:p>
    <w:p w:rsidR="00611878" w:rsidRDefault="00672C55">
      <w:pPr>
        <w:ind w:left="1285" w:right="706"/>
      </w:pPr>
      <w:r>
        <w:t xml:space="preserve">Le fiamme bruciano, le fiamme distruggono </w:t>
      </w:r>
    </w:p>
    <w:p w:rsidR="00611878" w:rsidRDefault="00672C55">
      <w:pPr>
        <w:ind w:left="1285" w:right="706"/>
      </w:pPr>
      <w:r>
        <w:t xml:space="preserve">Sopra la mia testa </w:t>
      </w:r>
    </w:p>
    <w:p w:rsidR="00611878" w:rsidRDefault="00672C55">
      <w:pPr>
        <w:spacing w:after="14" w:line="259" w:lineRule="auto"/>
        <w:ind w:left="1275" w:right="0" w:firstLine="0"/>
        <w:jc w:val="left"/>
      </w:pPr>
      <w:r>
        <w:t xml:space="preserve"> </w:t>
      </w:r>
    </w:p>
    <w:p w:rsidR="00611878" w:rsidRDefault="00672C55">
      <w:pPr>
        <w:ind w:left="1285" w:right="706"/>
      </w:pPr>
      <w:r>
        <w:t xml:space="preserve">[…] </w:t>
      </w:r>
    </w:p>
    <w:p w:rsidR="00611878" w:rsidRDefault="00672C55">
      <w:pPr>
        <w:spacing w:after="0" w:line="259" w:lineRule="auto"/>
        <w:ind w:left="1275" w:right="0" w:firstLine="0"/>
        <w:jc w:val="left"/>
      </w:pPr>
      <w:r>
        <w:t xml:space="preserve"> </w:t>
      </w:r>
    </w:p>
    <w:p w:rsidR="00611878" w:rsidRDefault="00672C55">
      <w:pPr>
        <w:ind w:left="1285" w:right="706"/>
      </w:pPr>
      <w:r>
        <w:t xml:space="preserve">Attraverso le donne uccise </w:t>
      </w:r>
    </w:p>
    <w:p w:rsidR="00611878" w:rsidRDefault="00672C55">
      <w:pPr>
        <w:ind w:left="1285" w:right="706"/>
      </w:pPr>
      <w:r>
        <w:t xml:space="preserve">Tappeto rosso con il sangue che sgorga </w:t>
      </w:r>
    </w:p>
    <w:p w:rsidR="00611878" w:rsidRDefault="00672C55">
      <w:pPr>
        <w:ind w:left="1285" w:right="706"/>
      </w:pPr>
      <w:r>
        <w:t xml:space="preserve"> E curano gli uomini malati  </w:t>
      </w:r>
    </w:p>
    <w:p w:rsidR="00611878" w:rsidRDefault="00672C55">
      <w:pPr>
        <w:ind w:left="1285" w:right="706"/>
      </w:pPr>
      <w:r>
        <w:t xml:space="preserve">distesi sui letti </w:t>
      </w:r>
    </w:p>
    <w:p w:rsidR="00611878" w:rsidRDefault="00672C55">
      <w:pPr>
        <w:spacing w:after="70"/>
        <w:ind w:left="1285" w:right="706"/>
      </w:pPr>
      <w:r>
        <w:t xml:space="preserve">[…] </w:t>
      </w:r>
      <w:r w:rsidR="00D96BB8">
        <w:rPr>
          <w:rStyle w:val="Rimandonotaapidipagina"/>
        </w:rPr>
        <w:footnoteReference w:id="25"/>
      </w:r>
    </w:p>
    <w:p w:rsidR="00611878" w:rsidRPr="007418B3" w:rsidRDefault="00672C55">
      <w:pPr>
        <w:spacing w:after="0" w:line="259" w:lineRule="auto"/>
        <w:ind w:left="0" w:right="0" w:firstLine="0"/>
        <w:jc w:val="left"/>
        <w:rPr>
          <w:sz w:val="2"/>
          <w:szCs w:val="2"/>
        </w:rPr>
      </w:pPr>
      <w:r w:rsidRPr="007418B3">
        <w:rPr>
          <w:rFonts w:ascii="Calibri" w:eastAsia="Calibri" w:hAnsi="Calibri" w:cs="Calibri"/>
          <w:strike/>
          <w:sz w:val="2"/>
          <w:szCs w:val="2"/>
        </w:rPr>
        <w:t xml:space="preserve">                                                         </w:t>
      </w:r>
      <w:r w:rsidRPr="007418B3">
        <w:rPr>
          <w:rFonts w:ascii="Calibri" w:eastAsia="Calibri" w:hAnsi="Calibri" w:cs="Calibri"/>
          <w:sz w:val="2"/>
          <w:szCs w:val="2"/>
        </w:rPr>
        <w:t xml:space="preserve"> </w:t>
      </w:r>
    </w:p>
    <w:p w:rsidR="00D806E2" w:rsidRDefault="00D806E2">
      <w:pPr>
        <w:spacing w:line="366" w:lineRule="auto"/>
        <w:ind w:left="551" w:right="707" w:firstLine="708"/>
        <w:rPr>
          <w:sz w:val="24"/>
        </w:rPr>
      </w:pPr>
    </w:p>
    <w:p w:rsidR="00611878" w:rsidRDefault="00672C55">
      <w:pPr>
        <w:spacing w:line="366" w:lineRule="auto"/>
        <w:ind w:left="551" w:right="707" w:firstLine="708"/>
      </w:pPr>
      <w:r>
        <w:rPr>
          <w:sz w:val="24"/>
        </w:rPr>
        <w:t xml:space="preserve">La difficoltà di analisi e l’attendibilità delle testimonianze orali sono state bene affrontate da Marc Bloch. Egli riporta un esperimento fatto in Germania che è molto esemplificativo sulle alterazioni che lo scorrere del tempo pone ad un ricordo: </w:t>
      </w:r>
    </w:p>
    <w:p w:rsidR="00611878" w:rsidRDefault="00672C55">
      <w:pPr>
        <w:spacing w:after="42"/>
        <w:ind w:left="1854" w:right="706"/>
      </w:pPr>
      <w:r>
        <w:t>La simulazione di un attentato organizzata dal criminologo Lizt nel suo seminario a Berlino. Gli studenti che avevano assistito a questo piccolo dramma, e che lo avevano preso sul serio, furono interrogati, alcuni la sera stessa, gli altri dopo una settimana, altri ancora cinque settimane dopo il fatto. […] Solo grandi stati d’animo collettivi hanno il potere di trasformare in legenda una cattiva percezione.</w:t>
      </w:r>
      <w:r w:rsidR="00D96BB8">
        <w:rPr>
          <w:rStyle w:val="Rimandonotaapidipagina"/>
        </w:rPr>
        <w:footnoteReference w:id="26"/>
      </w:r>
    </w:p>
    <w:p w:rsidR="00611878" w:rsidRDefault="00672C55">
      <w:pPr>
        <w:spacing w:after="112" w:line="259" w:lineRule="auto"/>
        <w:ind w:left="1275" w:right="0" w:firstLine="0"/>
        <w:jc w:val="left"/>
      </w:pPr>
      <w:r>
        <w:rPr>
          <w:sz w:val="24"/>
        </w:rPr>
        <w:t xml:space="preserve"> </w:t>
      </w:r>
    </w:p>
    <w:p w:rsidR="00611878" w:rsidRPr="00D96BB8" w:rsidRDefault="00791545">
      <w:pPr>
        <w:spacing w:line="366" w:lineRule="auto"/>
        <w:ind w:left="561" w:right="707"/>
        <w:rPr>
          <w:sz w:val="24"/>
          <w:vertAlign w:val="superscript"/>
        </w:rPr>
      </w:pPr>
      <w:r>
        <w:rPr>
          <w:sz w:val="24"/>
        </w:rPr>
        <w:t xml:space="preserve">  </w:t>
      </w:r>
      <w:r w:rsidR="00672C55">
        <w:rPr>
          <w:sz w:val="24"/>
        </w:rPr>
        <w:t xml:space="preserve">Secondo C. P. Otero, inoltre, un sistema democratico quale quello dei questionari non potendo controllare le persone che lo ricevono e che rispondono, ha necessità di attuare la costruzione </w:t>
      </w:r>
      <w:r w:rsidR="00672C55">
        <w:rPr>
          <w:sz w:val="24"/>
        </w:rPr>
        <w:lastRenderedPageBreak/>
        <w:t>del consenso attraverso il controllo del pensiero, seguendo il principio secondo il quale “se si dovrà ascoltare la voce della gente, sarà meglio controllare quello che la gente dice, cioè controllarne il pensiero […] [ovvero] creare un dibattito tale da far credere che è in corso una libera discussione, ma assicurandosi preventivamente che il dibattito resti all’interno di confini stretti prestabiliti”</w:t>
      </w:r>
      <w:r w:rsidR="00D96BB8">
        <w:rPr>
          <w:rStyle w:val="Rimandonotaapidipagina"/>
          <w:sz w:val="24"/>
        </w:rPr>
        <w:footnoteReference w:id="27"/>
      </w:r>
      <w:r w:rsidR="00672C55">
        <w:rPr>
          <w:sz w:val="24"/>
        </w:rPr>
        <w:t xml:space="preserve"> attraverso l’uso dei mezzi di comunicazione. Il questionario di Bayreuth e i dubbi che suscita rientra esattamente nel novero di una propaganda democratica controllata, all’interno degli schemi e delle parti della Guerra Fredda. </w:t>
      </w:r>
    </w:p>
    <w:p w:rsidR="00611878" w:rsidRDefault="00672C55">
      <w:pPr>
        <w:spacing w:line="366" w:lineRule="auto"/>
        <w:ind w:left="561" w:right="707"/>
      </w:pPr>
      <w:r>
        <w:rPr>
          <w:sz w:val="24"/>
        </w:rPr>
        <w:t xml:space="preserve">  All’interno dell’archivio di Bayreuth si trova in maniera sporadica qualche testimonianza delle violenze contro la popolazione civile di origine tedesca da parte dei sovietici con il placet delle truppe americane. È quanto emerge da una lettera indirizzata al Ministero, datata 2 maggio 1955, protocollata con data 6 maggio e catalogata come Ost-Dok.2/243a  </w:t>
      </w:r>
    </w:p>
    <w:p w:rsidR="00611878" w:rsidRDefault="00672C55" w:rsidP="00D96BB8">
      <w:pPr>
        <w:ind w:left="1428" w:right="425" w:hanging="11"/>
      </w:pPr>
      <w:r>
        <w:t xml:space="preserve">Negli ultimi giorni dell’anno 1945 le truppe tedesche transitarono attraverso il mio paese d’origine, Wattenau, seguiti dalle truppe americane. Le granate dell’artiglieria americana scoppiano nel cortile [illegibile] occupato, che è stato preso dai vicini. […]. </w:t>
      </w:r>
    </w:p>
    <w:p w:rsidR="00611878" w:rsidRDefault="00672C55" w:rsidP="00D96BB8">
      <w:pPr>
        <w:spacing w:after="93" w:line="265" w:lineRule="auto"/>
        <w:ind w:left="1428" w:right="425" w:hanging="11"/>
      </w:pPr>
      <w:r>
        <w:t>Gli americani hanno lasciato un segno del genere, dicono i partigiani cechi che sono stati accompagnati nel mulino, circa 20 persone al piano seminterrato al cantiere del mulino. [...]. I partigiani cechi hanno ordinato la marcia lunga fino a [illeggibile] a circa 30 passi a piedi, duratnte la quale lui mi ha dato un colpo sfalsato ad ogni passo con un pugno alla schiena. [...]. Nella sera dello stesso giorno giorno abbiamo dovuto metterci in fila di fronte al carcere e sono stati portati al centro di detenzione di Milatov dai partigiani. In una delle baracche ci hanno portato 75 donne. Per 14 giorni sono stato con una parte dei detenuti. Ho svolto una serie di lavori differenti per gli americani o per la città</w:t>
      </w:r>
      <w:r w:rsidR="00D96BB8">
        <w:rPr>
          <w:rStyle w:val="Rimandonotaapidipagina"/>
        </w:rPr>
        <w:footnoteReference w:id="28"/>
      </w:r>
      <w:r>
        <w:t>.</w:t>
      </w:r>
    </w:p>
    <w:p w:rsidR="00611878" w:rsidRDefault="00672C55">
      <w:pPr>
        <w:spacing w:after="0" w:line="259" w:lineRule="auto"/>
        <w:ind w:left="1419" w:right="0" w:firstLine="0"/>
        <w:jc w:val="left"/>
      </w:pPr>
      <w:r>
        <w:t xml:space="preserve"> </w:t>
      </w:r>
    </w:p>
    <w:p w:rsidR="00611878" w:rsidRDefault="00672C55">
      <w:pPr>
        <w:spacing w:line="366" w:lineRule="auto"/>
        <w:ind w:left="561" w:right="707"/>
      </w:pPr>
      <w:r>
        <w:rPr>
          <w:sz w:val="24"/>
        </w:rPr>
        <w:t xml:space="preserve">Il tema delle violenze da parte degli Alleati rimane, comunque, marginale nei racconti dei profughi e quasi totalmente assente nei documenti di Bayreuth, proprio perché l’interesse della commissione era focalizzato solamente sull’Armata Rossa in chiave antisovietica. </w:t>
      </w:r>
    </w:p>
    <w:p w:rsidR="00611878" w:rsidRDefault="00672C55">
      <w:pPr>
        <w:spacing w:after="3" w:line="259" w:lineRule="auto"/>
        <w:ind w:left="566" w:right="0" w:firstLine="0"/>
        <w:jc w:val="left"/>
      </w:pPr>
      <w:r>
        <w:t xml:space="preserve"> </w:t>
      </w:r>
    </w:p>
    <w:p w:rsidR="00791545" w:rsidRDefault="00791545">
      <w:pPr>
        <w:spacing w:after="3" w:line="259" w:lineRule="auto"/>
        <w:ind w:left="566" w:right="0" w:firstLine="0"/>
        <w:jc w:val="left"/>
      </w:pPr>
    </w:p>
    <w:p w:rsidR="00D806E2" w:rsidRDefault="00D806E2">
      <w:pPr>
        <w:spacing w:after="160" w:line="259" w:lineRule="auto"/>
        <w:ind w:left="0" w:right="0" w:firstLine="0"/>
        <w:jc w:val="left"/>
        <w:rPr>
          <w:b/>
          <w:sz w:val="24"/>
        </w:rPr>
      </w:pPr>
      <w:r>
        <w:br w:type="page"/>
      </w:r>
    </w:p>
    <w:p w:rsidR="00611878" w:rsidRDefault="00672C55">
      <w:pPr>
        <w:pStyle w:val="Titolo3"/>
        <w:ind w:left="561"/>
      </w:pPr>
      <w:r>
        <w:lastRenderedPageBreak/>
        <w:t>2)</w:t>
      </w:r>
      <w:r>
        <w:rPr>
          <w:rFonts w:ascii="Arial" w:eastAsia="Arial" w:hAnsi="Arial" w:cs="Arial"/>
        </w:rPr>
        <w:t xml:space="preserve"> </w:t>
      </w:r>
      <w:r>
        <w:t xml:space="preserve">Il Bundesarchiv di Berlino </w:t>
      </w:r>
    </w:p>
    <w:p w:rsidR="00611878" w:rsidRDefault="00672C55">
      <w:pPr>
        <w:spacing w:after="162" w:line="259" w:lineRule="auto"/>
        <w:ind w:left="566" w:right="0" w:firstLine="0"/>
        <w:jc w:val="left"/>
      </w:pPr>
      <w:r>
        <w:rPr>
          <w:sz w:val="24"/>
        </w:rPr>
        <w:t xml:space="preserve"> </w:t>
      </w:r>
    </w:p>
    <w:p w:rsidR="00611878" w:rsidRDefault="00672C55" w:rsidP="007C08AB">
      <w:pPr>
        <w:spacing w:after="240" w:line="367" w:lineRule="auto"/>
        <w:ind w:left="561" w:right="709" w:hanging="11"/>
      </w:pPr>
      <w:r>
        <w:rPr>
          <w:sz w:val="24"/>
        </w:rPr>
        <w:t xml:space="preserve">  All’interno dell’Archivio Federale di Berlino sono contenute molte testimonianze utili per questa ricerca sia per quanto riguarda il periodo della fine del nazismo che per gli anni della DDR.  </w:t>
      </w:r>
    </w:p>
    <w:p w:rsidR="00611878" w:rsidRDefault="00672C55" w:rsidP="007C08AB">
      <w:pPr>
        <w:spacing w:after="240" w:line="367" w:lineRule="auto"/>
        <w:ind w:left="561" w:right="709" w:hanging="11"/>
      </w:pPr>
      <w:r>
        <w:rPr>
          <w:sz w:val="24"/>
        </w:rPr>
        <w:t xml:space="preserve">  Gli atti catalogati come R 179 raccolgono le cartelle cliniche e tutte le informazioni riguardanti il programma di eutanasia e pulizia dell</w:t>
      </w:r>
      <w:r w:rsidR="000E485B">
        <w:rPr>
          <w:sz w:val="24"/>
        </w:rPr>
        <w:t>a razza, perpetrata</w:t>
      </w:r>
      <w:r>
        <w:rPr>
          <w:sz w:val="24"/>
        </w:rPr>
        <w:t xml:space="preserve"> dal nazismo per più di 10 anni. Questi docomenti sono molto spesso danneggiati, strappati, bruciati e disponibili solo in alcuni frammenti che rendono molto complessa l’interpretazione e la lettura del documento. Lo stato di conservazione della documentazione è probabilmente dovuta alle azioni dei nazisti che, una volta ammessa la sconfitta, hanno cercato di distruggerli per tentare di renderli inutilizzabili dagli Alleati per formulare atti di incriminazione e quindi poco leggibili da parte degli studiosi.   Pur perdendo molti dettagli e alcuni documenti nella loro interezza, si ha però, un quadro completo su come il programma si svolgesse nella routine di un quotidiano distruggere per creare o curare per rendere produttivo e fa si che tutti i cittadini vivi dessero un contributo allo Stato nazista, in una perfeta simbiosi tra Stato e popolo. L’accesso a questo tipo di documentazione è molto complesso sia per ragioni di privacy che tende a salvaguardare la storia del paziente e della sua famiglia salvaguardati dalla legge tedesca, sia come è già stato detto per lo stato di conservazione dei documenti. L’accesso avviene tramite un elenco fornito da un database generale consultabile esclusivamente tramite il server del Bundesarchiv. Il programma di eutanasia è uno degli aspetti meno noti del regime, che sono stati approfonditi solo negli ultimi anni. Per questo, forse, visionare questo tipo di materiale è più complesso rispetto al resto della documentazione sul periodo nazista.  </w:t>
      </w:r>
    </w:p>
    <w:p w:rsidR="00611878" w:rsidRDefault="00672C55" w:rsidP="007C08AB">
      <w:pPr>
        <w:spacing w:after="240" w:line="367" w:lineRule="auto"/>
        <w:ind w:left="561" w:right="709" w:hanging="11"/>
      </w:pPr>
      <w:r>
        <w:rPr>
          <w:sz w:val="24"/>
        </w:rPr>
        <w:t xml:space="preserve">  Per quanto riguarda gli ultimi anni di guerra sono significativi i documenti sull’avanzata sovietica, gli scambi epistolari e le veline per quanto riguarda lo sviluppo della propaganda di regime orchestrata da Josef Goebbles che la traduzione di alcuni volantini dell’Armata Rossa in tedesco, classificati come “informazioni riservate”. Da questo fondo, denominato R 90, si evince la forza propulsiva e attrattiva dei sovietici e la difficoltà di avere una risposta adeguata ad arginare i disertori da parte dei nazisti. Ciò che interessa i nazisti è la capacità attrattiva dei sovietici nei confronti dei ragazzi, degli uomini e delle donne che si univano spontaneamente all’esercito dell’Armata Rossa, soprattutto per quanto riguarda i polacchi ed i cechi. Per monitorare tutto, ogni cosa venisse scritta e diffusa in maniera pubblica o clandestina.  Grazie </w:t>
      </w:r>
      <w:r>
        <w:rPr>
          <w:sz w:val="24"/>
        </w:rPr>
        <w:lastRenderedPageBreak/>
        <w:t xml:space="preserve">alla documentazione denominata R 55 è possibile ricostruire le comunicazioni tra gerarchi o funzionari è possibile comprendere che avere una posizione di potere permetteva di ottenere informazioni utili, in tempo per potersi trasferire e rende ancora più grave il ritardo con il quale è stato lanciato l’ordine di evacuazione di interi paesi. Questo ritardo è stato determinante sia per far iniziare l’esodo in pieno inverno con temperature che andavano tra i -20 °C ed i -30 °C con l’esercito avversario molto vicino e senza il preavviso necessario a organizzare la partenza con una scorta di viveri e vestiti adatti alla fuga.   </w:t>
      </w:r>
    </w:p>
    <w:p w:rsidR="00611878" w:rsidRDefault="00672C55">
      <w:pPr>
        <w:spacing w:after="0" w:line="259" w:lineRule="auto"/>
        <w:ind w:left="566" w:right="0" w:firstLine="0"/>
        <w:jc w:val="left"/>
        <w:rPr>
          <w:b/>
          <w:sz w:val="24"/>
        </w:rPr>
      </w:pPr>
      <w:r>
        <w:rPr>
          <w:b/>
          <w:sz w:val="24"/>
        </w:rPr>
        <w:t xml:space="preserve"> </w:t>
      </w:r>
    </w:p>
    <w:p w:rsidR="00791545" w:rsidRDefault="00791545">
      <w:pPr>
        <w:spacing w:after="0" w:line="259" w:lineRule="auto"/>
        <w:ind w:left="566" w:right="0" w:firstLine="0"/>
        <w:jc w:val="left"/>
      </w:pPr>
    </w:p>
    <w:p w:rsidR="00611878" w:rsidRDefault="00672C55">
      <w:pPr>
        <w:pStyle w:val="Titolo3"/>
        <w:ind w:left="561"/>
      </w:pPr>
      <w:r>
        <w:t>3)</w:t>
      </w:r>
      <w:r>
        <w:rPr>
          <w:rFonts w:ascii="Arial" w:eastAsia="Arial" w:hAnsi="Arial" w:cs="Arial"/>
        </w:rPr>
        <w:t xml:space="preserve"> </w:t>
      </w:r>
      <w:r>
        <w:t xml:space="preserve">Il Landesarchiv di Berlino </w:t>
      </w:r>
    </w:p>
    <w:p w:rsidR="00611878" w:rsidRDefault="00672C55">
      <w:pPr>
        <w:spacing w:after="112" w:line="259" w:lineRule="auto"/>
        <w:ind w:left="566" w:right="0" w:firstLine="0"/>
        <w:jc w:val="left"/>
      </w:pPr>
      <w:r>
        <w:rPr>
          <w:sz w:val="24"/>
        </w:rPr>
        <w:t xml:space="preserve"> </w:t>
      </w:r>
    </w:p>
    <w:p w:rsidR="00611878" w:rsidRDefault="00672C55">
      <w:pPr>
        <w:spacing w:after="38" w:line="366" w:lineRule="auto"/>
        <w:ind w:left="561" w:right="707"/>
      </w:pPr>
      <w:r>
        <w:rPr>
          <w:sz w:val="24"/>
        </w:rPr>
        <w:t xml:space="preserve">L’Archivio Regionale di Berlino racchiude, invece, la storia della città. Particolarmente significativa la documentazione inerente gli ultimi giorni dell’aprile 1945: grazie al registro del presidio di Polizia che permette di avere i registri dei numerosi suicidi avvenuti in quei giorni e fare una stima di tutte le persone che hanno deciso di togliersi la vita e di uccidere i figli pur di non assistere alla sconfitta e non cadere nelle mani dei sovietici. </w:t>
      </w:r>
    </w:p>
    <w:p w:rsidR="00611878" w:rsidRDefault="00672C55">
      <w:pPr>
        <w:spacing w:after="103" w:line="366" w:lineRule="auto"/>
        <w:ind w:left="561" w:right="707"/>
      </w:pPr>
      <w:r>
        <w:rPr>
          <w:sz w:val="24"/>
        </w:rPr>
        <w:t xml:space="preserve">  Il registro dell’Ufficio Sanitario, il Rep. 280 Laz. Sammelung che permette di avere dati sul fenomeno degli aborti e delle violenze sessuali da parte dei sovietici nel periodo di occupazione militare della città e i racconti spesso molto dettagliati sulle violenze subite, così come la documentazione 3 Rep. 314 che consente di avere tutta la documentazione medica e una breve storia delle ragazze. </w:t>
      </w:r>
    </w:p>
    <w:p w:rsidR="00611878" w:rsidRDefault="00672C55" w:rsidP="001318A0">
      <w:pPr>
        <w:tabs>
          <w:tab w:val="center" w:pos="566"/>
          <w:tab w:val="center" w:pos="5597"/>
        </w:tabs>
        <w:spacing w:after="103" w:line="367" w:lineRule="auto"/>
        <w:ind w:left="567" w:right="0" w:firstLine="0"/>
      </w:pPr>
      <w:r>
        <w:rPr>
          <w:sz w:val="24"/>
        </w:rPr>
        <w:t xml:space="preserve">Importanti anche i dati statistici sulla diffusione delle malattie sessualmente trasmissibili, sull’organizzazione dei campi profughi e sullo stato di devastazione della città al termine del conflitto. L’abitudine da parte dell’amministrazione tedesca di individuare e monitorare l’evolversi della vita nell’affrontare le emergenze dei primi mesi del dopoguerra.  </w:t>
      </w:r>
    </w:p>
    <w:p w:rsidR="00611878" w:rsidRDefault="00672C55" w:rsidP="00791545">
      <w:pPr>
        <w:spacing w:after="0" w:line="259" w:lineRule="auto"/>
        <w:ind w:left="566" w:right="0" w:firstLine="0"/>
        <w:jc w:val="left"/>
      </w:pPr>
      <w:r>
        <w:rPr>
          <w:sz w:val="24"/>
        </w:rPr>
        <w:t xml:space="preserve"> </w:t>
      </w:r>
    </w:p>
    <w:p w:rsidR="00611878" w:rsidRDefault="00672C55">
      <w:pPr>
        <w:spacing w:after="0" w:line="259" w:lineRule="auto"/>
        <w:ind w:left="566" w:right="0" w:firstLine="0"/>
        <w:jc w:val="left"/>
      </w:pPr>
      <w:r>
        <w:rPr>
          <w:sz w:val="24"/>
        </w:rPr>
        <w:t xml:space="preserve"> </w:t>
      </w:r>
    </w:p>
    <w:p w:rsidR="00611878" w:rsidRDefault="00672C55">
      <w:pPr>
        <w:spacing w:after="0" w:line="259" w:lineRule="auto"/>
        <w:ind w:left="566" w:right="0" w:firstLine="0"/>
        <w:jc w:val="left"/>
      </w:pPr>
      <w:r>
        <w:rPr>
          <w:sz w:val="24"/>
        </w:rPr>
        <w:t xml:space="preserve"> </w:t>
      </w:r>
    </w:p>
    <w:p w:rsidR="00611878" w:rsidRDefault="00672C55">
      <w:pPr>
        <w:spacing w:after="0" w:line="259" w:lineRule="auto"/>
        <w:ind w:left="566" w:right="0" w:firstLine="0"/>
        <w:jc w:val="left"/>
      </w:pPr>
      <w:r>
        <w:rPr>
          <w:sz w:val="24"/>
        </w:rPr>
        <w:t xml:space="preserve"> </w:t>
      </w:r>
    </w:p>
    <w:p w:rsidR="007418B3" w:rsidRDefault="007418B3">
      <w:pPr>
        <w:spacing w:after="160" w:line="259" w:lineRule="auto"/>
        <w:ind w:left="0" w:right="0" w:firstLine="0"/>
        <w:jc w:val="left"/>
        <w:rPr>
          <w:b/>
          <w:sz w:val="32"/>
        </w:rPr>
      </w:pPr>
      <w:r>
        <w:br w:type="page"/>
      </w:r>
    </w:p>
    <w:p w:rsidR="00611878" w:rsidRDefault="00672C55">
      <w:pPr>
        <w:pStyle w:val="Titolo2"/>
        <w:ind w:left="561"/>
      </w:pPr>
      <w:r>
        <w:lastRenderedPageBreak/>
        <w:t>2.</w:t>
      </w:r>
      <w:r>
        <w:rPr>
          <w:rFonts w:ascii="Arial" w:eastAsia="Arial" w:hAnsi="Arial" w:cs="Arial"/>
        </w:rPr>
        <w:t xml:space="preserve"> </w:t>
      </w:r>
      <w:r>
        <w:t xml:space="preserve">L’esercito e la razza </w:t>
      </w:r>
    </w:p>
    <w:p w:rsidR="00611878" w:rsidRDefault="00672C55">
      <w:pPr>
        <w:spacing w:after="112" w:line="259" w:lineRule="auto"/>
        <w:ind w:left="566" w:right="0" w:firstLine="0"/>
        <w:jc w:val="left"/>
      </w:pPr>
      <w:r>
        <w:rPr>
          <w:b/>
          <w:sz w:val="24"/>
        </w:rPr>
        <w:t xml:space="preserve"> </w:t>
      </w:r>
    </w:p>
    <w:p w:rsidR="00611878" w:rsidRDefault="00672C55">
      <w:pPr>
        <w:spacing w:after="119" w:line="259" w:lineRule="auto"/>
        <w:ind w:left="566" w:right="0" w:firstLine="0"/>
        <w:jc w:val="left"/>
      </w:pPr>
      <w:r>
        <w:rPr>
          <w:b/>
          <w:sz w:val="24"/>
        </w:rPr>
        <w:t xml:space="preserve"> </w:t>
      </w:r>
    </w:p>
    <w:p w:rsidR="00611878" w:rsidRDefault="00672C55">
      <w:pPr>
        <w:pStyle w:val="Titolo3"/>
        <w:ind w:left="561"/>
      </w:pPr>
      <w:r>
        <w:t>1)</w:t>
      </w:r>
      <w:r>
        <w:rPr>
          <w:rFonts w:ascii="Arial" w:eastAsia="Arial" w:hAnsi="Arial" w:cs="Arial"/>
        </w:rPr>
        <w:t xml:space="preserve"> </w:t>
      </w:r>
      <w:r>
        <w:t xml:space="preserve">Pars construens – dal Lebensborn alle Napola, tecniche per costruire la razza superiore </w:t>
      </w:r>
    </w:p>
    <w:p w:rsidR="00611878" w:rsidRDefault="00672C55">
      <w:pPr>
        <w:spacing w:after="130" w:line="259" w:lineRule="auto"/>
        <w:ind w:left="566" w:right="0" w:firstLine="0"/>
        <w:jc w:val="left"/>
      </w:pPr>
      <w:r>
        <w:rPr>
          <w:sz w:val="24"/>
        </w:rPr>
        <w:t xml:space="preserve"> </w:t>
      </w:r>
    </w:p>
    <w:p w:rsidR="00611878" w:rsidRDefault="00672C55">
      <w:pPr>
        <w:spacing w:line="366" w:lineRule="auto"/>
        <w:ind w:left="561" w:right="707"/>
      </w:pPr>
      <w:r>
        <w:rPr>
          <w:sz w:val="24"/>
        </w:rPr>
        <w:t xml:space="preserve">  All’espansione della Germania doveva seguire di pari passo la creazione di un esercito composto di perfetti combattenti, in grado di sconfiggere chiunque e porta</w:t>
      </w:r>
      <w:r w:rsidR="000E485B">
        <w:rPr>
          <w:sz w:val="24"/>
        </w:rPr>
        <w:t>re al dominio della razza ariana</w:t>
      </w:r>
      <w:r>
        <w:rPr>
          <w:sz w:val="24"/>
        </w:rPr>
        <w:t xml:space="preserve"> su quelle impure, inferiori. La politicizzazione dell’esercito e il suo assoggettamento alla politica del partito è un aspetto che non può essere sottovalutato. Per compiere questa operazione di sottomissione ideologica il regime ha avuto la possibilità di muovere i primi passi negli anni tra l’ascesa al potere di Adolf Hitler e l’entrata in guerra. Questa commistione tra politica, partito e militari non può, dunque, essere messa in secondo piano, poiché anche se i militari potevano definirsi apolitici, la loro azione e il fondamento che li spingeva era coincidente con il Partito, come evidenzia Felix Römer </w:t>
      </w:r>
    </w:p>
    <w:p w:rsidR="00611878" w:rsidRDefault="00672C55">
      <w:pPr>
        <w:ind w:left="1438" w:right="706"/>
      </w:pPr>
      <w:r>
        <w:t>La politica nella vita quotidiana dei soldati della Wehrmacht ha giocato solo un ruolo minore. Sebbene lo scambio reciproco all'interno delle unità, così come gli incarichi pratici e ideologici sono questioni difficili alle quali rispondere, il marinaio 24enne delle U-Boot, Frederick Mast, ha spiegato un po' che a Fort Hunt, si era compreso che "il soldato tedesco non era "solo" un politico"  egli "non aveva mai dovuto fare una politica" durante il servizio [...] "" a tutti erano state rivolte e non dalla politica.</w:t>
      </w:r>
      <w:r>
        <w:rPr>
          <w:vertAlign w:val="superscript"/>
        </w:rPr>
        <w:footnoteReference w:id="29"/>
      </w:r>
      <w:r>
        <w:t xml:space="preserve">         </w:t>
      </w:r>
    </w:p>
    <w:p w:rsidR="00611878" w:rsidRDefault="00672C55">
      <w:pPr>
        <w:spacing w:after="113" w:line="259" w:lineRule="auto"/>
        <w:ind w:left="566" w:right="0" w:firstLine="0"/>
        <w:jc w:val="left"/>
      </w:pPr>
      <w:r>
        <w:rPr>
          <w:sz w:val="24"/>
        </w:rPr>
        <w:t xml:space="preserve">  </w:t>
      </w:r>
    </w:p>
    <w:p w:rsidR="00611878" w:rsidRDefault="00672C55">
      <w:pPr>
        <w:spacing w:line="366" w:lineRule="auto"/>
        <w:ind w:left="561" w:right="707"/>
      </w:pPr>
      <w:r>
        <w:rPr>
          <w:sz w:val="24"/>
        </w:rPr>
        <w:t xml:space="preserve">Secondo l’analisi che lo stesso Römer continua più avanti, il non sentirsi politicamente coinvolti, ma l’aver eseguito ordini ha costituito per molti tedeschi il pilastro delle proprie giustificazioni. Il regime nazista aveva bisogno di uomini veri, in grado di combattere e disposti a dare la vita, macchine da combattimento capaci di fare tutto, tranne che di pensare. Perciò gli occorreva creare dei soldati su misura. I militari, ovviamente, non nascono già con la divisa ma occorre molto tempo e prendersi cura di loro, come fossero oggetti rari, il prima possibile, e, se Mussolini li prendeva dalla culla, Hitler li pianificava a tavolino prima del concepimento.  </w:t>
      </w:r>
    </w:p>
    <w:p w:rsidR="00611878" w:rsidRDefault="00672C55">
      <w:pPr>
        <w:spacing w:line="366" w:lineRule="auto"/>
        <w:ind w:left="561" w:right="707"/>
      </w:pPr>
      <w:r>
        <w:rPr>
          <w:sz w:val="24"/>
        </w:rPr>
        <w:t xml:space="preserve">Come è stato sottolineato più volte da studi storici e antropologici, il regime hitleriano non era soltanto un’organizzazione politica e sociale, ma aveva anche un aspetto esoterico, curato da Heinrich Himmler. La comunità della Thule era presente anche a Monaco di Baviera, milieu del </w:t>
      </w:r>
      <w:r>
        <w:rPr>
          <w:sz w:val="24"/>
        </w:rPr>
        <w:lastRenderedPageBreak/>
        <w:t xml:space="preserve">nazismo ai suoi albori, dal 1918 e contava al suo interno tutti coloro che sarebbero diventate figure carismatiche dominanti all’interno del regime </w:t>
      </w:r>
    </w:p>
    <w:p w:rsidR="00611878" w:rsidRDefault="00672C55">
      <w:pPr>
        <w:spacing w:after="30"/>
        <w:ind w:left="1438" w:right="706"/>
      </w:pPr>
      <w:r>
        <w:t>Il Dap/Nsdap ha inglobato al suo interno atteggiamenti, saluti ed insegne proprie della comunità della Thule come la svastica o il saluto. Il motto del gruppo era “Ricorda che sei un tedesco! Mantieni puro il tuo sangue!”</w:t>
      </w:r>
      <w:r>
        <w:rPr>
          <w:vertAlign w:val="superscript"/>
        </w:rPr>
        <w:footnoteReference w:id="30"/>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after="31" w:line="366" w:lineRule="auto"/>
        <w:ind w:left="561" w:right="707"/>
      </w:pPr>
      <w:r>
        <w:rPr>
          <w:sz w:val="24"/>
        </w:rPr>
        <w:t xml:space="preserve">Il progetto era volto all’incremento della razza ariana che in 120 anni avrebbe dominato il mondo, soppiantando le altre. Questo fine non era solamente una vaga idea rimasta tra i pochi adepti di una setta ma ha cercato di espandersi e concretizzarsi attraverso un iter burocratico e legislativo che ha il suo culmine nei campi di sterminio. Tutti coloro che volevano entrare a far parte delle SS venivano schedati in base alle caratteristiche razziali, da I a M/1 per i soggetti puri e IV-3-c che connotava coloro che erano considerati di razza inferiore. Per ordine dello stesso Himmler, tutte le schedature andavano catalogate con ordine che venivano periodicamente studiate da lui in modo metodico. Fino al 1943, quando l’arruolamento di SS era diventato molto difficile, tutti i membri del corpo dovevano avere un albero genealogico assolutamente “puro”. Il sangue, infatti, era il punto cardine della teoria di Himmler, perché solamente il sangue trasmetteva il valore e la purezza degli antenati e che era stata messa in pericolo dall’ingresso in Germania dalla seconda metà del XIX secolo di molti slavi ed ebrei che si erano mescolati con i cittadini dalle origini nordiche. </w:t>
      </w:r>
    </w:p>
    <w:p w:rsidR="00611878" w:rsidRDefault="00672C55">
      <w:pPr>
        <w:spacing w:line="366" w:lineRule="auto"/>
        <w:ind w:left="561" w:right="707"/>
      </w:pPr>
      <w:r>
        <w:rPr>
          <w:sz w:val="24"/>
        </w:rPr>
        <w:t xml:space="preserve">  Alfred Rosenberg, sosteneva la teoria della purezza della razza già in un’opera del 1929 </w:t>
      </w:r>
      <w:r>
        <w:rPr>
          <w:i/>
          <w:sz w:val="24"/>
        </w:rPr>
        <w:t xml:space="preserve">Sangue e suolo – Il mondo contadino come fonte di vita della razza nordica </w:t>
      </w:r>
      <w:r>
        <w:rPr>
          <w:sz w:val="24"/>
        </w:rPr>
        <w:t xml:space="preserve">in cui auspicava una politica di controllo razziale della procreazione al fine di assicurare la crescita incontrastata della razza superiore per dominare le razze inferiori. Questo testo è stato la base ideologica della politica razziale del nazismo, alla stessa stregua del </w:t>
      </w:r>
      <w:r>
        <w:rPr>
          <w:i/>
          <w:sz w:val="24"/>
        </w:rPr>
        <w:t>Mein Kampf</w:t>
      </w:r>
      <w:r>
        <w:rPr>
          <w:sz w:val="24"/>
        </w:rPr>
        <w:t xml:space="preserve">. </w:t>
      </w:r>
    </w:p>
    <w:p w:rsidR="00611878" w:rsidRDefault="00672C55">
      <w:pPr>
        <w:spacing w:line="366" w:lineRule="auto"/>
        <w:ind w:left="561" w:right="707"/>
      </w:pPr>
      <w:r>
        <w:rPr>
          <w:sz w:val="24"/>
        </w:rPr>
        <w:t xml:space="preserve">  Lo sterminio degli ebrei e di tutte le altre razze impure si inscrive, quindi, in un processo di più ampio respiro che, oltre a sopprimere gli inferiori con azioni mirate, era volto alla creazione di ariani. Il primo passo è stata l’emanazione delle leggi di Norimberga per la protezione del sangue tedesco, che impediva completamente ogni possibilità di commistione o di influenza degli ebrei nei confronti degli ariani, a partire dalla scuola. Il divieto di frequentare la scuola pubblica ha creato molta instabilità, soprattutto nei più piccoli, che perdono i loro punti di </w:t>
      </w:r>
      <w:r>
        <w:rPr>
          <w:sz w:val="24"/>
        </w:rPr>
        <w:lastRenderedPageBreak/>
        <w:t xml:space="preserve">riferimento. Nonostante ciò, per molti genitori era importante il rispetto di queste nuove leggi affinché i figli non corressero il rischio di mischiarsi: </w:t>
      </w:r>
    </w:p>
    <w:p w:rsidR="00611878" w:rsidRDefault="00672C55">
      <w:pPr>
        <w:spacing w:after="25"/>
        <w:ind w:left="1438" w:right="706"/>
      </w:pPr>
      <w:r>
        <w:t>Il 9 novembre di quest’anno ho cambiato appartamento […]. Mia figlia K. L. di sette anni frequenta la 26</w:t>
      </w:r>
      <w:r>
        <w:rPr>
          <w:vertAlign w:val="superscript"/>
        </w:rPr>
        <w:t>a</w:t>
      </w:r>
      <w:r>
        <w:t xml:space="preserve"> scuola elementare e dovrei fare la nuova registrazione presso la 32</w:t>
      </w:r>
      <w:r>
        <w:rPr>
          <w:vertAlign w:val="superscript"/>
        </w:rPr>
        <w:t xml:space="preserve">a </w:t>
      </w:r>
      <w:r>
        <w:t>scuola elementare, sita in Yorkstr. 2/4. La succitata scuola si trova nella zona nord dove risiedono rinomati e ricchi ebrei, nonostante siano competenti. Come uomo pensante del popolo, ciò si oppone al principio che un bambino condivida qualcosa con una razza straniera. Per questa ragione chiedo che mia figlia possa frequentare le lezioni della 37</w:t>
      </w:r>
      <w:r>
        <w:rPr>
          <w:vertAlign w:val="superscript"/>
        </w:rPr>
        <w:t xml:space="preserve">a </w:t>
      </w:r>
      <w:r>
        <w:t xml:space="preserve">scuola elementare sita in Hallischerstr. </w:t>
      </w:r>
      <w:r w:rsidR="00D96BB8">
        <w:t>60 competente per assegnazione.</w:t>
      </w:r>
      <w:r w:rsidR="00D96BB8">
        <w:rPr>
          <w:rStyle w:val="Rimandonotaapidipagina"/>
        </w:rPr>
        <w:footnoteReference w:id="31"/>
      </w:r>
    </w:p>
    <w:p w:rsidR="00611878" w:rsidRDefault="00672C55">
      <w:pPr>
        <w:spacing w:after="115" w:line="259" w:lineRule="auto"/>
        <w:ind w:left="566" w:right="0" w:firstLine="0"/>
        <w:jc w:val="left"/>
      </w:pPr>
      <w:r>
        <w:rPr>
          <w:sz w:val="24"/>
        </w:rPr>
        <w:t xml:space="preserve"> </w:t>
      </w:r>
    </w:p>
    <w:p w:rsidR="00611878" w:rsidRDefault="00672C55">
      <w:pPr>
        <w:spacing w:after="93" w:line="259" w:lineRule="auto"/>
        <w:ind w:left="561" w:right="707"/>
      </w:pPr>
      <w:r>
        <w:rPr>
          <w:sz w:val="24"/>
        </w:rPr>
        <w:t xml:space="preserve">Come sostiene Adriana Lotto </w:t>
      </w:r>
    </w:p>
    <w:p w:rsidR="00611878" w:rsidRDefault="00672C55">
      <w:pPr>
        <w:spacing w:after="189"/>
        <w:ind w:left="1438" w:right="706"/>
      </w:pPr>
      <w:r>
        <w:t xml:space="preserve">Le Leggi di Norimberga, emanate il 15 settembre 1935, nel corso del congresso del Partito Nazionalsocialista tedesco (NSDAP) in quella città, furono precedute, accompagnate e seguite da decreti legislativi e da numerose disposizioni d’ufficio, tesi a ridurre, fino ad annullarli, i diritti di cittadinanza delle persone “non gradite”, in particolare degli ebrei tedeschi e in seguito anche di quelli dei territori occupati. In questo modo, il nazismo creava un appiglio giuridico per la sempre più aspra persecuzione antiebraica. Fin dal suo insediamento, Hitler fece promulgare una serie di leggi volte a creare uno “stato di eccezione” (Aufnahmezustand o Notstand). Il primo provvedimento in questo senso fu l’Ordinanza del Presidente del Reich per la protezione del Popolo e dello Stato (Verordnung des Reichspräsidenten «zum Schutz von Volk und Staat») del 28 febbraio 1933 che sospendeva gli articoli della Costituzione di Weimar riguardanti le libertà personali. In questo modo si instaurava “una guerra civile legale, che permette l’eliminazione fisica non solo degli avversari politici, ma di intere categorie di cittadini che per qualche ragione risultino non integrabili nel sistema politico” 1 . A tale scopo si procedette alla progressiva eliminazione della distinzione tra potere legislativo, esecutivo giudiziario, consentendo al governo con la legge di assunzione dei pieni poteri (Gesetz “zur Behebung der Not von Volk und Reich”) del 24 marzo 1933 di legiferare e istituendo il 24 aprile 1934 una Corte di Giustizia Popolare di emanazione governativa e inappellabile. Tale Corte e il Tribunale speciale tra il 1933 e il 1938 condannarono circa 340.000 antifascisti a un milione di anni di reclusione2 . Dunque, mentre la legge che impediva la formazione di nuovi partiti offriva lo strumento legale per sbarazzarsi degli avversari politici, quella sul “riordinamento dei pubblici impieghi” del 7 aprile 1933 obbligava al pensionamento tutti quei dipendenti che non fossero di “discendenza ariana”- espressione questa che nelle “Leggi di Norimberga” venne sostituita dalla specificazione “di sangue tedesco o affine” –eccezione fatta per coloro che avessero nel corso della prima guerra mondiale combattuto per il Reich tedesco o i suoi alleati o i cui genitori fossero morti nel conflitto medesimo. Inoltre, erano passibili di licenziamento tutti quegli impiegati che non avessero dato prova di esplicita attività in favore dello Stato nazionale. Su sollecitazione della stampa, che lamentò l’assenza di un tale Stato di eccezione, provvedimento nelle scuole e nei luoghi di cultura, il 25 marzo venne promulgata la Legge contro l’invasione dell’elemento straniero delle scuole e delle università tedesche (Gesetz “gegen die Überfremdung deutscher Schulen und Hochschulen”). Ne conseguì che Judenmischlinge, ovvero cittadini che avessero un genitore o un nonno ebreo e le persone “non </w:t>
      </w:r>
    </w:p>
    <w:p w:rsidR="00611878" w:rsidRDefault="00672C55">
      <w:pPr>
        <w:spacing w:after="28"/>
        <w:ind w:left="1438" w:right="706"/>
      </w:pPr>
      <w:r>
        <w:lastRenderedPageBreak/>
        <w:t xml:space="preserve">gradite” vennero allontanati dall’insegnamento o dalle attività artistiche e culturali, sempre più marcatamente orientate in senso razziale, tanto che si parlò, mettendola sotto sequestro, di “arte degenerata”. Alle leggi fecero seguito numerose ordinanze di esecuzione delle stesse, sempre più rigorose nella definizione di “ebreo” e sempre più puntuali nelle distinzioni di dettaglio, cosa che non solo segnava la caratteristica della tradizione giuridica germanica, ovvero la mancanza di astrazione e di sintesi e quindi l’estrema particolarità della norma giuridica, ma anche il legame tra razza e diritto, per il quale il diritto nazista si allontanava da quello romano e più in generale dalla concezione giuridica su base individualistica 3 . Non l’individuo era portatore di diritti, ma l’individuo in quanto appartenente al Popolo. Via via, adeguandosi i vari diritti, di famiglia, agrario, commerciale, del lavoro alla legislazione razziale, seguirono decreti di espulsione degli ebrei dalle professioni, dalla proprietà terriera e dall’esercizio del commercio, dall’esercito. Fattore discriminante a tal proposito furono le “Leggi di Norimberga” che fissarono, la prima, la distinzione tra appartenente allo Stato e cittadino del Reich che doveva essere “di sangue tedesco o affine” ed era per questo il solo detentore dei pieni diritti politici; la seconda, le limitazioni in campo matrimoniale e domestico. Già l’1 giugno 1933, comunque, la Legge sulla riduzione della disoccupazione (Gesetz “zur Verminderung der Arbeitslosigkeit”,) escludendo dal prestito matrimoniale (Ehestandsdarlehen) previsto dal Titolo V tutti coloro che non erano cittadini tedeschi, ovvero non appartenessero alla comunità ariana, aveva disincentivato i matrimoni tra ebrei o misti. Inoltre il 14 luglio dello stesso anno il Consiglio dei Ministri aveva approvato la Legge sulla prevenzione della nascita di elementi ereditariamente malati (Gesetz “zur Verhütung erbkranken Nachwuchses”, o meglio sulla sterilizzazione forzata, che rappresentò il primo passo verso la creazione dei campi di sterminio: 275 000 furono le vittime. Tra l’altro il Gesetz “zur Verhütung erbkranken Nachwuchses”, GzVeN, poiché usciva nel giorno stesso del Concordato col Vaticano, affinché non lo ostacolasse, venne pubblicato sulla Gazzetta Ufficiale del Reich soltanto il 25 luglio ed entrò in vigore l’1 gennaio del 1934. Il provvedimento di legge fu il più radicale di una serie di altre misure sulla cosiddetta igiene razziale limitative delle libertà fondamentali della minoranza ebraica, degli zingari, dei neri, e non solo. Furono considerati erbkrank, e quindi cittadini di classe B, i tedeschi che rientravano nelle categorie individuate nel comma 1 dell’articolo 1 e cioè i deboli di mente fin dalla nascita, gli schizofrenici, i maniaco-depressivi, i malati di epilessia, gli affetti da “corea minor” o corea di Sydenham, i ciechi e i sordi “ereditari” e tutti coloro che presentavano malformazioni fisiche importanti e ritenute ereditabili dai figli; infine gli alcolisti. La Legge sulla prevenzione prevedeva inoltre la sterilizzazione forzata. Secondo il par.12, la polizia poteva fare irruzione nelle abitazioni dei segnalati e prelevare a forza l’interessato; nel caso si trattasse di un minore, essa poteva agire anche contro il volere dei genitori. Dunque, a impedire l’indebolimento della razza ariana attraverso unioni con individui di razze considerate inferiori, il 15 settembre 1935 fu promulgata la Legge per la protezione del sangue e dell’onore tedeschi, ovvero la seconda. A questa legge si aggiunse il 18 ottobre dello stesso anno quella sulla protezione del popolo tedesco diretta ai disabili ( Gesetz “zum Schutze der Erbgesundheit des deutschen Volkes”). Il 14 novembre 1938, fu emanato il Primo regolamento sulla cittadinanza tedesca, cui seguirono altre 12 ordinanze. In esso si stabiliva, tra l’altro, che “solo il cittadino del Reich è detentore dei pieni diritti politici, del diritto di esercizio del voto politico o di ricoprire cariche pubbliche” e si specificava che “un ebreo non può essere cittadino del Reich” intendendosi per ebreo chiunque discendeva da almeno tre nonni ebrei interamente giudei, o da due nei casi in cui appartenesse alla comunità ebraica all’atto dell’emanazione della legge o vi avesse aderito in seguito; si fosse unito in matrimonio con individuo ebreo all’atto dell’emanazione della legge o in seguito; fosse nato dall’unione con un ebreo, dentro o fuori il matrimonio o all’interno di una relazione extraconiugale. Restava aperta la questione degli ebrei di sangue misto. In un primo momento venne equiparato ai cittadini chi per scelta propria si fosse distaccato dalla comunità ebraica. In seguito i divieti e le limitazioni dei matrimoni andarono anche nella direzione di assorbire la categoria degli ebrei di sangue misto in quella degli ebrei o in quella dei cittadini “di sangue misto o affine”. Le coppie miste nelle quali il marito o il padre, nel caso ci fossero figli, fosse </w:t>
      </w:r>
      <w:r>
        <w:lastRenderedPageBreak/>
        <w:t>tedesco, potevano godere del diritto all’alloggio e di altre forme assistenziali, ma soprattutto, allorché si dette inizio alla deportazione degli ebrei, al diritto alla vita. In verità, come si può leggere nell’ultimo documento qui riportato, nel corso della conferenza di Wannsee si pensò di includere nella soluzione finale anche gli ebrei misti e le coppie miste, ma la proposta non ebbe seguito per il timore di colpire i coniugi “di sangue tedesco o affine”. Modifiche al diritto di cittadinanza, fissato dalla Legge di appartenenza allo Stato e al Reich (Gesetz “über die Staats- und Reichsgehörigkeit”) del 22 luglio 1913 erano state comunque apportate già il 15 maggio 1935 con una apposita legge e ancor prima, il 14 luglio 1933, con la Legge sulla revoca della cittadinanza e sul disconoscimento dell’appartenenza allo Stato (Gesetz “über den Widerruf von Einbürgerungen und die Aberkennung der deutschen Staatsangehörigkeit”), la quale stabiliva che chi avesse acquistato la cittadinanza tedesca tra il 9 novembre 1918 e il 30 gennaio 1933, ovvero tra la fine del II Reich e l’inizio del III, potesse perderla, se risultava indesiderabile, e così anche chi, grazie a lui, l’avesse a sua volta ottenuta. L’ordinanza sulla cittadinanza tedesca del 5 febbraio 1934 aveva infine fissato una cittadinanza unica per tutto il Reich acquistabile con la nascita o con il matrimonio, con la nomina a un pubblico ufficio o con la concessione, tranne che per i soggetti di cui alla sopracitata Legge sulla revoca e sul disconoscimento. Si perdeva, invece, con l’acquisto di una cittadinanza straniera, con l’esclusione dall’associazione del Reich, e, per le donne, con il matrimonio con uno straniero. Con la Legge sulla cittadinanza del Reich, gli ebrei cessavano, dunque, di essere cittadini, ma restavano appartenenti allo Stato, ovvero – come osserva acutamente Giorgio Agamben – perdevano, “con la cittadinanza, ogni identità giuridica, ma mantenevano almeno quella di ebrei”4 , ovvero di esseri “giuridicamente innominabili e inclassificabili” e quindi “oggetto di una pura signoria di fatto”, altrimenti, disse qualcuno già all’epoca, nella sostanza “sudditi”. Infine, come ricorda Hannah Arendt 5 , nel febbraio 1938 il ministero degli interni del Reich e della Prussia presentò “un progetto di legge concernente l’acquisto o la perdita della cittadinanza tedesca” che andava molto più in là della legislazione di Norimberga. Esso disponeva che tutti i figli di “ebrei, ebrei di razza mista o altre persone di sangue straniero” (che non potevano mai in ogni caso diventare cittadini del Reich) non avessero più diritto alla cittadinanza, “neppure se il padre poss[edesse] la cittadinanza tedesca dalla nascita”. Tali misure non erano riservate solo agli ebrei, tant’è vero che il 19 luglio 1939 il ministro della giustizia raccomandò di sostituire l’espressione “ebreo ed ebreo di razza mista” con “individui di sangue straniero”. Inoltre i provvedimenti contenuti nel progetto di legge avrebbero dovuto essere estesi anche ai trovatelli, da considerarsi apolidi fino all’accertamento delle loro “caratteristiche razziali”. In questo modo - conclude Arendt - “era deliberatamente capovolto il principio secondo cui un individuo nasce con diritti inalienabili garantiti dalla sua cittadinanza: ogni individuo era per natura senza diritti, senza stato, a meno che non si decidesse altrimenti</w:t>
      </w:r>
      <w:r>
        <w:rPr>
          <w:vertAlign w:val="superscript"/>
        </w:rPr>
        <w:footnoteReference w:id="32"/>
      </w:r>
      <w:r>
        <w:rPr>
          <w:sz w:val="24"/>
        </w:rP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L’esaltazione per la difesa della razza e la tutela da quella ebraica è un principio che si espande a macchia d’olio in tutta Europa, a partire dai primi alleati dei tedeschi: gli italiani. Il conte Galeazzo Ciano, Ministro degli Esteri e genero del Duce, annota, infatti, nel suo diario: </w:t>
      </w:r>
    </w:p>
    <w:p w:rsidR="00611878" w:rsidRDefault="00672C55">
      <w:pPr>
        <w:ind w:left="1438" w:right="706"/>
      </w:pPr>
      <w:r>
        <w:t xml:space="preserve">4 SETTEMBRE – Il Duce è molto montato contro gli ebrei. Mi fa cenno si provvedimenti che intende far adottare dal prossimo Gran Consiglio e che costruiranno, nel loro complesso, la Carta della Razza. In realtà è già redatta di pugno del Duce. Il Gran Consiglio non farà che sanzionarla con la sua deliberazione. […]. </w:t>
      </w:r>
    </w:p>
    <w:p w:rsidR="00611878" w:rsidRDefault="00672C55">
      <w:pPr>
        <w:spacing w:after="32"/>
        <w:ind w:left="1438" w:right="706"/>
      </w:pPr>
      <w:r>
        <w:t>15 NOVEMBRE – concordato con Buffarini la risposta alla nota di protesta, a dire il vero, molto blanda, inviata dalla Santa Sede dopo l’adozione delle recenti misure razziali, che hanno portato un vulnus al concordato per quanto concerne il matrimonio.</w:t>
      </w:r>
      <w:r>
        <w:rPr>
          <w:vertAlign w:val="superscript"/>
        </w:rPr>
        <w:footnoteReference w:id="33"/>
      </w:r>
      <w:r>
        <w:t xml:space="preserve">    </w:t>
      </w:r>
    </w:p>
    <w:p w:rsidR="00611878" w:rsidRPr="00D806E2" w:rsidRDefault="00672C55">
      <w:pPr>
        <w:spacing w:after="0" w:line="259" w:lineRule="auto"/>
        <w:ind w:left="566" w:right="0" w:firstLine="0"/>
        <w:jc w:val="left"/>
        <w:rPr>
          <w:sz w:val="2"/>
          <w:szCs w:val="2"/>
        </w:rPr>
      </w:pPr>
      <w:r w:rsidRPr="00D806E2">
        <w:rPr>
          <w:sz w:val="2"/>
          <w:szCs w:val="2"/>
        </w:rPr>
        <w:lastRenderedPageBreak/>
        <w:t xml:space="preserve"> </w:t>
      </w:r>
    </w:p>
    <w:p w:rsidR="00611878" w:rsidRDefault="00672C55">
      <w:pPr>
        <w:spacing w:line="366" w:lineRule="auto"/>
        <w:ind w:left="561" w:right="707"/>
      </w:pPr>
      <w:r>
        <w:rPr>
          <w:sz w:val="24"/>
        </w:rPr>
        <w:t xml:space="preserve">Nella fase conclusiva della guerra, le connotazioni fisiche sono diventate sempre più importanti per delineare il profilo di eventuali criminali politici. Ogni qualvolta si procedeva alla schedatura di un arrestato, si procedeva alla descrizione già dalle righe di accompagnamento che il Prefetto scriveva per inviare i dati al Casellario Politico Centrale, come testimonia la lettera del prefetto di Gorizia che il 27 aprile 1944 segnala un ragazzino classe 1929: </w:t>
      </w:r>
    </w:p>
    <w:p w:rsidR="00611878" w:rsidRDefault="00672C55">
      <w:pPr>
        <w:ind w:left="1438" w:right="706"/>
      </w:pPr>
      <w:r>
        <w:t>Il predetto non aveva dato mai luogo a specifici rilievi in linea politica ed a suo carico non si rilevano pregiudizi penali. Prima del suo passaggio ai ribelli esercitava il mestiere di panettiere e trovavasi in modeste condizioni economiche. Si allegano due copie di una sua fotografia e se ne trascrivono qui di seguito i connotati: alto m. 1,40 – corp. Normale – occhi cerulei – naso regolare – capelli biondi castani – viso ovale – sopracciglia folte.</w:t>
      </w:r>
      <w:r>
        <w:rPr>
          <w:vertAlign w:val="superscript"/>
        </w:rPr>
        <w:footnoteReference w:id="34"/>
      </w:r>
      <w:r>
        <w:t xml:space="preserve">  </w:t>
      </w:r>
    </w:p>
    <w:p w:rsidR="00611878" w:rsidRDefault="00672C55">
      <w:pPr>
        <w:spacing w:after="0" w:line="259" w:lineRule="auto"/>
        <w:ind w:left="566" w:right="0" w:firstLine="0"/>
        <w:jc w:val="left"/>
      </w:pPr>
      <w:r>
        <w:t xml:space="preserve"> </w:t>
      </w:r>
    </w:p>
    <w:p w:rsidR="00611878" w:rsidRDefault="00672C55">
      <w:pPr>
        <w:spacing w:line="366" w:lineRule="auto"/>
        <w:ind w:left="561" w:right="707"/>
      </w:pPr>
      <w:r>
        <w:rPr>
          <w:sz w:val="24"/>
        </w:rPr>
        <w:t xml:space="preserve">Hitler aveva da sempre impregnato la sua figura di un’aurea di mistero che lo mostrava al mondo quasi come una divinità. Facendo appello al Führerprinzip, grazie ad un’opera di propaganda straordinaria portata avanti dai suoi uomini di fiducia, la lenta ascesa al potere ideata negli anni ’20, portata a termine negli anni ’30, aveva contribuito a consolidare la consapevolezza comune che Hitler incarnasse una figura salvifica, messianica, alla quale il popolo tedesco doveva affidarsi per ottenere la vittoria finale. </w:t>
      </w:r>
    </w:p>
    <w:p w:rsidR="00611878" w:rsidRDefault="00672C55">
      <w:pPr>
        <w:spacing w:line="366" w:lineRule="auto"/>
        <w:ind w:left="561" w:right="707"/>
      </w:pPr>
      <w:r>
        <w:rPr>
          <w:sz w:val="24"/>
        </w:rPr>
        <w:t xml:space="preserve">  La recente analisi di Giorgio Galli nel saggio “</w:t>
      </w:r>
      <w:r>
        <w:rPr>
          <w:i/>
          <w:sz w:val="24"/>
        </w:rPr>
        <w:t>Hitler e  la cultura occulta</w:t>
      </w:r>
      <w:r>
        <w:rPr>
          <w:sz w:val="24"/>
        </w:rPr>
        <w:t xml:space="preserve">”, evidenzia come questa concezione derivi dalle influenze esoteriche che il circolo di Thule ha esercitato sia su Adolf Hitler che su altri influenti gerarchi del NSDAP. Il termine Führer nasce in concomitanza all’ascesa al potere in Italia di Benito Mussolini, ma si declina con caratteristiche completamente diverse.  </w:t>
      </w:r>
    </w:p>
    <w:p w:rsidR="00611878" w:rsidRDefault="00672C55">
      <w:pPr>
        <w:spacing w:line="366" w:lineRule="auto"/>
        <w:ind w:left="561" w:right="707"/>
      </w:pPr>
      <w:r>
        <w:rPr>
          <w:sz w:val="24"/>
        </w:rPr>
        <w:t xml:space="preserve">  Hitler, infatti, non è percepito solamente come una guida politica e militare, ma come un essere che sappia infondere saggezza e spiritualità, come scriveva un giovane Rudolf Heß nell’autunno 1922 </w:t>
      </w:r>
    </w:p>
    <w:p w:rsidR="00611878" w:rsidRDefault="00672C55">
      <w:pPr>
        <w:spacing w:after="36"/>
        <w:ind w:left="1438" w:right="706"/>
      </w:pPr>
      <w:r>
        <w:t xml:space="preserve"> deve riassumere in sé le sane tendenze spirituali del suo tempo e riscaraventarle poi, fuse in un’idea elettrizzante, nella massa. […]. Lui stesso non ha niente in comune con la massa, è tutto personalità, come ogni Grande. La forza della personalità irradia qualcosa che avvince necessariamente chi sta attorno e si estende poi a cerchie sempre maggiori. Il popolo anela a un vero Führer libero da ogni mercanteggiamento di partito, a un Führer puro, dotato di autenticità interiore.</w:t>
      </w:r>
      <w:r>
        <w:rPr>
          <w:vertAlign w:val="superscript"/>
        </w:rPr>
        <w:footnoteReference w:id="35"/>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Come evidenziato anche da Hannah Arendt nel suo saggio “Le origini del totalitarismo” nel capitolo dedicato all’imperialismo </w:t>
      </w:r>
    </w:p>
    <w:p w:rsidR="00611878" w:rsidRDefault="00672C55">
      <w:pPr>
        <w:spacing w:after="44"/>
        <w:ind w:left="1438" w:right="706"/>
      </w:pPr>
      <w:r>
        <w:t xml:space="preserve">  L’insistenza dei nazionalismi tedeschi, durante e dopo la guerra del 1814, sui vincoli di sangue come presupposto essenziale per la nazione e il risalto dato dai romantici alla </w:t>
      </w:r>
      <w:r>
        <w:lastRenderedPageBreak/>
        <w:t>personalità innata e alla nobiltà naturale prepararono la via al pensiero razzista in Germania. Dalla prima derivò la concezione organica della storia con le sue leggi naturali; dal secondo nacque, verso la fine del secolo, il superuomo, il grottesco omuncolo destinato dalla natura a governare il mondo. […]. Una volta fusesi [le due tendenze], esse formarono la piattaforma del razzismo come ideologia.</w:t>
      </w:r>
      <w:r>
        <w:rPr>
          <w:vertAlign w:val="superscript"/>
        </w:rPr>
        <w:footnoteReference w:id="36"/>
      </w:r>
      <w:r>
        <w:t xml:space="preserve"> </w:t>
      </w:r>
    </w:p>
    <w:p w:rsidR="00611878" w:rsidRDefault="00672C55">
      <w:pPr>
        <w:spacing w:after="138" w:line="259" w:lineRule="auto"/>
        <w:ind w:left="566" w:right="0" w:firstLine="0"/>
        <w:jc w:val="left"/>
      </w:pPr>
      <w:r>
        <w:rPr>
          <w:sz w:val="24"/>
        </w:rPr>
        <w:t xml:space="preserve">  </w:t>
      </w:r>
    </w:p>
    <w:p w:rsidR="00611878" w:rsidRDefault="00672C55">
      <w:pPr>
        <w:spacing w:line="366" w:lineRule="auto"/>
        <w:ind w:left="561" w:right="707"/>
      </w:pPr>
      <w:r>
        <w:rPr>
          <w:sz w:val="24"/>
        </w:rPr>
        <w:t xml:space="preserve">  Nel “Mein Kampf” Hitler si sofferma nella descrizione dello Stato come comunità di persone produttive e utili a tutta la comunità, sotto la guida di un leader carismatico e di un partito.   </w:t>
      </w:r>
    </w:p>
    <w:p w:rsidR="00611878" w:rsidRDefault="00672C55">
      <w:pPr>
        <w:spacing w:after="36" w:line="366" w:lineRule="auto"/>
        <w:ind w:left="561" w:right="707"/>
      </w:pPr>
      <w:r>
        <w:rPr>
          <w:sz w:val="24"/>
        </w:rPr>
        <w:t xml:space="preserve">  Sebbene in un primo tempo la figura di Hitler venga spesso paragonata e sovrapposta a quella del Duce, l’assenza della Chiesa, come parte socialmente dominante e della monarchia come cardine istituzionale, consente ad Adolf Hitler di avere margini propagandistici e agiografici maggiori rispetto a Benito Mussolini.  </w:t>
      </w:r>
    </w:p>
    <w:p w:rsidR="00611878" w:rsidRDefault="00672C55">
      <w:pPr>
        <w:spacing w:line="366" w:lineRule="auto"/>
        <w:ind w:left="561" w:right="707"/>
      </w:pPr>
      <w:r>
        <w:rPr>
          <w:sz w:val="24"/>
        </w:rPr>
        <w:t xml:space="preserve">  Fino ai primi mesi del 1923 l’utilizzo del termine “Führer” è assolutamente limitato, per poi fare la sua comparsa prepotentemente a partire dal 20 aprile di quello stesso anno, giorno del compleanno del capo e data che diventerà un simbolo di rinascita e di morte, in un editoriale di Alfred Rosenberg sul giornale di partito “Völkischer Beobachter” in cui Hitler viene </w:t>
      </w:r>
    </w:p>
    <w:p w:rsidR="00611878" w:rsidRDefault="00672C55">
      <w:pPr>
        <w:spacing w:after="31" w:line="366" w:lineRule="auto"/>
        <w:ind w:left="561" w:right="707"/>
      </w:pPr>
      <w:r>
        <w:rPr>
          <w:sz w:val="24"/>
        </w:rPr>
        <w:t xml:space="preserve">esplicitamente identificato come “il Führer del popolo tedesco” e, successivamente per rimarcare questo concetto, nel 1930 nel suo testo “Il mito del XX secolo” utilizza spesso, come fosse un refrain, l’espressione “wie der Glaube, so der Mensch” [come il Credo, così l’Uomo]. </w:t>
      </w:r>
    </w:p>
    <w:p w:rsidR="00611878" w:rsidRDefault="00672C55">
      <w:pPr>
        <w:spacing w:after="39" w:line="366" w:lineRule="auto"/>
        <w:ind w:left="561" w:right="707"/>
      </w:pPr>
      <w:r>
        <w:rPr>
          <w:sz w:val="24"/>
        </w:rPr>
        <w:t xml:space="preserve">  La presa del potere segna un momento di cesura con il passato e di consolidamento della personalità di Hitler come individuo messianico. Tutta la propaganda viene impostata su questo principio cardine ed anche in pubblico il Führer inizia ad apparire all’improvviso, ad essere acclamato. La spianata e il palco di marmo dove si teneva</w:t>
      </w:r>
      <w:r w:rsidR="000E485B">
        <w:rPr>
          <w:sz w:val="24"/>
        </w:rPr>
        <w:t>no i raduni della HJ è concepita</w:t>
      </w:r>
      <w:r>
        <w:rPr>
          <w:sz w:val="24"/>
        </w:rPr>
        <w:t xml:space="preserve"> appositamente per permettere al capo un’entrata in scena teatrale, aumentando l’attesa ed il desiderio. Il lavoro coreografico di Leni Riefensthal è determinante per mandare a tutta la Germania un messaggio di ordine e sicurezza, ma soprattutto, per diffondere l’idea del leader imbattibile al quale affidarsi per non commettere più gli errori di Versailles ed essere condotti alla vittoria finale. </w:t>
      </w:r>
    </w:p>
    <w:p w:rsidR="00611878" w:rsidRDefault="00672C55">
      <w:pPr>
        <w:spacing w:line="366" w:lineRule="auto"/>
        <w:ind w:left="561" w:right="707"/>
      </w:pPr>
      <w:r>
        <w:rPr>
          <w:sz w:val="24"/>
        </w:rPr>
        <w:t xml:space="preserve">  Hitler, dunque, non è l’Uomo della Provvidenza, è molto di più, è la sintesi, l’incarnazione della volontà di un popolo che era stato sconfitto e umiliato. Con la presa del potere, inoltre, si assiste ad un’ulteriore sviluppo della percezione della figura del Führer. Fino a quel momento, infatti, Hitler identificava in Mussolini il suo modello politico di azione, ma la maggiore libertà dovuta alla differente forma-stato, consentiva al leader nazista di essere absolutus e di costruirsi </w:t>
      </w:r>
      <w:r>
        <w:rPr>
          <w:sz w:val="24"/>
        </w:rPr>
        <w:lastRenderedPageBreak/>
        <w:t>il sistema ad uso e consumo, a partire dall’esercito, la GeStaPo, le SS e le SA. L’obbiettivo di contrastare l’inflazione dilagante e la crisi economica, eliminando qualunque elemento sociale possa esserne causa, conferisce anche uno scopo tangibile al ruolo messianico di Hitler e porta all’accettazione dell’arresto di circa 26.000 prigionieri</w:t>
      </w:r>
      <w:r>
        <w:rPr>
          <w:sz w:val="24"/>
          <w:vertAlign w:val="superscript"/>
        </w:rPr>
        <w:footnoteReference w:id="37"/>
      </w:r>
      <w:r>
        <w:rPr>
          <w:sz w:val="24"/>
        </w:rPr>
        <w:t xml:space="preserve"> politici solo nel primo periodo del potere. </w:t>
      </w:r>
    </w:p>
    <w:p w:rsidR="00611878" w:rsidRDefault="00672C55">
      <w:pPr>
        <w:spacing w:line="366" w:lineRule="auto"/>
        <w:ind w:left="561" w:right="707"/>
      </w:pPr>
      <w:r>
        <w:rPr>
          <w:sz w:val="24"/>
        </w:rPr>
        <w:t xml:space="preserve">  L’identificazione del Führer come il condottiero salvifico dello Stato, rende, quindi, molto complesso qualunque tentativo di attacco alla persona. Questo è indicativo delle difficoltà del popolo tedesco a ribellarsi e ad attentare alla sua vita. </w:t>
      </w:r>
    </w:p>
    <w:p w:rsidR="00611878" w:rsidRDefault="00672C55">
      <w:pPr>
        <w:spacing w:line="366" w:lineRule="auto"/>
        <w:ind w:left="561" w:right="707"/>
      </w:pPr>
      <w:r>
        <w:rPr>
          <w:sz w:val="24"/>
        </w:rPr>
        <w:t xml:space="preserve">  Spesso, si tende a descrivere il popolo tedesco come totalmente passivo ed indifferente agli orrori del regime nazista, in realtà spesso è irretito dalla convinzione che infondo Hitler abbia un’aurea di sacralità.  </w:t>
      </w:r>
    </w:p>
    <w:p w:rsidR="00611878" w:rsidRDefault="00672C55">
      <w:pPr>
        <w:spacing w:line="366" w:lineRule="auto"/>
        <w:ind w:left="561" w:right="707"/>
      </w:pPr>
      <w:r>
        <w:rPr>
          <w:sz w:val="24"/>
        </w:rPr>
        <w:t xml:space="preserve">  Questo non impedisce, ovviamente, tentativi individuali e isolati di attacco al capo e al sistema. Già a partire dal 1933 iniziano i primi tentativi di ammutinamento da parte di rappresentanti delle istituzioni. Tra questi, il borgomastro di Lipsia Carl Gördeler che ha immediatamente rifiutato l’ordine di issare il vessillo con la svastica sul municipio della sua città, fino a dare le dimissioni quando nel 1936 è stato deciso di rimuovere il monumento dedicato a Mendelssohn. </w:t>
      </w:r>
    </w:p>
    <w:p w:rsidR="00611878" w:rsidRDefault="00672C55">
      <w:pPr>
        <w:spacing w:line="366" w:lineRule="auto"/>
        <w:ind w:left="561" w:right="707"/>
      </w:pPr>
      <w:r>
        <w:rPr>
          <w:sz w:val="24"/>
        </w:rPr>
        <w:t xml:space="preserve">  Il passo successivo che si era pesato durante il conflitto mondiale sarebbe stato determinante per iniziare a porre effettivamente le basi della costruzione della futura generazione: il varo di un nuovo codice sul matrimonio, che prevedeva l’abolizione della monogamia per la “casta direttiva” delle SS da estendere progressivamente anche ai soldati valorosi che erano stati insigniti della Croce d’oro e la Croce di Cavaliere. Si era pensato, inoltre, che l’introduzione della poligamia all’interno di una famiglia avrebbe potuto creare delle tensioni e della confusione, quindi, si era pensato di attribuire il titolo di </w:t>
      </w:r>
      <w:r>
        <w:rPr>
          <w:i/>
          <w:sz w:val="24"/>
        </w:rPr>
        <w:t xml:space="preserve">domina </w:t>
      </w:r>
      <w:r>
        <w:rPr>
          <w:sz w:val="24"/>
        </w:rPr>
        <w:t xml:space="preserve">alla favorita; lo scopo finale era quello di produrre più figli contemporaneamente, come </w:t>
      </w:r>
      <w:r w:rsidR="000E485B">
        <w:rPr>
          <w:sz w:val="24"/>
        </w:rPr>
        <w:t xml:space="preserve">se le donne </w:t>
      </w:r>
      <w:r>
        <w:rPr>
          <w:sz w:val="24"/>
        </w:rPr>
        <w:t>fosse</w:t>
      </w:r>
      <w:r w:rsidR="000E485B">
        <w:rPr>
          <w:sz w:val="24"/>
        </w:rPr>
        <w:t>ro</w:t>
      </w:r>
      <w:r>
        <w:rPr>
          <w:sz w:val="24"/>
        </w:rPr>
        <w:t xml:space="preserve"> la catena di montaggio di una fabbrica, per poter diventare maggioranza ed in questo senso è significativa l’esortazione di Bormann del 28 ottobre 1939 a riprodursi fuori del matrimonio: “Gli uomini onesti, di carattere, sani fisicamente e psichicamente … svolgano un’attività riproduttiva più intensa”.  </w:t>
      </w:r>
    </w:p>
    <w:p w:rsidR="00611878" w:rsidRDefault="00672C55">
      <w:pPr>
        <w:spacing w:line="366" w:lineRule="auto"/>
        <w:ind w:left="561" w:right="707"/>
      </w:pPr>
      <w:r>
        <w:rPr>
          <w:sz w:val="24"/>
        </w:rPr>
        <w:t xml:space="preserve">  A questo scopo Heinrich Himmler aveva pensato anche a dei premi per incentivare le coppie in cui l’uomo era un membro effettivo delle SS ad essere prolifici ed a raggiungere l’obbiettivo </w:t>
      </w:r>
      <w:r>
        <w:rPr>
          <w:sz w:val="24"/>
        </w:rPr>
        <w:lastRenderedPageBreak/>
        <w:t xml:space="preserve">minimo richiesto dai suoi programmi di 4 figli per coppia: alla nascita del primo veniva donato un fiocco e un bavaglino di seta azzurra, mentre al raggiungimento dell’obbiettivo si riceveva una coppa ed un cucchiaio in argento.  </w:t>
      </w:r>
    </w:p>
    <w:p w:rsidR="00611878" w:rsidRDefault="00672C55">
      <w:pPr>
        <w:spacing w:line="366" w:lineRule="auto"/>
        <w:ind w:left="561" w:right="707"/>
      </w:pPr>
      <w:r>
        <w:rPr>
          <w:sz w:val="24"/>
        </w:rPr>
        <w:t xml:space="preserve">  Esempio di rettitudine e cieca approvazione del progetto è, sicuramente, Gerda Bormann che, dopo aver incoraggiato il marito a corteggiare un’altra donna, </w:t>
      </w:r>
      <w:r w:rsidR="000E485B">
        <w:rPr>
          <w:sz w:val="24"/>
        </w:rPr>
        <w:t>ha proposto</w:t>
      </w:r>
      <w:r>
        <w:rPr>
          <w:sz w:val="24"/>
        </w:rPr>
        <w:t xml:space="preserve"> di andare a vivere tutti insieme in modo tale da potersi aiutare a vicenda durante le gravidanze e occuparsi insieme dell’educazione dei figli, come in un harem. Ella, inoltre, rispondeva perfettamente agli ideali nazisti di moglie devota, sottomessa e con una spiccata rigidità ideologica che aveva assicurato a Hilter una serva devota.  </w:t>
      </w:r>
    </w:p>
    <w:p w:rsidR="00611878" w:rsidRDefault="00672C55">
      <w:pPr>
        <w:spacing w:line="366" w:lineRule="auto"/>
        <w:ind w:left="561" w:right="707"/>
      </w:pPr>
      <w:r>
        <w:rPr>
          <w:sz w:val="24"/>
        </w:rPr>
        <w:t xml:space="preserve">  Eppure, nonostante la dedizione dei suoi uomini al progetto di moltiplicazione della razza ariana, il Führer non fornisce il suo contributo genetico, non ha figli, nonostante le amanti ed il lungo rapporto con Eva Braun. Di fatto, però, si hanno alberi genealogici vaghi e molto </w:t>
      </w:r>
      <w:r w:rsidR="000E485B">
        <w:rPr>
          <w:sz w:val="24"/>
        </w:rPr>
        <w:t xml:space="preserve">incerte </w:t>
      </w:r>
      <w:r>
        <w:rPr>
          <w:sz w:val="24"/>
        </w:rPr>
        <w:t>di Adolf Hitler e proprio queste sue origini confuse pongono una forte ombra sulla purezza razziale del leader. La motivazione, però, potrebbe essere più banale. Date le note sindromi paranoiche e ipocondriache che impedivano al Führer</w:t>
      </w:r>
      <w:r w:rsidR="000E485B">
        <w:rPr>
          <w:sz w:val="24"/>
        </w:rPr>
        <w:t xml:space="preserve"> di avere</w:t>
      </w:r>
      <w:r>
        <w:rPr>
          <w:sz w:val="24"/>
        </w:rPr>
        <w:t xml:space="preserve"> un normale rapporto e approccio con le persone, quindi, tantomeno una relazione intima con una donna. </w:t>
      </w:r>
    </w:p>
    <w:p w:rsidR="00611878" w:rsidRDefault="00672C55">
      <w:pPr>
        <w:spacing w:line="366" w:lineRule="auto"/>
        <w:ind w:left="561" w:right="707"/>
      </w:pPr>
      <w:r>
        <w:rPr>
          <w:sz w:val="24"/>
        </w:rPr>
        <w:t xml:space="preserve">Durante la guerra, era concessa una licenza speciale di un anno ai militari delle SS che fossero </w:t>
      </w:r>
      <w:r w:rsidR="000E485B">
        <w:rPr>
          <w:sz w:val="24"/>
        </w:rPr>
        <w:t>celibi</w:t>
      </w:r>
      <w:r>
        <w:rPr>
          <w:sz w:val="24"/>
        </w:rPr>
        <w:t xml:space="preserve">, per permettere loro di trovare una ragazza ariana, sposarla e procreare, quindi era comune trovare sul giornale annunci come </w:t>
      </w:r>
    </w:p>
    <w:p w:rsidR="00611878" w:rsidRDefault="00672C55">
      <w:pPr>
        <w:ind w:left="1438" w:right="706"/>
      </w:pPr>
      <w:r>
        <w:t xml:space="preserve">52enne medico, ariano puro,  </w:t>
      </w:r>
    </w:p>
    <w:p w:rsidR="00611878" w:rsidRDefault="00672C55">
      <w:pPr>
        <w:spacing w:line="246" w:lineRule="auto"/>
        <w:ind w:left="1414" w:right="2442"/>
        <w:jc w:val="left"/>
      </w:pPr>
      <w:r>
        <w:t xml:space="preserve">combattente al Tannenberg, intenzionato a stabilirsi in una fattoria desidera figli maschi attraverso matrimonio conveniente con donna sana, religiosa, giovanile, modesta  </w:t>
      </w:r>
    </w:p>
    <w:p w:rsidR="00611878" w:rsidRDefault="00672C55">
      <w:pPr>
        <w:spacing w:after="32"/>
        <w:ind w:left="1438" w:right="706"/>
      </w:pPr>
      <w:r>
        <w:t>con tacchi bassi, senza orecchini, possibilmente nullatenente.</w:t>
      </w:r>
      <w:r>
        <w:rPr>
          <w:vertAlign w:val="superscript"/>
        </w:rPr>
        <w:footnoteReference w:id="38"/>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after="47" w:line="366" w:lineRule="auto"/>
        <w:ind w:left="551" w:right="707" w:firstLine="708"/>
      </w:pPr>
      <w:r>
        <w:rPr>
          <w:sz w:val="24"/>
        </w:rPr>
        <w:t xml:space="preserve">Il progetto nazista di epurazione del mondo dalle razze inferiori non prevedeva solamente l’eliminazione degli individui inutili, bensì, la creazione a tavolino di esseri perfetti che avrebbero popolato il mondo. Per perseguire questo scopo il 12 dicembre 1935 Himmler ha emanato una legge che permetteva la creazione di centri per l’assistenza delle gestanti. </w:t>
      </w:r>
    </w:p>
    <w:p w:rsidR="00611878" w:rsidRDefault="00672C55">
      <w:pPr>
        <w:spacing w:after="36" w:line="366" w:lineRule="auto"/>
        <w:ind w:left="561" w:right="707"/>
      </w:pPr>
      <w:r>
        <w:rPr>
          <w:sz w:val="24"/>
        </w:rPr>
        <w:t xml:space="preserve">Ovviamente, l’accesso a queste case non era aperto a tutte, erano luoghi per le elette che portavano in grembo la perfezione, frutto di incroci genetici appositamente studiati ed incoraggiati già nell’indottrinamento delle SS e della Wehrmacht. Con lo scoppio del conflitto, il progetto ha allargato i suoi orizzonti andando a conquistare i territori delle donne ariane per </w:t>
      </w:r>
      <w:r>
        <w:rPr>
          <w:sz w:val="24"/>
        </w:rPr>
        <w:lastRenderedPageBreak/>
        <w:t xml:space="preserve">eccellenza: le scandinave e, soprattutto le norvegesi. Esse accettavano volontariamente l’accoppiamento per amore e, una volta incinte, non dovevano fare altro che rivolgersi ai centri del Lebensborn per ricevere tutta l’assistenza di cui avevano bisogno. La maggior parte delle ragazze veniva rifiutata dalle famiglie di origine o dal villaggio di provenienza perché considerate collaborazioniste degli occupanti o, quantomeno, prostitute.  </w:t>
      </w:r>
    </w:p>
    <w:p w:rsidR="00611878" w:rsidRDefault="00672C55">
      <w:pPr>
        <w:spacing w:line="366" w:lineRule="auto"/>
        <w:ind w:left="561" w:right="707"/>
      </w:pPr>
      <w:r>
        <w:rPr>
          <w:sz w:val="24"/>
        </w:rPr>
        <w:t xml:space="preserve"> Con il proseguo della guerra e l’espansione tedesca, il progetto, però, ha dovuto obbligatoriamente dilatare le proprie frontiere. Un soldato che viene addestrato allo stupro etnico o comunque a non porsi limiti, infatti, non riesce a pensare se la donna che ha davanti è razzialmente pura: la guerra è guerra. Al termine del conflitto, quindi, l’Europa era disseminata di figli metà tedeschi e metà norvegesi, danesi, olandesi, francesi, ucraini… le cui madri erano socialmente finite e le loro creature considerate dai più dei delinquenti perché frutto dell’incrocio tra una puttana ed un assassino tedesco. Questi “frutti della guerra”, come sono stati definiti da Ericsson e Simonsen nell’introduzione alla loro raccolta di saggi sull’argomento dal titolo </w:t>
      </w:r>
      <w:r>
        <w:rPr>
          <w:i/>
          <w:sz w:val="24"/>
        </w:rPr>
        <w:t>I figli di Hitler</w:t>
      </w:r>
      <w:r>
        <w:rPr>
          <w:sz w:val="24"/>
        </w:rPr>
        <w:t xml:space="preserve">, erano uno scandalo, la vergogna nazionale da tenere nascosta e della quale sbarazzarsi al più presto. La Norvegia, già nel novembre 1945, aveva raggiunto un accordo con il governo australiano per inviarne 9 000 nel Nuovissimo Continente e popolarne, così, il deserto centrale. Il progetto è naufragato nella burocrazia e negli ovvi scontri per le questioni etiche che un piano simile avrebbe sollevato. </w:t>
      </w:r>
    </w:p>
    <w:p w:rsidR="00611878" w:rsidRDefault="00672C55">
      <w:pPr>
        <w:spacing w:line="366" w:lineRule="auto"/>
        <w:ind w:left="561" w:right="707"/>
      </w:pPr>
      <w:r>
        <w:rPr>
          <w:sz w:val="24"/>
        </w:rPr>
        <w:t xml:space="preserve">  Il metodo più indolore utilizzato dai governi per allontanare la pietra dello scandalo era mandare in Germania madre e figlio ed affidare ai tedeschi oneri e onori, come un pacco postale. Arrivati in terra teutonica, ovviamente, non conoscevano la lingua e cominciavano una vita da sballati, senza riferimenti o aiuti sociali. Questo è un modo per non affrontare i problemi e, soprattutto non affrontare la propria storia. Allontanare la verità non fa sì che questa scompaia, prima o poi si ripresenta con il conto da pagare, quantomeno al livello morale.     </w:t>
      </w:r>
    </w:p>
    <w:p w:rsidR="00611878" w:rsidRDefault="00672C55">
      <w:pPr>
        <w:spacing w:after="130" w:line="366" w:lineRule="auto"/>
        <w:ind w:left="561" w:right="707"/>
      </w:pPr>
      <w:r>
        <w:rPr>
          <w:sz w:val="24"/>
        </w:rPr>
        <w:t xml:space="preserve">  Il 13 settembre 1936 ha avuto inizio il programma denominato Lebensborn che voleva applicare quest’ottica su larga scala e creare bambini modello da usare per l’occupazione del mondo ed il dominio della razza più forte sulle più deboli. La direzione del piano è stata affidata a Max Sollmann con l’obbiettivo di fornire assistenza e sostegno alle famiglie numerose, essere un punto di riferimento per le donne ariane incinte e, successivamente ai figli, come lo stesso </w:t>
      </w:r>
    </w:p>
    <w:p w:rsidR="00611878" w:rsidRDefault="00672C55">
      <w:pPr>
        <w:spacing w:line="366" w:lineRule="auto"/>
        <w:ind w:left="561" w:right="707"/>
      </w:pPr>
      <w:r>
        <w:rPr>
          <w:sz w:val="24"/>
        </w:rPr>
        <w:t xml:space="preserve">Himmler aveva dichiarato, l’obbiettivo era quello di un cambiamento radicale della società partendo da quattro punti principali: 1) protezione delle famiglie e dei bambini razzialmente puri che discendono da avi certificati e che possono garantire una discendenza idonea al </w:t>
      </w:r>
      <w:r>
        <w:rPr>
          <w:sz w:val="24"/>
        </w:rPr>
        <w:lastRenderedPageBreak/>
        <w:t xml:space="preserve">progetto, 2) protezione delle madri sole, o ragazze madri, sempre dopo aver controllato la discendenza razziale, 3) prendersi cura dei bambini, 4) prendersi cura delle madri dei bambini. Himmler aveva previsto anche le età giuste per la paternità </w:t>
      </w:r>
    </w:p>
    <w:p w:rsidR="00611878" w:rsidRDefault="00672C55">
      <w:pPr>
        <w:spacing w:line="356" w:lineRule="auto"/>
        <w:ind w:left="1438" w:right="706"/>
      </w:pPr>
      <w:r>
        <w:t xml:space="preserve"> Ho stabilito che un maschio dai 25 ai 26 anni che lavorano possano sposarsi. Da questo assunto, ho deciso che un uomo delle SS o ufficiale delle SS è sposato a 25 anni, se si sposa a </w:t>
      </w:r>
    </w:p>
    <w:p w:rsidR="00611878" w:rsidRDefault="00672C55">
      <w:pPr>
        <w:spacing w:line="374" w:lineRule="auto"/>
        <w:ind w:left="1438" w:right="706"/>
      </w:pPr>
      <w:r>
        <w:t>26 anni deve dare all’organizzazione del Lebensborn l’1%, se a 27 il 2% e così via. Se poi ha un solo figlio deve versare tra il 7 e l’8% del suo stipendio netto.</w:t>
      </w:r>
      <w:r>
        <w:rPr>
          <w:vertAlign w:val="superscript"/>
        </w:rPr>
        <w:footnoteReference w:id="39"/>
      </w:r>
      <w:r>
        <w:t xml:space="preserve"> </w:t>
      </w:r>
    </w:p>
    <w:p w:rsidR="00611878" w:rsidRDefault="00672C55">
      <w:pPr>
        <w:spacing w:after="159" w:line="259" w:lineRule="auto"/>
        <w:ind w:left="566" w:right="0" w:firstLine="0"/>
        <w:jc w:val="left"/>
      </w:pPr>
      <w:r>
        <w:rPr>
          <w:sz w:val="24"/>
        </w:rPr>
        <w:t xml:space="preserve"> </w:t>
      </w:r>
    </w:p>
    <w:p w:rsidR="00611878" w:rsidRPr="00D806E2" w:rsidRDefault="00672C55">
      <w:pPr>
        <w:spacing w:line="366" w:lineRule="auto"/>
        <w:ind w:left="561" w:right="707"/>
        <w:rPr>
          <w:sz w:val="24"/>
          <w:szCs w:val="24"/>
        </w:rPr>
      </w:pPr>
      <w:r w:rsidRPr="00D806E2">
        <w:rPr>
          <w:sz w:val="24"/>
          <w:szCs w:val="24"/>
        </w:rPr>
        <w:t xml:space="preserve">  Il Lebensborn trae la sua origine da un’idea di Himmler: ritrovare i caratteri della razza ariana e selezionarla, moltiplicarla a tavolino con l’aiuto della scienza, per rafforzare il Reich di domani e dargli soldati valorosi per conquistare il mondo. Il piano prevedeva di spargere il seme germanico nei territori conquistati, rafforzando così l’occupazione militare. Le donne incinte, che avevano l’onore di portare in grembo i futuri dominatori del mondo, erano seguite da strutture apposite, degli </w:t>
      </w:r>
      <w:r w:rsidRPr="00D806E2">
        <w:rPr>
          <w:i/>
          <w:sz w:val="24"/>
          <w:szCs w:val="24"/>
        </w:rPr>
        <w:t>Heime</w:t>
      </w:r>
      <w:r w:rsidRPr="00D806E2">
        <w:rPr>
          <w:sz w:val="24"/>
          <w:szCs w:val="24"/>
        </w:rPr>
        <w:t xml:space="preserve"> dove madri e figli erano adeguatamente ricoverati. Gli impiegati erano accuratamente selezionati su base razziale e se si riscontravano errori si provvedeva subito a rimediare:  Nel settembre 1938 l’infermiera Ida T. rimase improvvisamente senza lavoro […]. Cosa aveva sbagliato? Forse aveva picchiato un bambino? O aveva lasciato un vasetto troppo vuoto? O  aveva rubato dei dolci? […] Niente di tutto questo. La signora Ida T. non corrispondeva ai criteri razziali per poter lavorare in un centro del Lebensborn!  </w:t>
      </w:r>
    </w:p>
    <w:p w:rsidR="00611878" w:rsidRDefault="00672C55">
      <w:pPr>
        <w:spacing w:after="61" w:line="366" w:lineRule="auto"/>
        <w:ind w:left="561" w:right="707"/>
      </w:pPr>
      <w:r w:rsidRPr="00D806E2">
        <w:rPr>
          <w:sz w:val="24"/>
          <w:szCs w:val="24"/>
        </w:rPr>
        <w:t xml:space="preserve">  Con questo programma Himmler vuole sovvertire i canoni della morale classica, in favore di una concezione nazionalsocialistica</w:t>
      </w:r>
      <w:r>
        <w:rPr>
          <w:sz w:val="24"/>
        </w:rPr>
        <w:t xml:space="preserve"> della comunità familiare, basata non più sul rapporto padre, madre, figli, in cui la prole era un fatto privato, ma un nuovo concetto con al centro la collettività dello stato che alleva i figli al servizio di qualcosa di più grande.</w:t>
      </w:r>
      <w:r>
        <w:rPr>
          <w:sz w:val="24"/>
          <w:vertAlign w:val="superscript"/>
        </w:rPr>
        <w:footnoteReference w:id="40"/>
      </w:r>
      <w:r>
        <w:rPr>
          <w:sz w:val="24"/>
        </w:rPr>
        <w:t xml:space="preserve">  </w:t>
      </w:r>
    </w:p>
    <w:p w:rsidR="00611878" w:rsidRDefault="00672C55">
      <w:pPr>
        <w:spacing w:after="35" w:line="366" w:lineRule="auto"/>
        <w:ind w:left="561" w:right="707"/>
      </w:pPr>
      <w:r>
        <w:rPr>
          <w:sz w:val="24"/>
        </w:rPr>
        <w:t xml:space="preserve">  L’obbiettivo principale di questi centri era quello di preservare la razza superiore da qualsiasi possibile elemento di inquinamento, quindi, l’espansione del progetto ha riguardato in particolar modo la parte orientale del Reich dove era più forte la possibilità di contatto con gli slavi. </w:t>
      </w:r>
    </w:p>
    <w:p w:rsidR="00611878" w:rsidRDefault="00672C55">
      <w:pPr>
        <w:spacing w:line="366" w:lineRule="auto"/>
        <w:ind w:left="561" w:right="707"/>
      </w:pPr>
      <w:r>
        <w:rPr>
          <w:sz w:val="24"/>
        </w:rPr>
        <w:lastRenderedPageBreak/>
        <w:t xml:space="preserve">  Gli articoli in materia di purezza della razza si sprecano ed è interessante notare come nel 1941 e 1942, all’indomani dell’attacco all’Unione Sovietica, anche in Italia pare scatenarsi una campagna di stampa a favore della selezione eugenica della popolazione fertile e dei nascituri volta a terrorizzare la popolazione dai possibili invasori sovietici. La partenza è soft poiché i primi articoli comparsi su “La difesa della razza” sottolineano la facilità di trasmissione di alcuni difetti ereditari quali il daltonismo o le malattie ereditarie legate al sesso, per poi passare alla ereditarietà di un “germe di inferiorità” come la prostituzione o l’alcolismo. Gli schemi di mendelsoniana memoria sono corredati di immagini per essere più convincenti, ed esaltare i matrimoni con razze analoghe che rafforzano e continuano la specie, e denigrare quelli con razze inferiori. In un articolo a firma di Guido Landra si fa riferimento alle teorie in voga in Germania e si richiede con forza la traduzione del libro </w:t>
      </w:r>
      <w:r>
        <w:rPr>
          <w:i/>
          <w:sz w:val="24"/>
        </w:rPr>
        <w:t xml:space="preserve">“Leitfaden Rassenygiene” di Otmar Verschuer </w:t>
      </w:r>
    </w:p>
    <w:p w:rsidR="00611878" w:rsidRDefault="00672C55">
      <w:pPr>
        <w:spacing w:after="29"/>
        <w:ind w:left="1438" w:right="706"/>
      </w:pPr>
      <w:r>
        <w:t xml:space="preserve"> In esso, partendo dai dati concreti della biologia, si riassumono tutti i principi essenziali dell’igiene della razza. </w:t>
      </w:r>
    </w:p>
    <w:p w:rsidR="00611878" w:rsidRDefault="00672C55">
      <w:pPr>
        <w:ind w:left="1438" w:right="706"/>
      </w:pPr>
      <w:r>
        <w:t xml:space="preserve"> Il V. Verschuer è allievo del Fischer ed è molto stimato negli ambienti politici razzisti della Germania. Il libro può quindi sotto molti aspetti considerarsi come una messa a punto ufficiale della scienza e della politica tedesca. Indarno si cercherebbero in questo libro voli pindarici o astruserie. Si tratta invece di una serie di fatti, rigorosamente controllati ed oggettivamente esposti, ma tanto evidenti che le conseguenze ne appaiono ineluttabili.   Le basi su cui poggia l’igiene razziale sono, secondo il nostro autore quattro: l’antropologia, lo studio della selezione, la biologia ereditaria e lo studio delle costituzioni individuali. È impossibile fare del razzismo se non si conoscono almeno gli elementi della biologia generale dell’uomo. Ecco dunque la necessità di studiare i principi dell’ereditarietà e dell’ambiente, considerati come forze determinatrici dello sviluppo umano. […]. Questo studio viene condotto da V. Varschauer brillantemente ed insieme ad esso, viene illustrata la moderna tecnica che ha per base l’esame dei gemelli. </w:t>
      </w:r>
    </w:p>
    <w:p w:rsidR="00611878" w:rsidRDefault="00672C55">
      <w:pPr>
        <w:ind w:left="1438" w:right="706"/>
      </w:pPr>
      <w:r>
        <w:t xml:space="preserve"> Le leggi del Mendel, tanto importanti per la moderna genetica, assumono un interesse particolare allorché vengono ponderate nei riguardi dell’uomo. Il V. Verschauer ci dimostra esaurientemente come i concetti di dominanza e di recessività abbiano tutto il loro valore anche nell’eredità umana. Ugualmente esauriente è lo studio che egli compie dei caratteri ereditari legati al sesso e della polimeria. […]. </w:t>
      </w:r>
    </w:p>
    <w:p w:rsidR="00611878" w:rsidRDefault="00672C55">
      <w:pPr>
        <w:spacing w:after="30"/>
        <w:ind w:left="1438" w:right="706"/>
      </w:pPr>
      <w:r>
        <w:t xml:space="preserve"> Molto importante è il capitolo che riguarda la politica della razza vera e propria. In esso V. Varschauer, fatta sinteticamente la storia razziale del popolo tedesco, approfondisce la questione della politica demografica quantitativa e quella qualitativa e infine della politica antigiudaica.</w:t>
      </w:r>
      <w:r>
        <w:rPr>
          <w:vertAlign w:val="superscript"/>
        </w:rPr>
        <w:footnoteReference w:id="41"/>
      </w:r>
      <w:r>
        <w:t xml:space="preserve"> </w:t>
      </w:r>
    </w:p>
    <w:p w:rsidR="00611878" w:rsidRDefault="00672C55">
      <w:pPr>
        <w:spacing w:after="0" w:line="259" w:lineRule="auto"/>
        <w:ind w:left="566" w:right="0" w:firstLine="0"/>
        <w:jc w:val="left"/>
      </w:pPr>
      <w:r>
        <w:t xml:space="preserve"> </w:t>
      </w:r>
    </w:p>
    <w:p w:rsidR="00611878" w:rsidRDefault="00672C55">
      <w:pPr>
        <w:spacing w:line="366" w:lineRule="auto"/>
        <w:ind w:left="561" w:right="707"/>
      </w:pPr>
      <w:r>
        <w:rPr>
          <w:sz w:val="24"/>
        </w:rPr>
        <w:t xml:space="preserve">   Giustificando e incitando alla riproduzione, si avevano, però, alcune controindicazioni poiché i maschi, seguendo l’istinto, non chiedevano la mappa genetica alle femmine prima dell’accoppiamento. Si ottenevano, quindi, degli indesiderati </w:t>
      </w:r>
      <w:r>
        <w:rPr>
          <w:i/>
          <w:sz w:val="24"/>
        </w:rPr>
        <w:t>Mischlinge</w:t>
      </w:r>
      <w:r>
        <w:rPr>
          <w:sz w:val="24"/>
        </w:rPr>
        <w:t xml:space="preserve">, misti, dei quali occorreva comunque prendersi cura, poiché anch’essi figli del Volk. A questo proposito è molto interessante la lettera di Himmler dell’8 agosto 1943: “Ho ricevuto oggi la risposta alla </w:t>
      </w:r>
      <w:r>
        <w:rPr>
          <w:sz w:val="24"/>
        </w:rPr>
        <w:lastRenderedPageBreak/>
        <w:t>sua lettera del 23 giugno. Ho un interesse assoluto che la sterilizzazione con il Roantrahle venga testata almeno una volta in un Lager in una serie di esperimenti”</w:t>
      </w:r>
      <w:r w:rsidR="00F70611">
        <w:rPr>
          <w:rStyle w:val="Rimandonotaapidipagina"/>
          <w:sz w:val="24"/>
        </w:rPr>
        <w:footnoteReference w:id="42"/>
      </w:r>
      <w:r>
        <w:rPr>
          <w:sz w:val="24"/>
        </w:rPr>
        <w:t>.</w:t>
      </w:r>
    </w:p>
    <w:p w:rsidR="00611878" w:rsidRDefault="00672C55">
      <w:pPr>
        <w:spacing w:line="366" w:lineRule="auto"/>
        <w:ind w:left="561" w:right="707"/>
      </w:pPr>
      <w:r>
        <w:rPr>
          <w:sz w:val="24"/>
        </w:rPr>
        <w:t xml:space="preserve">  Nei campi di concentramento e di sterminio non avvenivano solo sperimentazioni scientifiche. Ad Auschwitz, ad esempio, era presente anche un vero e proprio bordello nel quale erano concentrate le prigioniere più avvenenti che potevano soddisfare le esigenze fisiologiche delle SS. Per evitare che ci fosse commistione di razze attraverso la nascita di bambini, le donne venivano uccise ogni tre mesi. </w:t>
      </w:r>
    </w:p>
    <w:p w:rsidR="00611878" w:rsidRDefault="00672C55">
      <w:pPr>
        <w:spacing w:line="366" w:lineRule="auto"/>
        <w:ind w:left="561" w:right="707"/>
      </w:pPr>
      <w:r>
        <w:rPr>
          <w:sz w:val="24"/>
        </w:rPr>
        <w:t xml:space="preserve">  Un´altra questione sono i bambini figli di soldati e uomini tedeschi, aspettati da donne straniere sparse su tutto il territorio occupato del Reich [nella Grande Germania e in tutti i territori occupati. I medici che vengono in contatto con queste ragazze devono segnalarle e farle seguire dalle Organizzazioni di aiuto e devono impedire che le donne o le ragazze tedesche siano in cura con medici stranieri. L’approccio teorico impostato sulla moltiplicazione della razza, spinge i soldati ad una liceità senza limiti e barriere, volta all’utilizzazione delle donne. Per questo, c’è impunità e libertà d’azione che consente agli occupanti di violare senza chiedere le origini razziali delle vittime, al punto tale che le violenze sul fronte orientale sono equivalenti a quelle occidentali dove il grado di purezza era considerato più alto.  </w:t>
      </w:r>
    </w:p>
    <w:p w:rsidR="00611878" w:rsidRDefault="00672C55">
      <w:pPr>
        <w:spacing w:line="366" w:lineRule="auto"/>
        <w:ind w:left="561" w:right="707"/>
      </w:pPr>
      <w:r>
        <w:rPr>
          <w:sz w:val="24"/>
        </w:rPr>
        <w:t xml:space="preserve">    La commistione per violenza sessuale di soldati con la popolazione locale è un fattore comune delle guerre, ma non tutti la affrontantano in maniera analoga. Mentre la Germania nazista favoriva queste pratiche, gli omologhi italiani cercavano almeno in apparenza di contrastarle. La differenza sostanziale rispetto agli omologhi tedeschi era che questa era considerata un reato da corte marziale già nei processi istituiti sul fronte orientale a partire dal 1941.  </w:t>
      </w:r>
    </w:p>
    <w:p w:rsidR="00611878" w:rsidRDefault="00672C55">
      <w:pPr>
        <w:spacing w:line="366" w:lineRule="auto"/>
        <w:ind w:left="561" w:right="707"/>
      </w:pPr>
      <w:r>
        <w:rPr>
          <w:sz w:val="24"/>
        </w:rPr>
        <w:t xml:space="preserve">  La sentenza del 22 novembre 1941 ai danni di Giovanni R. è molto particolare, perché tratta di violenza sessuale nei confronti di una bambina di 4 anni. L’atto riporta la descrizione degli eventi: </w:t>
      </w:r>
    </w:p>
    <w:p w:rsidR="00611878" w:rsidRPr="001C5E31" w:rsidRDefault="00672C55" w:rsidP="001C5E31">
      <w:pPr>
        <w:spacing w:after="81"/>
        <w:ind w:left="1438" w:right="706"/>
        <w:rPr>
          <w:vertAlign w:val="superscript"/>
        </w:rPr>
      </w:pPr>
      <w:r>
        <w:t xml:space="preserve"> La suddita russa Artemenko J. in B. si recò con le sue due bambine nella alloggiamento poco tempo prima ho comprato dagli ufficiali in partenza per cercarvi un letto trovò in una delle stanze vuote del quartiere il primo aviere autista che le feci ex abrupto così ho scene proposta da indurlo a ritornare frettolosamente sui suoi passi ma una </w:t>
      </w:r>
      <w:r w:rsidR="001C5E31">
        <w:t>delle bambine rientro posto nel l</w:t>
      </w:r>
      <w:r>
        <w:t xml:space="preserve">ocale attratta dal speranza di avere per sé qualche cosa con cui giocare un quarto d'ora più tardi classi senti gridare e la madre corsa dalla vicina sua abitazione si incontro con lei nel </w:t>
      </w:r>
      <w:r>
        <w:lastRenderedPageBreak/>
        <w:t>momento in cui si era appena uscita dalla stanza del M. medesimo che uscendo a sua volta andava sgattaiolando, la piccola aveva le mutandine colorate intriso di sangue e dava segni di una grande agitazione ricevuta intuendo l'atroce verità fece capolino in quella stanza e vi trovò tracce del collasso in cui doveva esser caduta la bambina durante l'esecuzione dello stupro: urine e feci sul pavimento non c'era più dubbio: certa, anzi, come se la ferocia della violenza era quella del violentatore M. che poco prima aveva dato alla donna dimostrazione di una gioia incontenibile.</w:t>
      </w:r>
    </w:p>
    <w:p w:rsidR="00611878" w:rsidRDefault="00672C55">
      <w:pPr>
        <w:spacing w:after="161" w:line="259" w:lineRule="auto"/>
        <w:ind w:left="566" w:right="0" w:firstLine="0"/>
        <w:jc w:val="left"/>
      </w:pPr>
      <w:r>
        <w:rPr>
          <w:sz w:val="24"/>
        </w:rPr>
        <w:t xml:space="preserve"> </w:t>
      </w:r>
    </w:p>
    <w:p w:rsidR="00611878" w:rsidRDefault="00672C55">
      <w:pPr>
        <w:spacing w:after="94" w:line="259" w:lineRule="auto"/>
        <w:ind w:left="561" w:right="707"/>
      </w:pPr>
      <w:r>
        <w:rPr>
          <w:sz w:val="24"/>
        </w:rPr>
        <w:t xml:space="preserve">Come si legge da una delle sentenze, l’imputazione è chiara: </w:t>
      </w:r>
    </w:p>
    <w:p w:rsidR="00611878" w:rsidRDefault="00672C55" w:rsidP="004B3A00">
      <w:pPr>
        <w:numPr>
          <w:ilvl w:val="0"/>
          <w:numId w:val="5"/>
        </w:numPr>
        <w:ind w:right="706" w:hanging="358"/>
      </w:pPr>
      <w:r>
        <w:t>Violenza carnale (art. 519 parte</w:t>
      </w:r>
      <w:r w:rsidR="001C5E31">
        <w:rPr>
          <w:rStyle w:val="Rimandonotaapidipagina"/>
        </w:rPr>
        <w:footnoteReference w:id="43"/>
      </w:r>
      <w:r>
        <w:t xml:space="preserve"> prima del C. P.) per essere il 19 settembre 1941 in Mcogila Osstraja (Ucraina) con minaccia (a mano armata di moschetto) costretto la nominata Ksenia M. a congiunzione carnale </w:t>
      </w:r>
    </w:p>
    <w:p w:rsidR="00611878" w:rsidRDefault="00672C55" w:rsidP="004B3A00">
      <w:pPr>
        <w:numPr>
          <w:ilvl w:val="0"/>
          <w:numId w:val="5"/>
        </w:numPr>
        <w:spacing w:after="42"/>
        <w:ind w:right="706" w:hanging="358"/>
      </w:pPr>
      <w:r>
        <w:t>Atti osceni (art. 527 del C. P.) per essersi nella circostanza di tempo e luogo di cui sopra, congiunto carnalmente in aperta campagna.</w:t>
      </w:r>
      <w:r>
        <w:rPr>
          <w:vertAlign w:val="superscript"/>
        </w:rPr>
        <w:footnoteReference w:id="44"/>
      </w:r>
      <w:r>
        <w:t xml:space="preserve"> </w:t>
      </w:r>
    </w:p>
    <w:p w:rsidR="00611878" w:rsidRDefault="00672C55">
      <w:pPr>
        <w:spacing w:after="154" w:line="259" w:lineRule="auto"/>
        <w:ind w:left="566" w:right="0" w:firstLine="0"/>
        <w:jc w:val="left"/>
      </w:pPr>
      <w:r>
        <w:rPr>
          <w:sz w:val="24"/>
        </w:rPr>
        <w:t xml:space="preserve"> </w:t>
      </w:r>
    </w:p>
    <w:p w:rsidR="00611878" w:rsidRDefault="00672C55">
      <w:pPr>
        <w:spacing w:line="366" w:lineRule="auto"/>
        <w:ind w:left="561" w:right="707"/>
      </w:pPr>
      <w:r>
        <w:rPr>
          <w:sz w:val="24"/>
        </w:rPr>
        <w:t xml:space="preserve">  L’importanza del processo risiede nel fatto che l’imputato è condannato per entrambi i reati e subisce una condanna superiore ai sei anni oltre l’interdizione perpetua dai pubblici uffici. Viene, quindi, riconosciuto il reato e non è considerato uno dei tanti episodi della guerra. Con il protrarsi del conflitto, però, anche la giustizia militare italiana comincia ad essere tollerante nei confronti dei soldati stupratori. La sentenza del 22 gennaio 1942, infatti, pur facendo un ulteriore passo in avanti al livello dell’imputazione poiché viene contestato al violentatore anche la violazione di domicilio, poi, però non viene dato valore alla testimonianza della ragazza ucraina violentata che aveva dichiarato: </w:t>
      </w:r>
    </w:p>
    <w:p w:rsidR="00611878" w:rsidRDefault="00672C55">
      <w:pPr>
        <w:spacing w:after="32"/>
        <w:ind w:left="1438" w:right="706"/>
      </w:pPr>
      <w:r>
        <w:t xml:space="preserve"> Verso le ore 18,30 russe (corrispondenti alle ore 17,30 italiane) tre soldati italiani, dopo aver forzato la porta della sua casa vi si erano immessi e, mentre uno spingeva la porta stessa, per impedire che altri vi si introducessero, gli altri due tentarono di violentarla desistendo dalla loro azione, soltanto quando le sue grida furono udite dai vicini di casa, i quali accorsero presso di lei per porgerle aiuto. La donna aggiungeva che i militari di cui sopra, prima di allontanarsi l’avevano pure bastonata. […] </w:t>
      </w:r>
    </w:p>
    <w:p w:rsidR="00611878" w:rsidRDefault="00672C55">
      <w:pPr>
        <w:ind w:left="1438" w:right="706"/>
      </w:pPr>
      <w:r>
        <w:t xml:space="preserve"> L’ufficiale comandante della sezione, poiché la donna affermava di poter riconoscere i militari autori del fatto, si recava all’accantonamento [accampamento?] del 2° Plotone della 2</w:t>
      </w:r>
      <w:r>
        <w:rPr>
          <w:vertAlign w:val="superscript"/>
        </w:rPr>
        <w:t>a</w:t>
      </w:r>
      <w:r>
        <w:t xml:space="preserve"> Compagnia anticarro, disponendo l’adunata di tale reparto. La Koniow dichiarava di riconoscere tra i militari radunati il fante D. G. Luigi come uno dei tre militari colpevoli aggiungendo che costui, in precedenza, si era recato nella di lei abitazione chiedendole del latte e le aveva rivolto delle domande per sapere se fosse sola, se avesse marito, se questo fosse presente o no. […]. Il D. G., in stato di libertà provvisoria, veniva citato e compariva all’udienza odierna per il giudizio in merito alle imputazioni di tentata violenza carnale e di violazione aggravata di domicilio sopra specificatamente ascrittagli e ritualmente contestatagli.  </w:t>
      </w:r>
    </w:p>
    <w:p w:rsidR="00611878" w:rsidRDefault="00672C55">
      <w:pPr>
        <w:spacing w:after="26"/>
        <w:ind w:left="1438" w:right="706"/>
      </w:pPr>
      <w:r>
        <w:t xml:space="preserve">Tanto premesso, osserva il collegio che nessuna prova sicura e attendibile è stata acquisita a carico dell’imputato. </w:t>
      </w:r>
    </w:p>
    <w:p w:rsidR="00611878" w:rsidRDefault="00672C55">
      <w:pPr>
        <w:ind w:left="1438" w:right="706"/>
      </w:pPr>
      <w:r>
        <w:t xml:space="preserve"> Invero la ricognizione effettuata dalla donna non può assurgere al valore di prova, ove debitamente si consideri che la donna, pur avendo dichiarato la propria certezza di poter </w:t>
      </w:r>
      <w:r>
        <w:lastRenderedPageBreak/>
        <w:t>riconoscere tutti e tre i militari colpevoli, sconfessò tale sua affermata certezza, col dichiarare di riconoscere solo il D. G. D’altronde, la ricognizione è stata effettuata, senza essere preceduta dalla descrizione della persona da riconoscere che la legge impone anche per quelle ricognizioni di persone effettuate in sede di polizia giudiziaria […] il che si osserva non tanto per mettere in chiaro una irregolarità, quanto e decisivamente per rilevare che del tutto problematico ed evanescente è […] l’attendibilità di una siffatta ricognizione, non controllabile con la preventiva descrizione della persona da riconoscere fatto dalla persona che tale ricognizione ha effettuato</w:t>
      </w:r>
      <w:r>
        <w:rPr>
          <w:vertAlign w:val="superscript"/>
        </w:rPr>
        <w:footnoteReference w:id="45"/>
      </w:r>
      <w:r>
        <w:t xml:space="preserve">  </w:t>
      </w:r>
    </w:p>
    <w:p w:rsidR="00611878" w:rsidRDefault="00672C55">
      <w:pPr>
        <w:spacing w:after="149" w:line="259" w:lineRule="auto"/>
        <w:ind w:left="566" w:right="0" w:firstLine="0"/>
        <w:jc w:val="left"/>
      </w:pPr>
      <w:r>
        <w:rPr>
          <w:sz w:val="24"/>
        </w:rPr>
        <w:t xml:space="preserve"> </w:t>
      </w:r>
    </w:p>
    <w:p w:rsidR="00611878" w:rsidRDefault="00672C55">
      <w:pPr>
        <w:spacing w:line="366" w:lineRule="auto"/>
        <w:ind w:left="561" w:right="707"/>
      </w:pPr>
      <w:r>
        <w:rPr>
          <w:sz w:val="24"/>
        </w:rPr>
        <w:t xml:space="preserve">  Nonostante i testimoni, l’accusato è assolto con formula piena. La collaborazione continua con i nazisti aveva influenzato, con il passare del tempo, anche la giurisprudenza italiana.  </w:t>
      </w:r>
    </w:p>
    <w:p w:rsidR="00611878" w:rsidRDefault="00672C55">
      <w:pPr>
        <w:spacing w:line="366" w:lineRule="auto"/>
        <w:ind w:left="561" w:right="707"/>
      </w:pPr>
      <w:r>
        <w:rPr>
          <w:sz w:val="24"/>
        </w:rPr>
        <w:t xml:space="preserve">  Come si può, però, leggere dalla relazione del Generale Messe, i soldati italiani che si rendevano protagonisti di qualche “caso sporadico di violenza o delinquenza” a suo giudizio erano “solertemente giudicati”. Dopo l’introduzione in cui è sottolineato “il carattere semplice e sereno e la naturale bontà del soldato italiano”</w:t>
      </w:r>
      <w:r>
        <w:rPr>
          <w:i/>
          <w:sz w:val="24"/>
        </w:rPr>
        <w:t xml:space="preserve"> </w:t>
      </w:r>
      <w:r>
        <w:rPr>
          <w:sz w:val="24"/>
        </w:rPr>
        <w:t xml:space="preserve">si legge infatti nel suo rapporto: </w:t>
      </w:r>
    </w:p>
    <w:p w:rsidR="00611878" w:rsidRDefault="00672C55" w:rsidP="004B3A00">
      <w:pPr>
        <w:numPr>
          <w:ilvl w:val="0"/>
          <w:numId w:val="6"/>
        </w:numPr>
        <w:spacing w:after="36"/>
        <w:ind w:right="706" w:hanging="360"/>
      </w:pPr>
      <w:r>
        <w:t xml:space="preserve">A Rikovo una donna reclamò contro un ufficiale che aveva tentato di usarle violenza; l’ufficiale venne punito con un mese di arresti di fortezza e immediatamente rimpatriato; […] </w:t>
      </w:r>
    </w:p>
    <w:p w:rsidR="00611878" w:rsidRDefault="00672C55" w:rsidP="004B3A00">
      <w:pPr>
        <w:numPr>
          <w:ilvl w:val="0"/>
          <w:numId w:val="6"/>
        </w:numPr>
        <w:ind w:right="706" w:hanging="360"/>
      </w:pPr>
      <w:r>
        <w:t>A Rikovo, un soldato italiano della divisione “Torino” uccise una donna che reclamava un orologio che le aveva rubato dopo aver avuto intimi rapporti. Venne immediatamente istituito un tribunale straordinario.</w:t>
      </w:r>
      <w:r>
        <w:rPr>
          <w:vertAlign w:val="superscript"/>
        </w:rPr>
        <w:footnoteReference w:id="46"/>
      </w:r>
      <w:r>
        <w:t xml:space="preserve"> </w:t>
      </w:r>
    </w:p>
    <w:p w:rsidR="00611878" w:rsidRDefault="00672C55">
      <w:pPr>
        <w:spacing w:after="33" w:line="259" w:lineRule="auto"/>
        <w:ind w:left="852" w:right="0" w:firstLine="0"/>
        <w:jc w:val="left"/>
      </w:pPr>
      <w:r>
        <w:t xml:space="preserve"> </w:t>
      </w:r>
    </w:p>
    <w:p w:rsidR="00611878" w:rsidRDefault="00672C55">
      <w:pPr>
        <w:spacing w:line="366" w:lineRule="auto"/>
        <w:ind w:left="561" w:right="707"/>
      </w:pPr>
      <w:r>
        <w:rPr>
          <w:sz w:val="24"/>
        </w:rPr>
        <w:t xml:space="preserve">  In un terzo processo, svoltosi nel 1942 l’accusa è di furto e violenza sulla persona, dalla descrizione del fatto, messa a verbale, non si può escludere una molestia anche perché la sola testimonianza della donna non viene ritenuta, ancora una volta, attendibile: </w:t>
      </w:r>
    </w:p>
    <w:p w:rsidR="00611878" w:rsidRDefault="00672C55">
      <w:pPr>
        <w:ind w:left="1438" w:right="706"/>
      </w:pPr>
      <w:r>
        <w:t xml:space="preserve"> Il 24 settembre 1941 si presentò al comando del 3° Reggimento Bersaglieri in Cemenskoie di Nieprodsersink una suddita russa, chiedendo di essere risarcita del valore di un orologio da polso di cui era stata derubata il giorno prima, mediante violenza sulla persona, da alcuni bersaglieri introdottisi nella di lei abitazione.  </w:t>
      </w:r>
    </w:p>
    <w:p w:rsidR="00611878" w:rsidRDefault="00672C55">
      <w:pPr>
        <w:ind w:left="1438" w:right="706"/>
      </w:pPr>
      <w:r>
        <w:t xml:space="preserve"> Le investigazioni subito disposte dal Comandante del Corpo portarono, per diverse ragioni, alla identificazione del colpevole nella persona del soldato P., soggetto non nuovo a imprese del genere, indisciplinato e pericoloso. </w:t>
      </w:r>
    </w:p>
    <w:p w:rsidR="00611878" w:rsidRDefault="00672C55">
      <w:pPr>
        <w:spacing w:after="33"/>
        <w:ind w:left="1438" w:right="706"/>
      </w:pPr>
      <w:r>
        <w:t xml:space="preserve"> Il P. medesimo, vinto dal cospirare delle prove raccolte a suo carico, finì col confessare che il 23 settembre, trascendendo i limiti di un permesso avuto, si recò coi camerati Giardini, Buratti e Murrone per fare acquisto, o razzia, di generi alimentari presso la popolazione civile, e che in una casa dove tutti erano entrati a quello stesso scopo esso P. si impossessò, alla presenza della proprietaria e senza concorso di alcuno dei suoi compagni di un orologio da polso trovato su un tavolo, placando quindi il dissenso della derubata con un illusorio buono di pagamento. </w:t>
      </w:r>
    </w:p>
    <w:p w:rsidR="00611878" w:rsidRDefault="00672C55">
      <w:pPr>
        <w:ind w:left="1438" w:right="706"/>
      </w:pPr>
      <w:r>
        <w:t xml:space="preserve"> L’imputato nega dunque di aver usato violenza alla donna e costei, dal canto suo, non è su tale circostanza così esauriente da rendere un’idea esatta del se e del come la enunciata violenza si sarebbe esplicitata. </w:t>
      </w:r>
    </w:p>
    <w:p w:rsidR="00611878" w:rsidRDefault="00672C55">
      <w:pPr>
        <w:spacing w:after="27"/>
        <w:ind w:left="1438" w:right="706"/>
      </w:pPr>
      <w:r>
        <w:lastRenderedPageBreak/>
        <w:t xml:space="preserve"> Il Tribunale pertanto, pur avendo molti motivi di dubitare delle dichiarazioni di P., è costretto, per tenersi su un terreno di assoluta certezza a degradare l’imputazione di rapina a quella di furto senza compartecipazione.</w:t>
      </w:r>
      <w:r>
        <w:rPr>
          <w:vertAlign w:val="superscript"/>
        </w:rPr>
        <w:footnoteReference w:id="47"/>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after="49" w:line="238" w:lineRule="auto"/>
        <w:ind w:left="561" w:right="707"/>
      </w:pPr>
      <w:r>
        <w:rPr>
          <w:sz w:val="24"/>
        </w:rPr>
        <w:t xml:space="preserve">  La condanna è a due anni di reclusione, amnistiata  il 29 dicembre 1943 con Regio Decreto n° 1156.     </w:t>
      </w:r>
    </w:p>
    <w:p w:rsidR="00611878" w:rsidRDefault="00672C55">
      <w:pPr>
        <w:spacing w:after="33" w:line="366" w:lineRule="auto"/>
        <w:ind w:left="561" w:right="707"/>
      </w:pPr>
      <w:r>
        <w:rPr>
          <w:sz w:val="24"/>
        </w:rPr>
        <w:t xml:space="preserve">  Durante l’avanzata e l’occupazione nazista dell’Europa Orientale si è manifestato chiaramente uno dei problemi maggiori: le malattie sessualmente trasmissibili. Dalle statistiche del tempo, si conta che “il 70 % di tutti i tedeschi della regione che si fossero trovati nel cosiddetto </w:t>
      </w:r>
    </w:p>
    <w:p w:rsidR="00611878" w:rsidRDefault="00672C55">
      <w:pPr>
        <w:spacing w:line="366" w:lineRule="auto"/>
        <w:ind w:left="561" w:right="707"/>
      </w:pPr>
      <w:r>
        <w:rPr>
          <w:sz w:val="24"/>
        </w:rPr>
        <w:t xml:space="preserve">Kojen  con una ragazza, risultano aver contratto una seria malattia”.  Altri 45 000 uomini malati erano in Francia.  </w:t>
      </w:r>
    </w:p>
    <w:p w:rsidR="00611878" w:rsidRDefault="00672C55">
      <w:pPr>
        <w:spacing w:line="366" w:lineRule="auto"/>
        <w:ind w:left="561" w:right="707"/>
      </w:pPr>
      <w:r>
        <w:rPr>
          <w:sz w:val="24"/>
        </w:rPr>
        <w:t xml:space="preserve">  Questo bilancio così catastrofico è il frutto della mentalità degli occupanti nazisti. Come sostengono infatti Neitzel e Welzer, lo stupro o comunque il rapporto sessuale con una ragazza era l’aspetto centrale della loro esperienza di guerra [für die Soldaten zentralen Aspekt ihrer Kriegserfahrung].  Alfred Jodl, in occasione della stesura di una direttiva del 16 dicembre 1942 emanata per arginare e contrattaccare la guerriglia in atto in Europa Orientale e nei Balcani, dichiarò la totale immunità dei soldati da qualunque tipo di procedimento penale per gli eccessi compiuti. Anche le truppe tedesche stanziate nell’Italia amica ed alleata, hanno compiuto stupri rimasti ancora nella mente e negli occhi dei superstiti: “Una notte vennero nella nostra borgata dove erano sfollate altre dieci famiglie formate solo da madre e figli piccoli perché i mariti erano in guerra; ebbene i tedeschi violentarono le madri davanti ai loro figli le cui urla, unite a quelle delle madri, mi fecero terrore”.</w:t>
      </w:r>
      <w:r>
        <w:rPr>
          <w:sz w:val="24"/>
          <w:vertAlign w:val="superscript"/>
        </w:rPr>
        <w:footnoteReference w:id="48"/>
      </w:r>
      <w:r>
        <w:rPr>
          <w:sz w:val="24"/>
        </w:rPr>
        <w:t xml:space="preserve"> </w:t>
      </w:r>
    </w:p>
    <w:p w:rsidR="00611878" w:rsidRPr="007418B3" w:rsidRDefault="00672C55">
      <w:pPr>
        <w:spacing w:after="154" w:line="259" w:lineRule="auto"/>
        <w:ind w:left="566" w:right="0" w:firstLine="0"/>
        <w:jc w:val="left"/>
        <w:rPr>
          <w:sz w:val="2"/>
          <w:szCs w:val="2"/>
        </w:rPr>
      </w:pPr>
      <w:r w:rsidRPr="007418B3">
        <w:rPr>
          <w:b/>
          <w:sz w:val="2"/>
          <w:szCs w:val="2"/>
        </w:rPr>
        <w:t xml:space="preserve"> </w:t>
      </w:r>
    </w:p>
    <w:p w:rsidR="00D806E2" w:rsidRDefault="00D806E2">
      <w:pPr>
        <w:pStyle w:val="Titolo3"/>
        <w:ind w:left="561"/>
      </w:pPr>
    </w:p>
    <w:p w:rsidR="00D806E2" w:rsidRDefault="00D806E2">
      <w:pPr>
        <w:pStyle w:val="Titolo3"/>
        <w:ind w:left="561"/>
      </w:pPr>
    </w:p>
    <w:p w:rsidR="00611878" w:rsidRDefault="00672C55">
      <w:pPr>
        <w:pStyle w:val="Titolo3"/>
        <w:ind w:left="561"/>
      </w:pPr>
      <w:r>
        <w:t>2)</w:t>
      </w:r>
      <w:r>
        <w:rPr>
          <w:rFonts w:ascii="Arial" w:eastAsia="Arial" w:hAnsi="Arial" w:cs="Arial"/>
        </w:rPr>
        <w:t xml:space="preserve"> </w:t>
      </w:r>
      <w:r>
        <w:t xml:space="preserve">Pars destruens – dalle leggi razziali e l’Aktion T4 ai campi di sterminio </w:t>
      </w:r>
    </w:p>
    <w:p w:rsidR="00611878" w:rsidRDefault="00672C55">
      <w:pPr>
        <w:spacing w:after="114" w:line="259" w:lineRule="auto"/>
        <w:ind w:left="566" w:right="0" w:firstLine="0"/>
        <w:jc w:val="left"/>
      </w:pPr>
      <w:r>
        <w:rPr>
          <w:sz w:val="24"/>
        </w:rPr>
        <w:t xml:space="preserve"> </w:t>
      </w:r>
    </w:p>
    <w:p w:rsidR="00611878" w:rsidRDefault="00672C55">
      <w:pPr>
        <w:spacing w:line="366" w:lineRule="auto"/>
        <w:ind w:left="561" w:right="707"/>
      </w:pPr>
      <w:r>
        <w:rPr>
          <w:sz w:val="24"/>
        </w:rPr>
        <w:t xml:space="preserve">L’istituzione della visita prematrimoniale e del certificato di idoneità al matrimonio è stato il punto di partenza della realizzazione pratica delle realizzazioni del programma di eugenetica nazista, pur rientrando nel solco in una tradizione che dalla fine del XIX sec. si stava diffondendo al livello mondiale.  </w:t>
      </w:r>
    </w:p>
    <w:p w:rsidR="00611878" w:rsidRDefault="00672C55">
      <w:pPr>
        <w:spacing w:line="366" w:lineRule="auto"/>
        <w:ind w:left="561" w:right="707"/>
      </w:pPr>
      <w:r>
        <w:rPr>
          <w:sz w:val="24"/>
        </w:rPr>
        <w:t xml:space="preserve">Il Connecticut nel 1895 fu il primo stato ad emanare leggi in materia di sterilizzazione seguito poi da New Jersey, Indiana, Michigan ed altri fino ad un totale di 28 Stati. Il matrimonio è </w:t>
      </w:r>
      <w:r>
        <w:rPr>
          <w:sz w:val="24"/>
        </w:rPr>
        <w:lastRenderedPageBreak/>
        <w:t xml:space="preserve">vietato agli affetti da alcune malattie sessuali, alienazione mentale, demenza, epilessia, alcolismo ed in taluni stati anche per tubercolosi polmonare e mendicità abituale. </w:t>
      </w:r>
    </w:p>
    <w:p w:rsidR="00611878" w:rsidRDefault="00672C55">
      <w:pPr>
        <w:spacing w:line="366" w:lineRule="auto"/>
        <w:ind w:left="561" w:right="707"/>
      </w:pPr>
      <w:r>
        <w:rPr>
          <w:sz w:val="24"/>
        </w:rPr>
        <w:t xml:space="preserve"> Nel 1924 con l’Immigration Act i legislatori degli Stati Uniti d’America limitavano l’accesso e la concessioni dei permessi di soggiorno, mentre le sterilizzazioni erano già messe in pratica dall’inizio del secolo e si fonde con le teorie tedesche, come sostiene Coquery-Vidrovitch, inoltre, gli studiosi di entrambi i paesi si scambiavano pareri all’interno della Società </w:t>
      </w:r>
    </w:p>
    <w:p w:rsidR="00611878" w:rsidRDefault="00672C55">
      <w:pPr>
        <w:spacing w:line="366" w:lineRule="auto"/>
        <w:ind w:left="561" w:right="707"/>
      </w:pPr>
      <w:r>
        <w:rPr>
          <w:sz w:val="24"/>
        </w:rPr>
        <w:t>Internazionale di Igiene Razziale. Lo scienziato tedesco Fischer, ripreso dall’americano Davenport, nel 1917 aveva affermato che uno dei problemi maggiori del meticciato è quello della psiche che acquisirebbe “l’ambizione dei bianchi e l’incapacità intellettuale dei neri”. Le relazioni si intrecciano a tal punto che nel 1934 in California è stata organizzata una esposizione sul programma di eugenetica in atto in Germania.</w:t>
      </w:r>
      <w:r>
        <w:rPr>
          <w:sz w:val="24"/>
          <w:vertAlign w:val="superscript"/>
        </w:rPr>
        <w:footnoteReference w:id="49"/>
      </w:r>
      <w:r>
        <w:rPr>
          <w:sz w:val="24"/>
        </w:rPr>
        <w:t xml:space="preserve"> A differenza della Germania, negli Stati Uniti il fenomeno razzista ha interessato soprattutto una minoranza della borghesia bianca e ha visto il mondo degli intellettuali dividersi e prendere anche posizioni fortemente contrarie come Ashley </w:t>
      </w:r>
    </w:p>
    <w:p w:rsidR="00611878" w:rsidRPr="00672C55" w:rsidRDefault="00672C55">
      <w:pPr>
        <w:spacing w:after="107" w:line="267" w:lineRule="auto"/>
        <w:ind w:left="576" w:right="705"/>
        <w:rPr>
          <w:lang w:val="en-GB"/>
        </w:rPr>
      </w:pPr>
      <w:r w:rsidRPr="00672C55">
        <w:rPr>
          <w:sz w:val="24"/>
          <w:lang w:val="en-GB"/>
        </w:rPr>
        <w:t xml:space="preserve">Montagu con il suo saggio </w:t>
      </w:r>
      <w:r w:rsidRPr="00672C55">
        <w:rPr>
          <w:i/>
          <w:sz w:val="24"/>
          <w:lang w:val="en-GB"/>
        </w:rPr>
        <w:t>Men’s Most Dangerous Myth: the Fallacy of Race.</w:t>
      </w:r>
      <w:r w:rsidRPr="00672C55">
        <w:rPr>
          <w:sz w:val="24"/>
          <w:lang w:val="en-GB"/>
        </w:rPr>
        <w:t xml:space="preserve">  </w:t>
      </w:r>
    </w:p>
    <w:p w:rsidR="00611878" w:rsidRDefault="00672C55">
      <w:pPr>
        <w:spacing w:line="366" w:lineRule="auto"/>
        <w:ind w:left="561" w:right="707"/>
      </w:pPr>
      <w:r>
        <w:rPr>
          <w:sz w:val="24"/>
        </w:rPr>
        <w:t xml:space="preserve">Solo in Germania, però, i razzisti vincono la scalata al potere e i primi segnali, si potevano scorgere già nel 1913 negli scritti di Fischer </w:t>
      </w:r>
    </w:p>
    <w:p w:rsidR="00611878" w:rsidRDefault="00672C55">
      <w:pPr>
        <w:ind w:left="1438" w:right="706"/>
      </w:pPr>
      <w:r>
        <w:t>Neri e Ottentotti […] sono inferiori [ai bianchi] […] e pertanto non sottovaluto questi nemici peggiori [gli ebrei] che dobbiamo combattere.</w:t>
      </w:r>
      <w:r>
        <w:rPr>
          <w:vertAlign w:val="superscript"/>
        </w:rPr>
        <w:footnoteReference w:id="50"/>
      </w:r>
      <w:r>
        <w:t xml:space="preserve"> </w:t>
      </w:r>
    </w:p>
    <w:p w:rsidR="00611878" w:rsidRDefault="00672C55">
      <w:pPr>
        <w:spacing w:after="0" w:line="259" w:lineRule="auto"/>
        <w:ind w:left="566" w:right="0" w:firstLine="0"/>
        <w:jc w:val="left"/>
      </w:pPr>
      <w:r>
        <w:t xml:space="preserve"> </w:t>
      </w:r>
    </w:p>
    <w:p w:rsidR="00611878" w:rsidRDefault="00672C55">
      <w:pPr>
        <w:spacing w:line="366" w:lineRule="auto"/>
        <w:ind w:left="561" w:right="707"/>
      </w:pPr>
      <w:r>
        <w:rPr>
          <w:sz w:val="24"/>
        </w:rPr>
        <w:t xml:space="preserve">È da queste basi che nascono le tesi antropomorfe che portano a mettere in atto le teorie della misurazione dei crani, la ricostruzione degli alberi genealogici, nella costante ricerca di ciò che veniva definita la “goccia di sangue” che potesse aver influito sullo sviluppo della generazione presente e su quella futura. </w:t>
      </w:r>
    </w:p>
    <w:p w:rsidR="00611878" w:rsidRDefault="00672C55">
      <w:pPr>
        <w:spacing w:line="366" w:lineRule="auto"/>
        <w:ind w:left="561" w:right="707"/>
      </w:pPr>
      <w:r>
        <w:rPr>
          <w:sz w:val="24"/>
        </w:rPr>
        <w:t xml:space="preserve">Pur essendo teorie diffuse, solamente in Germania questa visione è stata propedeutica allo sterminio di massa. Il primo provvedimento in questo senso è stato varato il 22 giugno 1935 dal ministro dell’Interno Frick, sostenendo che dall’approvazione del provvedimento dipendesse la vita stessa della Nazione, che altrimenti avrebbe rischiato la cosiddetta </w:t>
      </w:r>
      <w:r>
        <w:rPr>
          <w:i/>
          <w:sz w:val="24"/>
        </w:rPr>
        <w:t>Volkstod</w:t>
      </w:r>
      <w:r>
        <w:rPr>
          <w:sz w:val="24"/>
        </w:rPr>
        <w:t xml:space="preserve">, ovvero, la morte del popolo ed introducendo la possibilità di aborto per fini eugenetici fino al VI mese di gestazione. Si è calcolato che in 10 anni siano stati sterilizzati circa 200.000 uomini e 200.000 donne. Alcune di queste signore sono rimaste appositamente incinte, subito prima </w:t>
      </w:r>
      <w:r>
        <w:rPr>
          <w:sz w:val="24"/>
        </w:rPr>
        <w:lastRenderedPageBreak/>
        <w:t xml:space="preserve">dell’esecuzione della sentenza, per loro è coniato il termine </w:t>
      </w:r>
      <w:r>
        <w:rPr>
          <w:i/>
          <w:sz w:val="24"/>
        </w:rPr>
        <w:t xml:space="preserve">Trotzschwangerschaften </w:t>
      </w:r>
      <w:r>
        <w:rPr>
          <w:sz w:val="24"/>
        </w:rPr>
        <w:t>(gravidanze di protesta).</w:t>
      </w:r>
      <w:r>
        <w:rPr>
          <w:sz w:val="24"/>
          <w:vertAlign w:val="superscript"/>
        </w:rPr>
        <w:footnoteReference w:id="51"/>
      </w:r>
      <w:r>
        <w:rPr>
          <w:sz w:val="24"/>
        </w:rPr>
        <w:t xml:space="preserve"> La sterilizzazione perpetrata nei confronti dei soggetti malati di alcolismo, schizzofrenia, depressione maniacale, sordi o affetti da malattie ereditarie. Si calcola che nei primi anni di attuazione siano stati sottoposti a questo provvedimento circa 70.000 persone per salire al 1939 a 400.000 vittime, per la maggior parte donne. Hitler, però, ha vietato la pubblicazione di qualsiasi tipo di statistica o dato, perché la legge era assolutamente impopolare, anche se dal punto di vista della comunicazione propagandistica il messaggio prevalente era la lotta ai “bastardi del Reno” con un chiaro riferimento ai figli nati dagli stupri delle donne da parte delle truppe di occupazione francese di provenienza africana. Su questo fronte si costituisce il Comitato Razziale che doveva occuparsi della questione e che in un primo tempo aveva ipotizzato di deportare tutti i bambini in Africa affidandoli ai missionari i quali avrebbero ricevuto circa 10.000 marchi ma era una strada eccessivamente costosa, la seconda ipotesi alla quale il comitato aveva lavorato era quella di far approvare una legge per la sterilizzazione di massa di tutti i bambini. Questa opzione era stata subito scartata dagli esperti e dal regime perché sarebbe stata estremamente impopolare. </w:t>
      </w:r>
    </w:p>
    <w:p w:rsidR="00611878" w:rsidRDefault="00672C55">
      <w:pPr>
        <w:spacing w:line="366" w:lineRule="auto"/>
        <w:ind w:left="561" w:right="707"/>
      </w:pPr>
      <w:r>
        <w:rPr>
          <w:sz w:val="24"/>
        </w:rPr>
        <w:t xml:space="preserve">  Queste teorie eugenetiche prendono sempre più corpo in Germania raccogliendo un ampio consenso tra gli studiosi e le tappe del suo radicamento sono ben evidenziate da Lutz Bauer </w:t>
      </w:r>
    </w:p>
    <w:p w:rsidR="00611878" w:rsidRDefault="00672C55">
      <w:pPr>
        <w:ind w:left="1438" w:right="706"/>
      </w:pPr>
      <w:r>
        <w:t xml:space="preserve"> Nel 1905 è stata fondata la </w:t>
      </w:r>
      <w:r>
        <w:rPr>
          <w:i/>
        </w:rPr>
        <w:t>Società berlinese per l’igiene della razza</w:t>
      </w:r>
      <w:r>
        <w:t xml:space="preserve">. Questa fu ricostituita nel 1910 con il nome di </w:t>
      </w:r>
      <w:r>
        <w:rPr>
          <w:i/>
        </w:rPr>
        <w:t>I tedeschi per l’igiene della razza</w:t>
      </w:r>
      <w:r>
        <w:t xml:space="preserve">. Dal 1930 ci sono state più di 1000 membri distribuiti in 16 gruppi locali, di cui 4 in Austria. All’esibizione internazionale di igiene di Dresda, l’igienista razziale Max von Gruber e Ernst Ruedin hanno esposto le loro argomentazioni in un catalogo all’interno della mostra principale. L’aforisma era degenerazione: Ereditando la degenerazione si arriva al termine delle società civili. “Ogni nazione è gravata di un peso con un numero etremamente alto di questi che sono al di sotto dello standard, deboli, di salute cagionevole e storpi”. Si domandavano quanto occorresse ad uno stato per comprendere che il benessere pubblico passava attraverso l’eliminazione di questi soggetti dalla società. Necessitano di uno “sradicamento”, “estirpazione” ed eliminazione di coloro che soffrono di malattie sessualmente trasmissibili o di tubercolosi, con disabilità intellettivorelazionali, “elementi asociali” e criminali per dare al corpo della nazione la possibilità di rimettersi in salute. </w:t>
      </w:r>
    </w:p>
    <w:p w:rsidR="00611878" w:rsidRDefault="00672C55">
      <w:pPr>
        <w:ind w:left="1438" w:right="706"/>
      </w:pPr>
      <w:r>
        <w:t xml:space="preserve"> Il dibattito sull’inizio del declino dell’Impero Tedesco rafforza le argomentazioni degli igienisti tedeschi. La paura dello sterminio dei tedeschi o lo sviluppo dei non privilegiati, provenienti dalle classi povere con un alto tasso di natalità stimola il dibattito sullo sradicamento degli “esseri inferiori”. Le conoscenze provenienti dalla biologia e dalla genetica erano funzionali e venivano totalmente assoggettate al “servizio” dell’igiene della razza.</w:t>
      </w:r>
      <w:r>
        <w:rPr>
          <w:vertAlign w:val="superscript"/>
        </w:rPr>
        <w:footnoteReference w:id="52"/>
      </w:r>
      <w:r>
        <w:t xml:space="preserve">    </w:t>
      </w:r>
    </w:p>
    <w:p w:rsidR="00611878" w:rsidRDefault="00672C55">
      <w:pPr>
        <w:spacing w:after="33" w:line="366" w:lineRule="auto"/>
        <w:ind w:left="561" w:right="707"/>
      </w:pPr>
      <w:r>
        <w:rPr>
          <w:sz w:val="24"/>
        </w:rPr>
        <w:lastRenderedPageBreak/>
        <w:t xml:space="preserve">  Le poche voci fuori dal coro in ambito accademico sono state espulse una dopo l’altra, a partire da Karl Saller, antropologo dell’università di Monaco di Baviera. I medici non dovevano più rapportarsi con l’etica del giuramento di Ippocrate, ma essere veri e propri soldati della medicina. Ciononostante, i dottori prestavano lo storico giuramento che, come testimoniato al processo di Norimberga era </w:t>
      </w:r>
      <w:r>
        <w:rPr>
          <w:i/>
          <w:sz w:val="24"/>
        </w:rPr>
        <w:t>“un’atroce ironia della storia universale”.</w:t>
      </w:r>
      <w:r>
        <w:rPr>
          <w:sz w:val="24"/>
        </w:rPr>
        <w:t xml:space="preserve"> Migliaia di uomini e donne sono stati sterilizzati perché portatori di una tara ereditaria fisica, come il già citato daltonismo, una malformazione genetica: idiozia, mongolismo, (specialmente se associato a cecità o sordità), microcefalia, idrocefalia, malformazioni, paralisi e spasticità o devianze ideologiche, come i socialisti ed i comunisti. Sottoponendo gli organi genitali maschili ai raggi </w:t>
      </w:r>
    </w:p>
    <w:p w:rsidR="00611878" w:rsidRDefault="000E485B">
      <w:pPr>
        <w:spacing w:line="366" w:lineRule="auto"/>
        <w:ind w:left="561" w:right="707"/>
      </w:pPr>
      <w:r>
        <w:rPr>
          <w:sz w:val="24"/>
        </w:rPr>
        <w:t>Röngton, asportando l’u</w:t>
      </w:r>
      <w:r w:rsidR="00672C55">
        <w:rPr>
          <w:sz w:val="24"/>
        </w:rPr>
        <w:t xml:space="preserve">tero o chiudendo le tube s’impediva l’inquinamento della razza ariana da parte di individui che sarebbero stati inutilizzabili in guerra e, quindi, un peso per tutta la società, mentre per i bambini già nati era ordinata l’eutanasia. Da quanto riportato da Robert J. </w:t>
      </w:r>
    </w:p>
    <w:p w:rsidR="00611878" w:rsidRDefault="00672C55">
      <w:pPr>
        <w:spacing w:line="366" w:lineRule="auto"/>
        <w:ind w:left="561" w:right="707"/>
      </w:pPr>
      <w:r>
        <w:rPr>
          <w:sz w:val="24"/>
        </w:rPr>
        <w:t>Lifton, sembra che Adolf Hitler si fosse “appassionato” all’eugenetica nei confronti dei bambini nel 1935 perché si sentiva oppresso dal pensiero di queste famiglie che dovevano affrontare da sole il peso di un bambino “deficiente”</w:t>
      </w:r>
      <w:r w:rsidR="001C5E31">
        <w:rPr>
          <w:rStyle w:val="Rimandonotaapidipagina"/>
          <w:sz w:val="24"/>
        </w:rPr>
        <w:footnoteReference w:id="53"/>
      </w:r>
      <w:r>
        <w:rPr>
          <w:sz w:val="24"/>
        </w:rPr>
        <w:t xml:space="preserve"> il perché si comprende da un certificato medico rilasciato il 14 settembre 1939 </w:t>
      </w:r>
    </w:p>
    <w:p w:rsidR="00611878" w:rsidRPr="00791545" w:rsidRDefault="00672C55">
      <w:pPr>
        <w:spacing w:after="28"/>
        <w:ind w:left="1438" w:right="706"/>
      </w:pPr>
      <w:r>
        <w:t xml:space="preserve">L’idiota K. M. nata l‘8luglio 1922 a Oberreute, nel distretto di Wangen, è rinchiusa qui dal 3 settembre 1928. In questo periodo lo stato d’eccitamento nel quale si trovava e contro il quale abbiamo tentato di intervenire non è migliorato, morde e colpisce gi altri bambini. Ha cercato anche di aggredire gli adulti. È chiaro dunque che essa costituisca un pericolo per se e per gli altri e non possa rimanere qui. </w:t>
      </w:r>
      <w:r w:rsidRPr="00791545">
        <w:t>Occorre che sia rinchiusa in un altro luogo idoneo</w:t>
      </w:r>
      <w:r w:rsidR="00A515CF">
        <w:rPr>
          <w:rStyle w:val="Rimandonotaapidipagina"/>
          <w:lang w:val="en-GB"/>
        </w:rPr>
        <w:footnoteReference w:id="54"/>
      </w:r>
    </w:p>
    <w:p w:rsidR="00611878" w:rsidRDefault="00611878">
      <w:pPr>
        <w:spacing w:after="0" w:line="259" w:lineRule="auto"/>
        <w:ind w:left="850" w:right="0" w:firstLine="0"/>
        <w:jc w:val="left"/>
      </w:pPr>
    </w:p>
    <w:p w:rsidR="00611878" w:rsidRDefault="00672C55">
      <w:pPr>
        <w:spacing w:line="366" w:lineRule="auto"/>
        <w:ind w:left="561" w:right="707"/>
      </w:pPr>
      <w:r w:rsidRPr="001C5E31">
        <w:rPr>
          <w:sz w:val="24"/>
        </w:rPr>
        <w:t xml:space="preserve">  </w:t>
      </w:r>
      <w:r>
        <w:rPr>
          <w:sz w:val="24"/>
        </w:rPr>
        <w:t xml:space="preserve">Questa operazione di sterilizzazione ha una grossa eco anche in Italia, dove viene esaltata e spiegata la legge e la sua attuazione in un articolo di Lidio Cipriani su </w:t>
      </w:r>
      <w:r>
        <w:rPr>
          <w:i/>
          <w:sz w:val="24"/>
        </w:rPr>
        <w:t>La Difesa della Razza</w:t>
      </w:r>
      <w:r>
        <w:rPr>
          <w:sz w:val="24"/>
        </w:rPr>
        <w:t xml:space="preserve"> </w:t>
      </w:r>
    </w:p>
    <w:p w:rsidR="00611878" w:rsidRDefault="00672C55">
      <w:pPr>
        <w:ind w:left="1882" w:right="859"/>
      </w:pPr>
      <w:r>
        <w:lastRenderedPageBreak/>
        <w:t xml:space="preserve">Uno dei provvedimenti legislativi più notevoli in vigore è quello per limitare, e in certi casi impedire, la riproduzione degli elementi anormali: la legge Hitler 14 luglio 1933 sulla sterilizzazione. Tale legge, protettrice in vero senso del valore biologico degli individui normali, è la più energica ed efficace fra le consimili di altri paesi. […]. L’indicata legge è qui riportata per intero: </w:t>
      </w:r>
    </w:p>
    <w:p w:rsidR="00611878" w:rsidRDefault="00672C55">
      <w:pPr>
        <w:spacing w:after="0" w:line="259" w:lineRule="auto"/>
        <w:ind w:left="1872" w:right="0" w:firstLine="0"/>
        <w:jc w:val="left"/>
      </w:pPr>
      <w:r>
        <w:t xml:space="preserve"> </w:t>
      </w:r>
    </w:p>
    <w:p w:rsidR="00611878" w:rsidRDefault="00672C55" w:rsidP="004B3A00">
      <w:pPr>
        <w:numPr>
          <w:ilvl w:val="1"/>
          <w:numId w:val="7"/>
        </w:numPr>
        <w:ind w:right="855" w:hanging="401"/>
      </w:pPr>
      <w:r>
        <w:t xml:space="preserve">Il malato ereditario può essere sterilizzato con un intervento chirurgico allorché, dalle esperienze della scienza medica, si preveda con forte probabilità che i suoi discendenti sarebbero affetti da tare ereditarie gravi, fisiche o psichiche. [segue elenco delle patologie]. Inoltre può essere sterilizzato chiunque sia affetto da alcolismo. </w:t>
      </w:r>
    </w:p>
    <w:p w:rsidR="00611878" w:rsidRDefault="00672C55" w:rsidP="004B3A00">
      <w:pPr>
        <w:numPr>
          <w:ilvl w:val="1"/>
          <w:numId w:val="7"/>
        </w:numPr>
        <w:ind w:right="855" w:hanging="401"/>
      </w:pPr>
      <w:r>
        <w:t xml:space="preserve">La domanda di sterilizzazione deve essere fatta dalla persona stessa da sterilizzare . se si tratta di persona che non possiede la pienezza delle sue facoltà mentali, o posta sotto interdizione, oppure che non abbia raggiunto i diciotto anni di età, la domanda viene inoltrata dal suo rappresentante legale. […]. </w:t>
      </w:r>
    </w:p>
    <w:p w:rsidR="00611878" w:rsidRDefault="00672C55" w:rsidP="004B3A00">
      <w:pPr>
        <w:numPr>
          <w:ilvl w:val="1"/>
          <w:numId w:val="7"/>
        </w:numPr>
        <w:ind w:right="855" w:hanging="401"/>
      </w:pPr>
      <w:r>
        <w:t xml:space="preserve">La sterilizzazione può anche essere proposto dal medico condotto o dal capo dell’istituzione, allorché si tratta di ricoverati negli ospedali, nelle istituzioni curative e nelle istituzioni coercitive. </w:t>
      </w:r>
    </w:p>
    <w:p w:rsidR="00611878" w:rsidRDefault="00672C55">
      <w:pPr>
        <w:ind w:left="1882" w:right="706"/>
      </w:pPr>
      <w:r>
        <w:t xml:space="preserve">  […]. </w:t>
      </w:r>
    </w:p>
    <w:p w:rsidR="00611878" w:rsidRDefault="00672C55" w:rsidP="004B3A00">
      <w:pPr>
        <w:numPr>
          <w:ilvl w:val="2"/>
          <w:numId w:val="7"/>
        </w:numPr>
        <w:spacing w:after="30"/>
        <w:ind w:left="2203" w:right="856" w:hanging="331"/>
      </w:pPr>
      <w:r>
        <w:t xml:space="preserve">La procedura del tribunale non è pubblica. </w:t>
      </w:r>
    </w:p>
    <w:p w:rsidR="00611878" w:rsidRDefault="00672C55">
      <w:pPr>
        <w:tabs>
          <w:tab w:val="center" w:pos="1872"/>
          <w:tab w:val="center" w:pos="5878"/>
        </w:tabs>
        <w:ind w:left="0" w:right="0" w:firstLine="0"/>
        <w:jc w:val="left"/>
      </w:pPr>
      <w:r>
        <w:rPr>
          <w:rFonts w:ascii="Calibri" w:eastAsia="Calibri" w:hAnsi="Calibri" w:cs="Calibri"/>
        </w:rPr>
        <w:tab/>
      </w:r>
      <w:r>
        <w:t xml:space="preserve"> </w:t>
      </w:r>
      <w:r>
        <w:tab/>
        <w:t xml:space="preserve">Il tribunale per l’eredità fa procedere a tutte le ricerche di rigore; può udire testimoni </w:t>
      </w:r>
    </w:p>
    <w:p w:rsidR="00611878" w:rsidRDefault="00672C55">
      <w:pPr>
        <w:ind w:left="1882" w:right="706"/>
      </w:pPr>
      <w:r>
        <w:t xml:space="preserve">e specialisti, può                       </w:t>
      </w:r>
      <w:r>
        <w:tab/>
        <w:t xml:space="preserve">ordinare che si presenti l’individuo da sterilizzare e il suo esame medico, può spiccare mandato di  </w:t>
      </w:r>
      <w:r>
        <w:tab/>
        <w:t xml:space="preserve">comparsa. […] </w:t>
      </w:r>
    </w:p>
    <w:p w:rsidR="00611878" w:rsidRDefault="00672C55" w:rsidP="004B3A00">
      <w:pPr>
        <w:numPr>
          <w:ilvl w:val="2"/>
          <w:numId w:val="7"/>
        </w:numPr>
        <w:spacing w:after="27"/>
        <w:ind w:left="2203" w:right="856" w:hanging="331"/>
      </w:pPr>
      <w:r>
        <w:t xml:space="preserve">Il tribunale decide secondo la propria coscienza e dopo aver preso in considerazione le testimonianze e  prove portate. La decisione è presa dopo una discussione verbale, a maggioranza di voti.  </w:t>
      </w:r>
    </w:p>
    <w:p w:rsidR="00611878" w:rsidRDefault="00672C55">
      <w:pPr>
        <w:tabs>
          <w:tab w:val="center" w:pos="1872"/>
          <w:tab w:val="center" w:pos="2337"/>
        </w:tabs>
        <w:ind w:left="0" w:right="0" w:firstLine="0"/>
        <w:jc w:val="left"/>
      </w:pPr>
      <w:r>
        <w:rPr>
          <w:rFonts w:ascii="Calibri" w:eastAsia="Calibri" w:hAnsi="Calibri" w:cs="Calibri"/>
        </w:rPr>
        <w:tab/>
      </w:r>
      <w:r>
        <w:t xml:space="preserve"> </w:t>
      </w:r>
      <w:r>
        <w:tab/>
        <w:t xml:space="preserve">[…]. </w:t>
      </w:r>
    </w:p>
    <w:p w:rsidR="00611878" w:rsidRDefault="00672C55">
      <w:pPr>
        <w:ind w:left="1882" w:right="854"/>
      </w:pPr>
      <w:r>
        <w:t xml:space="preserve">      12.  Allorché la sterilizzazione è decretata in maniera definitiva dal tribunale, essa deve essere eseguita anche  contro la volontà dell’individuo da sterilizzare. Il medico ufficiale dovrà ricorrere, se necessario,  all’assistenza della polizia. Se queste misure non saranno sufficienti, si ricorrerà alla forza. […].   </w:t>
      </w:r>
    </w:p>
    <w:p w:rsidR="00611878" w:rsidRDefault="00672C55">
      <w:pPr>
        <w:spacing w:after="0" w:line="259" w:lineRule="auto"/>
        <w:ind w:left="566" w:right="0" w:firstLine="0"/>
        <w:jc w:val="left"/>
      </w:pPr>
      <w:r>
        <w:rPr>
          <w:sz w:val="24"/>
        </w:rPr>
        <w:t xml:space="preserve">   </w:t>
      </w:r>
    </w:p>
    <w:p w:rsidR="00611878" w:rsidRDefault="00672C55">
      <w:pPr>
        <w:spacing w:line="366" w:lineRule="auto"/>
        <w:ind w:left="561" w:right="707"/>
      </w:pPr>
      <w:r>
        <w:rPr>
          <w:sz w:val="24"/>
        </w:rPr>
        <w:t xml:space="preserve">  È interessante sottolineare come la procedura giuridica che ammanta le sterilizzazioni sia proposta nei primi due articoli come una scelta soggettiva e consapevole dell’individuo che, una volta individuati autonomamente i suoi limiti, accetta di sottoporsi all’intervento per un sentimento che può essere definito senso civico ma che, con lo scorrere degli articoli si mostra dome un atto di imperio da attuare con tutti gli strumenti possibili, compreso l’uso della forza.    La legge nasce dalla necessità di contrastare i dati che emergevano dalle pubblicazioni scientifiche coeve. Esse riportano dati che spesso vengono diffusi dalla   attraverso semplici illustrazioni comprensibili anche per gli analfabeti: si riporta che in cinque generazioni da una donna “di facili costumi” hanno origini due figli “scemi” da padri sconosciuti, una malata di mente, due sordomuti ed un pazzo pericoloso (rappresentato dietro le sbarre di un manicomio).  </w:t>
      </w:r>
    </w:p>
    <w:p w:rsidR="00611878" w:rsidRDefault="00672C55">
      <w:pPr>
        <w:spacing w:line="304" w:lineRule="auto"/>
        <w:ind w:left="576" w:right="706"/>
      </w:pPr>
      <w:r>
        <w:rPr>
          <w:sz w:val="24"/>
        </w:rPr>
        <w:t xml:space="preserve">In un altro articolo dal titolo </w:t>
      </w:r>
      <w:r>
        <w:rPr>
          <w:i/>
          <w:sz w:val="24"/>
        </w:rPr>
        <w:t>Difendiamo nella maternità le qualità della razza</w:t>
      </w:r>
      <w:r>
        <w:rPr>
          <w:sz w:val="24"/>
        </w:rPr>
        <w:t xml:space="preserve">, lo stesso Landra ribadisce e rafforza ulteriormente il concetto semplificandolo allo scopo evidente di esaltare la legge tedesca </w:t>
      </w:r>
      <w:r>
        <w:t xml:space="preserve"> Un vecchio detto afferma: “Genitori sani – figli sani; genitori ammalati figli ammalati” Questa affermazione, considerata in generale, contiene una grandissima verità. L’esperienza comune </w:t>
      </w:r>
      <w:r>
        <w:lastRenderedPageBreak/>
        <w:t xml:space="preserve">mostra come gli alcolizzati appartengono per lo più a famiglie di alcolizzati, come pure molti ammalati di mente. </w:t>
      </w:r>
    </w:p>
    <w:p w:rsidR="00611878" w:rsidRDefault="00672C55">
      <w:pPr>
        <w:spacing w:after="42"/>
        <w:ind w:left="1438" w:right="857"/>
      </w:pPr>
      <w:r>
        <w:t xml:space="preserve"> […]. Davanti allo spettacolo pietoso di famiglie nelle quali l’epilessia si tramanda da secoli , talora più manifesta in una generazione e meno nell’altra, di famiglie di pazzi, di famiglie di delinquenti, ognuno di noi resta dolorosamente turbato, e pensa alla fatalità delle leggi ereditarie e alla tragedia che incombe e intacca la razza non dall’esterno come è quella del meticciato ma dall’interno stesso di essa.</w:t>
      </w:r>
      <w:r>
        <w:rPr>
          <w:vertAlign w:val="superscript"/>
        </w:rPr>
        <w:footnoteReference w:id="55"/>
      </w:r>
      <w:r>
        <w:t xml:space="preserve"> </w:t>
      </w:r>
    </w:p>
    <w:p w:rsidR="00611878" w:rsidRDefault="00672C55">
      <w:pPr>
        <w:spacing w:after="0" w:line="259" w:lineRule="auto"/>
        <w:ind w:left="1419" w:right="0" w:firstLine="0"/>
        <w:jc w:val="left"/>
      </w:pPr>
      <w:r>
        <w:t xml:space="preserve">  </w:t>
      </w:r>
      <w:r>
        <w:rPr>
          <w:i/>
          <w:sz w:val="24"/>
        </w:rPr>
        <w:t xml:space="preserve">  </w:t>
      </w:r>
    </w:p>
    <w:p w:rsidR="00611878" w:rsidRDefault="00672C55">
      <w:pPr>
        <w:spacing w:line="366" w:lineRule="auto"/>
        <w:ind w:left="561" w:right="707"/>
      </w:pPr>
      <w:r>
        <w:rPr>
          <w:sz w:val="24"/>
        </w:rPr>
        <w:t xml:space="preserve">  Questa legge del 14 luglio 1933 è uno dei primi provvedimenti normativi che denotano immediatamente il carattere violento e razzista del regime e può essere considerato l’elemento di cesura con il passato che indica l’inizio di una nuova stagione per il Volk che si pone l’obbiettivo di raggiungere l’egemonia europea e mondiale, partendo dall’ideologia di Hegel e Nietzsche plasmandola a secondo delle necessità dello Stato-Partito.  </w:t>
      </w:r>
    </w:p>
    <w:p w:rsidR="00611878" w:rsidRDefault="00672C55">
      <w:pPr>
        <w:spacing w:line="366" w:lineRule="auto"/>
        <w:ind w:left="561" w:right="707"/>
      </w:pPr>
      <w:r>
        <w:rPr>
          <w:sz w:val="24"/>
        </w:rPr>
        <w:t xml:space="preserve">  Queste tesi si esplicano in maniera plastica nelle cartelle cliniche dei pazienti dei vari centri di sterilizzazione ed eutanasia operanti sul territorio tedesco. Molto spesso nelle schede sono riportate con annessa legenda interpretativa gli alberi genealogici dai quali si evince come il nazsmo concepisse l’ereditarietà di alcune caratteristiche: E. S., ad esempio, paziente del centro di Hademar era figlio di un padre alcolizzato</w:t>
      </w:r>
      <w:r>
        <w:rPr>
          <w:sz w:val="24"/>
          <w:vertAlign w:val="superscript"/>
        </w:rPr>
        <w:footnoteReference w:id="56"/>
      </w:r>
      <w:r>
        <w:rPr>
          <w:sz w:val="24"/>
        </w:rPr>
        <w:t xml:space="preserve">, mentre di un altro paziente dello stesso centro si ha una documentazione più completa e dettagliata anche per quanto riguarda ascendenti e disccententi </w:t>
      </w:r>
    </w:p>
    <w:p w:rsidR="00611878" w:rsidRDefault="00672C55">
      <w:pPr>
        <w:ind w:left="1438" w:right="706"/>
      </w:pPr>
      <w:r>
        <w:t xml:space="preserve">Il Referto del paziente è noto da 15 anni. Inizialmente si sono manifestati mal di testa, carenza di sangue, 2 bambini nati normali, i bambini sono sani, apprendono bene, sono nervosi. Nessuna infezione venosa riscontrata. Negativo.  </w:t>
      </w:r>
    </w:p>
    <w:p w:rsidR="00611878" w:rsidRDefault="00672C55">
      <w:pPr>
        <w:ind w:left="1438" w:right="706"/>
      </w:pPr>
      <w:r>
        <w:t xml:space="preserve">Paziente sempre allegra e leggermente eccitata. I coniugi erano felici. Ad ottobre ha festeggiato il compleanno della madre e ha trascorso 4 settimane a Wurtenberg. Poi a Heilbrinn dove ha avuto un episodio che l’ha eccitata. Non ha fatto i conti con il proprio destino che le altre sorelle hanno affrontato meglio. Nessun tentativo di suicidio dal suo ritorno alla fine di novembre le persone ridevano parlando davanti a lei, piangeva notte, era persa nei suoi pensierimolto spesso, parlava senza senso, anche se è stata vista in vita per un’ora. 15. XII. Nella notte molto tranuquilla cerca la protezione di suo marito, grida. </w:t>
      </w:r>
    </w:p>
    <w:p w:rsidR="00611878" w:rsidRDefault="00672C55">
      <w:pPr>
        <w:spacing w:line="246" w:lineRule="auto"/>
        <w:ind w:left="1414" w:right="702"/>
        <w:jc w:val="left"/>
      </w:pPr>
      <w:r>
        <w:t xml:space="preserve">16. XII un’altra notte molto tranquilla ha gridato forte e si è schiaffeggiata. Il periodo è sempre irregolare, continua a soffrire di mal di testa. Sindrome premestruale. Famiglia: madre 80 anni, sana, fratelli sani. Padre potatore, morto presto. </w:t>
      </w:r>
    </w:p>
    <w:p w:rsidR="00611878" w:rsidRDefault="00672C55">
      <w:pPr>
        <w:ind w:left="1438" w:right="706"/>
      </w:pPr>
      <w:r>
        <w:t xml:space="preserve">Suicidio, incidenti, malattie dello spirito, tendenze a sinistra della famiglia non sono note. Già nell’ottobre 1935 a Waldenburg il primo episodio accaduto. Ha gridato forte, si è sformata, ha iniziato a parlare male, a chiamare le persone!  </w:t>
      </w:r>
    </w:p>
    <w:p w:rsidR="00611878" w:rsidRDefault="00672C55">
      <w:pPr>
        <w:spacing w:after="27"/>
        <w:ind w:left="1438" w:right="706"/>
      </w:pPr>
      <w:r>
        <w:t xml:space="preserve">Ha viaggiato da sola. Del tutto a casaccio, è ora chiarito III. Reich. Famiglia: tic nervoso di un bambino e ha ......... faccia ..nel.È con gli occhi chiusi a letto, la posizione e la postura è un naturale. L'espressione del viso è difficile da comprendere con le rughe sulla fronte. La respirazione è rumoroso e profondamente.Rispondendo alle domande lei non risponde. Solo a volte si lamenta. Quando si cerca di raddrizzarla, lei è un po' triste, ma può ancora alzarsi dal </w:t>
      </w:r>
      <w:r>
        <w:lastRenderedPageBreak/>
        <w:t>lett.Situato qui nella sala d'esame nella stessa posizione con affanno della respirazione. Gli occhi sono chiusi, diretto la testa alla parete. Improvvisamente e completamente senza motivo ride, scuotendo la testa, vede Rif. a .. Le mani le pone piegate sul copriletto, una volta nelle mani sbatte. Si comporta ancora come calma. Ascoltate il suo nome, annuendo con la testa. Una spiegazione per il suo comportamento strano, non la ho. Scuotendo la testa.Anche in questo caso improvviso di inversione è molto vivace, racconta vecchie esperienze ununterbrochenvon su immerge quasi.Arriva dopo ogni richiesta. È tutto organizzato. (Esternamente), ma dopo pochi minuti di nuovo oscillare in più di nuovo aspiranti intrattenimento con tendenze negativistiche locali. Chiude gli occhi, fa un pugno</w:t>
      </w:r>
      <w:r w:rsidR="00A515CF">
        <w:rPr>
          <w:rStyle w:val="Rimandonotaapidipagina"/>
        </w:rPr>
        <w:footnoteReference w:id="57"/>
      </w:r>
      <w:r>
        <w:t xml:space="preserve">.  </w:t>
      </w:r>
    </w:p>
    <w:p w:rsidR="00611878" w:rsidRPr="00D806E2" w:rsidRDefault="00672C55">
      <w:pPr>
        <w:spacing w:after="112" w:line="259" w:lineRule="auto"/>
        <w:ind w:left="566" w:right="0" w:firstLine="0"/>
        <w:jc w:val="left"/>
        <w:rPr>
          <w:sz w:val="24"/>
          <w:szCs w:val="24"/>
        </w:rPr>
      </w:pPr>
      <w:r w:rsidRPr="00D806E2">
        <w:rPr>
          <w:sz w:val="24"/>
          <w:szCs w:val="24"/>
        </w:rPr>
        <w:t xml:space="preserve"> </w:t>
      </w:r>
    </w:p>
    <w:p w:rsidR="00611878" w:rsidRDefault="00672C55" w:rsidP="00D806E2">
      <w:pPr>
        <w:spacing w:after="0" w:line="367" w:lineRule="auto"/>
        <w:ind w:left="561" w:right="709" w:hanging="11"/>
      </w:pPr>
      <w:r>
        <w:rPr>
          <w:sz w:val="24"/>
        </w:rPr>
        <w:t>La consuetudine è confermata anche dalle annotazioni si M. K. C</w:t>
      </w:r>
      <w:r w:rsidR="00A515CF">
        <w:rPr>
          <w:sz w:val="24"/>
        </w:rPr>
        <w:t>lasse 1902, sposata con 4 figli</w:t>
      </w:r>
      <w:r>
        <w:rPr>
          <w:rFonts w:ascii="Calibri" w:eastAsia="Calibri" w:hAnsi="Calibri" w:cs="Calibri"/>
          <w:strike/>
        </w:rPr>
        <w:t xml:space="preserve">          </w:t>
      </w:r>
      <w:r>
        <w:rPr>
          <w:rFonts w:ascii="Calibri" w:eastAsia="Calibri" w:hAnsi="Calibri" w:cs="Calibri"/>
        </w:rPr>
        <w:t xml:space="preserve"> </w:t>
      </w:r>
    </w:p>
    <w:p w:rsidR="00611878" w:rsidRDefault="00672C55">
      <w:pPr>
        <w:ind w:left="1438" w:right="706"/>
      </w:pPr>
      <w:r>
        <w:t xml:space="preserve"> </w:t>
      </w:r>
      <w:r w:rsidR="000E485B">
        <w:t xml:space="preserve">Il </w:t>
      </w:r>
      <w:r>
        <w:t xml:space="preserve">fratello della madre della paziente si è impiccato con 59 anni in caso </w:t>
      </w:r>
      <w:r w:rsidR="000E485B">
        <w:t>di anomalie mentali non pervenute</w:t>
      </w:r>
      <w:r>
        <w:t>,</w:t>
      </w:r>
      <w:r w:rsidR="000E485B">
        <w:t xml:space="preserve"> nessun caso di malattie ereditarie</w:t>
      </w:r>
      <w:r>
        <w:t xml:space="preserve"> in famiglia conosciuta. </w:t>
      </w:r>
    </w:p>
    <w:p w:rsidR="00611878" w:rsidRDefault="00672C55">
      <w:pPr>
        <w:ind w:left="1438" w:right="706"/>
      </w:pPr>
      <w:r>
        <w:t>Da bambino aveva il rachitismo,</w:t>
      </w:r>
      <w:r w:rsidR="000E485B">
        <w:t xml:space="preserve"> fino ai 17 anni</w:t>
      </w:r>
      <w:r>
        <w:t>, altrimenti mai stato seriamente malato. A scuola sempre molto male imparato. Dopo aver terminato la scuola nei suoi genitori [illeggib</w:t>
      </w:r>
      <w:r w:rsidR="000E485B">
        <w:t>ile] funzionava ad intermittenza</w:t>
      </w:r>
      <w:r>
        <w:t>. 2 bambini</w:t>
      </w:r>
      <w:r w:rsidR="000E485B">
        <w:t xml:space="preserve"> da rapporti</w:t>
      </w:r>
      <w:r>
        <w:t xml:space="preserve"> prematrimoniali, ognuno dei qu</w:t>
      </w:r>
      <w:r w:rsidR="000E485B">
        <w:t>ali ha un padre differente l’uno dall’altro</w:t>
      </w:r>
      <w:r>
        <w:t xml:space="preserve">. Uno di questi bambini sono morti giovani, uno è stato allevato dalla madre. </w:t>
      </w:r>
    </w:p>
    <w:p w:rsidR="00611878" w:rsidRDefault="00672C55" w:rsidP="00D806E2">
      <w:pPr>
        <w:tabs>
          <w:tab w:val="center" w:pos="1419"/>
          <w:tab w:val="center" w:pos="3361"/>
        </w:tabs>
        <w:ind w:left="1418" w:right="0" w:firstLine="0"/>
        <w:jc w:val="left"/>
      </w:pPr>
      <w:r>
        <w:t xml:space="preserve">1930 Il matrimonio di K. K. </w:t>
      </w:r>
    </w:p>
    <w:p w:rsidR="00611878" w:rsidRDefault="00672C55">
      <w:pPr>
        <w:ind w:left="1438" w:right="706"/>
      </w:pPr>
      <w:r>
        <w:t xml:space="preserve"> Oltre a questo matrimonio 3 bambini (ragazze): sono stati nel 1930, 31, e 35. necessit</w:t>
      </w:r>
      <w:r w:rsidR="00B45DA4">
        <w:t>a</w:t>
      </w:r>
      <w:r>
        <w:t xml:space="preserve">no Già dal suo </w:t>
      </w:r>
      <w:r w:rsidR="00B45DA4">
        <w:t>in</w:t>
      </w:r>
      <w:r>
        <w:t xml:space="preserve"> gioventù al lavoro a destra (secondo la madre). Nel matrimonio del tutto abbastanza </w:t>
      </w:r>
      <w:r w:rsidR="00B45DA4">
        <w:t>confuso</w:t>
      </w:r>
      <w:r>
        <w:t xml:space="preserve">. </w:t>
      </w:r>
      <w:r w:rsidR="00B45DA4">
        <w:t>Ha t</w:t>
      </w:r>
      <w:r>
        <w:t>rascurato</w:t>
      </w:r>
      <w:r w:rsidR="00B45DA4">
        <w:t xml:space="preserve"> i</w:t>
      </w:r>
      <w:r>
        <w:t xml:space="preserve"> suoi doveri casalingh</w:t>
      </w:r>
      <w:r w:rsidR="00B45DA4">
        <w:t>i</w:t>
      </w:r>
      <w:r>
        <w:t xml:space="preserve"> e matern</w:t>
      </w:r>
      <w:r w:rsidR="00B45DA4">
        <w:t>i</w:t>
      </w:r>
      <w:r>
        <w:t xml:space="preserve"> nel peggior</w:t>
      </w:r>
      <w:r w:rsidR="00B45DA4">
        <w:t>e dei modi. Per i bambini ci si deve organizzare per metterli sotto tutela</w:t>
      </w:r>
      <w:r>
        <w:t xml:space="preserve">. K. </w:t>
      </w:r>
      <w:r w:rsidR="00B45DA4">
        <w:t>nel 1937 è stata sterilizzata</w:t>
      </w:r>
      <w:r>
        <w:t xml:space="preserve"> </w:t>
      </w:r>
      <w:r w:rsidR="00B45DA4">
        <w:t xml:space="preserve">a causa </w:t>
      </w:r>
      <w:r w:rsidR="00B45DA4">
        <w:lastRenderedPageBreak/>
        <w:t>del</w:t>
      </w:r>
      <w:r>
        <w:t>l'imbecillità. Già dal 1936 la sterilizzazione cadde su quelli di un aumento della massa. Credeva di essere avvelenato, sentì delle voci che la minacciavano. Perché lei voleva uccidere il suo bambino nel mese di ottobre 1937, dopo aver t</w:t>
      </w:r>
      <w:r w:rsidR="00B45DA4">
        <w:t>rascorso un periodo nella clinica psichatrica</w:t>
      </w:r>
      <w:r>
        <w:t xml:space="preserve"> (su 4. 11. 1937). Il 24 XI. 37 E 'stata rilasciata da lì contro pesante rovescio su insistenza del marito a casa. [...]. </w:t>
      </w:r>
    </w:p>
    <w:p w:rsidR="00611878" w:rsidRDefault="00672C55">
      <w:pPr>
        <w:ind w:left="1438" w:right="706"/>
      </w:pPr>
      <w:r>
        <w:t>Voleva</w:t>
      </w:r>
      <w:r w:rsidR="00B45DA4">
        <w:t xml:space="preserve"> tornare</w:t>
      </w:r>
      <w:r>
        <w:t xml:space="preserve"> a casa ora che lei è in buona salute, si potrebbe</w:t>
      </w:r>
      <w:r w:rsidR="00B45DA4">
        <w:t xml:space="preserve"> organizzare</w:t>
      </w:r>
      <w:r>
        <w:t xml:space="preserve">, era stato detto, </w:t>
      </w:r>
      <w:r w:rsidR="00B45DA4">
        <w:t>una visita su</w:t>
      </w:r>
      <w:r>
        <w:t xml:space="preserve">l Lago di Costanza per rilassarsi. </w:t>
      </w:r>
    </w:p>
    <w:p w:rsidR="00611878" w:rsidRDefault="00672C55">
      <w:pPr>
        <w:ind w:left="1438" w:right="706"/>
      </w:pPr>
      <w:r>
        <w:t>Non er</w:t>
      </w:r>
      <w:r w:rsidR="00B45DA4">
        <w:t>a vero che voleva uccidere il loro bambino. Ha</w:t>
      </w:r>
      <w:r>
        <w:t xml:space="preserve"> sempre preso cura dei loro figli,</w:t>
      </w:r>
      <w:r w:rsidR="00B45DA4">
        <w:t xml:space="preserve"> che</w:t>
      </w:r>
      <w:r>
        <w:t xml:space="preserve"> erano ben nutriti, [...]. </w:t>
      </w:r>
    </w:p>
    <w:p w:rsidR="00611878" w:rsidRDefault="00B45DA4">
      <w:pPr>
        <w:ind w:left="1438" w:right="706"/>
      </w:pPr>
      <w:r>
        <w:t>01/08/40 malata Stupida</w:t>
      </w:r>
      <w:r w:rsidR="00672C55">
        <w:t>, brontola sempre, non funziona nulla, deve preoccuparsi di tutti</w:t>
      </w:r>
      <w:r w:rsidR="00A515CF">
        <w:rPr>
          <w:rStyle w:val="Rimandonotaapidipagina"/>
        </w:rPr>
        <w:footnoteReference w:id="58"/>
      </w:r>
      <w:r w:rsidR="00672C55">
        <w:t>.</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La cartella clinica, spesso, continua con un insieme di domande e risposte elementari, quasi infantili, che vengono annotate diligentemente dal personale medico ed infermieristico. Anche le malattie passeggere come ad esempio la febbre occasionale, era oggetto di studio ed analisi </w:t>
      </w:r>
    </w:p>
    <w:p w:rsidR="00611878" w:rsidRDefault="00672C55" w:rsidP="00D806E2">
      <w:pPr>
        <w:spacing w:after="0"/>
        <w:ind w:left="1440" w:right="709" w:hanging="11"/>
      </w:pPr>
      <w:r>
        <w:t xml:space="preserve">4.6.36 viso da erysipila temperatura 39, 1° naso pieno 10 ccm di prontosil endovena e trasferimento in una camera singola </w:t>
      </w:r>
      <w:r>
        <w:rPr>
          <w:rFonts w:ascii="Calibri" w:eastAsia="Calibri" w:hAnsi="Calibri" w:cs="Calibri"/>
          <w:strike/>
        </w:rPr>
        <w:t xml:space="preserve">                                                       </w:t>
      </w:r>
      <w:r>
        <w:rPr>
          <w:rFonts w:ascii="Calibri" w:eastAsia="Calibri" w:hAnsi="Calibri" w:cs="Calibri"/>
        </w:rPr>
        <w:t xml:space="preserve"> </w:t>
      </w:r>
    </w:p>
    <w:p w:rsidR="00611878" w:rsidRDefault="00672C55">
      <w:pPr>
        <w:ind w:left="1438" w:right="706"/>
      </w:pPr>
      <w:r>
        <w:t xml:space="preserve">5.6. continua l’erysipel sul fianco destro. Somministrazione di 10 ccm Prontosil endovena. La malata è estremamente tranquilla, trattabile e la psicosi scomparsa. […]. </w:t>
      </w:r>
    </w:p>
    <w:p w:rsidR="00611878" w:rsidRDefault="00672C55">
      <w:pPr>
        <w:ind w:left="1438" w:right="706"/>
      </w:pPr>
      <w:r>
        <w:t xml:space="preserve">14.6.36 continua la temperatura normale, comportamento tranquillo. </w:t>
      </w:r>
    </w:p>
    <w:p w:rsidR="00611878" w:rsidRDefault="00672C55">
      <w:pPr>
        <w:spacing w:after="42"/>
        <w:ind w:left="1438" w:right="706"/>
      </w:pPr>
      <w:r>
        <w:t xml:space="preserve">Nei sui discorsi c’è ordine, c’è nuovamente un leggero ordine, si sente </w:t>
      </w:r>
      <w:r w:rsidR="00A515CF">
        <w:t>un leggero influsso nella voce.</w:t>
      </w:r>
      <w:r w:rsidR="00A515CF">
        <w:rPr>
          <w:rStyle w:val="Rimandonotaapidipagina"/>
        </w:rPr>
        <w:footnoteReference w:id="59"/>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Tutto ciò che era possibile studiare per ampliare la capacità produttiva dei singoli era portato avanti con sperimentazioni mirate o casuali al fine di rendere più forti i soggetti ariani sani. </w:t>
      </w:r>
    </w:p>
    <w:p w:rsidR="00611878" w:rsidRDefault="00672C55">
      <w:pPr>
        <w:spacing w:after="93" w:line="259" w:lineRule="auto"/>
        <w:ind w:left="561" w:right="707"/>
      </w:pPr>
      <w:r>
        <w:rPr>
          <w:sz w:val="24"/>
        </w:rPr>
        <w:lastRenderedPageBreak/>
        <w:t xml:space="preserve">Nelle cartelle cliniche erano annotati anche i test che venivano effettuati </w:t>
      </w:r>
    </w:p>
    <w:p w:rsidR="00611878" w:rsidRDefault="00672C55">
      <w:pPr>
        <w:ind w:left="1438" w:right="706"/>
      </w:pPr>
      <w:r>
        <w:t xml:space="preserve">L'esame fisico ha rivelato tranne vivaci riflessi tendinei alcuna prova di una malattia fisica. [...]. Impostare a parte le altre pazienti del reparto è qualcosa ordinò di rallentare </w:t>
      </w:r>
      <w:r w:rsidR="00B45DA4">
        <w:t>e di essere portata in osservazione</w:t>
      </w:r>
      <w:r>
        <w:t xml:space="preserve">. [...]. </w:t>
      </w:r>
    </w:p>
    <w:p w:rsidR="00611878" w:rsidRDefault="00672C55">
      <w:pPr>
        <w:ind w:left="1438" w:right="706"/>
      </w:pPr>
      <w:r>
        <w:t xml:space="preserve"> A causa di un’eccitazione le era stato somministrato ABTG. D. ed era stata rimandata indietro. Negata l’assunzione della medicina, inveì contro l'istituzione e incitato altri pazienti. Negato l'assunzione di cibo. Pertanto mantenuto ABTG. J. malati qui con 40 di febbre, ha subito un attacco di diarrea. Dopo alcuni giorni di miglioramento pesca letame. [...]. </w:t>
      </w:r>
    </w:p>
    <w:p w:rsidR="00611878" w:rsidRDefault="00672C55">
      <w:pPr>
        <w:ind w:left="1438" w:right="706"/>
      </w:pPr>
      <w:r>
        <w:t>È venuta qui a causa di uno stato di confusione dopo ABTG. J. 87 attacchi, la maggior parte delle luci d'arte. Molto soddisfatto, costantemente trovo difetti nel mese passato su. Ingoiato una spilla di sicurezza e un punto fermo, sia andato via naturalmente ha inghiottito quello che ha trovato, però, dopo pochi giorni</w:t>
      </w:r>
      <w:r w:rsidR="00B45DA4">
        <w:t xml:space="preserve"> ha respirato</w:t>
      </w:r>
      <w:r>
        <w:t xml:space="preserve">. Di nuovo cercato di ingoiare un manico di un cucchiaio. Volevo richiedere il suo trasferimento. [...]. </w:t>
      </w:r>
    </w:p>
    <w:p w:rsidR="00611878" w:rsidRDefault="00672C55">
      <w:pPr>
        <w:spacing w:after="107"/>
        <w:ind w:left="1438" w:right="706"/>
      </w:pPr>
      <w:r>
        <w:t>N. è ritardata nel completamento dell'istituzione. E 'stat</w:t>
      </w:r>
      <w:r w:rsidR="00B45DA4">
        <w:t>o fatto lo screening radiografico</w:t>
      </w:r>
      <w:r>
        <w:t xml:space="preserve"> presso l'ospedale, che ha mostrato un circa 20 centimetri di lunghezza e dei corpi estranei di spessore nel colon discendente, che non poteva essere rimosso. N. deve aver spinto volta nel retto mentre defecava</w:t>
      </w:r>
      <w:r w:rsidR="00A515CF">
        <w:rPr>
          <w:rStyle w:val="Rimandonotaapidipagina"/>
        </w:rPr>
        <w:footnoteReference w:id="60"/>
      </w:r>
      <w:r>
        <w:t xml:space="preserve">.   </w:t>
      </w:r>
    </w:p>
    <w:p w:rsidR="00611878" w:rsidRPr="00672C55" w:rsidRDefault="00611878">
      <w:pPr>
        <w:spacing w:after="113" w:line="259" w:lineRule="auto"/>
        <w:ind w:left="566" w:right="0" w:firstLine="0"/>
        <w:jc w:val="left"/>
        <w:rPr>
          <w:lang w:val="de-DE"/>
        </w:rPr>
      </w:pPr>
    </w:p>
    <w:p w:rsidR="00611878" w:rsidRDefault="00672C55">
      <w:pPr>
        <w:spacing w:line="366" w:lineRule="auto"/>
        <w:ind w:left="561" w:right="707"/>
      </w:pPr>
      <w:r>
        <w:rPr>
          <w:sz w:val="24"/>
        </w:rPr>
        <w:t>È interessante sottolineare come tutte le annotazioni sono riportate con la macchina da scrivere in un ordine schematico predeterminato, con alcune eventuali note a margine a fare da corredo. Questo indica un’estrema precisione nel voler rendere assolutamente fruibili tutte le informazioni anche a stu</w:t>
      </w:r>
      <w:r w:rsidR="00A515CF">
        <w:rPr>
          <w:sz w:val="24"/>
        </w:rPr>
        <w:t>diosi esterni all’equipe che av</w:t>
      </w:r>
      <w:r>
        <w:rPr>
          <w:sz w:val="24"/>
        </w:rPr>
        <w:t xml:space="preserve">eva il paziente in cura. È del tutto evidente, infatti, che qualora fossero state lasciate scritte a mano, le informazioni sarebbero potute risultate incomprensibili. Gli errori di ortografia, di grammatica o di battitura, però, evidenziano che l’operazione di inserimento nel database rudimentale era effettuato da una persona differente dal medico, spesso non informato sulle patologie e sui termini tecnici da utilizzare.  </w:t>
      </w:r>
    </w:p>
    <w:p w:rsidR="00611878" w:rsidRDefault="00672C55">
      <w:pPr>
        <w:spacing w:line="366" w:lineRule="auto"/>
        <w:ind w:left="561" w:right="707"/>
      </w:pPr>
      <w:r>
        <w:rPr>
          <w:sz w:val="24"/>
        </w:rPr>
        <w:t xml:space="preserve">  Dai documenti che è stato possibile studiare è evidente che il maggior numero delle pazienti donne recluse soffrisse di schizzofrenia o apatia. Nel caso della signora K. È abbastanza </w:t>
      </w:r>
      <w:r>
        <w:rPr>
          <w:sz w:val="24"/>
        </w:rPr>
        <w:lastRenderedPageBreak/>
        <w:t xml:space="preserve">evidente si tratti di un caso di schizzofrenia, poiché le “voci” che le impartiscono odini sono solo nella sua testa. Non è dato sapere se la signora sia sopravvissuta ad Hademar, i documenti non riportano né una data di dimissioni né di decesso, ma l’ultima annotazione che registra un peggioramento della patologia, senza che seguano ulteriori sviluppi fa pensare che la signora sia morta all’interno dell’istituto. Al contrario la cartella clinica R179/24253 riporta un tentativo di cura riuscito con un significativo abbassamento della febbre e un miglioramento collettivo.    Come si è detto, pochissime voci si sono levate in dissenso, sia dal mondo scientifico che da quello etico-morale della Chiesa. Successivamente al Concordato, i rapporti tra Roma e Reich erano basati fondamentalmente sulla paura del regime. Solamente qualche voce, spesso ritenuta timida da molti studiosi, si è alzata contro Hitler. Una su tutte sicuramente quella dell’Arcivescovo Von Galen che nell’omelia del 3 Agosto 1941 ha messo nel mirino il programma di eutanasia: </w:t>
      </w:r>
    </w:p>
    <w:p w:rsidR="00611878" w:rsidRDefault="00672C55">
      <w:pPr>
        <w:ind w:left="1438" w:right="706"/>
      </w:pPr>
      <w:r>
        <w:t xml:space="preserve"> [per un] Paese in una guerra giusta, è lecito l’uso della forza fino all’uccisione e, spesse volte, è anche necessario. No, non per tali motivi devono morire quegli infelici malati, ma perché secondo il giudizio di n ufficio, secondo il parere di una qualunque commissione, son divenuti “indegni di vivere” per il fatto che, secondo tale perizia, fanno parte dei “connazionali improduttivi”. Si giudica: non possono più produrre, sono come una vecchia macchina, che non funziona più, come un vecchio cavallo diventato inguaribilmente zoppo. […]. Cosa si fa con una tale macchina? Viene demolita. […]. </w:t>
      </w:r>
    </w:p>
    <w:p w:rsidR="00611878" w:rsidRDefault="00672C55">
      <w:pPr>
        <w:ind w:left="1438" w:right="706"/>
      </w:pPr>
      <w:r>
        <w:t xml:space="preserve"> No qui si tratta di esseri umani, nostri consimili, nostri fratelli e nostre sorelle. Poveri esseri malati e, se si vuole, anche improduttivi! Ma per questo non meritano di essere uccisi! […]. </w:t>
      </w:r>
    </w:p>
    <w:p w:rsidR="00611878" w:rsidRDefault="00672C55" w:rsidP="005C5B18">
      <w:pPr>
        <w:spacing w:after="306"/>
        <w:ind w:left="1438" w:right="706"/>
      </w:pPr>
      <w:r>
        <w:t xml:space="preserve"> Se poi si arriverà ad ammettere che delle persone abbiano il diritto di uccidere dei consimili, “non produttivi” anche se ora sono colpiti solo poveri e indifesi malati di mente – allora per principio sarà permesso l’assassinio di tutte le persone non produttive, e cioè, dei malati incurabili, degli invalidi del lavoro e di guerra, e quindi anche di tutti noi quando saremo vecchi e decrepiti […]. </w:t>
      </w:r>
    </w:p>
    <w:p w:rsidR="00611878" w:rsidRDefault="00672C55">
      <w:pPr>
        <w:ind w:left="1438" w:right="706"/>
      </w:pPr>
      <w:r>
        <w:t xml:space="preserve"> E come si abusa, si disonora e si bestemmia il nome di Dio! E il primo comandamento “Non avrai altro Dio all’infuori di me!”. Piuttosto dell’unico vero Dio si creano a piacere idoli per adorarli: la Natura o lo Stato o il Popolo o la Razza</w:t>
      </w:r>
      <w:r>
        <w:rPr>
          <w:sz w:val="24"/>
        </w:rPr>
        <w:t>.</w:t>
      </w:r>
      <w:r>
        <w:rPr>
          <w:sz w:val="24"/>
          <w:vertAlign w:val="superscript"/>
        </w:rPr>
        <w:footnoteReference w:id="61"/>
      </w:r>
      <w:r>
        <w:rPr>
          <w:sz w:val="24"/>
        </w:rPr>
        <w:t xml:space="preserve">   </w:t>
      </w:r>
    </w:p>
    <w:p w:rsidR="00611878" w:rsidRDefault="00672C55">
      <w:pPr>
        <w:spacing w:after="0" w:line="259" w:lineRule="auto"/>
        <w:ind w:left="1419" w:right="0" w:firstLine="0"/>
        <w:jc w:val="left"/>
      </w:pPr>
      <w:r>
        <w:rPr>
          <w:sz w:val="24"/>
        </w:rPr>
        <w:t xml:space="preserve"> </w:t>
      </w:r>
    </w:p>
    <w:p w:rsidR="00611878" w:rsidRDefault="00672C55">
      <w:pPr>
        <w:spacing w:line="366" w:lineRule="auto"/>
        <w:ind w:left="561" w:right="707"/>
      </w:pPr>
      <w:r>
        <w:rPr>
          <w:sz w:val="24"/>
        </w:rPr>
        <w:t xml:space="preserve">  Al contrario, al livello internazionale le voci contrarie sono più insistenti, soprattutto nei confronti delle donne. Già a partire dal 1934, il congresso della Wilpf, l’organizzazione mondiale per i diritti delle donne, pone alcuni interrogativi sul destino di alcune donne di cui si erano perse le tracce, come evidenziato da Suriano, infatti </w:t>
      </w:r>
    </w:p>
    <w:p w:rsidR="00611878" w:rsidRDefault="00672C55">
      <w:pPr>
        <w:spacing w:after="38"/>
        <w:ind w:left="1438" w:right="706"/>
      </w:pPr>
      <w:r>
        <w:t xml:space="preserve"> L’ottavo Congresso internazionale della Wilpf riunito a Zurigo (settembre 3–8, 1934), con 148 membri provenienti da 15 paesi, protesta con la massima fermezza contro l’arbitraria uccisione e la brutale tortura di uomini e donne in Germania. Come donne, alle donne è particolarmente rivola la nostra attenzione. Donne “ariane” così come di razza ebraica, Donne dell’aristocrazia, della classe media e della classe operaia, Donne indipendentemente dall’età e </w:t>
      </w:r>
      <w:r>
        <w:lastRenderedPageBreak/>
        <w:t>dalle opinioni. Madri che allattano i loro bambini, donne incinte. Donne, le quali sono state separate dai propri figli per mesi, imprigionate, tortutate con metodi medievali, e assassinate nelle celle della polizia tedesca, nelle prigioni, nelle baracche delle S.A. e delle S.S. e nei campi di concentramento. Noi chiediamo al “Führer” della Germania: Dov’è la moglie del deputato bavarese, Hans Beimler? Dov’è la moglie del deputato prussiamo, Steinfurth? Dove sono le mogli di Dressel, Coetz e Hausmann uccise a Dachau? Dov’è Fanny Planck di Oberwiesenfeld in Nord Baviera? Dov’è la parlamentare Lene Kirsch? Dov’è Lotte Gehrmann di Berlino? Chi ha ucciso Franziska Kessel di Mainz, membro del Reichstag? Chi ha ucciso Wilhelmine Strutz di Hamborn? Chi ha ucciso Anna Roeder di Berlino? Chi ha ucciso la settantenne Frau Bicke di Weissensee-Berlin? Chi ha ucciso Frau Arbets di Gladbach? Chi ha ucciso Käthe Sennhof di Duisburg? Chi ha ucciso Grete Messing di Selb? Chi sta torturando a morte Anne-Marie Jacobs, social worker di Amburgo? Dov’è, in uno Stato in cui accadono tali crimini, la Democrazia, in nome della quale il Führer, quando proclamò il plebiscito del 19 agosto, si è orgogliosamente appellato al mondo? Dov’è l’Uguaglianza, che il Führer imperiosamente chiede da parte dei paesi stranieri, per i tedeschi in Germania? Noi non cesseremo di far conoscere la verità sulla Germania nei nostri paesi fino a quando le prigioniere non saranno rilasciate e conferiti risarcimenti per le donne tedesche torturate e uccise</w:t>
      </w:r>
      <w:r>
        <w:rPr>
          <w:vertAlign w:val="superscript"/>
        </w:rPr>
        <w:footnoteReference w:id="62"/>
      </w:r>
      <w:r>
        <w:t xml:space="preserve"> </w:t>
      </w:r>
    </w:p>
    <w:p w:rsidR="00611878" w:rsidRDefault="00672C55">
      <w:pPr>
        <w:spacing w:after="115" w:line="259" w:lineRule="auto"/>
        <w:ind w:left="600" w:right="0" w:firstLine="0"/>
        <w:jc w:val="left"/>
      </w:pPr>
      <w:r>
        <w:rPr>
          <w:sz w:val="24"/>
        </w:rPr>
        <w:t xml:space="preserve"> </w:t>
      </w:r>
    </w:p>
    <w:p w:rsidR="00611878" w:rsidRDefault="00672C55">
      <w:pPr>
        <w:spacing w:line="366" w:lineRule="auto"/>
        <w:ind w:left="561" w:right="707"/>
      </w:pPr>
      <w:r>
        <w:rPr>
          <w:sz w:val="24"/>
        </w:rPr>
        <w:t xml:space="preserve">  I medici nazisti avevano a disposizione un bacino notevole di cavie umane che, sebbene non volontariamente, erano ottimo materiale da sperimentazione, come testimonia una lettera segreta indirizzata ad Himmler: </w:t>
      </w:r>
    </w:p>
    <w:p w:rsidR="00611878" w:rsidRDefault="00672C55">
      <w:pPr>
        <w:spacing w:after="0" w:line="259" w:lineRule="auto"/>
        <w:ind w:left="1419" w:right="0" w:firstLine="0"/>
        <w:jc w:val="left"/>
      </w:pPr>
      <w:r>
        <w:t xml:space="preserve"> </w:t>
      </w:r>
    </w:p>
    <w:p w:rsidR="00611878" w:rsidRDefault="00672C55">
      <w:pPr>
        <w:ind w:left="1438" w:right="706"/>
      </w:pPr>
      <w:r>
        <w:t xml:space="preserve"> Dal febbraio 1943 per una mia ricerca speciale sono stati utilizzati solo apparati Rongton. A causa del breve periodo di tempo informo lei Reichsführer di quanto segue: </w:t>
      </w:r>
    </w:p>
    <w:p w:rsidR="00611878" w:rsidRDefault="00672C55">
      <w:pPr>
        <w:spacing w:after="32"/>
        <w:ind w:left="1438" w:right="706"/>
      </w:pPr>
      <w:r>
        <w:t xml:space="preserve">Con il metodo scoperto da me  si può realizzare la sterilizzazione dell’organo femminile senza ricorrere all’intervento chirurgico ed in modo veloce. Funziona attraverso un’unica iniezione all’ingresso dell’utero e può essere messa a disposizione di qualunque medico ginecologo. Quando sostengo che il metodo sia </w:t>
      </w:r>
    </w:p>
    <w:p w:rsidR="00611878" w:rsidRDefault="00672C55">
      <w:pPr>
        <w:ind w:left="1438" w:right="706"/>
      </w:pPr>
      <w:r>
        <w:t xml:space="preserve">“buono così come è pronto” </w:t>
      </w:r>
    </w:p>
    <w:p w:rsidR="00611878" w:rsidRDefault="00672C55" w:rsidP="00D806E2">
      <w:pPr>
        <w:ind w:left="1438" w:right="706"/>
      </w:pPr>
      <w:r>
        <w:t xml:space="preserve">Questo significa che  </w:t>
      </w:r>
    </w:p>
    <w:p w:rsidR="00611878" w:rsidRDefault="00672C55" w:rsidP="00D806E2">
      <w:pPr>
        <w:numPr>
          <w:ilvl w:val="0"/>
          <w:numId w:val="8"/>
        </w:numPr>
        <w:tabs>
          <w:tab w:val="left" w:pos="1843"/>
        </w:tabs>
        <w:spacing w:after="63"/>
        <w:ind w:left="1843" w:right="706" w:hanging="425"/>
      </w:pPr>
      <w:r>
        <w:t xml:space="preserve">Occorre sviluppare solo i risultati </w:t>
      </w:r>
    </w:p>
    <w:p w:rsidR="00611878" w:rsidRDefault="00672C55" w:rsidP="00D806E2">
      <w:pPr>
        <w:numPr>
          <w:ilvl w:val="0"/>
          <w:numId w:val="8"/>
        </w:numPr>
        <w:tabs>
          <w:tab w:val="left" w:pos="1843"/>
        </w:tabs>
        <w:ind w:left="1843" w:right="706" w:hanging="425"/>
      </w:pPr>
      <w:r>
        <w:t>È possibile sostituire il nostro solito metodo di sterilizzazione eugenetica un’applicazione</w:t>
      </w:r>
      <w:r w:rsidR="005C5B18">
        <w:rPr>
          <w:rStyle w:val="Rimandonotaapidipagina"/>
        </w:rPr>
        <w:footnoteReference w:id="63"/>
      </w:r>
    </w:p>
    <w:p w:rsidR="00611878" w:rsidRDefault="00672C55">
      <w:pPr>
        <w:spacing w:after="129" w:line="259" w:lineRule="auto"/>
        <w:ind w:left="566" w:right="0" w:firstLine="0"/>
        <w:jc w:val="left"/>
      </w:pPr>
      <w:r>
        <w:rPr>
          <w:sz w:val="24"/>
        </w:rPr>
        <w:t xml:space="preserve"> </w:t>
      </w:r>
    </w:p>
    <w:p w:rsidR="00611878" w:rsidRDefault="00672C55">
      <w:pPr>
        <w:spacing w:line="366" w:lineRule="auto"/>
        <w:ind w:left="561" w:right="707"/>
      </w:pPr>
      <w:r>
        <w:rPr>
          <w:sz w:val="24"/>
        </w:rPr>
        <w:t xml:space="preserve">  L’utilizzo dei raggi Rongton delle strutture e delle medicine, però, avevano la controindicazione di essere costosi. In una lettera del 23 dicembre 1937 si legge </w:t>
      </w:r>
    </w:p>
    <w:p w:rsidR="00611878" w:rsidRDefault="00672C55">
      <w:pPr>
        <w:spacing w:after="35"/>
        <w:ind w:left="1438" w:right="706"/>
      </w:pPr>
      <w:r>
        <w:lastRenderedPageBreak/>
        <w:t xml:space="preserve"> Il costo richiesto per Röngtonaufnahme parte superiore del braccio destro di ciò è regolarizzato. Vi chiedo di fare le spese sostenute dal ufficio provinciale del benessere a Wetzlar addebitato direttamente</w:t>
      </w:r>
      <w:r w:rsidR="005C5B18">
        <w:rPr>
          <w:rStyle w:val="Rimandonotaapidipagina"/>
        </w:rPr>
        <w:footnoteReference w:id="64"/>
      </w:r>
      <w:r>
        <w:t xml:space="preserve">   </w:t>
      </w:r>
    </w:p>
    <w:p w:rsidR="00611878" w:rsidRDefault="00672C55">
      <w:pPr>
        <w:spacing w:after="162" w:line="259" w:lineRule="auto"/>
        <w:ind w:left="1419" w:right="0" w:firstLine="0"/>
        <w:jc w:val="left"/>
      </w:pPr>
      <w:r>
        <w:rPr>
          <w:sz w:val="24"/>
        </w:rPr>
        <w:t xml:space="preserve"> </w:t>
      </w:r>
    </w:p>
    <w:p w:rsidR="00611878" w:rsidRDefault="00672C55">
      <w:pPr>
        <w:spacing w:after="93" w:line="259" w:lineRule="auto"/>
        <w:ind w:left="561" w:right="707"/>
      </w:pPr>
      <w:r>
        <w:rPr>
          <w:sz w:val="24"/>
        </w:rPr>
        <w:t xml:space="preserve">A questa, fa eco un’altra del 17 ottobre 1938 </w:t>
      </w:r>
    </w:p>
    <w:p w:rsidR="00611878" w:rsidRDefault="00672C55">
      <w:pPr>
        <w:spacing w:after="34"/>
        <w:ind w:left="1438" w:right="706"/>
      </w:pPr>
      <w:r>
        <w:t xml:space="preserve"> Per lettera del 1 ° ottobre d. Js. Aktenz. N ° 185 B. Re. La folle WB a Soltau, Celler Str. Il padre dei malati di mente si è impegnato per tutto l'alloggio, allego la Dichiarazione di impegno . Chiedo, se possibile, einzuzihen immediatamente il costo di esempio per semplicità</w:t>
      </w:r>
      <w:r w:rsidR="005C5B18">
        <w:rPr>
          <w:rStyle w:val="Rimandonotaapidipagina"/>
        </w:rPr>
        <w:footnoteReference w:id="65"/>
      </w:r>
      <w:r>
        <w:t xml:space="preserve">.  </w:t>
      </w:r>
    </w:p>
    <w:p w:rsidR="00611878" w:rsidRDefault="00672C55">
      <w:pPr>
        <w:spacing w:after="112" w:line="259" w:lineRule="auto"/>
        <w:ind w:left="566" w:right="0" w:firstLine="0"/>
        <w:jc w:val="left"/>
      </w:pPr>
      <w:r>
        <w:rPr>
          <w:sz w:val="24"/>
        </w:rPr>
        <w:t xml:space="preserve"> </w:t>
      </w:r>
    </w:p>
    <w:p w:rsidR="00611878" w:rsidRDefault="00672C55" w:rsidP="005C5B18">
      <w:pPr>
        <w:spacing w:after="26" w:line="366" w:lineRule="auto"/>
        <w:ind w:left="561" w:right="707"/>
      </w:pPr>
      <w:r>
        <w:rPr>
          <w:sz w:val="24"/>
        </w:rPr>
        <w:t xml:space="preserve">  Una lettera di Himmler dell'11 agosto 1942, si può intuire la fretta che il regime aveva nel raggiungere l'obiettivo finale della purezza della razza attraverso la sterilizzazione di massa. Molti degli esperimenti scientifici per velocizzare questa pratica sono condotti sui prigionieri internati ad Auschwitz. Dalle testimonianze rese al Processo di Norimberga per i medici che avevano preso parte agli esperimenti si apprende che la sterilizzazione all’interno dei campi veniva praticata sui prigionieri ebrei idonei al lavoro, al fine di sfruttarne la capacità produttiva, </w:t>
      </w:r>
    </w:p>
    <w:p w:rsidR="00611878" w:rsidRDefault="00672C55">
      <w:pPr>
        <w:spacing w:line="366" w:lineRule="auto"/>
        <w:ind w:left="561" w:right="707"/>
      </w:pPr>
      <w:r>
        <w:rPr>
          <w:sz w:val="24"/>
        </w:rPr>
        <w:t xml:space="preserve">senza avere la possibilità di procreare e moltiplicare la razza. Le sperimentazioni dovevano trovare un metodo rapido ed indolore che permettesse di sottoporre il più alto numero di persone possibili nello stesso momento e soprattutto senza dare la possibilità di avere effetti immediati. Si punta sulla pianta </w:t>
      </w:r>
      <w:r>
        <w:rPr>
          <w:i/>
          <w:sz w:val="24"/>
        </w:rPr>
        <w:t>caladium seguinum</w:t>
      </w:r>
      <w:r>
        <w:rPr>
          <w:sz w:val="24"/>
        </w:rPr>
        <w:t>, originaria del Brasile, che però presentava forti difficoltà di coltivazione e il cui raccolto era scarso e insufficiente alla sperimentazione. Per le donne, invece, si è cercato di sperimentare l’iniezione di una sostanza irritante direttamente all’imbocco dell’utero. Questo tipo di sterilizzazione era facilmente praticabile su tutte le prigioniere con la banale scusa di una visita ginecologica obbligatoria.</w:t>
      </w:r>
      <w:r>
        <w:rPr>
          <w:sz w:val="24"/>
          <w:vertAlign w:val="superscript"/>
        </w:rPr>
        <w:footnoteReference w:id="66"/>
      </w:r>
      <w:r>
        <w:rPr>
          <w:sz w:val="24"/>
        </w:rPr>
        <w:t xml:space="preserve"> </w:t>
      </w:r>
    </w:p>
    <w:p w:rsidR="00611878" w:rsidRDefault="00672C55">
      <w:pPr>
        <w:spacing w:line="366" w:lineRule="auto"/>
        <w:ind w:left="561" w:right="707"/>
      </w:pPr>
      <w:r>
        <w:rPr>
          <w:sz w:val="24"/>
        </w:rPr>
        <w:t xml:space="preserve">  Questo, però, non impediva che nascessero bambini indesiderati come i down, gli iperattivi, con un quoziente intellettivo più basso dello standard o i cosiddetti asociali. Per risolvere questa questione nell’ottobre 1939, ma retrodatata ufficialmente al 1° settembre 1939 per farla coincidere con l’inizio del conflitto, è stata varata una legge che imponeva ai medici di famiglia, alle ostetriche e ai medici che assistevano in qualunque modo alle nascite di segnalare </w:t>
      </w:r>
      <w:r>
        <w:rPr>
          <w:sz w:val="24"/>
        </w:rPr>
        <w:lastRenderedPageBreak/>
        <w:t xml:space="preserve">gli indesiderati al Governo. L’eutanasia era considerata dai più come un’opera pia nei confronti della famiglia e più in generale della società. Le persone considerate da sopprimere erano una bocca da sfamare di cui lo Stato diceva di volersi prendere carico. I genitori degli sventurati erano, quindi, convinti ad affidare i loro piccoli allo Stato che li avrebbe sgravati da quel peso indesiderato, facendosene carico, omettendo però di dire che sarebbero stati utilizzati come materiale umano per le sperimentazioni scientifiche. Al contrario della persecuzione ebraica, che vedeva coinvolte soltanto persone esterne alla comunità e, spesso, indesiderate, questo olocausto di ariani “difettosi” doveva rimanere segreto, poiché non godeva di alcun consenso ed, anzi, era spesso osteggiata dai genitori. Alcuni di essi, infatti, una volta informati della morte, non meglio giustificata, dei figli indagavano per conto proprio, mettendo a rischio la propria vita: </w:t>
      </w:r>
    </w:p>
    <w:p w:rsidR="00611878" w:rsidRDefault="00672C55">
      <w:pPr>
        <w:ind w:left="1438" w:right="706"/>
      </w:pPr>
      <w:r>
        <w:t xml:space="preserve"> Arrivato a Kalmenhof, vidi subito un gruppo di bambini, a cui chiesi di mia figlia. […] La conoscevano, ma era stata portata via e non era più tornata. […]. Trovai un medico, il quale mi disse che era morta di polmonite il 7 aprile. […]. Gli dissi che non credevo che mia figlia fosse morta di morte naturale. Mi sentii rispondere che avrei fatto meglio a essere cauto o mi avrebbero portato via.  </w:t>
      </w:r>
    </w:p>
    <w:p w:rsidR="00611878" w:rsidRDefault="00672C55">
      <w:pPr>
        <w:spacing w:after="162" w:line="259" w:lineRule="auto"/>
        <w:ind w:left="566" w:right="0" w:firstLine="0"/>
        <w:jc w:val="left"/>
      </w:pPr>
      <w:r>
        <w:rPr>
          <w:sz w:val="24"/>
        </w:rPr>
        <w:t xml:space="preserve"> </w:t>
      </w:r>
    </w:p>
    <w:p w:rsidR="00611878" w:rsidRDefault="00672C55" w:rsidP="008B5661">
      <w:pPr>
        <w:spacing w:line="366" w:lineRule="auto"/>
        <w:ind w:left="561" w:right="707"/>
      </w:pPr>
      <w:r>
        <w:rPr>
          <w:sz w:val="24"/>
        </w:rPr>
        <w:t xml:space="preserve">  Molti genitori si affidavano a quei centri nell’illusione che i piccoli venissero curati e non accompagnati verso la morte. Si trattava di uccidere piccoli tedeschi, sangue del sangue tedesco, a volte figli di ariani.  </w:t>
      </w:r>
    </w:p>
    <w:p w:rsidR="009319E8" w:rsidRDefault="008B5661" w:rsidP="008B5661">
      <w:pPr>
        <w:spacing w:after="0" w:line="362" w:lineRule="auto"/>
        <w:ind w:left="561" w:right="708"/>
        <w:rPr>
          <w:sz w:val="24"/>
        </w:rPr>
      </w:pPr>
      <w:r>
        <w:rPr>
          <w:sz w:val="24"/>
        </w:rPr>
        <w:t xml:space="preserve">  </w:t>
      </w:r>
      <w:r w:rsidR="00672C55">
        <w:rPr>
          <w:sz w:val="24"/>
        </w:rPr>
        <w:t xml:space="preserve">La maggior parte delle vittime, però, era adulta. Ogni paziente veniva schedato giorno dopo giorno, attraverso visite minuziose. Le cartelle cliniche sono conservate nel </w:t>
      </w:r>
      <w:r w:rsidR="00672C55">
        <w:rPr>
          <w:i/>
          <w:sz w:val="24"/>
        </w:rPr>
        <w:t>Bundesarchiv</w:t>
      </w:r>
      <w:r w:rsidR="00672C55">
        <w:rPr>
          <w:sz w:val="24"/>
        </w:rPr>
        <w:t xml:space="preserve"> di Berlino Lichterfelde catalogati nel fascicolo R 179 dove si ritrovano gli atti dei principali centri per l’eutanasia. I medici valutavano e scrivevano tutto ciò che riguardava </w:t>
      </w:r>
      <w:r w:rsidR="009319E8">
        <w:rPr>
          <w:sz w:val="24"/>
        </w:rPr>
        <w:t xml:space="preserve">le origini e la personalità dei </w:t>
      </w:r>
      <w:r w:rsidR="00672C55">
        <w:rPr>
          <w:sz w:val="24"/>
        </w:rPr>
        <w:t>pazienti, nei documenti riguardanti E. H., si legge</w:t>
      </w:r>
    </w:p>
    <w:p w:rsidR="00611878" w:rsidRDefault="00672C55">
      <w:pPr>
        <w:spacing w:after="0" w:line="362" w:lineRule="auto"/>
        <w:ind w:left="96" w:right="708"/>
        <w:jc w:val="right"/>
      </w:pPr>
      <w:r>
        <w:rPr>
          <w:sz w:val="24"/>
        </w:rPr>
        <w:t xml:space="preserve"> </w:t>
      </w:r>
    </w:p>
    <w:p w:rsidR="00611878" w:rsidRDefault="00672C55">
      <w:pPr>
        <w:spacing w:after="10" w:line="248" w:lineRule="auto"/>
        <w:ind w:right="539"/>
        <w:jc w:val="left"/>
      </w:pPr>
      <w:r>
        <w:rPr>
          <w:u w:val="single" w:color="000000"/>
        </w:rPr>
        <w:t>AUTO ANAMNESI:</w:t>
      </w:r>
      <w:r>
        <w:t xml:space="preserve"> </w:t>
      </w:r>
    </w:p>
    <w:p w:rsidR="00611878" w:rsidRDefault="00672C55">
      <w:pPr>
        <w:spacing w:after="0" w:line="259" w:lineRule="auto"/>
        <w:ind w:left="1419" w:right="0" w:firstLine="0"/>
        <w:jc w:val="left"/>
      </w:pPr>
      <w:r>
        <w:t xml:space="preserve"> </w:t>
      </w:r>
    </w:p>
    <w:p w:rsidR="00611878" w:rsidRDefault="00672C55">
      <w:pPr>
        <w:ind w:left="1438" w:right="706"/>
      </w:pPr>
      <w:r>
        <w:t xml:space="preserve">il padre era funzionario in città. Nel febbraio 1930 all’età di 65 anni è morto per una polmonite doppia– lo spirito è solare ma per natura si trasforma in collera la quale però ha conseguenze, buono e pieno di carattere. </w:t>
      </w:r>
    </w:p>
    <w:p w:rsidR="00611878" w:rsidRDefault="00672C55">
      <w:pPr>
        <w:ind w:left="1438" w:right="706"/>
      </w:pPr>
      <w:r>
        <w:t xml:space="preserve"> Madre: in vita da 20 anni in Gallenstein, oggi 51 anni, di natura energica, la prima sorella del paziente, 22 anni, è segretaria del Prof. T., in clinica chirurgica, è un ex segretario in un altro ufficio cittadino. Siate calmi – agite con prudenza. [...]. </w:t>
      </w:r>
    </w:p>
    <w:p w:rsidR="00611878" w:rsidRDefault="00672C55">
      <w:pPr>
        <w:ind w:left="1438" w:right="706"/>
      </w:pPr>
      <w:r>
        <w:t xml:space="preserve">Detto spontaneamente: erano morti con il padre. Le sue membra erano fredde. ERA apatica. In ogni trasmissione del turno del padre che aveva riconosciuto come sua amorevole bambina e metallico. "Sono morto in una certa misura da con."Ma tu vivi ora? / Sì, "Il sangue mi ha spinto a cuore in modo che ero completamente senza sentimento. Vivo dal giorno in cui è morto, di nuovo. "Aveva prima della morte di suo padre, anche segni sul corpo? / No, nessuno. Auto: Nato nel 1900 a Bockenheim. Aveva pertosse, Masenn, la difterite. Poi 4 </w:t>
      </w:r>
      <w:r>
        <w:lastRenderedPageBreak/>
        <w:t xml:space="preserve">settimane "La lingua perduta", è stato con la voce piuttosto roca. Frequenta la scuola media. Poi, 2 anni di scuola commerciale. [...] </w:t>
      </w:r>
    </w:p>
    <w:p w:rsidR="00611878" w:rsidRPr="005C5B18" w:rsidRDefault="00672C55">
      <w:pPr>
        <w:ind w:left="1438" w:right="706"/>
      </w:pPr>
      <w:r>
        <w:t xml:space="preserve">Personalità: Sempre coraggioso e divertente, molto luminoso come un bambino, ha dovuto sapere tutto, curioso al punto tale che non gli basta mai ciò che chiede.Era sempre "fantasioso". </w:t>
      </w:r>
      <w:r w:rsidRPr="00672C55">
        <w:rPr>
          <w:lang w:val="de-DE"/>
        </w:rPr>
        <w:t xml:space="preserve">Storie ed esperienze molto confabulate. </w:t>
      </w:r>
      <w:r w:rsidRPr="005C5B18">
        <w:t>[...]</w:t>
      </w:r>
      <w:r w:rsidR="005C5B18">
        <w:rPr>
          <w:rStyle w:val="Rimandonotaapidipagina"/>
          <w:lang w:val="de-DE"/>
        </w:rPr>
        <w:footnoteReference w:id="67"/>
      </w:r>
      <w:r w:rsidRPr="005C5B18">
        <w:t>.</w:t>
      </w:r>
    </w:p>
    <w:p w:rsidR="00593A53" w:rsidRDefault="00672C55" w:rsidP="00593A53">
      <w:pPr>
        <w:spacing w:after="0" w:line="259" w:lineRule="auto"/>
        <w:ind w:left="567" w:right="0" w:firstLine="0"/>
        <w:jc w:val="left"/>
      </w:pPr>
      <w:r w:rsidRPr="005C5B18">
        <w:t xml:space="preserve"> </w:t>
      </w:r>
    </w:p>
    <w:p w:rsidR="005C5B18" w:rsidRDefault="00672C55" w:rsidP="00593A53">
      <w:pPr>
        <w:spacing w:after="0" w:line="259" w:lineRule="auto"/>
        <w:ind w:left="567" w:right="0" w:firstLine="0"/>
        <w:jc w:val="left"/>
      </w:pPr>
      <w:r w:rsidRPr="005C5B18">
        <w:rPr>
          <w:sz w:val="24"/>
        </w:rPr>
        <w:t xml:space="preserve"> </w:t>
      </w:r>
      <w:r>
        <w:rPr>
          <w:sz w:val="24"/>
        </w:rPr>
        <w:t xml:space="preserve">Poi le visite continuavano nell’arco del periodo di ricovero, così come il resoconto medico </w:t>
      </w:r>
    </w:p>
    <w:p w:rsidR="00593A53" w:rsidRDefault="00593A53" w:rsidP="00593A53">
      <w:pPr>
        <w:spacing w:after="120" w:line="259" w:lineRule="auto"/>
        <w:ind w:left="567" w:right="0" w:firstLine="0"/>
        <w:jc w:val="left"/>
      </w:pPr>
    </w:p>
    <w:p w:rsidR="00611878" w:rsidRDefault="00672C55" w:rsidP="005C5B18">
      <w:pPr>
        <w:spacing w:after="482" w:line="259" w:lineRule="auto"/>
        <w:ind w:left="566" w:right="0" w:firstLine="0"/>
        <w:jc w:val="left"/>
      </w:pPr>
      <w:r>
        <w:t xml:space="preserve"> Alla prima visita del paziente si trova penzolante a letto,  ride per la sorpresa, poi avvolge i cuscini. Aggrotta spesso fronte. Nella sala d'esame li rende solo un po 'più dettagliato la lingua madre dà un’indicazione anamnestica ad entrare ma alla prima occasione sulle sue esperienze morbose. Parla molto, affezionato a loro, in forte simbiosi affettiva nel rapporto sulla sua famiglia. - Paran. Esperienze. si esprime linguisticamente in modo molto chiaro sui fatti, utilizza termini appropriati, in mezzo, ma continuano ad arrivare, ma le singole espressioni oblique che possono apparire come detti. </w:t>
      </w:r>
    </w:p>
    <w:p w:rsidR="00611878" w:rsidRDefault="00672C55">
      <w:pPr>
        <w:ind w:left="1438" w:right="706"/>
      </w:pPr>
      <w:r>
        <w:t>Fisico: Sopra la dimensione media, biondo, forte e ben nutrito</w:t>
      </w:r>
      <w:r w:rsidR="005C5B18">
        <w:rPr>
          <w:rStyle w:val="Rimandonotaapidipagina"/>
        </w:rPr>
        <w:footnoteReference w:id="68"/>
      </w:r>
      <w:r>
        <w:t xml:space="preserve">. </w:t>
      </w:r>
    </w:p>
    <w:p w:rsidR="00611878" w:rsidRDefault="00672C55" w:rsidP="00593A53">
      <w:pPr>
        <w:spacing w:after="0" w:line="259" w:lineRule="auto"/>
        <w:ind w:left="1419" w:right="0" w:firstLine="0"/>
        <w:jc w:val="left"/>
      </w:pPr>
      <w:r>
        <w:t xml:space="preserve">    </w:t>
      </w:r>
    </w:p>
    <w:p w:rsidR="00611878" w:rsidRDefault="00672C55">
      <w:pPr>
        <w:spacing w:line="366" w:lineRule="auto"/>
        <w:ind w:left="561" w:right="707"/>
      </w:pPr>
      <w:r>
        <w:rPr>
          <w:sz w:val="24"/>
        </w:rPr>
        <w:t xml:space="preserve">  Nel formulario di entrata veni</w:t>
      </w:r>
      <w:r w:rsidR="009319E8">
        <w:rPr>
          <w:sz w:val="24"/>
        </w:rPr>
        <w:t>vano segnate tutte le caratteri</w:t>
      </w:r>
      <w:r>
        <w:rPr>
          <w:sz w:val="24"/>
        </w:rPr>
        <w:t xml:space="preserve">stiche comprese la religione e le malattie avute da bambino. Veniva annotato soprattutto se questi aspetti erano </w:t>
      </w:r>
      <w:r>
        <w:rPr>
          <w:i/>
          <w:sz w:val="24"/>
        </w:rPr>
        <w:t>nicht bekennt</w:t>
      </w:r>
      <w:r>
        <w:rPr>
          <w:sz w:val="24"/>
        </w:rPr>
        <w:t xml:space="preserve">, sconosciuti, perché questo aumentava il rischio e la pericolosità del soggetto. Le cartelle </w:t>
      </w:r>
      <w:r>
        <w:rPr>
          <w:sz w:val="24"/>
        </w:rPr>
        <w:lastRenderedPageBreak/>
        <w:t xml:space="preserve">cliniche dei pazienti epilettici erano corredate da tabelle che riportavano l’incidenza delle crisi in modo tale da poter avere sempre in maniera immediata un quadro visivo immediato dell’effetto delle cure o in ogni caso comprendere se era opportuno procedere all’eliminazione del paziente senza aggravi di spese ulteriori per lo stato. Tutto, infatti, era improntato alla massima efficienza ed efficacia in funzione dei soggetti sani.  </w:t>
      </w:r>
    </w:p>
    <w:p w:rsidR="005C5B18" w:rsidRDefault="00672C55" w:rsidP="005C5B18">
      <w:pPr>
        <w:spacing w:after="524" w:line="366" w:lineRule="auto"/>
        <w:ind w:left="561" w:right="707"/>
        <w:rPr>
          <w:sz w:val="24"/>
        </w:rPr>
      </w:pPr>
      <w:r>
        <w:rPr>
          <w:sz w:val="24"/>
        </w:rPr>
        <w:t xml:space="preserve">  È interessante la particolare attenzione che il medico poneva in caso di pazienti donne alla prole e alle possibili malattie che la madre avrebbe potuto trasmettere, al fine di intervenire tempestivamente sull’intero nucleo familiare. Anche la formazione ed il rendimento scolastico veniva vagliato con particolare cura, facendo attenzione anche ad eventuali bocciature</w:t>
      </w:r>
      <w:r w:rsidR="005C5B18">
        <w:rPr>
          <w:rStyle w:val="Rimandonotaapidipagina"/>
          <w:sz w:val="24"/>
        </w:rPr>
        <w:footnoteReference w:id="69"/>
      </w:r>
      <w:r>
        <w:rPr>
          <w:sz w:val="24"/>
        </w:rPr>
        <w:t xml:space="preserve">. Spesso si trattava di donne praticamente sole, abbandonate dai propri mariti che vivevano il matrimonio con molta libertà e spesso la reclusione delle mogli era solo la conseguenza di queste azioni. Sono, infatti, estremamente frequenti diagnosi di </w:t>
      </w:r>
      <w:r>
        <w:rPr>
          <w:i/>
          <w:sz w:val="24"/>
        </w:rPr>
        <w:t>Geisteskrenkheit</w:t>
      </w:r>
      <w:r>
        <w:rPr>
          <w:sz w:val="24"/>
        </w:rPr>
        <w:t>, malattia dello spirito, o schizzofrenia.</w:t>
      </w:r>
    </w:p>
    <w:p w:rsidR="009248E1" w:rsidRDefault="00672C55" w:rsidP="009248E1">
      <w:pPr>
        <w:spacing w:after="524" w:line="366" w:lineRule="auto"/>
        <w:ind w:left="561" w:right="707"/>
      </w:pPr>
      <w:r>
        <w:rPr>
          <w:sz w:val="24"/>
        </w:rPr>
        <w:t xml:space="preserve">  L’Aktion T4, questo il nome in codice dell’operazione, non prevedeva l’uccisione immediata dei pazienti, ma la sperimentazione continua su di loro di farmaci e situazioni estreme, quale la fame o il freddo, alle quali sarebbero potuti essere costretti i militari al fronte, al solo fine di testare il loro eventuale utilizzo in guerra. Dopo aver ridotto le razioni di cibo destinato ai pazienti destinati ad essere uccisi, per un periodo di tempo durante il quale essi dovevano dimostrare di essere utili alla collettività sebbene con mansioni semplici, in caso contrario ricevevano un’iniezione di Luminol o di acido fenico. I documenti raccolti dal professor von Cranach raccontano il caso di un bambino ricoverato nella Casa di Rieducazione di Innersdorf il 15 febbraio 1940 giudicato incapace di concentrarsi, di media intelligenza, di attiva fantasia, iperattivo e particolarmente predisposto al furto ed alla disobbedienza; dopo aver tentato vanamente per un paio di volte di coinvolgerlo in semplici attività della comunità nella quale era inserito, è stato giudicato incurabile e, quindi, gli è stato somministrato il Luminol il 9 agosto 1944. I giudizi dei medici non prendono assolutamente in considerazione il background sociale e culturale nel quale il bambino era cresciuto. I pazienti erano stati giudicati con un più, come evidenziato da Stargardt, durante il nazismo la morte era divenuto qualcosa di positivo. </w:t>
      </w:r>
      <w:r>
        <w:rPr>
          <w:sz w:val="24"/>
        </w:rPr>
        <w:lastRenderedPageBreak/>
        <w:t xml:space="preserve">Alcune patologie psichiche o fisiche erano, quindi, poste sotto una particolare lente di ingrandimento e sottoposti per un periodo ad una cura, anch’essa facente parte del programma di sperimentazione e, in caso di esito negativo, soppressi, come avviene con Frau D., il cui ultimo verdetto dice </w:t>
      </w:r>
      <w:r>
        <w:t>“La mattina del 13 agosto 1941 in breve tempo si volle prenotare per andare davanti alla corte per dichiarare di assumere troppe medicine pesanti e di non riuscire più a camminare, che suo fratello era farmacista e poteva indagare su cosa le stessero somministrando. La prigione non era più un posto sicuro.” Il giorno seguente Frau D. morì.</w:t>
      </w:r>
      <w:r>
        <w:rPr>
          <w:vertAlign w:val="superscript"/>
        </w:rPr>
        <w:footnoteReference w:id="70"/>
      </w:r>
      <w:r w:rsidR="009248E1">
        <w:t xml:space="preserve">     </w:t>
      </w:r>
    </w:p>
    <w:p w:rsidR="00611878" w:rsidRDefault="009248E1" w:rsidP="009248E1">
      <w:pPr>
        <w:spacing w:after="524" w:line="366" w:lineRule="auto"/>
        <w:ind w:left="561" w:right="707"/>
      </w:pPr>
      <w:r>
        <w:rPr>
          <w:sz w:val="24"/>
        </w:rPr>
        <w:t>I</w:t>
      </w:r>
      <w:r w:rsidR="00672C55">
        <w:rPr>
          <w:sz w:val="24"/>
        </w:rPr>
        <w:t xml:space="preserve">l 13 dicembre 1941 Brack e Bouhler, ideatori e responsabili dell’Aktion T4, decidono di espandere il progetto in Polonia, dapprima nei lager per velocizzare la procedura di eliminazione di tutti coloro i quali divenivano improduttivi a causa di infortuni, botte o fame, successivamente il progetto fu esteso ai civili. </w:t>
      </w:r>
    </w:p>
    <w:p w:rsidR="00611878" w:rsidRDefault="00672C55">
      <w:pPr>
        <w:spacing w:line="366" w:lineRule="auto"/>
        <w:ind w:left="551" w:right="707" w:firstLine="142"/>
      </w:pPr>
      <w:r>
        <w:rPr>
          <w:sz w:val="24"/>
        </w:rPr>
        <w:t xml:space="preserve">La buona riuscita del programma, però, aveva bisogno di un forte supporto scientifico da parte della classe medica tedesca che secondo l’analisi di Platz, inoltre, aveva incoraggiato il Führerad intraprendere il programma </w:t>
      </w:r>
    </w:p>
    <w:p w:rsidR="00611878" w:rsidRDefault="00672C55">
      <w:pPr>
        <w:ind w:left="1438" w:right="706"/>
      </w:pPr>
      <w:r>
        <w:t xml:space="preserve">I medici erano aiutanti di Hitler, il 44,8% dei medici tedeschi erano alla fine dei membri dell'epoca nazista appartenenti al NSDAP, le differenze regionali hanno una percentuale ancora più elevata, per esempio, in Renania, con il 56,0%. Il ruolo Karl Bonhoeffer come esperto psichiatrico con i giudici presso il Tribunale della funzione ereditaria Salute è stato esaminato da un gruppo di lavoro per i dipendenti del Dipartimento per lo Studio dei reati medici nel periodo nazista nelle ex sanatori Wittenau. [...]. </w:t>
      </w:r>
    </w:p>
    <w:p w:rsidR="00611878" w:rsidRDefault="00672C55">
      <w:pPr>
        <w:spacing w:after="25"/>
        <w:ind w:left="1438" w:right="706"/>
      </w:pPr>
      <w:r>
        <w:t>Il 25/03/1964 Hebold ha raccontato nel suo interrogatorio di un imputato che aveva ricevuto nel mese di marzo o aprile del 1940, ha registrato un invito a una riunione all’interno della Cancelleria del Reich. In questa riunione sono stati circa dai 15 ai 20 medici, tutti psichiatri, sembra ci fossero, tra gli altri, alla quale, tra l'altro, il Reichsleiter Bouhler e Bormann, e un medico Häfelmann e il professor Nitsche si erano presentati.</w:t>
      </w:r>
      <w:r>
        <w:rPr>
          <w:vertAlign w:val="superscript"/>
        </w:rPr>
        <w:footnoteReference w:id="71"/>
      </w:r>
      <w:r>
        <w:t xml:space="preserve">   </w:t>
      </w:r>
    </w:p>
    <w:p w:rsidR="00611878" w:rsidRDefault="00672C55" w:rsidP="00593A53">
      <w:pPr>
        <w:spacing w:after="30" w:line="366" w:lineRule="auto"/>
        <w:ind w:left="561" w:right="707"/>
      </w:pPr>
      <w:r>
        <w:rPr>
          <w:sz w:val="24"/>
        </w:rPr>
        <w:lastRenderedPageBreak/>
        <w:t xml:space="preserve">Dall’eutanasia, però, erano stati esonerati nel corso degli anni di guerra, di coloro che avevano subito danni psicologici a seguito dei bombardamenti delle città o avevano subito menomazioni fisiche (un esempio di questo sicuramente è il colonnello Stauffenberg). Questa scelta vuole essere una sorta di riconoscenza nei confronti di coloro che avevano pagato su se stessi il prezzo della guerra, ma obbiettivamente si mostra come una grazia ingiustificata, poiché se il parametro di giudizio è la capacità produttiva, ci si trova davanti ad un’incapacità di serie A e di serie B. Dai risultati del programma è possibile trarre delle conseguenze, come fanno Hohendorf, Fuchs, Rotzoll, Hinz-Wessels, Rauh e Ritter nel loro breve saggio </w:t>
      </w:r>
      <w:r>
        <w:rPr>
          <w:i/>
          <w:sz w:val="24"/>
        </w:rPr>
        <w:t xml:space="preserve">Krankenmord im Nazionalsozialismus – Ergebnisse eines Projectes zu der psychiatrichen Patientenakten von den Opfern der “Aktion </w:t>
      </w:r>
      <w:r w:rsidR="00593A53">
        <w:rPr>
          <w:i/>
          <w:sz w:val="24"/>
        </w:rPr>
        <w:t xml:space="preserve"> </w:t>
      </w:r>
      <w:r>
        <w:rPr>
          <w:i/>
          <w:sz w:val="24"/>
        </w:rPr>
        <w:t>T4”</w:t>
      </w:r>
      <w:r>
        <w:rPr>
          <w:sz w:val="24"/>
        </w:rPr>
        <w:t xml:space="preserve"> </w:t>
      </w:r>
    </w:p>
    <w:p w:rsidR="00611878" w:rsidRDefault="00672C55">
      <w:pPr>
        <w:ind w:left="1438" w:right="706"/>
      </w:pPr>
      <w:r>
        <w:t>Le donne hanno più o meno la stessa quota proporzionale di essere salvate– e le istituzioni di cura prendono un grave rischio di morire. Una possibile spiegazione può essere che gli uomini in gran quantità sono utilizzati per il mantenimento della struttura.</w:t>
      </w:r>
      <w:r>
        <w:rPr>
          <w:vertAlign w:val="superscript"/>
        </w:rPr>
        <w:footnoteReference w:id="72"/>
      </w:r>
      <w:r>
        <w:t xml:space="preserve">    </w:t>
      </w:r>
    </w:p>
    <w:p w:rsidR="00611878" w:rsidRDefault="00672C55">
      <w:pPr>
        <w:spacing w:after="113" w:line="259" w:lineRule="auto"/>
        <w:ind w:left="566" w:right="0" w:firstLine="0"/>
        <w:jc w:val="left"/>
      </w:pPr>
      <w:r>
        <w:rPr>
          <w:i/>
          <w:sz w:val="24"/>
        </w:rPr>
        <w:t xml:space="preserve"> </w:t>
      </w:r>
      <w:r>
        <w:rPr>
          <w:sz w:val="24"/>
        </w:rPr>
        <w:t xml:space="preserve"> </w:t>
      </w:r>
    </w:p>
    <w:p w:rsidR="00611878" w:rsidRDefault="00672C55">
      <w:pPr>
        <w:spacing w:line="366" w:lineRule="auto"/>
        <w:ind w:left="561" w:right="707"/>
      </w:pPr>
      <w:r>
        <w:rPr>
          <w:sz w:val="24"/>
        </w:rPr>
        <w:t xml:space="preserve">I dati e le tabelle degli studiosi, inoltre, riportano dati interessanti elaborati in base agli atti consultati. Si nota, infatti, che tra le donne ci sono più vittime (1622 donne, rispetto a 1380) e meno sopravvissute (223 a 340). La differenza più significativa nei dati riportati è la differenza notevole (+129) tra le vittime classificate “senza lavoro” (630 a 501).  </w:t>
      </w:r>
    </w:p>
    <w:p w:rsidR="00611878" w:rsidRDefault="00672C55">
      <w:pPr>
        <w:spacing w:line="366" w:lineRule="auto"/>
        <w:ind w:left="561" w:right="707"/>
      </w:pPr>
      <w:r>
        <w:rPr>
          <w:sz w:val="24"/>
        </w:rPr>
        <w:t xml:space="preserve">Tutto doveva, quindi, essere perfetto: se una donna voleva tenere il bambino entrava a far parte del sistema ed era protetta, altrimenti poteva affidare il bambino al centro che se ne prendeva cura. Un problema molto frequente era quello del rifiuto della paternità: il fascino della divisa colpiva le donne e lasciava indifferenti gli uomini. In questi casi, se la madre era ariana bastava una sua dichiarazione, attestante l’appartenenza del padre alle SS, per far scattare la tutela.  Era una questione estremamente delicata perché i mezzosangue invadevano già il mondo e bisognava agire con cautela, assicurandosi che nessuna stilla di purezza si perdesse. Come sostiene Florian </w:t>
      </w:r>
    </w:p>
    <w:p w:rsidR="00611878" w:rsidRDefault="00672C55">
      <w:pPr>
        <w:spacing w:after="93" w:line="259" w:lineRule="auto"/>
        <w:ind w:left="561" w:right="707"/>
      </w:pPr>
      <w:r>
        <w:rPr>
          <w:sz w:val="24"/>
        </w:rPr>
        <w:t xml:space="preserve">Wimmer, però, il progetto nasce da un’esigenza sociale </w:t>
      </w:r>
    </w:p>
    <w:p w:rsidR="00611878" w:rsidRDefault="00672C55">
      <w:pPr>
        <w:ind w:left="1438" w:right="706"/>
      </w:pPr>
      <w:r>
        <w:t xml:space="preserve">Hitler personalmente ha dichiarato competenti nel maggio 1933 in tutto il territorio del Reich  "tutte le domande di assistenza sociale e il benessere delle persone", che era stato fondato due anni prima da Breliner e diventato un Club sotto la direzione di Erich Hilgenfeld con 17 milioni di membri di due grande organizzazione nazista dopo il fronte tedesco del lavoro </w:t>
      </w:r>
      <w:r>
        <w:lastRenderedPageBreak/>
        <w:t xml:space="preserve">(DAF). […]. I possedimenti espropriati dalle associazioni nel 1933 costretto a costruire la "Rote Hilfe", "aiuto internazionale dei lavoratori" e "Del lavoro sociale" e ha costituito la base per un'infrastruttura di crescente di scuole materne, case di riposo e altre istituzioni caritative, anche a costo della Caritas e all’interno la missione viene ulteriormente ampliata. […]. </w:t>
      </w:r>
    </w:p>
    <w:p w:rsidR="00611878" w:rsidRDefault="00672C55">
      <w:pPr>
        <w:spacing w:after="171"/>
        <w:ind w:left="1438" w:right="706"/>
      </w:pPr>
      <w:r>
        <w:t xml:space="preserve">La carità nazionalista ma ho visto il suo ruolo di nucleo nel prendersi cura di bambini e giovani persone, nonché a sostegno delle madri - fornito solo alle donne giovani "sane" e "razzialmente desiderabili". Come organizzazione di parte di questi campi di attività NSV chiamato la carità della madre e del bambino nella vita. Questa era di supporto con abbigliamento, cibo e altre prestazioni di natura diversa, ma anche attraverso la consultazione di un'autorità di adozione era Unito e spostato al NSV che si occupava anche di adozioni. L'orientamento di "erbbiologische" dell'associazione nazista è particolarmente evidente in quest'area: "l'autorità Reichs-adozione in NSV affida solo bambini sani che abbiano passato il vaglio per l’adozione precedentemente per quanto riguarda la salute del bambino". </w:t>
      </w:r>
      <w:r w:rsidR="009248E1">
        <w:rPr>
          <w:rStyle w:val="Rimandonotaapidipagina"/>
        </w:rPr>
        <w:footnoteReference w:id="73"/>
      </w:r>
      <w:r>
        <w:t xml:space="preserve">      </w:t>
      </w:r>
    </w:p>
    <w:p w:rsidR="00611878" w:rsidRPr="007418B3" w:rsidRDefault="00611878">
      <w:pPr>
        <w:spacing w:after="21" w:line="259" w:lineRule="auto"/>
        <w:ind w:left="566" w:right="0" w:firstLine="0"/>
        <w:jc w:val="left"/>
        <w:rPr>
          <w:sz w:val="2"/>
          <w:szCs w:val="2"/>
        </w:rPr>
      </w:pPr>
    </w:p>
    <w:p w:rsidR="00611878" w:rsidRDefault="00672C55">
      <w:pPr>
        <w:spacing w:line="366" w:lineRule="auto"/>
        <w:ind w:left="561" w:right="707"/>
      </w:pPr>
      <w:r>
        <w:rPr>
          <w:sz w:val="24"/>
        </w:rPr>
        <w:t xml:space="preserve">Dal punto di vista sociale, però, la fraternizzazione che molte donne dei territori occupati hanno avuto diventava un problema importante, soprattutto nel momento in cui le ragazze venivano disconosciute dalla famiglia di appartenenza. Se per i tedeschi il placet veniva direttamente dal Governo, per le donne, trovare una spiegazione è più complesso, perché non per tutte può essere stato un “colpo di fulmine”. </w:t>
      </w:r>
    </w:p>
    <w:p w:rsidR="009248E1" w:rsidRDefault="00672C55">
      <w:pPr>
        <w:spacing w:after="26" w:line="246" w:lineRule="auto"/>
        <w:ind w:left="1414" w:right="702"/>
        <w:jc w:val="left"/>
      </w:pPr>
      <w:r>
        <w:t>Le donne che fraternizzano con il nemico sono sempre e comunque esposte. Questo vale per le terre che durante la Seconda Guerra Mondiale sono cadute in mano alla Wehrmacht e sono state occupate, così come per gli Stati Uniti in Corea o in Giappone e più tardi in Vietnam. Quando i tedeschi e gli americani si sono trovati a combattere in queste terre, è evidente che per causa di forza maggiore, una volta respinti dalle donne che non volevano avere contatti con il nemico, e per loro non era un ordine ma era un modo per sopravvivere</w:t>
      </w:r>
      <w:r w:rsidR="009248E1">
        <w:rPr>
          <w:rStyle w:val="Rimandonotaapidipagina"/>
        </w:rPr>
        <w:footnoteReference w:id="74"/>
      </w:r>
      <w:r>
        <w:t>.</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lastRenderedPageBreak/>
        <w:t xml:space="preserve">Come sottolinea Drolshagen la donna che fraternizza con i tedeschi è percepita dagli stessi nazisti come una proprietà privata da possedere in pieno, ma lo stesso tempo questa concezione è propria sia di tutti i militari occupanti in terra straniera e non appare come un vero sentimento ma come uno dei modi per poter sopravvivere alla brutalità della guerra ma allo stesso tempo sono chiamate a pagare il prezzo sociale della propria scelta: in Norvegia, ad esempio, ogni donna che accetta l’unione con il nemico è espulsa di fatto dal nucleo familiare di appartenenza anche qualora si pentisse della sua scelta </w:t>
      </w:r>
    </w:p>
    <w:p w:rsidR="00611878" w:rsidRDefault="00672C55">
      <w:pPr>
        <w:ind w:left="1438" w:right="706"/>
      </w:pPr>
      <w:r>
        <w:t xml:space="preserve">Le donne - che si sposano – sono sottoposte ai membri maschi della famiglia responsabili </w:t>
      </w:r>
      <w:r w:rsidR="00B45DA4">
        <w:t xml:space="preserve">delle persone con le quali hanno </w:t>
      </w:r>
      <w:r>
        <w:t>a che fare, esse non sono autorizzate a portare vergogna all’interno della famiglia. "Vergogna" significa per le donne sempre che i contatti che sono ricevuti, devono essere approvati dalla testa maschile della famiglia – soprattutto sul piano sessuale. Come lo storico medico John Gilman</w:t>
      </w:r>
      <w:r w:rsidR="00B45DA4">
        <w:t xml:space="preserve"> ha</w:t>
      </w:r>
      <w:r>
        <w:t xml:space="preserve"> </w:t>
      </w:r>
      <w:r w:rsidR="009319E8">
        <w:t>dett</w:t>
      </w:r>
      <w:r>
        <w:t>o: «Solo una sessualità che rimane all'interno del proprio gruppo, chiuso è moralmente accettata, non importa se è la famiglia o la nazione"</w:t>
      </w:r>
      <w:r w:rsidR="009248E1">
        <w:rPr>
          <w:rStyle w:val="Rimandonotaapidipagina"/>
        </w:rPr>
        <w:footnoteReference w:id="75"/>
      </w:r>
      <w:r>
        <w:t xml:space="preserve">.  </w:t>
      </w:r>
    </w:p>
    <w:p w:rsidR="00611878" w:rsidRPr="009248E1" w:rsidRDefault="00672C55">
      <w:pPr>
        <w:spacing w:after="0" w:line="259" w:lineRule="auto"/>
        <w:ind w:left="0" w:right="0" w:firstLine="0"/>
        <w:jc w:val="left"/>
      </w:pPr>
      <w:r>
        <w:rPr>
          <w:rFonts w:ascii="Calibri" w:eastAsia="Calibri" w:hAnsi="Calibri" w:cs="Calibri"/>
          <w:strike/>
        </w:rPr>
        <w:t xml:space="preserve">                                                         </w:t>
      </w:r>
    </w:p>
    <w:p w:rsidR="00611878" w:rsidRDefault="00672C55">
      <w:pPr>
        <w:spacing w:line="366" w:lineRule="auto"/>
        <w:ind w:left="561" w:right="707"/>
      </w:pPr>
      <w:r>
        <w:rPr>
          <w:sz w:val="24"/>
        </w:rPr>
        <w:t xml:space="preserve">Differente era la situazione all’interno dei campi di sterminio. Le SS che prestavano servizio nei lager avevano le loro esigenze fisiologiche che non potevano essere soddisfatte dalle poche donne ariane presenti. Per questo, Himmler aveva previsto dei veri e propri bordelli all’interno dei campi, destinati solo ai comandanti. Inutile evidenziare l’assenza di qualsiasi metodo contraccettivo e, per evitare gravidanze indesiderate, c’era un ricambio trimestrale delle donne. Quelle che avevano finito il turno, erano destinate alle camere a gas. </w:t>
      </w:r>
    </w:p>
    <w:p w:rsidR="00611878" w:rsidRDefault="00672C55">
      <w:pPr>
        <w:spacing w:line="366" w:lineRule="auto"/>
        <w:ind w:left="561" w:right="707"/>
      </w:pPr>
      <w:r>
        <w:rPr>
          <w:sz w:val="24"/>
        </w:rPr>
        <w:t xml:space="preserve">L’obbiettivo ultimo era, quindi, quello di creare, ampliare il più possibile la razza ariana utilizzando uomini e donne come meri portatori di materiale biologico. Seguivano questa logica anche gli esperimenti di Mengele, l’angelo della morte, il medico che più di tutti ha utilizzato le cavie che gli venivano procurate all’interno del campo di Auschwitz per studiare i gemelli, soprattutto gli omozigoti. Scoprire il segreto di quell’intreccio di ovuli e spermatozoi che riescono a produrre contemporaneamente due esseri viventi avrebbe potuto raddoppiare le nascite di individui perfettamente ariani. </w:t>
      </w:r>
    </w:p>
    <w:p w:rsidR="00611878" w:rsidRDefault="00672C55">
      <w:pPr>
        <w:spacing w:line="366" w:lineRule="auto"/>
        <w:ind w:left="561" w:right="707"/>
      </w:pPr>
      <w:r>
        <w:rPr>
          <w:sz w:val="24"/>
        </w:rPr>
        <w:t xml:space="preserve">Come raccontato da suo figlio, le teorie di Josef Mengele erano ben radicate in una filosofia razziale di sfruttamento e dominio: </w:t>
      </w:r>
    </w:p>
    <w:p w:rsidR="00611878" w:rsidRDefault="00672C55">
      <w:pPr>
        <w:ind w:left="1438" w:right="706"/>
      </w:pPr>
      <w:r>
        <w:t xml:space="preserve">Per sua natura l’uomo non era né libero, né uguale, né fraterno, ma “soggetto unicamente alla legge dell’evoluzione, che favorisce i più forti e sospinge  spietatamente ai margini i più deboli”. Indubbiamente la legge della selezione che vigeva nel regno animale e vegetale era stata anche il fattore determinante nell’evoluzione della specie umana. Finché questa legge – “ferrea”, come la chiamò – “non fu invalidata” da “ideali culturali estranei all’animo popolare, quali l’amore per il prossimo, l’inviolabilità della vita, la tutela dei più deboli”. “L’influsso </w:t>
      </w:r>
      <w:r>
        <w:lastRenderedPageBreak/>
        <w:t xml:space="preserve">disgregante della cultura giudaico-cristiana”, la cultura in genere come nemico, come avversario dell’”ordine naturale delle cose” – era così che l’ossessionava.[…] </w:t>
      </w:r>
    </w:p>
    <w:p w:rsidR="00611878" w:rsidRDefault="00672C55">
      <w:pPr>
        <w:spacing w:after="25"/>
        <w:ind w:left="1438" w:right="706"/>
      </w:pPr>
      <w:r>
        <w:t xml:space="preserve">Per tutto il tempo, mentre parlava, mio padre rimase seduto con il busto piegato  e non sollevò lo sguardo neanche una volta. Di tanto in tanto beveva un sorso dal thermos, e intanto continuavo a udire la sua voce, che nulla poteva arrestare, indistruttibile: “Compito storico”, “Richiamo della storia”, “Operazione di igiene razziale”… […] Le cose stavano piuttosto così: le “razze superiori” assicuravano “la sopravvivenza ai loro nemici biologici ereditari”, mentre il “patrimonio ereditario migliore” si concentrava presso un’élite che si riduceva sempre di più. </w:t>
      </w:r>
    </w:p>
    <w:p w:rsidR="00611878" w:rsidRDefault="00672C55">
      <w:pPr>
        <w:spacing w:after="170"/>
        <w:ind w:left="1438" w:right="706"/>
      </w:pPr>
      <w:r>
        <w:t>Era inequivocabilmente certo che “le razze secondarie miste”, preservate dall’ “eliminazione naturale” mediante aiuti contro la fame e programmi di sviluppo, potevano considerarsi i vincitori del processo evolutivo – e questo non grazie alle migliori qualità ereditarie, ma unicamente in virtù di un’autorinuncia che la razza bianca praticava nel nome di ideali culturali sbagliati. “L’operazione di cernita razziale  era ed è […] il tentativo di rimuovere gli ostacoli artificiali che lo spirito giudaico-cristiano frappone alle leggi di selezione</w:t>
      </w:r>
      <w:r w:rsidR="009248E1">
        <w:rPr>
          <w:rStyle w:val="Rimandonotaapidipagina"/>
        </w:rPr>
        <w:footnoteReference w:id="76"/>
      </w:r>
      <w:r>
        <w:t>.</w:t>
      </w:r>
      <w:r>
        <w:rPr>
          <w:sz w:val="24"/>
        </w:rPr>
        <w:t xml:space="preserve"> </w:t>
      </w:r>
    </w:p>
    <w:p w:rsidR="00611878" w:rsidRDefault="00672C55">
      <w:pPr>
        <w:spacing w:after="7" w:line="259" w:lineRule="auto"/>
        <w:ind w:left="0" w:right="0" w:firstLine="0"/>
        <w:jc w:val="left"/>
      </w:pPr>
      <w:r>
        <w:rPr>
          <w:rFonts w:ascii="Calibri" w:eastAsia="Calibri" w:hAnsi="Calibri" w:cs="Calibri"/>
          <w:strike/>
        </w:rPr>
        <w:t xml:space="preserve">                                                         </w:t>
      </w:r>
      <w:r>
        <w:rPr>
          <w:rFonts w:ascii="Calibri" w:eastAsia="Calibri" w:hAnsi="Calibri" w:cs="Calibri"/>
        </w:rPr>
        <w:t xml:space="preserve"> </w:t>
      </w:r>
    </w:p>
    <w:p w:rsidR="00611878" w:rsidRDefault="00672C55">
      <w:pPr>
        <w:ind w:left="1438" w:right="706"/>
      </w:pPr>
      <w:r w:rsidRPr="00672C55">
        <w:rPr>
          <w:lang w:val="de-DE"/>
        </w:rPr>
        <w:t xml:space="preserve">Schande machen. „Schande“ bedeutet für Frauen immer, daß sie kontakte – insbesondere sexuelle – eingegangen sind, die das männliche Oberhaupt der Familie nicht billigt. Wie der Medizinhistoriker John Gilman es formuliert: „Nur eine Sexualität, die innerhalb der eigenen, geschlossen Gruppe bleibt, ist moralisch, egal, ob es sich dabei um die Familie oder die Nation handelt.“ </w:t>
      </w:r>
      <w:r>
        <w:t xml:space="preserve">Drolshagen, ibidem, p. 59 </w:t>
      </w:r>
    </w:p>
    <w:p w:rsidR="00611878" w:rsidRDefault="00611878">
      <w:pPr>
        <w:spacing w:after="0" w:line="259" w:lineRule="auto"/>
        <w:ind w:left="852" w:right="0" w:firstLine="0"/>
        <w:jc w:val="left"/>
      </w:pPr>
    </w:p>
    <w:p w:rsidR="00611878" w:rsidRDefault="00672C55">
      <w:pPr>
        <w:spacing w:line="366" w:lineRule="auto"/>
        <w:ind w:left="561" w:right="707"/>
      </w:pPr>
      <w:r>
        <w:rPr>
          <w:sz w:val="24"/>
        </w:rPr>
        <w:t xml:space="preserve">Gli studi di Mengele affondavano le radici nei secoli precedenti, soprattutto nelle teorie antropologiche che si erano sviluppate nel vecchio continente tra XVIII e XIX secolo partendo da quelle di Carl von Linné. </w:t>
      </w:r>
    </w:p>
    <w:p w:rsidR="00611878" w:rsidRDefault="00672C55">
      <w:pPr>
        <w:spacing w:line="366" w:lineRule="auto"/>
        <w:ind w:left="561" w:right="707"/>
      </w:pPr>
      <w:r>
        <w:rPr>
          <w:sz w:val="24"/>
        </w:rPr>
        <w:t xml:space="preserve">Kapusinki nel suo romanzo autobiografico Imperium narra che uno dei personaggi, appena arrivato ad Auschwitz, incontra un giovane prigioniero che, salendo sul treno per controllare che i passeggeri scendano, consiglia velocemente ad ogni ragazzo che incontra di dire di avere più di 14 anni e di non avere un gemello. Era uno dei tanti modi per evitare le camere a gas o i tavoli dei laboratori di Mengele, ma come testimonia uno dei medici-prigionieri che lo aiutavano nelle dissezioni e nelle ricerche: </w:t>
      </w:r>
    </w:p>
    <w:p w:rsidR="00611878" w:rsidRDefault="00672C55">
      <w:pPr>
        <w:ind w:left="1438" w:right="706"/>
      </w:pPr>
      <w:r>
        <w:t xml:space="preserve">Fin dall’arrivo dei convogli, i soldati scorrono le fila davanti al treno, per trovare nani e gemelli. Sperando in un trattamento di favore le madri non esitano a consegnare i loro piccoli gemelli. Gli adulti gemelli sanno benissimo di essere interessanti dal punto di vista scientifico; nella speranza di condizioni migliori si presentano spontaneamente. E così accade per i nani. […]. […] vengono sottoposti a tutti gli esami che l’organismo umano è capace di sopportare. Prelievi di sangue, punture lombari, scambi di sangue tra fratelli gemelli e altre innumerevoli prove tutte estenuanti e deprimenti. Dina, la pittrice di Praga, fa i disegni comparativi dei crani, dei padiglioni auricolari, nasi, bocche, mani e piedi dei gemelli. Ogni disegno prende posto nella apposita cartella già fornita delle caratteristiche individuali […]. </w:t>
      </w:r>
    </w:p>
    <w:p w:rsidR="00611878" w:rsidRDefault="00672C55">
      <w:pPr>
        <w:spacing w:after="39"/>
        <w:ind w:left="1438" w:right="706"/>
      </w:pPr>
      <w:r>
        <w:t xml:space="preserve">Questi esperimenti, che in linguaggio medico si chiamano in vivo […] sono ben lontani dall’esaurire tutte le possibilità di ricerca nel campo della gemellità. Essi presentano molte lacune e offrono risultati insufficienti. Alle ricerche in vivo succederà la fase più importante dello studio della gemellità: lo studio comparativo dal punto di vista anatomico e anatomopatologico. Per questo studio […] è chiaro che ci si serve di cadaveri. […] i gemelli </w:t>
      </w:r>
      <w:r>
        <w:lastRenderedPageBreak/>
        <w:t>devono morire nello stesso momento. E così moriranno insieme in una delle baracche del KZ d’Auschwitz, nel quartiere B</w:t>
      </w:r>
      <w:r>
        <w:rPr>
          <w:vertAlign w:val="superscript"/>
        </w:rPr>
        <w:t>1</w:t>
      </w:r>
      <w:r>
        <w:t>, per mano del dottor Mengele.</w:t>
      </w:r>
      <w:r>
        <w:rPr>
          <w:vertAlign w:val="superscript"/>
        </w:rPr>
        <w:footnoteReference w:id="77"/>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Non solo Mengele effettuava esperimenti scientifici, ma anche altri medici in altri campi, così come i dottori che segnalavano alla nascita dei figli affetti da patologie che dovevano essere eliminati. Essi avevano degli aiutanti volontari che assistevano e favorivano gli esperimenti. Una tra questi era la madre di Helga Schneider. La figlia riporta nel libro </w:t>
      </w:r>
      <w:r>
        <w:rPr>
          <w:i/>
          <w:sz w:val="24"/>
        </w:rPr>
        <w:t>Lasciami andare, madre</w:t>
      </w:r>
      <w:r>
        <w:rPr>
          <w:sz w:val="24"/>
        </w:rPr>
        <w:t xml:space="preserve"> il dialogo intercorso tra loro negli anni ’90, in una clinica: </w:t>
      </w:r>
    </w:p>
    <w:p w:rsidR="00611878" w:rsidRDefault="00672C55">
      <w:pPr>
        <w:spacing w:after="32"/>
        <w:ind w:left="1438" w:right="706"/>
      </w:pPr>
      <w:r>
        <w:t xml:space="preserve">“E che facevano quei medici?” </w:t>
      </w:r>
    </w:p>
    <w:p w:rsidR="00611878" w:rsidRDefault="00672C55">
      <w:pPr>
        <w:spacing w:after="29"/>
        <w:ind w:left="1438" w:right="706"/>
      </w:pPr>
      <w:r>
        <w:t xml:space="preserve">“Curavano le prigioniere” risponde vaga </w:t>
      </w:r>
    </w:p>
    <w:p w:rsidR="00611878" w:rsidRDefault="00672C55">
      <w:pPr>
        <w:spacing w:after="30"/>
        <w:ind w:left="1438" w:right="706"/>
      </w:pPr>
      <w:r>
        <w:t xml:space="preserve">“E quali erano i tuoi compiti?” […] </w:t>
      </w:r>
    </w:p>
    <w:p w:rsidR="00611878" w:rsidRDefault="00672C55">
      <w:pPr>
        <w:ind w:left="1438" w:right="706"/>
      </w:pPr>
      <w:r>
        <w:t xml:space="preserve">“Dovevo… misurare loro la febbre”. Mente, probabilmente guidata da un istinto remoto […] “Nel 1942 il dottor Ernst Grawitz, il medico che prese parte a quasi tutti gli esperimenti eseguiti dalle SS su cavie umane ordinò di infettare alcune prigioniere [per lo studio degli effetti dei sulfamidici] […]”. </w:t>
      </w:r>
    </w:p>
    <w:p w:rsidR="00611878" w:rsidRDefault="00672C55">
      <w:pPr>
        <w:ind w:left="1438" w:right="706"/>
      </w:pPr>
      <w:r>
        <w:t xml:space="preserve">Sugli esiti il professor Gebhart riferì nel maggio 1943, in una comunicazione dal titolo </w:t>
      </w:r>
    </w:p>
    <w:p w:rsidR="00611878" w:rsidRDefault="00672C55">
      <w:pPr>
        <w:spacing w:after="28"/>
        <w:ind w:left="1438" w:right="706"/>
      </w:pPr>
      <w:r>
        <w:rPr>
          <w:i/>
        </w:rPr>
        <w:t>Esperimenti speciali sull’effetto dei sulfamidici</w:t>
      </w:r>
      <w:r>
        <w:t>, in occasione del Terzo convegno dei medici consiglieri specialisti dell’Accademia di medicina militare di Berlino al quale parteciparono tra gli altri i capi del Servizio Sanitario della Wehrmacht, dell’Esercito, dell’Aereonautica, della Sanità Pubblica, ecc., nonché direttori delle cliniche universitarie e Istituti per lo studio e le ricerche mediche, il medico personale di Hitler dottor Karl Brandt e un gran numero di eminenti e onorati professori del Reich tedesco.[…] “I nostri medici erano eccellenti professionisti e i risultati dei loro esperimenti venivano pubblicati su tutte le più autorevoli riviste mediche, in Germania e all’estero”.</w:t>
      </w:r>
      <w:r>
        <w:rPr>
          <w:vertAlign w:val="superscript"/>
        </w:rPr>
        <w:footnoteReference w:id="78"/>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line="366" w:lineRule="auto"/>
        <w:ind w:left="561" w:right="707"/>
      </w:pPr>
      <w:r>
        <w:rPr>
          <w:sz w:val="24"/>
        </w:rPr>
        <w:t xml:space="preserve">Non solo. Come sostiene Trunk nel suo saggio, </w:t>
      </w:r>
      <w:r>
        <w:rPr>
          <w:i/>
          <w:sz w:val="24"/>
        </w:rPr>
        <w:t>Zweihundert Blutbroben aus Auschwitz, eine Forschungvorhabe zwischen Antropologie und Biochemie (1943-1945)</w:t>
      </w:r>
      <w:r>
        <w:rPr>
          <w:sz w:val="24"/>
        </w:rPr>
        <w:t xml:space="preserve"> ci sono prove evidenti che i risultati delle sperimentazioni e molto del materiale biologico ricavato dalle vittime di Mengele sia stato inviato nelle università tedesche per condurre esperimenti e pubblicare i risultati. Lo stidioso, inoltre sostiene che i risultati siano stati utili per riuscire a combattere patologie come il tifo petecchiale o comprendere alcuni fenomeni come il differente colore dell’iride dei gemelli, ma soprattutto cercava di studiare di sostenere le sue tesi razziali studiando lo sviluppo delle stesse infezioni sugli ebrei, gli zingari e i gemelli. </w:t>
      </w:r>
    </w:p>
    <w:p w:rsidR="00611878" w:rsidRDefault="00672C55">
      <w:pPr>
        <w:ind w:left="1438" w:right="706"/>
      </w:pPr>
      <w:r>
        <w:t xml:space="preserve">Müller-Hill ha fornito un collegamento tra le esperienze umane di Mengele e finora brutalizzate in questa ricerca nell'ambito del suo istruttore accademico Verschuer già lei e ricostruita e conosciuta per il progetto GESAM un tentativo di schema, attinente Mengele in particolare "Gypsy" - gemelli e Ashkenazi e ebrei sefarditi sono stati infettati per avere la tubercolosi o anche con il tifo (che sono entrambi in questo campo una condanna a morte sicura) per poi estrarre il loro sangue e inviarlo a Berlino-Dahlem. Ci potrebbe essere stato inizialmente stabilito il metodo su modello animale e sono ora in programma di applicare </w:t>
      </w:r>
      <w:r>
        <w:lastRenderedPageBreak/>
        <w:t xml:space="preserve">questi al sieri sugli umani. Sia che si mirava a osservare i diversi gradi di reazioni difensive di Abderhalden del siero del sangue di diversi Versuchtpersonen, dove avevano ipotizzato che la resistenza più capace contro la tubercolosi ebrei dell'Europa orientale possedeva enzimi più forti o più principi attivi di difesa contro le proteine degli agenti patogeni della tubercolosi. Questa specifici enzimi di difesa che avevano seguito potrebbe desiderare di arricchire e isolare, ad esibirsi con loro una tubercolosi su base lattina molecolare. </w:t>
      </w:r>
    </w:p>
    <w:p w:rsidR="00611878" w:rsidRDefault="00672C55" w:rsidP="00593A53">
      <w:pPr>
        <w:spacing w:after="0"/>
        <w:ind w:left="1440" w:right="709" w:hanging="11"/>
      </w:pPr>
      <w:r>
        <w:t>[...]. Inoltre, vi è la prova che Mengele ha deliberatamente infettato i gemelli con agenti patogeni di tifo, di osservare le reazioni fisiche, e ha lasciato poco dopo ucciso con gas velenosi. [...]. Il ricostruito da rapporto Muller-Hill tra gli esperimenti di Mengele e la ricerca Verschuer è anche plausibile dalla cronologia: Mengel ha assunto le sue funzioni in Auschwitz il 30 MAGGIO 1943. Verschuer circa lo stesso tempo richiesto - questa conclusione trae Müller-Hill dalla data di assegnazione e il tempo di elaborazione del solito al DFG – gli aiuti alla ricerca per i progetti "Speziefische Eiweißkorper" e "la tubercolosi". L'approvazione di entrambi i progetti è stata effettuata, secondo Müller Hill il 18 agosto, 1943.</w:t>
      </w:r>
      <w:r>
        <w:rPr>
          <w:vertAlign w:val="superscript"/>
        </w:rPr>
        <w:footnoteReference w:id="79"/>
      </w:r>
      <w:r>
        <w:t xml:space="preserve"> </w:t>
      </w:r>
    </w:p>
    <w:p w:rsidR="00611878" w:rsidRDefault="00672C55">
      <w:pPr>
        <w:spacing w:after="0" w:line="259" w:lineRule="auto"/>
        <w:ind w:left="850" w:right="0" w:firstLine="0"/>
        <w:jc w:val="left"/>
      </w:pPr>
      <w:r>
        <w:rPr>
          <w:sz w:val="20"/>
        </w:rPr>
        <w:t xml:space="preserve"> </w:t>
      </w:r>
    </w:p>
    <w:p w:rsidR="00611878" w:rsidRDefault="00672C55">
      <w:pPr>
        <w:spacing w:line="366" w:lineRule="auto"/>
        <w:ind w:left="561" w:right="707"/>
      </w:pPr>
      <w:r>
        <w:rPr>
          <w:sz w:val="24"/>
        </w:rPr>
        <w:t xml:space="preserve">Non solo Mengele effettuava esperimenti i cui risultati avevano valenza scientifica di livello accademico. Oltre alle citate sperimentazioni sl tifo e sui gemelli erano portate avanti le sperimentazioni sulle malattie ereditarie e genetiche e sull’epilessia. </w:t>
      </w:r>
    </w:p>
    <w:p w:rsidR="00611878" w:rsidRDefault="00672C55">
      <w:pPr>
        <w:spacing w:line="366" w:lineRule="auto"/>
        <w:ind w:left="561" w:right="707"/>
      </w:pPr>
      <w:r>
        <w:rPr>
          <w:sz w:val="24"/>
        </w:rPr>
        <w:t>Lo stesso Trunk riporta una testimonianza molto significativa sulle modalità di sperimentazioni effettuate da Mengele. Il racconto della reduce parla di visite tre volte a settimane nel campo principale che duravano fino a otto ore nell’arco della giornata durante le quali i corpi venivano ispezionati ed i risultati erano inseriti in tabelle che riportavano anche i valori ematici, risultanti dalle analisi del sangue</w:t>
      </w:r>
      <w:r w:rsidR="009248E1">
        <w:rPr>
          <w:rStyle w:val="Rimandonotaapidipagina"/>
          <w:sz w:val="24"/>
        </w:rPr>
        <w:footnoteReference w:id="80"/>
      </w:r>
      <w:r>
        <w:rPr>
          <w:sz w:val="24"/>
        </w:rPr>
        <w:t>.</w:t>
      </w:r>
    </w:p>
    <w:p w:rsidR="00611878" w:rsidRDefault="00672C55">
      <w:pPr>
        <w:spacing w:after="115" w:line="259" w:lineRule="auto"/>
        <w:ind w:left="561" w:right="707"/>
      </w:pPr>
      <w:r>
        <w:rPr>
          <w:sz w:val="24"/>
        </w:rPr>
        <w:t xml:space="preserve">Distruggere e ricostruire, questo era il piano e la macchina si muoveva di conseguenza. </w:t>
      </w:r>
    </w:p>
    <w:p w:rsidR="00611878" w:rsidRDefault="00672C55">
      <w:pPr>
        <w:spacing w:line="366" w:lineRule="auto"/>
        <w:ind w:left="561" w:right="707"/>
      </w:pPr>
      <w:r>
        <w:rPr>
          <w:sz w:val="24"/>
        </w:rPr>
        <w:lastRenderedPageBreak/>
        <w:t xml:space="preserve">Alla fine della Seconda Guerra Mondiale, c’erano tanti bambini creati per essere perfetti, che si trovavano ad essere percepiti come un pericolo, perché frutto di coloro che avevano contribuito a realizzare abomini di cui Auschwitz è solamente l’esempio più noto. </w:t>
      </w:r>
    </w:p>
    <w:p w:rsidR="00611878" w:rsidRDefault="00672C55">
      <w:pPr>
        <w:spacing w:line="366" w:lineRule="auto"/>
        <w:ind w:left="561" w:right="707"/>
      </w:pPr>
      <w:r>
        <w:rPr>
          <w:sz w:val="24"/>
        </w:rPr>
        <w:t xml:space="preserve">Le sperimentazioni scientifiche non sono state fatte esclusivamente sui prigionieri civili, ma anche sui prigionieri di guerra che avrebbero dovuto essere garantiti dalla Convenzione di Ginevra. Soprattutto i Russi, considerati di razza inferiore, sono stati utilizzati come cavie per lo studio dell’avvelenamento con i gas, l’altitudine,…    </w:t>
      </w:r>
    </w:p>
    <w:p w:rsidR="00611878" w:rsidRDefault="00672C55" w:rsidP="009248E1">
      <w:pPr>
        <w:spacing w:after="306" w:line="366" w:lineRule="auto"/>
        <w:ind w:left="561" w:right="707"/>
      </w:pPr>
      <w:r>
        <w:rPr>
          <w:sz w:val="24"/>
        </w:rPr>
        <w:t>I “figli del Lebensborn”, invece, non hanno avuto una vita molto felice, perché all’interno delle loro comunità d’origine erano comunque percepiti come i figli della puttana che era andata con gli occupanti nazisti e di un tedesco assassino. Le madri erano costrette alle umiliazioni e alle vessazioni peggiori (dalla rasatura completa e approssimativa dei capelli, con la successiva incisione della svastica sulla cute, agli stupri, alla gogna). In pochi hanno potuto avere una vita normale, studiare e crearsi una posizione. La Norvegia, ad esempi</w:t>
      </w:r>
      <w:r w:rsidR="009248E1">
        <w:rPr>
          <w:sz w:val="24"/>
        </w:rPr>
        <w:t xml:space="preserve">o, pur di sbarazzarsi di questi </w:t>
      </w:r>
      <w:r>
        <w:rPr>
          <w:sz w:val="24"/>
        </w:rPr>
        <w:t xml:space="preserve">figli ingombranti, era disposta ad inviarli in Australia per popolare il deserto centrale dell’isola. Da esseri perfetti erano diventati reietti, persone di cui vergognarsi. </w:t>
      </w:r>
    </w:p>
    <w:p w:rsidR="00611878" w:rsidRDefault="00672C55">
      <w:pPr>
        <w:spacing w:line="366" w:lineRule="auto"/>
        <w:ind w:left="561" w:right="707"/>
      </w:pPr>
      <w:r>
        <w:rPr>
          <w:sz w:val="24"/>
        </w:rPr>
        <w:t xml:space="preserve"> Parallelamente a questi progetti, si cerca di creare a partire dai giovani l’esercito dell’élite attraverso scuole specifiche di addestramento. All’indomani del tentato Putsch di Rohm nel 1934 diventa evidente lo scontro tra SS ed SA che al termine soccomberanno in favore delle prime. Era, quindi, chiaro che occorresse creare una forza militare che garantisse fedeltà e lealtà assoluta al Führer, pronta a seguirlo fino alla morte, ma che fosse contemporaneamente razzialmente pura, quindi, occorreva gradualmente organizzare un progetto che potesse prendere il via in maniera autonoma </w:t>
      </w:r>
    </w:p>
    <w:p w:rsidR="00611878" w:rsidRDefault="00672C55">
      <w:pPr>
        <w:spacing w:after="28"/>
        <w:ind w:left="1438" w:right="706"/>
      </w:pPr>
      <w:r>
        <w:t xml:space="preserve">Nelle vacanze di Pasqua nel 1933 sono ricercati principalmente i "vecchi combattenti", sui quali si sarebbe potuto trasferire la leadership delle "istituzioni educative politiche nazionali". Le idee poco chiare su questi "siti" le hanno rese necessario, le scalette istituzione dà ampi poteri. Seguendo il principio guida, erano responsabili per l'educazione dei Schuler e l'amministrazione della scuola. L'Istruttore (con il rango di Consiglio della direzione dello studio superiore) erano responsabili per l'insegnamento reale nel sistema scolastico. I giovani assessori che diventano più disoccupati a causa del Governo Brunning, sono sottoposti insieme con il nuovo tipo di istruttore di sport militari nelle attrezzature dei cadetti ci sono le istituzioni a. Gli educatori sono stati dati solo ogni 20 scuole, la capacità delle prime tre istituzioni, ma è stato ampliato da 640 a 830 posti disponibili. [...].Il perfezionismo come la più alta forma fisica, l'energia e la resistenza, la mente veloce, il pensiero chiaro e una particolare capacità di concentrazione dovrebbe essere un problema centrale del NPEA più tardi, ha ancora portato agli studenti  una visione superficiale dei problemi individuati e che </w:t>
      </w:r>
      <w:r>
        <w:lastRenderedPageBreak/>
        <w:t>significa perdita del diritto educativo. La trasformazione delle istituzioni scolastiche statali (Stabilas) in NPEA inizialmente rilevato solo il servizio al di fuori del curriculum scolastico</w:t>
      </w:r>
      <w:r w:rsidR="009248E1">
        <w:rPr>
          <w:rStyle w:val="Rimandonotaapidipagina"/>
        </w:rPr>
        <w:footnoteReference w:id="81"/>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after="93" w:line="259" w:lineRule="auto"/>
        <w:ind w:left="561" w:right="707"/>
      </w:pPr>
      <w:r>
        <w:rPr>
          <w:sz w:val="24"/>
        </w:rPr>
        <w:t xml:space="preserve">Il 10 dicembre 1940 Hitler ha presentato il progetto così </w:t>
      </w:r>
    </w:p>
    <w:p w:rsidR="00611878" w:rsidRPr="009248E1" w:rsidRDefault="00672C55" w:rsidP="009248E1">
      <w:pPr>
        <w:spacing w:after="227"/>
        <w:ind w:left="1438" w:right="706"/>
      </w:pPr>
      <w:r>
        <w:t>Abbiamo innumerevoli scuole, istituzioni educative secondo la politica Nazionale e scuole come la Adolf Hitler, ecc è in queste scuole che otteniamo i bambini di talento, i bambini provenienti dalle nostre masse, figli di operai, figli di coltivatori, i cui genitori non potrebbero mai pagare per l’istruzione dei loro bambini e far loro raggiungere un più alto grado. Vengono gradualmente e sono addestrati qui e, successivamente, essi sono inseriti all’interno dello Stato pronti a salire di ordine e di grado all’interno del partito. Una volta che avranno raggiunto i posti più alti, abbiamo ottimi modi per costruire questo paese così completamente dal fondo. Si tratta di un obiettivo, e questo è anche - che posso dirvi, miei compagni - tutta la nostra vita. È qualcosa di meraviglioso per essere in grado di lottare per un tale ideale. È così meraviglioso che dobbiamo dire: abbiamo un obiettivo quasi dall'aspetto fantastico, una libra di stato sopra di noi in futuro ognuno invece il figlio più capace del nostro popolo dovrebbe essere posto in cima, senza badare da dove provenga. Uno stato in cui la provenienza non conta nulla e le singole capacità possono tutto!</w:t>
      </w:r>
      <w:r>
        <w:rPr>
          <w:vertAlign w:val="superscript"/>
        </w:rPr>
        <w:footnoteReference w:id="82"/>
      </w:r>
      <w:r>
        <w:t xml:space="preserve">      </w:t>
      </w:r>
    </w:p>
    <w:p w:rsidR="00611878" w:rsidRDefault="00672C55">
      <w:pPr>
        <w:spacing w:after="160" w:line="259" w:lineRule="auto"/>
        <w:ind w:left="566" w:right="0" w:firstLine="0"/>
        <w:jc w:val="left"/>
      </w:pPr>
      <w:r>
        <w:rPr>
          <w:sz w:val="24"/>
        </w:rPr>
        <w:t xml:space="preserve"> </w:t>
      </w:r>
    </w:p>
    <w:p w:rsidR="00611878" w:rsidRDefault="00672C55">
      <w:pPr>
        <w:spacing w:line="366" w:lineRule="auto"/>
        <w:ind w:left="561" w:right="707"/>
      </w:pPr>
      <w:r>
        <w:rPr>
          <w:sz w:val="24"/>
        </w:rPr>
        <w:t xml:space="preserve"> C’erano due differenti livelli di servizio che si poteva rendere al Reich: prendendo parte alla Hitler Jugend o tentare di entrare nelle scuole di formazione per l’élite militari: le Napola. Il compito principale delle Napola o NPEA è stata la "Educazione per nazionalsocialisti, esperto in corpo e anima al servizio del popolo e dello Stato". Gli studenti avrebbero dovuto formare la </w:t>
      </w:r>
      <w:r>
        <w:rPr>
          <w:sz w:val="24"/>
        </w:rPr>
        <w:lastRenderedPageBreak/>
        <w:t xml:space="preserve">prossima classe dirigente militare del Reich, frequentando una sorta di accademia militare molto rigida, volta alla spersonalizzazione dell’individuo, per renderlo omologabile e controllabile. Esse erano diffuse dall’anno scolastico 1941/1942 su tutto il territorio del Reich e nel 1944, sono state istituite quelle femminili. Si accedeva solamente se razzialmente pura. L’addestramento non prevedeva solamente l’aspetto militare, come lezioni per imparare a sbarcare su una costa, o ad utilizzare il paracadute, ma riguardava anche il lavoro nei campi e il mantenimento dell’ordine e della pulizia nelle camerate, così come la razza e l’antisemitismo. Agli studenti, inoltre, veniva rilasciato un vero e proprio documento che attestava la sua appartenenza alla scuola e, quindi, al corpo di élite.    </w:t>
      </w:r>
    </w:p>
    <w:p w:rsidR="00611878" w:rsidRDefault="00672C55">
      <w:pPr>
        <w:spacing w:line="366" w:lineRule="auto"/>
        <w:ind w:left="561" w:right="707"/>
      </w:pPr>
      <w:r>
        <w:rPr>
          <w:sz w:val="24"/>
        </w:rPr>
        <w:t xml:space="preserve">Come si può evincere dal discorso di Hitler le Napola avevano un compito sociale da svolgere, ovvero, quello di garantire l’istruzione e la preparazione a tutti, purché fossero di pura razza ariana, senza distinzione di ceto sociale di appartenenza </w:t>
      </w:r>
    </w:p>
    <w:p w:rsidR="00611878" w:rsidRDefault="00672C55">
      <w:pPr>
        <w:ind w:left="1438" w:right="706"/>
      </w:pPr>
      <w:r>
        <w:t xml:space="preserve">Su un prezzo normale di 1200 RM l’anno gli studenti di Rottweil pagano a rate di 510 RM. Solo 6 studenti pagano la retta piena, 10 [pagano] tra 1000 e 1200 RM, 12 tra 750 e 1000 RM, 62 tra 510 e 750 RM, 48 tra 300 e 510 RM, 15 sotto i 300 RM e quattro usufruiscono di posti gratuiti. I genitori degli alunni svolgono i seguenti lavori: 33 sono impiegati pubblici, 32 commercianti, 19 insegnanti, 11 artigiani, 7 agricoltori, 5 ingegneri, 4 medici, 3 guardia boschi, 2 impiegati del </w:t>
      </w:r>
    </w:p>
    <w:p w:rsidR="00611878" w:rsidRDefault="00672C55">
      <w:pPr>
        <w:ind w:left="1438" w:right="706"/>
      </w:pPr>
      <w:r>
        <w:t>Reich, 1 consulente, 2 osti, 3 fabbricanti, 2 architetti, 1 notaio e 1 farmacista</w:t>
      </w:r>
      <w:r w:rsidR="00D555BD">
        <w:rPr>
          <w:rStyle w:val="Rimandonotaapidipagina"/>
        </w:rPr>
        <w:footnoteReference w:id="83"/>
      </w:r>
      <w:r>
        <w:t xml:space="preserve">.    </w:t>
      </w:r>
      <w:r>
        <w:rPr>
          <w:sz w:val="24"/>
        </w:rPr>
        <w:t xml:space="preserve">  </w:t>
      </w:r>
    </w:p>
    <w:p w:rsidR="00611878" w:rsidRDefault="00672C55">
      <w:pPr>
        <w:spacing w:after="0" w:line="259" w:lineRule="auto"/>
        <w:ind w:left="1419" w:right="0" w:firstLine="0"/>
        <w:jc w:val="left"/>
      </w:pPr>
      <w:r>
        <w:t xml:space="preserve"> </w:t>
      </w:r>
    </w:p>
    <w:p w:rsidR="00611878" w:rsidRDefault="00672C55">
      <w:pPr>
        <w:spacing w:line="366" w:lineRule="auto"/>
        <w:ind w:left="561" w:right="707"/>
      </w:pPr>
      <w:r>
        <w:rPr>
          <w:sz w:val="24"/>
        </w:rPr>
        <w:t xml:space="preserve">Le Napola, quindi, si configura come l’obbiettivo finale di entrambi i processi precedenti. La selezione e il rafforzamento della razza, la selezione genetica, e gli studi su come migliorare la vita e moltiplicare la popolazione era ad uso esclusivo dell’élite militare che avrebbe dovuto custodire e perpetrare nei secoli il Reich. Gli studenti delle Napola sarebbero dovuti essere nella concezione nazista i futuri dominatori del mondo. La sconfitta della Germania nella Seconda Guerra Mondiale ha rappresentato per loro un doppio shock, poiché al termine del conflitto sono dovuti essere reinseriti nella società dei normali. </w:t>
      </w:r>
    </w:p>
    <w:p w:rsidR="00611878" w:rsidRDefault="00672C55">
      <w:pPr>
        <w:spacing w:after="123" w:line="259" w:lineRule="auto"/>
        <w:ind w:left="566" w:right="0" w:firstLine="0"/>
        <w:jc w:val="left"/>
      </w:pPr>
      <w:r>
        <w:rPr>
          <w:sz w:val="24"/>
        </w:rPr>
        <w:t xml:space="preserve">   </w:t>
      </w:r>
    </w:p>
    <w:p w:rsidR="00593A53" w:rsidRDefault="00593A53">
      <w:pPr>
        <w:spacing w:after="160" w:line="259" w:lineRule="auto"/>
        <w:ind w:left="0" w:right="0" w:firstLine="0"/>
        <w:jc w:val="left"/>
        <w:rPr>
          <w:b/>
          <w:sz w:val="24"/>
        </w:rPr>
      </w:pPr>
      <w:r>
        <w:br w:type="page"/>
      </w:r>
    </w:p>
    <w:p w:rsidR="00611878" w:rsidRDefault="00672C55">
      <w:pPr>
        <w:pStyle w:val="Titolo3"/>
        <w:ind w:left="561"/>
      </w:pPr>
      <w:r>
        <w:lastRenderedPageBreak/>
        <w:t>3)</w:t>
      </w:r>
      <w:r>
        <w:rPr>
          <w:rFonts w:ascii="Arial" w:eastAsia="Arial" w:hAnsi="Arial" w:cs="Arial"/>
        </w:rPr>
        <w:t xml:space="preserve"> </w:t>
      </w:r>
      <w:r>
        <w:t xml:space="preserve">Ariani ma pericolosi per il regime </w:t>
      </w:r>
    </w:p>
    <w:p w:rsidR="00611878" w:rsidRDefault="00672C55">
      <w:pPr>
        <w:spacing w:after="142" w:line="259" w:lineRule="auto"/>
        <w:ind w:left="566" w:right="0" w:firstLine="0"/>
        <w:jc w:val="left"/>
      </w:pPr>
      <w:r>
        <w:rPr>
          <w:sz w:val="24"/>
        </w:rPr>
        <w:t xml:space="preserve"> </w:t>
      </w:r>
    </w:p>
    <w:p w:rsidR="00611878" w:rsidRDefault="00672C55">
      <w:pPr>
        <w:spacing w:after="49" w:line="366" w:lineRule="auto"/>
        <w:ind w:left="561" w:right="707"/>
      </w:pPr>
      <w:r>
        <w:rPr>
          <w:sz w:val="24"/>
        </w:rPr>
        <w:t xml:space="preserve">Per molti giovani l’invasione della Polonia e i massacri dell’est sono stati la scintilla che ha fatto scattare in loro la volontà di non far parte del sistema, di uscire dal perverso meccanismo della banalità del male. Non tutti hanno la possibilità di dare vita ad azioni eclatanti, ma sono molti i ragazzi che decidono di non essere parte dell’ingranaggio. Solo nella città di Lipsia, come si è visto sede dell’azione del borgomastro Goedler e del circolo esoterico di Thule al quale molti dei militari dell’operazione Valchiria, centro quindi di un’opposizione latente ma convinta, si contano molte azioni di disturbo e defezioni agli obblighi militari. Molti gruppi non organizzati, autonomi ed indipendenti l’uno dall’altro, portano avanti azioni dimostrative importanti. I cosiddetti </w:t>
      </w:r>
      <w:r>
        <w:rPr>
          <w:i/>
          <w:sz w:val="24"/>
        </w:rPr>
        <w:t>“Broadway Gangster”</w:t>
      </w:r>
      <w:r>
        <w:rPr>
          <w:sz w:val="24"/>
        </w:rPr>
        <w:t xml:space="preserve"> erano ragazzi che tra il 1942 ed il 1943 hanno rifiutato di svolgere il servizio obbligatorio presso la HJ locale e si rifugiavano in una cappella a suonare Jazz. Il 26 aprile 1944, una discussione tra il giovane K. e un comandante delle HJ, che però non può essere accusato di nessun reato. La difficoltà del regime nel trovare un capo d’accusa è evidente: </w:t>
      </w:r>
    </w:p>
    <w:p w:rsidR="00611878" w:rsidRDefault="00672C55">
      <w:pPr>
        <w:spacing w:after="33"/>
        <w:ind w:left="1438" w:right="706"/>
      </w:pPr>
      <w:r>
        <w:t>Le leggi contro le nuove formazioni politiche non sono applicabili per i succitati giovani che né si confrontano con il volere di un capo, al quale siano legati in qualunque modo, né hanno obbiettivi politici. Non può essere accertato che il loro intento sia quello di destabilizzare i rapporti interni ed esterni al popolo.</w:t>
      </w:r>
      <w:r>
        <w:rPr>
          <w:vertAlign w:val="superscript"/>
        </w:rPr>
        <w:footnoteReference w:id="84"/>
      </w:r>
      <w:r>
        <w:t xml:space="preserve">   </w:t>
      </w:r>
    </w:p>
    <w:p w:rsidR="00611878" w:rsidRDefault="00672C55">
      <w:pPr>
        <w:spacing w:after="142" w:line="259" w:lineRule="auto"/>
        <w:ind w:left="566" w:right="0" w:firstLine="0"/>
        <w:jc w:val="left"/>
      </w:pPr>
      <w:r>
        <w:rPr>
          <w:sz w:val="24"/>
        </w:rPr>
        <w:t xml:space="preserve"> </w:t>
      </w:r>
    </w:p>
    <w:p w:rsidR="00611878" w:rsidRDefault="00672C55">
      <w:pPr>
        <w:spacing w:line="366" w:lineRule="auto"/>
        <w:ind w:left="561" w:right="707"/>
      </w:pPr>
      <w:r>
        <w:rPr>
          <w:sz w:val="24"/>
        </w:rPr>
        <w:t xml:space="preserve">Nonostante l’assenza di un’accusa, i giovani sono stati condannati per gli assalti a pene variabili tra le 2 settimane ed i 4 mesi di prigione. </w:t>
      </w:r>
    </w:p>
    <w:p w:rsidR="00611878" w:rsidRDefault="00672C55">
      <w:pPr>
        <w:spacing w:after="147" w:line="259" w:lineRule="auto"/>
        <w:ind w:left="561" w:right="707"/>
      </w:pPr>
      <w:r>
        <w:rPr>
          <w:sz w:val="24"/>
        </w:rPr>
        <w:t xml:space="preserve">Sul loro esempio, altri gruppi di giovani, come i </w:t>
      </w:r>
      <w:r>
        <w:rPr>
          <w:i/>
          <w:sz w:val="24"/>
        </w:rPr>
        <w:t>Broadway Gangsters</w:t>
      </w:r>
      <w:r>
        <w:rPr>
          <w:sz w:val="24"/>
        </w:rPr>
        <w:t xml:space="preserve"> e gli </w:t>
      </w:r>
      <w:r>
        <w:rPr>
          <w:i/>
          <w:sz w:val="24"/>
        </w:rPr>
        <w:t xml:space="preserve">Swingjugend </w:t>
      </w:r>
      <w:r>
        <w:rPr>
          <w:sz w:val="24"/>
        </w:rPr>
        <w:t xml:space="preserve">di </w:t>
      </w:r>
    </w:p>
    <w:p w:rsidR="00611878" w:rsidRDefault="00672C55">
      <w:pPr>
        <w:spacing w:line="366" w:lineRule="auto"/>
        <w:ind w:left="561" w:right="707"/>
      </w:pPr>
      <w:r>
        <w:rPr>
          <w:sz w:val="24"/>
        </w:rPr>
        <w:t xml:space="preserve">Amburgo hanno violato le regole del regime, indossando vestiti all’americana. Non avevano ispirazione politica, ma si opponevano al divieto di non ascoltare musica o seguire la moda proveniente da paesi nemici come gli Stati Uniti. </w:t>
      </w:r>
    </w:p>
    <w:p w:rsidR="00611878" w:rsidRDefault="00672C55">
      <w:pPr>
        <w:spacing w:line="366" w:lineRule="auto"/>
        <w:ind w:left="561" w:right="707"/>
      </w:pPr>
      <w:r>
        <w:rPr>
          <w:sz w:val="24"/>
        </w:rPr>
        <w:t>Un altro gruppo di Lipsia che ben rappresenta l’insofferenza di molti giovani nei confronti del regime sono i cosiddetti “</w:t>
      </w:r>
      <w:r>
        <w:rPr>
          <w:i/>
          <w:sz w:val="24"/>
        </w:rPr>
        <w:t>Connowitzer”,</w:t>
      </w:r>
      <w:r>
        <w:rPr>
          <w:sz w:val="24"/>
        </w:rPr>
        <w:t xml:space="preserve"> dal quartiere di Connowitz, che tra il 1941 ed il 1943 si rende responsabile di atti dimostrativi, soprattutto nella Adolf Hitler Straße strada molto vicina all’università e da sempre sede di ritrovi per studenti. </w:t>
      </w:r>
    </w:p>
    <w:p w:rsidR="00611878" w:rsidRDefault="00672C55">
      <w:pPr>
        <w:spacing w:line="366" w:lineRule="auto"/>
        <w:ind w:left="561" w:right="707"/>
      </w:pPr>
      <w:r>
        <w:rPr>
          <w:sz w:val="24"/>
        </w:rPr>
        <w:lastRenderedPageBreak/>
        <w:t xml:space="preserve">Una struttura ed un’organizzazione politica di opposizione, al contrario, l’aveva sicuramente la </w:t>
      </w:r>
      <w:r>
        <w:rPr>
          <w:i/>
          <w:sz w:val="24"/>
        </w:rPr>
        <w:t>Bündische Jugend</w:t>
      </w:r>
      <w:r>
        <w:rPr>
          <w:sz w:val="24"/>
        </w:rPr>
        <w:t xml:space="preserve">. Sotto questa dicitura confluiscono in realtà moltissime esperienze giovanili differenti, in contatto tra loro e presenti in tutto il territorio tedesco ed in particolare in Renania. </w:t>
      </w:r>
    </w:p>
    <w:p w:rsidR="00611878" w:rsidRDefault="00672C55">
      <w:pPr>
        <w:spacing w:after="27" w:line="366" w:lineRule="auto"/>
        <w:ind w:left="561" w:right="707"/>
      </w:pPr>
      <w:r>
        <w:rPr>
          <w:sz w:val="24"/>
        </w:rPr>
        <w:t>Il nome deriva dall’organizzazione giovanile creata durante la repubblica di Weimar e poi soppiantata completamente dalla Hitlerjugend, guidata da Baldur von Schirach. La scelta di proseguire con lo stesso nome, deriva dalla volontà di mostrarsi come un’organizzazione giovanile parallela e di opposizione al nazismo. L’acronimo BJ, infatti, ricalca l’HJ della formazione giovanile maschile nazista, ma richiama anche la BDM, l’organizzazione femminile. La BJ è riuscita a rimanere in contatto anche con Richard Löwenthal, esponente socialista tedesco costretto all’esilio nel 1935 a Praga e successivamente a Londra. Alcuni dei membri si riunivano in piccolissimi gruppi, cambiando ciclicamente il luogo dell’incontro, per discutere e criticare il regime.</w:t>
      </w:r>
      <w:r>
        <w:rPr>
          <w:sz w:val="24"/>
          <w:vertAlign w:val="superscript"/>
        </w:rPr>
        <w:footnoteReference w:id="85"/>
      </w:r>
      <w:r>
        <w:rPr>
          <w:sz w:val="24"/>
        </w:rPr>
        <w:t xml:space="preserve">  </w:t>
      </w:r>
    </w:p>
    <w:p w:rsidR="00611878" w:rsidRDefault="00672C55">
      <w:pPr>
        <w:spacing w:line="366" w:lineRule="auto"/>
        <w:ind w:left="561" w:right="707"/>
      </w:pPr>
      <w:r>
        <w:rPr>
          <w:sz w:val="24"/>
        </w:rPr>
        <w:t>Con il passare del tempo il lavoro della KRIPO, la polizia criminale che aveva il compito di perseguitare qualsiasi oppositore politico, è diventato sempre più complesso anche per l’insorgere di sospetti al limite del paranoico come il membro della HJ, che sporge denuncia per aver incontrato un ragazzo che portava al collo un foulard sospetto, poiché poteva far riferimento a qualche gruppo di opposizione sconosciuto</w:t>
      </w:r>
      <w:r w:rsidR="00D555BD">
        <w:rPr>
          <w:rStyle w:val="Rimandonotaapidipagina"/>
          <w:sz w:val="24"/>
        </w:rPr>
        <w:footnoteReference w:id="86"/>
      </w:r>
      <w:r>
        <w:rPr>
          <w:sz w:val="24"/>
        </w:rPr>
        <w:t>.</w:t>
      </w:r>
      <w:r w:rsidR="00D555BD">
        <w:rPr>
          <w:sz w:val="24"/>
          <w:vertAlign w:val="superscript"/>
        </w:rPr>
        <w:t xml:space="preserve"> </w:t>
      </w:r>
      <w:r>
        <w:rPr>
          <w:sz w:val="24"/>
        </w:rPr>
        <w:t xml:space="preserve"> Con lo sviluppo della guerra, però, la KRIPO è diventata man mano vittima della paranoica complottistica di Adolf Hitler. Tra gli atti d’archivio della polizia, infatti, si trovano anche denunce per sabotaggio anche nei confronti dei ragazzi dei territori orientali, costretti a compiere lavori obbligatori al servizio della collettività, durante i quali rubano beni di prima necessità. Questo atto diviene oggetto di indagine e di intervento del reparto di polizia, come fosse un complotto contro il Führer.  </w:t>
      </w:r>
    </w:p>
    <w:p w:rsidR="00611878" w:rsidRDefault="00672C55">
      <w:pPr>
        <w:spacing w:line="366" w:lineRule="auto"/>
        <w:ind w:left="561" w:right="707"/>
      </w:pPr>
      <w:r>
        <w:rPr>
          <w:sz w:val="24"/>
        </w:rPr>
        <w:t xml:space="preserve">Lo scoppio della guerra, incide profondamente su alcune delle certezze costruite dalla propaganda nazista cominciano a venire meno. I primi raid inglesi e americani, che colpiscono direttamente il cuore della Germania e, soprattutto, i massacri perpetrati ai danni della popolazione civile e degli ebrei sul fronte orientale e nei paesi occupati da parte dei reparti speciali denominati Einsatzgruppe, generano in molti dei soldati che ne sono spettatori inermi, un moto di ribellione al regime nazista.  </w:t>
      </w:r>
    </w:p>
    <w:p w:rsidR="00611878" w:rsidRDefault="00672C55">
      <w:pPr>
        <w:spacing w:line="366" w:lineRule="auto"/>
        <w:ind w:left="561" w:right="707"/>
      </w:pPr>
      <w:r>
        <w:rPr>
          <w:sz w:val="24"/>
        </w:rPr>
        <w:t xml:space="preserve">Uno dei gesti più eclatanti portati avanti da giovani che avevano vissuto il dramma del fronte orientale è quello del gruppo die weiße Rose alla Ludwig Maximilian Universität di Monaco di </w:t>
      </w:r>
      <w:r>
        <w:rPr>
          <w:sz w:val="24"/>
        </w:rPr>
        <w:lastRenderedPageBreak/>
        <w:t>Baviera, non molto distante dalla birreria dalla quale Hitler aveva tentato il</w:t>
      </w:r>
      <w:r>
        <w:rPr>
          <w:i/>
          <w:sz w:val="24"/>
        </w:rPr>
        <w:t xml:space="preserve"> Putsch</w:t>
      </w:r>
      <w:r>
        <w:rPr>
          <w:sz w:val="24"/>
        </w:rPr>
        <w:t xml:space="preserve"> molti anni prima. I ragazzi, con l’aiuto di un professore, Kurt Huber, che tra il 1942 e il 1943, hanno messo in atto una rete di controinformazione clandestina, per far crescere la consapevolezza delle atrocità di cui il regime e la Germania tutta si stava macchiando. Tra loro una sola ragazza Sophie Scholl. Nella lotta alla barbarie, ognuno utilizza le armi che più gli sono proprie e gli studenti conoscono bene il potere devastante della cultura. Il regime aveva sempre avuto molto timore della cultura, al punto tale da imporre il rogo dei libri all’Indice sulle piazze pubbliche, come ad esempio quella antistante la Humboldt Universität di Berlino. </w:t>
      </w:r>
    </w:p>
    <w:p w:rsidR="00611878" w:rsidRDefault="00672C55" w:rsidP="00D555BD">
      <w:pPr>
        <w:spacing w:after="282" w:line="366" w:lineRule="auto"/>
        <w:ind w:left="561" w:right="707"/>
      </w:pPr>
      <w:r>
        <w:rPr>
          <w:sz w:val="24"/>
        </w:rPr>
        <w:t xml:space="preserve">Il gruppo, ben organizzato ed in stretto contatto con la resistenza di Ulm, aveva scritto e distribuito migliaia di volantini in Baviera ed in Austria, decidendo di compiere un atto clamoroso il 18 febbraio 1943, in concomitanza con l’ultimo giorno di lezione. La distribuzione dei ciclostilati, è stata notata da un bidello e Sophie al culmine dell’inseguimento ha lanciato ciò che rimaneva dei fogli dalla balconata del chiostro interno all’università di Monaco di Baviera. Lei ed il fratello Hans e Max Probst sono stati arrestati subito, sottoposti ad interrogatori e tortura da parte della GeStaPo fino al giorno 21, per poi essere sottoposti ad un processo farsa e altamente mediatico per l’epoca, il giorno successivo. Il presidente del tribunale politico che ha condannato a morte i due studenti e il loro professore era Roland Freisler, presidente del Volksgerichtshof e responsabile di migliaia di condanne a morte e famoso per il suo atteggiamento aggressivo e per la sua consuetudine di deridere e umiliare gli imputati. Il dibattimento è durato in tutto cinque ore, nelle quali non si è mai entrati nel merito, ma si è cercato solamente di evidenziare la pericolosità sociale e politica dei membri di die weiße Rose e la necessità della loro eliminazione fisica. </w:t>
      </w:r>
    </w:p>
    <w:p w:rsidR="00611878" w:rsidRDefault="00672C55">
      <w:pPr>
        <w:spacing w:after="32" w:line="366" w:lineRule="auto"/>
        <w:ind w:left="561" w:right="707"/>
      </w:pPr>
      <w:r>
        <w:rPr>
          <w:sz w:val="24"/>
        </w:rPr>
        <w:t xml:space="preserve">Nelle motivazioni della sentenza si comprende immediatamente come il fio della colpa risieda nel voler diffondere la cultura e l’autonomia di pensiero. </w:t>
      </w:r>
    </w:p>
    <w:p w:rsidR="00611878" w:rsidRDefault="00672C55">
      <w:pPr>
        <w:spacing w:line="366" w:lineRule="auto"/>
        <w:ind w:left="561" w:right="707"/>
      </w:pPr>
      <w:r>
        <w:rPr>
          <w:sz w:val="24"/>
        </w:rPr>
        <w:t xml:space="preserve">   Gli accusati hanno incitato al sabotaggio dello sforzo bellico e degli armamenti, in tempo di guerra e, per mezzo di volantini, hanno incitato al rovesciamento dello stile di vita nazionalsocialista del popolo tedesco, hanno propagandato idee disfattiste e hanno diffamato il Führer in modo assai volgare, prestando così aiuto al nemico del Reich e indebolendo la sicurezza armata della nazione. Per questi motivi essi devono essere puniti con la morte. Emblematica l'ultima lettera di Sophie Scholl, il giorno prima di morire a Lisa Remppis: </w:t>
      </w:r>
    </w:p>
    <w:p w:rsidR="00611878" w:rsidRDefault="00672C55">
      <w:pPr>
        <w:spacing w:line="246" w:lineRule="auto"/>
        <w:ind w:left="1414" w:right="702"/>
        <w:jc w:val="left"/>
      </w:pPr>
      <w:r>
        <w:t xml:space="preserve">Sto lasciando suonare il Quintetto della trota dal grammofono, mi piacerebbe molto essere una trota, quando ascolto l’Andantino. Non si può che essere felici e ridere, non si può che vedere </w:t>
      </w:r>
      <w:r>
        <w:lastRenderedPageBreak/>
        <w:t>le nubi di primavera dei cuori tristi o scoperti, che vengono messe in movimento dal vento nel sole scintillante al tramonto. Oh, mi rallegro moltissimo della primavera che sta arrivando.</w:t>
      </w:r>
      <w:r>
        <w:rPr>
          <w:vertAlign w:val="superscript"/>
        </w:rPr>
        <w:footnoteReference w:id="87"/>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La sentenza è stata eseguita molto velocemente e i giovani sono stati decapitati nel cortile del carcere.  </w:t>
      </w:r>
    </w:p>
    <w:p w:rsidR="00611878" w:rsidRDefault="00672C55">
      <w:pPr>
        <w:spacing w:line="366" w:lineRule="auto"/>
        <w:ind w:left="561" w:right="707"/>
      </w:pPr>
      <w:r>
        <w:rPr>
          <w:sz w:val="24"/>
        </w:rPr>
        <w:t xml:space="preserve">Nei mesi successivi, anche gli altri membri della weiße Rose sono stati arrestati ed hanno subito condanne tra i 6 mesi e i 10 anni. È, però, importante sottolineare come la spinta alla sovversione del sistema fosse legata a doppio filo all’esperienza maturata sul fronte orientale. </w:t>
      </w:r>
    </w:p>
    <w:p w:rsidR="00611878" w:rsidRDefault="00672C55">
      <w:pPr>
        <w:spacing w:line="366" w:lineRule="auto"/>
        <w:ind w:left="561" w:right="707"/>
      </w:pPr>
      <w:r>
        <w:rPr>
          <w:sz w:val="24"/>
        </w:rPr>
        <w:t xml:space="preserve">A differenza del Fascismo in Italia, infatti, il Nazismo non ha avuto il tempo di crescere, plasmare una generazione di uomini e donne. L’influenza della democrazia che si era sviluppata e disgregata durante gli anni della Repubblica di Weimer, aveva comunque lasciato l’impronta nella società della democrazia del dibattito e del confronto che viene poi soffocato nel sangue dal regime. Quando iniziano i massacri, gli eccidi, il tentativo di genocidio di tutte le minoranze (ebrei, rom, sinti, slavi,…) soprattutto sul fronte orientale, la consapevolezza dell’inumanità del sistema. Questo shock porta molti, oltre che a maturare la giusta consapevolezza, anche a sviluppare la forza e il coraggio di tentare di sovvertire il sistema, ognuno con le proprie forze e con i mezzi che ha a disposizione.  </w:t>
      </w:r>
    </w:p>
    <w:p w:rsidR="00611878" w:rsidRDefault="00672C55">
      <w:pPr>
        <w:spacing w:line="366" w:lineRule="auto"/>
        <w:ind w:left="561" w:right="707"/>
      </w:pPr>
      <w:r>
        <w:rPr>
          <w:sz w:val="24"/>
        </w:rPr>
        <w:t xml:space="preserve">I giovani di die weiße Rose e i gruppi più o meno organizzati di cui si è accennato sopra, non sono gli unici a tentare di opporsi al regime. Molti studenti autonomamente o in piccoli gruppi cercano di dare il proprio contributo per dire </w:t>
      </w:r>
      <w:r>
        <w:rPr>
          <w:i/>
          <w:sz w:val="24"/>
        </w:rPr>
        <w:t>“ Io no”,</w:t>
      </w:r>
      <w:r>
        <w:rPr>
          <w:sz w:val="24"/>
        </w:rPr>
        <w:t xml:space="preserve"> per riprendere il titolo dell’autobiografia di Joachim Fest, diretta risposta al premio Nobel Günter Grass ed il suo </w:t>
      </w:r>
      <w:r>
        <w:rPr>
          <w:i/>
          <w:sz w:val="24"/>
        </w:rPr>
        <w:t>“Sbucciando la cipolla”.</w:t>
      </w:r>
      <w:r>
        <w:rPr>
          <w:sz w:val="24"/>
        </w:rPr>
        <w:t xml:space="preserve"> Nella sua autobiografia, lo storico tedesco racconta di aver inciso sul proprio banco del liceo una caricatura di Adolf Hitler e di essere stato espulso dalla scuola per questo, ma l’educazione ricevuta in famiglia era stata molto chiara: </w:t>
      </w:r>
      <w:r>
        <w:rPr>
          <w:i/>
          <w:sz w:val="24"/>
        </w:rPr>
        <w:t xml:space="preserve">“Etiam si omnes – ego non! È tratto dal vangelo di </w:t>
      </w:r>
    </w:p>
    <w:p w:rsidR="00611878" w:rsidRDefault="00672C55">
      <w:pPr>
        <w:spacing w:after="0" w:line="396" w:lineRule="auto"/>
        <w:ind w:left="576" w:right="705"/>
      </w:pPr>
      <w:r>
        <w:rPr>
          <w:i/>
          <w:sz w:val="24"/>
        </w:rPr>
        <w:t>Matteo, spiegò, dall’episodio sul monte degli ulivi”. Rise quando vide ciò che avevo scritto […]. Papà mi accarezzò la testa e disse per consolarmi: “Non ti preoccupare, l’imparerai!”.</w:t>
      </w:r>
      <w:r>
        <w:rPr>
          <w:i/>
          <w:sz w:val="24"/>
          <w:vertAlign w:val="superscript"/>
        </w:rPr>
        <w:footnoteReference w:id="88"/>
      </w:r>
      <w:r>
        <w:rPr>
          <w:sz w:val="24"/>
        </w:rPr>
        <w:t xml:space="preserve"> </w:t>
      </w:r>
    </w:p>
    <w:p w:rsidR="00611878" w:rsidRDefault="00672C55">
      <w:pPr>
        <w:spacing w:line="366" w:lineRule="auto"/>
        <w:ind w:left="561" w:right="707"/>
      </w:pPr>
      <w:r>
        <w:rPr>
          <w:sz w:val="24"/>
        </w:rPr>
        <w:t xml:space="preserve">Questi tentativi di opposizione e controinformazione sono un importante campanello d’allarme per il regime, soprattutto per quanto concerne la motivazione dei giovani richiamati alle armi </w:t>
      </w:r>
      <w:r>
        <w:rPr>
          <w:sz w:val="24"/>
        </w:rPr>
        <w:lastRenderedPageBreak/>
        <w:t xml:space="preserve">che sono ormai disillusi sulla necessità e la possibilità di conquista del Lebensraum, la ricerca dello spazio vitale, origine formale dello scoppio della Seconda Guerra Mondiale.  </w:t>
      </w:r>
    </w:p>
    <w:p w:rsidR="00611878" w:rsidRDefault="00672C55" w:rsidP="00593A53">
      <w:pPr>
        <w:spacing w:after="115" w:line="259" w:lineRule="auto"/>
        <w:ind w:left="708" w:right="0" w:firstLine="0"/>
        <w:jc w:val="left"/>
      </w:pPr>
      <w:r>
        <w:rPr>
          <w:b/>
          <w:sz w:val="24"/>
        </w:rPr>
        <w:t xml:space="preserve"> </w:t>
      </w:r>
    </w:p>
    <w:p w:rsidR="00611878" w:rsidRDefault="00672C55">
      <w:pPr>
        <w:spacing w:after="115" w:line="259" w:lineRule="auto"/>
        <w:ind w:left="708" w:right="0" w:firstLine="0"/>
        <w:jc w:val="left"/>
      </w:pPr>
      <w:r>
        <w:rPr>
          <w:b/>
          <w:sz w:val="24"/>
        </w:rPr>
        <w:t xml:space="preserve"> </w:t>
      </w:r>
    </w:p>
    <w:p w:rsidR="00611878" w:rsidRDefault="00672C55">
      <w:pPr>
        <w:spacing w:after="0" w:line="259" w:lineRule="auto"/>
        <w:ind w:left="708" w:right="0" w:firstLine="0"/>
        <w:jc w:val="left"/>
      </w:pPr>
      <w:r>
        <w:rPr>
          <w:b/>
          <w:sz w:val="24"/>
        </w:rPr>
        <w:t xml:space="preserve"> </w:t>
      </w:r>
    </w:p>
    <w:p w:rsidR="007418B3" w:rsidRDefault="007418B3">
      <w:pPr>
        <w:spacing w:after="160" w:line="259" w:lineRule="auto"/>
        <w:ind w:left="0" w:right="0" w:firstLine="0"/>
        <w:jc w:val="left"/>
        <w:rPr>
          <w:b/>
          <w:sz w:val="32"/>
        </w:rPr>
      </w:pPr>
      <w:r>
        <w:br w:type="page"/>
      </w:r>
    </w:p>
    <w:p w:rsidR="00611878" w:rsidRDefault="00672C55">
      <w:pPr>
        <w:pStyle w:val="Titolo2"/>
        <w:ind w:left="370"/>
      </w:pPr>
      <w:r>
        <w:lastRenderedPageBreak/>
        <w:t>3.</w:t>
      </w:r>
      <w:r>
        <w:rPr>
          <w:rFonts w:ascii="Arial" w:eastAsia="Arial" w:hAnsi="Arial" w:cs="Arial"/>
        </w:rPr>
        <w:t xml:space="preserve"> </w:t>
      </w:r>
      <w:r>
        <w:t xml:space="preserve">L’inizio dell’avanzata dell’Armata Rossa e il caso di Nemmersdorf  </w:t>
      </w:r>
    </w:p>
    <w:p w:rsidR="00611878" w:rsidRDefault="00672C55">
      <w:pPr>
        <w:spacing w:after="166" w:line="259" w:lineRule="auto"/>
        <w:ind w:left="1028" w:right="0" w:firstLine="0"/>
        <w:jc w:val="left"/>
      </w:pPr>
      <w:r>
        <w:rPr>
          <w:sz w:val="24"/>
        </w:rPr>
        <w:t xml:space="preserve"> </w:t>
      </w:r>
    </w:p>
    <w:p w:rsidR="00611878" w:rsidRDefault="00672C55" w:rsidP="00593A53">
      <w:pPr>
        <w:pStyle w:val="Titolo3"/>
        <w:ind w:left="426" w:firstLine="0"/>
      </w:pPr>
      <w:r>
        <w:t>1)</w:t>
      </w:r>
      <w:r>
        <w:rPr>
          <w:rFonts w:ascii="Arial" w:eastAsia="Arial" w:hAnsi="Arial" w:cs="Arial"/>
        </w:rPr>
        <w:t xml:space="preserve"> </w:t>
      </w:r>
      <w:r>
        <w:t xml:space="preserve">L’affaire Nemmersdorf </w:t>
      </w:r>
    </w:p>
    <w:p w:rsidR="00611878" w:rsidRDefault="00672C55">
      <w:pPr>
        <w:spacing w:line="366" w:lineRule="auto"/>
        <w:ind w:left="551" w:right="707" w:firstLine="461"/>
      </w:pPr>
      <w:r>
        <w:rPr>
          <w:sz w:val="24"/>
        </w:rPr>
        <w:t xml:space="preserve">La Prussia Orientale era considerata una direttrice minore all’interno del piano di avanzamento e di conquista di Berlino da parte dei sovietici. Esso rappresentava una sorta di diversivo, sebbene all’interno di un quadro di conquista complessivo. Inoltre, Stalin nutriva un forte risentimento e dubbi nei confronti dei polacchi, a seguito della disfatta dell’Armata Rossa a Varsavia nel 1920 durante la guerra russo-polacca. Nell’ottobre 1944, Stalin ha deciso un cambio nei vertici militari: il maresciallo Konstantin Rokossowski è stato affidato il comando del II Fronte Bielorusso, ovvero lo sfondamento della Prussia Orientale, sottraendogli la guida dell’azione lungo la linea direttrice principale che avrebbe portato direttamente a Berlino, ovvero, il I Fronte Bielorusso. Anthony Beevor sostiene che questa decisione sia da attribuire alla già citata diffidenza di Stalin nei confronti dei polacchi e di Rokossowski in particolare che già nel 1937, durante il periodo delle purghe, era stato arrestato e torturato dall’NKVD; in realtà questo cambio al vertice potrebbe derivare dalla volontà di far guidare una delle azioni decisive da un uomo di esperienza e dinastia militare polacca che conoscesse bene il territorio e la popolazione.  </w:t>
      </w:r>
    </w:p>
    <w:p w:rsidR="00611878" w:rsidRDefault="00672C55">
      <w:pPr>
        <w:spacing w:after="109" w:line="366" w:lineRule="auto"/>
        <w:ind w:left="551" w:right="707" w:firstLine="461"/>
      </w:pPr>
      <w:r>
        <w:rPr>
          <w:sz w:val="24"/>
        </w:rPr>
        <w:t xml:space="preserve">Sul fronte nazista mancava, invece, una capacità organizzativa organica, in grado di lasciare autonomia ai singoli comandi di valutare le situazioni volta per volta. La strategia militare e la divisione dei compiti dell’esercito tedesco tra fronte orientale e occidentale presentava delle lacune e dei punti deboli evidenti. Primo fra tutti la subordinazione totale alla volontà di Hitler che diventa progressivamente un dittatore totalitario anche in campo militare, soprattutto quando la sconfitta è sempre più evidente. Sebbene nominalmente i compiti fossero divisi, Hitler avoca sempre più a sé la facoltà decisionale. La decisione di aprire il secondo fronte di guerra, sottovalutando tecnicamente l’accerchiamento de facto della Wehrmacht.  A questo si devono aggiungere le lotte intestine, le invidie e le frammentazioni all’interno dello stato maggiore. La divisione netta di competenze territoriali prevedeva che l’OKW (Oberkommando der Wehrmacht, l’alto comando della Wehrmacht), che aveva il compito della pianificazione strategica su tutti i fronti, fosse escluso da quello orientale affidato all’OKH (Oberkommando des Heeres, l’alto comando dell’esercito), al quale Keitel e Jodl potevano sì dare manforte, ma non potevano nulla davanti all’influenza che Döniz e Göring esercitavano su Hitler. Era, dunque, impossibile avere un comando omogeneo per difendere l’est: il capo di stato maggiore dell’esercito generale Heinz Wilhelm Guderian aveva grandi difficoltà a </w:t>
      </w:r>
      <w:r>
        <w:rPr>
          <w:sz w:val="24"/>
        </w:rPr>
        <w:lastRenderedPageBreak/>
        <w:t xml:space="preserve">pianificare la tutela dei cittadini e organizzare un eventuale contrattacco. Nelle riunioni che lo stesso Guderian ha tenuto con il Führer il 24 dicembre 1944 e il 9 gennaio 1945, la risposta ottenuta è stata sempre la stessa: il fronte orientale doveva “arrangiarsi con quel che aveva”, cioè era abbandonato al suo destino.  </w:t>
      </w:r>
    </w:p>
    <w:p w:rsidR="00611878" w:rsidRDefault="00672C55">
      <w:pPr>
        <w:spacing w:line="366" w:lineRule="auto"/>
        <w:ind w:left="551" w:right="707" w:firstLine="461"/>
      </w:pPr>
      <w:r>
        <w:rPr>
          <w:sz w:val="24"/>
        </w:rPr>
        <w:t xml:space="preserve">In questo contesto, il 20 ottobre 1944 era un giorno di guerra come tanti altri nel piccolo paese di Nemmersdorf, come testimoniato da una deposizione anonima proveniente da Amburgo e datata 5 gennaio 1953: </w:t>
      </w:r>
    </w:p>
    <w:p w:rsidR="00611878" w:rsidRDefault="00672C55">
      <w:pPr>
        <w:ind w:left="1438" w:right="706"/>
      </w:pPr>
      <w:r>
        <w:t xml:space="preserve">Il 14 luglio, 1944 gli uomini sono stati richiamati nel distretto dell’Angerapp insieme con gli uomini provenienti dai distretti di Angergurg e Rastenburg per di fortificazioni sulla frontiera nella zona est di Heydekrug (Mamelland) e utilizzati nelle settimane successive. Agli inizi di settembre la postazione Angerapp che era di stanza sul fiume Angerapp -, hanno fatto due fossati anticarro a protezione – e hanno ampliato posizioni nel bunker. Le azioni di massa precauzionali non sono state eseguite. Nel mese di ottobre, gli stessi uomini di servizio del Volkssturm sono stati nel quartiere o convocate tra Pr. Olanda nel Volkssturm, che era di stanza nel distretto. Nei combattimenti nel mese di ottobre, il Vokssturm non ha partecipato al combattimento, nel mese di gennaio, le unità sull’Angerapp sono state utilizzate nello spazio-Tapiau Labiau per difendere la posizione di Deime. [...]. </w:t>
      </w:r>
    </w:p>
    <w:p w:rsidR="00611878" w:rsidRDefault="00672C55">
      <w:pPr>
        <w:spacing w:after="37"/>
        <w:ind w:left="1438" w:right="706"/>
      </w:pPr>
      <w:r>
        <w:t>Durante l’avanzata sovietica nella provincia di Großwaltersdorf-Nemmersdorf (distretto di Gumbinnen) fu conquistato il bacino nordorientale dell’Angerapp nella notte tra il 20 ed il 21 ottobre 1944, grazie all’uso dei carri armati d’assalto, […].  Spingono i nemici oltre la linea del fiume Angrapp dove non risultavano esserci ulteriori forze nemiche. Grazie ad un contrattacco tedesco, dal 23 ottobre 1944 le forze sovietiche sono state respinte e dal 25 ottobre il bacino di guerra [il distretto di Nemmersdorf] era nuovamente libero dai nemici</w:t>
      </w:r>
      <w:r w:rsidR="00D555BD">
        <w:rPr>
          <w:rStyle w:val="Rimandonotaapidipagina"/>
        </w:rPr>
        <w:footnoteReference w:id="89"/>
      </w:r>
      <w:r>
        <w:t>.</w:t>
      </w:r>
    </w:p>
    <w:p w:rsidR="00611878" w:rsidRDefault="00672C55">
      <w:pPr>
        <w:spacing w:after="124" w:line="259" w:lineRule="auto"/>
        <w:ind w:left="566" w:right="0" w:firstLine="0"/>
        <w:jc w:val="left"/>
      </w:pPr>
      <w:r>
        <w:rPr>
          <w:sz w:val="24"/>
        </w:rPr>
        <w:t xml:space="preserve"> </w:t>
      </w:r>
    </w:p>
    <w:p w:rsidR="00611878" w:rsidRDefault="00672C55">
      <w:pPr>
        <w:spacing w:line="366" w:lineRule="auto"/>
        <w:ind w:left="551" w:right="707" w:firstLine="461"/>
      </w:pPr>
      <w:r>
        <w:rPr>
          <w:sz w:val="24"/>
        </w:rPr>
        <w:t xml:space="preserve">Nell’estate 1944 aveva preso il via lentamente la prima flebile offensiva sovietica che, come sostiene De Zayas nel suo </w:t>
      </w:r>
      <w:r>
        <w:rPr>
          <w:i/>
          <w:sz w:val="24"/>
        </w:rPr>
        <w:t>Nemesis at Postdam</w:t>
      </w:r>
      <w:r>
        <w:rPr>
          <w:sz w:val="24"/>
        </w:rPr>
        <w:t xml:space="preserve">, aveva fatto perdere il senso di sicurezza ai cittadini. Fino a quel momento, infatti, la guerra aveva riguardato gli altri, in una proiezione da ovest ad est che aveva messo i cittadini di lingua tedesca in una posizione di forza e di assoluta serenità, lucidamente narrata da Gunter Grass ne </w:t>
      </w:r>
      <w:r>
        <w:rPr>
          <w:i/>
          <w:sz w:val="24"/>
        </w:rPr>
        <w:t>Il mio secolo</w:t>
      </w:r>
      <w:r>
        <w:rPr>
          <w:sz w:val="24"/>
        </w:rPr>
        <w:t xml:space="preserve"> </w:t>
      </w:r>
    </w:p>
    <w:p w:rsidR="00611878" w:rsidRDefault="00672C55" w:rsidP="00D555BD">
      <w:pPr>
        <w:spacing w:after="58"/>
        <w:ind w:left="1428" w:right="706" w:firstLine="458"/>
      </w:pPr>
      <w:r>
        <w:t xml:space="preserve">Chi ha indicato la strada all’Europa prevedendo il futuro? Chi si è opposto fino alla fine alla marea boscevica salvando l’Europa? Chi, con le armi a lunga gittata ha compiuto il primo passo decisivo verso l’evoluzione di missili a testate atomiche? Solo lui. Solo a lui si associa </w:t>
      </w:r>
      <w:r>
        <w:lastRenderedPageBreak/>
        <w:t xml:space="preserve">una grandezza che reggerà al cospetto della storia. E riguardo al mio articolo sul “Volkischer Beaobachter”, chiedo qui a tutti i presenti: non siamo forse di nuovo richiesti come soldati, sia pure solo nella forma di questo ridicolo esercito attuale? </w:t>
      </w:r>
      <w:r w:rsidRPr="00D555BD">
        <w:t>No</w:t>
      </w:r>
      <w:r w:rsidR="00D555BD" w:rsidRPr="00D555BD">
        <w:t xml:space="preserve">n siamo forse punta di lancia e </w:t>
      </w:r>
      <w:r>
        <w:t xml:space="preserve">baluardo al tempo stesso? Non si dimostra al giorno d’oggi, anche se in ritardo, che la guerra in realtà l’abbiamo vinta noi, la Germania? Con invidia e rispetto il mondo guarda l’opera di ricostruzione che abbiamo iniziato. Dopo la disfatta totale, dalla nostra eccedenza di energia, nasce la solidità economica. Siamo tornati ad essere qualcuno. Presto saremo al comando e allo stesso modo il Giappone è riuscito… […]. </w:t>
      </w:r>
    </w:p>
    <w:p w:rsidR="00611878" w:rsidRDefault="00672C55">
      <w:pPr>
        <w:spacing w:after="43"/>
        <w:ind w:left="1428" w:right="706" w:firstLine="458"/>
      </w:pPr>
      <w:r>
        <w:t>Il nostro ospite e io tentammo invano di avviare una discussione in qualche modo ordinata. Alcuni volevano assolutamente pagare lo scotto di ritirate e sopravvivere ancora una volta al disastro della battaglia di accerchiamento presso Minsk, ad altri suggeriva speculazioni l’attentato nella Tana del Lupo: - Se fosse andata bene, una tregua con gli alleati occidentali avrebbe sicuramente stabilizzato il fronte orientale, in modo che insieme agli americani contro l’Ivan,… -, ma i più rimpiangevano la perdita della Francia e rievocavano i “bei giorni di Parigi”.</w:t>
      </w:r>
      <w:r>
        <w:rPr>
          <w:vertAlign w:val="superscript"/>
        </w:rPr>
        <w:footnoteReference w:id="90"/>
      </w:r>
      <w:r>
        <w:t xml:space="preserve">   </w:t>
      </w:r>
    </w:p>
    <w:p w:rsidR="00611878" w:rsidRDefault="00672C55">
      <w:pPr>
        <w:spacing w:after="159" w:line="259" w:lineRule="auto"/>
        <w:ind w:left="1028" w:right="0" w:firstLine="0"/>
        <w:jc w:val="left"/>
      </w:pPr>
      <w:r>
        <w:rPr>
          <w:sz w:val="24"/>
        </w:rPr>
        <w:t xml:space="preserve"> </w:t>
      </w:r>
    </w:p>
    <w:p w:rsidR="00611878" w:rsidRDefault="00672C55">
      <w:pPr>
        <w:spacing w:after="29" w:line="366" w:lineRule="auto"/>
        <w:ind w:left="551" w:right="707" w:firstLine="461"/>
      </w:pPr>
      <w:r>
        <w:rPr>
          <w:sz w:val="24"/>
        </w:rPr>
        <w:t xml:space="preserve"> Nell’agosto 1944, però, i tedeschi avevano dato l’ordine di evacuazione dell’intera area della valle dell’Angrapp, senza che la conquista si verifichi. Successivamente, quindi, la popolazione era stata invitata a rientrare perché il pericolo era passato. In autunno, l’allarme dell’invasione sovietica si era materializzato con una certa costanza: il 16 ottobre l’Armata Rossa aveva iniziato un’offensiva massiccia, il 19 avevano rotto la linea del fronte, conquistando i  distretti di Gumbinnen e Goldap, per essere respinta definitivamente il 5 novembre. I resoconti postumi dei militari (conservati presso il </w:t>
      </w:r>
      <w:r>
        <w:rPr>
          <w:i/>
          <w:sz w:val="24"/>
        </w:rPr>
        <w:t xml:space="preserve">BA – Bayreuth </w:t>
      </w:r>
      <w:r>
        <w:rPr>
          <w:sz w:val="24"/>
        </w:rPr>
        <w:t>e datati 1952-1953) parlano genericamente di una prima provvisoria evacuazione in luglio e agosto 1944 ed una definitiva a partire dal gennaio 1945.</w:t>
      </w:r>
      <w:r>
        <w:rPr>
          <w:sz w:val="24"/>
          <w:vertAlign w:val="superscript"/>
        </w:rPr>
        <w:footnoteReference w:id="91"/>
      </w:r>
      <w:r>
        <w:rPr>
          <w:sz w:val="24"/>
        </w:rPr>
        <w:t xml:space="preserve"> </w:t>
      </w:r>
    </w:p>
    <w:p w:rsidR="00611878" w:rsidRDefault="00672C55" w:rsidP="004B3A00">
      <w:pPr>
        <w:numPr>
          <w:ilvl w:val="0"/>
          <w:numId w:val="11"/>
        </w:numPr>
        <w:spacing w:line="366" w:lineRule="auto"/>
        <w:ind w:right="707" w:firstLine="461"/>
      </w:pPr>
      <w:r>
        <w:rPr>
          <w:sz w:val="24"/>
        </w:rPr>
        <w:t xml:space="preserve">vertici militari della Wehrmacht che sono impegnati nel conflitto combattono per l’onore e la gloria della Nazione, sempre e comunque a prescindere da chi sia il comandante in carica. </w:t>
      </w:r>
    </w:p>
    <w:p w:rsidR="00611878" w:rsidRDefault="00672C55">
      <w:pPr>
        <w:spacing w:line="366" w:lineRule="auto"/>
        <w:ind w:left="561" w:right="707"/>
      </w:pPr>
      <w:r>
        <w:rPr>
          <w:sz w:val="24"/>
        </w:rPr>
        <w:t xml:space="preserve">La sconfitta è un disonore. Il caso della congiura del 20 luglio, la cosiddetta “Operazione Valchiria”, portata avanti da un gruppo di ufficiali che hanno tentato di prendere il potere ne è un esempio. Un militare, soprattutto se ufficiale, non accetta l’eventualità di una sconfitta passiva, ma si prende in considerazione l’ipotesi di un golpe militare per poter poi condurre il paese verso la fine vittoriosa di un conflitto che aveva già causato milioni di vittime civili. Molti dei militari coinvolti nella congiura, avevano assistito ai massacri. Le testimonianze dei civili, raccolte da diversi saggi, descrivono una situazione di inumanità che va ben oltre la crudeltà della guerra </w:t>
      </w:r>
    </w:p>
    <w:p w:rsidR="00611878" w:rsidRDefault="00672C55">
      <w:pPr>
        <w:ind w:left="1887" w:right="706"/>
      </w:pPr>
      <w:r>
        <w:lastRenderedPageBreak/>
        <w:t xml:space="preserve">[Gli ebrei] quanto tempo sono rimasti nelle celle?  </w:t>
      </w:r>
    </w:p>
    <w:p w:rsidR="00611878" w:rsidRDefault="00672C55">
      <w:pPr>
        <w:ind w:left="1428" w:right="706" w:firstLine="458"/>
      </w:pPr>
      <w:r>
        <w:t>I.L. Li hanno tenuti lì per circa due giorni, il tempo di riempire le celle. Poi, hanno costretto degli ebrei a scavare una fossa e a tirare una palizzata di due metri e li hanno fucilati tutti quanti in quel luogo. Era una grande fossa, poteva misurare una ventina di metri. […]. Nella fossa c’erano degli ebrei che dovevano distribuire i corpi per tutta la sua lunghezza. Quando la fossa si è riempita, hanno fucilato anche loro.</w:t>
      </w:r>
      <w:r>
        <w:rPr>
          <w:vertAlign w:val="superscript"/>
        </w:rPr>
        <w:footnoteReference w:id="92"/>
      </w:r>
      <w:r>
        <w:t xml:space="preserve"> </w:t>
      </w:r>
    </w:p>
    <w:p w:rsidR="00611878" w:rsidRDefault="00672C55">
      <w:pPr>
        <w:spacing w:after="115" w:line="259" w:lineRule="auto"/>
        <w:ind w:left="1028" w:right="0" w:firstLine="0"/>
        <w:jc w:val="left"/>
      </w:pPr>
      <w:r>
        <w:rPr>
          <w:sz w:val="24"/>
        </w:rPr>
        <w:t xml:space="preserve"> </w:t>
      </w:r>
    </w:p>
    <w:p w:rsidR="00611878" w:rsidRDefault="00672C55">
      <w:pPr>
        <w:spacing w:line="366" w:lineRule="auto"/>
        <w:ind w:left="551" w:right="707" w:firstLine="461"/>
      </w:pPr>
      <w:r>
        <w:rPr>
          <w:sz w:val="24"/>
        </w:rPr>
        <w:t xml:space="preserve">Dal grande lavoro storico e umano di ricostruzione compiuta direttamente sui luoghi degli eccidi di massa, emergono delle testimonianze visive inequivocabili, di ciò che sono stati i massacri, soprattutto degli ebrei, compiuti dagli Eisatzgruppe nei territori orientali, sotto la guida sapiente dei testimoni oculari, come nella cittadina ucraina di Bu’sk </w:t>
      </w:r>
    </w:p>
    <w:p w:rsidR="00611878" w:rsidRDefault="00672C55">
      <w:pPr>
        <w:ind w:left="1428" w:right="706" w:firstLine="458"/>
      </w:pPr>
      <w:r>
        <w:t xml:space="preserve">È comune ai testimoni ucraini della Shoah, nel momento in cui tornano sui luoghi delle esecuzioni, di avviarsi da soli […]. Sento che la donna sussurra: “là, sì è là! Li hanno portati là… li obbligavano a correre a suon di botte, anche i vecchi, anche quelli che non ce la facevano più”. Mentre avanza, ritrova la sua memoria di bambina, che ha assistito all’uccisione degli ebrei suoi vicini di casa. “Dal ghetto li avevano portati sui carretti fino alla porta del cimitero. </w:t>
      </w:r>
    </w:p>
    <w:p w:rsidR="00611878" w:rsidRDefault="00672C55">
      <w:pPr>
        <w:spacing w:after="34"/>
        <w:ind w:left="1438" w:right="706"/>
      </w:pPr>
      <w:r>
        <w:t>Qualcuno era già morto”. Scende fino alla riva del fiume. Si ferma. Riprende bruscamente a parlare: “Era qui che gli ebrei dovevano spogliarsi completamente e posare i vestiti a terra. Quando si spogliavano buttavano i loro gioielli nel fiume, perché non se ne impossessassero i tedeschi. I tedeschi erano furibondi. Così, più tardi, li hanno fatti allontanare dal fiume e si spogliavano laggiù”. Risale lungo una scarpata […]. “Proprio lì, li hanno fucilati alla schiena, uno dopo l’altro.”</w:t>
      </w:r>
      <w:r>
        <w:rPr>
          <w:vertAlign w:val="superscript"/>
        </w:rPr>
        <w:footnoteReference w:id="93"/>
      </w:r>
      <w:r>
        <w:t xml:space="preserve">  </w:t>
      </w:r>
    </w:p>
    <w:p w:rsidR="00611878" w:rsidRDefault="00672C55">
      <w:pPr>
        <w:spacing w:after="115" w:line="259" w:lineRule="auto"/>
        <w:ind w:left="1028" w:right="0" w:firstLine="0"/>
        <w:jc w:val="left"/>
      </w:pPr>
      <w:r>
        <w:rPr>
          <w:sz w:val="24"/>
        </w:rPr>
        <w:t xml:space="preserve"> </w:t>
      </w:r>
    </w:p>
    <w:p w:rsidR="00611878" w:rsidRDefault="00672C55">
      <w:pPr>
        <w:spacing w:line="366" w:lineRule="auto"/>
        <w:ind w:left="551" w:right="707" w:firstLine="461"/>
      </w:pPr>
      <w:r>
        <w:rPr>
          <w:sz w:val="24"/>
        </w:rPr>
        <w:t xml:space="preserve">Come ben evidenziato da Sönke Neitzel e Harald Welzer, l’assenza di un fronte ben delineato con due eserciti schierati e il coinvolgimento diretto e continuo dei civili nelle operazioni di guerra, rende inutile la Convenzione di Ginevra, sul trattamento dei prigionieri di guerra. Anche questi ultimi, sono vittime di una violenza oltre le regole internazionali. </w:t>
      </w:r>
    </w:p>
    <w:p w:rsidR="00611878" w:rsidRDefault="00672C55">
      <w:pPr>
        <w:spacing w:line="366" w:lineRule="auto"/>
        <w:ind w:left="551" w:right="707" w:firstLine="461"/>
      </w:pPr>
      <w:r>
        <w:rPr>
          <w:sz w:val="24"/>
        </w:rPr>
        <w:t xml:space="preserve">Nell’ottobre 1944 la sorte della Germania nazista era ormai segnata, anche se la guerra viveva una situazione di stallo: sul fronte occidentale, il 2 ottobre, la I Armata Usa aveva liberato Anversa e Lüttich, aprendosi la strada per la Germania; a sud, dopo la liberazione di Roma, gli </w:t>
      </w:r>
    </w:p>
    <w:p w:rsidR="00611878" w:rsidRDefault="00672C55">
      <w:pPr>
        <w:spacing w:after="115" w:line="259" w:lineRule="auto"/>
        <w:ind w:left="561" w:right="707"/>
      </w:pPr>
      <w:r>
        <w:rPr>
          <w:sz w:val="24"/>
        </w:rPr>
        <w:t xml:space="preserve">Alleati erano bloccati lungo la linea Gotica. Sul fronte orientale tutto era ancora molto incerto. </w:t>
      </w:r>
    </w:p>
    <w:p w:rsidR="00611878" w:rsidRDefault="00672C55">
      <w:pPr>
        <w:spacing w:line="366" w:lineRule="auto"/>
        <w:ind w:left="561" w:right="707"/>
      </w:pPr>
      <w:r>
        <w:rPr>
          <w:sz w:val="24"/>
        </w:rPr>
        <w:t xml:space="preserve">L’avanzata nazista era stata incontrastata e gli Einsatzgruppe avevano avuto gioco facile per devastare e compiere esecuzioni di massa sommarie in Ucraina, in Galizia e in Russia. Dopo la sconfitta di Stalingrado, la guerra era andata avanti stancamente con piccole schermaglie da una </w:t>
      </w:r>
      <w:r>
        <w:rPr>
          <w:sz w:val="24"/>
        </w:rPr>
        <w:lastRenderedPageBreak/>
        <w:t xml:space="preserve">parte e dall’altra. Erano molto frequenti le incursioni e le occupazioni temporanee di piccole cittadine, al solo scopo di muoversi un po’ e approvvigionarsi con qualche razzia. </w:t>
      </w:r>
    </w:p>
    <w:p w:rsidR="00611878" w:rsidRDefault="00672C55">
      <w:pPr>
        <w:spacing w:line="366" w:lineRule="auto"/>
        <w:ind w:left="551" w:right="707" w:firstLine="461"/>
      </w:pPr>
      <w:r>
        <w:rPr>
          <w:sz w:val="24"/>
        </w:rPr>
        <w:t xml:space="preserve">Quando il 20 ottobre è arrivato il nuovo ordine di evacuazione del distretto di Gumbinnen, molti tra i più anziani e tra le donne hanno preferito non farsi carico di un nuovo viaggio con i bambini e le poche cose indispensabili; succubi della propaganda, ritenevano non ci fosse alcun pericolo concreto, sicuri del contrattacco che prima o poi sarebbe arrivato a sancire ufficialmente la vittoria finale degli ariani contro gli slavi. </w:t>
      </w:r>
    </w:p>
    <w:p w:rsidR="00611878" w:rsidRDefault="00672C55">
      <w:pPr>
        <w:spacing w:line="366" w:lineRule="auto"/>
        <w:ind w:left="551" w:right="707" w:firstLine="461"/>
      </w:pPr>
      <w:r>
        <w:rPr>
          <w:sz w:val="24"/>
        </w:rPr>
        <w:t xml:space="preserve">All'improvviso, però, i soldati dell'Armata Rossa sono arrivati. Sono piombati come fulmini nelle case, bruciando, saccheggiando, devastando, uccidendo. La sola ragazza superstite, Gerda Maczulat, si era rifugiata in un bunker del borgomastro Johannes Grimm e racconta così le ore di attesa: </w:t>
      </w:r>
    </w:p>
    <w:p w:rsidR="00611878" w:rsidRDefault="00672C55">
      <w:pPr>
        <w:spacing w:after="44"/>
        <w:ind w:left="1438" w:right="706"/>
      </w:pPr>
      <w:r>
        <w:t>Nel Bunker si rifugiavano anche quattro uomini anziani (Hobeck, Maczulat, Kaminski, Klaus Verwante von Kaminski) due giovani donne, Gerda Maczulat e la giovane signora Kaminski, così come quattro bambini (nipoti del vecchio Kaminski). In totale erano nascosti almeno 14 uomini.</w:t>
      </w:r>
      <w:r>
        <w:rPr>
          <w:vertAlign w:val="superscript"/>
        </w:rPr>
        <w:footnoteReference w:id="94"/>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Poi sono arrivati i russi, che erano penetrati nel Reich ed entravano in contatto con i civili tedeschi per la prima volta: </w:t>
      </w:r>
    </w:p>
    <w:p w:rsidR="00611878" w:rsidRDefault="00672C55">
      <w:pPr>
        <w:spacing w:after="36"/>
        <w:ind w:left="1438" w:right="706"/>
      </w:pPr>
      <w:r>
        <w:t>Mio padre, che capiva un po’di russo, cercava di spiegare che noi essendo popolazione civile non avevamo fatto nulla e che ci dovevano lasciar stare. Con il “Pescholl” saremmo dovuti essere liberi. Mio padre credeva che saremmo potuti forse tornare a casa .</w:t>
      </w:r>
      <w:r>
        <w:rPr>
          <w:vertAlign w:val="superscript"/>
        </w:rPr>
        <w:footnoteReference w:id="95"/>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51" w:right="707" w:firstLine="461"/>
      </w:pPr>
      <w:r>
        <w:rPr>
          <w:sz w:val="24"/>
        </w:rPr>
        <w:t xml:space="preserve">In un contatto telefonico del 1993 tra Bernhard Fisch ed il fratello di Gerda, Paul, egli sostiene che la sorella avendo i movimenti rallentati a causa della poliomielite ha solo ricevuto un colpo al collo non mortale che le ha tolto la capacità di parola senza ucciderla. </w:t>
      </w:r>
    </w:p>
    <w:p w:rsidR="00611878" w:rsidRDefault="00672C55">
      <w:pPr>
        <w:spacing w:line="366" w:lineRule="auto"/>
        <w:ind w:left="551" w:right="707" w:firstLine="461"/>
      </w:pPr>
      <w:r>
        <w:rPr>
          <w:sz w:val="24"/>
        </w:rPr>
        <w:t xml:space="preserve">Essendo nel pieno dell'adolescenza, era ovviamente tra le più appetibili per eventuali bramosie sessuali, nonostante il suo handicap. È bene ricordare che al momento del secondo ordine di evacuazione sono stati soprattutto gli anziani, i malati e tutti coloro che avevano difficoltà di spostamento come Gerda e le donne con i bambini piccoli a non eseguirlo. È facile pensare, dunque, che la giovanissima Gerda avrebbe costituito una facile preda, anche in considerazione del suo handicap che rallentava le sue capacità di difesa. Occorre, inoltre, tenere </w:t>
      </w:r>
      <w:r>
        <w:rPr>
          <w:sz w:val="24"/>
        </w:rPr>
        <w:lastRenderedPageBreak/>
        <w:t xml:space="preserve">ben presente che l'offensiva sovietica era appena iniziata e, quindi, i soldati avevano minori necessità sessuali da espletare rispetto al momento dell'ingresso a Berlino. </w:t>
      </w:r>
    </w:p>
    <w:p w:rsidR="00611878" w:rsidRDefault="00672C55">
      <w:pPr>
        <w:spacing w:line="366" w:lineRule="auto"/>
        <w:ind w:left="551" w:right="707" w:firstLine="461"/>
      </w:pPr>
      <w:r>
        <w:rPr>
          <w:sz w:val="24"/>
        </w:rPr>
        <w:t>Anche Guido Knopp prende in considerazione la storia della giovane Gerda narrata nel libro-testimonianza di Bernhard Fisch, sottolineando che non contraddice affatto il racconto di uno degli artefici della riconquista di Nemmersdorf: “Li avevano preparati e schierati in quel modo apposta, perché fossero fotografati, così come poi li abbiamo visti sui giornali. Avevano tirato su le vesti e tirate giù le calze”</w:t>
      </w:r>
      <w:r>
        <w:rPr>
          <w:i/>
          <w:sz w:val="24"/>
        </w:rPr>
        <w:t>.</w:t>
      </w:r>
      <w:r>
        <w:rPr>
          <w:sz w:val="24"/>
        </w:rPr>
        <w:t xml:space="preserve"> Testimonianza che viene avallata in parte anche da un altro soldato: </w:t>
      </w:r>
    </w:p>
    <w:p w:rsidR="00611878" w:rsidRDefault="00672C55">
      <w:pPr>
        <w:ind w:left="1438" w:right="706"/>
      </w:pPr>
      <w:r>
        <w:t xml:space="preserve">Abbiamo allineato due dozzine circa di cadaveri </w:t>
      </w:r>
    </w:p>
    <w:p w:rsidR="00611878" w:rsidRDefault="00672C55">
      <w:pPr>
        <w:spacing w:after="37"/>
        <w:ind w:left="1438" w:right="706"/>
      </w:pPr>
      <w:r>
        <w:t>. Su molti si vedevano i punti in cui erano stati colpiti dai proiettili, altri avevano ferite in testa. Abbiamo trovato anche donne di varia età con le vesti scomposte all’altezza dell’inguine, in parte con tracce di  sangue. Noi eravamo soldati e non medici, e non potevamo dunque dire se fossero state  violentate o meno. Però dall’aspetto, si sarebbe detto di si.</w:t>
      </w:r>
      <w:r>
        <w:rPr>
          <w:vertAlign w:val="superscript"/>
        </w:rPr>
        <w:footnoteReference w:id="96"/>
      </w:r>
      <w:r>
        <w:t xml:space="preserve"> </w:t>
      </w:r>
    </w:p>
    <w:p w:rsidR="00611878" w:rsidRDefault="00672C55">
      <w:pPr>
        <w:spacing w:after="112" w:line="259" w:lineRule="auto"/>
        <w:ind w:left="1028" w:right="0" w:firstLine="0"/>
        <w:jc w:val="left"/>
      </w:pPr>
      <w:r>
        <w:rPr>
          <w:sz w:val="24"/>
        </w:rPr>
        <w:t xml:space="preserve"> </w:t>
      </w:r>
    </w:p>
    <w:p w:rsidR="00611878" w:rsidRDefault="00672C55">
      <w:pPr>
        <w:spacing w:after="34" w:line="366" w:lineRule="auto"/>
        <w:ind w:left="551" w:right="707" w:firstLine="461"/>
      </w:pPr>
      <w:r>
        <w:rPr>
          <w:sz w:val="24"/>
        </w:rPr>
        <w:t xml:space="preserve">Dopo due giorni Nemmersdorf è stata riconquistata dalla Wehrmacht. Un'azione normale nelle schermaglie tra una battaglia e l'altra, ma questa volta la conseguenza è diversa dal solito. Le immagini scattate dai fotografi ufficiali mostrano i corpi senza vita dei civili, sparsi in terra o nel canale del fiume: nei tre giorni di dominio, i soldati dell'Armata Rossa avevano senza dubbio commesso una strage, tutti coloro che non avevano abbandonato il villaggio erano stati uccisi. </w:t>
      </w:r>
    </w:p>
    <w:p w:rsidR="00611878" w:rsidRDefault="00672C55">
      <w:pPr>
        <w:spacing w:line="366" w:lineRule="auto"/>
        <w:ind w:left="561" w:right="707"/>
      </w:pPr>
      <w:r>
        <w:rPr>
          <w:sz w:val="24"/>
        </w:rPr>
        <w:t>La notizia è giunta immediatamente a Joseph Goebbels che l’ha divulgata attraverso il “</w:t>
      </w:r>
      <w:r>
        <w:rPr>
          <w:i/>
          <w:sz w:val="24"/>
        </w:rPr>
        <w:t xml:space="preserve">Völkische Beobachter” </w:t>
      </w:r>
      <w:r>
        <w:rPr>
          <w:sz w:val="24"/>
        </w:rPr>
        <w:t>ed altri organi di stampa e "invitato" i giornalisti dei paesi neutrali a visitare il piccolo paese di Nemmersdorf per fotografare e documentare la strage. Per raggiungere il piccolo paese, quasi ai confini con i paesi Baltici in tempo di guerra, c’è voluto del tempo, indispensabile per "preparare" il set. Il risultato è esattamente quello sperato: il “Braunschweiger</w:t>
      </w:r>
      <w:r>
        <w:rPr>
          <w:i/>
          <w:sz w:val="24"/>
        </w:rPr>
        <w:t xml:space="preserve"> </w:t>
      </w:r>
      <w:r>
        <w:rPr>
          <w:sz w:val="24"/>
        </w:rPr>
        <w:t>Tageszeitung”</w:t>
      </w:r>
      <w:r>
        <w:rPr>
          <w:i/>
          <w:sz w:val="24"/>
        </w:rPr>
        <w:t xml:space="preserve">, </w:t>
      </w:r>
      <w:r>
        <w:rPr>
          <w:sz w:val="24"/>
        </w:rPr>
        <w:t xml:space="preserve">giornale fedele al regime titola: </w:t>
      </w:r>
      <w:r>
        <w:rPr>
          <w:i/>
          <w:sz w:val="24"/>
        </w:rPr>
        <w:t>Bestien</w:t>
      </w:r>
      <w:r>
        <w:rPr>
          <w:sz w:val="24"/>
        </w:rPr>
        <w:t xml:space="preserve"> </w:t>
      </w:r>
      <w:r>
        <w:rPr>
          <w:i/>
          <w:sz w:val="24"/>
        </w:rPr>
        <w:t>wüteten in</w:t>
      </w:r>
      <w:r>
        <w:rPr>
          <w:sz w:val="24"/>
        </w:rPr>
        <w:t xml:space="preserve"> </w:t>
      </w:r>
      <w:r>
        <w:rPr>
          <w:i/>
          <w:sz w:val="24"/>
        </w:rPr>
        <w:t>Ostpreußen</w:t>
      </w:r>
      <w:r>
        <w:rPr>
          <w:sz w:val="24"/>
        </w:rPr>
        <w:t xml:space="preserve"> e il “Leipziger Neuesten Nachrichten” il 31 ottobre, 10 giorni dopo gli eventi, parla di “orrende bestialità dei bolscevichi nella parte meridionale del distretto di Gumbinnen”.</w:t>
      </w:r>
      <w:r>
        <w:rPr>
          <w:sz w:val="24"/>
          <w:vertAlign w:val="superscript"/>
        </w:rPr>
        <w:footnoteReference w:id="97"/>
      </w:r>
      <w:r>
        <w:rPr>
          <w:sz w:val="24"/>
        </w:rPr>
        <w:t xml:space="preserve">  Poi nell’articolo continua: “ hanno trovato morti, civili tedeschi devastati - come sempre nei territori conquistati dai bolscevichi - le donne tedesche sono state devastate, molestate, violentate”.</w:t>
      </w:r>
      <w:r>
        <w:rPr>
          <w:sz w:val="24"/>
          <w:vertAlign w:val="superscript"/>
        </w:rPr>
        <w:footnoteReference w:id="98"/>
      </w:r>
      <w:r>
        <w:rPr>
          <w:sz w:val="24"/>
        </w:rPr>
        <w:t xml:space="preserve">    </w:t>
      </w:r>
    </w:p>
    <w:p w:rsidR="00611878" w:rsidRDefault="00672C55">
      <w:pPr>
        <w:spacing w:line="366" w:lineRule="auto"/>
        <w:ind w:left="551" w:right="707" w:firstLine="461"/>
      </w:pPr>
      <w:r>
        <w:rPr>
          <w:sz w:val="24"/>
        </w:rPr>
        <w:lastRenderedPageBreak/>
        <w:t xml:space="preserve">Dieci giorni per parlare dell'accaduto, documentarlo, scrivere un pezzo, che sicuramente doveva passare il vaglio della censura. Anche i giornali dei paesi neutrali hanno documentato l'accaduto. Il "Courrier de Geneve" del 7 novembre 1944 titolava: </w:t>
      </w:r>
      <w:r>
        <w:rPr>
          <w:i/>
          <w:sz w:val="24"/>
        </w:rPr>
        <w:t>Testimonianza oculare del nostro inviato sul fronte orientale</w:t>
      </w:r>
      <w:r>
        <w:rPr>
          <w:sz w:val="24"/>
        </w:rPr>
        <w:t xml:space="preserve">; un giornale norvegese il 6 novembre era ancora più esplicito: </w:t>
      </w:r>
      <w:r>
        <w:rPr>
          <w:i/>
          <w:sz w:val="24"/>
        </w:rPr>
        <w:t>La prassi dei 'liberatori' rossi</w:t>
      </w:r>
      <w:r>
        <w:rPr>
          <w:sz w:val="24"/>
        </w:rPr>
        <w:t xml:space="preserve">, le foto corredavano articoli scritti quasi 20 giorni dopo i fatti. Già il titolo e quel "liberatori" virgolettato seminavano i primi dubbi sull'azione dei soldati russi. </w:t>
      </w:r>
    </w:p>
    <w:p w:rsidR="00611878" w:rsidRDefault="00672C55">
      <w:pPr>
        <w:spacing w:line="366" w:lineRule="auto"/>
        <w:ind w:left="551" w:right="707" w:firstLine="461"/>
      </w:pPr>
      <w:r>
        <w:rPr>
          <w:sz w:val="24"/>
        </w:rPr>
        <w:t xml:space="preserve">Un lasso di tempo infinito che permette agli uomini della Wehrmacht di eseguire gli ordini che arrivavano da Berlino, direttamente da Joseph Goebbels; nel 1944 l’uso dei media nella propaganda nazista si era perfezionata. Erano trascorsi quasi 10 anni dalle adunate di Norimberga filmate sotto la sapiente regia di Leni Riefensthal, i suoi Giochi con i vari "attori" e le sue terribili, perfette scenografie, capaci di catturare il pubblico ed accattivarlo. Nel 1944, quindi, le tecniche di utilizzo dei mezzi di comunicazione di massa si erano ulteriormente affinate. </w:t>
      </w:r>
    </w:p>
    <w:p w:rsidR="00611878" w:rsidRDefault="00672C55">
      <w:pPr>
        <w:spacing w:line="366" w:lineRule="auto"/>
        <w:ind w:left="551" w:right="707" w:firstLine="461"/>
      </w:pPr>
      <w:r>
        <w:rPr>
          <w:sz w:val="24"/>
        </w:rPr>
        <w:t>Lo stesso numero delle vittime rimane vago. Il 23 ottobre i cittadini che riprenderanno possesso dei propri beni affermavano: “chi non era riuscito a scappare giaceva morto.“</w:t>
      </w:r>
      <w:r>
        <w:rPr>
          <w:sz w:val="24"/>
          <w:vertAlign w:val="superscript"/>
        </w:rPr>
        <w:footnoteReference w:id="99"/>
      </w:r>
      <w:r>
        <w:rPr>
          <w:sz w:val="24"/>
        </w:rPr>
        <w:t xml:space="preserve"> Il 27 ottobre il “Volkische Beobachter” parla di 26 vittime, il giorno successivo le vittime salgono a 61. Il 30 dello stesso mese arrivano le linee guida del ministero della propaganda da seguire per chiunque volesse occuparsi della vicenda: </w:t>
      </w:r>
    </w:p>
    <w:p w:rsidR="00611878" w:rsidRDefault="00672C55">
      <w:pPr>
        <w:spacing w:after="35"/>
        <w:ind w:left="1438" w:right="706"/>
      </w:pPr>
      <w:r>
        <w:t>Volevano testimoniare che il Popolo doveva ribellarsi. Volevano riempire le donne di paura e volevano suscitare un desiderio di riscatto attraverso un sentimento di appartenenza al “Volk”, al Popolo, questa notizia è stata data in forma di propaganda ha suscitato un forte dibattito all’interno dell’opinione pubblica che si chiedeva perché la popolazione non fosse stata evacuata. [Quanto successo] era frutto o di un tono eccessivo della propaganda o dell’incapacità di chi ha lasciato incustodita la Prussia Orientale.</w:t>
      </w:r>
      <w:r>
        <w:rPr>
          <w:vertAlign w:val="superscript"/>
        </w:rPr>
        <w:footnoteReference w:id="100"/>
      </w:r>
      <w:r>
        <w:t xml:space="preserve">  </w:t>
      </w:r>
    </w:p>
    <w:p w:rsidR="00611878" w:rsidRPr="007418B3" w:rsidRDefault="00672C55">
      <w:pPr>
        <w:spacing w:after="112" w:line="259" w:lineRule="auto"/>
        <w:ind w:left="566" w:right="0" w:firstLine="0"/>
        <w:jc w:val="left"/>
        <w:rPr>
          <w:sz w:val="2"/>
          <w:szCs w:val="2"/>
        </w:rPr>
      </w:pPr>
      <w:r w:rsidRPr="007418B3">
        <w:rPr>
          <w:sz w:val="2"/>
          <w:szCs w:val="2"/>
        </w:rPr>
        <w:t xml:space="preserve"> </w:t>
      </w:r>
    </w:p>
    <w:p w:rsidR="00611878" w:rsidRDefault="00672C55">
      <w:pPr>
        <w:spacing w:line="366" w:lineRule="auto"/>
        <w:ind w:left="561" w:right="707"/>
      </w:pPr>
      <w:r>
        <w:rPr>
          <w:sz w:val="24"/>
        </w:rPr>
        <w:t xml:space="preserve">Nulla della propaganda doveva essere lasciato al caso. Tutto doveva seguire regole precise, stabilite a tavolino, con un ordine preciso, quasi maniacale, soprattutto per l’inasprirsi del conflitto. Un’altra testimonianza della programmazione dei messaggi e del modo nel quale vengono mandati è racchiusa nella lettera datata 25 ottobre 1944 indirizzata al Ministro </w:t>
      </w:r>
      <w:r>
        <w:rPr>
          <w:sz w:val="24"/>
        </w:rPr>
        <w:lastRenderedPageBreak/>
        <w:t xml:space="preserve">dell’Interno del Reich e firmata Keilhaus, SS-Brigadenführer e Generalmajor Waffes SS. Il testo è esplicito per quanto riguarda i tempi ed i modi della comunicazione e molto significativo </w:t>
      </w:r>
    </w:p>
    <w:p w:rsidR="00611878" w:rsidRDefault="00672C55">
      <w:pPr>
        <w:ind w:left="1438" w:right="706"/>
      </w:pPr>
      <w:r>
        <w:t xml:space="preserve">A causa delle sempre maggiori difficoltà nell’uso del telefono di servizio a distanza il Ministero delle Poste del Reich doveva decidere di stabilire il tempo di conversazione per ogni tipo di chiamata uniforme. </w:t>
      </w:r>
    </w:p>
    <w:p w:rsidR="00611878" w:rsidRDefault="00672C55">
      <w:pPr>
        <w:spacing w:line="246" w:lineRule="auto"/>
        <w:ind w:left="1414" w:right="702"/>
        <w:jc w:val="left"/>
      </w:pPr>
      <w:r>
        <w:t xml:space="preserve">Per il funzionamento dei comandi Reichsführer SS il termine della settimana per i seguenti tipi di chiamata è notevole: 1) A tempo indeterminato </w:t>
      </w:r>
    </w:p>
    <w:p w:rsidR="00611878" w:rsidRDefault="00672C55" w:rsidP="004B3A00">
      <w:pPr>
        <w:numPr>
          <w:ilvl w:val="0"/>
          <w:numId w:val="12"/>
        </w:numPr>
        <w:ind w:right="706" w:hanging="247"/>
      </w:pPr>
      <w:r>
        <w:t>discussioni del capo; il</w:t>
      </w:r>
      <w:r w:rsidR="009319E8">
        <w:t xml:space="preserve"> Reichsmareschall</w:t>
      </w:r>
      <w:r>
        <w:t xml:space="preserve">; Reichsführer-SS; Tranne il Ministro del Reich, </w:t>
      </w:r>
    </w:p>
    <w:p w:rsidR="00611878" w:rsidRDefault="00672C55" w:rsidP="004B3A00">
      <w:pPr>
        <w:numPr>
          <w:ilvl w:val="0"/>
          <w:numId w:val="12"/>
        </w:numPr>
        <w:spacing w:after="359"/>
        <w:ind w:right="706" w:hanging="247"/>
      </w:pPr>
      <w:r>
        <w:t xml:space="preserve">Tutte le chiamate internazionali, (quindi colloqui fulmini all'estero, chiamate internazionali urgenti, ordinarie, </w:t>
      </w:r>
      <w:r w:rsidR="009319E8">
        <w:t xml:space="preserve">i colloqui con gli </w:t>
      </w:r>
      <w:r>
        <w:t xml:space="preserve">stranieri). </w:t>
      </w:r>
    </w:p>
    <w:p w:rsidR="00611878" w:rsidRDefault="00672C55">
      <w:pPr>
        <w:ind w:left="1438" w:right="706"/>
      </w:pPr>
      <w:r>
        <w:t xml:space="preserve">2.) è limitata a 10 minuti: </w:t>
      </w:r>
    </w:p>
    <w:p w:rsidR="00611878" w:rsidRDefault="00672C55">
      <w:pPr>
        <w:ind w:left="1438" w:right="706"/>
      </w:pPr>
      <w:r>
        <w:t xml:space="preserve"> urgente incontri speciali e incontri speciali; Notifica via la fine della comunicazione avviene dopo un periodo di 9 minuti. </w:t>
      </w:r>
    </w:p>
    <w:p w:rsidR="00611878" w:rsidRDefault="00672C55">
      <w:pPr>
        <w:ind w:left="1438" w:right="706"/>
      </w:pPr>
      <w:r>
        <w:t xml:space="preserve">3.) dovrebbe essere limitata a 6 minuti: </w:t>
      </w:r>
    </w:p>
    <w:p w:rsidR="00611878" w:rsidRDefault="00672C55" w:rsidP="004B3A00">
      <w:pPr>
        <w:numPr>
          <w:ilvl w:val="0"/>
          <w:numId w:val="13"/>
        </w:numPr>
        <w:ind w:right="706" w:hanging="240"/>
      </w:pPr>
      <w:r>
        <w:t xml:space="preserve">le chiamate in codice </w:t>
      </w:r>
    </w:p>
    <w:p w:rsidR="00611878" w:rsidRDefault="00672C55" w:rsidP="004B3A00">
      <w:pPr>
        <w:numPr>
          <w:ilvl w:val="0"/>
          <w:numId w:val="13"/>
        </w:numPr>
        <w:ind w:right="706" w:hanging="240"/>
      </w:pPr>
      <w:r>
        <w:t xml:space="preserve">colloqui KWL </w:t>
      </w:r>
    </w:p>
    <w:p w:rsidR="00611878" w:rsidRDefault="00672C55" w:rsidP="004B3A00">
      <w:pPr>
        <w:numPr>
          <w:ilvl w:val="0"/>
          <w:numId w:val="13"/>
        </w:numPr>
        <w:ind w:right="706" w:hanging="240"/>
      </w:pPr>
      <w:r>
        <w:t xml:space="preserve">Urgente Stato chiamate senza codice. </w:t>
      </w:r>
    </w:p>
    <w:p w:rsidR="00611878" w:rsidRDefault="00672C55">
      <w:pPr>
        <w:ind w:left="1438" w:right="706"/>
      </w:pPr>
      <w:r>
        <w:t xml:space="preserve">4.) è limitata a 3 minuti: </w:t>
      </w:r>
    </w:p>
    <w:p w:rsidR="00611878" w:rsidRDefault="00D555BD" w:rsidP="004B3A00">
      <w:pPr>
        <w:numPr>
          <w:ilvl w:val="0"/>
          <w:numId w:val="14"/>
        </w:numPr>
        <w:ind w:right="706" w:hanging="240"/>
      </w:pPr>
      <w:r>
        <w:t>i colloqui con i dirigenti</w:t>
      </w:r>
      <w:r w:rsidR="00672C55">
        <w:t xml:space="preserve"> </w:t>
      </w:r>
    </w:p>
    <w:p w:rsidR="00611878" w:rsidRDefault="00672C55" w:rsidP="004B3A00">
      <w:pPr>
        <w:numPr>
          <w:ilvl w:val="0"/>
          <w:numId w:val="14"/>
        </w:numPr>
        <w:ind w:right="706" w:hanging="240"/>
      </w:pPr>
      <w:r>
        <w:t xml:space="preserve">le chiamate ordinarie. </w:t>
      </w:r>
    </w:p>
    <w:p w:rsidR="00611878" w:rsidRDefault="00672C55">
      <w:pPr>
        <w:ind w:left="1438" w:right="706"/>
      </w:pPr>
      <w:r>
        <w:t>E 'stato invitato a fornire tutti i posti di comando in punti considerazione di questa conoscenza misura, in modo che la conversazione può essere diviso in modo che possa essere esaurito nel te</w:t>
      </w:r>
      <w:r w:rsidR="00D555BD">
        <w:t>mpo prescritto.</w:t>
      </w:r>
      <w:r w:rsidR="00D555BD">
        <w:rPr>
          <w:rStyle w:val="Rimandonotaapidipagina"/>
        </w:rPr>
        <w:footnoteReference w:id="101"/>
      </w:r>
      <w:r>
        <w:t xml:space="preserve">          </w:t>
      </w:r>
    </w:p>
    <w:p w:rsidR="00611878" w:rsidRPr="007418B3" w:rsidRDefault="00672C55">
      <w:pPr>
        <w:spacing w:after="0" w:line="259" w:lineRule="auto"/>
        <w:ind w:left="1419" w:right="0" w:firstLine="0"/>
        <w:jc w:val="left"/>
        <w:rPr>
          <w:sz w:val="2"/>
          <w:szCs w:val="2"/>
        </w:rPr>
      </w:pPr>
      <w:r w:rsidRPr="007418B3">
        <w:rPr>
          <w:sz w:val="2"/>
          <w:szCs w:val="2"/>
        </w:rPr>
        <w:lastRenderedPageBreak/>
        <w:t xml:space="preserve">     </w:t>
      </w:r>
    </w:p>
    <w:p w:rsidR="00611878" w:rsidRDefault="00672C55">
      <w:pPr>
        <w:spacing w:line="366" w:lineRule="auto"/>
        <w:ind w:left="561" w:right="707"/>
      </w:pPr>
      <w:r>
        <w:rPr>
          <w:sz w:val="24"/>
        </w:rPr>
        <w:t xml:space="preserve">Quella fila inerme di corpi di giovani donne non ha nulla di spontaneo. Un altro dubbio è rappresentato proprio dalla strage. Se i soldati dell'Armata Rossa avessero veramente voluto lanciare un monito alle donne tedesche, perché ucciderle? Non sarebbe stato meglio lasciarle in vita, affinché potessero raccontare? Poi un testimone continua con la sua narrazione: </w:t>
      </w:r>
    </w:p>
    <w:p w:rsidR="00611878" w:rsidRDefault="00672C55">
      <w:pPr>
        <w:spacing w:after="117"/>
        <w:ind w:left="1438" w:right="706"/>
      </w:pPr>
      <w:r>
        <w:t>A 10 chilometri nella parte meridionale del distretto di Gumbinnen, sono stati ritrovati 15 corpi di civili tedeschi, che erano stati bruciati. Un anziano è stato ritrovato senza unghie delle mani, crocifisso su di un portone. Due donne sono state violentate con dei bastoni e ritrovate uccise con un colpo di pistola</w:t>
      </w:r>
      <w:r w:rsidR="00D555BD">
        <w:rPr>
          <w:rStyle w:val="Rimandonotaapidipagina"/>
        </w:rPr>
        <w:footnoteReference w:id="102"/>
      </w:r>
      <w:r>
        <w:t xml:space="preserve">. </w:t>
      </w:r>
    </w:p>
    <w:p w:rsidR="00611878" w:rsidRDefault="00672C55" w:rsidP="00593A53">
      <w:pPr>
        <w:spacing w:after="0" w:line="259" w:lineRule="auto"/>
        <w:ind w:left="0" w:right="0" w:firstLine="0"/>
        <w:jc w:val="left"/>
      </w:pPr>
      <w:r>
        <w:rPr>
          <w:rFonts w:ascii="Calibri" w:eastAsia="Calibri" w:hAnsi="Calibri" w:cs="Calibri"/>
          <w:strike/>
        </w:rPr>
        <w:t xml:space="preserve">                        </w:t>
      </w:r>
    </w:p>
    <w:p w:rsidR="00611878" w:rsidRDefault="00672C55">
      <w:pPr>
        <w:spacing w:line="366" w:lineRule="auto"/>
        <w:ind w:left="561" w:right="707"/>
      </w:pPr>
      <w:r>
        <w:rPr>
          <w:sz w:val="24"/>
        </w:rPr>
        <w:t>Le immagini dei corpi crocefissi ai portoni o ai muri sono assolutamente speculari a quelle riportate durante la grande carestia Ucraina raccontata da alcuni testimoni come Zanotti-Bianco che nelle sue memorie annota anche altri particolari macabri ad esempioche la popolazione si è cibata non solo di cani, gatti e ogni tipo di vegetazione, ma evidenzia anche casi di necrofagia, specificando come questi siano dovuti allo stato di estrema necessità. È lo stesso Zanotti-Bianco ad annotare</w:t>
      </w:r>
      <w:r>
        <w:rPr>
          <w:rFonts w:ascii="Calibri" w:eastAsia="Calibri" w:hAnsi="Calibri" w:cs="Calibri"/>
        </w:rPr>
        <w:t xml:space="preserve"> </w:t>
      </w:r>
    </w:p>
    <w:p w:rsidR="00611878" w:rsidRDefault="00672C55">
      <w:pPr>
        <w:spacing w:after="187"/>
        <w:ind w:left="1438" w:right="706"/>
      </w:pPr>
      <w:r>
        <w:t>Uccisione di bambini – vendita al mercato di costolette umane: moglie che sostiene di aver diritto alla carne del marito morto”</w:t>
      </w:r>
      <w:r w:rsidR="00D555BD">
        <w:rPr>
          <w:rStyle w:val="Rimandonotaapidipagina"/>
        </w:rPr>
        <w:footnoteReference w:id="103"/>
      </w:r>
      <w:r>
        <w:t xml:space="preserve">. </w:t>
      </w:r>
    </w:p>
    <w:p w:rsidR="00611878" w:rsidRDefault="00672C55">
      <w:pPr>
        <w:spacing w:after="192" w:line="259" w:lineRule="auto"/>
        <w:ind w:left="0" w:right="0" w:firstLine="0"/>
        <w:jc w:val="left"/>
      </w:pPr>
      <w:r>
        <w:rPr>
          <w:rFonts w:ascii="Calibri" w:eastAsia="Calibri" w:hAnsi="Calibri" w:cs="Calibri"/>
          <w:sz w:val="20"/>
        </w:rPr>
        <w:t xml:space="preserve"> </w:t>
      </w:r>
    </w:p>
    <w:p w:rsidR="00611878" w:rsidRDefault="00672C55">
      <w:pPr>
        <w:spacing w:after="164" w:line="256" w:lineRule="auto"/>
        <w:ind w:left="561" w:right="707"/>
      </w:pPr>
      <w:r>
        <w:rPr>
          <w:sz w:val="24"/>
        </w:rPr>
        <w:t xml:space="preserve">Dai racconti dei profughi che riuscivano a scappare provengono anche i racconti di madri che uccidono i figli più piccoli per sfamare i più grandi e piantoni messi a guardia delle bare appena sotterrate. </w:t>
      </w:r>
    </w:p>
    <w:p w:rsidR="00611878" w:rsidRDefault="00672C55">
      <w:pPr>
        <w:spacing w:after="164" w:line="256" w:lineRule="auto"/>
        <w:ind w:left="561" w:right="707"/>
      </w:pPr>
      <w:r>
        <w:rPr>
          <w:sz w:val="24"/>
        </w:rPr>
        <w:t xml:space="preserve">Quando la carestia torna violenta dal 1932, le voci riprendono con più vigore, anche sulle annotazioni di Sergio Gradenigo, rappresentante diplomatico italiano a Karkov che riporta di cadaveri trovati senza fegato o altre parti, usate per sfamarsi. Egli scrive anche di genitori che, presi da raptus di follia dovuti dalla fame, vedevano nei figli solo carne con la quale mettere fine alle proprie sofferenze. </w:t>
      </w:r>
    </w:p>
    <w:p w:rsidR="00611878" w:rsidRDefault="00672C55">
      <w:pPr>
        <w:spacing w:line="366" w:lineRule="auto"/>
        <w:ind w:left="561" w:right="707"/>
      </w:pPr>
      <w:r>
        <w:rPr>
          <w:sz w:val="24"/>
        </w:rPr>
        <w:t xml:space="preserve"> Le testimonianze sono quasi completamente sovrapponibili. Questo potrebbe essere dovuto a due fattori completamente differenti: da un lato potrebbero essere il frutto un modus operandi </w:t>
      </w:r>
    </w:p>
    <w:p w:rsidR="00611878" w:rsidRDefault="00672C55">
      <w:pPr>
        <w:spacing w:line="366" w:lineRule="auto"/>
        <w:ind w:left="561" w:right="707"/>
      </w:pPr>
      <w:r>
        <w:rPr>
          <w:sz w:val="24"/>
        </w:rPr>
        <w:t xml:space="preserve">“standard” del trattamento dei civili nelle azioni militari, oppure potrebbero essere utilizzati i luoghi comuni, i racconti di altre stragi che si sono sovrapposti. </w:t>
      </w:r>
    </w:p>
    <w:p w:rsidR="00611878" w:rsidRDefault="00672C55">
      <w:pPr>
        <w:spacing w:line="366" w:lineRule="auto"/>
        <w:ind w:left="551" w:right="707" w:firstLine="461"/>
      </w:pPr>
      <w:r>
        <w:rPr>
          <w:sz w:val="24"/>
        </w:rPr>
        <w:lastRenderedPageBreak/>
        <w:t xml:space="preserve">La percezione che i civili tedeschi che vivono lontano dalla Prussia Orientale ricevono è quella voluta dal regime. Helga Schneider, all’epoca bambina berlinese, racconta così le violenze di Nemmersdorf nel suo libro di ricordi </w:t>
      </w:r>
      <w:r>
        <w:rPr>
          <w:i/>
          <w:sz w:val="24"/>
        </w:rPr>
        <w:t>L’usignolo dei Linke</w:t>
      </w:r>
      <w:r>
        <w:rPr>
          <w:sz w:val="24"/>
        </w:rPr>
        <w:t xml:space="preserve"> </w:t>
      </w:r>
    </w:p>
    <w:p w:rsidR="00611878" w:rsidRDefault="00672C55">
      <w:pPr>
        <w:spacing w:after="220"/>
        <w:ind w:left="1428" w:right="706" w:firstLine="458"/>
      </w:pPr>
      <w:r>
        <w:t xml:space="preserve">Nella loro avanzata verso occidente, i soldati sovietici avevano attraversato città e villaggi distrutti. Avevano visto le forche innalzate dai tedeschi e le fosse comuni di russi uccisi dai tedeschi. Avevano incontrato in Polonia, i primi campi di sterminio. Avevano visto centinaia di migliaia di compagni cadere in battaglia spesso così giovani da poter essere considerati ancora ragazzi. E avevano sentito storie raccapriccianti di vecchi inermi torturati a morte, di bambini prima terrorizzati e poi costretti a prendere le armi, e di un numero enorme di donne e ragazzine violentate. Per anni era stato inculcato loro l’odio per tutto quanto fosse tedesco. Ai loro occhi i tedeschi non erano creature umane, ma solo bestie meritevoli di essere abbattute. “I fascisti” scriveva Ilja Ehrenburg “hanno portato con sé ferocia, atrocità, il culto della violenza e della morte”. Così fin dall’ottobre 1944, quando i carrarmati sovietici oltrepassarono per la prima volta il confine orientale del Reich spingendosi fino ai distretti di Goldap e di Gumbinnen, i soldati si vendicarono atrocemente delle efferatezze che il loro popolo aveva subito. […]. </w:t>
      </w:r>
    </w:p>
    <w:p w:rsidR="00611878" w:rsidRDefault="00672C55" w:rsidP="00593A53">
      <w:pPr>
        <w:spacing w:after="0" w:line="259" w:lineRule="auto"/>
        <w:ind w:left="0" w:right="0" w:firstLine="0"/>
        <w:jc w:val="left"/>
      </w:pPr>
      <w:r>
        <w:rPr>
          <w:rFonts w:ascii="Calibri" w:eastAsia="Calibri" w:hAnsi="Calibri" w:cs="Calibri"/>
          <w:strike/>
        </w:rPr>
        <w:t xml:space="preserve">                                                         </w:t>
      </w:r>
      <w:r>
        <w:rPr>
          <w:rFonts w:ascii="Calibri" w:eastAsia="Calibri" w:hAnsi="Calibri" w:cs="Calibri"/>
        </w:rPr>
        <w:t xml:space="preserve"> </w:t>
      </w:r>
    </w:p>
    <w:p w:rsidR="00611878" w:rsidRDefault="00D555BD">
      <w:pPr>
        <w:ind w:left="1438" w:right="706"/>
      </w:pPr>
      <w:r>
        <w:t xml:space="preserve"> </w:t>
      </w:r>
      <w:r w:rsidR="00672C55">
        <w:t xml:space="preserve">“Quando pochi giorni dopo l’offensiva della II Armata a cavallo sovietica la località di Nemmersdorf fu riconquistata da unità della IV Armata tedesca” ha scritto Gunter Grass “Si poté aver sentore, vedere, contare, fotografare e filmare per i cinegiornali di tutte le sale del Reich quante donne erano state violentate dai soldati russi, quindi ammazzate e inchiodate alle porte dei fienili […].  </w:t>
      </w:r>
    </w:p>
    <w:p w:rsidR="00611878" w:rsidRDefault="00672C55">
      <w:pPr>
        <w:ind w:left="1428" w:right="706" w:firstLine="458"/>
      </w:pPr>
      <w:r>
        <w:t>Stalin aveva, inoltre, abolito le licenze dal fronte, costringendo i soldati a rimanere per anni lontani dai propri familiari. L’odio per l’invasore tedesco veniva costantemente fomentato dai giornali del fronte. Ancora Ilja Ehrenburg: “Se nel corso della giornata non hai ucciso almeno un tedesco – questo è un giorno perduto”.</w:t>
      </w:r>
      <w:r>
        <w:rPr>
          <w:vertAlign w:val="superscript"/>
        </w:rPr>
        <w:footnoteReference w:id="104"/>
      </w:r>
      <w:r>
        <w:t xml:space="preserve">  </w:t>
      </w:r>
    </w:p>
    <w:p w:rsidR="00611878" w:rsidRDefault="00672C55">
      <w:pPr>
        <w:spacing w:after="112" w:line="259" w:lineRule="auto"/>
        <w:ind w:left="1028" w:right="0" w:firstLine="0"/>
        <w:jc w:val="left"/>
      </w:pPr>
      <w:r>
        <w:rPr>
          <w:sz w:val="24"/>
        </w:rPr>
        <w:t xml:space="preserve"> </w:t>
      </w:r>
    </w:p>
    <w:p w:rsidR="00611878" w:rsidRDefault="00672C55">
      <w:pPr>
        <w:spacing w:line="366" w:lineRule="auto"/>
        <w:ind w:left="551" w:right="707" w:firstLine="461"/>
      </w:pPr>
      <w:r>
        <w:rPr>
          <w:sz w:val="24"/>
        </w:rPr>
        <w:t xml:space="preserve">Un giovane testimone giunto successivamente nel paese sostiene che “ il racconto degli inviati di guerra, che all’epoca corrispondevano con quelli della Wehrmacht, erano ripresi dalle radio e dalle cineprese e corrispondono a verità”. La testimonianza, datata 12 gennaio 1953, suscita però molti dubbi, innanzitutto per la distanza temporale dagli avvenimenti, e poi perché si poggia sugli stessi soldati tedeschi che fornivano i reportage dal fronte di guerra, ovviamente censurati e costruiti ad arte per poi essere trasmessi nei cinegiornali. </w:t>
      </w:r>
    </w:p>
    <w:p w:rsidR="00611878" w:rsidRDefault="00672C55">
      <w:pPr>
        <w:spacing w:line="366" w:lineRule="auto"/>
        <w:ind w:left="551" w:right="707" w:firstLine="461"/>
      </w:pPr>
      <w:r>
        <w:rPr>
          <w:sz w:val="24"/>
        </w:rPr>
        <w:t xml:space="preserve">Le violenze vengono confermate anche da un testimone oculare, il Generale Erich Dethleffsen che il 5 luglio 1946 dichiara presso il tribunale Americano istituito a Neu Ulm: </w:t>
      </w:r>
    </w:p>
    <w:p w:rsidR="00611878" w:rsidRDefault="00672C55">
      <w:pPr>
        <w:spacing w:after="70"/>
        <w:ind w:left="1438" w:right="706"/>
      </w:pPr>
      <w:r>
        <w:t>Quando nell'ottobre del 1944, le unità russe hanno rotto la linea di difesa tedesca nella valle e avanzarono fino a Nemmersdorf, hanno torturato civili in molti villaggi a sud Gumbinnen, inchiodati alcuni sulle porte e ucciso a colpi di pistola molti altri. Un gran numero di donne sono state violentate. I soldati russi hanno così sparato a una cinquantina di prigionieri di guerra francesi. I villaggi che sono stati colpiti sono state riconquistati dalle forze tedesche entro 48 ore.</w:t>
      </w:r>
      <w:r>
        <w:rPr>
          <w:vertAlign w:val="superscript"/>
        </w:rPr>
        <w:footnoteReference w:id="105"/>
      </w:r>
      <w:r>
        <w:t xml:space="preserve"> </w:t>
      </w:r>
    </w:p>
    <w:p w:rsidR="00611878" w:rsidRDefault="00672C55" w:rsidP="00593A53">
      <w:pPr>
        <w:spacing w:after="115" w:line="259" w:lineRule="auto"/>
        <w:ind w:left="566" w:right="0" w:firstLine="0"/>
        <w:jc w:val="left"/>
      </w:pPr>
      <w:r>
        <w:rPr>
          <w:sz w:val="24"/>
        </w:rPr>
        <w:lastRenderedPageBreak/>
        <w:t xml:space="preserve">   Ma il Generale non conferma che le donne di Nemmersdorf siano state violentate. </w:t>
      </w:r>
    </w:p>
    <w:p w:rsidR="00611878" w:rsidRDefault="00672C55">
      <w:pPr>
        <w:spacing w:line="366" w:lineRule="auto"/>
        <w:ind w:left="551" w:right="707" w:firstLine="461"/>
      </w:pPr>
      <w:r>
        <w:rPr>
          <w:sz w:val="24"/>
        </w:rPr>
        <w:t>Questa testimonianza è contraddetta da un’altra, giunta da Amburgo il 5 gennaio 1953: “Il distretto dell‘Angerap non subiva più alcuna pressione da parte del nemico. La controffensiva iniziata il 23 ottobre fu contrastata dai sovietici e dal 25 ottobre il distretto fu nuovamente libero”.</w:t>
      </w:r>
      <w:r>
        <w:rPr>
          <w:sz w:val="24"/>
          <w:vertAlign w:val="superscript"/>
        </w:rPr>
        <w:footnoteReference w:id="106"/>
      </w:r>
      <w:r>
        <w:rPr>
          <w:sz w:val="24"/>
        </w:rPr>
        <w:t xml:space="preserve"> Non una parola a proposito di violenze sessuali, che invece si ritrova in un’altra testimonianza coeva. </w:t>
      </w:r>
    </w:p>
    <w:p w:rsidR="00611878" w:rsidRDefault="00672C55">
      <w:pPr>
        <w:spacing w:after="108" w:line="265" w:lineRule="auto"/>
        <w:ind w:left="96" w:right="708"/>
        <w:jc w:val="right"/>
      </w:pPr>
      <w:r>
        <w:rPr>
          <w:sz w:val="24"/>
        </w:rPr>
        <w:t xml:space="preserve">Eppure, da quel momento, niente è più come prima. Anche Ilja Ehrenburg corrispondente </w:t>
      </w:r>
    </w:p>
    <w:p w:rsidR="00611878" w:rsidRDefault="00672C55">
      <w:pPr>
        <w:spacing w:line="366" w:lineRule="auto"/>
        <w:ind w:left="561" w:right="707"/>
      </w:pPr>
      <w:r>
        <w:rPr>
          <w:sz w:val="24"/>
        </w:rPr>
        <w:t xml:space="preserve">per la </w:t>
      </w:r>
      <w:r>
        <w:rPr>
          <w:i/>
          <w:sz w:val="24"/>
        </w:rPr>
        <w:t>Pravda</w:t>
      </w:r>
      <w:r>
        <w:rPr>
          <w:sz w:val="24"/>
        </w:rPr>
        <w:t xml:space="preserve"> sul fronte orientale utilizza l'episodio di Nemmersdorf per incitare i soldati allo stupro sistematico. Il suo biografo sostiene: </w:t>
      </w:r>
    </w:p>
    <w:p w:rsidR="00611878" w:rsidRDefault="00672C55">
      <w:pPr>
        <w:spacing w:after="35"/>
        <w:ind w:left="1438" w:right="706"/>
      </w:pPr>
      <w:r>
        <w:t>Il suo autentico orrore per gli innumerevoli crimini di guerra commessi dalla Wehrmacht in ritirata e poi la sua conoscenza diretta dei crimini commessi [dall’esercito tedesco] durante l’avanzata e l'occupazione del 1941 e il 1942 hanno fatto aumentare il suo odio febbrile e hanno avuto l'effetto di concentrare tutte le sue energie e l'attenzione sulla necessità di vendetta "sacra", vendetta contro la nazione tedesca. Tale preoccupazione era al centro dei suoi scritti, quando la guerra volgeva ormai al termine.</w:t>
      </w:r>
      <w:r>
        <w:rPr>
          <w:vertAlign w:val="superscript"/>
        </w:rPr>
        <w:footnoteReference w:id="107"/>
      </w:r>
      <w:r>
        <w:t xml:space="preserve">   </w:t>
      </w:r>
    </w:p>
    <w:p w:rsidR="00611878" w:rsidRDefault="00672C55">
      <w:pPr>
        <w:spacing w:after="130" w:line="259" w:lineRule="auto"/>
        <w:ind w:left="566" w:right="0" w:firstLine="0"/>
        <w:jc w:val="left"/>
      </w:pPr>
      <w:r>
        <w:rPr>
          <w:sz w:val="24"/>
        </w:rPr>
        <w:t xml:space="preserve"> </w:t>
      </w:r>
    </w:p>
    <w:p w:rsidR="00611878" w:rsidRDefault="00672C55">
      <w:pPr>
        <w:spacing w:line="366" w:lineRule="auto"/>
        <w:ind w:left="551" w:right="707" w:firstLine="461"/>
      </w:pPr>
      <w:r>
        <w:rPr>
          <w:sz w:val="24"/>
        </w:rPr>
        <w:t xml:space="preserve">L’odio dello scrittore russo nei confronti dei tedeschi, però, non è da attribuire esclusivamente alle violenze naziste perpetrate ai danni degli slavi, ma anche e soprattutto da un sentimento di revanche nei confronti dei “prussiani” che affonda le sue origini durante la Prima Guerra Mondiale quando, a partire dall’agosto 1914, la stampa internazionale, con il Belgio a fare da apripista, ha iniziato a parlare delle atrocità tedesche. Le notizie provenienti dal fronte occidentale, andavano ad intersecarsi con quelle che arrivavano dalla vicina cittadina polacca di Kalisz. I giornali russi del periodo, basandosi su testimonianze oculari, parlavano apertamente della “infamità prussiana” o “inaudita malvagità dei tedeschi a Kalisz”. Come sostiene Engelstein, questo episodio permette ai russi di avere la possibilità di configurare lo scontro di civiltà. In quegli anni c’è un fiorente sviluppo dei lubki, libri popolari, che utilizzano anche il gioco di parole tra prussaki (prussiani) e prusaki  (scarafaggi) davanti ai quali si batteva il valoroso contadino cosacco dalle dimensioni gigantesche. Secondo lo storico Stites </w:t>
      </w:r>
      <w:r>
        <w:rPr>
          <w:sz w:val="24"/>
        </w:rPr>
        <w:lastRenderedPageBreak/>
        <w:t xml:space="preserve">alimentare l’odio per il nemico, specialmente per i tedeschi, si rivelò sorprendentemente facile, dal momento che sentimenti antitedeschi…erano latenti tra molti russi, gente del popolo così come intellettuali. In un intervento al Comitato Slavo del 14 settembre 1914 il polacco Tadeusz Micinski affermava: </w:t>
      </w:r>
    </w:p>
    <w:p w:rsidR="00611878" w:rsidRDefault="00672C55">
      <w:pPr>
        <w:spacing w:after="41"/>
        <w:ind w:left="1438" w:right="706"/>
      </w:pPr>
      <w:r>
        <w:t>Il diavolo dell’Europa non è un mito della germanofobia … ma è purtroppo una terribile realtà, che si manifesta nella millenaria lotta tra il mondo tedesco e quello slavo […] molto più lieve ed umano è il giogo mussulmano […] noi siamo per la Russia una sorta di vallo difensivo, noi siamo i suoi alleati naturali per la forza stessa dei fatti</w:t>
      </w:r>
      <w:r>
        <w:rPr>
          <w:vertAlign w:val="superscript"/>
        </w:rPr>
        <w:footnoteReference w:id="108"/>
      </w:r>
      <w:r>
        <w:t xml:space="preserve"> </w:t>
      </w:r>
    </w:p>
    <w:p w:rsidR="00611878" w:rsidRDefault="00672C55">
      <w:pPr>
        <w:spacing w:after="112" w:line="259" w:lineRule="auto"/>
        <w:ind w:left="1028" w:right="0" w:firstLine="0"/>
        <w:jc w:val="left"/>
      </w:pPr>
      <w:r>
        <w:rPr>
          <w:sz w:val="24"/>
        </w:rPr>
        <w:t xml:space="preserve"> </w:t>
      </w:r>
    </w:p>
    <w:p w:rsidR="00611878" w:rsidRDefault="00672C55">
      <w:pPr>
        <w:spacing w:line="366" w:lineRule="auto"/>
        <w:ind w:left="561" w:right="707"/>
      </w:pPr>
      <w:r>
        <w:rPr>
          <w:sz w:val="24"/>
        </w:rPr>
        <w:t xml:space="preserve">Ilja Ehrenburg affonda quindi da questo passato le radici della sua propaganda antinazista, volta a enfatizzare la natura malvagia e devastatrice intrinseca nei tedeschi, nei prussiani, che a Nemmersdorf a prescindere dalla veridicità degli stupri, avevano iniziato a subire la giusta punizione per le loro violenze.   </w:t>
      </w:r>
    </w:p>
    <w:p w:rsidR="00611878" w:rsidRDefault="00672C55">
      <w:pPr>
        <w:spacing w:line="366" w:lineRule="auto"/>
        <w:ind w:left="561" w:right="707"/>
      </w:pPr>
      <w:r>
        <w:rPr>
          <w:sz w:val="24"/>
        </w:rPr>
        <w:t xml:space="preserve">L’aspetto più importante dell’eccidio di Nemmersdorf, infatti, è l’uso strumentale e propagandistico, ovvero ciò che avviene dopo. La comunicazione di entrambe le fazioni in guerra che viene basato sulle percezioni causate dalla realtà, generando reazioni opposte ben descritte da Marcello Flores </w:t>
      </w:r>
    </w:p>
    <w:p w:rsidR="00611878" w:rsidRDefault="00672C55">
      <w:pPr>
        <w:ind w:left="1438" w:right="706"/>
      </w:pPr>
      <w:r>
        <w:t>Il comportamento dei sovietici confermò le immagini di ferocia primitiva che, a partire dall’episodio di Nemmersdorf, erano state veicolate dalla propaganda nazista. Ciononostante, come suggeriscono le testimonianze, l’insistenza della propaganda ebbe l’effetto opposto: quando si verificarono i crimini sovietici su ampia scala i tedeschi furono duplicemente traumatizzati, in primo luogo perché credevano fossero esagerazioni propagandistiche e in secondo luogo perché ritenevano che simili atrocità fossero “impossibili”. La posizione di attesa delle donne, il loro percepirsi “al di fuori della guerra”, rese l’impatto delle violenze particolarmente sofferto; non a caso nei racconti, spesso venati da un forte sentimento di rabbia, non a caso nei racconti, i soldati russi venivano rappresentati utilizzando gli stereotipi della propaganda nazista: “asiatici”, “bestie” [Unmenschen], animali, orde “selvagge” [Bestien, Wilde, Tiere, Wilde Horde], “mongoli”, un appellativo quest’ultimo che ne sottolineava la provenienza geografica e nel contempo l’arretratezza e la barbarie.</w:t>
      </w:r>
      <w:r>
        <w:rPr>
          <w:vertAlign w:val="superscript"/>
        </w:rPr>
        <w:footnoteReference w:id="109"/>
      </w:r>
      <w:r>
        <w:t xml:space="preserve"> </w:t>
      </w:r>
    </w:p>
    <w:p w:rsidR="00611878" w:rsidRDefault="00672C55">
      <w:pPr>
        <w:spacing w:after="0" w:line="259" w:lineRule="auto"/>
        <w:ind w:left="566" w:right="0" w:firstLine="0"/>
        <w:jc w:val="left"/>
      </w:pPr>
      <w:r>
        <w:t xml:space="preserve">    </w:t>
      </w:r>
    </w:p>
    <w:p w:rsidR="00611878" w:rsidRDefault="00672C55">
      <w:pPr>
        <w:spacing w:line="366" w:lineRule="auto"/>
        <w:ind w:left="551" w:right="707" w:firstLine="461"/>
      </w:pPr>
      <w:r>
        <w:rPr>
          <w:sz w:val="24"/>
        </w:rPr>
        <w:t xml:space="preserve">L'Archivio fotografico federale tedesco racchiude decine di testimonianze della violenza di Nemmersdorf, che raffigurano corpi sparsi lungo il canale, case e fattorie distrutte. È però la foto più celebre a destare dubbi e perplessità sull'attendibilità di quel materiale: i corpi sono esposti ordinatamente in fila, le gonne delle donne sono tirate su fino al bacino, le calze tirate giù. Un'altra foto, che inquadra il corpo dilaniato di una giovane, mostra le parti intime  in primo piano. L'intento è, ovviamente, quello di mostrare le presunte violenze sessuali. </w:t>
      </w:r>
    </w:p>
    <w:p w:rsidR="00611878" w:rsidRDefault="00672C55" w:rsidP="009319E8">
      <w:pPr>
        <w:spacing w:line="366" w:lineRule="auto"/>
        <w:ind w:left="551" w:right="707" w:firstLine="461"/>
      </w:pPr>
      <w:r>
        <w:rPr>
          <w:sz w:val="24"/>
        </w:rPr>
        <w:lastRenderedPageBreak/>
        <w:t xml:space="preserve">I dubbi sull'attendibilità delle foto nascono dalla disposizione dei corpi che indica che sono stati spostati rispetto al luogo della morte, impedendo una obbiettiva ricostruzione dei fatti. Inoltre, nella società tedesca vigeva incontrastato il </w:t>
      </w:r>
      <w:r>
        <w:rPr>
          <w:i/>
          <w:sz w:val="24"/>
        </w:rPr>
        <w:t>Mutterkult</w:t>
      </w:r>
      <w:r>
        <w:rPr>
          <w:sz w:val="24"/>
        </w:rPr>
        <w:t xml:space="preserve">, che caratterizzava la figura della donna attraverso l’esaltazione della purezza, dell'illibatezza e della verginità delle giovani, per preservare e moltiplicare la razza e accudire il focolare. Come sostiene Kasten </w:t>
      </w:r>
      <w:r w:rsidR="009319E8">
        <w:t>durante il Socialismo il valore domestico ha assunto un valore maggiore.</w:t>
      </w:r>
      <w:r>
        <w:rPr>
          <w:sz w:val="24"/>
        </w:rPr>
        <w:t xml:space="preserve"> </w:t>
      </w:r>
    </w:p>
    <w:p w:rsidR="00611878" w:rsidRDefault="00672C55">
      <w:pPr>
        <w:spacing w:after="108" w:line="265" w:lineRule="auto"/>
        <w:ind w:left="96" w:right="708"/>
        <w:jc w:val="right"/>
      </w:pPr>
      <w:r>
        <w:rPr>
          <w:sz w:val="24"/>
        </w:rPr>
        <w:t xml:space="preserve">Perché mostrare questo momento di incapacità della Wehrmacht di proteggere le donne </w:t>
      </w:r>
    </w:p>
    <w:p w:rsidR="00611878" w:rsidRDefault="00672C55">
      <w:pPr>
        <w:spacing w:line="366" w:lineRule="auto"/>
        <w:ind w:left="561" w:right="707"/>
      </w:pPr>
      <w:r>
        <w:rPr>
          <w:sz w:val="24"/>
        </w:rPr>
        <w:t xml:space="preserve">tedesche e la purezza della razza? Forse per infangare un po' l'immagine dell'esercito compatto, indistruttibile e mandare un messaggio diretto ai generali, all'indomani del tentato colpo di Stato e segnare un punto nello scontro in atto tra Wehrmacht e SS. Mostrare, inoltre, un esercito debole ed inefficiente davanti alla devastazione dei sovietici aveva anche il compito di richiamare gli uomini alle proprie responsabilità, per difendere le donne. </w:t>
      </w:r>
    </w:p>
    <w:p w:rsidR="00611878" w:rsidRDefault="00672C55">
      <w:pPr>
        <w:spacing w:line="366" w:lineRule="auto"/>
        <w:ind w:left="561" w:right="707"/>
      </w:pPr>
      <w:r>
        <w:rPr>
          <w:sz w:val="24"/>
        </w:rPr>
        <w:t xml:space="preserve">  Bisogna considerare, infine, altre immagini analoghe: quelle di Piazzale Loreto. Anche in quell’occasione veniva esposto al mondo il corpo tumefatto di Claretta Petacci, eppure, nonostante il corpo fosse appeso a testa in giù e la forza di gravità attraente verso il basso, la gonna della donna è fissata tra le gambe della vittima, evitando l’esposizione pubblica dei genitali. Non si può certo affermare che la rabbia di quella folla abbia consentito in qualche modo di proteggere l'Amante. Anzi, come per tutte le amanti dei fascisti avrebbe avuto un senso insistere nell'esibizione ed umiliazione del sesso. </w:t>
      </w:r>
    </w:p>
    <w:p w:rsidR="00611878" w:rsidRDefault="00672C55">
      <w:pPr>
        <w:spacing w:line="366" w:lineRule="auto"/>
        <w:ind w:left="551" w:right="707" w:firstLine="461"/>
      </w:pPr>
      <w:r>
        <w:rPr>
          <w:sz w:val="24"/>
        </w:rPr>
        <w:t xml:space="preserve">Le vittime di Nemmersdorf, inoltre, avevano disubbidito all'ordine di fuga perché fisicamente erano impossibilitate ad affrontare un viaggio letale, erano la parte della società più improduttiva, quella incapace di combattere e di lavorare. Perché dunque a Nemmersdorf mostrare i corpi martoriati e le parti intime di persone considerate di fatto inferiori, se non per sottolineare la brutalità subita e l’inumanità degli slavi assalitori?  </w:t>
      </w:r>
    </w:p>
    <w:p w:rsidR="00611878" w:rsidRDefault="00672C55">
      <w:pPr>
        <w:spacing w:line="366" w:lineRule="auto"/>
        <w:ind w:left="551" w:right="707" w:firstLine="461"/>
      </w:pPr>
      <w:r>
        <w:rPr>
          <w:sz w:val="24"/>
        </w:rPr>
        <w:t xml:space="preserve">Il numero delle vittime, come si è già detto, è incerto, all’inizio si parla di decine, poi i numeri si fanno più confusi fino a determinare una cifra compresa tra I 26 e i 50, attestandosi infine a 61 ma nessuno ha mai potuto verificarlo effettivamente: i medici nazisti non hanno mai diffuso i dettagli delle approssimative autopsie svolte sui corpi.  </w:t>
      </w:r>
    </w:p>
    <w:p w:rsidR="00611878" w:rsidRDefault="00672C55">
      <w:pPr>
        <w:spacing w:line="366" w:lineRule="auto"/>
        <w:ind w:left="551" w:right="707" w:firstLine="461"/>
      </w:pPr>
      <w:r>
        <w:rPr>
          <w:sz w:val="24"/>
        </w:rPr>
        <w:t xml:space="preserve">Da quel momento, Nemmersdorf è entrato nell’immaginario collettivo come sinonimo di strage e di stupro di massa, come fosse lo spartiacque della guerra, più di Stalingrado, quasi fosse la tragedia maxima, il punto più alto raggiunto dalla brutalità della guerra, più di quello che possono significare per gli italiani le stragi di Sant’Anna di Stazzema, Marzabotto o le Fosse Ardeatine. </w:t>
      </w:r>
    </w:p>
    <w:p w:rsidR="00611878" w:rsidRDefault="00672C55">
      <w:pPr>
        <w:spacing w:line="366" w:lineRule="auto"/>
        <w:ind w:left="551" w:right="707" w:firstLine="461"/>
      </w:pPr>
      <w:r>
        <w:rPr>
          <w:sz w:val="24"/>
        </w:rPr>
        <w:lastRenderedPageBreak/>
        <w:t xml:space="preserve">L’importanza cruciale dell’episodio di Nemmersdorf è testimoniata anche dai resoconti raccolti nel Bundesarchiv di Bayreuth dove la sezione dell’Ost-Dok 1 è quasi interamente occupata dai racconti della caduta e riconquista del villaggio. Alcuni hanno preferito fornire le risposte al questionario per i profughi inviato dal ministero e si hanno testimonianze come quella di F. G. che non parla di stupri, ma solamente della strage: </w:t>
      </w:r>
    </w:p>
    <w:p w:rsidR="00611878" w:rsidRDefault="00672C55" w:rsidP="004B3A00">
      <w:pPr>
        <w:numPr>
          <w:ilvl w:val="0"/>
          <w:numId w:val="18"/>
        </w:numPr>
        <w:ind w:left="1661" w:right="706" w:hanging="233"/>
      </w:pPr>
      <w:r>
        <w:t xml:space="preserve">Balbersten, distretto di Gumbinnen </w:t>
      </w:r>
    </w:p>
    <w:p w:rsidR="00611878" w:rsidRDefault="00672C55" w:rsidP="004B3A00">
      <w:pPr>
        <w:numPr>
          <w:ilvl w:val="0"/>
          <w:numId w:val="18"/>
        </w:numPr>
        <w:spacing w:after="0" w:line="259" w:lineRule="auto"/>
        <w:ind w:left="1661" w:right="706" w:hanging="233"/>
      </w:pPr>
      <w:r>
        <w:t xml:space="preserve">19 Ottobre 1944 in direzione Walterkehmen, Stallupönen, Goldap, unità corazzate. </w:t>
      </w:r>
    </w:p>
    <w:p w:rsidR="00611878" w:rsidRDefault="00672C55" w:rsidP="004B3A00">
      <w:pPr>
        <w:numPr>
          <w:ilvl w:val="0"/>
          <w:numId w:val="18"/>
        </w:numPr>
        <w:ind w:left="1661" w:right="706" w:hanging="233"/>
      </w:pPr>
      <w:r>
        <w:t xml:space="preserve">Il nemico è venuto prima fino a Nemmersdorf: [illeggibile] si è fermato ed è stato respinto fino al limite di Walterkehmen. </w:t>
      </w:r>
    </w:p>
    <w:p w:rsidR="00611878" w:rsidRDefault="00672C55" w:rsidP="004B3A00">
      <w:pPr>
        <w:numPr>
          <w:ilvl w:val="0"/>
          <w:numId w:val="18"/>
        </w:numPr>
        <w:spacing w:after="3" w:line="265" w:lineRule="auto"/>
        <w:ind w:left="1661" w:right="706" w:hanging="233"/>
      </w:pPr>
      <w:r>
        <w:t xml:space="preserve">I Russi hanno occupato questo luogo definitivamente il 19 gennaio 1945. Lo spazio era difeso </w:t>
      </w:r>
    </w:p>
    <w:p w:rsidR="00611878" w:rsidRDefault="00672C55">
      <w:pPr>
        <w:ind w:left="1438" w:right="706"/>
      </w:pPr>
      <w:r>
        <w:t xml:space="preserve">dalla divisione Hermann Goering. </w:t>
      </w:r>
    </w:p>
    <w:p w:rsidR="00611878" w:rsidRDefault="00672C55" w:rsidP="004B3A00">
      <w:pPr>
        <w:numPr>
          <w:ilvl w:val="0"/>
          <w:numId w:val="18"/>
        </w:numPr>
        <w:ind w:left="1661" w:right="706" w:hanging="233"/>
      </w:pPr>
      <w:r>
        <w:t xml:space="preserve">La cascina Meinekat è stata incendiata completamente il 20 ottobre. Il fienile della cascina </w:t>
      </w:r>
    </w:p>
    <w:p w:rsidR="00611878" w:rsidRDefault="00672C55">
      <w:pPr>
        <w:ind w:left="1438" w:right="706"/>
      </w:pPr>
      <w:r>
        <w:t xml:space="preserve">Adomeit ha preso fuoco a causa dell’imprudenza dei soldati tedeschi tra novembre / dicembre. Gli edifici restanti e le cascine sono in conformità con le dichiarazioni di Stein commerciante di bestiame e sono stati dati alle fiamme nell’estate 1946. </w:t>
      </w:r>
    </w:p>
    <w:p w:rsidR="00611878" w:rsidRDefault="00672C55" w:rsidP="004B3A00">
      <w:pPr>
        <w:numPr>
          <w:ilvl w:val="0"/>
          <w:numId w:val="18"/>
        </w:numPr>
        <w:ind w:left="1661" w:right="706" w:hanging="233"/>
      </w:pPr>
      <w:r>
        <w:t xml:space="preserve">L’evacuazione non è stata organizzata. Alcuni dei residenti sono stati sopraffatti (ottobre 1944). </w:t>
      </w:r>
    </w:p>
    <w:p w:rsidR="00611878" w:rsidRDefault="00672C55">
      <w:pPr>
        <w:ind w:left="1438" w:right="706"/>
      </w:pPr>
      <w:r>
        <w:t xml:space="preserve">7.Nella notte del 20-21 Ottobre 1944 dai carri trainati da cavalli e a piedi. Direzione Nemmersdorf e Kieselkehmen, Sodehen Gardauen. Il rotolato sopra, i partecipanti potevano portare avanti in sicurezza la riconquista della città. La famiglia di Alfred Paretten da Gumbinnen che aveva vissuto con i contadini Gössing, fu fucilato dai russi insieme ai 2 bambini piccoli a Nemmersdorf il 21 Ottobre 1944 fucilato. La signorina Hildegard Bieber è morta dopo l'espulsione dal distretto di Osterode in Russia. </w:t>
      </w:r>
    </w:p>
    <w:p w:rsidR="00611878" w:rsidRDefault="00672C55" w:rsidP="004B3A00">
      <w:pPr>
        <w:numPr>
          <w:ilvl w:val="1"/>
          <w:numId w:val="18"/>
        </w:numPr>
        <w:ind w:right="706" w:hanging="221"/>
      </w:pPr>
      <w:r>
        <w:t xml:space="preserve">No </w:t>
      </w:r>
    </w:p>
    <w:p w:rsidR="00611878" w:rsidRDefault="00672C55" w:rsidP="004B3A00">
      <w:pPr>
        <w:numPr>
          <w:ilvl w:val="1"/>
          <w:numId w:val="18"/>
        </w:numPr>
        <w:ind w:right="706" w:hanging="221"/>
      </w:pPr>
      <w:r>
        <w:t xml:space="preserve">territorio russo </w:t>
      </w:r>
    </w:p>
    <w:p w:rsidR="00611878" w:rsidRDefault="00672C55" w:rsidP="004B3A00">
      <w:pPr>
        <w:numPr>
          <w:ilvl w:val="1"/>
          <w:numId w:val="18"/>
        </w:numPr>
        <w:ind w:right="706" w:hanging="221"/>
      </w:pPr>
      <w:r>
        <w:t xml:space="preserve">A Nemmersdorf le famose atrocità. Nella località il capo della Gendarmeria Schmiedt ha ucciso i coniugi Schublaukenund Warter dal distretto di Gumbinnen. 11 I campi di lavoro erano in Nemmersdorf, Staneitschen, Brakupönen. </w:t>
      </w:r>
    </w:p>
    <w:p w:rsidR="00611878" w:rsidRDefault="00672C55" w:rsidP="004B3A00">
      <w:pPr>
        <w:numPr>
          <w:ilvl w:val="1"/>
          <w:numId w:val="19"/>
        </w:numPr>
        <w:ind w:right="706" w:hanging="331"/>
      </w:pPr>
      <w:r>
        <w:t xml:space="preserve">No </w:t>
      </w:r>
    </w:p>
    <w:p w:rsidR="00611878" w:rsidRDefault="00672C55" w:rsidP="004B3A00">
      <w:pPr>
        <w:numPr>
          <w:ilvl w:val="1"/>
          <w:numId w:val="19"/>
        </w:numPr>
        <w:ind w:right="706" w:hanging="331"/>
      </w:pPr>
      <w:r>
        <w:t>Nemmersdorf. Inizio lettere di Pastor Moritz, Gumbinnen</w:t>
      </w:r>
      <w:r w:rsidR="006B4DEE">
        <w:rPr>
          <w:rStyle w:val="Rimandonotaapidipagina"/>
        </w:rPr>
        <w:footnoteReference w:id="110"/>
      </w:r>
      <w:r>
        <w:t xml:space="preserve">      </w:t>
      </w:r>
    </w:p>
    <w:p w:rsidR="00611878" w:rsidRPr="00593A53" w:rsidRDefault="00672C55">
      <w:pPr>
        <w:spacing w:after="112" w:line="259" w:lineRule="auto"/>
        <w:ind w:left="566" w:right="0" w:firstLine="0"/>
        <w:jc w:val="left"/>
        <w:rPr>
          <w:sz w:val="2"/>
          <w:szCs w:val="2"/>
        </w:rPr>
      </w:pPr>
      <w:r w:rsidRPr="00593A53">
        <w:rPr>
          <w:sz w:val="2"/>
          <w:szCs w:val="2"/>
        </w:rPr>
        <w:lastRenderedPageBreak/>
        <w:t xml:space="preserve"> </w:t>
      </w:r>
    </w:p>
    <w:p w:rsidR="00611878" w:rsidRPr="006B4DEE" w:rsidRDefault="00672C55" w:rsidP="006B4DEE">
      <w:pPr>
        <w:spacing w:after="172" w:line="366" w:lineRule="auto"/>
        <w:ind w:left="551" w:right="707" w:firstLine="461"/>
      </w:pPr>
      <w:r>
        <w:rPr>
          <w:sz w:val="24"/>
        </w:rPr>
        <w:t xml:space="preserve">Un aspetto molto importante di questa testimonianza è che, oltre a non fare alcun riferimento alle violenze sessuali, si parla di </w:t>
      </w:r>
      <w:r>
        <w:rPr>
          <w:i/>
          <w:sz w:val="24"/>
        </w:rPr>
        <w:t>bekannten Greueltaten</w:t>
      </w:r>
      <w:r>
        <w:rPr>
          <w:sz w:val="24"/>
        </w:rPr>
        <w:t xml:space="preserve">, ovvero celebri atrocità, senza, però mai entrare nel dettaglio. Pur rispondendo a un questionario molto generico non si accenna solamente alla settima risposta alle violenze dei russi nei giorni dell’eccidio di Nemmersdorf, soffermandosi sull’omicidio di una coppia avvenuto per mano di un gendarme tedesco e gli incendi alle cascine appiccati dai russi nel 1946. </w:t>
      </w:r>
    </w:p>
    <w:p w:rsidR="00611878" w:rsidRDefault="00672C55">
      <w:pPr>
        <w:spacing w:line="366" w:lineRule="auto"/>
        <w:ind w:left="551" w:right="707" w:firstLine="461"/>
      </w:pPr>
      <w:r>
        <w:rPr>
          <w:sz w:val="24"/>
        </w:rPr>
        <w:t xml:space="preserve">L’episodio di Nemmersdorf serve a mostrare ai soldati tedeschi che la violenza è la normalità durante un conflitto, ma i sovietici la esercitano con una brutalità animale. I titoli dei giornali di regime già prefiguravano uno dei temi portanti della propaganda antisovietica da </w:t>
      </w:r>
    </w:p>
    <w:p w:rsidR="00611878" w:rsidRDefault="00672C55">
      <w:pPr>
        <w:spacing w:line="366" w:lineRule="auto"/>
        <w:ind w:left="561" w:right="707"/>
      </w:pPr>
      <w:r>
        <w:rPr>
          <w:sz w:val="24"/>
        </w:rPr>
        <w:t xml:space="preserve">Nemmersdorf in poi: i soldati dell’Armata Rossa erano </w:t>
      </w:r>
      <w:r>
        <w:rPr>
          <w:i/>
          <w:sz w:val="24"/>
        </w:rPr>
        <w:t>bestien</w:t>
      </w:r>
      <w:r>
        <w:rPr>
          <w:sz w:val="24"/>
        </w:rPr>
        <w:t xml:space="preserve">. Oltre alla componente razziale, che faceva dei russi degli </w:t>
      </w:r>
      <w:r>
        <w:rPr>
          <w:i/>
          <w:sz w:val="24"/>
        </w:rPr>
        <w:t>Untermenschen</w:t>
      </w:r>
      <w:r>
        <w:rPr>
          <w:sz w:val="24"/>
        </w:rPr>
        <w:t xml:space="preserve">, sottouomini, si aggiunge la caratteristica animale, di istintività feroce, che poco ha a che fare con la razionalità e l’intelligenza tipica degli uomini. Come sostiene Rudolf Grenz, Nemmersdorf diventa "luogo e concetto della disumanità", perché l’episodio diventa la catarsi di un popolo, l’onta che non si laverà mai ed è per questo che i volantini di propaganda nazista si riempiono di una frase, un concetto, che viene ripetuto come fosse un ritornello da marchiare a fuoco nella memoria: </w:t>
      </w:r>
      <w:r>
        <w:rPr>
          <w:i/>
          <w:sz w:val="24"/>
        </w:rPr>
        <w:t>Rache für Nemmersdorf</w:t>
      </w:r>
      <w:r>
        <w:rPr>
          <w:sz w:val="24"/>
        </w:rPr>
        <w:t xml:space="preserve">, vendetta per Nemmersdorf. Questo aspetto è confermato anche da Christopher Duffy nel suo saggio </w:t>
      </w:r>
      <w:r>
        <w:rPr>
          <w:i/>
          <w:sz w:val="24"/>
        </w:rPr>
        <w:t>Red Storm on the Third Reich</w:t>
      </w:r>
      <w:r>
        <w:rPr>
          <w:sz w:val="24"/>
        </w:rPr>
        <w:t xml:space="preserve">  </w:t>
      </w:r>
    </w:p>
    <w:p w:rsidR="00611878" w:rsidRDefault="00672C55">
      <w:pPr>
        <w:ind w:left="1428" w:right="706" w:firstLine="458"/>
      </w:pPr>
      <w:r>
        <w:t xml:space="preserve">I massacri, gli stupri e i saccheggi contribuiscono molto a marcare il declino di disciplina evidente negli ultimi dieci giorni di gennaio, quando i Russi penetrano in territorio tedesco. […]. </w:t>
      </w:r>
    </w:p>
    <w:p w:rsidR="00611878" w:rsidRDefault="00672C55">
      <w:pPr>
        <w:ind w:left="1428" w:right="706" w:firstLine="458"/>
      </w:pPr>
      <w:r>
        <w:t xml:space="preserve">Le barbarie dei Russi erano così importanti perché rinsaldava la resistenza tedesca e ha contribuito alla sopravvivenza del Reich fino alla prima estate del 1945. Il modus operandi dei Russi nei confronti dei civili tedeschi è divenuto celebre dopo la riconquista da parte dei tedeschi del piccolo villaggio di Nemmersdorf in Prussia Orientale, che fu teatro di un massacro di civili nell’ottobre del 1944. </w:t>
      </w:r>
    </w:p>
    <w:p w:rsidR="00611878" w:rsidRDefault="00672C55">
      <w:pPr>
        <w:spacing w:after="28"/>
        <w:ind w:left="1428" w:right="706" w:firstLine="458"/>
      </w:pPr>
      <w:r>
        <w:t>L’esperienza si è fatta nuovamente viva in ogni luogo del fronte orientale e ogni ocasione provocava voglia di vendetta nell’esercito tedesco.</w:t>
      </w:r>
      <w:r>
        <w:rPr>
          <w:vertAlign w:val="superscript"/>
        </w:rPr>
        <w:footnoteReference w:id="111"/>
      </w:r>
      <w:r>
        <w:t xml:space="preserve">    </w:t>
      </w:r>
    </w:p>
    <w:p w:rsidR="00611878" w:rsidRPr="00593A53" w:rsidRDefault="00672C55">
      <w:pPr>
        <w:spacing w:after="115" w:line="259" w:lineRule="auto"/>
        <w:ind w:left="1028" w:right="0" w:firstLine="0"/>
        <w:jc w:val="left"/>
        <w:rPr>
          <w:sz w:val="2"/>
          <w:szCs w:val="2"/>
        </w:rPr>
      </w:pPr>
      <w:r w:rsidRPr="00593A53">
        <w:rPr>
          <w:sz w:val="2"/>
          <w:szCs w:val="2"/>
        </w:rPr>
        <w:lastRenderedPageBreak/>
        <w:t xml:space="preserve"> </w:t>
      </w:r>
    </w:p>
    <w:p w:rsidR="00611878" w:rsidRDefault="00672C55">
      <w:pPr>
        <w:spacing w:line="366" w:lineRule="auto"/>
        <w:ind w:left="561" w:right="707"/>
      </w:pPr>
      <w:r>
        <w:rPr>
          <w:sz w:val="24"/>
        </w:rPr>
        <w:t xml:space="preserve"> Il piccolo paese della Russia Bianca diventa quindi un emblema ideologizzato, un ritornello da ripetere per infondersi coraggio, per trovare un motivo per rimanere laggiù, lontano dagli affetti più cari, per rischiare la vita ogni minuto, aspettando che arrivi l'ordine di contrattaccare, di poter mettere in campo l'arma segreta. Ciononostante, dopo l’episodio di Nemmersdorf il flusso di profughi che tentavano di raggiungere l’occidente si è intensificato, come sottolinea lo scrittore Arno Surminski, classe 1934: </w:t>
      </w:r>
    </w:p>
    <w:p w:rsidR="00611878" w:rsidRDefault="00672C55">
      <w:pPr>
        <w:ind w:left="1438" w:right="706"/>
      </w:pPr>
      <w:r>
        <w:t xml:space="preserve">In fondo è stato proprio l’episodio di Nemmersdorf a fare assumere all’esodo dei profughi quelle dimensioni. Altrimenti molti si sarebbero detti: “Ma sì, che senso ha mettersi in strada in pieno inverno! Rimaniamo a casa, e succeda pure quel che deve succedere”. Ma l’episodio di Nemmersdorf ha impaurito tutti e ha indotto anche gli incerti a scappare, perché si sono convinti che, altrimenti, avrebbero fatto una brutta fine. </w:t>
      </w:r>
    </w:p>
    <w:p w:rsidR="00611878" w:rsidRDefault="00672C55">
      <w:pPr>
        <w:spacing w:after="138" w:line="259" w:lineRule="auto"/>
        <w:ind w:left="566" w:right="0" w:firstLine="0"/>
        <w:jc w:val="left"/>
      </w:pPr>
      <w:r>
        <w:rPr>
          <w:sz w:val="24"/>
        </w:rPr>
        <w:t xml:space="preserve"> </w:t>
      </w:r>
    </w:p>
    <w:p w:rsidR="00611878" w:rsidRDefault="00672C55">
      <w:pPr>
        <w:spacing w:line="366" w:lineRule="auto"/>
        <w:ind w:left="551" w:right="707" w:firstLine="461"/>
      </w:pPr>
      <w:r>
        <w:rPr>
          <w:sz w:val="24"/>
        </w:rPr>
        <w:t>L’importanza del ruolo esercitato dalla stampa dei paesi neutrali diventa assolutamente centrale per dipingere la Germania come vittima di una brutale aggressione. Goebbels aveva capito subito che la chiave di volta nella comunicazione verso l’esterno e verso l’interno del Paese avrebbe aumentato la forza persuasiva se la narrazione fosse arrivata da punti di vista estranei al regime. Per sviluppare una proficua collaborazione con i giornalisti esteri, nonostante non venga allentata la morsa della censura di Stato, le condizioni di vita garantite loro nel Reich erano migliori rispetto a quelle di cui godevano i corrispondenti da Parigi o Londra. Il principio ispiratore di tutta la macchina nazista era che la propaganda dovesse essere lo strumento per forgiare e provocare una modifica psicologica nel cittadino e nel lettore.</w:t>
      </w:r>
      <w:r>
        <w:rPr>
          <w:sz w:val="24"/>
          <w:vertAlign w:val="superscript"/>
        </w:rPr>
        <w:footnoteReference w:id="112"/>
      </w:r>
      <w:r>
        <w:rPr>
          <w:sz w:val="24"/>
        </w:rPr>
        <w:t xml:space="preserve">  </w:t>
      </w:r>
    </w:p>
    <w:p w:rsidR="00611878" w:rsidRDefault="00672C55">
      <w:pPr>
        <w:spacing w:line="366" w:lineRule="auto"/>
        <w:ind w:left="551" w:right="707" w:firstLine="461"/>
      </w:pPr>
      <w:r>
        <w:rPr>
          <w:sz w:val="24"/>
        </w:rPr>
        <w:t xml:space="preserve">Oltre che della propaganda a mezzo stampa, i nazisti si avvalsero anche del più potente mezzo di comunicazione dell’epoca: il cinematografo. Tutti coloro che si recavano al cinematografo ricevevano notizie sulla marcia inarrestabile della Wehrmacht, per la gloria della Germania e del suo Führer. Il video era girato dagli stessi militari che, ovviamente, inquadravano le case, le persone e le vittime secondo la propria prospettiva ed il messaggio che volevano inviare. </w:t>
      </w:r>
    </w:p>
    <w:p w:rsidR="00611878" w:rsidRDefault="00672C55">
      <w:pPr>
        <w:spacing w:line="366" w:lineRule="auto"/>
        <w:ind w:left="551" w:right="707" w:firstLine="461"/>
      </w:pPr>
      <w:r>
        <w:rPr>
          <w:sz w:val="24"/>
        </w:rPr>
        <w:lastRenderedPageBreak/>
        <w:t>Come sottolineato da Umberto Curi, la rappresentazione filmica si pone in continuità con il mito classico nel quale tutto è compiuto e altamente simbolico che viene utilizzato al fine di condizionare in modo determinante la percezione e il pensiero dell’opinione pubblica.</w:t>
      </w:r>
      <w:r>
        <w:rPr>
          <w:sz w:val="24"/>
          <w:vertAlign w:val="superscript"/>
        </w:rPr>
        <w:footnoteReference w:id="113"/>
      </w:r>
      <w:r>
        <w:rPr>
          <w:sz w:val="24"/>
        </w:rPr>
        <w:t xml:space="preserve"> </w:t>
      </w:r>
    </w:p>
    <w:p w:rsidR="00611878" w:rsidRDefault="00672C55">
      <w:pPr>
        <w:spacing w:line="366" w:lineRule="auto"/>
        <w:ind w:left="551" w:right="707" w:firstLine="461"/>
      </w:pPr>
      <w:r>
        <w:rPr>
          <w:sz w:val="24"/>
        </w:rPr>
        <w:t xml:space="preserve">Tutto questo, ovviamente, ha un effetto devastante sulle popolazioni: la voce di un’avanzata sovietica generava automaticamente una psicosi ed una fuga collettiva: </w:t>
      </w:r>
    </w:p>
    <w:p w:rsidR="00611878" w:rsidRDefault="00672C55">
      <w:pPr>
        <w:ind w:left="1438" w:right="706"/>
      </w:pPr>
      <w:r>
        <w:t>La gente entra nel panico quando si sente gridare che “i russi sono vicini”. Poi arriva un uomo a cavallo e urla “Mettetevi in salvo voi che potete. I russi saranno qui tra mezz’ora!”. Allora ci piomba addosso una paura che ci sopraffà, ci paralizza.” Ci furono scene di panico: la gente metteva insieme la roba che poteva, la caricava su carretti a mano, su slitte, su carri tirati da cavalli, lasciava la casa, abbandonava tutti i propri beni, il bestiame, e arrancava verso l’ignoto. I soldati tedeschi, mentre si ritiravano, arraffavano quel che gli capitava sottomano e lo stipavano sui camion, uccidendo gli animali lasciati a vagare nei campi.</w:t>
      </w:r>
      <w:r>
        <w:rPr>
          <w:vertAlign w:val="superscript"/>
        </w:rPr>
        <w:footnoteReference w:id="114"/>
      </w:r>
      <w:r>
        <w:t xml:space="preserve"> </w:t>
      </w:r>
    </w:p>
    <w:p w:rsidR="00611878" w:rsidRPr="007418B3" w:rsidRDefault="00672C55">
      <w:pPr>
        <w:spacing w:after="0" w:line="259" w:lineRule="auto"/>
        <w:ind w:left="1419" w:right="0" w:firstLine="0"/>
        <w:jc w:val="left"/>
        <w:rPr>
          <w:sz w:val="2"/>
          <w:szCs w:val="2"/>
        </w:rPr>
      </w:pPr>
      <w:r w:rsidRPr="007418B3">
        <w:rPr>
          <w:sz w:val="2"/>
          <w:szCs w:val="2"/>
        </w:rPr>
        <w:t xml:space="preserve"> </w:t>
      </w:r>
    </w:p>
    <w:p w:rsidR="00611878" w:rsidRDefault="00672C55">
      <w:pPr>
        <w:spacing w:after="33" w:line="366" w:lineRule="auto"/>
        <w:ind w:left="561" w:right="707"/>
      </w:pPr>
      <w:r>
        <w:rPr>
          <w:sz w:val="24"/>
        </w:rPr>
        <w:t xml:space="preserve">Durante l’avanzata dell’Armata Rossa verso occidente, la violenza sessuale diventa una vera e propria arma a doppia lama: la prima lama è quella psicologica fomentata dalla propaganda e dai racconti di chi man mano raggiungeva città e villaggi che poi a loro volta vengono travolti dall’esercito nemico, la seconda è quella di vivere lo stupro in prima persona come spettatore o come vittima, per diventare poi a propria volta narratori, come sostienuto anche da Matteo Ermacora e Serena Tiepolato </w:t>
      </w:r>
    </w:p>
    <w:p w:rsidR="00611878" w:rsidRDefault="00672C55">
      <w:pPr>
        <w:spacing w:after="31"/>
        <w:ind w:left="1438" w:right="706"/>
      </w:pPr>
      <w:r>
        <w:rPr>
          <w:sz w:val="24"/>
        </w:rPr>
        <w:t xml:space="preserve"> </w:t>
      </w:r>
      <w:r>
        <w:t>Vivere “in prima persona” le violenze e osservare durante la marcia “le immagini di orrore” – carri travolti, bestiame abbandonato e ucciso, corpi insepolti, donne violentate ed uccise lungo i bordi delle strade, uteri sfregiati dalle baionette ancora conficcate costituirono un vissuto comune che fu condiviso e che contribuì alla nascita di una nuova “comunità di sentire” tutta al femminile. Tale condivisione si rivela vitale non solo perché fornì sostegno psicologico alle vittime, dando loro la forza morale di raccontare le proprie dolorose vicende prima che venissero relegate nella dimensione privata del ricordo, ma anche perché – come riferiscono numerosi episodi – le donne si aiutarono reciprocamente nel difficile momento della fuga e delle incursioni dei russi. Fu proprio nei boschi che si crearono gruppi di donne che cercavano di informarsi sulla situazione nei villaggi, capire se era opportuno affrontare nuovi trasferimenti. L’uccisione dei parenti, la separazione dai familiari veniva parzialmente compensata con l’instaurarsi di legami di solidarietà tra donne; analogamente gli spostamenti venivano effettuati collettivamente e così pure venivano cercate nuove sistemazioni comuni. Il gruppo di donne, accompagnato dai bambini, quando nutrito, fungeva anche da elemento di intimidazione contro eventuali violenze da parte di singoli soldati e assumeva la funzione di nuova comunità, luogo di comprensione e di sostegno. La formazione di gruppi femminili, la reciproca ospitalità dava loro un maggiore senso di sicurezza anche se ci  non sempre permetteva di evitare le violenze.</w:t>
      </w:r>
      <w:r>
        <w:rPr>
          <w:vertAlign w:val="superscript"/>
        </w:rPr>
        <w:footnoteReference w:id="115"/>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line="259" w:lineRule="auto"/>
        <w:ind w:left="1419" w:right="0" w:firstLine="0"/>
        <w:jc w:val="left"/>
      </w:pPr>
      <w:r>
        <w:t xml:space="preserve"> </w:t>
      </w:r>
    </w:p>
    <w:p w:rsidR="00611878" w:rsidRDefault="00672C55">
      <w:pPr>
        <w:spacing w:line="366" w:lineRule="auto"/>
        <w:ind w:left="561" w:right="707"/>
      </w:pPr>
      <w:r>
        <w:rPr>
          <w:sz w:val="24"/>
        </w:rPr>
        <w:lastRenderedPageBreak/>
        <w:t xml:space="preserve">È proprio la costituzione di quella “comunità di sentire” lo scopo della propaganda nazista sulla strage di Nemmersdorf. La diffusione dell’eccidio crea partecipazione, commozione e unità nello sdegno e nel dolore. La comunità necessita, però, dell’omogeneità dei ricordi da parte di tutti affinché possano essere veramente patrimoni di tutti. La propaganda quindi crea questa amalgama e per farlo non ha bisogno di notizie vere, ma plausibili, credibili.   </w:t>
      </w:r>
    </w:p>
    <w:p w:rsidR="00611878" w:rsidRDefault="00672C55">
      <w:pPr>
        <w:spacing w:after="1" w:line="259" w:lineRule="auto"/>
        <w:ind w:left="0" w:right="0" w:firstLine="0"/>
        <w:jc w:val="left"/>
        <w:rPr>
          <w:b/>
          <w:sz w:val="24"/>
        </w:rPr>
      </w:pPr>
      <w:r>
        <w:rPr>
          <w:b/>
          <w:sz w:val="24"/>
        </w:rPr>
        <w:t xml:space="preserve"> </w:t>
      </w:r>
    </w:p>
    <w:p w:rsidR="00593A53" w:rsidRDefault="00593A53">
      <w:pPr>
        <w:spacing w:after="1" w:line="259" w:lineRule="auto"/>
        <w:ind w:left="0" w:right="0" w:firstLine="0"/>
        <w:jc w:val="left"/>
      </w:pPr>
    </w:p>
    <w:p w:rsidR="00611878" w:rsidRDefault="00672C55">
      <w:pPr>
        <w:pStyle w:val="Titolo3"/>
        <w:spacing w:after="0"/>
        <w:ind w:left="1038"/>
      </w:pPr>
      <w:r>
        <w:t>2)</w:t>
      </w:r>
      <w:r>
        <w:rPr>
          <w:rFonts w:ascii="Arial" w:eastAsia="Arial" w:hAnsi="Arial" w:cs="Arial"/>
        </w:rPr>
        <w:t xml:space="preserve"> </w:t>
      </w:r>
      <w:r>
        <w:t xml:space="preserve">La propaganda </w:t>
      </w:r>
    </w:p>
    <w:p w:rsidR="00611878" w:rsidRDefault="00672C55">
      <w:pPr>
        <w:spacing w:after="112"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Hannah Arendt nel suo libro </w:t>
      </w:r>
      <w:r>
        <w:rPr>
          <w:i/>
          <w:sz w:val="24"/>
        </w:rPr>
        <w:t>Alle origini del totalitarismo</w:t>
      </w:r>
      <w:r>
        <w:rPr>
          <w:sz w:val="24"/>
        </w:rPr>
        <w:t xml:space="preserve">, identifica la massa come destinataria principale della propaganda, poiché quelle che lei definisce élite e plebe, sono coinvolte già nell’impeto iniziale del nuovo movimento </w:t>
      </w:r>
    </w:p>
    <w:p w:rsidR="00611878" w:rsidRDefault="00672C55">
      <w:pPr>
        <w:ind w:left="1428" w:right="706" w:firstLine="358"/>
      </w:pPr>
      <w:r>
        <w:t xml:space="preserve">La conseguente persecuzione di ogni forma superiore di attività intellettuale da parte dei moderni capi delle masse ha ragioni più profonde della naturale avversione per ciò che essi non capiscono. Il dominio totale non consente libertà d’iniziativa in nessun settore della vita, non può ammettere una attività che non sia interamente prevedibile. Ecco perché i regimi totalitari sostituiscono invariabilmente le persone di talento, a prescindere dalle loro simpatie. Con eccellenti imbecilli la cui mancanza di intelligenza e di creatività offre dopo tutto la migliore garanzia di sicurezza. […]. </w:t>
      </w:r>
    </w:p>
    <w:p w:rsidR="00611878" w:rsidRDefault="00672C55">
      <w:pPr>
        <w:ind w:left="1428" w:right="706" w:firstLine="358"/>
      </w:pPr>
      <w:r>
        <w:t>Quando un regime detiene il controllo assoluto, sostituisce la propaganda con l’indottrinamento e impiega la violenza non tanto per spaventare la gente quanto per tradurre in realtà le sue dottrine ideologiche e le menzogne pratiche che ne derivano.</w:t>
      </w:r>
      <w:r>
        <w:rPr>
          <w:vertAlign w:val="superscript"/>
        </w:rPr>
        <w:footnoteReference w:id="116"/>
      </w:r>
      <w:r>
        <w:t xml:space="preserve"> </w:t>
      </w:r>
    </w:p>
    <w:p w:rsidR="00611878" w:rsidRDefault="00672C55">
      <w:pPr>
        <w:spacing w:after="112"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La propaganda è il sale di ogni regime dittatoriale. I nuovi mezzi di comunicazione, soprattutto radio e cinegiornali, cominciavano ad essere strumenti di massa, usati da tutti, al di là del grado di istruzione degli spettatori. Oltre a questi mezzi di diffusione erano, comunque, molto efficaci i manifesti affissi alle pareti, i volantini ciclostilati e distribuiti, contenenti messaggi semplici, diretti e di facile comprensione. Il tutto per convincere, cementificare i principi del Capo e del Regime. La propaganda nazista, impregnata anche del modello pubblicitario statunitense, dava alle affermazioni capacità di predizione. Per questo, il ritratto dei soldati dell’Armata Rossa come mostri stupratori non è stato messo mai in discussione creando un’atmosfera lugubremente fatalista. Secondo la sua analisi, l’azione di diffusione della propaganda ha come obbiettivo soprattutto degli interlocutori esterni: </w:t>
      </w:r>
    </w:p>
    <w:p w:rsidR="00611878" w:rsidRDefault="00672C55">
      <w:pPr>
        <w:spacing w:after="34"/>
        <w:ind w:left="1438" w:right="706"/>
      </w:pPr>
      <w:r>
        <w:t xml:space="preserve">Poiché agiscono in un mondo che non è totalitario, i movimenti totalitari sono costretti a servirsi di quella che comunemente considerata propaganda. Ma tale propaganda si rivolge sempre a una sfera esterna, gli strati non totalitari della popolazione in patria o i paesi stranieri. […]. A questo proposito i discorsi di Hitler ai suoi generali durante la guerra sono un </w:t>
      </w:r>
      <w:r>
        <w:lastRenderedPageBreak/>
        <w:t>modello di propaganda, caratterizzato principalmente dalle madornali bugie con cui il Führer intratteneva i suoi ospiti nel tentativo di conquistarli</w:t>
      </w:r>
      <w:r>
        <w:rPr>
          <w:vertAlign w:val="superscript"/>
        </w:rPr>
        <w:footnoteReference w:id="117"/>
      </w:r>
      <w:r>
        <w:t xml:space="preserve"> </w:t>
      </w:r>
    </w:p>
    <w:p w:rsidR="00611878" w:rsidRDefault="00672C55">
      <w:pPr>
        <w:spacing w:after="0"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Con lo scoppio della guerra si assiste a quella che Ian Kershav definisce la  “esportazione della violenza di sistema”, più intensa e meno mirata rispetto a quella che si perpetrava all’interno dei confini nazionali, una repressione terroristica che, con il protrarsi della guerra causa al regime una grande perdita di credito. </w:t>
      </w:r>
    </w:p>
    <w:p w:rsidR="00611878" w:rsidRDefault="00672C55">
      <w:pPr>
        <w:spacing w:line="366" w:lineRule="auto"/>
        <w:ind w:left="551" w:right="707" w:firstLine="358"/>
      </w:pPr>
      <w:r>
        <w:rPr>
          <w:sz w:val="24"/>
        </w:rPr>
        <w:t xml:space="preserve">Negli ultimi anni di guerra, il nemico extracomunitario non bastava più. Gli ebrei di tutte le terre del Reich erano confinati nei ghetti, nascosti nei rifugi o rinchiusi nei campi di sterminio. Essi erano, dunque, insufficienti per motivare i militari a combattere e i civili a resistere, riservando tutte le proprie energie all’economia di guerra. Anche i soldati provenienti dalle zone orientali del Reich ed impegnati sul fronte occidentale erano demotivati a combattere perché preoccupati di cosa potesse accadere alle donne che avevano lasciato a casa. Quest’ansia crescente è testimoniata da un telegramma inviato il 26 gennaio 1945 da Rolf d’Alquen, Hauptsturmführer delle SS, che lavorava nella propaganda del gruppo d’armata impegnato nell’Alto Reno, a suo fratello, direttore del settimanale delle SS “Das Schwarze Korps” a Berlino: </w:t>
      </w:r>
    </w:p>
    <w:p w:rsidR="00611878" w:rsidRDefault="00672C55">
      <w:pPr>
        <w:spacing w:after="40"/>
        <w:ind w:left="1438" w:right="706"/>
      </w:pPr>
      <w:r>
        <w:t>Lo stato d’animo delle truppe combattenti è diventato più serio e nervoso, per quello che accade sul fronte est. Se la situazione peggiorerà nei prossimi giorni, si può essere certi che lo spirito combattivo delle truppe sarà paralizzato da preoccupazioni alle quali non si potrà più far fronte. [E’ possibile] una parola incoraggiante dal quartier generale del Führer, che potesse annullare tutto ciò che si è sopportato, tutti gli insuccessi, e produrre il decisivo cambiamento sui fronti?</w:t>
      </w:r>
      <w:r w:rsidR="006B4DEE">
        <w:rPr>
          <w:rStyle w:val="Rimandonotaapidipagina"/>
        </w:rPr>
        <w:footnoteReference w:id="118"/>
      </w:r>
      <w:r>
        <w:t xml:space="preserve"> </w:t>
      </w:r>
    </w:p>
    <w:p w:rsidR="00611878" w:rsidRDefault="00672C55">
      <w:pPr>
        <w:spacing w:after="112"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A questo scopo si studiava anche ciò che avveniva negli altri paesi, come dimostra una lettera di E. N. datata 19 dicembre 1944 </w:t>
      </w:r>
    </w:p>
    <w:p w:rsidR="00611878" w:rsidRDefault="00672C55">
      <w:pPr>
        <w:pStyle w:val="Titolo4"/>
        <w:ind w:left="1786" w:right="539"/>
      </w:pPr>
      <w:r>
        <w:t>Annuncio per la signorina Pape, la stampa – e l’ufficio propaganda</w:t>
      </w:r>
      <w:r>
        <w:rPr>
          <w:u w:val="none"/>
        </w:rPr>
        <w:t xml:space="preserve"> </w:t>
      </w:r>
    </w:p>
    <w:p w:rsidR="00611878" w:rsidRDefault="00672C55">
      <w:pPr>
        <w:ind w:left="1428" w:right="706" w:firstLine="358"/>
      </w:pPr>
      <w:r>
        <w:t>Per esaudire la richiesta del Suo desiderio invio il materiale da parte mie sull’esperienza dei giovani in Russia e Inghilterra. Il materiale sull’Unione Sovietica che ho ricevuto in pochi giorni. Il resoconto dall’Inghilterra del ministero per la propaganda comunica che sostiene il materiale sull’ispezione nel dipartimento esteri, Friedrichstr. 194, stanza 236 per la disponibilità del sig. H. Prego di rivolgersi al sig. Scritto in calce a questa mia</w:t>
      </w:r>
      <w:r w:rsidR="006B4DEE">
        <w:rPr>
          <w:rStyle w:val="Rimandonotaapidipagina"/>
        </w:rPr>
        <w:footnoteReference w:id="119"/>
      </w:r>
      <w:r>
        <w:t>.</w:t>
      </w:r>
    </w:p>
    <w:p w:rsidR="00611878" w:rsidRDefault="00672C55">
      <w:pPr>
        <w:spacing w:after="112" w:line="259" w:lineRule="auto"/>
        <w:ind w:left="924" w:right="0" w:firstLine="0"/>
        <w:jc w:val="left"/>
      </w:pPr>
      <w:r>
        <w:rPr>
          <w:sz w:val="24"/>
        </w:rPr>
        <w:t xml:space="preserve"> </w:t>
      </w:r>
    </w:p>
    <w:p w:rsidR="00611878" w:rsidRDefault="00672C55">
      <w:pPr>
        <w:spacing w:line="366" w:lineRule="auto"/>
        <w:ind w:left="551" w:right="707" w:firstLine="358"/>
      </w:pPr>
      <w:r>
        <w:rPr>
          <w:sz w:val="24"/>
        </w:rPr>
        <w:lastRenderedPageBreak/>
        <w:t xml:space="preserve">In un regime dittatoriale di questo tipo si innalzano a livello esponenziale anche le condanne a morte emesse ed eseguite dalla corte marziale. Se nei 4 anni e mezzo circa della Prima Guerra Mondiale i tribunali tedeschi avevano emesso 150 condanne capitali (delle quali solo 48 erano state eseguite), durante gli oltre 5 anni della Seconda Guerra Mondiale 30.000 soldati tedeschi sono stati condannati a morte, di cui 20.000 effettivamente uccisi. Si potrebbe pensare che l’innalzamento della cifra possa essere dovuto alla “guerra totale” senza confini nazionali, che caratterizza il secondo conflitto, ma, a fronte delle 40 esecuzioni inglesi, 103 francesi e 146 statunitensi, si comprende facilmente quanto i numeri tedeschi siano frutto di un’isteria dittatoriale e repressiva.  </w:t>
      </w:r>
    </w:p>
    <w:p w:rsidR="00611878" w:rsidRDefault="00672C55">
      <w:pPr>
        <w:spacing w:line="366" w:lineRule="auto"/>
        <w:ind w:left="551" w:right="707" w:firstLine="358"/>
      </w:pPr>
      <w:r>
        <w:rPr>
          <w:sz w:val="24"/>
        </w:rPr>
        <w:t xml:space="preserve">Come abbiamo già visto, nel 1944 l’episodio di Nemmersdorf è stato un ottimo spunto per deviare l’attenzione dal nemico giudaico a quello sovietico e, soprattutto quando inizia la vera offensiva russa, lo spostamento collettivo dell’attenzione verso il bestiale invasore, risulta essere determinante per far rimanere alto il livello di guardia. </w:t>
      </w:r>
    </w:p>
    <w:p w:rsidR="00611878" w:rsidRDefault="00672C55" w:rsidP="006B4DEE">
      <w:pPr>
        <w:spacing w:after="306" w:line="366" w:lineRule="auto"/>
        <w:ind w:left="551" w:right="707" w:firstLine="711"/>
      </w:pPr>
      <w:r>
        <w:rPr>
          <w:sz w:val="24"/>
        </w:rPr>
        <w:t>Nei quattro anni di guerra dell’Unione Sovietica, Ilja Ehrenburg era sempre presente, sempre al fronte, per riportare le cronache, gli avvenimenti, per incitare i soldati. Si calcola che tra il 22 giugno 1941 e il 18 aprile 1945 abbia scritto più di 3 000 arti</w:t>
      </w:r>
      <w:r w:rsidR="006B4DEE">
        <w:rPr>
          <w:sz w:val="24"/>
        </w:rPr>
        <w:t>coli sulle operazioni belliche.</w:t>
      </w:r>
    </w:p>
    <w:p w:rsidR="00611878" w:rsidRDefault="00672C55">
      <w:pPr>
        <w:spacing w:line="366" w:lineRule="auto"/>
        <w:ind w:left="561" w:right="707"/>
      </w:pPr>
      <w:r>
        <w:rPr>
          <w:sz w:val="24"/>
        </w:rPr>
        <w:t xml:space="preserve">Sebbene sia una fonte inesauribile di notizie e dettagli, la sua immensa produzione è assolutamente unidirezionale, atta a denigrare l’avversario e a spingere i soldati contro la “bestia nazista”. Descriveva tutto con parole esaltanti ed esaltate, eccitate e soprattutto era ovunque: accanto agli eroi di Stalingrado, in Prussia Orientale, nella Polonia liberata. I suoi articoli, violenti e appassionati erano la giusta carica adrenalinica di migliaia di soldati mandati a combattere a centinaia, migliaia di chilometri da casa: </w:t>
      </w:r>
    </w:p>
    <w:p w:rsidR="00611878" w:rsidRDefault="00672C55">
      <w:pPr>
        <w:spacing w:after="28"/>
        <w:ind w:left="1438" w:right="706"/>
      </w:pPr>
      <w:r>
        <w:t>Uccidete, uccidete! Non c’è nessun tedesco innocente, i vivi, i morti e quelli che non sono ancora nati! Seguite gli insegnamenti del Compagno Stalin e ricacciate per sempre le bestie fasciste nella loro tana. Rompete con la forza la superiorità della razza da parte delle donne tedesche. Prendetele come prede legittime. Uccidete, voi coraggiosa avanguardia dell’Armata Rossa.</w:t>
      </w:r>
      <w:r>
        <w:rPr>
          <w:vertAlign w:val="superscript"/>
        </w:rPr>
        <w:footnoteReference w:id="120"/>
      </w:r>
      <w:r>
        <w:t xml:space="preserve"> </w:t>
      </w:r>
    </w:p>
    <w:p w:rsidR="00611878" w:rsidRDefault="00672C55">
      <w:pPr>
        <w:spacing w:after="0" w:line="259" w:lineRule="auto"/>
        <w:ind w:left="566" w:right="0" w:firstLine="0"/>
        <w:jc w:val="left"/>
      </w:pPr>
      <w:r>
        <w:rPr>
          <w:sz w:val="24"/>
        </w:rPr>
        <w:t xml:space="preserve">  </w:t>
      </w:r>
    </w:p>
    <w:p w:rsidR="00611878" w:rsidRDefault="00672C55">
      <w:pPr>
        <w:spacing w:line="366" w:lineRule="auto"/>
        <w:ind w:left="561" w:right="707"/>
      </w:pPr>
      <w:r>
        <w:rPr>
          <w:sz w:val="24"/>
        </w:rPr>
        <w:t xml:space="preserve">Questo breve estratto rivela immediatamente la violenza, l’aggressività del linguaggio e soprattutto la ricerca spasmodica del sangue del nemico, come se i tedeschi dovessero essere sterminati fino all’ultimo, senza pietà. Il compito, come si può evincere nel finale, spetta </w:t>
      </w:r>
      <w:r>
        <w:rPr>
          <w:sz w:val="24"/>
        </w:rPr>
        <w:lastRenderedPageBreak/>
        <w:t xml:space="preserve">all’avanguardia “coraggiosa” che deve aprire la strada all’avanzata trionfante dell’Armata Rossa. </w:t>
      </w:r>
    </w:p>
    <w:p w:rsidR="00611878" w:rsidRDefault="00672C55">
      <w:pPr>
        <w:spacing w:line="366" w:lineRule="auto"/>
        <w:ind w:left="551" w:right="707" w:firstLine="286"/>
      </w:pPr>
      <w:r>
        <w:rPr>
          <w:sz w:val="24"/>
        </w:rPr>
        <w:t xml:space="preserve">Le prime vittime di questa vendetta devono essere le donne. Semplice incitare e giustificare la violenza sulle cittadine tedesche, perché sono quelle che, disarmate e indifese, sono rimaste in città o nei campi a lavorare per mantenere ed accudire i figli e gli anziani. Ad una lettura superficiale, la violenza di Ilja Ehrenburg è giustificata dalla politica nazista della superiorità razziale ma, in realtà è semplicemente una giustificazione morale.     </w:t>
      </w:r>
    </w:p>
    <w:p w:rsidR="00611878" w:rsidRDefault="00672C55">
      <w:pPr>
        <w:spacing w:line="366" w:lineRule="auto"/>
        <w:ind w:left="551" w:right="707" w:firstLine="358"/>
      </w:pPr>
      <w:r>
        <w:rPr>
          <w:sz w:val="24"/>
        </w:rPr>
        <w:t xml:space="preserve">D’altra parte, occorreva rispondere alla propaganda nazista che si muoveva sul fronte per scoraggiare i soldati dell’Armata Rossa nei primi anni favorevoli della guerra. La documentazione d’archivio contenuta nel fondo R 90 del Bundesarchiv di Berlino, testimonia che i tedeschi conservavano la traduzione di tutto il materiale propagandistico che si diffondeva al fronte tra i propri soldati al fine di mantenere alto il morale e la motivazione, anche attraverso illustrazioni di vita quotidiana, come dimostra il volantino catalogato dai nazisti </w:t>
      </w:r>
      <w:r>
        <w:rPr>
          <w:i/>
          <w:sz w:val="24"/>
        </w:rPr>
        <w:t xml:space="preserve">Nr. </w:t>
      </w:r>
    </w:p>
    <w:p w:rsidR="00611878" w:rsidRDefault="00672C55">
      <w:pPr>
        <w:spacing w:after="85" w:line="267" w:lineRule="auto"/>
        <w:ind w:left="576" w:right="705"/>
      </w:pPr>
      <w:r>
        <w:rPr>
          <w:i/>
          <w:sz w:val="24"/>
        </w:rPr>
        <w:t>501/RA/IX.42</w:t>
      </w:r>
      <w:r>
        <w:rPr>
          <w:sz w:val="24"/>
        </w:rPr>
        <w:t xml:space="preserve"> </w:t>
      </w:r>
    </w:p>
    <w:p w:rsidR="00611878" w:rsidRDefault="00672C55">
      <w:pPr>
        <w:spacing w:after="32"/>
        <w:ind w:left="1786" w:right="706"/>
      </w:pPr>
      <w:r>
        <w:t xml:space="preserve">Tendenza: L’aumento della nostalgia per le mogli ed i figli spingono i soldati dell’Unione </w:t>
      </w:r>
    </w:p>
    <w:p w:rsidR="00611878" w:rsidRDefault="00672C55">
      <w:pPr>
        <w:spacing w:after="28" w:line="246" w:lineRule="auto"/>
        <w:ind w:left="1762" w:right="1741" w:hanging="358"/>
        <w:jc w:val="left"/>
      </w:pPr>
      <w:r>
        <w:t xml:space="preserve">Sovietica a seguire la parola d’ordine “Intraprendere la marcia per il ritorno a casa” Fronte: bozzetto con scritta: “Papà quando torni a casa. ti aspettiamo!” Retro: „Quando torni a casa?” </w:t>
      </w:r>
    </w:p>
    <w:p w:rsidR="00611878" w:rsidRDefault="00672C55">
      <w:pPr>
        <w:ind w:left="1428" w:right="706" w:firstLine="358"/>
      </w:pPr>
      <w:r>
        <w:t xml:space="preserve">Questo chiedono milioni di donne e di bambini angosciati nell’incertezza del tuo e del loro destino. </w:t>
      </w:r>
    </w:p>
    <w:p w:rsidR="00611878" w:rsidRDefault="00672C55">
      <w:pPr>
        <w:spacing w:after="3" w:line="265" w:lineRule="auto"/>
        <w:ind w:left="10" w:right="704"/>
        <w:jc w:val="right"/>
      </w:pPr>
      <w:r>
        <w:t xml:space="preserve">„Torna liberamente a casa dalla moglie e dal figlio. Quando qualcuno viene preso dal </w:t>
      </w:r>
    </w:p>
    <w:p w:rsidR="00611878" w:rsidRDefault="00672C55">
      <w:pPr>
        <w:ind w:left="1438" w:right="706"/>
      </w:pPr>
      <w:r>
        <w:t>NKWD  non subisce nulla. Organizza la marcia o vai contro i tedeschi</w:t>
      </w:r>
      <w:r w:rsidR="006B4DEE">
        <w:rPr>
          <w:rStyle w:val="Rimandonotaapidipagina"/>
        </w:rPr>
        <w:footnoteReference w:id="121"/>
      </w:r>
      <w:r>
        <w:t xml:space="preserve">.  </w:t>
      </w:r>
    </w:p>
    <w:p w:rsidR="00611878" w:rsidRDefault="00672C55">
      <w:pPr>
        <w:spacing w:after="6" w:line="259" w:lineRule="auto"/>
        <w:ind w:left="1776" w:right="0" w:firstLine="0"/>
        <w:jc w:val="left"/>
      </w:pPr>
      <w:r>
        <w:t xml:space="preserve"> </w:t>
      </w:r>
    </w:p>
    <w:p w:rsidR="00611878" w:rsidRPr="006B4DEE" w:rsidRDefault="00672C55" w:rsidP="006B4DEE">
      <w:pPr>
        <w:spacing w:line="360" w:lineRule="auto"/>
        <w:ind w:left="1428" w:right="706" w:firstLine="358"/>
        <w:rPr>
          <w:sz w:val="24"/>
          <w:szCs w:val="24"/>
        </w:rPr>
      </w:pPr>
      <w:r w:rsidRPr="006B4DEE">
        <w:rPr>
          <w:sz w:val="24"/>
          <w:szCs w:val="24"/>
        </w:rPr>
        <w:t xml:space="preserve"> Come si può facilmente notare, l’uso delle figure femminili e familiari sono volte a richiamare in casa i soldati sovietici, spingendoli alla diserzione, per evitare di non tornare a casa. In questo senso è molto esemplificativo il volantino 365 RA/vp che, sotto la piccola scritta “Vivo o morto”, titola </w:t>
      </w:r>
      <w:r w:rsidRPr="006B4DEE">
        <w:rPr>
          <w:i/>
          <w:sz w:val="24"/>
          <w:szCs w:val="24"/>
        </w:rPr>
        <w:t xml:space="preserve">“Soldato dell’Armata Rossa! Deciditi!” </w:t>
      </w:r>
      <w:r w:rsidRPr="006B4DEE">
        <w:rPr>
          <w:sz w:val="24"/>
          <w:szCs w:val="24"/>
        </w:rPr>
        <w:t xml:space="preserve">per poi precisare più avanti di doverlo fare alla svelta. </w:t>
      </w:r>
    </w:p>
    <w:p w:rsidR="00611878" w:rsidRPr="006B4DEE" w:rsidRDefault="00672C55" w:rsidP="006B4DEE">
      <w:pPr>
        <w:spacing w:line="360" w:lineRule="auto"/>
        <w:ind w:left="1428" w:right="706" w:firstLine="358"/>
        <w:rPr>
          <w:sz w:val="24"/>
          <w:szCs w:val="24"/>
        </w:rPr>
      </w:pPr>
      <w:r w:rsidRPr="006B4DEE">
        <w:rPr>
          <w:sz w:val="24"/>
          <w:szCs w:val="24"/>
        </w:rPr>
        <w:t xml:space="preserve">In questa prima fase del conflitto si nota uno sbandamento delle truppe sovietiche che viene evidenziato appunto dalla propaganda, mentre con il capovolgimento di fronte si assiste ad un ricompattarsi di tutti i popoli sottomessi dai nazisti.  </w:t>
      </w:r>
    </w:p>
    <w:p w:rsidR="00611878" w:rsidRDefault="00672C55" w:rsidP="00593A53">
      <w:pPr>
        <w:spacing w:after="115" w:line="259" w:lineRule="auto"/>
        <w:ind w:left="924" w:right="0" w:firstLine="0"/>
        <w:jc w:val="left"/>
      </w:pPr>
      <w:r>
        <w:rPr>
          <w:sz w:val="24"/>
        </w:rPr>
        <w:lastRenderedPageBreak/>
        <w:t xml:space="preserve"> La maggiore propulsione la raggiunge con una riunione della fratellanza slava a Mosca il 10 e 11 Agosto 1944. Il volantino </w:t>
      </w:r>
      <w:r>
        <w:rPr>
          <w:i/>
          <w:sz w:val="24"/>
        </w:rPr>
        <w:t>Appello ai popoli slavi sottomessi</w:t>
      </w:r>
      <w:r>
        <w:rPr>
          <w:sz w:val="24"/>
        </w:rPr>
        <w:t xml:space="preserve"> è molto esplicito: </w:t>
      </w:r>
    </w:p>
    <w:p w:rsidR="00611878" w:rsidRDefault="00672C55">
      <w:pPr>
        <w:ind w:left="1438" w:right="706"/>
      </w:pPr>
      <w:r>
        <w:t>Il 10 e 11 agosto si è svolto a Mosca il raduno dei rappresentanti [segue l’elenco dei popoli slavi sottomessi dai nazifascisti]. […] Le nostre antiche terre lacerate, consegnate per sempre agli Junker tedeschi, alla nobiltà italiana ed ungherese, che rendono per sempre gli slavi in stato di schiavitù - questo è il piano assetato di sangue del nazifascismo</w:t>
      </w:r>
      <w:r w:rsidR="006B4DEE">
        <w:rPr>
          <w:rStyle w:val="Rimandonotaapidipagina"/>
        </w:rPr>
        <w:footnoteReference w:id="122"/>
      </w:r>
      <w:r>
        <w:t>.</w:t>
      </w:r>
    </w:p>
    <w:p w:rsidR="00611878" w:rsidRPr="007418B3" w:rsidRDefault="00672C55">
      <w:pPr>
        <w:spacing w:after="115" w:line="259" w:lineRule="auto"/>
        <w:ind w:left="566" w:right="0" w:firstLine="0"/>
        <w:jc w:val="left"/>
        <w:rPr>
          <w:sz w:val="2"/>
          <w:szCs w:val="2"/>
        </w:rPr>
      </w:pPr>
      <w:r w:rsidRPr="007418B3">
        <w:rPr>
          <w:sz w:val="2"/>
          <w:szCs w:val="2"/>
        </w:rPr>
        <w:t xml:space="preserve"> </w:t>
      </w:r>
    </w:p>
    <w:p w:rsidR="00611878" w:rsidRDefault="00672C55">
      <w:pPr>
        <w:spacing w:line="366" w:lineRule="auto"/>
        <w:ind w:left="551" w:right="707" w:firstLine="425"/>
      </w:pPr>
      <w:r>
        <w:rPr>
          <w:sz w:val="24"/>
        </w:rPr>
        <w:t xml:space="preserve">L’Armata Rossa ha la missione, il compito di liberare i fratelli sottomessi e per fare questo c’è bisogno di quella che Niedersen chiama </w:t>
      </w:r>
      <w:r>
        <w:rPr>
          <w:i/>
          <w:sz w:val="24"/>
        </w:rPr>
        <w:t>Hasspropaganda</w:t>
      </w:r>
      <w:r>
        <w:rPr>
          <w:sz w:val="24"/>
        </w:rPr>
        <w:t xml:space="preserve">, propaganda dell’odio. Fomentarlo è fondamentale per convincere a sostenere la battaglia contro l’invasore. Era iniziata così l’ultima fase della propaganda di guerra. Tra i vari volantini diffusi tra i partigiani si poteva leggere: </w:t>
      </w:r>
    </w:p>
    <w:p w:rsidR="00611878" w:rsidRDefault="00672C55">
      <w:pPr>
        <w:spacing w:after="156" w:line="259" w:lineRule="auto"/>
        <w:ind w:left="561" w:right="707"/>
      </w:pPr>
      <w:r>
        <w:rPr>
          <w:sz w:val="24"/>
        </w:rPr>
        <w:t xml:space="preserve">“L’ombra cupa di Stalin piove su di voi. Quindi, è fondamentale la parola d’ordine: “A casa!” </w:t>
      </w:r>
    </w:p>
    <w:p w:rsidR="00611878" w:rsidRDefault="00672C55" w:rsidP="00593A53">
      <w:pPr>
        <w:spacing w:after="0" w:line="367" w:lineRule="auto"/>
        <w:ind w:left="561" w:right="709" w:hanging="11"/>
      </w:pPr>
      <w:r>
        <w:rPr>
          <w:sz w:val="24"/>
        </w:rPr>
        <w:t>[...] Al primo incontro con un posto di blocco tedesco dite questo slogan di libertà “A casa!”</w:t>
      </w:r>
      <w:r w:rsidR="006B4DEE">
        <w:rPr>
          <w:rStyle w:val="Rimandonotaapidipagina"/>
          <w:sz w:val="24"/>
        </w:rPr>
        <w:footnoteReference w:id="123"/>
      </w:r>
    </w:p>
    <w:p w:rsidR="00611878" w:rsidRPr="006B4DEE" w:rsidRDefault="00611878">
      <w:pPr>
        <w:spacing w:after="0" w:line="259" w:lineRule="auto"/>
        <w:ind w:left="852" w:right="0" w:firstLine="0"/>
        <w:jc w:val="left"/>
      </w:pPr>
    </w:p>
    <w:p w:rsidR="00611878" w:rsidRDefault="00672C55">
      <w:pPr>
        <w:spacing w:line="366" w:lineRule="auto"/>
        <w:ind w:left="551" w:right="707" w:firstLine="358"/>
      </w:pPr>
      <w:r>
        <w:rPr>
          <w:sz w:val="24"/>
        </w:rPr>
        <w:t xml:space="preserve">Dal 1939 al 1945 la dominazione nazista aveva umiliato la popolazione polacca che aveva assistito alla distruzione del ghetto di Varsavia, del ghetto di Lodz, ad Auschwitz. Aveva osservato impassibile, apparentemente disinteressata. Nel momento in cui avanza l’Armata Rossa, la popolazione sembra risvegliarsi per aiutare il liberatore sovietico. Occorreva, però, motivare i polacchi, affinché si unissero ai Liberatori e, a questo fine, è stato rispolverato il mito della fratellanza slava. Istillare la convinzione di poter sconfiggere i nazisti è un’operazione propagandistica lenta, che inizia con le azioni isolate o organizzate sul fronte orientale e sudorientale già a partire dal 1941, come testimonia la nota del Questore di Lubiana Ettore Messana del 7 febbraio 1942 </w:t>
      </w:r>
    </w:p>
    <w:p w:rsidR="00611878" w:rsidRDefault="00672C55">
      <w:pPr>
        <w:ind w:left="1786" w:right="706"/>
      </w:pPr>
      <w:r>
        <w:t xml:space="preserve">Mi riferisco alla Ministeriale numero 500/4788 del 2.12. s.a. – </w:t>
      </w:r>
    </w:p>
    <w:p w:rsidR="00611878" w:rsidRDefault="00672C55">
      <w:pPr>
        <w:ind w:left="1428" w:right="706" w:firstLine="358"/>
      </w:pPr>
      <w:r>
        <w:t xml:space="preserve">In seguito a lunghe e laboriose indagini compiute da questo Ufficio stretta collaborazione cin il locale Centro C. S. il 7 c. m. sono stati denunziati al Tribunale Militare di Guerra i seguenti individui (di cui 12 arrestati) quali cetnici associati per esplicare azioni contro la compagine del nostro Stato ed anche contro la Germania. </w:t>
      </w:r>
    </w:p>
    <w:p w:rsidR="00611878" w:rsidRDefault="00672C55">
      <w:pPr>
        <w:ind w:left="1428" w:right="706" w:firstLine="358"/>
      </w:pPr>
      <w:r>
        <w:t xml:space="preserve">Le basi di detta associazione, avente carattere anti comunista, furono gettate nell’aprile scorso anno dal P., allorquando trovavasi detenuto nelle carceri di Zagabria con il H., il G. ed il H., tutti volontari cetnici avviati in detta città con lo scoppio della guerra e subito arrestati dagli ustascia, in occasione del moto insurrezionale croato. </w:t>
      </w:r>
    </w:p>
    <w:p w:rsidR="00611878" w:rsidRDefault="00672C55">
      <w:pPr>
        <w:ind w:left="1428" w:right="706" w:firstLine="358"/>
      </w:pPr>
      <w:r>
        <w:lastRenderedPageBreak/>
        <w:t xml:space="preserve">Liberati nella prima decade dello scorso maggio i medesimi, ritornati a Lubiana ripresero i contatti e l’attività politica diretta a fare proseliti alla loro causa ed a cercare fondi per l’acquisto delle armi necessarie per l’attuazione del programma, tracciato dallo stesso P. il quale oltre che avere per “obbiettivo supremo la libertà” prevedeva “l’azione contro i popoli ed i singoli che oppressero ed opprimono il popolo slavo con violenze bestiali”. </w:t>
      </w:r>
    </w:p>
    <w:p w:rsidR="00611878" w:rsidRDefault="00672C55">
      <w:pPr>
        <w:ind w:left="1428" w:right="706" w:firstLine="358"/>
      </w:pPr>
      <w:r>
        <w:t xml:space="preserve">Si formò un triumvirato e l’associazione segreta basata sul sistema delle Trojke, prese a svilupparsi fino a avere una adesima in una cinquantina di giovani che avendo sentito la necessità di farsi guidare da persona che desse migliore affidamento, tra il giugno ed il luglio s.a., elessero a loro capo il S.  Devesi all’azione direttiva di costui se le associazioni di cui trattasi diventò un’organizzazione che avrebbe potuto rappresentare serio e concreto pericolo se non fosse stato, tempestivamente scompaginata dal pronto intervento degli Organi di Polizia che procedettero al sequestro di numeroso materiale compromettente ed all’arresto dei suoi capi, continuando nelle indagini, nonostante le numerose difficoltà incontrate, è stato possibile individuare un buon terzo dei membri che facevano parte dell’associazione. </w:t>
      </w:r>
    </w:p>
    <w:p w:rsidR="00611878" w:rsidRDefault="00672C55">
      <w:pPr>
        <w:spacing w:after="3" w:line="265" w:lineRule="auto"/>
        <w:ind w:left="10" w:right="704"/>
        <w:jc w:val="right"/>
      </w:pPr>
      <w:r>
        <w:t xml:space="preserve">Qui di seguito si riassume quanto risultato a carico di ciascuno dei denunziati. Sono state </w:t>
      </w:r>
    </w:p>
    <w:p w:rsidR="00611878" w:rsidRDefault="00672C55">
      <w:pPr>
        <w:ind w:left="1438" w:right="706"/>
      </w:pPr>
      <w:r>
        <w:t>diramate le ricerche per l’arresto dei latitanti</w:t>
      </w:r>
      <w:r w:rsidR="006B4DEE">
        <w:rPr>
          <w:rStyle w:val="Rimandonotaapidipagina"/>
        </w:rPr>
        <w:footnoteReference w:id="124"/>
      </w:r>
      <w:r>
        <w:t xml:space="preserve">. </w:t>
      </w:r>
    </w:p>
    <w:p w:rsidR="00611878" w:rsidRDefault="00672C55">
      <w:pPr>
        <w:spacing w:after="0" w:line="259" w:lineRule="auto"/>
        <w:ind w:left="924" w:right="0" w:firstLine="0"/>
        <w:jc w:val="left"/>
      </w:pPr>
      <w:r>
        <w:t xml:space="preserve"> </w:t>
      </w:r>
    </w:p>
    <w:p w:rsidR="00611878" w:rsidRDefault="00672C55">
      <w:pPr>
        <w:spacing w:line="366" w:lineRule="auto"/>
        <w:ind w:left="551" w:right="707" w:firstLine="358"/>
      </w:pPr>
      <w:r>
        <w:rPr>
          <w:sz w:val="24"/>
        </w:rPr>
        <w:t xml:space="preserve">Una lettera del prefetto di Spalato il 6 agosto 1943 conferma la presenza di forti organizzazioni slave anti fasciste sul territorio </w:t>
      </w:r>
    </w:p>
    <w:p w:rsidR="00611878" w:rsidRDefault="00672C55" w:rsidP="006B4DEE">
      <w:pPr>
        <w:ind w:left="1428" w:right="706" w:firstLine="358"/>
      </w:pPr>
      <w:r>
        <w:t>Ai fini del servizio di codesto casellario politico centrale, si comunica che il nominato in oggetto, che precedentemente non aveva dato luogo a rilievi con la sua condotta in genere il 14 giugno decorso [scorso?] è stato denunziato in stato d’arresto, dalla R. Questura al Tribunale Speciale della Dalmazia perché reo confesso di aver appartenuto alle organizzazioni “S.K.O.J.” e “U.A.A.O.J.” (unione comunista comitati jugoslavi e unione sociale antifascista della gioventù jugoslava) operanti nei locali rioni di Paludi e Borgo Grande, in seno alle quali svolse attività a noi ostile.</w:t>
      </w:r>
      <w:r>
        <w:rPr>
          <w:vertAlign w:val="superscript"/>
        </w:rPr>
        <w:footnoteReference w:id="125"/>
      </w:r>
      <w:r>
        <w:t xml:space="preserve">   </w:t>
      </w:r>
    </w:p>
    <w:p w:rsidR="00611878" w:rsidRDefault="00672C55">
      <w:pPr>
        <w:spacing w:after="115" w:line="259" w:lineRule="auto"/>
        <w:ind w:left="992" w:right="0" w:firstLine="0"/>
        <w:jc w:val="left"/>
      </w:pPr>
      <w:r>
        <w:rPr>
          <w:sz w:val="24"/>
        </w:rPr>
        <w:t xml:space="preserve"> </w:t>
      </w:r>
    </w:p>
    <w:p w:rsidR="00611878" w:rsidRDefault="00672C55">
      <w:pPr>
        <w:spacing w:line="366" w:lineRule="auto"/>
        <w:ind w:left="551" w:right="707" w:firstLine="425"/>
      </w:pPr>
      <w:r>
        <w:rPr>
          <w:sz w:val="24"/>
        </w:rPr>
        <w:t>Le motivazioni dell’aggressività polacca nei confronti delle truppe tedesche sono state evidenziate dagli storici Andzej Brozek e Jòsef Kokot: “il comportamento della minoranza tedesca durante le ostilità e l'occupazione politica di occupazione del Terzo Reich”</w:t>
      </w:r>
      <w:r>
        <w:rPr>
          <w:sz w:val="24"/>
          <w:vertAlign w:val="superscript"/>
        </w:rPr>
        <w:footnoteReference w:id="126"/>
      </w:r>
      <w:r>
        <w:rPr>
          <w:sz w:val="24"/>
        </w:rPr>
        <w:t xml:space="preserve">. Di fatto, quindi, ogni tipo di violenza, sopruso ed espropriazione è giustificato, per ripagare l’occupante con la stessa moneta.  </w:t>
      </w:r>
    </w:p>
    <w:p w:rsidR="00611878" w:rsidRDefault="00672C55">
      <w:pPr>
        <w:spacing w:after="0" w:line="389" w:lineRule="auto"/>
        <w:ind w:left="566" w:right="705" w:firstLine="411"/>
      </w:pPr>
      <w:r>
        <w:rPr>
          <w:sz w:val="24"/>
        </w:rPr>
        <w:t xml:space="preserve">Un altro volantino avvisa la popolazione che i tedeschi sono alla ricerca di pane e patate perché </w:t>
      </w:r>
      <w:r>
        <w:rPr>
          <w:i/>
          <w:sz w:val="24"/>
        </w:rPr>
        <w:t>“il pane e le patate servono loro a combattere la guerra contro i nostri padri, mariti, fratelli e figli. […]. Quando ci sarà il regime sovietico, ci sarà anche il pane”.</w:t>
      </w:r>
      <w:r>
        <w:rPr>
          <w:i/>
          <w:sz w:val="24"/>
          <w:vertAlign w:val="superscript"/>
        </w:rPr>
        <w:footnoteReference w:id="127"/>
      </w:r>
      <w:r>
        <w:rPr>
          <w:sz w:val="24"/>
        </w:rPr>
        <w:t xml:space="preserve"> Un altro volantino destinato ai polacchi recita: </w:t>
      </w:r>
    </w:p>
    <w:p w:rsidR="00611878" w:rsidRDefault="00672C55">
      <w:pPr>
        <w:spacing w:after="56"/>
        <w:ind w:left="1438" w:right="706"/>
      </w:pPr>
      <w:r>
        <w:lastRenderedPageBreak/>
        <w:t>Fratelli e sorelle! Le bande fasciste del mangiatore di uomini Hitler hanno occupato un pezzo del nostro corpo natio. […]. I fascisti tedeschi vogliono sottometterci e renderci schiavi dei principi e dei baroni tedeschi. […] L’Armata Rossa arriva in nostro soccorso. Ci porta la libertà.</w:t>
      </w:r>
      <w:r>
        <w:rPr>
          <w:vertAlign w:val="superscript"/>
        </w:rPr>
        <w:footnoteReference w:id="128"/>
      </w:r>
      <w:r>
        <w:t xml:space="preserve"> </w:t>
      </w:r>
    </w:p>
    <w:p w:rsidR="00611878" w:rsidRDefault="00672C55">
      <w:pPr>
        <w:spacing w:after="112" w:line="259" w:lineRule="auto"/>
        <w:ind w:left="977" w:right="0" w:firstLine="0"/>
        <w:jc w:val="left"/>
      </w:pPr>
      <w:r>
        <w:rPr>
          <w:sz w:val="24"/>
        </w:rPr>
        <w:t xml:space="preserve"> </w:t>
      </w:r>
    </w:p>
    <w:p w:rsidR="00611878" w:rsidRDefault="00672C55">
      <w:pPr>
        <w:spacing w:after="36" w:line="366" w:lineRule="auto"/>
        <w:ind w:left="561" w:right="707"/>
      </w:pPr>
      <w:r>
        <w:rPr>
          <w:sz w:val="24"/>
        </w:rPr>
        <w:t xml:space="preserve">Per il nemico non bisogna avere alcuna pietà. Bisogna saperlo riconoscere, stanarlo e poi non avere esitazioni. Gli slogan, come si è visto, non lasciavano spazio a dubbi o problemi morali: </w:t>
      </w:r>
    </w:p>
    <w:p w:rsidR="00611878" w:rsidRDefault="00672C55">
      <w:pPr>
        <w:spacing w:after="151" w:line="259" w:lineRule="auto"/>
        <w:ind w:left="561" w:right="707"/>
      </w:pPr>
      <w:r>
        <w:rPr>
          <w:sz w:val="24"/>
        </w:rPr>
        <w:t xml:space="preserve">“morte agli occupanti”. </w:t>
      </w:r>
    </w:p>
    <w:p w:rsidR="00611878" w:rsidRDefault="00672C55">
      <w:pPr>
        <w:spacing w:after="32" w:line="366" w:lineRule="auto"/>
        <w:ind w:left="551" w:right="707" w:firstLine="411"/>
      </w:pPr>
      <w:r>
        <w:rPr>
          <w:sz w:val="24"/>
        </w:rPr>
        <w:t>I sovietici non avevano dimenticato il cosiddetto “ordine dei Commissari”, che aveva portato alla morte di tutti i Commissari Politici che erano caduti nelle mani dei tedeschi. Era l’ennesimo motivo per sognare il riscatto e chiamare alla vendetta.</w:t>
      </w:r>
      <w:r>
        <w:rPr>
          <w:sz w:val="24"/>
          <w:vertAlign w:val="superscript"/>
        </w:rPr>
        <w:footnoteReference w:id="129"/>
      </w:r>
      <w:r>
        <w:rPr>
          <w:sz w:val="24"/>
        </w:rPr>
        <w:t xml:space="preserve">  </w:t>
      </w:r>
    </w:p>
    <w:p w:rsidR="00611878" w:rsidRDefault="00672C55">
      <w:pPr>
        <w:spacing w:line="366" w:lineRule="auto"/>
        <w:ind w:left="551" w:right="707" w:firstLine="411"/>
      </w:pPr>
      <w:r>
        <w:rPr>
          <w:sz w:val="24"/>
        </w:rPr>
        <w:t xml:space="preserve">L’obbiettivo della propaganda è annullare ogni genere di individualità e ogni possibilità di pensare autonomamente. Per fare questo, deve essere subdola, convincere l’osservatore, il lettore che tutto sia frutto della propria volontà, senza comprendere di essere completamente manipolati. </w:t>
      </w:r>
    </w:p>
    <w:p w:rsidR="00611878" w:rsidRDefault="00672C55">
      <w:pPr>
        <w:spacing w:line="366" w:lineRule="auto"/>
        <w:ind w:left="561" w:right="707"/>
      </w:pPr>
      <w:r>
        <w:rPr>
          <w:sz w:val="24"/>
        </w:rPr>
        <w:t xml:space="preserve">Occorre ripetere costantemente gli stessi messaggi, per rafforzarne il contenuto, individuare un nemico comune, fare leva sul sentimento di comunità e sugli interessi individuali. I testi devono essere brevi, facilmente memorizzabili e divulgabili, perché in una società con un bassissimo tasso di scolarizzazione, chi sa leggere non può divulgare messaggi eccessivamente lunghi o dal linguaggio complesso.  </w:t>
      </w:r>
    </w:p>
    <w:p w:rsidR="00611878" w:rsidRDefault="00672C55">
      <w:pPr>
        <w:spacing w:line="366" w:lineRule="auto"/>
        <w:ind w:left="551" w:right="707" w:firstLine="358"/>
      </w:pPr>
      <w:r>
        <w:rPr>
          <w:sz w:val="24"/>
        </w:rPr>
        <w:t xml:space="preserve">Nella battaglia contro l’invasore, era indispensabile demotivare il nemico e spingerlo a passare tra le proprie fila; a questo servivano i messaggi rivolti ai soldati tedeschi: </w:t>
      </w:r>
    </w:p>
    <w:p w:rsidR="00611878" w:rsidRDefault="00672C55">
      <w:pPr>
        <w:spacing w:after="31"/>
        <w:ind w:left="1438" w:right="706"/>
      </w:pPr>
      <w:r>
        <w:t xml:space="preserve">Vieni con noi! Camerati tedeschi! Siete stati presi in giro con proclami come “Spazio vitale tedesco”, “Siamo la razza superiore!”, “obbedienza cieca” e frasi simili. […] </w:t>
      </w:r>
      <w:r>
        <w:rPr>
          <w:u w:val="single" w:color="000000"/>
        </w:rPr>
        <w:t>Cosa hai ricevuto</w:t>
      </w:r>
      <w:r>
        <w:t xml:space="preserve"> </w:t>
      </w:r>
      <w:r>
        <w:rPr>
          <w:u w:val="single" w:color="000000"/>
        </w:rPr>
        <w:t>da queste frasi se non la morte?</w:t>
      </w:r>
      <w:r>
        <w:t xml:space="preserve"> Per questo vuoi perdere la tua vita contro il popolo russo che ti ha dato amicizia e che non ha mai tentato di invadere la Germania? […] La tua Patria e la tua famiglia hanno bisogno di te in vita e non morto! Vuoi rivedere la tua Patria e la tua famiglia, e così salvare la tua vita? Vieni con noi! Non sei il primo! Già migliaia di voi hanno trovato la via della Russia. Si trovano bene da noi. La maggior parte di loro sono lavoratori, operai come voi stessi. […]. Ti garantiamo la vita, ti garantiamo che alla fine della guerra potrai tornare a casa</w:t>
      </w:r>
      <w:r w:rsidR="006B4DEE">
        <w:rPr>
          <w:rStyle w:val="Rimandonotaapidipagina"/>
        </w:rPr>
        <w:footnoteReference w:id="130"/>
      </w:r>
      <w:r>
        <w:t xml:space="preserve">. </w:t>
      </w:r>
    </w:p>
    <w:p w:rsidR="00611878" w:rsidRPr="007418B3" w:rsidRDefault="00672C55">
      <w:pPr>
        <w:spacing w:after="115" w:line="259" w:lineRule="auto"/>
        <w:ind w:left="992" w:right="0" w:firstLine="0"/>
        <w:jc w:val="left"/>
        <w:rPr>
          <w:sz w:val="2"/>
          <w:szCs w:val="2"/>
        </w:rPr>
      </w:pPr>
      <w:r w:rsidRPr="007418B3">
        <w:rPr>
          <w:sz w:val="2"/>
          <w:szCs w:val="2"/>
        </w:rPr>
        <w:lastRenderedPageBreak/>
        <w:t xml:space="preserve"> </w:t>
      </w:r>
    </w:p>
    <w:p w:rsidR="00611878" w:rsidRDefault="00672C55">
      <w:pPr>
        <w:spacing w:line="366" w:lineRule="auto"/>
        <w:ind w:left="551" w:right="707" w:firstLine="425"/>
      </w:pPr>
      <w:r>
        <w:rPr>
          <w:sz w:val="24"/>
        </w:rPr>
        <w:t xml:space="preserve">Il messaggio è diretto e fa leva sulla paura, la frustrazione, la voglia di tornare a casa. I termini utilizzati riprendono dapprima quelli della propaganda nazista, sovvertendone il senso. I concetti di “spazio vitale” e “razza superiore” vengono irrisi e mostrati come strumenti di morte e devastazione, causa di tutte le sofferenze dei soldati tedeschi, soprattutto quelli che provengono dal popolo e che sono stati ingannati da un ideale. Il testo si rivolge soprattutto agli operai e ai contadini, alla gente semplice, che si è arruolata più per obbligo che per convinzione. Anche se qualcuno raccoglie l’invito, altri decidono per il viaggio verso ovest, per stare materialmente vicino alle proprie donne e poterle proteggere. </w:t>
      </w:r>
    </w:p>
    <w:p w:rsidR="00611878" w:rsidRDefault="00672C55" w:rsidP="006B4DEE">
      <w:pPr>
        <w:spacing w:after="299" w:line="366" w:lineRule="auto"/>
        <w:ind w:left="551" w:right="707" w:firstLine="425"/>
      </w:pPr>
      <w:r>
        <w:rPr>
          <w:sz w:val="24"/>
        </w:rPr>
        <w:t xml:space="preserve">Come risulta dalla documentazione conservata nel Bundesarchiv di Berlino nel fondo NY4036, a partire dal 1° febbraio 1945 vengono diffuse delle </w:t>
      </w:r>
      <w:r>
        <w:rPr>
          <w:i/>
          <w:sz w:val="24"/>
        </w:rPr>
        <w:t>linee guida per la propaganda sul fronte in Germania</w:t>
      </w:r>
      <w:r>
        <w:rPr>
          <w:sz w:val="24"/>
        </w:rPr>
        <w:t xml:space="preserve">, ben strutturate ed argomentate. La premessa era chiara: l’esercito orientale tedesco era in disfacimento e la guerra da portare casa per casa aveva l’obbiettivo di liberare la Germania dalla </w:t>
      </w:r>
      <w:r>
        <w:rPr>
          <w:i/>
          <w:sz w:val="24"/>
        </w:rPr>
        <w:t>Guerra di Hitler</w:t>
      </w:r>
      <w:r>
        <w:rPr>
          <w:sz w:val="24"/>
        </w:rPr>
        <w:t xml:space="preserve">, fino all’annientamento delle bande che hanno portato la nazione alla catastrofe e alla guerra tra popoli. </w:t>
      </w:r>
    </w:p>
    <w:p w:rsidR="00611878" w:rsidRDefault="00672C55">
      <w:pPr>
        <w:spacing w:after="53"/>
        <w:ind w:left="1428" w:right="706" w:firstLine="425"/>
      </w:pPr>
      <w:r>
        <w:t>Al popolo tedesco deve essere spiegato perché la via della conquista imperialista, la riduzione in schiavitù degli altri popoli, il dominio della razza superiore delle potenze plutocratiche non può che condurre la Germania alla catastrofe. È stata presa una decisione storica. Solamente attraverso l’annientamento dell’esercito di Hitler, solo attraverso la battaglia per una Germania Democratica e per l’amicizia tra e con gli altri popoli la Germania potrà risorgere.</w:t>
      </w:r>
      <w:r>
        <w:rPr>
          <w:vertAlign w:val="superscript"/>
        </w:rPr>
        <w:footnoteReference w:id="131"/>
      </w:r>
      <w:r>
        <w:t xml:space="preserve"> </w:t>
      </w:r>
    </w:p>
    <w:p w:rsidR="00611878" w:rsidRDefault="00672C55">
      <w:pPr>
        <w:spacing w:after="115" w:line="259" w:lineRule="auto"/>
        <w:ind w:left="992" w:right="0" w:firstLine="0"/>
        <w:jc w:val="left"/>
      </w:pPr>
      <w:r>
        <w:rPr>
          <w:sz w:val="24"/>
        </w:rPr>
        <w:t xml:space="preserve"> </w:t>
      </w:r>
    </w:p>
    <w:p w:rsidR="00611878" w:rsidRDefault="00672C55">
      <w:pPr>
        <w:spacing w:line="366" w:lineRule="auto"/>
        <w:ind w:left="551" w:right="707" w:firstLine="425"/>
      </w:pPr>
      <w:r>
        <w:rPr>
          <w:sz w:val="24"/>
        </w:rPr>
        <w:t xml:space="preserve">Questo indica una doppia linea comunicativa sovietica: da un lato quella aggressiva e violenta di Ilja Ehrenburg, veicolata tra i militari dell’Armata Rossa al fronte e quella per i civili tedeschi che stanno per essere conquistato dall’esercito in avanzata. </w:t>
      </w:r>
    </w:p>
    <w:p w:rsidR="00611878" w:rsidRDefault="00672C55">
      <w:pPr>
        <w:spacing w:line="366" w:lineRule="auto"/>
        <w:ind w:left="551" w:right="707" w:firstLine="425"/>
      </w:pPr>
      <w:r>
        <w:rPr>
          <w:sz w:val="24"/>
        </w:rPr>
        <w:t xml:space="preserve">I punti che delineano la strategia comunicativa e di azione, però, sono chiari e delineati in modo esaustivo, cercando di rassicurare da tutte le paure che il regime aveva cercato di stillare. </w:t>
      </w:r>
    </w:p>
    <w:p w:rsidR="00611878" w:rsidRDefault="00672C55">
      <w:pPr>
        <w:spacing w:line="366" w:lineRule="auto"/>
        <w:ind w:left="561" w:right="707"/>
      </w:pPr>
      <w:r>
        <w:rPr>
          <w:sz w:val="24"/>
        </w:rPr>
        <w:t xml:space="preserve">Il primo cardine delle linee guida rimarcava che l’azione di guerra dell’Armata Rossa non era contro il popolo, ma contro la Nazione, intesa come luogo di rifugio di Hitler e di tutto il suo </w:t>
      </w:r>
      <w:r>
        <w:rPr>
          <w:sz w:val="24"/>
        </w:rPr>
        <w:lastRenderedPageBreak/>
        <w:t xml:space="preserve">regime. La comunicazione è volta, dunque, a rassicurare la popolazione sull’obbiettivo dell’azione bellica, spostando la concentrazione della popolazione dalle razzie e dalle violenze  </w:t>
      </w:r>
    </w:p>
    <w:p w:rsidR="00611878" w:rsidRDefault="00672C55">
      <w:pPr>
        <w:spacing w:after="31" w:line="366" w:lineRule="auto"/>
        <w:ind w:left="551" w:right="707" w:firstLine="425"/>
      </w:pPr>
      <w:r>
        <w:rPr>
          <w:sz w:val="24"/>
        </w:rPr>
        <w:t xml:space="preserve">Successivamente, l’estensore del programma sposta l’attenzione sulla necessità di una guerra di liberazione collettiva dal nazifascismo all’interno della quale i sovietici sarebbero solamente uno strumento al servizio del popolo tedesco, che è stato illuso e sfruttato contro altri popoli inermi, come la Prussia Orientale, che ora vogliono solo la pace. </w:t>
      </w:r>
    </w:p>
    <w:p w:rsidR="00611878" w:rsidRDefault="00672C55">
      <w:pPr>
        <w:spacing w:line="366" w:lineRule="auto"/>
        <w:ind w:left="551" w:right="707" w:firstLine="425"/>
      </w:pPr>
      <w:r>
        <w:rPr>
          <w:sz w:val="24"/>
        </w:rPr>
        <w:t xml:space="preserve">Il terzo punto sul quale i sovietici vogliono far porre l’attenzione è l’obbiettivo finale dell’offensiva sovietica che non ha alcuna mira espansionistica ma solamente uno scopo “filantropico” di ricondurre la Germania alla democrazia. Il quarto punto è un vero e proprio richiamo alle armi, volto anche alle donne affinché prestassero il proprio servizio per sovvertire il regime, senza mai citare le violenze subite, ma puntando sull’orgoglio di madri ferite dalla guerra e dall’assenza di approvvigionamenti. </w:t>
      </w:r>
    </w:p>
    <w:p w:rsidR="00611878" w:rsidRDefault="00672C55">
      <w:pPr>
        <w:spacing w:line="366" w:lineRule="auto"/>
        <w:ind w:left="551" w:right="707" w:firstLine="425"/>
      </w:pPr>
      <w:r>
        <w:rPr>
          <w:sz w:val="24"/>
        </w:rPr>
        <w:t>Il quinto punto sembra completamente avulso dalla realtà nella quale le truppe dell’Armata Rossa si muovono e che spesso contribuiscono a costruire. Mentre le truppe sovietiche avanzano, stuprando, incendiando e distruggendo all’occasione, infatti, le linee guida indicano alle truppe liberatrici di “attirare le simpatie della popolazione”, come strumento essenziale per la ricostruzione sociale postbellica.</w:t>
      </w:r>
      <w:r>
        <w:t xml:space="preserve">  </w:t>
      </w:r>
    </w:p>
    <w:p w:rsidR="00611878" w:rsidRDefault="00672C55">
      <w:pPr>
        <w:pStyle w:val="Titolo4"/>
        <w:ind w:left="1854" w:right="539"/>
      </w:pPr>
      <w:r>
        <w:rPr>
          <w:u w:val="none"/>
        </w:rPr>
        <w:t>1.</w:t>
      </w:r>
      <w:r>
        <w:t>La prosecuzione delle battaglie militari sono un crimine contro l’intera nazione</w:t>
      </w:r>
      <w:r>
        <w:rPr>
          <w:u w:val="none"/>
        </w:rPr>
        <w:t xml:space="preserve"> </w:t>
      </w:r>
    </w:p>
    <w:p w:rsidR="00611878" w:rsidRDefault="00672C55">
      <w:pPr>
        <w:ind w:left="1428" w:right="706" w:firstLine="425"/>
      </w:pPr>
      <w:r>
        <w:t xml:space="preserve">Nessuna vittima del sistema hitleriano di annientamento può sottrarsi all’opposizione e all’annientamento dell’esercito tedesco. La superiorità economica, militare, e politica dell’Unione Sovietica rispetto alla Germania di Hitler si è rafforzata di mese in mese. Da questo deriva la maggior facilità dell’attacco alleato ad occidente. </w:t>
      </w:r>
    </w:p>
    <w:p w:rsidR="00611878" w:rsidRDefault="00672C55">
      <w:pPr>
        <w:ind w:left="1428" w:right="706" w:firstLine="425"/>
      </w:pPr>
      <w:r>
        <w:t xml:space="preserve">Le battaglie delle ultime settimane hanno palesato che l’Unione Sovietica è contemporaneamente più disponibilità e forza nei rifornimenti e nell’aereonautica. Durante l’offensiva d’estate, l’Armata Rossa era impegnata a portare attacchi su piccoli pezzi di fronte, mentre in inverno l’offensiva generale occupava tutto il fronte da Budapest a Mamel. […]. </w:t>
      </w:r>
    </w:p>
    <w:p w:rsidR="00611878" w:rsidRDefault="00672C55">
      <w:pPr>
        <w:spacing w:after="29"/>
        <w:ind w:left="1428" w:right="706" w:firstLine="425"/>
      </w:pPr>
      <w:r>
        <w:t xml:space="preserve">Il crimine più grave perpetrato dal comando nazista contro il popolo è voler continuare a condurre nelle città e nei villaggi una guerra già persa. […]. </w:t>
      </w:r>
    </w:p>
    <w:p w:rsidR="00611878" w:rsidRDefault="00672C55">
      <w:pPr>
        <w:ind w:left="1428" w:right="706" w:firstLine="425"/>
      </w:pPr>
      <w:r>
        <w:t xml:space="preserve">Mentre nel 1933 il partito nazista aveva illuso molti tedeschi che Hitler volesse tenere lontana la Germania da una nuova guerra, erano ora sicuri che li avesse condotti alla crisi e alla catastrofe ed al coprire di vergogna il nome tedesco, aveva distrutto la patria e il futuro della Nazione. </w:t>
      </w:r>
      <w:r>
        <w:rPr>
          <w:u w:val="single" w:color="000000"/>
        </w:rPr>
        <w:t xml:space="preserve">2. La guerra dell’Armata Rossa aiuta la Germania a liberarsi dalle bande di Hitler </w:t>
      </w:r>
      <w:r>
        <w:t xml:space="preserve">Hitler con la sua politica di odio razziale e riduzione in schiavitù degli altri popoli ha isolato la Germania e l’ha condotta  in una situazione di stallo. </w:t>
      </w:r>
    </w:p>
    <w:p w:rsidR="00611878" w:rsidRDefault="00672C55">
      <w:pPr>
        <w:pStyle w:val="Titolo4"/>
        <w:ind w:left="1419" w:right="539" w:firstLine="425"/>
      </w:pPr>
      <w:r>
        <w:t>3. Creare la consapevolezza della battaglia in tutti gli oppositori del regime che abbiano</w:t>
      </w:r>
      <w:r>
        <w:rPr>
          <w:u w:val="none"/>
        </w:rPr>
        <w:t xml:space="preserve"> </w:t>
      </w:r>
      <w:r>
        <w:t>come obbiettivo la Nazione</w:t>
      </w:r>
      <w:r>
        <w:rPr>
          <w:u w:val="none"/>
        </w:rPr>
        <w:t xml:space="preserve"> </w:t>
      </w:r>
    </w:p>
    <w:p w:rsidR="00611878" w:rsidRDefault="00672C55">
      <w:pPr>
        <w:ind w:left="1428" w:right="706" w:firstLine="425"/>
      </w:pPr>
      <w:r>
        <w:t xml:space="preserve">Il movimento “Germania libera” deve riunire nella battaglia tutte le forze democratiche antifasciste in Germania, divise in truppe, attive con basi nelle città e che più tardi svilupperanno un’organizzazione democratica. </w:t>
      </w:r>
    </w:p>
    <w:p w:rsidR="00611878" w:rsidRDefault="00672C55">
      <w:pPr>
        <w:spacing w:after="10" w:line="248" w:lineRule="auto"/>
        <w:ind w:left="1419" w:right="539" w:firstLine="425"/>
        <w:jc w:val="left"/>
      </w:pPr>
      <w:r>
        <w:rPr>
          <w:u w:val="single" w:color="000000"/>
        </w:rPr>
        <w:t>4.I Comitati del Popolo e i gruppi di battaglia come organizzatori di rivolte popolari contro</w:t>
      </w:r>
      <w:r>
        <w:t xml:space="preserve"> </w:t>
      </w:r>
      <w:r>
        <w:rPr>
          <w:u w:val="single" w:color="000000"/>
        </w:rPr>
        <w:t>il dominio nazista.</w:t>
      </w:r>
      <w:r>
        <w:t xml:space="preserve"> </w:t>
      </w:r>
    </w:p>
    <w:p w:rsidR="00611878" w:rsidRDefault="00672C55">
      <w:pPr>
        <w:spacing w:after="29"/>
        <w:ind w:left="1854" w:right="706"/>
      </w:pPr>
      <w:r>
        <w:t xml:space="preserve">[…]  </w:t>
      </w:r>
    </w:p>
    <w:p w:rsidR="00611878" w:rsidRDefault="00672C55">
      <w:pPr>
        <w:ind w:left="1854" w:right="706"/>
      </w:pPr>
      <w:r>
        <w:t xml:space="preserve">Tutte le armi contro Hitler! […]. </w:t>
      </w:r>
    </w:p>
    <w:p w:rsidR="00611878" w:rsidRDefault="00672C55">
      <w:pPr>
        <w:spacing w:after="35"/>
        <w:ind w:left="1428" w:right="706" w:firstLine="425"/>
      </w:pPr>
      <w:r>
        <w:lastRenderedPageBreak/>
        <w:t xml:space="preserve">Donne! Ogni vittima prolunga solo la guerra di Hitler […]. Ciò che oggi va via, vi mancherà domani, quando Hitler non ci sarà più. </w:t>
      </w:r>
    </w:p>
    <w:p w:rsidR="00611878" w:rsidRDefault="00672C55">
      <w:pPr>
        <w:ind w:left="1428" w:right="706" w:firstLine="425"/>
      </w:pPr>
      <w:r>
        <w:t xml:space="preserve">Contadini e contadine […]. Mettete al riparo quanti più generi alimentari possibili. Rifletteteci! Con i nazisti finirà presto, ma voi volete sopravvivere più a lungo. </w:t>
      </w:r>
    </w:p>
    <w:p w:rsidR="00611878" w:rsidRDefault="00672C55">
      <w:pPr>
        <w:pStyle w:val="Titolo4"/>
        <w:ind w:left="1854" w:right="539"/>
      </w:pPr>
      <w:r>
        <w:t>5.Compiti dei gruppi combattenti nelle città e dei guerriglieri nelle zone rurali</w:t>
      </w:r>
      <w:r>
        <w:rPr>
          <w:u w:val="none"/>
        </w:rPr>
        <w:t xml:space="preserve"> </w:t>
      </w:r>
    </w:p>
    <w:p w:rsidR="00611878" w:rsidRDefault="00672C55">
      <w:pPr>
        <w:ind w:left="1428" w:right="706" w:firstLine="425"/>
      </w:pPr>
      <w:r>
        <w:t xml:space="preserve">I gruppi di combattimento e i guerriglieri hanno compiti militari e politici. Attraverso le loro azioni e la loro propaganda devono conquistare la simpatia della popolazione come combattenti per una Germania libera.  </w:t>
      </w:r>
    </w:p>
    <w:p w:rsidR="00611878" w:rsidRDefault="00672C55">
      <w:pPr>
        <w:spacing w:after="155" w:line="248" w:lineRule="auto"/>
        <w:ind w:left="1854" w:right="539"/>
        <w:jc w:val="left"/>
      </w:pPr>
      <w:r>
        <w:rPr>
          <w:u w:val="single" w:color="000000"/>
        </w:rPr>
        <w:t>6.Organizzazione delle rivolte popolari o in parti delle città e nei distretti</w:t>
      </w:r>
      <w:r w:rsidR="0050482E">
        <w:rPr>
          <w:rStyle w:val="Rimandonotaapidipagina"/>
          <w:u w:val="single" w:color="000000"/>
        </w:rPr>
        <w:footnoteReference w:id="132"/>
      </w:r>
      <w:r>
        <w:rPr>
          <w:u w:val="single" w:color="000000"/>
        </w:rPr>
        <w:t xml:space="preserve"> </w:t>
      </w:r>
      <w:r>
        <w:t xml:space="preserve"> </w:t>
      </w:r>
    </w:p>
    <w:p w:rsidR="00611878" w:rsidRPr="0050482E" w:rsidRDefault="00611878">
      <w:pPr>
        <w:spacing w:after="113" w:line="259" w:lineRule="auto"/>
        <w:ind w:left="992" w:right="0" w:firstLine="0"/>
        <w:jc w:val="left"/>
      </w:pPr>
    </w:p>
    <w:p w:rsidR="00611878" w:rsidRDefault="00672C55" w:rsidP="007C08AB">
      <w:pPr>
        <w:spacing w:after="240" w:line="367" w:lineRule="auto"/>
        <w:ind w:left="550" w:right="709" w:firstLine="425"/>
      </w:pPr>
      <w:r>
        <w:rPr>
          <w:sz w:val="24"/>
        </w:rPr>
        <w:t xml:space="preserve">Se si prende in considerazione la documentazione riguardante la propaganda sovietica presente nel Bundesarchiv di Berlino, si può delineare un quadro più completo di una comunicazione in blocco indirizzata alla popolazione civile e volta a tranquillizzare e reclutare uomini e donne, perché ormai la guerra di Hitler è persa. È interessante, inoltre, sottolineare come uno degli obbiettivi chiave della propaganda sia quella di addossare la colpa della guerra </w:t>
      </w:r>
      <w:r>
        <w:rPr>
          <w:sz w:val="24"/>
        </w:rPr>
        <w:lastRenderedPageBreak/>
        <w:t xml:space="preserve">a fantomatici nazisti “fantasma”, senza alcuna personificazione del male se non in Hitler, mai con i tedeschi. La comunicazione per la popolazione civile è volta a far si che le truppe non incontrino ostacoli e vengano aiutati nella lotta al nazismo. Questi messaggi, però, raggiungono i destinatari in maniera del tutto differente: ai civili di lingua tedesca come se fosse un simbolo di pace, mentre per i sovietici e per i partigiani che si uniscono all’Armata Rossa suona come una legittimazione delle violenze. </w:t>
      </w:r>
    </w:p>
    <w:p w:rsidR="00611878" w:rsidRDefault="00672C55">
      <w:pPr>
        <w:spacing w:after="108" w:line="265" w:lineRule="auto"/>
        <w:ind w:left="96" w:right="708"/>
        <w:jc w:val="right"/>
      </w:pPr>
      <w:r>
        <w:rPr>
          <w:sz w:val="24"/>
        </w:rPr>
        <w:t xml:space="preserve">Dai documenti classificati con un </w:t>
      </w:r>
      <w:r>
        <w:rPr>
          <w:i/>
          <w:sz w:val="24"/>
        </w:rPr>
        <w:t>“Geheim”</w:t>
      </w:r>
      <w:r>
        <w:rPr>
          <w:sz w:val="24"/>
        </w:rPr>
        <w:t xml:space="preserve"> ed intitolato </w:t>
      </w:r>
      <w:r>
        <w:rPr>
          <w:i/>
          <w:sz w:val="24"/>
        </w:rPr>
        <w:t xml:space="preserve">„Inhaltsangabe der </w:t>
      </w:r>
    </w:p>
    <w:p w:rsidR="00611878" w:rsidRDefault="00672C55">
      <w:pPr>
        <w:spacing w:after="67" w:line="366" w:lineRule="auto"/>
        <w:ind w:left="561" w:right="707"/>
      </w:pPr>
      <w:r>
        <w:rPr>
          <w:i/>
          <w:sz w:val="24"/>
        </w:rPr>
        <w:t>Flugsblattzeitung – Der Kriegspfad – “ [Sommario del Giornale di guerra “Il sentiero della guerra]</w:t>
      </w:r>
      <w:r>
        <w:rPr>
          <w:sz w:val="24"/>
        </w:rPr>
        <w:t>, n. 608Z</w:t>
      </w:r>
      <w:r>
        <w:rPr>
          <w:i/>
          <w:sz w:val="24"/>
        </w:rPr>
        <w:t xml:space="preserve"> </w:t>
      </w:r>
      <w:r>
        <w:rPr>
          <w:sz w:val="24"/>
        </w:rPr>
        <w:t xml:space="preserve"> dai nazisti, trapela la preoccupazione del governo tedesco per una propaganda sovietica volta anche ad avere l’appoggio della Chiesa </w:t>
      </w:r>
      <w:r>
        <w:t xml:space="preserve">Prima pagina </w:t>
      </w:r>
    </w:p>
    <w:p w:rsidR="00611878" w:rsidRDefault="00672C55">
      <w:pPr>
        <w:spacing w:after="0" w:line="259" w:lineRule="auto"/>
        <w:ind w:left="0" w:right="0" w:firstLine="0"/>
        <w:jc w:val="left"/>
        <w:rPr>
          <w:rFonts w:ascii="Calibri" w:eastAsia="Calibri" w:hAnsi="Calibri" w:cs="Calibri"/>
          <w:sz w:val="20"/>
          <w:lang w:val="de-DE"/>
        </w:rPr>
      </w:pPr>
      <w:r w:rsidRPr="00672C55">
        <w:rPr>
          <w:rFonts w:ascii="Calibri" w:eastAsia="Calibri" w:hAnsi="Calibri" w:cs="Calibri"/>
          <w:sz w:val="20"/>
          <w:lang w:val="de-DE"/>
        </w:rPr>
        <w:t xml:space="preserve"> </w:t>
      </w:r>
    </w:p>
    <w:p w:rsidR="007C08AB" w:rsidRPr="00672C55" w:rsidRDefault="007C08AB">
      <w:pPr>
        <w:spacing w:after="0" w:line="259" w:lineRule="auto"/>
        <w:ind w:left="0" w:right="0" w:firstLine="0"/>
        <w:jc w:val="left"/>
        <w:rPr>
          <w:lang w:val="de-DE"/>
        </w:rPr>
      </w:pPr>
    </w:p>
    <w:p w:rsidR="00611878" w:rsidRDefault="00672C55">
      <w:pPr>
        <w:spacing w:after="28"/>
        <w:ind w:left="1854" w:right="706"/>
      </w:pPr>
      <w:r>
        <w:t xml:space="preserve">Obbiettivo: La nuova frode. Stalin cerca di portare dalla sia parte la Chiesa. </w:t>
      </w:r>
    </w:p>
    <w:p w:rsidR="00611878" w:rsidRDefault="00672C55">
      <w:pPr>
        <w:ind w:left="1428" w:right="706" w:firstLine="425"/>
      </w:pPr>
      <w:r>
        <w:t xml:space="preserve">1.Articoletto: “Il prescelto dal Signore…” Stalin si è mostrato come l’ultimo trionfo della Chiesa. Per un quarto di secolo la Chiesa è stata perseguitata e Jarowlaskj-Gubelmann ha potuto lavoraer con la sua propaganda da senza Dio. Sotto lo schock della Wehrmacht il castello di carte è crollato. </w:t>
      </w:r>
    </w:p>
    <w:p w:rsidR="00611878" w:rsidRDefault="00672C55">
      <w:pPr>
        <w:ind w:left="1428" w:right="706" w:firstLine="425"/>
      </w:pPr>
      <w:r>
        <w:t xml:space="preserve">Con l’aiuto dell’NKWD i seguaci della Chiesa [i cristiani] non vedono più in Stalin “l’unto”. Non è questa la cifra della perdita di supporto? Il 9 Novembre la stampa ha reso pubblico il desiderio dei Metropoliti Sergio e Nicola di indicare Stalin come "Comandante scelto da Dio”. L’immagine di Stalin è mitizzata e questo camuffamento non lo aiuta.  2.Sotto: “Questa la vera situazione sul fronte” (breve panoramica) </w:t>
      </w:r>
    </w:p>
    <w:p w:rsidR="00611878" w:rsidRDefault="00672C55" w:rsidP="00264D17">
      <w:pPr>
        <w:tabs>
          <w:tab w:val="center" w:pos="1419"/>
          <w:tab w:val="center" w:pos="4506"/>
        </w:tabs>
        <w:spacing w:after="28"/>
        <w:ind w:left="1843" w:right="0" w:firstLine="0"/>
        <w:jc w:val="left"/>
      </w:pPr>
      <w:r>
        <w:t xml:space="preserve">3.Caricatura: Lenin – la religione è l’oppio del popolo </w:t>
      </w:r>
    </w:p>
    <w:p w:rsidR="00611878" w:rsidRDefault="00672C55">
      <w:pPr>
        <w:ind w:left="1438" w:right="706"/>
      </w:pPr>
      <w:r>
        <w:t xml:space="preserve">           Stalin – come un crociato: Cosa non si fa quando si è in emergenza…  4.Sotto: “Con la Torah nelle mani. “nell’anniversario della Rivoluzione si assiste ad un restringimento dei differenti desideri al Cremlino. […]. Gli ebrei pregano per la vittoria dell’Armata Rossa, perché questo consentirebbe di versare il loro sangue per gli interessi degli ebrei. Ogni Russo dovrebbe essere impressionato da tutto ciò. (Questo documento è stato riportato in parte). </w:t>
      </w:r>
    </w:p>
    <w:p w:rsidR="00611878" w:rsidRDefault="00672C55">
      <w:pPr>
        <w:spacing w:after="0" w:line="259" w:lineRule="auto"/>
        <w:ind w:left="1419" w:right="0" w:firstLine="0"/>
        <w:jc w:val="left"/>
      </w:pPr>
      <w:r>
        <w:t xml:space="preserve"> </w:t>
      </w:r>
    </w:p>
    <w:p w:rsidR="00611878" w:rsidRDefault="00672C55">
      <w:pPr>
        <w:ind w:left="1438" w:right="706"/>
      </w:pPr>
      <w:r>
        <w:t xml:space="preserve">Pagina 2 </w:t>
      </w:r>
    </w:p>
    <w:p w:rsidR="00611878" w:rsidRDefault="00672C55">
      <w:pPr>
        <w:ind w:left="1438" w:right="706"/>
      </w:pPr>
      <w:r>
        <w:t xml:space="preserve">1.Immagine: Cosacchi antibolscevici </w:t>
      </w:r>
    </w:p>
    <w:p w:rsidR="00611878" w:rsidRDefault="00672C55">
      <w:pPr>
        <w:ind w:left="1438" w:right="706"/>
      </w:pPr>
      <w:r>
        <w:t xml:space="preserve">2.Didascalia: I Cosacchi combattono per la Patria. Il dei volontari Cosacchi, che insieme all’esercito tedesco combattono contro il Bolscevismo, il sistema dei Colkoz, la sconfitta delle potenze antibolsceviche cosacche sono in aumento. </w:t>
      </w:r>
    </w:p>
    <w:p w:rsidR="00611878" w:rsidRDefault="00672C55">
      <w:pPr>
        <w:spacing w:after="34"/>
        <w:ind w:left="1438" w:right="706"/>
      </w:pPr>
      <w:r>
        <w:t xml:space="preserve">3.Vicino: Inghilterra, com’è veramente. Lenin ha preparato gli inglesi al tributo di sangue sotto il regime imperialista. 47 milioni di Inglesi hanno reso schiavi i Boeri, gli Irlandesi, Indiani, ecc. Per ogni Inglese ci sono 10 schiavi. L’Inghilterra ha condotto le sue guerre sempre contro gli altri, e mentre questi versavano il sangue, ha ampliato le sue colonie. […]. </w:t>
      </w:r>
    </w:p>
    <w:p w:rsidR="00611878" w:rsidRDefault="00672C55">
      <w:pPr>
        <w:ind w:left="1438" w:right="706"/>
      </w:pPr>
      <w:r>
        <w:t xml:space="preserve">4.Sotto: […]. „Avanti con il lavoro forzato!” </w:t>
      </w:r>
    </w:p>
    <w:p w:rsidR="00611878" w:rsidRDefault="00672C55">
      <w:pPr>
        <w:spacing w:after="0" w:line="259" w:lineRule="auto"/>
        <w:ind w:left="1844" w:right="0" w:firstLine="0"/>
        <w:jc w:val="left"/>
      </w:pPr>
      <w:r>
        <w:t xml:space="preserve"> </w:t>
      </w:r>
    </w:p>
    <w:p w:rsidR="00611878" w:rsidRDefault="00672C55">
      <w:pPr>
        <w:ind w:left="1438" w:right="706"/>
      </w:pPr>
      <w:r>
        <w:t xml:space="preserve">Pagina 3 </w:t>
      </w:r>
    </w:p>
    <w:p w:rsidR="00611878" w:rsidRDefault="00672C55">
      <w:pPr>
        <w:ind w:left="1438" w:right="706"/>
      </w:pPr>
      <w:r>
        <w:t xml:space="preserve">Nasce una nuova vita. </w:t>
      </w:r>
    </w:p>
    <w:p w:rsidR="00611878" w:rsidRDefault="00672C55">
      <w:pPr>
        <w:spacing w:after="236"/>
        <w:ind w:left="1438" w:right="706"/>
      </w:pPr>
      <w:r>
        <w:t xml:space="preserve">1.Nelle città liberate. Racconti da Plakau, Orel e Kursk a proposito di meravigliose ricostruzioni; l’autosostentamento e l’iniziativa privata nelle città così come la protezione </w:t>
      </w:r>
      <w:r>
        <w:lastRenderedPageBreak/>
        <w:t>delle autorità tedesche hanno contribuito molto alla ricostruzione. Anche i preparativi per l’arrivo dell’inverno sono terminati ovunque positivamente</w:t>
      </w:r>
      <w:r w:rsidR="0050482E">
        <w:rPr>
          <w:rStyle w:val="Rimandonotaapidipagina"/>
        </w:rPr>
        <w:footnoteReference w:id="133"/>
      </w:r>
      <w:r>
        <w:t>.</w:t>
      </w:r>
    </w:p>
    <w:p w:rsidR="00611878" w:rsidRPr="007418B3" w:rsidRDefault="00672C55">
      <w:pPr>
        <w:spacing w:after="0" w:line="259" w:lineRule="auto"/>
        <w:ind w:left="720" w:right="0" w:firstLine="0"/>
        <w:jc w:val="left"/>
        <w:rPr>
          <w:sz w:val="2"/>
          <w:szCs w:val="2"/>
        </w:rPr>
      </w:pPr>
      <w:r w:rsidRPr="007418B3">
        <w:rPr>
          <w:sz w:val="2"/>
          <w:szCs w:val="2"/>
        </w:rPr>
        <w:t xml:space="preserve">    </w:t>
      </w:r>
    </w:p>
    <w:p w:rsidR="007C08AB" w:rsidRDefault="007C08AB" w:rsidP="0050482E">
      <w:pPr>
        <w:spacing w:after="109" w:line="366" w:lineRule="auto"/>
        <w:ind w:left="551" w:right="707" w:firstLine="425"/>
        <w:rPr>
          <w:sz w:val="24"/>
        </w:rPr>
      </w:pPr>
    </w:p>
    <w:p w:rsidR="00611878" w:rsidRDefault="00672C55" w:rsidP="0050482E">
      <w:pPr>
        <w:spacing w:after="109" w:line="366" w:lineRule="auto"/>
        <w:ind w:left="551" w:right="707" w:firstLine="425"/>
        <w:rPr>
          <w:sz w:val="24"/>
        </w:rPr>
      </w:pPr>
      <w:r>
        <w:rPr>
          <w:sz w:val="24"/>
        </w:rPr>
        <w:t xml:space="preserve">Durante gli anni della guerra si erano diffusi molti miti collaterali atti a costruire una visione del nemico deviata, in modo tale da incutere terrore. Una di queste leggende era sicuramente quella dei comunisti mangiatori di bambini, che spingeva le madri a difendere la propria prole dell’Armata Rossa in avanzamento. All’interno del territorio russo sono stati registrati diversi episodi di cannibalismo, soprattutto durante l’assedio di Leningrado. Sono diverse le testimonianze di antropofagia, soprattutto perché in una città che non riceve in nessun modo approvvigionamenti erano finiti anche tutti gli animali. In quella città il cannibalismo </w:t>
      </w:r>
      <w:r>
        <w:rPr>
          <w:sz w:val="24"/>
        </w:rPr>
        <w:lastRenderedPageBreak/>
        <w:t xml:space="preserve">diventa prassi comune, soprattutto se ad essere uccisi sono i bambini appena nati. In realtà non esiste un dato reale sul numero delle vittime, perché nel tentativo da parte dell’Unione Sovietica di occultare le difficoltà oggettive ha spinto la Commissione Municipale di Leningrado atta a stabilire il numero delle vittime da mettere a verbale in occasione del Processo di Norimberga a sottostimare i morti a 623.253, mentre gli studiosi sovietici innalzano il numero a 1.000.000 e quelli internazionali la portano a 2.000.000. Stando alle cifre fornite dagli pompe funebri della città, che stimano in 89.968 le vittime per il mese di marzo 1942 e 102.497 per aprile, si potrebbe ritenere attendibile quello degli storici stranieri. La difficoltà degli approvvigionamenti è acuita anche dalla volontà del regime di evitare il diffondersi delle notizie sull’effettivo stato di Leningrado, anche impedendo la spedizione dei pacchi dono individuali destinati alle organizzazioni della città. La cosiddetta “congiura del silenzio”, come è stata definita da Nadia Cicognini che ha curato la traduzione dei diari, impone alla città ed ai suoi abitanti, di vivere il suo martirio in assoluto isolamento, fisico e psicologico. La volontà, infatti, di andare avanti con la propria vita, mantenendo aperti i luoghi di aggregazione come la biblioteca o il teatro, anche a costo di farli diventare bersagli di eventuali incursioni aeree nemiche, implicano la volontà del regime di nascondere la realtà e le sofferenze anche a se stesso. Nonostante lo stato d’assedio, infatti, è stato possibile organizzare il trasferimento di macchinari industriali e civili in zone più tranquille, partendo dalla stazione “Finlandia” e passando attraverso il lago Ladoga </w:t>
      </w:r>
    </w:p>
    <w:p w:rsidR="007C08AB" w:rsidRDefault="007C08AB" w:rsidP="0050482E">
      <w:pPr>
        <w:spacing w:after="109" w:line="366" w:lineRule="auto"/>
        <w:ind w:left="551" w:right="707" w:firstLine="425"/>
      </w:pPr>
    </w:p>
    <w:p w:rsidR="00611878" w:rsidRDefault="00672C55">
      <w:pPr>
        <w:spacing w:after="32"/>
        <w:ind w:left="1428" w:right="706" w:firstLine="425"/>
      </w:pPr>
      <w:r>
        <w:t>Io e A. G.  Karpov preparammo la prima colonna di autobus. Con questa colonna noi avremmo dovuto attraversare il lago. Noi decidemmo di fare un viaggio di prova con un gruppo di evacuati da Leningrado a Borisovaja Griva. Questo sarebbe stato utile anche per quanto riguardava il trasferimento e il carico. Noi ci convincemmo che un trasporto di massa della popolazione per questa via non era realizzabile, la strada era in pessime condizioni, gli autobus anche, la gente in condizioni tali che certamente non avrebbe resistito alla fatica del viaggio.</w:t>
      </w:r>
      <w:r>
        <w:rPr>
          <w:vertAlign w:val="superscript"/>
        </w:rPr>
        <w:footnoteReference w:id="134"/>
      </w:r>
      <w:r>
        <w:t xml:space="preserve">  </w:t>
      </w:r>
    </w:p>
    <w:p w:rsidR="00611878" w:rsidRDefault="00672C55">
      <w:pPr>
        <w:spacing w:after="121" w:line="259" w:lineRule="auto"/>
        <w:ind w:left="992" w:right="0" w:firstLine="0"/>
        <w:jc w:val="left"/>
        <w:rPr>
          <w:sz w:val="24"/>
        </w:rPr>
      </w:pPr>
      <w:r>
        <w:rPr>
          <w:sz w:val="24"/>
        </w:rPr>
        <w:t xml:space="preserve"> </w:t>
      </w:r>
      <w:r>
        <w:rPr>
          <w:sz w:val="24"/>
        </w:rPr>
        <w:tab/>
        <w:t xml:space="preserve"> </w:t>
      </w:r>
      <w:r>
        <w:rPr>
          <w:sz w:val="24"/>
        </w:rPr>
        <w:tab/>
        <w:t xml:space="preserve"> </w:t>
      </w:r>
    </w:p>
    <w:p w:rsidR="007C08AB" w:rsidRDefault="007C08AB">
      <w:pPr>
        <w:spacing w:after="121" w:line="259" w:lineRule="auto"/>
        <w:ind w:left="992" w:right="0" w:firstLine="0"/>
        <w:jc w:val="left"/>
      </w:pPr>
    </w:p>
    <w:p w:rsidR="00611878" w:rsidRDefault="00672C55" w:rsidP="007C08AB">
      <w:pPr>
        <w:spacing w:after="240" w:line="366" w:lineRule="auto"/>
        <w:ind w:left="551" w:right="709" w:firstLine="425"/>
      </w:pPr>
      <w:r>
        <w:rPr>
          <w:sz w:val="24"/>
        </w:rPr>
        <w:t xml:space="preserve">Per far fronte alla carenza di alimenti e soprattutto di vitamine fondamentali per la sopravvivenza, a partire dal 1942 si è proceduto all’estrazione di 16.200.000 dosi di vitamina C dagli aghi di pino, alleviando un po’ le sofferenze della popolazione sotto assedio ma senza incidere concretamente sulle possibilità di sopravvivenza. Si moltiplicavano, così gli annunci di persone disposte a barattare mobili in mogano o pianoforti Bekker in cambio di un po’di pane, </w:t>
      </w:r>
      <w:r>
        <w:rPr>
          <w:sz w:val="24"/>
        </w:rPr>
        <w:lastRenderedPageBreak/>
        <w:t>ma il problema principale di Leningrado era la mancanza di approvvigionamenti per le difficoltà di comunicazione soprattutto durante la stagione invernale.</w:t>
      </w:r>
      <w:r>
        <w:rPr>
          <w:sz w:val="24"/>
          <w:vertAlign w:val="superscript"/>
        </w:rPr>
        <w:t xml:space="preserve"> </w:t>
      </w:r>
      <w:r>
        <w:rPr>
          <w:sz w:val="24"/>
          <w:vertAlign w:val="superscript"/>
        </w:rPr>
        <w:footnoteReference w:id="135"/>
      </w:r>
      <w:r>
        <w:rPr>
          <w:sz w:val="24"/>
        </w:rPr>
        <w:t xml:space="preserve"> </w:t>
      </w:r>
    </w:p>
    <w:p w:rsidR="00611878" w:rsidRDefault="00672C55" w:rsidP="007C08AB">
      <w:pPr>
        <w:spacing w:after="240" w:line="366" w:lineRule="auto"/>
        <w:ind w:left="551" w:right="709" w:firstLine="567"/>
      </w:pPr>
      <w:r>
        <w:rPr>
          <w:sz w:val="24"/>
        </w:rPr>
        <w:t xml:space="preserve">Dresda era il gioiello artistico della Germania, la perla della Sassonia, con la sua Frauenkirche che domina la città, il suo patrimonio artistico e culturale. Ma non era città aperta. </w:t>
      </w:r>
    </w:p>
    <w:p w:rsidR="00611878" w:rsidRDefault="00672C55" w:rsidP="007C08AB">
      <w:pPr>
        <w:spacing w:after="240" w:line="366" w:lineRule="auto"/>
        <w:ind w:left="561" w:right="709"/>
      </w:pPr>
      <w:r>
        <w:rPr>
          <w:sz w:val="24"/>
        </w:rPr>
        <w:t>Il programma di devastazione degli Alleati non faceva sconti a nessuno. Erano state rase al suolo Monaco di Baviera, Norimberga</w:t>
      </w:r>
      <w:r>
        <w:rPr>
          <w:b/>
          <w:sz w:val="24"/>
        </w:rPr>
        <w:t xml:space="preserve">, </w:t>
      </w:r>
      <w:r>
        <w:rPr>
          <w:sz w:val="24"/>
        </w:rPr>
        <w:t xml:space="preserve">Amburgo. Molti pensavano che Dresda sarebbe stata risparmiata. Invece si sbagliavano. La notte tra il 13 ed il 14 febbraio 1945 i bombardieri della Raf hanno iniziato a sganciare il loro carico di morte con bombe normali ed incendiarie. La popolazione ha cercato di scappare e difendersi il più possibile ma, alla devastazione della notte, ha fatto seguito un altro bombardamento nel pomeriggio. </w:t>
      </w:r>
    </w:p>
    <w:p w:rsidR="00611878" w:rsidRDefault="00672C55" w:rsidP="007C08AB">
      <w:pPr>
        <w:spacing w:after="240" w:line="366" w:lineRule="auto"/>
        <w:ind w:left="551" w:right="709" w:firstLine="567"/>
      </w:pPr>
      <w:r>
        <w:rPr>
          <w:sz w:val="24"/>
        </w:rPr>
        <w:t xml:space="preserve">Per la sua posizione di confine, Dresda aveva accolto decine di migliaia di profughi, spesso anziani, donne e bambini, che si sentivano protetti dal solo fatto di essere dentro i confini del Reich. Il giorno dopo i bombardamenti sono stati inviati 2.000 militari e circa 1.000 prigionieri di guerra per prestare i primi soccorsi. Nel giro di tre giorni si è riuscito a distribuire oltre 600.000 pasti caldi. I dati ufficiali parlano di oltre 18.000 morti ma considerato che molti sono rimasti sepolti sotto le macerie si stima che le vittime possano arrivare a 25.000. </w:t>
      </w:r>
    </w:p>
    <w:p w:rsidR="00611878" w:rsidRDefault="00672C55" w:rsidP="007C08AB">
      <w:pPr>
        <w:spacing w:after="240" w:line="366" w:lineRule="auto"/>
        <w:ind w:left="561" w:right="709"/>
      </w:pPr>
      <w:r>
        <w:rPr>
          <w:sz w:val="24"/>
        </w:rPr>
        <w:t xml:space="preserve">Ovviamente, Goebbels non si è fatto sfuggire l’occasione di cavalcare l’onda dei devastatori, definendo l’attacco a Dresda un “deliberato bombardamento terroristico”, per poi parlare di un piano per lo sterminio totale del popolo tedesco, facendo leva sul grande numero di civili morti. </w:t>
      </w:r>
    </w:p>
    <w:p w:rsidR="00611878" w:rsidRDefault="00672C55" w:rsidP="007C08AB">
      <w:pPr>
        <w:spacing w:after="240" w:line="366" w:lineRule="auto"/>
        <w:ind w:left="561" w:right="709"/>
      </w:pPr>
      <w:r>
        <w:rPr>
          <w:sz w:val="24"/>
        </w:rPr>
        <w:t xml:space="preserve">Tutti i tentativi propagandistici, però, non hanno una grande presa sull’opinione pubblica, anzi. Le devastazioni continue portano la popolazione civile a comprendere che è inutile resistere ad un nemico in grado di cancellare le città tedesche. </w:t>
      </w:r>
    </w:p>
    <w:p w:rsidR="00611878" w:rsidRDefault="00672C55" w:rsidP="007C08AB">
      <w:pPr>
        <w:spacing w:after="240" w:line="259" w:lineRule="auto"/>
        <w:ind w:left="561" w:right="709"/>
        <w:rPr>
          <w:sz w:val="24"/>
        </w:rPr>
      </w:pPr>
      <w:r>
        <w:rPr>
          <w:sz w:val="24"/>
        </w:rPr>
        <w:t xml:space="preserve">È interessante da questo punto di vista una lettera indirizzata a Josef Goebbels il 12 febbraio 1945 </w:t>
      </w:r>
    </w:p>
    <w:p w:rsidR="00264D17" w:rsidRDefault="00264D17">
      <w:pPr>
        <w:spacing w:after="135" w:line="259" w:lineRule="auto"/>
        <w:ind w:left="561" w:right="707"/>
      </w:pPr>
    </w:p>
    <w:p w:rsidR="007C08AB" w:rsidRDefault="007C08AB">
      <w:pPr>
        <w:spacing w:after="135" w:line="259" w:lineRule="auto"/>
        <w:ind w:left="561" w:right="707"/>
      </w:pPr>
    </w:p>
    <w:p w:rsidR="007C08AB" w:rsidRDefault="007C08AB">
      <w:pPr>
        <w:spacing w:after="160" w:line="259" w:lineRule="auto"/>
        <w:ind w:left="0" w:right="0" w:firstLine="0"/>
        <w:jc w:val="left"/>
      </w:pPr>
      <w:r>
        <w:br w:type="page"/>
      </w:r>
    </w:p>
    <w:p w:rsidR="00611878" w:rsidRDefault="00672C55" w:rsidP="004B3A00">
      <w:pPr>
        <w:numPr>
          <w:ilvl w:val="0"/>
          <w:numId w:val="24"/>
        </w:numPr>
        <w:ind w:left="1201" w:right="706" w:hanging="401"/>
      </w:pPr>
      <w:r>
        <w:lastRenderedPageBreak/>
        <w:t xml:space="preserve">Politica dell’alimentazione </w:t>
      </w:r>
    </w:p>
    <w:p w:rsidR="00611878" w:rsidRDefault="00672C55">
      <w:pPr>
        <w:spacing w:after="0" w:line="259" w:lineRule="auto"/>
        <w:ind w:left="1200" w:right="0" w:firstLine="0"/>
        <w:jc w:val="left"/>
      </w:pPr>
      <w:r>
        <w:t xml:space="preserve"> </w:t>
      </w:r>
    </w:p>
    <w:p w:rsidR="00611878" w:rsidRDefault="00672C55">
      <w:pPr>
        <w:ind w:left="1210" w:right="706"/>
      </w:pPr>
      <w:r>
        <w:t xml:space="preserve">Nel corso della riunione di Berlino del Gauleiter Ho lavorato come direttore dell'autorità statistica della REM all’acquisto di documenti sulla situazione alimentare. Questo nonostante l'imminente autostima ancora così bassa che un discorso aperto rischia di aumentare la nostra autostima. Il quadro migliora quando l'alta [illeggibile] (Pianura Padana, Olanda, Norvegia) potrebbe </w:t>
      </w:r>
      <w:r w:rsidR="009319E8">
        <w:t>conquistare valore</w:t>
      </w:r>
      <w:r>
        <w:t>. U</w:t>
      </w:r>
      <w:r w:rsidR="009319E8">
        <w:t>n memorandum che preparo da quel tempo</w:t>
      </w:r>
      <w:r>
        <w:t xml:space="preserve"> sulla gestione delle aree </w:t>
      </w:r>
      <w:r w:rsidR="009319E8">
        <w:t xml:space="preserve">migliori </w:t>
      </w:r>
      <w:r>
        <w:t xml:space="preserve">conferma che le nostre concessioni al governo francese e </w:t>
      </w:r>
      <w:r w:rsidR="009319E8">
        <w:t>ciò che ci causa</w:t>
      </w:r>
      <w:r>
        <w:t xml:space="preserve"> una mancanza di scorte e non il generale ha sottolineato le aree riempite a nostro svantaggio psicologico, </w:t>
      </w:r>
    </w:p>
    <w:p w:rsidR="00611878" w:rsidRDefault="00672C55">
      <w:pPr>
        <w:spacing w:after="0" w:line="259" w:lineRule="auto"/>
        <w:ind w:left="1200" w:right="0" w:firstLine="0"/>
        <w:jc w:val="left"/>
      </w:pPr>
      <w:r>
        <w:t xml:space="preserve"> </w:t>
      </w:r>
    </w:p>
    <w:p w:rsidR="00611878" w:rsidRDefault="00672C55" w:rsidP="004B3A00">
      <w:pPr>
        <w:numPr>
          <w:ilvl w:val="0"/>
          <w:numId w:val="24"/>
        </w:numPr>
        <w:ind w:left="1201" w:right="706" w:hanging="401"/>
      </w:pPr>
      <w:r>
        <w:t xml:space="preserve">I rapporti dell'esercito </w:t>
      </w:r>
    </w:p>
    <w:p w:rsidR="00611878" w:rsidRDefault="00672C55">
      <w:pPr>
        <w:spacing w:after="0" w:line="259" w:lineRule="auto"/>
        <w:ind w:left="1200" w:right="0" w:firstLine="0"/>
        <w:jc w:val="left"/>
      </w:pPr>
      <w:r>
        <w:t xml:space="preserve"> </w:t>
      </w:r>
    </w:p>
    <w:p w:rsidR="00611878" w:rsidRDefault="00672C55">
      <w:pPr>
        <w:ind w:left="1210" w:right="706"/>
      </w:pPr>
      <w:r>
        <w:t xml:space="preserve">Dal momento che El-Alamein ha ripetutamente determinato senza interrompere l'accento sulla "superiorità" dei nostri nemici. Questo non è stato dimostrato, perché da quegli stessi giorni si tratta di un ritorno. [...]. </w:t>
      </w:r>
    </w:p>
    <w:p w:rsidR="00611878" w:rsidRDefault="00672C55">
      <w:pPr>
        <w:spacing w:after="0" w:line="259" w:lineRule="auto"/>
        <w:ind w:left="1200" w:right="0" w:firstLine="0"/>
        <w:jc w:val="left"/>
      </w:pPr>
      <w:r>
        <w:t xml:space="preserve"> </w:t>
      </w:r>
    </w:p>
    <w:p w:rsidR="00611878" w:rsidRDefault="00672C55" w:rsidP="00264D17">
      <w:pPr>
        <w:ind w:left="851" w:right="706"/>
      </w:pPr>
      <w:r>
        <w:t>3.</w:t>
      </w:r>
      <w:r w:rsidR="00264D17">
        <w:t xml:space="preserve">  </w:t>
      </w:r>
      <w:r>
        <w:t xml:space="preserve">Propaganda </w:t>
      </w:r>
    </w:p>
    <w:p w:rsidR="00611878" w:rsidRDefault="00672C55">
      <w:pPr>
        <w:spacing w:after="0" w:line="259" w:lineRule="auto"/>
        <w:ind w:left="1200" w:right="0" w:firstLine="0"/>
        <w:jc w:val="left"/>
      </w:pPr>
      <w:r>
        <w:t xml:space="preserve"> </w:t>
      </w:r>
    </w:p>
    <w:p w:rsidR="00611878" w:rsidRDefault="00672C55">
      <w:pPr>
        <w:ind w:left="1210" w:right="706"/>
      </w:pPr>
      <w:r>
        <w:t xml:space="preserve">Sulla stampa il quotidiano di massa supera il temperamento sanguigno. La lunga salita occorre farla diventare un'abitudine. Dobbiamo avere una reazione collerica nei confronti di notizie sanguinose e che potrebbero portare lo scoraggiamento. Questa decisione a "Empire" di Held Ancora stampa quotidiana deve essere notificata. Le conseguenze della sconfitta della Germania è esauriente e convincente. Troppo ha un effetto paralizzante. L’immaginare le conseguenze di una vittoria tedesca </w:t>
      </w:r>
      <w:r w:rsidR="007F53E3">
        <w:t xml:space="preserve">innescerebbe </w:t>
      </w:r>
      <w:r>
        <w:t xml:space="preserve">un effetto suggestivo positivo. </w:t>
      </w:r>
    </w:p>
    <w:p w:rsidR="00611878" w:rsidRDefault="00672C55">
      <w:pPr>
        <w:spacing w:after="0" w:line="259" w:lineRule="auto"/>
        <w:ind w:left="1200" w:right="0" w:firstLine="0"/>
        <w:jc w:val="left"/>
      </w:pPr>
      <w:r>
        <w:t xml:space="preserve"> </w:t>
      </w:r>
    </w:p>
    <w:p w:rsidR="00611878" w:rsidRDefault="00264D17" w:rsidP="00264D17">
      <w:pPr>
        <w:ind w:left="851" w:right="706"/>
      </w:pPr>
      <w:r>
        <w:t xml:space="preserve">4.    </w:t>
      </w:r>
      <w:r w:rsidR="00672C55">
        <w:t xml:space="preserve">La conoscenza contro il credo </w:t>
      </w:r>
    </w:p>
    <w:p w:rsidR="00611878" w:rsidRDefault="00672C55">
      <w:pPr>
        <w:spacing w:after="0" w:line="259" w:lineRule="auto"/>
        <w:ind w:left="1200" w:right="0" w:firstLine="0"/>
        <w:jc w:val="left"/>
      </w:pPr>
      <w:r>
        <w:t xml:space="preserve"> </w:t>
      </w:r>
    </w:p>
    <w:p w:rsidR="00611878" w:rsidRDefault="00672C55">
      <w:pPr>
        <w:ind w:left="1210" w:right="706"/>
      </w:pPr>
      <w:r>
        <w:t xml:space="preserve">La matematica è la scienza dell'infinitamente piccolo (differenziale). La fede è la conoscenza dell'infinitamente grande. Dove matematica (teoria degli insiemi) trattati con l'infinitamente grande, si è conclusa con paradossi. La fede debole, avrebbe fornito un sostegno di questo tipo e buoni servizi. Forse questa conoscenza porta ad un superamento spirituale del giudaismo.Squadre di demolizione </w:t>
      </w:r>
    </w:p>
    <w:p w:rsidR="00611878" w:rsidRDefault="00672C55">
      <w:pPr>
        <w:spacing w:after="0" w:line="259" w:lineRule="auto"/>
        <w:ind w:left="1200" w:right="0" w:firstLine="0"/>
        <w:jc w:val="left"/>
      </w:pPr>
      <w:r>
        <w:t xml:space="preserve"> </w:t>
      </w:r>
    </w:p>
    <w:p w:rsidR="00611878" w:rsidRDefault="00672C55" w:rsidP="00264D17">
      <w:pPr>
        <w:ind w:left="851" w:right="706"/>
      </w:pPr>
      <w:r>
        <w:t xml:space="preserve">5. </w:t>
      </w:r>
      <w:r w:rsidR="00264D17">
        <w:t xml:space="preserve">    L</w:t>
      </w:r>
      <w:r>
        <w:t xml:space="preserve">ibertà nella capitale </w:t>
      </w:r>
    </w:p>
    <w:p w:rsidR="00611878" w:rsidRDefault="00672C55">
      <w:pPr>
        <w:spacing w:after="0" w:line="259" w:lineRule="auto"/>
        <w:ind w:left="1200" w:right="0" w:firstLine="0"/>
        <w:jc w:val="left"/>
      </w:pPr>
      <w:r>
        <w:t xml:space="preserve"> </w:t>
      </w:r>
    </w:p>
    <w:p w:rsidR="00264D17" w:rsidRDefault="00672C55">
      <w:pPr>
        <w:ind w:left="1210" w:right="706"/>
      </w:pPr>
      <w:r>
        <w:t xml:space="preserve">I Duds sono un nuovo terrore dell'aria che ha fatto fuggire la popolazione terrorizzata. Questo può essere fatto immediatamente in innocui prodotti di comando volontario di Sprang. Uno sforzo relativo a questo lavoro non mancherà Ho completato un corso di formazione per iscriversi come # 1. Si perde quando i detenuti sono impiegati per un tale onore servizi.Sacrificio </w:t>
      </w:r>
    </w:p>
    <w:p w:rsidR="00264D17" w:rsidRDefault="00264D17">
      <w:pPr>
        <w:ind w:left="1210" w:right="706"/>
      </w:pPr>
    </w:p>
    <w:p w:rsidR="00264D17" w:rsidRDefault="00672C55" w:rsidP="00264D17">
      <w:pPr>
        <w:ind w:left="851" w:right="706"/>
      </w:pPr>
      <w:r>
        <w:t>6.</w:t>
      </w:r>
      <w:r w:rsidR="00264D17">
        <w:t xml:space="preserve">    </w:t>
      </w:r>
      <w:r>
        <w:t>Anziani, lasciat</w:t>
      </w:r>
      <w:r w:rsidR="00264D17">
        <w:t>e alle giovani vite.</w:t>
      </w:r>
    </w:p>
    <w:p w:rsidR="00264D17" w:rsidRDefault="00264D17">
      <w:pPr>
        <w:ind w:left="1210" w:right="706"/>
      </w:pPr>
    </w:p>
    <w:p w:rsidR="00611878" w:rsidRDefault="00672C55">
      <w:pPr>
        <w:ind w:left="1210" w:right="706"/>
      </w:pPr>
      <w:r>
        <w:t>Quando è impostato sul servizio da arma da fuoco è vista solo l'età, non l'idoneità. È inutile sacrificare i giovani mentre il vecchio, servito, servizio di campo materialmente compatibile che spinge verso la parte anteriore, si vede a disposizione. Ci ha messo in libertà vigilata Vecchio battaglione. I traditori del popolo la perdono non la popolazione.</w:t>
      </w:r>
      <w:r w:rsidR="007F53E3">
        <w:rPr>
          <w:rStyle w:val="Rimandonotaapidipagina"/>
        </w:rPr>
        <w:footnoteReference w:id="136"/>
      </w:r>
    </w:p>
    <w:p w:rsidR="00611878" w:rsidRPr="00A12F02" w:rsidRDefault="00672C55">
      <w:pPr>
        <w:spacing w:after="0" w:line="259" w:lineRule="auto"/>
        <w:ind w:left="1200" w:right="0" w:firstLine="0"/>
        <w:jc w:val="left"/>
        <w:rPr>
          <w:sz w:val="2"/>
          <w:szCs w:val="2"/>
        </w:rPr>
      </w:pPr>
      <w:r w:rsidRPr="00A12F02">
        <w:rPr>
          <w:sz w:val="2"/>
          <w:szCs w:val="2"/>
        </w:rPr>
        <w:lastRenderedPageBreak/>
        <w:t xml:space="preserve">    </w:t>
      </w:r>
    </w:p>
    <w:p w:rsidR="00611878" w:rsidRDefault="00672C55" w:rsidP="007F53E3">
      <w:pPr>
        <w:spacing w:after="146" w:line="366" w:lineRule="auto"/>
        <w:ind w:left="551" w:right="707" w:firstLine="569"/>
        <w:rPr>
          <w:sz w:val="24"/>
        </w:rPr>
      </w:pPr>
      <w:r>
        <w:rPr>
          <w:sz w:val="24"/>
        </w:rPr>
        <w:t xml:space="preserve">Alla fine di questo paragrafo, è interessante sottolineare che, contamporaneamente alle premessa di odio, vendetta e violenza reciproca tra sovietici e nazisti, nel Regno Unito c’era il Bombing Restriction Cometee che si interrogava sull’utilità dei bombardamenti e la necessità di limitare al minimo la violenza sui civili </w:t>
      </w:r>
    </w:p>
    <w:p w:rsidR="007C08AB" w:rsidRDefault="007C08AB" w:rsidP="007F53E3">
      <w:pPr>
        <w:spacing w:after="146" w:line="366" w:lineRule="auto"/>
        <w:ind w:left="551" w:right="707" w:firstLine="569"/>
      </w:pPr>
    </w:p>
    <w:p w:rsidR="00611878" w:rsidRPr="00672C55" w:rsidRDefault="00672C55">
      <w:pPr>
        <w:ind w:left="1428" w:right="706" w:firstLine="566"/>
        <w:rPr>
          <w:lang w:val="en-GB"/>
        </w:rPr>
      </w:pPr>
      <w:r>
        <w:t xml:space="preserve">“Bombarda, brucia e distruggi senza pietà” Mentre la nazione britannica sta vincendo la guerra, non rischia forse di dannarsi l’anima? Non stiamo accumulando nel cuore dei tedeschi un tale odio verso di noi che neppure condizioni di pace vantaggiose potranno mai estinguere? Non risentiremo, un giorno, il trauma della nostra brutale condotta? Qual’è la posizione del governo? Il 28 luglio 1943 alla Camera dei Comuni il Primo ministro Attlee ha dichiarato: “Non ci sono bombardamenti indiscriminati”. Sir Archibald Sinclair, ministro dell’aviazione, quando gli fu chiesto “se gli stessi criteri di discriminazione adottati per Roma erano applicati per altri centri”, rispose: “Si applicano ovunque gli stessi principi”. È impossibile conciliare queste affermazioni ministeriali sulla politica britannica di bombardamento con i rapporti di fonti neutrali dei bombardamenti a tappeto delle città tedesche e italiane avvenuti successivamente a tali dichiarazioni. L’orrore di Amburgo Nel caso di Amburgo, una città di oltre un milione di abitanti, se è vero che sul fronte a mare vi erano importanti obiettivi militari, come officine di costruzione e riparazione di sottomarini, è indubbio che i bombardamenti non si sono limitati a queste aree: l’intera città è stata colpita da bombardamenti intensivi. Un testimone oculare così ha scritto sul giornale svizzero “National-Zeitung”: “Siamo passati per vie, piazze e anche quartieri che sono stati completamente rasi al suolo. Ovunque, cadaveri carbonizzati e feriti privi di soccorso. Finché vivremo non potremo </w:t>
      </w:r>
      <w:r>
        <w:lastRenderedPageBreak/>
        <w:t xml:space="preserve">mai dimenticare quelle vie di Amburgo. Corpi di adulti carbonizzati erano ridotti alle dimensioni di quelle di un bambino. Le donne vagavano fuori di senno. Quella notte il più vasto quartiere operaio della città è stato spazzato via” (Citato in “Reynold News”, 8 agosto 1943). Una prima stima delle persone uccise nelle otto intense incursioni su Amburgo è stata di 58.000 vittime. Il bilancio finale era probabilmente maggiore (da una notizia da Stoccolma, “The Daily Telegraph”, 9 agosto 1943). Diciottomila persone sono affogate quando il Tunnel Elbe è stato colpito durante un’incursione su Amburgo (notizia Reuter da Zurigo, “The Daily Telegraph”, 25 agosto 1943). Un fuochista che aveva disertato da una nave tedesca disse al corrispondente da Stoccolma del “The Daily Telegraph”: “La gente impazziva nei rifugi e si gettava con le unghie e con i denti contro le porte chiuse alle loro spalle dai guardiani” (“The Daily Telegraph”, 25 agosto 1943). Secondo altri resoconti, a causa del calore intenso provocato dagli incendi, le persone morivano di soffocamento all’interno dei rifugi (“The Daily Telegraph”, 12 agosto 1943). La distruzione del centro storico di Colonia Un cittadino svizzero, residente a Colonia dal 1936, una città di 750.000 abitanti, in una dichiarazione pubblicata sul giornale svizzero “St. Galen Tagblatt” (citato da “The Daily Telegraph”, 8 agosto 1943) così descrisse l’incursione del 28 luglio: “Ad eccezione della cattedrale e di alcune case isolate, l’antico centro di Colonia non esiste più. Tra gli edifici distrutti, il Town Hall, l’Hansa Hall, con la sua famosa facciata gotica, come pure il Wallraf Richatz Museum”. Le dimensioni della devastazione sono state confermate dal Ministero britannico dell’aviazione il 13 agosto, quando affermò, sulla base delle fotografie aeree, che l’80% del centro storico di Colonia e il 75% dei quartieri densamente popolati sulla riva destra del Reno erano stati distrutti. Anche le città italiane Dopo aver subito ripetute incursioni, Milano è descritta da un corrispondente come “una città dei morti, in cui 9 case su dieci sono state completamente distrutte” (“Evening News”, 17 agosto 1943). Il corrispondente da Milano del quotidiano svizzero “Die Tat” (citato da “The Daily Telegraph”, 17 agosto 1943) ha scritto: “La città sta morendo. Ogni cosa è in pieno caos. Incendi ovunque. Il centro cittadino è un cumulo di macerie ... A migliaia hanno perso la vita e giacciono sepolti sotto i detriti”. Secondo un inviato speciale del “The Daily Telegraph” (17 agosto) le strade che da Milano conducono alla frontiera svizzera sono intasate di profughi con i nervi a pezzi. Si dice che a migliaia stiano morendo ai margini delle strade dallo sfinimento e dalla fame. Questo è il trattamento riservato ai lavoratori industriali delle città del Nord Italia, i veri alleati delle Nazioni Unite nella lotta contro il fascismo. È solo l’inizio Secondo un rapporto B.U.P dal Quebec del 18 agosto, si sta pianificando una grande offensiva aerea contro la Germania in cui almeno 50 delle maggiori città tedesche subiranno lo stesso destino di Amburgo entro Natale (“The Daily Telegraph”, 19 agosto 1943). Il ministro dell’Informazione Brendan Bracken, in una dichiarazione alla stampa del Quebec il 19 agosto, ha affermato: “I nostri piani sono di bombardare, bruciare e distruggere senza pietà in ogni modo possibile il popolo responsabile di questa guerra. Il governo si è già assunto l’impegno di portare in tribunale i responsabili della guerra”. La politica di Bracken – e presumibilmente stava parlando a nome di Churchill e di Roosevelt – è di bombardare, bruciare e distruggere senza pietà e senza processo coloro che non sono responsabili della guerra, comprese molte migliaia di bambini. Nel frattempo il Comitato internazionale della Croce Rossa il 24 luglio 1943 ha pubblicato un appello rivolto a tutti i belligeranti in cui “ancora una volta li esortava a salvaguardare i diritti naturali dell’individuo alla giustizia e alla protezione da misure arbitrarie, di astenersi dal considerare l’individuo responsabile per atti da lui non commessi e di rinunciare alla distruzione indiscriminata e, in particolare, di rinunciare ad usare metodi di guerra proibiti dal diritto internazionale” (“The Times”, 10 agosto 1943, dal corrispondente da Ginevra). (Questo appello non deve essere inteso come riferito esclusivamente agli eccessi della guerra aerea). Al governo britannico si dovrebbe chiedere di dichiarare se condivide le reiterate affermazioni dei ministri che gli attacchi aerei sono limitati agli obiettivi militari o se ha intenzione di compiere incursioni aeree a tappeto con l’obiettivo di distruggere completamente centri abitati da civili, nonostante gli affermati principi del diritto internazionale e di quelli dell’umanità. Rivolgiamo un appello al governo britannico, ai capi delle Chiese cristiane e al popolo di questo paese perché ci si soffermi a riflettere prima di persistere in metodi di guerra che implicano un </w:t>
      </w:r>
      <w:r>
        <w:lastRenderedPageBreak/>
        <w:t xml:space="preserve">massacro tanto indiscriminato. </w:t>
      </w:r>
      <w:r w:rsidRPr="00672C55">
        <w:rPr>
          <w:lang w:val="en-GB"/>
        </w:rPr>
        <w:t>The Bombing Restriction Commitee, 49 Parliament Hill, London, N.W. 3.</w:t>
      </w:r>
      <w:r>
        <w:rPr>
          <w:vertAlign w:val="superscript"/>
        </w:rPr>
        <w:footnoteReference w:id="137"/>
      </w:r>
      <w:r w:rsidRPr="00672C55">
        <w:rPr>
          <w:sz w:val="24"/>
          <w:lang w:val="en-GB"/>
        </w:rPr>
        <w:t xml:space="preserve"> </w:t>
      </w:r>
    </w:p>
    <w:p w:rsidR="00611878" w:rsidRPr="00672C55" w:rsidRDefault="00672C55">
      <w:pPr>
        <w:spacing w:after="112" w:line="259" w:lineRule="auto"/>
        <w:ind w:left="566" w:right="0" w:firstLine="0"/>
        <w:jc w:val="left"/>
        <w:rPr>
          <w:lang w:val="en-GB"/>
        </w:rPr>
      </w:pPr>
      <w:r w:rsidRPr="00672C55">
        <w:rPr>
          <w:sz w:val="24"/>
          <w:lang w:val="en-GB"/>
        </w:rPr>
        <w:t xml:space="preserve"> </w:t>
      </w:r>
    </w:p>
    <w:p w:rsidR="00611878" w:rsidRPr="00672C55" w:rsidRDefault="00672C55">
      <w:pPr>
        <w:spacing w:after="115" w:line="259" w:lineRule="auto"/>
        <w:ind w:left="566" w:right="0" w:firstLine="0"/>
        <w:jc w:val="left"/>
        <w:rPr>
          <w:lang w:val="en-GB"/>
        </w:rPr>
      </w:pPr>
      <w:r w:rsidRPr="00672C55">
        <w:rPr>
          <w:sz w:val="24"/>
          <w:lang w:val="en-GB"/>
        </w:rPr>
        <w:t xml:space="preserve"> </w:t>
      </w:r>
    </w:p>
    <w:p w:rsidR="00611878" w:rsidRPr="00672C55" w:rsidRDefault="00672C55">
      <w:pPr>
        <w:spacing w:after="112" w:line="259" w:lineRule="auto"/>
        <w:ind w:left="566" w:right="0" w:firstLine="0"/>
        <w:jc w:val="left"/>
        <w:rPr>
          <w:lang w:val="en-GB"/>
        </w:rPr>
      </w:pPr>
      <w:r w:rsidRPr="00672C55">
        <w:rPr>
          <w:sz w:val="24"/>
          <w:lang w:val="en-GB"/>
        </w:rPr>
        <w:t xml:space="preserve"> </w:t>
      </w:r>
    </w:p>
    <w:p w:rsidR="00611878" w:rsidRPr="00672C55" w:rsidRDefault="00672C55" w:rsidP="00264D17">
      <w:pPr>
        <w:spacing w:after="115" w:line="259" w:lineRule="auto"/>
        <w:ind w:left="566" w:right="0" w:firstLine="0"/>
        <w:jc w:val="left"/>
        <w:rPr>
          <w:lang w:val="en-GB"/>
        </w:rPr>
      </w:pPr>
      <w:r w:rsidRPr="00672C55">
        <w:rPr>
          <w:sz w:val="24"/>
          <w:lang w:val="en-GB"/>
        </w:rPr>
        <w:t xml:space="preserve">  </w:t>
      </w:r>
    </w:p>
    <w:p w:rsidR="00611878" w:rsidRPr="00672C55" w:rsidRDefault="00672C55">
      <w:pPr>
        <w:spacing w:after="115" w:line="259" w:lineRule="auto"/>
        <w:ind w:left="566" w:right="0" w:firstLine="0"/>
        <w:jc w:val="left"/>
        <w:rPr>
          <w:lang w:val="en-GB"/>
        </w:rPr>
      </w:pPr>
      <w:r w:rsidRPr="00672C55">
        <w:rPr>
          <w:sz w:val="24"/>
          <w:lang w:val="en-GB"/>
        </w:rPr>
        <w:t xml:space="preserve"> </w:t>
      </w:r>
    </w:p>
    <w:p w:rsidR="00611878" w:rsidRPr="00672C55" w:rsidRDefault="00672C55">
      <w:pPr>
        <w:spacing w:after="112" w:line="259" w:lineRule="auto"/>
        <w:ind w:left="566" w:right="0" w:firstLine="0"/>
        <w:jc w:val="left"/>
        <w:rPr>
          <w:lang w:val="en-GB"/>
        </w:rPr>
      </w:pPr>
      <w:r w:rsidRPr="00672C55">
        <w:rPr>
          <w:sz w:val="24"/>
          <w:lang w:val="en-GB"/>
        </w:rPr>
        <w:t xml:space="preserve"> </w:t>
      </w:r>
    </w:p>
    <w:p w:rsidR="00611878" w:rsidRPr="00672C55" w:rsidRDefault="00672C55">
      <w:pPr>
        <w:spacing w:after="115" w:line="259" w:lineRule="auto"/>
        <w:ind w:left="566" w:right="0" w:firstLine="0"/>
        <w:jc w:val="left"/>
        <w:rPr>
          <w:lang w:val="en-GB"/>
        </w:rPr>
      </w:pPr>
      <w:r w:rsidRPr="00672C55">
        <w:rPr>
          <w:sz w:val="24"/>
          <w:lang w:val="en-GB"/>
        </w:rPr>
        <w:t xml:space="preserve"> </w:t>
      </w:r>
    </w:p>
    <w:p w:rsidR="00611878" w:rsidRPr="00672C55" w:rsidRDefault="00672C55">
      <w:pPr>
        <w:spacing w:after="112" w:line="259" w:lineRule="auto"/>
        <w:ind w:left="566" w:right="0" w:firstLine="0"/>
        <w:jc w:val="left"/>
        <w:rPr>
          <w:lang w:val="en-GB"/>
        </w:rPr>
      </w:pPr>
      <w:r w:rsidRPr="00672C55">
        <w:rPr>
          <w:sz w:val="24"/>
          <w:lang w:val="en-GB"/>
        </w:rPr>
        <w:t xml:space="preserve"> </w:t>
      </w:r>
    </w:p>
    <w:p w:rsidR="00611878" w:rsidRPr="00672C55" w:rsidRDefault="00672C55">
      <w:pPr>
        <w:spacing w:after="115" w:line="259" w:lineRule="auto"/>
        <w:ind w:left="566" w:right="0" w:firstLine="0"/>
        <w:jc w:val="left"/>
        <w:rPr>
          <w:lang w:val="en-GB"/>
        </w:rPr>
      </w:pPr>
      <w:r w:rsidRPr="00672C55">
        <w:rPr>
          <w:sz w:val="24"/>
          <w:lang w:val="en-GB"/>
        </w:rPr>
        <w:t xml:space="preserve"> </w:t>
      </w:r>
    </w:p>
    <w:p w:rsidR="00611878" w:rsidRPr="00672C55" w:rsidRDefault="00672C55">
      <w:pPr>
        <w:spacing w:after="0" w:line="259" w:lineRule="auto"/>
        <w:ind w:left="566" w:right="0" w:firstLine="0"/>
        <w:jc w:val="left"/>
        <w:rPr>
          <w:lang w:val="en-GB"/>
        </w:rPr>
      </w:pPr>
      <w:r w:rsidRPr="00672C55">
        <w:rPr>
          <w:sz w:val="24"/>
          <w:lang w:val="en-GB"/>
        </w:rPr>
        <w:t xml:space="preserve"> </w:t>
      </w:r>
    </w:p>
    <w:p w:rsidR="007C08AB" w:rsidRDefault="007C08AB">
      <w:pPr>
        <w:spacing w:after="160" w:line="259" w:lineRule="auto"/>
        <w:ind w:left="0" w:right="0" w:firstLine="0"/>
        <w:jc w:val="left"/>
        <w:rPr>
          <w:b/>
          <w:sz w:val="32"/>
          <w:lang w:val="en-GB"/>
        </w:rPr>
      </w:pPr>
      <w:r>
        <w:rPr>
          <w:lang w:val="en-GB"/>
        </w:rPr>
        <w:br w:type="page"/>
      </w:r>
    </w:p>
    <w:p w:rsidR="00611878" w:rsidRPr="00672C55" w:rsidRDefault="00672C55">
      <w:pPr>
        <w:pStyle w:val="Titolo2"/>
        <w:ind w:left="411"/>
        <w:rPr>
          <w:lang w:val="en-GB"/>
        </w:rPr>
      </w:pPr>
      <w:r w:rsidRPr="00672C55">
        <w:rPr>
          <w:lang w:val="en-GB"/>
        </w:rPr>
        <w:lastRenderedPageBreak/>
        <w:t>4.</w:t>
      </w:r>
      <w:r w:rsidRPr="00672C55">
        <w:rPr>
          <w:rFonts w:ascii="Arial" w:eastAsia="Arial" w:hAnsi="Arial" w:cs="Arial"/>
          <w:lang w:val="en-GB"/>
        </w:rPr>
        <w:t xml:space="preserve"> </w:t>
      </w:r>
      <w:r w:rsidRPr="00672C55">
        <w:rPr>
          <w:lang w:val="en-GB"/>
        </w:rPr>
        <w:t xml:space="preserve">La fine </w:t>
      </w:r>
    </w:p>
    <w:p w:rsidR="00611878" w:rsidRPr="00672C55" w:rsidRDefault="00672C55">
      <w:pPr>
        <w:spacing w:after="116" w:line="259" w:lineRule="auto"/>
        <w:ind w:left="566" w:right="0" w:firstLine="0"/>
        <w:jc w:val="left"/>
        <w:rPr>
          <w:lang w:val="en-GB"/>
        </w:rPr>
      </w:pPr>
      <w:r w:rsidRPr="00672C55">
        <w:rPr>
          <w:b/>
          <w:sz w:val="24"/>
          <w:lang w:val="en-GB"/>
        </w:rPr>
        <w:t xml:space="preserve"> </w:t>
      </w:r>
    </w:p>
    <w:p w:rsidR="00611878" w:rsidRDefault="00672C55">
      <w:pPr>
        <w:pStyle w:val="Titolo3"/>
        <w:ind w:left="561"/>
      </w:pPr>
      <w:r>
        <w:t>1)</w:t>
      </w:r>
      <w:r>
        <w:rPr>
          <w:rFonts w:ascii="Arial" w:eastAsia="Arial" w:hAnsi="Arial" w:cs="Arial"/>
        </w:rPr>
        <w:t xml:space="preserve"> </w:t>
      </w:r>
      <w:r>
        <w:t xml:space="preserve">La deportazione dei tedeschi </w:t>
      </w:r>
    </w:p>
    <w:p w:rsidR="00611878" w:rsidRDefault="00672C55">
      <w:pPr>
        <w:spacing w:after="152" w:line="259" w:lineRule="auto"/>
        <w:ind w:left="561" w:right="707"/>
      </w:pPr>
      <w:r>
        <w:rPr>
          <w:sz w:val="24"/>
        </w:rPr>
        <w:t xml:space="preserve">La guerra aveva ormai preso un verso definitivo che non sarebbe stato possibile cambiare. </w:t>
      </w:r>
    </w:p>
    <w:p w:rsidR="00611878" w:rsidRDefault="00672C55">
      <w:pPr>
        <w:spacing w:after="46" w:line="366" w:lineRule="auto"/>
        <w:ind w:left="561" w:right="707"/>
      </w:pPr>
      <w:r>
        <w:rPr>
          <w:sz w:val="24"/>
        </w:rPr>
        <w:t xml:space="preserve">L’ineluttibilità degli eventi era già chiara alla fine del 1943. Come descritto da Jörg Friedrich in </w:t>
      </w:r>
      <w:r>
        <w:rPr>
          <w:i/>
          <w:sz w:val="24"/>
        </w:rPr>
        <w:t xml:space="preserve">La Germania bombardata </w:t>
      </w:r>
      <w:r>
        <w:rPr>
          <w:sz w:val="24"/>
        </w:rPr>
        <w:t>durante quel dicembre nei negozi delle maggiori città erano terminati i beni secondari come le scarpe da bambino, i vestiti e le bacinelle, oltre alla difficoltà sempre maggiore nel reperimento di beni di prima necessità, segno di un’emergenza percepita, anche se sempre più esorcizzata. Un’ulteriore segnale che aumentava la percezione della precarietà che si viveva all’interno dei confini naturali della Germania erano gli annunci radiofonici dati con sempre maggior difficoltà dalle speaker che incespicavano continuamente nel leggere le notizie.</w:t>
      </w:r>
      <w:r>
        <w:rPr>
          <w:sz w:val="24"/>
          <w:vertAlign w:val="superscript"/>
        </w:rPr>
        <w:footnoteReference w:id="138"/>
      </w:r>
      <w:r>
        <w:rPr>
          <w:sz w:val="24"/>
        </w:rPr>
        <w:t xml:space="preserve"> </w:t>
      </w:r>
    </w:p>
    <w:p w:rsidR="00611878" w:rsidRDefault="00672C55">
      <w:pPr>
        <w:spacing w:line="366" w:lineRule="auto"/>
        <w:ind w:left="561" w:right="707"/>
      </w:pPr>
      <w:r>
        <w:rPr>
          <w:sz w:val="24"/>
        </w:rPr>
        <w:t xml:space="preserve">Durante la Prima Guerra Mondiale, le deportazioni della popolazione civile di origine tedesca in Siberia da parte dei russi era una prassi comune per sottrarre la possibilità per l’esercito tedesco di avere l’eventuale supporto di sabotaggi da parte dei civili </w:t>
      </w:r>
    </w:p>
    <w:p w:rsidR="00611878" w:rsidRDefault="00672C55">
      <w:pPr>
        <w:spacing w:after="41"/>
        <w:ind w:left="1438" w:right="706"/>
      </w:pPr>
      <w:r>
        <w:t>Al disorientamento dei prussiani fece da contrappeso l’atteggiamento di sospetto e di paura dei russi. Tra le truppe zariste si riteneva infatti che la popolazione tedesca potesse sostenere attivamente l’esercito. Il timore di una guerra partigiana, di una Franktirateurskrieg, ispirò le azioni degli occupanti, dando luogo in taluni casi ad abusi ed eccessi non sempre giustificabili dalle circostanze. Sin dai primi giorni dell’offensiva fu infatti emanata una serie di proclami volti a tutelare e proteggere l’esercito russo, regolando l’esistenza dei prussiani e spezzando sul nascere qualsiasi possibile forma di resistenza. Coprifuoco, consegna preventiva delle armi, divieto di suonare le campane o di utilizzare il telegrafo, obbligo di consegna delle derrate alimentari su richiesta dell’occupante, queste alcune delle misure più note che furono introdotte. Sequestri, saccheggi, incendi, arresti ed impiccagioni, le pene usuali per la presunta o reale inosservanza delle disposizioni russe. In questo clima dominato dal sospetto e dalla tensione s’inserisce la deportazione. L’esercito zarista procedette non solo alla cattura di tutti gli uomini ancora presenti sul territorio ritenuti in grado di militare nelle forze armate regolari tedesche28 e considerati pertanto una potenziale minaccia, ma anche di migliaia di donne, fanciulli, invalidi ed anziani che non erano riusciti o non avevano voluto fuggire.</w:t>
      </w:r>
      <w:r>
        <w:rPr>
          <w:vertAlign w:val="superscript"/>
        </w:rPr>
        <w:footnoteReference w:id="139"/>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Gli anni tra il 1939 ed il 1945 causano uno stravolgimento della popolazione ad est dei fiumi Oder e Naisse che non ha precedenti. Si calcola che la popolazione polacca sia passata da 35 a 24 milioni; degli 11 milioni di morti si stima che 7 siano frutto della politica di annientamento continua e costante su tutto il territorio e che siano morti per le stragi compiute, la fame o i </w:t>
      </w:r>
      <w:r>
        <w:rPr>
          <w:sz w:val="24"/>
        </w:rPr>
        <w:lastRenderedPageBreak/>
        <w:t xml:space="preserve">combattimenti. Numeri ai quali si aggiungono i profughi tedeschi costretti a partire alla fine della guerra. Tra loro Günter Grass che analizza in questo modo l’esilio subito dal popolo tedesco al termine del secondo conflitto mondiale: </w:t>
      </w:r>
    </w:p>
    <w:p w:rsidR="00611878" w:rsidRDefault="00672C55">
      <w:pPr>
        <w:spacing w:after="30"/>
        <w:ind w:left="1438" w:right="706"/>
      </w:pPr>
      <w:r>
        <w:t>Vergogna e desolazione. Poiché i crimini compiuti da noi tedeschi hanno prodotto altre sofferenze, nuove ingiustizie e la perdita della patria. Milioni di cittadini della Prussia occidentale e orientale, della Pomerania, e della Slesia hanno dovuto lasciare le loro terre. Un danno del genere non è risarcibile. Su questi profughi sono ricadute, in modo molto più duraturo che sugli altri tedeschi, le conseguenze della guerra persa, e questa divisione iniqua ha creato molta amarezza in quelle generazioni. Alcuni non l’hanno ancora oggi superata. […] Tutto ciò trova una risposta nell’umanità, nella sua ubbidienza irresponsabile e anche in quella hybreis di dichiarare il tutto-o-niente quale volontà del popolo tedesco, cosa quest’ultima contraria a ogni legge. Infine, quando tutto è stato sommerso nel dolore, non voler vedere niente.</w:t>
      </w:r>
      <w:r>
        <w:rPr>
          <w:vertAlign w:val="superscript"/>
        </w:rPr>
        <w:footnoteReference w:id="140"/>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È in questa fase di migrazione forzata, di sradicamento dalle proprie radici che dilagano le violenze sessuali intese come parte integrante della punizione e del prezzo da pagare da parte dei vinti nei confronti dei vincitori. </w:t>
      </w:r>
    </w:p>
    <w:p w:rsidR="00611878" w:rsidRDefault="00672C55">
      <w:pPr>
        <w:spacing w:line="366" w:lineRule="auto"/>
        <w:ind w:left="561" w:right="707"/>
      </w:pPr>
      <w:r>
        <w:rPr>
          <w:sz w:val="24"/>
        </w:rPr>
        <w:t xml:space="preserve">Il fenomeno degli stupri, soprattutto negli ultimi anni del conflitto, è assolutamente fuori controllo per carenze istituzionali da parte degli eserciti. Molte volte la violenza è vissuta dalle stesse vittime come se fosse qualcosa di ineluttabile, anche in aree lontane dal fronte di guerra. Si calcola che in Irlanda del Nord e Gran Bretagna ci sia un aumento di più del 50% tra il 1939 e il 1945, come se la guerra portasse ad un abbrutimento complessivo del genere maschile. Lo stupro si diffonde maggiormente laddove è maggiore la differenza culturale tra le truppe occupanti e la popolazione civile, così come avvenuto in Prussia Orientale, Slesia, Pomerania, dove la violenza è come un’orgia medievale. </w:t>
      </w:r>
    </w:p>
    <w:p w:rsidR="00611878" w:rsidRDefault="00672C55">
      <w:pPr>
        <w:spacing w:line="366" w:lineRule="auto"/>
        <w:ind w:left="561" w:right="707"/>
      </w:pPr>
      <w:r>
        <w:rPr>
          <w:sz w:val="24"/>
        </w:rPr>
        <w:t>Le testimonianze delle violenze sul fronte orientale vengono anche dalla parte sovietica, dove combattono intellettuali sensibili come Koplev e Solzenicyn che raccontano di bande di stupratori. Gli stupri aumentano in maniera esponenziale con l’avanzata dell’Armata Rossa. Si stima che alla fine del conflitto, ci siano stati circa 2 milioni di aborti illegali e 200.000-150.000 nati dalle violenze in tutto il territorio orientale del Reich.</w:t>
      </w:r>
      <w:r>
        <w:rPr>
          <w:sz w:val="24"/>
          <w:vertAlign w:val="superscript"/>
        </w:rPr>
        <w:footnoteReference w:id="141"/>
      </w:r>
      <w:r>
        <w:rPr>
          <w:sz w:val="24"/>
        </w:rPr>
        <w:t xml:space="preserve"> </w:t>
      </w:r>
    </w:p>
    <w:p w:rsidR="00611878" w:rsidRDefault="00672C55">
      <w:pPr>
        <w:spacing w:line="366" w:lineRule="auto"/>
        <w:ind w:left="561" w:right="707"/>
      </w:pPr>
      <w:r>
        <w:rPr>
          <w:sz w:val="24"/>
        </w:rPr>
        <w:t xml:space="preserve">Il 3 settembre 1939, all’indomani dell’invasione della Polonia da parte della Wehrmacht, la popolazione di Bromberg, oggi Bydgoszcz, aveva risposto all’attacco con una violenza cieca e brutale nei confronti dei loro vicini di casa di origine tedesca: le loro case erano state distrutte e coloro che avevano opposto resistenza erano stati uccisi. Le foto dell’epoca, scattate dai </w:t>
      </w:r>
      <w:r>
        <w:rPr>
          <w:sz w:val="24"/>
        </w:rPr>
        <w:lastRenderedPageBreak/>
        <w:t xml:space="preserve">fotografi nazisti, testimoniano l’orrore che la propaganda di Goebbles si affrettò subito a definire come </w:t>
      </w:r>
      <w:r>
        <w:rPr>
          <w:i/>
          <w:sz w:val="24"/>
        </w:rPr>
        <w:t>la domenica di sangue</w:t>
      </w:r>
      <w:r>
        <w:rPr>
          <w:sz w:val="24"/>
        </w:rPr>
        <w:t>. Al contrario della strage di Nemmersdorf, in questo caso nessuno parla mai di violenze sessuali.</w:t>
      </w:r>
      <w:r>
        <w:rPr>
          <w:sz w:val="24"/>
          <w:vertAlign w:val="superscript"/>
        </w:rPr>
        <w:footnoteReference w:id="142"/>
      </w:r>
      <w:r>
        <w:rPr>
          <w:sz w:val="24"/>
        </w:rPr>
        <w:t xml:space="preserve"> Occorre sottolineare che la presenza tedesca nei territori orientali era molto radicata e risaliva al 1200 e si mescolava con diverse lingue e culture in maniera omogenea e senza problemi. Per comprendere questo fenomeno, occorre considerare che l’Università di Praga era considerata la seconda università di lingua tedesca e questo aveva favorito lo sviluppo di una forte comunità di lingua tedesca; inoltre, osservando la conformazione di città come Danzica, Königsberg, Libau Revel e Dorpat si possono notare analogie nelle conformazioni e nell’architettura, come nei portali, nelle case, nelle stazioni,... anche la comunità ebraica era molto integrata anche con i cittadini di lingua tedesca. Questa fusione è evidente nello sviluppo dell’yiddish. Come sottolinea Duffy l’elemento che porta allo scontro è il razzismo </w:t>
      </w:r>
    </w:p>
    <w:p w:rsidR="00611878" w:rsidRDefault="00672C55">
      <w:pPr>
        <w:spacing w:after="33"/>
        <w:ind w:left="1438" w:right="706"/>
      </w:pPr>
      <w:r>
        <w:t>Il razzismo, l'ideologia e il nazionalismo combinato per rendere Hitler era AIMS molto ampio anzi quando è andato in guerra con l'Unione Sovietica nel giugno 1941 per i nazisti destinati a guidare più di 30 milioni di russi in Siberia e aprire la quattro Reich Commissariati del Baltico costa (Ostland), Moscovia, Ucraina e il Caucaso di colonizzazione tedesca. A ovest degli Urali sopravvissuti russi dovevano essere ridotto a schiavi e vassalli, ei loro figli dovevano essere dati solo quanto l'istruzione come li predisposto per i loro compiti umili. Le forze tedesche cominciarono a massacrare i civili non appena attraversato il confine, e l'opera delle SS Einsatzgruppen nelle aree acquisite, insieme con stragi casuali da parte delle altre forze, già rappresentato per centinaia di cani di migliaia di morti, anche prima dell'omicidio industrializzati della Shoah ha aperto nel 1942.</w:t>
      </w:r>
      <w:r>
        <w:rPr>
          <w:vertAlign w:val="superscript"/>
        </w:rPr>
        <w:footnoteReference w:id="143"/>
      </w:r>
      <w:r>
        <w:t xml:space="preserve">    </w:t>
      </w:r>
    </w:p>
    <w:p w:rsidR="00611878" w:rsidRDefault="00672C55">
      <w:pPr>
        <w:spacing w:after="115" w:line="259" w:lineRule="auto"/>
        <w:ind w:left="1419" w:right="0" w:firstLine="0"/>
        <w:jc w:val="left"/>
      </w:pPr>
      <w:r>
        <w:rPr>
          <w:sz w:val="24"/>
        </w:rPr>
        <w:t xml:space="preserve">  </w:t>
      </w:r>
    </w:p>
    <w:p w:rsidR="00611878" w:rsidRDefault="00672C55">
      <w:pPr>
        <w:spacing w:line="366" w:lineRule="auto"/>
        <w:ind w:left="561" w:right="707"/>
      </w:pPr>
      <w:r>
        <w:rPr>
          <w:sz w:val="24"/>
        </w:rPr>
        <w:t xml:space="preserve">Qualche giorno dopo a Berlino è giunta una questione differente, in una lettera indirizzata al capo della polizia della città, datata 8 settembre 1939, infatti, si legge </w:t>
      </w:r>
    </w:p>
    <w:p w:rsidR="00611878" w:rsidRDefault="00672C55">
      <w:pPr>
        <w:ind w:left="1438" w:right="706"/>
      </w:pPr>
      <w:r>
        <w:t xml:space="preserve">Nel Registro delle Associazioni cosa </w:t>
      </w:r>
    </w:p>
    <w:p w:rsidR="00611878" w:rsidRDefault="00672C55">
      <w:pPr>
        <w:ind w:left="1438" w:right="706"/>
      </w:pPr>
      <w:r>
        <w:t>Dell’occupazione del Reich, l’Associazione Cristiana</w:t>
      </w:r>
      <w:r w:rsidR="007F53E3">
        <w:t xml:space="preserve"> per la cura del</w:t>
      </w:r>
      <w:r>
        <w:t xml:space="preserve"> Rifugiato e </w:t>
      </w:r>
      <w:r w:rsidR="007F53E3">
        <w:t>per l’</w:t>
      </w:r>
      <w:r>
        <w:t xml:space="preserve">Assistenza Sociale [assistenza sociale] per persone danneggiate, tende a prendersi cura dei disoccupati all’estero e in terra coloniale tedesca, mi dice che il processo di § 73 BGB aleggia ancora. </w:t>
      </w:r>
    </w:p>
    <w:p w:rsidR="00611878" w:rsidRDefault="00672C55">
      <w:pPr>
        <w:ind w:left="1438" w:right="706"/>
      </w:pPr>
      <w:r>
        <w:lastRenderedPageBreak/>
        <w:t xml:space="preserve">Una consultazione con l'ingegnere capo Pollnau circa la privazione previsto della capacità giuridica non potrebbe essere portato in quanto </w:t>
      </w:r>
      <w:r w:rsidR="007F53E3">
        <w:t>il</w:t>
      </w:r>
      <w:r>
        <w:t xml:space="preserve"> Pollnau all'indirizzo Haolzmarktstr 50</w:t>
      </w:r>
      <w:r w:rsidR="007F53E3">
        <w:t xml:space="preserve"> il messaggio non ha raggiunto il destinatario</w:t>
      </w:r>
      <w:r>
        <w:t>.</w:t>
      </w:r>
      <w:r>
        <w:rPr>
          <w:vertAlign w:val="superscript"/>
        </w:rPr>
        <w:footnoteReference w:id="144"/>
      </w:r>
      <w:r>
        <w:t xml:space="preserve">         </w:t>
      </w:r>
    </w:p>
    <w:p w:rsidR="00611878" w:rsidRDefault="00672C55">
      <w:pPr>
        <w:spacing w:after="113" w:line="259" w:lineRule="auto"/>
        <w:ind w:left="566" w:right="0" w:firstLine="0"/>
        <w:jc w:val="left"/>
      </w:pPr>
      <w:r>
        <w:rPr>
          <w:sz w:val="24"/>
        </w:rPr>
        <w:t xml:space="preserve"> </w:t>
      </w:r>
    </w:p>
    <w:p w:rsidR="00611878" w:rsidRDefault="00672C55">
      <w:pPr>
        <w:spacing w:line="366" w:lineRule="auto"/>
        <w:ind w:left="561" w:right="707"/>
      </w:pPr>
      <w:r>
        <w:rPr>
          <w:sz w:val="24"/>
        </w:rPr>
        <w:t xml:space="preserve">Sei anni dopo, con l’Armata Rossa in avanzata su Berlino, gli alti responsabili di partito erano perfettamente consapevoli dell’ineluttabilità della sconfitta, organizzando la propria fuga, garantendosi l’incolumità, come testimonia una lettera inviata a Martin Bormann il 3 gennaio 1945: </w:t>
      </w:r>
    </w:p>
    <w:p w:rsidR="00611878" w:rsidRDefault="00672C55">
      <w:pPr>
        <w:spacing w:after="37"/>
        <w:ind w:left="1438" w:right="706"/>
      </w:pPr>
      <w:r>
        <w:t>Dopo che il distretto del Reichskommissariat è stato evacuato, ho ordinato che i familiari di coloro che vivevano nell’amministrazione civile fossero portati all’interno del Reich. Quindi, anche la mia famiglia il 6 luglio ha abbandonato i territori orientali.</w:t>
      </w:r>
      <w:r>
        <w:rPr>
          <w:vertAlign w:val="superscript"/>
        </w:rPr>
        <w:t>146</w:t>
      </w:r>
      <w:r>
        <w:t xml:space="preserve"> </w:t>
      </w:r>
    </w:p>
    <w:p w:rsidR="00611878" w:rsidRDefault="00672C55">
      <w:pPr>
        <w:spacing w:after="117" w:line="259" w:lineRule="auto"/>
        <w:ind w:left="566" w:right="0" w:firstLine="0"/>
        <w:jc w:val="left"/>
      </w:pPr>
      <w:r>
        <w:rPr>
          <w:sz w:val="24"/>
        </w:rPr>
        <w:t xml:space="preserve"> </w:t>
      </w:r>
    </w:p>
    <w:p w:rsidR="00611878" w:rsidRDefault="00672C55">
      <w:pPr>
        <w:spacing w:after="0" w:line="259" w:lineRule="auto"/>
        <w:ind w:left="0" w:right="0" w:firstLine="0"/>
        <w:jc w:val="left"/>
      </w:pPr>
      <w:r>
        <w:rPr>
          <w:rFonts w:ascii="Calibri" w:eastAsia="Calibri" w:hAnsi="Calibri" w:cs="Calibri"/>
          <w:strike/>
        </w:rPr>
        <w:t xml:space="preserve">                                                         </w:t>
      </w:r>
      <w:r>
        <w:rPr>
          <w:rFonts w:ascii="Calibri" w:eastAsia="Calibri" w:hAnsi="Calibri" w:cs="Calibri"/>
        </w:rPr>
        <w:t xml:space="preserve"> </w:t>
      </w:r>
    </w:p>
    <w:p w:rsidR="00611878" w:rsidRDefault="00672C55">
      <w:pPr>
        <w:spacing w:line="366" w:lineRule="auto"/>
        <w:ind w:left="561" w:right="707"/>
      </w:pPr>
      <w:r>
        <w:rPr>
          <w:sz w:val="24"/>
        </w:rPr>
        <w:t xml:space="preserve">Anche il governatore della Polonia, Otto Frank, ha organizzato la sua fuga da Cracovia, lasciando il suo protettorato nel caos. La vicenda è narrata dal figlio Niklas nel famoso libro </w:t>
      </w:r>
      <w:r>
        <w:rPr>
          <w:i/>
          <w:sz w:val="24"/>
        </w:rPr>
        <w:lastRenderedPageBreak/>
        <w:t>Der Vater</w:t>
      </w:r>
      <w:r>
        <w:rPr>
          <w:sz w:val="24"/>
        </w:rPr>
        <w:t xml:space="preserve">, scritto per infangare la memoria del padre ulteriormente, in una sorta di rito purificatore, svelando le sue abitudini e la sua risolutezza, come nel caso della fuga da Cracovia: </w:t>
      </w:r>
    </w:p>
    <w:p w:rsidR="00611878" w:rsidRDefault="00672C55">
      <w:pPr>
        <w:spacing w:after="43"/>
        <w:ind w:left="1438" w:right="706"/>
      </w:pPr>
      <w:r>
        <w:t>Il 16 gennaio 1945 è giunto il momento. […]. “Il signor Governatore Generale lascia il suo castello di Cracovia scortato da una colonna di autovetture, in una splendida giornata di sole invernale”. Cosa darei per parlare con quei polacchi che per primi sono entrati nel castello, dopo la tua partenza. Ciò che mi interessa ardentemente è come sembra che tu abbia lasciato le tue stanze, chi fosse “il perfetto polacco”, al quale Tu hai affidato le chiavi del castello, cosa hanno trovato nelle lettere, negli atti, nelle fotografie, le uniformi, sembra che tu abbia lasciato le docce sporche, il lavandino ancora pulito dei resti della pulizia dei denti, l’ultima mattina hai anche fatto una doccia</w:t>
      </w:r>
      <w:r>
        <w:rPr>
          <w:vertAlign w:val="superscript"/>
        </w:rPr>
        <w:footnoteReference w:id="145"/>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after="30" w:line="366" w:lineRule="auto"/>
        <w:ind w:left="561" w:right="707"/>
      </w:pPr>
      <w:r>
        <w:rPr>
          <w:sz w:val="24"/>
        </w:rPr>
        <w:t xml:space="preserve">Tra le persone comuni, che non potevano contare sulle informazioni riservate, solamente nel gennaio 1945 il dubbio ha cominciato ad insinuarsi. I profughi, che provenivano dalla Prussia </w:t>
      </w:r>
    </w:p>
    <w:p w:rsidR="00611878" w:rsidRDefault="00672C55">
      <w:pPr>
        <w:spacing w:line="366" w:lineRule="auto"/>
        <w:ind w:left="561" w:right="707"/>
      </w:pPr>
      <w:r>
        <w:rPr>
          <w:sz w:val="24"/>
        </w:rPr>
        <w:t xml:space="preserve">Orientale, raccontavano che il fronte si era sgretolato e che l’avanzata dei sovietici era ormai ineluttabile </w:t>
      </w:r>
    </w:p>
    <w:p w:rsidR="00611878" w:rsidRDefault="00672C55">
      <w:pPr>
        <w:ind w:left="1438" w:right="706"/>
      </w:pPr>
      <w:r>
        <w:t xml:space="preserve">Il 22 gennaio 1945 sono fuggita da Mauenfelde con i miei due bambini, i miei genitori e due sorelle. Siamo arrivati sino a Dixen presso Landsberg/Ostpreussen, qui ci presero i russi il 3 febbraio del 1945. Per prima cosa fummo completamente depredati e mia sorella 17enne fu subito stuprata da un russo. Il russo era molto ubriaco e le squarciò i vestiti e la biancheria da capo a piedi con un coltello. Nella notte seguente tornò per due volte da mia sorella. Il giorno dopo due uomini furono uccisi da noi. Erano russi, che erano rimasti in Germania dalla guerra del 1914-18 e avevano sposato donne tedesche. Il 6 febbraio del 1945 i soldati tedeschi riconquistarono Dixen e costrinsero i sovietici ad arretrare di qualche chilometro. Poiché però le truppe tedesche non avevano più munizioni per poter continuare a difendersi, la sera dello stesso giorno furono nuovamente respinti. Dixen rimase tutto il giorno sotto un pesante bombardamento, nel corso del quale molti soldati e civili tedeschi persero la vita. Non potevamo più essere evacuati. La sera i russi presero nuovamente Dixen, ci saccheggiarono senza tregua. Ci fecero scendere dai carri e ci misero in colonna. Alcuni poterono mantenere i loro mezzi di trasporto, tuttavia davanti a questi carri furono attaccati soltanto i cavalli vecchi o ammalati. Si doveva andare verso Henriettenhof nel kreis Rastenburg/Ostpreussen. Per strada dovemmo registrarci presso i presidi russi. Gli uomini che erano ancora con noi furono perquisiti per trovare orologi e armi. Noi donne fummo prese e violentate. A Bartenstein (Prussia orientale) fui stuprata da diversi russi presso il comando russo (antico municipio). Mia sorella di 13 anni e mezzo fu anch’essa presa e molestata da cinque russi. Poiché piangeva e urlava, un russo le puntò la pistola al petto. In seguito noi proseguimmo oltre. Poco prima di Henriettenhof dovemmo rimanere ancora otto giorni nel bosco perchè i soldati russi erano ancora nel villaggio e ci volevano dirigere verso un’altra località. Dopo la partenza dei </w:t>
      </w:r>
      <w:r>
        <w:lastRenderedPageBreak/>
        <w:t xml:space="preserve">militari russi noi fummo mandate nei campi al lavoro. Qui dovemmo svolgere lavori di sistemazione e sepoltura di innumerevoli cadaveri. Il primo giorno dovemmo occuparci di 17 persone (donne e bambini) che si erano impiccate e stavano ancora tutte appese in una casa; prima dovemmo sfilare le corde dal collo e poi seppellirli. Poi trovammo 28 uomini che erano stati uccisi dai russi in modo atroce [Grausam]. Fra i cadaveri si trovava un anziano signore privo di gambe, il cui intero corpo presentava ferite da coltello. Gli altri 27 uomini erano anch’essi assassinati a pugnalate. Quando noi avevamo seppellito in una fossa comune questi cadaveri, dovemmo estrarre i cadaveri dal laghetto lì vicino. Questi cadaveri erano irriconoscibili. Spesso noi estraevamo soltanto singoli arti del corpo. Non posso purtroppo indicare quanti cadaveri ci fossero in questo laghetto. In seguito, a circa due chilometri da Henriettenhof abbiamo trovato altri 28 soldati delle SS che molto probabilmente si erano suicidati. Accanto ad ogni uomo c’era ancora la pistola. Non erano mutilati, bensì avevano un colpo alla testa. Trovammo e seppellimmo ancora alcuni membri della Volkssturm, soldati e civili. Scavammo fosse comuni e li ricoprimmo subito con la terra. Alcuni giorni dopo diverse donne furono convocate per un lavoro di sepoltura poco lontano, a Schönfliess, anch’io avrei dovuto andarci. Il lavoro dei giorni precedenti mi aveva segnato e dissi di essere malata. Le donne che fecero ritorno mi raccontarono queste cose [fine p. 490]: a Schönfliess i russi avevano concentrato tutte le donne incinte dei dintorni e violentate fino all’ultimo respiro. Molte donne erano state legate ad un albero. Erano stati loro tagliati i seni ed erano state sventrate. Molte donne giacevano a terra con le pance sfregiate. Erano in tutto 300 donne tedesche incinte che qui furono uccise in modo orribile. Queste donne furono sepolte in due fosse comuni in un bosco presso Schönfliess. Quando poi nel villaggio terminammo i lavori di sgombero, a Henriettenhof fu radunato un gran numero di bovini e noi dovemmo nutrirli e mungerli. I russi vennero in paese con i camion e cercarono tutte le donne più giovani; queste vennero poi rapite e portate in Russia. Fra queste c’era anche mia sorella diciassettenne. Poco dopo tutti gli uomini vennero radunati e deportati. Mio padre che aveva già 56 anni, dovette anch’egli salire sul convoglio. Mia madre si ammalò gravemente e morì a Henriettenhof. Poco tempo dopo fui presa anch’io e separata dai miei due bambini. Mia sorella di 13 anni e mezzo rimase indietro con i miei due figli, da sola. Io fui portata in prigione a Rastenburg. In celle minuscole furono sistemate innumerevoli donne. Io ero in un piccolo ufficio insieme a 120 donne. Noi potevamo solamente stare sedute strette una accanto all’altra sul pavimento di cemento. Le finestre e le porte erano sbarrate e perciò l’aria nella stanza era viziata e soffocante. Due volte al giorno, sotto sorveglianza, potevamo uscire per i bisogni. Questo doveva sempre avvenire a passo veloce. Molte donne che non potevano più camminare velocemente ricevevano dei colpi sulla schiena con grossi bastoni. Gran parte delle donne, a causa della cattiva alimentazione, soffrivano di tifo e di dissenteria. Per queste fu posto un secchio nella stanza e loro dovevano fare lì i propri bisogni. Quelle che erano gravemente ammalate andarono in un’altra stanza e rimasero lì distese fino a che non morirono. Non c’erano né medici né infermieri. Due volte al giorno ricevevamo una zuppa acquosa, più raramente pane. Quando entrava una sentinella russa, dovevamo subito alzarci e rimanere in piedi fino a quando non aveva lasciato la stanza. Quelle che non si alzavano in fretta venivano picchiate. Dopo tre settimane io fui interrogata e arrivai in un campo di lavoro a Rawlack, a nove chilometri da Rastenburg. Qui, ogni giorno, anche la domenica, dovetti lavorare molto duramente dalla mattina alla sera. Ricevevamo soltanto una zuppa di patate acquosa. Dopo sei settimane sono fuggita da lì per tornare indietro a Henriettenhof nella speranza di ritrovarvi i miei figli e mia sorella; vi trovai invece soltanto la tomba di mia madre. Allora passai per il nostro villaggio natale di Mauenfelde. Durante il trasferimento fui assalita due volte dai russi e stuprata. Quando arrivai a Mauenfelde nemmeno lì trovai i miei parenti. Volevo tornare di nuovo indietro a Gerdauen e registrarmi presso il comando locale. Per strada trovai una anziana signora che mi raccontò che mio padre, mia sorella e i due bambini vivevano a Wilhelmshof, che distava quattro chilometri. Io andai dunque a Wilhelmshof. Qui tutti noi dovemmo lavorare duramente in un kolchoz militare. Io dovevo mungere le vacche. In questo modo stavamo di nuovo un po’ meglio. Noi ricevevamo cibo migliore e perfino un po’ di pane. Qui abbiamo lavorato sino al novembre 1945. Poi i militari russi furono rimandati in </w:t>
      </w:r>
      <w:r>
        <w:lastRenderedPageBreak/>
        <w:t xml:space="preserve">Unione Sovietica. Portarono con sé il bestiame e il raccolto. I campi erano privi di tutto e da quel momento noi non ricevemmo più niente da mangiare. Un giorno un russo apparve nel nostro villaggio e, quando ci vide, ci diede subito due cavalli e un carro e ci fece andare a Grunheim, kreis Gerdauen in un kolchoz civile. Qui noi dovemmo di nuovo lavorare duramente; le donne svolgevano il pesante lavoro maschile: io dovevo arare il campo per tutto il giorno con quattro cavalli. I cavalli erano tutti molto deboli e ricevevano poco da mangiare. Col passare del tempo sono tutti crepati. Per il nostro lavoro [fine p. 491] ricevevamo mezzo chilo di farina di segale al giorno; i bambini e gli anziani che non potevano più lavorare non ricevevano niente. Quindi di notte dovevamo andare nei campi e negli orti a rubare qualcosa. Poi abbiamo disseppellito i cavalli morti e mangiato la carne ancora commestibile. I nostri bambini cercavano ortiche, bietole e bucce di patate fra i mucchi di rifiuti. Nel febbraio del 1947 mio padre morì di fame; mia sorella, poiché aveva portato via dal kolchoz alcune patate, fu picchiata dai russi e imprigionata per tre giorni all’interno del comando e poi trattenuta altri due giorni al comando principale, quindi rimase per cinque giorni senza mangiare né bere. Al comando venne violentata da un russo. Quando lo denunciò ai superiori, mia sorella venne derisa. Questo accadde il 6 giugno del 1947. Mia sorella andò dal giudice e poi a Friedland/Ostpreussen, dove fu condannata a due anni di Siberia a causa del furto. Fu poi però rilasciata. Poiché la fame in Prussia Orientale si faceva sempre più seria, e noi riuscivamo malapena a muoverci a causa dello sfinimento, ci decidemmo ad andare in Lituania. Fino a Insterburg andammo con un treno merci, da Insterburg sino a Tilsit proseguimmo a piedi su strade di campagna. Marciammo per alcuni giorni. Frutta non matura e bacche erano il nostro sostentamento. Da Tilsit noi abbiamo proseguito verso la Lituania sul predellino di un treno passeggeri. Durante il tragitto alcune volte siamo finiti giù ma siamo stati rapidi ad arrampicarci di nuovo. Giungemmo in Lituania. Girammo attraverso questo paese a chiedere l’elemosina. I lituani ci hanno quasi sempre dato qualcosa. Col passare del tempo riuscimmo a riprenderci un po’. Singolarmente potemmo lavorare presso i contadini e in questo modo ricevemmo in cambio un po’ di cibo. Così tirammo avanti fino al 1949, quando fummo registrati. Da questo momento in poi potemmo muoverci in Lituania in modo un po’ più libero; potevamo rimanere presso i contadini e non dovevamo più nasconderci dalla milizia. Nell’autunno del 1949 fu introdotto in Lituania il sistema economico dei kolchoz, i lituani furono sottomessi perché i contadini dovevano lavorare come servi nei loro stessi appezzamenti se ancora non erano stati deportati in Siberia. In quell’anno ci fu in Lituania un grande crisi alimentare; anno dopo anno la situazione peggiorava sempre di più: il popolo non chiedeva più niente di ciò che poteva essere di sua proprietà. I pochi contadini ancora rimasti vennero un poco alla volta espropriati e deportati in Siberia. Essi dovettero sottoscrivere con la forza che loro consegnavano volontariamente le loro proprietà allo stato russo. Durante il viaggio di ritorno attraverso la Prussia Orientale ho dovuto constatare che là dalla fine della guerra non era ancora cambiato nulla. Nei campi crescono soltanto erbacce e le case distrutte non sono ancora state ricostruite; per quanto abbia potuto vedere con i miei occhi dal treno, non ho visto alcun terreno che fosse coltivato; a Gerdauen soltanto gli insediamenti della periferia non sono stati distrutti nel corso degli ultimi combattimenti; in queste case oggi abitano i russi. Sul campanile della chiesa di Gerdauen sventola la bandiera rossa. Nei campi e nelle strade si vedono raramente della persone. Là ci sono moltissimi soldati che spesso fanno esercitazioni. Nei territori della Prussia Orientale occupati dai polacchi, invece, la campagna, per quanto potei vedere, è coltivata con cura. Le fattorie contadine distrutte sono state ricostruite e appaiono ordinate. Nei campi si vedono begli esemplari di vacche e cavalli. Tutto ciò che è stato occupato dai polacchi fa una impressione decisamente migliore rispetto al territorio occupato dai russi. Noi siamo arrivati nel campo di quarantena di Wolfen nella zona orientale. Noi, poiché non avevamo alcuna autorizzazione al passaggio, fummo subito spediti a Borstel presso Stendal a casa di un contadino [fine p. 492]. Presso questo contadino siamo rimasti per otto settimane. In questo periodo, era la fine del giugno 1951, una donna di Stendal, che cercava nel bosco pigne di abete e legname, fu aggredita e violentata da un soldato russo, il quale stazionava all’aeroporto di </w:t>
      </w:r>
    </w:p>
    <w:p w:rsidR="00611878" w:rsidRDefault="00672C55">
      <w:pPr>
        <w:ind w:left="1438" w:right="706"/>
      </w:pPr>
      <w:r>
        <w:lastRenderedPageBreak/>
        <w:t xml:space="preserve">Borstel. Il soldato russo era ubriaco. La donna denunciò l’aggressione al comandante dell’aeroporto e quest’ultimo le chiese se era in grado di affermare al 100% che si trattava di un russo, visto che casi del genere da loro non accadevano. La donna confermò che l’uomo aveva un’uniforme russa, al che il comandante rispose che si trattava senza dubbio di un tedesco in divisa russa. La donna comprese che non doveva dire più nulla e se ne tornò a casa. A Borstel nell’allora aeroporto ci sono moltissimi militari russi. L’aeroporto stesso, per quanto noi potemmo vedere dalla strada, era tutto pieno di armi. Atterravano moltissimi aerei di tutti i tipi. </w:t>
      </w:r>
    </w:p>
    <w:p w:rsidR="00611878" w:rsidRDefault="00672C55">
      <w:pPr>
        <w:spacing w:after="28"/>
        <w:ind w:left="1438" w:right="706"/>
      </w:pPr>
      <w:r>
        <w:t>Il bosco dell’aeroporto fu interdetto ai civili. Ciò che si svolge là dentro non sono in grado di riferirlo. Nel frattempo nella zona orientale eravamo venuti a sapere attraverso il servizio di ricerca di persone della Croce Rossa di Amburgo, che la sorella diciassettenne, che era stata deportata in Russia, aveva già fatto ritorno in Germania nel 1949 e si trovava nella zona occidentale. Io ricevetti di lì a poco dal Lager di Friedland un’autorizzazione al passaggio ad ovest. Dopo quattro settimane ho ricevuto il visto per passare da una zona all’altra. Ho detto la sola verità e sono sempre pronta a prestare giuramento sulle dichiarazioni rese.</w:t>
      </w:r>
      <w:r>
        <w:rPr>
          <w:vertAlign w:val="superscript"/>
        </w:rPr>
        <w:footnoteReference w:id="146"/>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Questa testimonianza, oltre a narrare lo sgretolamento progressivo del fronte che comportava l’innalzamento del livello di barbarie tra i russi, racconta anche delle vendette cieche e trasversali dei tedeschi nei confronti dei russi. È interessante, però, come la frase </w:t>
      </w:r>
      <w:r>
        <w:rPr>
          <w:i/>
          <w:sz w:val="24"/>
        </w:rPr>
        <w:t xml:space="preserve">il giorno dopo due uomini furono uccisi da noi. Erano russi, che erano rimasti in Germania dalla guerra del 1914-18 e avevano sposato donne tedesche </w:t>
      </w:r>
      <w:r>
        <w:rPr>
          <w:sz w:val="24"/>
        </w:rPr>
        <w:t>riveli come le rivendicazioni tedesche si rifacciano su persone che si erano integrate nel corso del tempo all’interno della comunità. Quella nuova situazione, però, alterando gli equilibri, aveva fatto percepire quei due uomini russi come un pericolo, semplicemente per la loro vecchia origine. Si ripropone, quindi, il meccanismo mentale della già citata domenica di sangue del 3 settembre 1939 in Polonia. È evidente che la guerra dei popoli e delle razze avesse scombinato anche antichi equilibri.</w:t>
      </w:r>
      <w:r>
        <w:rPr>
          <w:i/>
          <w:sz w:val="24"/>
        </w:rPr>
        <w:t xml:space="preserve">  </w:t>
      </w:r>
    </w:p>
    <w:p w:rsidR="00611878" w:rsidRDefault="00672C55">
      <w:pPr>
        <w:spacing w:line="366" w:lineRule="auto"/>
        <w:ind w:left="561" w:right="707"/>
      </w:pPr>
      <w:r>
        <w:rPr>
          <w:sz w:val="24"/>
        </w:rPr>
        <w:t xml:space="preserve"> I tedeschi, abituati alla propaganda massiccia, non potevano pensare che i loro racconti potessero essere veri, che il Terzo Reich e la sua potentissima Wehrmacht potessero essere vinti dagli slavi e non hanno creduto ai loro racconti. Tutto questo, ovviamente, ha rallentato i preparativi della fuga di massa, agevolando il ritardo nell’emanazione degli ordini di evacuazione, che avevano gradi differenti: </w:t>
      </w:r>
    </w:p>
    <w:p w:rsidR="00611878" w:rsidRDefault="00672C55">
      <w:pPr>
        <w:ind w:left="1438" w:right="706"/>
      </w:pPr>
      <w:r>
        <w:t xml:space="preserve">Alarmstufe I: significava la preparazione alla fuga e la preparazione dei bagagli con oggetti di estrema necessità; composizione delle carovane a livello di villaggio; assegnazione dei percorsi   Alarmstufe II: significava il trasporto delle donne, madri con bambini piccoli, ammalati, anziani e “casi particolari” nella misura in cui non erano legati al proprio posto di lavoro - e questi erano tutti coloro che di fatto lavoravano -  </w:t>
      </w:r>
    </w:p>
    <w:p w:rsidR="00611878" w:rsidRDefault="00672C55">
      <w:pPr>
        <w:spacing w:after="35"/>
        <w:ind w:left="1438" w:right="706"/>
      </w:pPr>
      <w:r>
        <w:t>Alarmstufe III: significava il definitivo abbandono della patria, quindi, la fuga definitiva.</w:t>
      </w:r>
      <w:r>
        <w:rPr>
          <w:vertAlign w:val="superscript"/>
        </w:rPr>
        <w:footnoteReference w:id="147"/>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lastRenderedPageBreak/>
        <w:t xml:space="preserve">I mezzi di trasporto messi a disposizione di chi decideva di intraprendere il viaggio erano veramente pochi, soprattutto per chi partiva dalla Prussia Orientale o dai Paesi Baltici. Per questi cittadini, che dovevano attraversare intere superfici ghiacciate di laghi o fiumi che spesso si aprivano sotto il peso dei carretti o delle carovane, la via più semplice era quella aerea o, in alternativa, quella marittima. La disorganizzazione di un sistema basato sull’avanzamento e mai sulla difesa ha colto tutti di sorpresa e ha fatto si che non si avesse il tempo ed i mezzi sufficienti per organizzare lo spostamento di tutti i profughi. Le navi messe a disposizione dallo Stato, così come quelle private, sono risultate del tutto insufficienti ed hanno causato da un lato l’aumento esponenziale dei prezzi e dall’altro la possibiltà di fuga solo grazie alla conoscenza diretta adi qualche funzionario. Per tutti gli altri non c’era altro che la via del ghiaccio. La grande massa di disperati ha portato, inoltre, al verificarsi di alcune grandi tragedie del mare, come quella del 30 gennaio 1945 con l’affondamento del Wilhelm Gustlof con circa 6000 profughi a bordo che cercavano di raggiungere Macleburgo partendo dalla Pomerania. L’affondamento è stato causato da parte del sottomarino S 13 pilotato dal capitano sovietico Marinesko.  </w:t>
      </w:r>
    </w:p>
    <w:p w:rsidR="00611878" w:rsidRDefault="00672C55">
      <w:pPr>
        <w:spacing w:after="93" w:line="259" w:lineRule="auto"/>
        <w:ind w:left="561" w:right="707"/>
      </w:pPr>
      <w:r>
        <w:rPr>
          <w:sz w:val="24"/>
        </w:rPr>
        <w:t xml:space="preserve">Il racconto dell’accaduto lo abbiamo dal Capitano di Corvetta Wilhelm Zahn </w:t>
      </w:r>
    </w:p>
    <w:p w:rsidR="00611878" w:rsidRDefault="00672C55">
      <w:pPr>
        <w:ind w:left="1438" w:right="706"/>
      </w:pPr>
      <w:r>
        <w:t>H</w:t>
      </w:r>
      <w:r w:rsidR="007F53E3">
        <w:t xml:space="preserve">a spiegato che la baia di Leningrado </w:t>
      </w:r>
      <w:r>
        <w:t xml:space="preserve"> sarà completamente controllata dalla marina tedesca. Il Gustlof deve aspettarsi </w:t>
      </w:r>
      <w:r w:rsidR="007F53E3">
        <w:t>di essere attaccata</w:t>
      </w:r>
      <w:r>
        <w:t xml:space="preserve"> né con l</w:t>
      </w:r>
      <w:r w:rsidR="007F53E3">
        <w:t>e navi nemiche né sottomarini. Ci</w:t>
      </w:r>
      <w:r>
        <w:t xml:space="preserve"> si poteva aspettare attacchi aerei contro di essa. Per questo motivo la nave prima della scadenza dovrebbe comunque ottenere alcuni cannoni anti</w:t>
      </w:r>
      <w:r w:rsidR="007F53E3">
        <w:t>aerei. Il viaggio può essere iniziato anche la sera prima</w:t>
      </w:r>
      <w:r>
        <w:t>.</w:t>
      </w:r>
      <w:r w:rsidR="007F53E3">
        <w:t xml:space="preserve"> Il co</w:t>
      </w:r>
      <w:r>
        <w:t>ntrollo del traffico aereo tedesco è stat</w:t>
      </w:r>
      <w:r w:rsidR="007F53E3">
        <w:t>o</w:t>
      </w:r>
      <w:r>
        <w:t xml:space="preserve"> garantit</w:t>
      </w:r>
      <w:r w:rsidR="007F53E3">
        <w:t>o</w:t>
      </w:r>
      <w:r>
        <w:t xml:space="preserve"> per il giorno seguente. Il Gustlof era ben attrezzato con lo staff tecnico. L'ingegnere capo Franz Löbel aveva segnalato le macchine già operante il 27 gennaio in modo chiaro. Cabine, camere, piscina e in parte piazzali erano occupati con i feriti e profughi. Una preoccupazione il comando della nave è stata la stabilità della grande nave e la cura per le persone a bordo e abbastanza Retungsm</w:t>
      </w:r>
      <w:r w:rsidR="007F53E3">
        <w:t>itteln Schwimwesten. Solo 12 delle</w:t>
      </w:r>
      <w:r>
        <w:t xml:space="preserve"> 22 scialuppe di Gustlof </w:t>
      </w:r>
      <w:r w:rsidR="007F53E3">
        <w:t>erano appese a</w:t>
      </w:r>
      <w:r>
        <w:t xml:space="preserve">lle gru. Attraverso la mediazione del Ministero della Marina </w:t>
      </w:r>
      <w:r w:rsidR="007F53E3">
        <w:t xml:space="preserve">i </w:t>
      </w:r>
      <w:r>
        <w:t>fondi di salvataggio</w:t>
      </w:r>
      <w:r w:rsidR="007F53E3">
        <w:t xml:space="preserve"> per la Gdansk-Wrzeszcz di</w:t>
      </w:r>
      <w:r>
        <w:t xml:space="preserve"> 5000 sono stati acquistati a bordo il più rapidamente possibile in aggiunta. C'erano 20 barche della Marina sferzate sulla terrazza solarium e accatastato in su un numero sufficiente di zattere di salvataggio marino. Ripetuti spesso annunci di ufficiali della nave reso i passeggeri con il diritto </w:t>
      </w:r>
      <w:r w:rsidR="007F53E3">
        <w:t>di salvezza</w:t>
      </w:r>
      <w:r>
        <w:t xml:space="preserve"> </w:t>
      </w:r>
      <w:r w:rsidR="007F53E3">
        <w:t xml:space="preserve">in caso di pericolo familiare. </w:t>
      </w:r>
      <w:r>
        <w:t>Gli ufficiali della nave ordinati su 29 4 gennaio rimorchiatori m</w:t>
      </w:r>
      <w:r w:rsidR="007F53E3">
        <w:t>arine e un pilota per partire</w:t>
      </w:r>
      <w:r>
        <w:t xml:space="preserve"> dal porto.</w:t>
      </w:r>
      <w:r>
        <w:rPr>
          <w:vertAlign w:val="superscript"/>
        </w:rPr>
        <w:footnoteReference w:id="148"/>
      </w:r>
      <w:r>
        <w:t xml:space="preserve"> </w:t>
      </w:r>
    </w:p>
    <w:p w:rsidR="00611878" w:rsidRDefault="00672C55">
      <w:pPr>
        <w:spacing w:after="42" w:line="259" w:lineRule="auto"/>
        <w:ind w:left="566" w:right="0" w:firstLine="0"/>
        <w:jc w:val="left"/>
      </w:pPr>
      <w:r>
        <w:lastRenderedPageBreak/>
        <w:t xml:space="preserve">   </w:t>
      </w:r>
    </w:p>
    <w:p w:rsidR="00611878" w:rsidRDefault="00672C55">
      <w:pPr>
        <w:spacing w:line="366" w:lineRule="auto"/>
        <w:ind w:left="561" w:right="707"/>
      </w:pPr>
      <w:r>
        <w:rPr>
          <w:sz w:val="24"/>
        </w:rPr>
        <w:t xml:space="preserve">  A questo si aggiungevano le comunicazioni per l’evacuazione ed i profughi che venivano diramate sia nei confronti della popolazione civile che dei militari della Wehrmacht, imponendo lavoro e servizio militare obbligatorio per i nati tra il 1884 ed il 1929 </w:t>
      </w:r>
    </w:p>
    <w:p w:rsidR="00611878" w:rsidRDefault="00672C55">
      <w:pPr>
        <w:spacing w:after="510"/>
        <w:ind w:left="1438" w:right="706"/>
      </w:pPr>
      <w:r>
        <w:t>Molti compagni hanno cercato nelle ultime settimane all'interno del regno di protezione: operai, impiegati e funzionari hanno i loro posti di lavoro, i soldati hanno perso contatto con i loro corpi o truppe dienici attraverso l'azione nemica. Per tutti loro subito di nuovo attivi classificati nella lotta difensiva del nostro popolo, è organizzato come segue:1.Vacanza, salvo il caso della malattia, è inizialmente concessa soltanto per fatti coraggio.2. uk-di tutti gli uomini di nemici territori occupati è infällig.Membri 3.All Wehrmach che non si trovano nei loro punti Dien o unità militari, tra cui il congedo e distaccati in comando soldati di riferire non richieste immediatamente sotto la legislazione che le disposizioni della Wehrmacht alle autorità competenti (anziani posizione, comandante Ortpolizeibehörde o centro di controllo frontale) ,4.All altre persone che hanno lasciato la loro casa dal 1 ° gennaio 1945, devono essere conformi non richiesta subito dopo l'istruzione in un hotel di nuova ubicazione seguente obblighi di comunicazione:A) Tutti gli appartenenti del popolo devono riferire circa la loro salute per la loro nuova unità di polizia dove l'intelligenza.B) Eventuali uomini non recuperati, naturalmente annualità 1884-1929 hanno inoltre a riferire al zustägiwen per i loro nuovi sorte militare ufficio di reclutamento o al distretto del comando dell’esercito al momento della presentazione dei loro documenti militari.C) i dipendenti pubblici dovranno comunicare:a) Per quanto riguarda la loro una certa autorità è stata abbandonata come un ufficio di registrazione prima della partenza da punti di impiego;b) se tale unità di informazione non è stata determinata, dell'autorità seguente nelle proprie operazioni;c) in caso di dubbio al prossimo distretto o superiore Burgermeister, che inoltra il suo rapporto alle autorità competenti.D) capo politico nd leader di divisione devono anche presentarsi all'ufficio distrettuale responsabile per la vostra nuova posizione.5. I dichiaranti ricevono compensi da fondi pubblici solo dopo l'adempimento dell'obbligo di segnalazione. Gli uffici di cibo, Autorità di fornitura, ecc sono attaccati sa di consegnare solo le prove relative tessere ed effettuare pagamenti.6. Chiunque ospita un dichiarante deve può essere rilevato presentando il modulo di partecipazione stampati che l'obbligo di segnalazione è soddisfatto. Se tale prova non viene eseguita immediatamente, quindi l'alloggio è tenuto a rimborsare immediatamente messaggio nella polizia ufficio di registrazione.7. Qualcuno sa di persone che sono sospettate di eludere il servizio militare e del lavoro obbligatorio, devono riferire immediatamente alle autorità di polizia più vicino. La violazione dell'obbligo di registrazione è punibile. Va da sé che tutti gli appartenenti del popolo in servizio obbligatorio devono soddisfare questo immediatamente. Ma si omette il messaggio, al fine di eludere il servizio militare o il lavoro è berachtet come Diserteur e trattato come tale. Punito non è solo il colpevole, ma anche tutti coloro che lo rende in qualche modo di alimentazione</w:t>
      </w:r>
      <w:r w:rsidR="0050482E">
        <w:rPr>
          <w:rStyle w:val="Rimandonotaapidipagina"/>
        </w:rPr>
        <w:footnoteReference w:id="149"/>
      </w:r>
      <w:r>
        <w:t xml:space="preserve">.        </w:t>
      </w:r>
    </w:p>
    <w:p w:rsidR="00611878" w:rsidRPr="00A12F02" w:rsidRDefault="00672C55">
      <w:pPr>
        <w:spacing w:after="113" w:line="259" w:lineRule="auto"/>
        <w:ind w:left="566" w:right="0" w:firstLine="0"/>
        <w:jc w:val="left"/>
        <w:rPr>
          <w:sz w:val="2"/>
          <w:szCs w:val="2"/>
        </w:rPr>
      </w:pPr>
      <w:r w:rsidRPr="00A12F02">
        <w:rPr>
          <w:sz w:val="2"/>
          <w:szCs w:val="2"/>
        </w:rPr>
        <w:lastRenderedPageBreak/>
        <w:t xml:space="preserve">  </w:t>
      </w:r>
    </w:p>
    <w:p w:rsidR="00611878" w:rsidRDefault="00672C55">
      <w:pPr>
        <w:spacing w:line="366" w:lineRule="auto"/>
        <w:ind w:left="561" w:right="707"/>
      </w:pPr>
      <w:r>
        <w:rPr>
          <w:sz w:val="24"/>
        </w:rPr>
        <w:t xml:space="preserve">I documenti d’archivio testimoniano come gli alti ufficiali tedeschi e i ministri conoscessero molto bene lo stato dell’avanzata dell’Armata Rossa e gli effetti che questa stava producendo sulla popolazione civile, anche nei paesi amici, non tecnicamente annessi al Reich, come nel caso dell’Ungheria. In una lettera del Ministro dell’Interno Stückart indirizzata al Ministro per la costruzione del popolo, infatti, si legge </w:t>
      </w:r>
    </w:p>
    <w:p w:rsidR="00611878" w:rsidRDefault="00672C55">
      <w:pPr>
        <w:spacing w:after="0" w:line="259" w:lineRule="auto"/>
        <w:ind w:left="1419" w:right="0" w:firstLine="0"/>
        <w:jc w:val="left"/>
      </w:pPr>
      <w:r>
        <w:t xml:space="preserve"> </w:t>
      </w:r>
    </w:p>
    <w:p w:rsidR="00611878" w:rsidRDefault="00672C55">
      <w:pPr>
        <w:ind w:left="1438" w:right="706"/>
      </w:pPr>
      <w:r>
        <w:t xml:space="preserve">Il rappresentante del governo ungherese per i rifugiati mi ha comunicato per iscritto la lista allegata. </w:t>
      </w:r>
    </w:p>
    <w:p w:rsidR="00611878" w:rsidRDefault="00672C55">
      <w:pPr>
        <w:spacing w:after="34"/>
        <w:ind w:left="1438" w:right="706"/>
      </w:pPr>
      <w:r>
        <w:t>Contiene le domande sullo sfruttamento dei territori occupati dai singoli ministeri ungheresi che necessitano di un chiarimento. Con il Ministero degli Esteri, ho deciso che saranno invitati a un incontro in breve tempo i ministeri interessati, per discutere delle singole questioni e la natura dei negoziati sarebbe stata decisa. Fino a questo punto chiedo di rinunciare prima che i negoziati con le autorità ungheresi sulla domanda individuale</w:t>
      </w:r>
      <w:r w:rsidR="0050482E">
        <w:rPr>
          <w:rStyle w:val="Rimandonotaapidipagina"/>
        </w:rPr>
        <w:footnoteReference w:id="150"/>
      </w:r>
      <w:r>
        <w:t xml:space="preserve">. </w:t>
      </w:r>
    </w:p>
    <w:p w:rsidR="00611878" w:rsidRDefault="00672C55">
      <w:pPr>
        <w:spacing w:after="30" w:line="366" w:lineRule="auto"/>
        <w:ind w:left="561" w:right="707"/>
      </w:pPr>
      <w:r>
        <w:rPr>
          <w:sz w:val="24"/>
        </w:rPr>
        <w:lastRenderedPageBreak/>
        <w:t>Anche a Berlino, nella capitale del Reich ci si preparava all’accoglienza dei profughi. In una lettera del borgomastro del 1° marzo 1945 in cui ci si preoccupa dei gruppi definiti “privati” [privater Flüchtlinge] che viaggiano con le famiglie e che hanno necessità di tutto a partire dai vestiti ad un luogo dove stare, ma si sottolinea soprattutto il pericolo per loro derivante dagli attacchi aerei.</w:t>
      </w:r>
      <w:r w:rsidR="004D1CA4">
        <w:rPr>
          <w:rStyle w:val="Rimandonotaapidipagina"/>
          <w:sz w:val="24"/>
        </w:rPr>
        <w:footnoteReference w:id="151"/>
      </w:r>
      <w:r>
        <w:rPr>
          <w:sz w:val="24"/>
        </w:rPr>
        <w:t xml:space="preserve">   </w:t>
      </w:r>
    </w:p>
    <w:p w:rsidR="00611878" w:rsidRDefault="00672C55">
      <w:pPr>
        <w:spacing w:line="366" w:lineRule="auto"/>
        <w:ind w:left="561" w:right="707"/>
      </w:pPr>
      <w:r>
        <w:rPr>
          <w:sz w:val="24"/>
        </w:rPr>
        <w:t xml:space="preserve">Gli ultimi mesi della guerra le violenze riprendono con una forza maggiore, poiché le popolazioni sottomesse dal Reich dovevano sfogare una rabbia repressa per 6 anni che si poteva scatenare grazie all’aiuto dei fratelli russi, che trascinavano via gli ex invasori, portandoli lontano, come testimonia Alice J.: </w:t>
      </w:r>
    </w:p>
    <w:p w:rsidR="00611878" w:rsidRDefault="00672C55">
      <w:pPr>
        <w:ind w:left="1438" w:right="706"/>
      </w:pPr>
      <w:r>
        <w:t xml:space="preserve">Dopo l’invasione russa dell’11 febbraio 1945 i tedeschi si sono registrati in queste liste del popolo, che racchiudevano circa il 90% della popolazione. Per le donne l’obbligo di registrazione era tra i 15 ed i 55 anni. </w:t>
      </w:r>
    </w:p>
    <w:p w:rsidR="00611878" w:rsidRDefault="00672C55">
      <w:pPr>
        <w:spacing w:after="26"/>
        <w:ind w:left="1438" w:right="706"/>
      </w:pPr>
      <w:r>
        <w:t xml:space="preserve">Alcune donne e uomini appartenenti alle liste 2 e 3 [quelle per gli appartenenti ai Volksdeutsch e coloro che avevano un genitore tedesco, ma probabilmente c’è un errore di battitura e si intendono gli appartenenti alla lista 1, cioè i Reichdeutsch, al posto di quelli della lista 3], la cui percentuale di sangue tedesco è sicuramente inferiore  sono stati immediatamente trattenuti, gli appartenenti alla lista 3 qualche volta. […] Ma già il 19 febbraio furono imprigionati. […] Due giorni più tardi furono trasportati a Sanok in Polonia, dove era stato messo insieme il trasporto per la Russia. […].  </w:t>
      </w:r>
    </w:p>
    <w:p w:rsidR="00611878" w:rsidRDefault="00672C55">
      <w:pPr>
        <w:ind w:left="1438" w:right="706"/>
      </w:pPr>
      <w:r>
        <w:t xml:space="preserve">All’inizio di aprile 1945  furono trasportati 1100 tra uomini e donne a Prokopeck nella Siberia meridionale, 30 Stalinsk , dove arrivarono il 04/05/45 . Durante il trasporto sono morti relativamente più uomini che donne. Poiché gli internati alla fine del viaggio avevano imparato [?], i morti sono stati collocati su un tender della locomotiva e bruciati. </w:t>
      </w:r>
    </w:p>
    <w:p w:rsidR="00611878" w:rsidRDefault="00672C55">
      <w:pPr>
        <w:ind w:left="1438" w:right="706"/>
      </w:pPr>
      <w:r>
        <w:t xml:space="preserve">Circa. 600 donne e 200 uomini del trasporto sono stati trasferiti nel campo di Trasnogorka nei pressi di Prokopek. I reduci rimanenti sono stati trasferiti con destinazione ignota. </w:t>
      </w:r>
    </w:p>
    <w:p w:rsidR="00611878" w:rsidRDefault="00672C55" w:rsidP="00BB3E32">
      <w:pPr>
        <w:spacing w:after="337"/>
        <w:ind w:left="1438" w:right="706"/>
      </w:pPr>
      <w:r>
        <w:t>I prigionieri sono stati alloggiati in bunker sotterranei. Il cibo era molto scarso. Mancava l’assistenza medica . Inoltre, mancavano sia medicine che materiale sanitario</w:t>
      </w:r>
      <w:r w:rsidR="004D1CA4">
        <w:rPr>
          <w:rStyle w:val="Rimandonotaapidipagina"/>
        </w:rPr>
        <w:footnoteReference w:id="152"/>
      </w:r>
      <w:r>
        <w:t>.</w:t>
      </w:r>
      <w:r w:rsidR="004D1CA4">
        <w:rPr>
          <w:vertAlign w:val="superscript"/>
        </w:rPr>
        <w:t xml:space="preserve"> </w:t>
      </w:r>
      <w:r>
        <w:t xml:space="preserve"> </w:t>
      </w:r>
      <w:r>
        <w:rPr>
          <w:rFonts w:ascii="Calibri" w:eastAsia="Calibri" w:hAnsi="Calibri" w:cs="Calibri"/>
          <w:strike/>
        </w:rPr>
        <w:t xml:space="preserve">                           </w:t>
      </w:r>
      <w:r>
        <w:rPr>
          <w:rFonts w:ascii="Calibri" w:eastAsia="Calibri" w:hAnsi="Calibri" w:cs="Calibri"/>
        </w:rPr>
        <w:t xml:space="preserve"> </w:t>
      </w:r>
    </w:p>
    <w:p w:rsidR="00BB3E32" w:rsidRDefault="00672C55">
      <w:pPr>
        <w:ind w:left="1418" w:right="706" w:hanging="852"/>
        <w:rPr>
          <w:sz w:val="24"/>
        </w:rPr>
      </w:pPr>
      <w:r>
        <w:rPr>
          <w:sz w:val="24"/>
        </w:rPr>
        <w:lastRenderedPageBreak/>
        <w:t xml:space="preserve">Il tutto, ovviamente, con la complicità e l’aiuto dei soldati dell’Armata Rossa: </w:t>
      </w:r>
    </w:p>
    <w:p w:rsidR="00611878" w:rsidRDefault="00672C55">
      <w:pPr>
        <w:ind w:left="1418" w:right="706" w:hanging="852"/>
      </w:pPr>
      <w:r>
        <w:t>Quattro Russi G. P. U. spinsero fuori la gente anche dall’appartamento della signora S. minacciandoli con una pistola e angosciando a tal punto che la signora S. aveva le mani in alto pronta a sparare. […] ? Quando i polacchi conquistarono questo distretto [Kattowice], la figlia più giovane, che non parlava polacco, cercando sua madre all’interno della casa l’ha trovata sotto il divano, [dove si era nascosta] affinché non fosse messa in pericolo dal suo parlare tedesco. Erano ogni volta minuti di terrore per questa donna, con la paura di essere scoperta</w:t>
      </w:r>
      <w:r>
        <w:rPr>
          <w:vertAlign w:val="superscript"/>
        </w:rPr>
        <w:footnoteReference w:id="153"/>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Le testimonianze delle violenze nei confronti delle donne sono firmate anche da uomini: “La signora F., il cui marito era stato membro delle SS, era stata disarmata, spogliata e stuprata più volte e abusata a lungo, fino a perdere conoscenza. […] Siccome la mia famiglia non era al sicuro a Lindau, abbiamo sorvolato la frontiera cecoslovacca fino a Freuenzendorf”</w:t>
      </w:r>
      <w:r>
        <w:rPr>
          <w:sz w:val="24"/>
          <w:vertAlign w:val="superscript"/>
        </w:rPr>
        <w:footnoteReference w:id="154"/>
      </w:r>
      <w:r>
        <w:rPr>
          <w:sz w:val="24"/>
        </w:rPr>
        <w:t xml:space="preserve">, come testimoniato anche dal documento Ost-Dok 2/53 che raccoglie il racconto di C. </w:t>
      </w:r>
    </w:p>
    <w:p w:rsidR="00611878" w:rsidRDefault="00672C55">
      <w:pPr>
        <w:ind w:left="1438" w:right="706"/>
      </w:pPr>
      <w:r>
        <w:t xml:space="preserve">Nella fuga dai Bolscevichi [die Bolschewisten], i miei bambini si ammalarono, il mio unico figlio maschio morì e così rimasi sola con mia suocera. Per non mettere in ulteriore pericolo la vita delle mie tre figlie, rimasi a Gletkau presso Danzica da mia sorella. Qui sono sopravvissuta all’ingresso dei russi. Solo pochi soldati tedeschi avevano difeso Zoppot. Fra Zoppot e Danzica si trovava un'unica mitragliatrice. Durante la notte improvvisamente udimmo dall’altoparlante queste parole: “qui parla Radio Mosca, siamo appena entrati a Zoppot e marciamo verso Danzica e Gotenhafen, deponete le armi e pensate alla vita delle vostre donne e bambini. Vi assicuriamo la vita e la libertà!”. Allora noi guardammo fuori dalle finestre e ci accorgemmo che i bolscevichi in tutta tranquillità, senza incontrare resistenza, avevano occupato Zoppot. La mattina seguente i bolscevichi bombardarono Gletkau, sebbene da parte tedesca non fosse partito alcun colpo. Noi risiedevamo tutti nella cantina della casa di mia sorella. Diverse granate colpirono la nostra casa e la distrussero completamente. Io strisciai fuori dalla finestra della cantina e vidi circa 100 carri armati proprio davanti a me; gridai ai Bolscevichi che lì si trovavano soltanto donne e bambini. Diversi Bolscevichi saltarono fuori dai panzer e si gettarono, armati di asce, verso la nostra casa. Io strisciai indietro attraverso la finestra e urlai: “Arrivano i russi”. I russi sfasciarono le porte con le asce ed entrarono urlando continuamente </w:t>
      </w:r>
    </w:p>
    <w:p w:rsidR="00611878" w:rsidRDefault="00672C55">
      <w:pPr>
        <w:ind w:left="1438" w:right="706"/>
      </w:pPr>
      <w:r>
        <w:t xml:space="preserve">“Vodka”; noi stavamo sedute come impietrite, in un angolo, mentre i russi distruggevano le nostre casse e valige. Presero tutto quello che c’era di valore, e ciò che non gli piaceva lo calpestarono. La sera prima una vicina ci aveva pregato di prendersi cura di lei, noi ci recammo in casa della signora, una certa signora F. Quando arrivammo, proprio in quel momento i russi aprirono il garage della villa; qui si era nascosto un mitragliere tedesco e uscì </w:t>
      </w:r>
      <w:r>
        <w:lastRenderedPageBreak/>
        <w:t xml:space="preserve">fuori con le mani alzate: il russo che stava più avanti girò la sua carabina e lo colpi con il calcio di fucile sulla testa, cosicché lo sventurato cadde a terra svenuto. Gli altri russi lo liquidarono con alcuni colpi. Nella cantina della villa trovammo la signora F., un vecchio medico e la sua domestica trentenne; sul pavimento della cantina giaceva il cadavere in una pozza di sangue di una giovane a cui i russi avevano tagliato la pancia. Si era difesa quando i russi volevano violentarla. Atterrita da questo orribile gesto di violenza, la domestica del medico aveva dovuto subire le violenze dei soldati; circa 25 uomini avevano abusato di lei [sich an ihr vergangen, fine pag. 61]. Quando noi, ancora attoniti, fummo consapevoli di tutto questo orrore, comparvero di nuovo dei russi nella cantina e mi ordinarono di seguirli. Io presi il mio bambino più piccolo di 10 mesi e andai con i soldati. Giunta in un’altra stanza della cantina, vidi un ufficiale su una sedia che si faceva dare della grappa da un soldato con un cucchiaio. Il soldato che mi aveva preso mi ordinò di sedermi in braccio all’ufficiale mentre un altro cercava di strapparmi via il bambino. Ci fu una lotta violenta, ma io non lasciai andare il mio bambino che piangeva; in polacco dissi all’ufficiale che era un miserabile e di vergognarsi dei suoi gradi perchè davanti ai suoi occhi i suoi soldati facevano quello che volevano. Queste parole sembrarono ferire il suo orgoglio e ordinò di rilasciarmi. Barcollando, ritornai indietro nella cantina, quando comparvero nuovamente i russi. Nella mano avevano delle mostrine di ufficiale tedesco e affermarono di aver trovato queste mostrine: “Tuo marito è ufficiale” mi urlarono. Io riconobbi per mia fortuna che sotto alle mostrine non c’era il giallo della cavalleria che portava mio marito bensì il giallo chiaro dei reparti di trasmissione. Ciò mi diede coraggio. Compresi che i soldati volevano solamente vendicarsi di me perchè in precedenza li avevo umiliati e così mi ordinarono di seguirli. Io presi i miei tre bambini per mano e andai fuori con i soldati così come loro richiedevano. Fuori mi spiegarono che avrei dovuto essere uccisa. I miei due figli più grandi lo capirono e implorarono di accelerare la fucilazione affinché lo strazio avesse fine; io gridai ai russi che erano degli straccioni e che non erano soldati e che mia avevano messo di soppiatto le mostrine nella carrozzina. Avevo già capito che solo questo genere di tono e di accuse avevano effetto sui russi. Arrivarono altri russi e dissero ai loro commilitoni che ero proprio una polacca perché gli abitanti di Danzica non parlano il polacco. “Lasciatela quindi andare”, aggiunsero, ed effettivamente i miei aguzzini [peiniger] mi lasciarono bestemmiando. Nonostante questo, non poteva esserci ancora pace. Il già citato ufficiale entrò, vide che mia suocera aveva addosso una giacca di pelle e pretese subito che se la togliesse; a me ordinò di cucire sopra questa giacca i suoi gradi. Io gli risposi che non avevo niente per cucire. Quindi lui si portò presso di sé un soldato il quale dovette attaccargli i gradi. Poco dopo i russi marciarono oltre e noi utilizzammo questa quiete temporanea per lasciare questo luogo, perchè temevamo la vendetta dei russi. Credevamo anche che saremmo stati più sicuri nella più popolosa Zoppot. Nel breve tragitto tra Gletkau e Zoppot giacevano diverse donne uccise con le gonne sollevate. Mia suocera si avvicinò ad una delle donne e le mise in ordine i vestiti: presto fischiarono alcune pallottole verso di noi. Sembrava che gli assassini [Mörder] non potessero sopportare che ci si accostasse alle loro vittime. Così proseguimmo rapidamente verso Zoppot, dovemmo però riconoscere [fine pag. 62] di essere cadute dalla padella nella brace. Alcune volte singoli soldati dell’Armata Rossa [rotarmisten] cercarono di spingerci nelle case ma poiché noi eravamo un insieme piuttosto numeroso di persone ci lasciarono, intimoriti dalle luce del sole e dalle grida dei bambini. Ci recammo nella casa dove abitava mia sorella sposata, che era già piena di donne; la gioia per il nostro arrivo fu grande poiché ciò rafforzò in loro un certo senso di sicurezza. Eravamo appena arrivate quando arrivò un impiegato del Nkvd, arrestò un vecchio medico così come tutti gli altri uomini che incontrarono. La notte successiva entrò un ufficiale e pretese una donna. Poiché naturalmente nessuna di noi si muoveva, minacciò di mandare i suoi soldati e poi effettivamente concretizzò la sua minaccia. E poco dopo sette soldati entrarono dentro con le braghe calate nella nostra abitazione, agitarono le armi per spingerci ad alzarci; in questo momento critico entrò un uomo che parlava perfettamente tedesco, un russo biondo, di bell’aspetto, e mandò fuori i soldati immediatamente. La banda [die Bande] si recò poi in una stanza accanto, dove abitava un ex soldato tedesco cui erano stati amputati entrambi i piedi con sua moglie e i suoi sei figli. Lo sfortunato fu colpito fino a </w:t>
      </w:r>
      <w:r>
        <w:lastRenderedPageBreak/>
        <w:t xml:space="preserve">perdere la conoscenza poiché non voleva lasciare sua moglie. L’orda disumana [entmenschte Horde] prese la donna e la portò fuori tirandola per i piedi, cosicché la sventurata batteva sempre con la nuca sul terreno. </w:t>
      </w:r>
    </w:p>
    <w:p w:rsidR="00611878" w:rsidRDefault="00672C55">
      <w:pPr>
        <w:spacing w:after="45"/>
        <w:ind w:left="1438" w:right="706"/>
      </w:pPr>
      <w:r>
        <w:t xml:space="preserve">Semiincosciente, fu violentata da tutti e sette gli uomini dopo che per primo, l’ufficiale del gruppo, l’aveva violentata. Ora ringraziamo il nostro salvatore che non pretese niente per il suo gesto. Vedevamo con favore che si sviluppasse una relazione tra lui e una giovane vedova che era nel nostro gruppo. Così il giovane russo rimase tra di noi anche nel periodo successivo e ci difese da tutti gli intrusi. Non abbiamo mai capito per quale motivo i soldati russi si facessero condizionare da un singolo. Io credo che non fosse nient’altro che la soggezione degli slavi di fronte ad una presenza forte, energica. Il giorno successivo venne una donna conoscente nella nostra casa e ci raccontò in preda al panico che la sua figlia maggiore era stata uccisa. Circa 70 russi l’avevano violentata uno dietro l’altro, quando poi alla fine se ne andarono si era rifugiata in chiesa, dove sperava di trovare pace ma un russo l’aveva vista era corso dietro di lei e l’aveva massacrata per la rabbia pensando che lei volesse sfuggirgli. Poi, gli insaziabili russi avevano voluto buttarsi sulla sua figlioletta di 10 anni: avevano già strappato alla bambina i vestiti dal corpo; in questo momento cruciale la madre si era offerta a loro; i dissoluti avevano alla fine accettato questo scambio. Lo stesso giorno mi si offrì un quadro spaventoso: in una angolo della casa stava una giovane donna che sanguinava dalle mani e dai piedi; dopo diverse domande, venni a sapere dalla sventurata le più raccapriccianti atrocità [die schaurigsten Greueltaten] che io a mia volta avevo vissuto. La giovane aveva voluto difendersi con tutte le forze dalla violenza; allora per questo era stata gettata sul pavimento di legno e inchiodata a questo mani e piedi. Ridendo e cantando i demoni bestiali [die vertierten Unholde] si erano poi disposti amichevolmente verso la crocifissa e l’avevano lasciata lì [fine pag. 63]. Solo dopo alcune ore una vecchia l’aveva liberata dalla terribile situazione. Da ogni parte, quasi ad ogni ora, arrivavano donne che portavano simili annunci funesti. (Quando io allora arrivai a Danzica, un certo dottor S., un noto pediatra, protesse la mia seconda figlia da un destino simile, così come mio figlio, ora morto. Lo avevo incontrato ancora alcuni giorni prima dell’arrivo dei russi nella città; si era trovato in un grande conflitto di coscienza; doveva fuggire con la sua famiglia oppure doveva rimanere - qui, dove sarebbe stato utile, necessario? Lui era rimasto per compiere il suo dovere. Ancor più mi scosse la notizia che lui si era avvelenato assieme alla sua famiglia. Questo mi spinse verso la sua abitazione, e vidi l’intero quadro spaventoso; uno sopra l’altro incrociati, sul pavimento, c’erano i cadaveri dei due genitori e dei quattro bambini che ancor pochi giorni prima avevo visto giocare in strada. Una donna mi raccontò come si era svolto questo dramma. I soldati russi erano entrati e avevano voluto violentare la moglie del medico; quando suo marito si oppose, lo bloccarono e violentarono sua moglie senza nessun pudore, davanti ai suoi occhi. Nella più profonda disperazione ed abbattimento si erano poi avvelenati). Parallelamente agli stupri sistematici si verificava il sistematico incendio di intere strade; l’incantevole Seestrasse di Zoppot venne quasi completamente incendiata. Mi doleva il cuore quando io dovetti assistere ad una spedizione incendiaria: un gruppo di soldati andava di casa in casa e dietro alla squadra in movimento ogni volta si vedeva salire una colonna di fuoco verso il cielo. Da ultimo andò in fiamme il stabilimento di cura. Progressivamente i rapporti si normalizzarono un po’, ma accadde ancora che i soldati russi apparissero come un orda selvaggia [wilde Horde]. Sembravano avere una gioia infantile nel travestirsi e andavano in giro con cappelli da signora, in uniforme del partito nazista o anche in pigiama. Un giorno noi, sorprese, aprimmo le finestre quando udimmo il passo delle colonne di soldati in marcia. Si offrì un quadro impressionante. In ordine impeccabile, allineati, camminavano infinite colonne della Wehrmacht prigionieri dei russi. Erano 70 mila uomini che avrebbero dovuto essere imbarcati ad Hela e che invece dovettero arrendersi perché non c’erano navi. In questo periodo noi soffrimmo una fame atroce, e dovevamo sicuramente essere sembrati agli occhi di questi soldati affamate ed emaciate perché in modo compassionevole i soldati sovietici ci gettarono del cibo che noi, riconoscenti, accettammo. I russi avevano fatto ai soldati tedeschi grandi promesse nel caso in cui si fossero consegnati volontariamente: un buon trattamento, il rispetto della proprietà privata, la liberazione a breve termine. Tuttavia noi ormai </w:t>
      </w:r>
      <w:r>
        <w:lastRenderedPageBreak/>
        <w:t>conoscevamo i russi: la gran parte di loro non avrebbe mai più rivisto la patria. Purtroppo non sbagliammo; già nel campo di Narvik, in cui i prigionieri furono condotti, essi furono saccheggiati pesantemente e ridotti in mutande; dopo pochi giorni, quando rividi alcuni soldati, erano quasi irriconoscibili: erano soltanto delle figure ridotte agli stracci, piegate, curve, con guance incavate, trasandati, senza alcuna fiducia di riuscire a sopravvivere a questa vita di stenti. Dopo pochi mesi più del 75% di essi deve essere morto. Questo sembra essere il metodo per uccidere gli uomini.</w:t>
      </w:r>
      <w:r>
        <w:rPr>
          <w:vertAlign w:val="superscript"/>
        </w:rPr>
        <w:footnoteReference w:id="155"/>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A volte la conoscenza della lingua locale poteva essere determinante per salvarsi la vita. Laddove, infatti, gli abitanti di lingua ed origine tedesca non erano mai stati censiti, ci si poteva confondere con i polacchi e non essere uccisi, come si evince dalla testimonianza di E. C., che nel luglio 1945 fa rientro a Kattowice, descrivendo dapprima la fuga, poi lo spettacolo che le si presenta davanti agli occhi: </w:t>
      </w:r>
    </w:p>
    <w:p w:rsidR="00611878" w:rsidRDefault="00672C55">
      <w:pPr>
        <w:spacing w:after="43"/>
        <w:ind w:left="1438" w:right="706"/>
      </w:pPr>
      <w:r>
        <w:t>Con l’inizio della chiusura del fronte del Neisse, il 17 marzo 1945 ho lasciato la   nostra città con mio figlio di 12 anni per recarci a Budweis. Grazie alle mie conoscenze del polacco e del ceco sono sopravvissuto bene a tutte e avversità.  […] Le donne e le ragazze sono state violentate davanti agli occhi dei loro mariti e padri, che erano stati legati agli alberi. Ad inizio luglio 1945 siamo arrivati a Kattowice. Persino ora le donne vengono rapite dai Russi per strada, chiedendo aiuto invano.</w:t>
      </w:r>
      <w:r>
        <w:rPr>
          <w:vertAlign w:val="superscript"/>
        </w:rPr>
        <w:footnoteReference w:id="156"/>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La fine della guerra, quindi, non faceva terminare le violenze, soprattutto da parte dei conquistatori: </w:t>
      </w:r>
    </w:p>
    <w:p w:rsidR="00611878" w:rsidRDefault="00672C55">
      <w:pPr>
        <w:spacing w:after="43"/>
        <w:ind w:left="1438" w:right="706"/>
      </w:pPr>
      <w:r>
        <w:t>Alla fine di maggio sulla strada di ritorno da Stralsund a Schönlanke, un Russo voleva violentare mia figlia nella stazione di Kalies. Siccome volevo andare con mia figlia, poiché aveva paura di andare con il Russo, egli voleva spararmi con la sua pistola. Nel momento in cui arrivò un altro uomo, egli non sparò sull’avanbraccio e ci lasciò entrambe libere.</w:t>
      </w:r>
      <w:r>
        <w:rPr>
          <w:vertAlign w:val="superscript"/>
        </w:rPr>
        <w:footnoteReference w:id="157"/>
      </w:r>
      <w:r>
        <w:rPr>
          <w:vertAlign w:val="superscript"/>
        </w:rPr>
        <w:footnoteReference w:id="158"/>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Lasciare tutto, abbandonare in poche ore le proprie certezze, la propria amata Heimat, per intraprendere un viaggio dalla destinazione ignota, spesso, senza la speranza di tornare, come succede a B.H. e alla sua famiglia, distrutta dai Russi: </w:t>
      </w:r>
    </w:p>
    <w:p w:rsidR="00611878" w:rsidRDefault="00672C55">
      <w:pPr>
        <w:spacing w:after="79"/>
        <w:ind w:left="1438" w:right="706"/>
      </w:pPr>
      <w:r>
        <w:t xml:space="preserve">Nel pomeriggio del 27 marzo 1945 sono arrivati i primi russi (Ufficiali) all’interno del nostro bunker […] mia moglie mia figlia ed io siamo stati spogliati di tutti gli oggetti di valore (oro, </w:t>
      </w:r>
      <w:r>
        <w:lastRenderedPageBreak/>
        <w:t xml:space="preserve">argento, diamanti) e, sotto la minaccia di essere uccisi, sono stati presi dai Russi.[…] Il loro esercito aveva ricevuto il seguente ordine: per quattordici giorni depredate, uccidete, saccheggiate e stuprate. Mia figlia A. di 25 anni […] era impiegata come operatrice delle comunicazioni. Il comando generale era a Danzica e da quando i nostri genitori sono partiti, fu violentata e per questo morì. </w:t>
      </w:r>
      <w:r w:rsidR="00BB3E32">
        <w:rPr>
          <w:rStyle w:val="Rimandonotaapidipagina"/>
        </w:rPr>
        <w:footnoteReference w:id="159"/>
      </w:r>
    </w:p>
    <w:p w:rsidR="00611878" w:rsidRPr="00A12F02" w:rsidRDefault="00672C55">
      <w:pPr>
        <w:spacing w:after="112" w:line="259" w:lineRule="auto"/>
        <w:ind w:left="566" w:right="0" w:firstLine="0"/>
        <w:jc w:val="left"/>
        <w:rPr>
          <w:sz w:val="2"/>
          <w:szCs w:val="2"/>
        </w:rPr>
      </w:pPr>
      <w:r w:rsidRPr="00A12F02">
        <w:rPr>
          <w:sz w:val="2"/>
          <w:szCs w:val="2"/>
        </w:rPr>
        <w:t xml:space="preserve"> </w:t>
      </w:r>
    </w:p>
    <w:p w:rsidR="00611878" w:rsidRDefault="00672C55">
      <w:pPr>
        <w:spacing w:after="96" w:line="259" w:lineRule="auto"/>
        <w:ind w:left="561" w:right="707"/>
      </w:pPr>
      <w:r>
        <w:rPr>
          <w:sz w:val="24"/>
        </w:rPr>
        <w:t xml:space="preserve">     O il racconto di L. V., lasciato in una testimonianza postuma: </w:t>
      </w:r>
    </w:p>
    <w:p w:rsidR="00611878" w:rsidRDefault="00672C55">
      <w:pPr>
        <w:spacing w:after="34"/>
        <w:ind w:left="1438" w:right="706"/>
      </w:pPr>
      <w:r>
        <w:t>“Orologi orologi” gridò [il russo]. Ho preso e gli ho dato l’orologio da tasca di mio marito, se ne andò. […] Nel pomeriggio i russi avevano già occupato le case migliori e molte famiglie si erano riversate in strada. C’erano anche 2 famiglie con noi e ancora 3 famiglie che avevano avuto la casa bombardata con 2 bambini per ognuna, che vivevano con noi. C’erano 3 giovani ragazze che venivano violentate ripetutamente. […] ospitavamo anche una signora moribonda in camera. Entrò un Russo, cercava una donna. […] Anche le altre donne facevano finta di dormire. […] Venne e disse: devo venire con te, dissi di si, e anche mio marito. Ci condusse fino alla nostra camera da letto, la cui porta era chiusa a chiave. “Aprire!” Lì si trovava la nostra figlia più piccola che dormiva sul letto. Si buttò su di lei. Afferrai la bambina e corsi via. Mi seguì. Prese una donna sotto le braccia e la spinse nella camera da letto. Alle 3 di notte la donna tornò sconvolta. Era stata costretta a stare sdraiata in mezzo a due Russi soddisfacendoli a vicenda, i Russi si erano addormentati e lei era riuscita a scappare</w:t>
      </w:r>
      <w:r w:rsidR="00BB3E32">
        <w:rPr>
          <w:rStyle w:val="Rimandonotaapidipagina"/>
        </w:rPr>
        <w:footnoteReference w:id="160"/>
      </w:r>
      <w:r>
        <w:t xml:space="preserve">.  </w:t>
      </w:r>
    </w:p>
    <w:p w:rsidR="00611878" w:rsidRDefault="00672C55">
      <w:pPr>
        <w:spacing w:after="112" w:line="259" w:lineRule="auto"/>
        <w:ind w:left="566" w:right="0" w:firstLine="0"/>
        <w:jc w:val="left"/>
      </w:pPr>
      <w:r>
        <w:rPr>
          <w:sz w:val="24"/>
        </w:rPr>
        <w:t xml:space="preserve"> </w:t>
      </w:r>
    </w:p>
    <w:p w:rsidR="00BB3E32" w:rsidRDefault="00672C55" w:rsidP="00BB3E32">
      <w:pPr>
        <w:spacing w:after="170" w:line="366" w:lineRule="auto"/>
        <w:ind w:left="561" w:right="707"/>
        <w:rPr>
          <w:rFonts w:ascii="Calibri" w:eastAsia="Calibri" w:hAnsi="Calibri" w:cs="Calibri"/>
          <w:strike/>
        </w:rPr>
      </w:pPr>
      <w:r>
        <w:rPr>
          <w:sz w:val="24"/>
        </w:rPr>
        <w:t xml:space="preserve">Come mostra anche questa testimonianza, chi restava o chi impiegava troppo tempo a decidere, pagava a caro prezzo la sua titubanza. I russi, come è già stato mostrato, avevano mano libera nel violentare, senza preoccuparsi della vittima prescelta, continuando a garantire l’impunità alla vendetta polacca: </w:t>
      </w:r>
      <w:r>
        <w:rPr>
          <w:i/>
          <w:sz w:val="24"/>
        </w:rPr>
        <w:t>“Nel 1945 la signora A. J. (38 anni) è stata molestata e violentata a tal punto che qualche giorno dopo è morta. […]. Nel distretto di Turek, l’oste B. di Jeziorska è stato ucciso dai polacchi durante l’avanzata dei sovietici”</w:t>
      </w:r>
      <w:r w:rsidR="00BB3E32">
        <w:rPr>
          <w:rStyle w:val="Rimandonotaapidipagina"/>
          <w:i/>
          <w:sz w:val="24"/>
        </w:rPr>
        <w:footnoteReference w:id="161"/>
      </w:r>
      <w:r w:rsidR="00BB3E32">
        <w:rPr>
          <w:i/>
          <w:sz w:val="24"/>
        </w:rPr>
        <w:t>.</w:t>
      </w:r>
    </w:p>
    <w:p w:rsidR="00611878" w:rsidRDefault="00672C55" w:rsidP="00BB3E32">
      <w:pPr>
        <w:spacing w:after="170" w:line="366" w:lineRule="auto"/>
        <w:ind w:left="561" w:right="707"/>
      </w:pPr>
      <w:r>
        <w:rPr>
          <w:sz w:val="24"/>
        </w:rPr>
        <w:lastRenderedPageBreak/>
        <w:t xml:space="preserve">Rogal, nel suo saggio </w:t>
      </w:r>
      <w:r>
        <w:rPr>
          <w:i/>
          <w:sz w:val="24"/>
        </w:rPr>
        <w:t>Lebens nach Untergang</w:t>
      </w:r>
      <w:r>
        <w:rPr>
          <w:sz w:val="24"/>
        </w:rPr>
        <w:t xml:space="preserve"> sottolinea come le città e i villaggi fossero abitati esclusivamente da persone fragili, siano essi vecchi, bambini o malati che costituiscono un ostacolo per la fuga dei più sani e ne rallentano il passo. </w:t>
      </w:r>
    </w:p>
    <w:p w:rsidR="00611878" w:rsidRDefault="00672C55">
      <w:pPr>
        <w:spacing w:line="366" w:lineRule="auto"/>
        <w:ind w:left="561" w:right="707"/>
      </w:pPr>
      <w:r>
        <w:rPr>
          <w:sz w:val="24"/>
        </w:rPr>
        <w:t xml:space="preserve">Lo storico Guido Knopp, discendente di profughi, accusa le autorità tedesche di aver volutamente e colpevolmente ritardato l’ordine di evacuazione dei villaggi e delle città del fronte orientale, al fine di non ammettere l’ineluttabilità della sconfitta.  </w:t>
      </w:r>
    </w:p>
    <w:p w:rsidR="00611878" w:rsidRDefault="00672C55">
      <w:pPr>
        <w:ind w:left="576" w:right="706"/>
      </w:pPr>
      <w:r>
        <w:rPr>
          <w:sz w:val="24"/>
        </w:rPr>
        <w:t xml:space="preserve">Nonostante tutto, quando l’ordine di partire veniva dato, non si aveva molto tempo per pensare alle cose da prendere o gli amici, polacchi, da salutare per sempre: </w:t>
      </w:r>
      <w:r>
        <w:t xml:space="preserve">Il 20 gennaio 1945 pomeriggio arrivò l’ordine di evacuazione e già in serata bisognava partire. I miei genitori (mio padre 74 anni) che si erano accorti da quello che gli avevo riportato che avevamo perso la guerra non potevano lasciare così frettolosamente il cortile. Quando il giorno successivo sono stati caricati su era troppo tardi. Si ricordarono che i polacchi avevano sempre detto loto: “perché volete emigrare, non avete fatto niente a nessuno, non siete stati membri di polizia e avete aiutato molti polacchi. […] Un noto e ragionevole polacco aveva dato ai miei genitori insieme e ad altri tedeschi l’uso di una soffitta. […] I Russi entravano e stupravano le donne ogni notte. […] Sebbene [i miei genitori] non avessero nulla a che fare con il Partito, fu dipinta sulla loro schiena una grande croce uncinata. Essi non sono stati autorizzati ad andare sul marciapiede. Quando padre polacco milizia non ha accolto bene, è stato picchiato. Mio padre è andato un giorno da fame, guidato nella nostra patria intorno vojn lì dopo la farina a mendicare. Lì, eineige Polonia cadere su di lui e ha chiesto a ciascuno di fronte a lui 1939die due poli, a 1 km di distanza dal nostro villaggio sulla strada Shubin - aveva sparato Znin. [...]. </w:t>
      </w:r>
    </w:p>
    <w:p w:rsidR="00611878" w:rsidRDefault="00672C55">
      <w:pPr>
        <w:spacing w:after="35"/>
        <w:ind w:left="1438" w:right="706"/>
      </w:pPr>
      <w:r>
        <w:t>Mia sorella è riuscito perché nell'ottobre del 1948 per uscire. Quello che sa vedere e di riferire, è atroce. Probabilmente è meglio, uno è in silenzio su di esso, perché un uomo civilizzato che non ha vissuto da soli, non era, ma credo.</w:t>
      </w:r>
      <w:r>
        <w:rPr>
          <w:vertAlign w:val="superscript"/>
        </w:rPr>
        <w:footnoteReference w:id="162"/>
      </w:r>
      <w:r>
        <w:t xml:space="preserve"> </w:t>
      </w:r>
    </w:p>
    <w:p w:rsidR="00611878" w:rsidRDefault="00672C55">
      <w:pPr>
        <w:spacing w:after="141" w:line="259" w:lineRule="auto"/>
        <w:ind w:left="566" w:right="0" w:firstLine="0"/>
        <w:jc w:val="left"/>
      </w:pPr>
      <w:r>
        <w:rPr>
          <w:sz w:val="24"/>
        </w:rPr>
        <w:t xml:space="preserve">  </w:t>
      </w:r>
    </w:p>
    <w:p w:rsidR="00611878" w:rsidRDefault="00672C55">
      <w:pPr>
        <w:spacing w:after="94" w:line="259" w:lineRule="auto"/>
        <w:ind w:left="561" w:right="707"/>
      </w:pPr>
      <w:r>
        <w:rPr>
          <w:sz w:val="24"/>
        </w:rPr>
        <w:t xml:space="preserve">Il tutto con il panico di finire nelle mani dei “Barbari Russi” </w:t>
      </w:r>
    </w:p>
    <w:p w:rsidR="00611878" w:rsidRDefault="00672C55">
      <w:pPr>
        <w:spacing w:after="203"/>
        <w:ind w:left="1438" w:right="706"/>
      </w:pPr>
      <w:r>
        <w:t>Dal nostro appartamento abbiamo potuto vedere come sempre più soldati sulla strada si allontanavano [...]. Ma oltre le parole di conforto arrivavano sempre gli avvertimenti macabri dati davanti all’arrivo dei "barbari " russi . " eravamo distribuite davanti ai soldati, in piedi davanti a loro, le donne tedesche sono indifese.</w:t>
      </w:r>
      <w:r>
        <w:rPr>
          <w:vertAlign w:val="superscript"/>
        </w:rPr>
        <w:footnoteReference w:id="163"/>
      </w:r>
      <w:r>
        <w:t xml:space="preserve">      </w:t>
      </w:r>
    </w:p>
    <w:p w:rsidR="00611878" w:rsidRPr="00A12F02" w:rsidRDefault="00672C55">
      <w:pPr>
        <w:spacing w:after="112" w:line="259" w:lineRule="auto"/>
        <w:ind w:left="566" w:right="0" w:firstLine="0"/>
        <w:jc w:val="left"/>
        <w:rPr>
          <w:sz w:val="2"/>
          <w:szCs w:val="2"/>
        </w:rPr>
      </w:pPr>
      <w:r w:rsidRPr="00A12F02">
        <w:rPr>
          <w:sz w:val="2"/>
          <w:szCs w:val="2"/>
        </w:rPr>
        <w:t xml:space="preserve"> </w:t>
      </w:r>
    </w:p>
    <w:p w:rsidR="00611878" w:rsidRDefault="00672C55">
      <w:pPr>
        <w:spacing w:line="366" w:lineRule="auto"/>
        <w:ind w:left="561" w:right="707"/>
      </w:pPr>
      <w:r>
        <w:rPr>
          <w:sz w:val="24"/>
        </w:rPr>
        <w:lastRenderedPageBreak/>
        <w:t>Non era facile immaginare le atrocità commesse dai sovietici, si poteva credere che gli amici, i polacchi, avrebbero protetto, giustificato e spiegato agli invasori che loro, i civili, con i militari tedeschi non avevano molto a che fare. Alcuni tra coloro che hanno deciso di restare, soprattutto tra le donne, hanno cercato di cambiare il proprio cognome, spesso sposandosi, per poter cancellare ogni traccia delle scomode origini.</w:t>
      </w:r>
      <w:r>
        <w:rPr>
          <w:sz w:val="24"/>
          <w:vertAlign w:val="superscript"/>
        </w:rPr>
        <w:footnoteReference w:id="164"/>
      </w:r>
      <w:r>
        <w:rPr>
          <w:sz w:val="24"/>
        </w:rPr>
        <w:t xml:space="preserve"> </w:t>
      </w:r>
    </w:p>
    <w:p w:rsidR="00611878" w:rsidRDefault="00672C55">
      <w:pPr>
        <w:spacing w:line="366" w:lineRule="auto"/>
        <w:ind w:left="561" w:right="707"/>
      </w:pPr>
      <w:r>
        <w:rPr>
          <w:sz w:val="24"/>
        </w:rPr>
        <w:t xml:space="preserve">Coloro che si convincevano a partire e riuscivano ad incolonnarsi verso l’ovest, diventavano la riserva privilegiata della caccia sovietica. I profughi erano, infatti, per lo più donne indifese che cercavano di raggiungere il confine del Oder-Neisse con la sola forza della disperazione. Gli stupri dei Russi erano all’ordine del giorno: </w:t>
      </w:r>
    </w:p>
    <w:p w:rsidR="00611878" w:rsidRDefault="00672C55">
      <w:pPr>
        <w:spacing w:after="44"/>
        <w:ind w:left="1438" w:right="706"/>
      </w:pPr>
      <w:r>
        <w:t>Quattro giorni rimase Josefine Schleiter nella casa colonica in cui si era rifugiata. Al quarto giorno, al pomeriggio, giunsero giovani ufficiali ubriachi. Uno di loro parlava un po’ di tedesco e disse: “La vostra vita è in pericolo, fuggite subito!”. In tutta fretta la studentessa indossò il suo cappotto e con gli altri si diresse ai carri. Ma non andarono lontano perché sopraggiunse un’auto; fermò e ne scesero tre individui che li circondarono. Il loro sguardo cadde sulla ragazza, l’afferrarono e la gettarono nella vettura. La macchina ripartì e le sue urla d’aiuto si persero nella tempesta di neve. Seduta in un canto Josefine Schleiter tremava per la paura ed il freddo insopportabile; uno degli uomini, ben avvolto in coperte, l’osservò e beffardo le chiese: “Freddo, eh?” Josefine non rispose, si era accorta che la macchina rallentava; si raggomitolò su se stessa e di un balzo si lanciò fuori della vettura e si mise a correre, a correre. I tre l’inseguirono, la raggiunsero, l’afferrarono e la rigettarono nella macchina. Seguì il più disonorevole momento della sua vita.</w:t>
      </w:r>
      <w:r>
        <w:rPr>
          <w:vertAlign w:val="superscript"/>
        </w:rPr>
        <w:footnoteReference w:id="165"/>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Questa massificazione delle violenze sessuali è spesso derubricata dalle tragedie della Seconda Guerra Mondiale, ben occultata dai ricordi di chi testimonia di quei tempi. Come evidenzia Rogall </w:t>
      </w:r>
    </w:p>
    <w:p w:rsidR="00611878" w:rsidRDefault="00672C55">
      <w:pPr>
        <w:spacing w:after="29"/>
        <w:ind w:left="1438" w:right="706"/>
      </w:pPr>
      <w:r>
        <w:t>La seconda guerra mondiale ha fornito, ma a questo proposito un record particolarmente triste, come in questo caso, lo stupro di tedesco disco particolarmente triste, come in questo caso, lo stupro della popolazione civile tedesco è diventato un fenomeno di massa finora sconosciuto dai soldati dell'Armata Rossa. Quale è il motivo per cui l'individuo ha avuto un ruolo qui, è ancora sconosciuto. La regione orientale ha avuto la prima parte del paese odiato nemico, che è stato inserito dalla Rossa, e le prime tedeschi, la cui uno era entrare in possesso, l'odio repressa eruttata dal regime di occupazione tedesca e in guerra la Russia praticato da entrambi principio lati cioè terra bruciata la distruzione di insediamenti e infrastrutture in ritirata. Certamente l'autoindulgenza dei soldati sovietici è stato anche incoraggiato da tale propaganda come le esortazioni di Ehrenburg e la mancanza di sanzioni da parte dei loro superiori, ma questo da solo non basta a spiegare. In molte parti delle zone orientali conquistate non c'era praticamente donna o una ragazza da parte della popolazione indigena, indipendentemente dall'età che non sono stati vittime di uno o più stupri, alcuni con conseguente morte.</w:t>
      </w:r>
      <w:r>
        <w:rPr>
          <w:vertAlign w:val="superscript"/>
        </w:rPr>
        <w:footnoteReference w:id="166"/>
      </w:r>
      <w:r>
        <w:t xml:space="preserve">  </w:t>
      </w:r>
    </w:p>
    <w:p w:rsidR="00611878" w:rsidRPr="00A12F02" w:rsidRDefault="00672C55">
      <w:pPr>
        <w:spacing w:after="112" w:line="259" w:lineRule="auto"/>
        <w:ind w:left="1419" w:right="0" w:firstLine="0"/>
        <w:jc w:val="left"/>
        <w:rPr>
          <w:sz w:val="2"/>
          <w:szCs w:val="2"/>
        </w:rPr>
      </w:pPr>
      <w:r w:rsidRPr="00A12F02">
        <w:rPr>
          <w:sz w:val="2"/>
          <w:szCs w:val="2"/>
        </w:rPr>
        <w:lastRenderedPageBreak/>
        <w:t xml:space="preserve">  </w:t>
      </w:r>
    </w:p>
    <w:p w:rsidR="00611878" w:rsidRDefault="00672C55">
      <w:pPr>
        <w:spacing w:after="28" w:line="357" w:lineRule="auto"/>
        <w:ind w:left="561" w:right="697"/>
        <w:jc w:val="left"/>
      </w:pPr>
      <w:r>
        <w:rPr>
          <w:sz w:val="24"/>
        </w:rPr>
        <w:t>Anche alla fine della guerra le violenze dei sovietici in terra polacca erano continuate. Ne rende testimonianza video un italiano, Adelino Leonardi classe 1922, che, nella strada che lo riportava in Italia passa una notte nel sottotetto di un locale utilizzato dai Sovietici per gli stupri di massa. Il signor Adelino non riesce a trattenere le lacrime al ricordo di queste giovani donne seviziate a morte lasciate giacere con diversi oggetti nei genitali, dai pali di legno alle bottiglie di vetro.</w:t>
      </w:r>
      <w:r>
        <w:rPr>
          <w:sz w:val="24"/>
          <w:vertAlign w:val="superscript"/>
        </w:rPr>
        <w:footnoteReference w:id="167"/>
      </w:r>
      <w:r>
        <w:rPr>
          <w:sz w:val="24"/>
        </w:rPr>
        <w:t xml:space="preserve"> </w:t>
      </w:r>
    </w:p>
    <w:p w:rsidR="00611878" w:rsidRDefault="00672C55">
      <w:pPr>
        <w:spacing w:line="366" w:lineRule="auto"/>
        <w:ind w:left="561" w:right="707"/>
      </w:pPr>
      <w:r>
        <w:rPr>
          <w:sz w:val="24"/>
        </w:rPr>
        <w:t xml:space="preserve">Perdere la propria verginità, la propria innocenza e rimanere in vita. Questa era la punizione più grande che potesse essere inflitta alla Germania. In una società, come quella degli anni ’40, nella quale il sesso era un tabù riservato alla camera da letto e all’avanspettacolo dove si esibivano le “signorine”, lo stupro era un’onta da nascondere per tutta la vita. Molte di loro non hanno mai rivelato la violenza subita o lo hanno fatto in modo parziale: la maggioranza delle testimonianze è indiretta, come se gli stupri fossero qualcosa di impersonale, che coinvolgeva “le altre”; di rado si assiste ad affermazioni vaghe come “poi sono stata violentata anche io”, ma senza i dettagli che vengono forniti per le altre ragazze. </w:t>
      </w:r>
    </w:p>
    <w:p w:rsidR="00611878" w:rsidRDefault="00672C55">
      <w:pPr>
        <w:spacing w:line="366" w:lineRule="auto"/>
        <w:ind w:left="561" w:right="707"/>
      </w:pPr>
      <w:r>
        <w:rPr>
          <w:sz w:val="24"/>
        </w:rPr>
        <w:t xml:space="preserve">I cecoslovacchi avevano covato a lungo l’odio nei confronti dei tedeschi invasori. Nel 1939 l’invasione-annessione della Moravia aveva permesso ai </w:t>
      </w:r>
      <w:r>
        <w:rPr>
          <w:i/>
          <w:sz w:val="24"/>
        </w:rPr>
        <w:t>Sudetendeutsch</w:t>
      </w:r>
      <w:r>
        <w:rPr>
          <w:sz w:val="24"/>
        </w:rPr>
        <w:t xml:space="preserve"> di ritrovare la propria Heimat ed unirsi ai fratelli tedeschi. I cecoslovacchi, </w:t>
      </w:r>
      <w:r>
        <w:rPr>
          <w:i/>
          <w:sz w:val="24"/>
        </w:rPr>
        <w:t>die Tschechen</w:t>
      </w:r>
      <w:r>
        <w:rPr>
          <w:sz w:val="24"/>
        </w:rPr>
        <w:t xml:space="preserve">, per anni erano stati una minoranza sottomessa. Alla fine della Seconda Guerra Mondiale l’odio sopito accende la miccia della violenza e la fa esplodere in maniera incontrollata, poiché gli ex occupanti sono visti come i colpevoli diretti delle azioni dei vari Hitler, Himmler, Frank, Henlein e, per questo degni di una punizione esemplare. </w:t>
      </w:r>
    </w:p>
    <w:p w:rsidR="00611878" w:rsidRDefault="00672C55">
      <w:pPr>
        <w:spacing w:line="366" w:lineRule="auto"/>
        <w:ind w:left="561" w:right="707"/>
      </w:pPr>
      <w:r>
        <w:rPr>
          <w:sz w:val="24"/>
        </w:rPr>
        <w:t xml:space="preserve">I tedeschi vengono costretti a portare segni distintivi come pezzi di stoffa cuciti al bavero della giacca o bracciali con evidente la lettera “N” di “Nemec”, tedesco. Alla stessa stregua della stella gialla per gli ebrei, gli ex invasori devono essere riconoscibili, per poter espropriare i loro beni o per sfogare la propria rabbia repressa. I tedeschi, che riuscivano a fuggire, strappavano dalle proprie vesti l’odiato pezzo di stoffa, rendendo i loro racconti un déjà vu, il carnefice che si trasforma in vittima: “Non abbiamo pianto, non abbiamo singhiozzato.  </w:t>
      </w:r>
    </w:p>
    <w:p w:rsidR="00611878" w:rsidRDefault="00672C55">
      <w:pPr>
        <w:spacing w:after="45" w:line="366" w:lineRule="auto"/>
        <w:ind w:left="561" w:right="707"/>
      </w:pPr>
      <w:r>
        <w:rPr>
          <w:sz w:val="24"/>
        </w:rPr>
        <w:lastRenderedPageBreak/>
        <w:t>Superata la frontiera ci siamo semplicemente strappati di dosso quei bracciali e li abbiamo buttati via”.</w:t>
      </w:r>
      <w:r>
        <w:rPr>
          <w:sz w:val="24"/>
          <w:vertAlign w:val="superscript"/>
        </w:rPr>
        <w:footnoteReference w:id="168"/>
      </w:r>
      <w:r>
        <w:rPr>
          <w:sz w:val="24"/>
        </w:rPr>
        <w:t xml:space="preserve">  </w:t>
      </w:r>
    </w:p>
    <w:p w:rsidR="00611878" w:rsidRDefault="00672C55">
      <w:pPr>
        <w:spacing w:line="366" w:lineRule="auto"/>
        <w:ind w:left="561" w:right="707"/>
      </w:pPr>
      <w:r>
        <w:rPr>
          <w:sz w:val="24"/>
        </w:rPr>
        <w:t>Occorre sottolineare che la sete di vendetta dei cechi nei confronti dei tedeschi era dovuta alla feroce repressione del popolo all’indomani dell’assassinio di Heydrich che i nazisti hanno perpetrato distruggendo il villaggio di Lidice, anche se come evidenzia Christopher Duffy lo standard di vita che viene mantenuto durante tutto il periodo dell’occupazione è molto alto, sicuramente superiore rispetto al resto del Reich.</w:t>
      </w:r>
      <w:r>
        <w:rPr>
          <w:sz w:val="24"/>
          <w:vertAlign w:val="superscript"/>
        </w:rPr>
        <w:footnoteReference w:id="169"/>
      </w:r>
      <w:r>
        <w:rPr>
          <w:sz w:val="24"/>
        </w:rPr>
        <w:t xml:space="preserve">  </w:t>
      </w:r>
    </w:p>
    <w:p w:rsidR="00611878" w:rsidRDefault="00672C55">
      <w:pPr>
        <w:spacing w:line="366" w:lineRule="auto"/>
        <w:ind w:left="561" w:right="707"/>
      </w:pPr>
      <w:r>
        <w:rPr>
          <w:sz w:val="24"/>
        </w:rPr>
        <w:t xml:space="preserve">  La sete di vendetta ha portato i Cechi ad applicare il principio romano della </w:t>
      </w:r>
      <w:r>
        <w:rPr>
          <w:i/>
          <w:sz w:val="24"/>
        </w:rPr>
        <w:t>delenda Carthago</w:t>
      </w:r>
      <w:r>
        <w:rPr>
          <w:sz w:val="24"/>
        </w:rPr>
        <w:t xml:space="preserve"> nei confronti dei villaggi tedeschi. Alcune cittadine come Duppau sono sparite dalle carte geografiche, altre come Terezinstadt, l’odierna Terezin, sono divenute città fantasma: </w:t>
      </w:r>
    </w:p>
    <w:p w:rsidR="00611878" w:rsidRDefault="00672C55">
      <w:pPr>
        <w:ind w:left="1438" w:right="706"/>
      </w:pPr>
      <w:r>
        <w:t xml:space="preserve">Non ci sono più case, né automobili, né esseri umani. Solo la scalinata che portava alla chiesa […]. In passato salirono quei gradini gli allievi del seminario cattolico per andare a pregare, e poi gli uomini nelle nere uniformi delle SS per andare a lezione. Dopo la guerra trascinarono lungo quella scalinata i tedeschi da interrogare. Oggi è rimasto l’ultimo segno a testimoniare l’esistenza di una Heimat: per i tedeschi, ma anche per i cechi, per i cristiani come per gli </w:t>
      </w:r>
    </w:p>
    <w:p w:rsidR="00611878" w:rsidRDefault="00672C55">
      <w:pPr>
        <w:spacing w:after="50"/>
        <w:ind w:left="1438" w:right="706"/>
      </w:pPr>
      <w:r>
        <w:t>ebrei.</w:t>
      </w:r>
      <w:r>
        <w:rPr>
          <w:vertAlign w:val="superscript"/>
        </w:rPr>
        <w:footnoteReference w:id="170"/>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Le violenze dei partigiani cechi nei confronti di chi rimane sono brutali, come testimoniato da M. G.: il 10 maggio 1945, “cinque uomini, tra i quali anche mio marito (G. G.) erano coperti di sangue, la testa fracassata (fatto confermato dal certificato di morte). […] Il giorno seguente tornarono, rubarono dai morti scarpe, orologi, anelli e così via”.</w:t>
      </w:r>
      <w:r>
        <w:rPr>
          <w:sz w:val="24"/>
          <w:vertAlign w:val="superscript"/>
        </w:rPr>
        <w:footnoteReference w:id="171"/>
      </w:r>
      <w:r>
        <w:rPr>
          <w:sz w:val="24"/>
        </w:rPr>
        <w:t xml:space="preserve"> È interessante analizzare i termini utilizzati dalla signora. Gli aggressori sono descritti come barbari, che uccidono senza motivo uomini innocenti, quasi santi, al punto che la loro è definita una </w:t>
      </w:r>
      <w:r>
        <w:rPr>
          <w:i/>
          <w:sz w:val="24"/>
        </w:rPr>
        <w:t>Märtyrertod</w:t>
      </w:r>
      <w:r>
        <w:rPr>
          <w:sz w:val="24"/>
        </w:rPr>
        <w:t xml:space="preserve">, morte dei martiri.  </w:t>
      </w:r>
    </w:p>
    <w:p w:rsidR="00611878" w:rsidRDefault="00672C55">
      <w:pPr>
        <w:spacing w:line="366" w:lineRule="auto"/>
        <w:ind w:left="561" w:right="707"/>
      </w:pPr>
      <w:r>
        <w:rPr>
          <w:sz w:val="24"/>
        </w:rPr>
        <w:t xml:space="preserve">La rabbia repressa si sfoga nei mesi successivi la resa tedesca e sono molte le testimonianze che la documentano: </w:t>
      </w:r>
    </w:p>
    <w:p w:rsidR="00611878" w:rsidRDefault="00672C55">
      <w:pPr>
        <w:spacing w:after="35"/>
        <w:ind w:left="1438" w:right="706"/>
      </w:pPr>
      <w:r>
        <w:t>La suddetta I. D., nata W., nata il 20 settembre 1906 a Kreis Brux, regione dei Sudeti, dichiara sotto giuramento: Nell’anno 1945 vivevo con la mia famiglia (mio marito era ancora nella Wehrmacht) a Karbitz […]. Il 4 giugno 1945 alle 7 di mattina si sono presentati nel mio paese natale (i tedeschi che non conoscevano il ceco non potevano capire nulla). Alle 8 in meno di un’ora dovevamo essere tutti in strada.</w:t>
      </w:r>
      <w:r>
        <w:rPr>
          <w:vertAlign w:val="superscript"/>
        </w:rPr>
        <w:footnoteReference w:id="172"/>
      </w:r>
      <w:r>
        <w:t xml:space="preserve"> </w:t>
      </w:r>
    </w:p>
    <w:p w:rsidR="00611878" w:rsidRPr="00264D17" w:rsidRDefault="00672C55">
      <w:pPr>
        <w:spacing w:after="113" w:line="259" w:lineRule="auto"/>
        <w:ind w:left="566" w:right="0" w:firstLine="0"/>
        <w:jc w:val="left"/>
        <w:rPr>
          <w:sz w:val="2"/>
          <w:szCs w:val="2"/>
        </w:rPr>
      </w:pPr>
      <w:r w:rsidRPr="00264D17">
        <w:rPr>
          <w:sz w:val="2"/>
          <w:szCs w:val="2"/>
        </w:rPr>
        <w:lastRenderedPageBreak/>
        <w:t xml:space="preserve"> </w:t>
      </w:r>
    </w:p>
    <w:p w:rsidR="00611878" w:rsidRDefault="00672C55">
      <w:pPr>
        <w:spacing w:line="366" w:lineRule="auto"/>
        <w:ind w:left="561" w:right="707"/>
      </w:pPr>
      <w:r>
        <w:rPr>
          <w:sz w:val="24"/>
        </w:rPr>
        <w:t xml:space="preserve">L’esproprio dei propri beni è la prima costante di tutti i racconti: esattamente come era la procedura dei rastrellamenti nazisti, i tedeschi avevano poco tempo per raccogliere le cose e abbandonare tutto: </w:t>
      </w:r>
    </w:p>
    <w:p w:rsidR="00611878" w:rsidRDefault="00672C55">
      <w:pPr>
        <w:ind w:left="1438" w:right="706"/>
      </w:pPr>
      <w:r>
        <w:t xml:space="preserve">Il 30 aprile 1945 sono stata prelevata dai Cechi dalla mia abitazione e, senza che potessi portare nulla con me, sono stata gettata in strada. La sera verso le 7 e ½ ho incontrato un poliziotto ceco ubriaco che mi ha preso insieme ad altre donne, che aveva raccolto alla rinfusa e [le portò] nel lager di Brunn-Hussowitz. In quel lager siamo rimaste fino al 30 maggio 1946. Abbiamo ricevuto solo una zuppa acquosa e un piccolo pezzo di pane quotidianamente. Gli anziani rimanevano sul campo, morti per lo sfinimento. Nella notte ci è stato chiesto dai cechi di serrare le fila. C'erano soldati russi, che le donne che chiamano in forma, scese e si allontanarono insieme con le automobili. Sono poche le donne che sono state di nuovo restituite, erano in uno stato terribile, dichiarando che quello che hanno fatto loro è stato così terribile che non riescono a guardare i loro figli negli occhi e quelli dei loro uomini. Molte donne si sono suicidate, abbiamo dovuto fermarli con la forza. Molte donne vengono restituite più. </w:t>
      </w:r>
    </w:p>
    <w:p w:rsidR="00611878" w:rsidRDefault="00672C55">
      <w:pPr>
        <w:spacing w:after="0" w:line="259" w:lineRule="auto"/>
        <w:ind w:left="1419" w:right="0" w:firstLine="0"/>
        <w:jc w:val="left"/>
      </w:pPr>
      <w:r>
        <w:t xml:space="preserve"> </w:t>
      </w:r>
    </w:p>
    <w:p w:rsidR="00611878" w:rsidRDefault="00672C55">
      <w:pPr>
        <w:spacing w:line="259" w:lineRule="auto"/>
        <w:ind w:left="561" w:right="707"/>
      </w:pPr>
      <w:r>
        <w:rPr>
          <w:sz w:val="24"/>
        </w:rPr>
        <w:t xml:space="preserve">E ancora: </w:t>
      </w:r>
    </w:p>
    <w:p w:rsidR="00611878" w:rsidRDefault="00672C55">
      <w:pPr>
        <w:spacing w:after="0" w:line="259" w:lineRule="auto"/>
        <w:ind w:left="566" w:right="0" w:firstLine="0"/>
        <w:jc w:val="left"/>
      </w:pPr>
      <w:r>
        <w:rPr>
          <w:sz w:val="24"/>
        </w:rPr>
        <w:t xml:space="preserve"> </w:t>
      </w:r>
    </w:p>
    <w:p w:rsidR="00611878" w:rsidRDefault="00672C55">
      <w:pPr>
        <w:spacing w:after="54"/>
        <w:ind w:left="1438" w:right="706"/>
      </w:pPr>
      <w:r>
        <w:t>Il 30 maggio 1945 alle 8 e mezza di sera, abbiamo dovuto sfilare, nulla poteva togliere e siamo rimasti con il pretesto che stiamo lavorando a 3 giorni, messo in moto. Da tutte le strade armatura floccato caratteristiche simili e ammassati in direzione Wiener Straße. C'erano decine di migliaia di persone ed è stato costantemente le donne con bambini, anziani e disabili, come storpi, ecc, gli uomini e le donne abili rimanere dietro e sono stati rinchiusi in campi di concentramento. […] A Porliz, dove siamo arrivati la sera del 31 maggio, siamo stati portati nel granaio dello zuccherificio, dove per la stanchezza cademmo a terra sul pavimento bagnato. Lì ricevemmo la visita dei partigiano Cechi che presero tutto quello che era di loro gradimento. La notte tornarono i Russi accompagnati dai Cechi e portarono via le donne. Anche i bambini di 13 anni furono presi. Questi non tornarono più indietro</w:t>
      </w:r>
      <w:r w:rsidR="00BB3E32">
        <w:rPr>
          <w:rStyle w:val="Rimandonotaapidipagina"/>
        </w:rPr>
        <w:footnoteReference w:id="173"/>
      </w:r>
      <w:r>
        <w:t xml:space="preserve">. </w:t>
      </w:r>
    </w:p>
    <w:p w:rsidR="00611878" w:rsidRPr="00A12F02" w:rsidRDefault="00672C55">
      <w:pPr>
        <w:spacing w:after="115" w:line="259" w:lineRule="auto"/>
        <w:ind w:left="566" w:right="0" w:firstLine="0"/>
        <w:jc w:val="left"/>
        <w:rPr>
          <w:sz w:val="2"/>
          <w:szCs w:val="2"/>
        </w:rPr>
      </w:pPr>
      <w:r w:rsidRPr="00A12F02">
        <w:rPr>
          <w:sz w:val="2"/>
          <w:szCs w:val="2"/>
        </w:rPr>
        <w:lastRenderedPageBreak/>
        <w:t xml:space="preserve"> </w:t>
      </w:r>
    </w:p>
    <w:p w:rsidR="00611878" w:rsidRDefault="00672C55">
      <w:pPr>
        <w:spacing w:after="47" w:line="359" w:lineRule="auto"/>
        <w:ind w:left="576" w:right="705"/>
      </w:pPr>
      <w:r>
        <w:rPr>
          <w:sz w:val="24"/>
        </w:rPr>
        <w:t xml:space="preserve">Il pericolo, ovviamente, non proveniva solo dai Cecoslovacchi, ma anche dagli occupanti russi: </w:t>
      </w:r>
      <w:r>
        <w:rPr>
          <w:i/>
          <w:sz w:val="24"/>
        </w:rPr>
        <w:t>“Hilde e Maria G. furono scovate 10-15 volte durante la notte. La signora B. e la signora L., una giovane ragazza partita con noi di quasi 15 anni, sanguinavano dalla testa, il corpo nudo, le gambe divaricate, erano state violentate 3 volte”</w:t>
      </w:r>
      <w:r w:rsidR="00BB3E32">
        <w:rPr>
          <w:rStyle w:val="Rimandonotaapidipagina"/>
          <w:i/>
          <w:sz w:val="24"/>
        </w:rPr>
        <w:footnoteReference w:id="174"/>
      </w:r>
      <w:r>
        <w:rPr>
          <w:i/>
          <w:sz w:val="24"/>
        </w:rPr>
        <w:t xml:space="preserve">.     </w:t>
      </w:r>
    </w:p>
    <w:p w:rsidR="00611878" w:rsidRDefault="00672C55">
      <w:pPr>
        <w:spacing w:after="96" w:line="259" w:lineRule="auto"/>
        <w:ind w:left="561" w:right="707"/>
      </w:pPr>
      <w:r>
        <w:rPr>
          <w:sz w:val="24"/>
        </w:rPr>
        <w:t xml:space="preserve">Un’altra testimonianza interessante racconta ancora di violenze successive la fine della guerra: </w:t>
      </w:r>
    </w:p>
    <w:p w:rsidR="00611878" w:rsidRDefault="00672C55">
      <w:pPr>
        <w:spacing w:after="45" w:line="246" w:lineRule="auto"/>
        <w:ind w:left="1414" w:right="702"/>
        <w:jc w:val="left"/>
      </w:pPr>
      <w:r>
        <w:t>In breve tempo un partigiano ceco nel nostro appartamento entrò, togliendo la sicura alla pistola e mi chiese se fossi tedesca. Non appena dissi “Si“ urlò “mani in alto“ e mi ha indicato di uscire dalla casa. Quindi, ho visto che in ogni casa era successa la stessa cosa e gli uomini e i bambini erano stati condotti insieme verso la piazza del paese. Lì abbiamo aspettato fino al pomeriggio. […]. La stessa notte una di queste donne [tra quelle catturate] fu violentata da una guardia ceca sotto la minaccia di una pistola.</w:t>
      </w:r>
      <w:r w:rsidR="00BB3E32">
        <w:rPr>
          <w:rStyle w:val="Rimandonotaapidipagina"/>
        </w:rPr>
        <w:footnoteReference w:id="175"/>
      </w:r>
      <w:r>
        <w:t xml:space="preserve"> </w:t>
      </w:r>
    </w:p>
    <w:p w:rsidR="00611878" w:rsidRDefault="00672C55">
      <w:pPr>
        <w:spacing w:after="0" w:line="259" w:lineRule="auto"/>
        <w:ind w:left="0" w:right="0" w:firstLine="0"/>
        <w:jc w:val="left"/>
      </w:pPr>
      <w:r>
        <w:rPr>
          <w:rFonts w:ascii="Calibri" w:eastAsia="Calibri" w:hAnsi="Calibri" w:cs="Calibri"/>
          <w:strike/>
        </w:rPr>
        <w:t xml:space="preserve">                                                         </w:t>
      </w:r>
      <w:r>
        <w:rPr>
          <w:rFonts w:ascii="Calibri" w:eastAsia="Calibri" w:hAnsi="Calibri" w:cs="Calibri"/>
        </w:rPr>
        <w:t xml:space="preserve"> </w:t>
      </w:r>
    </w:p>
    <w:p w:rsidR="00611878" w:rsidRDefault="00611878">
      <w:pPr>
        <w:spacing w:after="113" w:line="259" w:lineRule="auto"/>
        <w:ind w:left="566" w:right="0" w:firstLine="0"/>
        <w:jc w:val="left"/>
      </w:pPr>
    </w:p>
    <w:p w:rsidR="00611878" w:rsidRDefault="00672C55">
      <w:pPr>
        <w:spacing w:line="366" w:lineRule="auto"/>
        <w:ind w:left="561" w:right="707"/>
      </w:pPr>
      <w:r>
        <w:rPr>
          <w:sz w:val="24"/>
        </w:rPr>
        <w:t xml:space="preserve">Ovviamente le violenze si svolgevano con il placet e la complicità dei soldati dell’Armata Rossa che potevano beneficiare spesso di donne che i cechi avevano provveduto a procacciare, sia a scopo di stupro, di omicidio e di deportazione </w:t>
      </w:r>
    </w:p>
    <w:p w:rsidR="00611878" w:rsidRDefault="00672C55">
      <w:pPr>
        <w:spacing w:after="29"/>
        <w:ind w:left="1438" w:right="706"/>
      </w:pPr>
      <w:r>
        <w:t>A Porlitz, dove siamo arrivati il 31 maggio, la sera, siamo stati raccolti nei granai della fabbrica di zucchero, dove siamo caduti a terra bagnato in esaurimento. Ci siamo stati perquisiti dai partigiani cechi e tutto li adatta, è stata presa. Di notte volta i russi sono venuti con i cechi e tirò fuori le donne. Anche i bambini a partire dall'età di 13 sono stati tra di loro. Questo è tornato nich più.Il giorno successivo mattina ci hanno portati nuovamente senza che avremmo avuto a mangiare, quindi senza che ci hanno permesso di bere, con ciglia a loro volta guidati ulteriormente. Anche in questo caso sono stati i Straßengräbe di cadaveri e di morire di colonne che si muovevano davanti a noi, affollato. Eravamo costantemente picchiati con manganelli e fruste e che è stato messo insieme dai nostri ranghi trasportati con calci nel fosso. Così è andato a Nikolsburg. Lì, tutti sono stati esaminati di nuovo, è stato completamente portato via tutto fino fazzoletto tutto zerrisen documenti di identità. Ognuno ha anche un colpo di frusta in faccia ed è stato inseguito lungo il confine austriaco.La grande morire della esausto è iniziato il confine, dove molte decine di migliaia di persone erano sui prati e campi, senza cibo, per la maggior parte con scarsa abbigliamento mezzo congelato dalle gelate notturne. Tifo e dissenteria scoppiò e decine di migliaia di morti. Mi è venuto a Vienna, dove sono crollato. A Vienna ho avuto la fortuna di non essere nella zona russa ed era fornita di un trasferimento di conoscenze Sostituito in Baviera il 9 settembre 1946 ed ora sono arrivato a Bogen.Sono pronto a giurare la verità delle mie affermazioni in qualsiasi momento</w:t>
      </w:r>
      <w:r w:rsidR="00BB3E32">
        <w:rPr>
          <w:rStyle w:val="Rimandonotaapidipagina"/>
        </w:rPr>
        <w:footnoteReference w:id="176"/>
      </w:r>
      <w:r>
        <w:t xml:space="preserve">              </w:t>
      </w:r>
    </w:p>
    <w:p w:rsidR="00611878" w:rsidRDefault="00672C55">
      <w:pPr>
        <w:spacing w:line="366" w:lineRule="auto"/>
        <w:ind w:left="561" w:right="707"/>
      </w:pPr>
      <w:r>
        <w:rPr>
          <w:sz w:val="24"/>
        </w:rPr>
        <w:lastRenderedPageBreak/>
        <w:t xml:space="preserve">  A questa testimonianza fa eco F. P. classe 1898 che lascia agli atti dell’archivio di Bayreuh la sua testimonianza datata 9 maggio 1951 </w:t>
      </w:r>
    </w:p>
    <w:p w:rsidR="00611878" w:rsidRDefault="00672C55" w:rsidP="00BB3E32">
      <w:pPr>
        <w:spacing w:after="105"/>
        <w:ind w:left="1438" w:right="706"/>
      </w:pPr>
      <w:r>
        <w:t xml:space="preserve">L'8 5. 45 Sono venuto a Olomouc come membro delle truppe del popolo. Cattività. Dopo 8 settimane, i russi consegnato tutte Volkssturm i cechi, siamo arrivati a Olomouc - Hodolin nel campo e aveva tutto applicabile Aufraumungsarbeiten verreichten lì. Siamo stati battuti quasi </w:t>
      </w:r>
      <w:r>
        <w:rPr>
          <w:rFonts w:ascii="Calibri" w:eastAsia="Calibri" w:hAnsi="Calibri" w:cs="Calibri"/>
          <w:strike/>
        </w:rPr>
        <w:t xml:space="preserve">                                                    </w:t>
      </w:r>
      <w:r>
        <w:rPr>
          <w:rFonts w:ascii="Calibri" w:eastAsia="Calibri" w:hAnsi="Calibri" w:cs="Calibri"/>
        </w:rPr>
        <w:t xml:space="preserve"> </w:t>
      </w:r>
    </w:p>
    <w:p w:rsidR="00611878" w:rsidRDefault="00672C55">
      <w:pPr>
        <w:spacing w:after="33"/>
        <w:ind w:left="1438" w:right="706"/>
      </w:pPr>
      <w:r>
        <w:t xml:space="preserve">tutti i giorni durante la marcia fuori o in competizione e anche durante i lavori del personale di sicurezza (tutti ex partigiani) e insultati. Nel campo ci hanno poi interrogati tutti i giorni. Durante gli interrogatori è stato torturato e </w:t>
      </w:r>
      <w:r w:rsidR="00BB3E32">
        <w:t>colpito</w:t>
      </w:r>
      <w:r>
        <w:t xml:space="preserve"> fino a quando finalmente la persona in stato di incoscienza e anche morti. Devo seppellirsi 4 volte tali sacrifici. In molti casi, hanno vissuto anche. Ma hanno dovuto essere sepolto in segreto. Nel campo</w:t>
      </w:r>
      <w:r w:rsidR="00BB3E32">
        <w:t xml:space="preserve"> di</w:t>
      </w:r>
      <w:r>
        <w:t xml:space="preserve"> Olmütz</w:t>
      </w:r>
      <w:r w:rsidR="00BB3E32">
        <w:t xml:space="preserve"> </w:t>
      </w:r>
      <w:r>
        <w:t xml:space="preserve"> anche molto molte donne detenute. Questi sono stati anche vittime di abusi e molto spesso forniti dai cechi ai russi. Sono stati poi stuprate dai russi.Mi sono trovato a febbraio 1946 a Olomouc. Durante questo periodo i tedeschi erano </w:t>
      </w:r>
      <w:r w:rsidR="00BB3E32">
        <w:t>quotidianamente maltrattati e picchiati</w:t>
      </w:r>
      <w:r>
        <w:t xml:space="preserve">. Io stesso </w:t>
      </w:r>
      <w:r w:rsidR="00BB3E32">
        <w:t>ho avuto la dentiera rotta</w:t>
      </w:r>
      <w:r>
        <w:t xml:space="preserve"> da un pugno in faccia,.</w:t>
      </w:r>
      <w:r w:rsidR="00BB3E32">
        <w:t xml:space="preserve"> </w:t>
      </w:r>
      <w:r>
        <w:t xml:space="preserve">Poi sono arrivato a Brno. Qui, il trattamento era leggermente migliore. L'odio si </w:t>
      </w:r>
      <w:r w:rsidR="00BB3E32">
        <w:t>era calmato un po' in generale</w:t>
      </w:r>
      <w:r>
        <w:t>.</w:t>
      </w:r>
      <w:r w:rsidR="00BB3E32">
        <w:t xml:space="preserve"> </w:t>
      </w:r>
      <w:r>
        <w:t>Sono riuscito a scappare da lì per mezzo di una nota a me cechi</w:t>
      </w:r>
      <w:r w:rsidR="00BB3E32">
        <w:rPr>
          <w:rStyle w:val="Rimandonotaapidipagina"/>
        </w:rPr>
        <w:footnoteReference w:id="177"/>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  Chi non voleva lasciare tutto, inoltre, rischiava la deportazione nei campi di concentramento che i sovietici avevano approntato appositamente. Per rintracciare gli abitanti di lingua tedesca, tra i 17 e i 50 anni gli occupanti hanno utilizzato le liste di Volksdeutsche che avevano trovato abbandonate dai nazisti in fuga. Si calcola che degli internati del distretto di Tuchel il 93,5% proveniva da quegli elenchi, mentre per quanto riguarda il distretto di Bromberg l’80,5%. I </w:t>
      </w:r>
      <w:r>
        <w:rPr>
          <w:sz w:val="24"/>
        </w:rPr>
        <w:lastRenderedPageBreak/>
        <w:t xml:space="preserve">sovietici non disponevano di campi propri nel territorio del Reich, quindi, per ovviare al problema ed evitare un costoso viaggio in Siberia, sono stati riutilizzati  quelli nazisti di </w:t>
      </w:r>
    </w:p>
    <w:p w:rsidR="00611878" w:rsidRDefault="00672C55">
      <w:pPr>
        <w:spacing w:line="366" w:lineRule="auto"/>
        <w:ind w:left="561" w:right="707"/>
      </w:pPr>
      <w:r>
        <w:rPr>
          <w:sz w:val="24"/>
        </w:rPr>
        <w:t xml:space="preserve">Blachstadt, Deschwitz, Heydebreck, Konigshutte, Sosnowitz, Schwientochlowitz, KattowitzLigota, Auschwitz, Gleiwitz, Laband, Myslowitz e Kreuzberg. </w:t>
      </w:r>
    </w:p>
    <w:p w:rsidR="00611878" w:rsidRDefault="00672C55">
      <w:pPr>
        <w:spacing w:line="366" w:lineRule="auto"/>
        <w:ind w:left="561" w:right="707"/>
      </w:pPr>
      <w:r>
        <w:rPr>
          <w:sz w:val="24"/>
        </w:rPr>
        <w:t>I sovietici avevan o già utilizzato lo strumento della deportazioni delle minoranze etniche nelle prime aree occupate dall’Armata Rossa in avanzata verso ovest e che erano occupate da gruppi identitari che potevano costituire un problema per il successo delle operazioni militari, come il caso del popolo</w:t>
      </w:r>
      <w:r>
        <w:rPr>
          <w:rFonts w:ascii="Calibri" w:eastAsia="Calibri" w:hAnsi="Calibri" w:cs="Calibri"/>
        </w:rPr>
        <w:t xml:space="preserve"> </w:t>
      </w:r>
      <w:r>
        <w:t xml:space="preserve">Karačaevo inviato in Kazakistan e in Kirghistan Mia madre fu deportata nel 1943, lei era karačaeva, mentre i ceceni furono deportati nel 1944. </w:t>
      </w:r>
    </w:p>
    <w:p w:rsidR="00611878" w:rsidRPr="00BB3E32" w:rsidRDefault="00672C55" w:rsidP="00BB3E32">
      <w:pPr>
        <w:spacing w:after="222" w:line="265" w:lineRule="auto"/>
        <w:ind w:left="10" w:right="704"/>
        <w:jc w:val="right"/>
      </w:pPr>
      <w:r>
        <w:t>Lei fu deportata separatamente dal resto del popolo, e prima degli altri, a causa di suo fratello maggiore. Quando iniziò la guerra suo fratello fu richiamato dal fronte e poi scappò e se ne andò nei boschi. E quando si nascose la sua famiglia fu perseguitata, la nonna fu messa in prigione. Quando mia madre mi raccontò questi fatti io non ne capivo il significato: perché andare nei boschi? Cosa significava? L’ho capito solo dopo la guerra in Cecenia. Lo zio era stato richiamato dal fronte e fatto tornare in Karačaeva per fare dei sabotaggi e far ricadere la colpa sui tedeschi. Doveva distruggere le case o sparare contro il suo popolo affinché fossero incolpati i tedeschi e in questo modo creare nel popolo l’odio contro i tedeschi. La gente era semplice, poco istruita, e così credeva alle autorità. Lui si rifiutò di farlo e scappò nei boschi insieme ad altre persone. E quando poi fu catturato e arrestato, decisero di deportarlo, e con lui la sua famiglia.</w:t>
      </w:r>
      <w:r>
        <w:rPr>
          <w:vertAlign w:val="superscript"/>
        </w:rPr>
        <w:footnoteReference w:id="178"/>
      </w:r>
      <w:r>
        <w:rPr>
          <w:sz w:val="24"/>
        </w:rP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Per compiere questa operazione erano stati mobilitati 19.000 membri dell’NKVD e 100.000 soldati semplici, come spiega Rognoni </w:t>
      </w:r>
    </w:p>
    <w:p w:rsidR="00611878" w:rsidRDefault="00672C55">
      <w:pPr>
        <w:spacing w:after="27"/>
        <w:ind w:left="1438" w:right="706"/>
      </w:pPr>
      <w:r>
        <w:t xml:space="preserve">A settembre del 1943, però, Mosca cambiò posizione e optò per la deportazione totale del popolo Karačaevo, che fu mandato in alcune regioni del Kazachstan e del Kirghistan. </w:t>
      </w:r>
    </w:p>
    <w:p w:rsidR="00611878" w:rsidRDefault="00672C55">
      <w:pPr>
        <w:ind w:left="1438" w:right="706"/>
      </w:pPr>
      <w:r>
        <w:t>Alla deportazione dei karačaevi seguì quella del popolo calmucco, la cui Repubblica Autonoma fu occupata dai tedeschi dall’agosto del 1942 al gennaio del 1943. Il 28 dicembre fu liquidata la ASSR calmucca e la sua popolazione fu interamente deportata e insediata principalmente nelle regione di Omsk, Krasnodar, Novosibrsk, e Altaj. Contemporaneamente veniva elaborato il piano per la deportazione di ceceni e ingusci. Inizialmente furono proposti come luoghi di destinazione le regioni di Krasnojarsk, Omsk, Novosibirsk e Altaj. Queste regioni però, che già avevano accolto i deportati provenienti dalla Calmucchia, riuscirono a evitare questa eventualità e nel piano finale, proposto da Berja a metà dicembre, la meta finale del trasferimento fu tutt’altra e, come nel caso dei karačaevi, prevedeva di reinsediare i vainachi in diverse regioni sparse principalmente tra il Kazachstan e il Kirghistan. Il 20 febbraio Berija, incaricato personalmente da Stalin di seguire l’operazione, si recò a Groznyj.</w:t>
      </w:r>
      <w:r>
        <w:rPr>
          <w:vertAlign w:val="superscript"/>
        </w:rPr>
        <w:footnoteReference w:id="179"/>
      </w:r>
      <w:r>
        <w:rPr>
          <w:sz w:val="24"/>
        </w:rP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Le deportazioni di questi popoli sono stati fatti nonostante la </w:t>
      </w:r>
      <w:r>
        <w:rPr>
          <w:i/>
          <w:sz w:val="24"/>
        </w:rPr>
        <w:t xml:space="preserve">Dichiarazione dei diritti dei popoli della Russia </w:t>
      </w:r>
      <w:r>
        <w:rPr>
          <w:sz w:val="24"/>
        </w:rPr>
        <w:t xml:space="preserve">che poneva tutti sullo stesso piano </w:t>
      </w:r>
    </w:p>
    <w:p w:rsidR="00611878" w:rsidRDefault="00672C55">
      <w:pPr>
        <w:spacing w:after="0" w:line="259" w:lineRule="auto"/>
        <w:ind w:left="1419" w:right="0" w:firstLine="0"/>
        <w:jc w:val="left"/>
      </w:pPr>
      <w:r>
        <w:t xml:space="preserve"> </w:t>
      </w:r>
    </w:p>
    <w:p w:rsidR="00611878" w:rsidRDefault="00672C55">
      <w:pPr>
        <w:ind w:left="1438" w:right="706"/>
      </w:pPr>
      <w:r>
        <w:lastRenderedPageBreak/>
        <w:t xml:space="preserve">Dichiarazione dei diritti dei popoli della Russia [2 (15) novembre 1917]3 . La rivoluzione d’Ottobre degli operai e dei contadini è iniziata sotto il segno della liberazione dalla schiavitù. Sono liberati i contadini dal potere dei proprietari terrieri, poiché non esiste più la proprietà privata sulla terra: è stata eliminata.  Sono liberati i soldati e i marinai dal potere dei generali autocrati, poiché i generali da questo momento saranno elettivi e sostituibili. Sono liberati gli operai dai capricci e dall’arbitrio dei capitalisti, poiché da questo momento sarà introdotto il controllo degli operai sulle fabbriche. Tutto ciò che è vivo e vitale è liberato dalle odiose catene. Restano solo i popoli della Russia, che hanno subito e subiscono l’oppressione e l’arbitrio, alla cui liberazione ci si deve accingere immediatamente, la cui liberazione deve essere attuata con decisione e senza ritorno. […] Il Consiglio dei Commissari del Popolo ha deciso di porre a fondamento della propria azione sulle questioni nazionali i seguenti principi:  </w:t>
      </w:r>
    </w:p>
    <w:p w:rsidR="00611878" w:rsidRDefault="00672C55" w:rsidP="004B3A00">
      <w:pPr>
        <w:numPr>
          <w:ilvl w:val="0"/>
          <w:numId w:val="28"/>
        </w:numPr>
        <w:ind w:right="706" w:hanging="221"/>
      </w:pPr>
      <w:r>
        <w:t xml:space="preserve">L’uguaglianza e la sovranità dei popoli della Russia.  </w:t>
      </w:r>
    </w:p>
    <w:p w:rsidR="00611878" w:rsidRDefault="00672C55" w:rsidP="004B3A00">
      <w:pPr>
        <w:numPr>
          <w:ilvl w:val="0"/>
          <w:numId w:val="28"/>
        </w:numPr>
        <w:spacing w:after="27"/>
        <w:ind w:right="706" w:hanging="221"/>
      </w:pPr>
      <w:r>
        <w:t xml:space="preserve">Il diritto dei popoli della Russia all’autodeterminazione e alla eventuale separazione e formazione di uno stato indipendente.  </w:t>
      </w:r>
    </w:p>
    <w:p w:rsidR="00611878" w:rsidRDefault="00672C55" w:rsidP="004B3A00">
      <w:pPr>
        <w:numPr>
          <w:ilvl w:val="0"/>
          <w:numId w:val="28"/>
        </w:numPr>
        <w:ind w:right="706" w:hanging="221"/>
      </w:pPr>
      <w:r>
        <w:t xml:space="preserve">L’abolizione di tutti i privilegi e di tutte le restrizioni etnici e etnicoreligiosi. </w:t>
      </w:r>
    </w:p>
    <w:p w:rsidR="00611878" w:rsidRDefault="00672C55" w:rsidP="004B3A00">
      <w:pPr>
        <w:numPr>
          <w:ilvl w:val="0"/>
          <w:numId w:val="28"/>
        </w:numPr>
        <w:spacing w:after="40"/>
        <w:ind w:right="706" w:hanging="221"/>
      </w:pPr>
      <w:r>
        <w:t>Il libero sviluppo delle minoranze e dei gruppi etnici che popolano il territorio della Russia. I decreti attuativi di questi principi saranno elaborati immediatamente dopo la costituzione della Commissione sulla questione nazionale.</w:t>
      </w:r>
      <w:r w:rsidR="00D249D7">
        <w:rPr>
          <w:rStyle w:val="Rimandonotaapidipagina"/>
        </w:rPr>
        <w:footnoteReference w:id="180"/>
      </w:r>
    </w:p>
    <w:p w:rsidR="00611878" w:rsidRDefault="00672C55">
      <w:pPr>
        <w:spacing w:after="0" w:line="259" w:lineRule="auto"/>
        <w:ind w:left="1419" w:right="0" w:firstLine="0"/>
        <w:jc w:val="left"/>
      </w:pPr>
      <w:r>
        <w:rPr>
          <w:sz w:val="24"/>
        </w:rPr>
        <w:t xml:space="preserve"> </w:t>
      </w:r>
    </w:p>
    <w:p w:rsidR="00611878" w:rsidRDefault="00672C55">
      <w:pPr>
        <w:spacing w:line="366" w:lineRule="auto"/>
        <w:ind w:left="561" w:right="707"/>
      </w:pPr>
      <w:r>
        <w:rPr>
          <w:sz w:val="24"/>
        </w:rPr>
        <w:t xml:space="preserve">La deportazione era, dunque, un piano ben rodato dai sovietici che, avendo dimostrato poca pietà nei confronti di altri popoli sotomessi benché tutelati dalla Dichiarazione, non potevano essere più morbidi con un popolo traditore e non appartenente alla Russia.  </w:t>
      </w:r>
    </w:p>
    <w:p w:rsidR="00611878" w:rsidRDefault="00672C55">
      <w:pPr>
        <w:spacing w:line="366" w:lineRule="auto"/>
        <w:ind w:left="561" w:right="707"/>
      </w:pPr>
      <w:r>
        <w:rPr>
          <w:sz w:val="24"/>
        </w:rPr>
        <w:t xml:space="preserve">Molte sono state le donne tedesche deportate nei campi di lavoro sovietici in territorio russo, in Siberia o in tutti i luoghi dove era essenziale la manodopera per l’estrazione dei minerali o per la costruzione delle lunghe vie di comunicazione ferroviaria, con scarsissime razioni di cibo. Alcuni di questi prigionieri, che ricordano la loro esperienza di internamento come un momento di contatto con una società ed una cultura considerate inferiori utilizzano parole dalle qualli emerge il disprezzo reciproco e l’astio degli sconfitti nei confronti dei vincitori, per le condizioni di vita, per i soprusi e per le violenze subite. Significativa da questo punto di vista l’esperienza di M. S. raccolta nell’Ostdokumentation II di Bayreuth scritta nel 1952 a tre anni dal suo rientro ad ovest dell’Oder </w:t>
      </w:r>
    </w:p>
    <w:p w:rsidR="00611878" w:rsidRDefault="00672C55" w:rsidP="00D249D7">
      <w:pPr>
        <w:spacing w:after="52"/>
        <w:ind w:left="1438" w:right="706"/>
      </w:pPr>
      <w:r>
        <w:t xml:space="preserve">Una lunga sofferenza, che ho accumulato nei cinque anni di prigionia in Russia, mi obbliga per molti mesi a restare a letto, avvolta in un gesso. Così, obbligata all’inattività, voglio cercare di descrivere le mie esperienze, soltanto a grandi linee, come un ricordo. Non si tratta di eventi straordinari, è un percorso di dolore, che come me milioni di altri uomini e donne tedeschi hanno dovuto attraversare. Il 26 gennaio 1945 si fecero vedere i primi soldati russi nel nostro villaggio, che non fu toccato direttamente dai combattimenti. Tuttavia, sentivamo sempre in lontananza il frastuono delle armi; all’orizzonte, erano visibili incendi che salivano verso il cielo. Ancora per alcuni giorni la situazione rimase tranquilla, una calma che quasi incuteva timore. Il nostro villaggio, Karschau, non si trova su nessuna delle strade frequentate ma è nascosto fra boschi e colline; soltanto dall’autostrada che passa lì vicino se ne possono scorgere i tetti rossi. Circa il 5 febbraio ebbero inizio le deportazioni. Noi restammo nascosti nel fienile e per un po’ di tempo riuscimmo ad evitarle. Dei commissari [russi] con dei giovani polacchi come interpreti andavano quasi quotidianamente di cortile in cortile a cercare uomini, </w:t>
      </w:r>
      <w:r>
        <w:lastRenderedPageBreak/>
        <w:t xml:space="preserve">donne e ragazze. Queste poi, spesso soltanto col pretesto che dovevano essere interrogate per due ore al comando o che dovevano essere impiegate nei lavori di sgombero, venivano strappate ai familiari per intraprendere la strada della miseria verso i campi di lavoro del “paradiso sovietico”. Le madri, che venivano strappate ai loro figli e dovettero lasciarli in custodia ai nonni o a persone del tutto sconosciute, non furono interpellate. Questo periodo fu terribile. Nessuno osava andare anche solo fino al cortile dei vicini, senza correre il pericolo di essere catturato. Io e mia sorella fummo rifornite segretamente di cibo dalla nostra cara madre, cosa che è ben stata osservata dai russi. Cominciarono a perlustrare il fienile e ci trovarono. Noi fummo subito portate davanti a un ufficiale, il quale aveva stabilito la sua “residenza” nel bel salotto dei nostri vicini. Ancora una volta fummo spedite a casa, ma poche ore dopo il commissario era lì, per prenderci. Con la morte nel cuore dovemmo lasciare la cara madre e il bel villaggio natale, per sempre. In quattro – due altre ragazze, mia sorella e io – fummo portate nel villaggio vicino, Alt-Münsterberg. In un cortile era stata costituita una specie di punto di raccolta. Fummo rinchiuse lì e giunsero dai dintorni altre sventurate. Era struggente vedere come tutto impazziva [fine p.77]. Dopo due giorni ci trasferimmo, oltre Mühlhausen verso [...] 9 , dove il nostro gruppo si ingrandì ancora oltre Preussicher Holland. Si marciava dalla mattina alla sera e poi si pernottava in una chiesa o in un cortile. Talvolta i russi facevano macellare un vitello, la carne però era cotta soltanto a metà e ognuno si sforzava di prendersi un po’ di minestra calda. Pane non ce n’era, alcune persone non ne mangiavano un pezzettino da otto giorni. Le città e i villaggi apparivano ora estranei e sfigurati, sebbene ci fossero noti fin dall’infanzia. Sulle strade giacevano i corpi di soldati tedeschi, ogni tanto un cavallo morto e molti oggetti abbandonati dai profughi. Ghignando malignamente, le truppe russe ci passavano a fianco, mentre noi andavamo stanche e senza speranza verso l’ignoto. I nostri pensieri si rivolgevano sempre alla madre a casa, al padre, che era stato arruolato nella Volkssturm e al fratello da qualche parte al fronte. Che ne sarà di loro, che ne sarà di noi? Ci rivedremo ancora una volta? Rimanemmo circa 10 giorni a Mohrungen in quella che era stata una grande segheria, completamente riempita di donne e ragazze. Nell’edificio a fianco stavano gli uomini. Una volta al giorno dovevamo andare a prendere la minestra. Talvolta si incontrava un gruppo di uomini; mogli e figlie che riconoscevano in mezzo ad essi dei parenti cercavano di avvicinarsi a loro, ma furono sempre separate con modi bruschi. Molti non avevano nemmeno un recipiente in cui potessero prendersi la minestra e mancava loro la voglia di andarne a cercare uno. Ogni giorno dovevamo presentarci nel cortile pronti per marciare, veniva scelto un gruppo che poi veniva portato via con alcuni camion. Poi un giorno toccò a noi. Arrivammo al penitenziario di Bartenstein e fummo nuovamente rinchiusi in piccolissime celle a gruppi di 20-30 persone. Ognuno doveva passare al controllo e veniva, più o meno, secondo l’umore dei soldati [russi], perquisito. Fotografie, carte d’identità, coltelli, forbici, spille, fermagli per capelli, filo per cucire, spazzole, gioielli, buone scarpe e vestiario ci furono portate via. Di nuovo fummo chiamate e proseguimmo sui camion, nella notte, in una bufera di neve e pioggia, verso Insterburg. Io pensavo sempre: “verremo portate da qualche parte e lì ammazzate”. Allora si facevano ogni giorno i conti con la morte e sarebbe stata una morte leggera, in confronto a quanto ancora ci stava davanti. Per strada ci fu un incidente e alcune donne ferite stavano distese con grandi dolori fra di noi e nessuno poteva aiutarle. Lì [ad Insterburg] ricominciarono le chiamate e le conte, almeno 5-6 volte, dovevamo sempre andare da una stanza all’altra, ma io credo che [i russi] non abbiano mai saputo quante persone avessero effettivamente rastrellato. All’alba del primo marzo 1945 fummo condotte sotto stretta sorveglianza alla stazione e dovemmo salire in 90 persone nei vagoni più grandi, in 45-50 in quelli più piccoli. Là stavamo seduti uno vicino all’altro sul pavimento del vagone, per tre settimane buone; lo spazio era troppo piccolo per distendere braccia e gambe ed allungarsi. Sul vagone c’era una stufa, ma nella maggior parte dei casi non c’era niente da poter bruciare. Ci buttavano dentro pane raffermo, un po’ di zucchero, formaggio salato. Spesso ci veniva portata dentro anche dell’acqua molto sporca, in tinozze basse, che durante il viaggio si rovesciava subito, cosicché non ci fu possibile utilizzare l’acqua [fine p. 78]; prima che si potesse pensare a una nuova distribuzione, eravamo nuovamente assetati. Nel vagone era piuttosto buio, perché la porta veniva chiusa dall’esterno. Talvolta vedemmo, mentre ci </w:t>
      </w:r>
      <w:r>
        <w:lastRenderedPageBreak/>
        <w:t xml:space="preserve">veniva portato dentro il cibo, gli uomini fuori che passavano trasportando cadaveri e ognuno temeva che potesse trattarsi di qualche parente o conoscente. Anche nel nostro vagone durante il viaggio morì una donna che poi rimase distesa in mezzo a noi per circa due giorni. Altro problema era dato dall’arrivo dei primi “amati animaletti”. Una volta, deve essere stato nei pressi di Mosca, potemmo lavarci e al ritorno nel vagone trovammo zuppa d’orzo calda, che tuttavia non bastava per tutte le deportate. Dopo un viaggio infinito, il 23 marzo 1945 fu finalmente il momento di scendere. Prima, in altri luoghi, alcuni vagoni erano già stati staccati [dal convoglio]. Una luce chiara si diffondeva su un piatto paesaggio innevato, cosicché noi all’inizio eravamo completamente accecate. Poi, sotto la sorveglianza di Flintenweiber 11 , andammo in un campo distante circa 3-4 chilometri. Andarci era più facile a dirsi che a farsi, perché noi durante il viaggio di ventitré giorni ci eravamo irrigidite, stando sedute sempre nella stessa posizione; molte, dalla fatica, riuscivano a malapena a camminare. Passammo per un piccolo paese e la gente ci guardava come se venissimo dalla luna. Con nostra sorpresa, davanti ad ogni casupola, era legata una mucca, fuori sulla neve. Poi potemmo constatare che questo è usuale, quando la gente tiene una mucca ma non può disporre anche di una stalla. Le baracche del nostro campo stavamo ben sotto il livello del terreno, soltanto un lato era in parte sopraelevato, con delle finestre. Dentro c’erano rozzi letti di legno a due piani e fummo felici quando finalmente potemmo distenderci e allungarci lì sopra. Fino al 20 aprile ci fu generosamente assicurato il “riposo”. Fummo però continuamente chiamate a svolgere lavori per rimettere ordine all’interno del campo. La recinzione del nostro campo non era pronta e dovemmo scavare delle buche per i pali. A Pasqua del 1945, in entrambi i giorni di festa, dovemmo camminare per chilometri nei campi per riempire i nostri sacchi e quelli dei malati con la paglia scongelatasi vicino al letamaio. Il cibo era sempre lo stesso, per tre volte al giorno la stessa cosa, o zuppa d’orzo o minestra di farina, che aveva un sapore cattivo e amaro, così come il pane. Questo tipo di cibo, insufficiente e per noi tedeschi poco abituale, il clima e il dolore psicologico, ebbero come conseguenza che nel corso del primo anno circa 2/3 delle nostre donne morirono. Anche la mia cara sorella, alla quale, come unica consolazione, ero rimasta fino ad allora sempre vicina, si ammalò già all’inizio di aprile e io dovetti osservare, senza poterla aiutare, come nel giro di un mese divenne sempre più debole e il 7 maggio 1945 morì. Quando io ritornai dal lavoro, era già stata buttata nella fossa insieme ai cadaveri di altre deportate e di lei non trovai più alcuna traccia. Questa perdita dolorosa, che si aggiungeva a tutte le altre 10 Pulci, pidocchi, parassiti in genere. sofferenze, sembrò quasi insopportabile, ma un Dio misericordioso mi ha aiutata. Ora tu riposi, mia cara sorella, lontano dalla patria, là dietro gli Urali in una fossa comune e io non ho mai potuto mettere qualche fiore sulla tua tomba. A fine aprile, quando la neve cominciò a sciogliersi, i tetti delle nostre baracche interrate cominciarono a spezzarsi e il nostro campo fu trasferito a Maschalinka, distante circa 2 chilometri. Lì fummo sistemate nelle solite baracche. Con la rugiada e la pioggia si formava in primavera una fanghiglia, che si doveva letteralmente guadare, perché le strade pavimentate c’erano soltanto nelle città. La situazione era tale anche il primo maggio 1945, il giorno del nostro trasloco. [fine p. 79]. Pioveva a catinelle. Dal 20 aprile fino al 1 luglio ho lavorato con un gruppo di circa 20 ragazze al nastro trasportatore di una miniera distante circa 4-5 chilometri dal campo e la strada per arrivarci ci ha talvolta fatto sospirare. Voglio qui riferire un piccolo episodio, che vorrei definire tipico. Una giovane donna aveva cucito nel mantello il suo orologio e lo portava mentre andava al lavoro. Un giorno la guardia che ci accompagnava le rubò l’orologio. La donna si recò dall’ufficiale del campo e la guardia dovette restituire l’orologio. Ogni sera dovevamo uscire per la conta e in una di queste occasioni ci fu annunciato l’armistizio, con la promessa che saremmo presto potuti ritornare a casa. Da lì sorse una piccola speranza. Purtroppo però viaggiammo verso uno sperduto e solitario Kolchoz, dal 2 luglio fino all’inizio di settembre, per raccogliere il fieno. Per strada ci fermammo in stalle e arrivammo il giorno dopo, dopo una marcia che sembrava infinita, da qualche parte, fra prati e boschi di faggi. Guardando in lungo e in largo non si vedevano né una pietra né una casa. Quando poi ci fu spiegato che noi avremmo dovuto rimanere lì per un periodo indeterminato, eravamo piuttosto depresse. Ma il meravigliarsi non giovava a nessuno, dovevamo costruirci un tetto sopra la testa e costruimmo delle piccole capanne, con </w:t>
      </w:r>
      <w:r>
        <w:lastRenderedPageBreak/>
        <w:t xml:space="preserve">dei tronchi di betulla inclinati ricoperti di fieno. Dopo che avevamo passato tre notti all’addiaccio, le nostre quattro “Ville” erano pronte ad ospitare circa 120 donne, oltre a una piccola capanna per i ragazzi del nostro campo. La cucina consisteva in due pentoloni e aveva soltanto un tetto di assi. Per l’ufficiale del campo e per le guardie era stato costruito un piccolo rifugio con alcune assi. </w:t>
      </w:r>
    </w:p>
    <w:p w:rsidR="00611878" w:rsidRDefault="00672C55">
      <w:pPr>
        <w:ind w:left="1438" w:right="706"/>
      </w:pPr>
      <w:r>
        <w:t xml:space="preserve">Dopo un po’ di tempo constatammo che non molto lontano da noi uomini e donne </w:t>
      </w:r>
    </w:p>
    <w:p w:rsidR="00611878" w:rsidRDefault="00672C55" w:rsidP="00D249D7">
      <w:pPr>
        <w:spacing w:after="30"/>
        <w:ind w:left="1438" w:right="706"/>
      </w:pPr>
      <w:r>
        <w:t xml:space="preserve">“volksdeutsch” [russi di origine tedesca] vivevano nelle medesime condizioni. Essi tagliavano l’erba con delle macchine e con le falci, noi l’abbiamo poi girata, rastrellata e ammassata. Il fieno, con un attrezzo speciale, veniva poi raccolto e immagazzinato all’esterno fino all’inverno. L’attrezzo [una sorta di rudimentale lettiga] era formato da due robusti rami di betulla, lunghi circa 5-6 metri, che erano stati puliti dai rami più piccoli e poi legati uno accanto all’altro, in modo tale che perfino un bue o un cavallo potevano venir messi in mezzo. Dietro, sull’insieme delle ramaglie dei rami di betulla, il fieno veniva ammassato e trasportato. Alla fine ci siamo spostati di diversi chilometri, sempre negli stessi piatti e bianchi prati con boschi di betulle. Quando tornavamo dal lavoro tardi la sera, era appena possibile mangiare la minestra, a causa delle zanzare. Talvolta facevamo un vero e proprio fuoco da campo, attorno al quale [fine p. 80] ci sedevamo in cerchio, cantando delle tristi canzoni tradizionali e pensavamo ai nostri cari. Eravamo tristi e infelici per il dolore e la nostalgia, e molte calde lacrime sono state versate nelle ore silenziose. I Volksdeutsche ci raccontarono che talvolta persone che si trovavano da sole per strada erano state aggredite e derubate dai banditi. Una volta sentimmo nel mezzo della notte delle grida di lamento provenienti dalla capanna vicina alla nostra, e tutti si precipitarono fuori, per sfuggire ai predoni. Non si poté però riscontrare la più piccola traccia e nemmeno mancava qualche cosa fra gli oggetti, sebbene una ragazza affermasse che c’era stato qualcuno. Sicuramente era soltanto un brutto sogno che lei aveva fatto dopo aver sentito quei racconti; un po’ irritate per l’interruzione del nostro riposo notturno, ritornammo di nuovo a dormire sul fieno. Il giorno dopo la situazione sembrò tranquilla e poi spesso ci abbiamo riso su. Delle volte venivano da noi delle donne russe, per scambiare con le nostre ragazze capi di vestiario con burro e uova. Ciò accadeva sempre in segreto, perché era chiaro che le russe avevano paura dell’ufficiale [di guardia]. Per questo motivo lasciavano la merce nascosta nel bosco e cercavano poi timidamente di mettersi in contatto con le nostre ragazze. Questa strategia però era stata scoperta da altre deportate che, senza pensarci due volte, si avvicinarono furtivamente al luogo e trafugarono il burro e le uova. Col passare del tempo però le donne russe si sono accorte che sempre più ragazze andavano nel bosco e sono tornate indietro in fretta; avremmo rivisto volentieri i loro musi lunghi, nello scoprire i loro cestini quasi del tutto vuoti. Poi andarono dall’ufficiale a chiedere vendetta, ma quello fece come se non ne avesse saputo niente e da quel momento non fecero più simili tentativi. A intervalli regolari passava sempre un furgone che ci portava provviste; se qualcuno era malato, veniva portato al campo, che era per noi del tutto nuovo, perché quello vecchio nel frattempo era stato smobilitato e ora appartenevamo al campo di Gorken. Nei giorni di pioggia c’era da disperare perché il nostro tetto di fieno non era impermeabile e accadeva che di notte ci svegliavamo completamente fradice. Di buono in quei giorni c’era soltanto che non dovevamo lavorare col fieno e potevamo invece andare a raccogliere funghi e fragole. All’inizio di settembre si fece più freddo. Fummo portate al campo principale con alcuni camion. Come eravamo contente di avere di nuovo un vero tetto sopra la testa, ma allo stesso tempo la nuova routine del grande campo di lavoro fu un grande cambiamento dalla nostra precedente vita all’aperto “da indiani”. Dovevamo stare in coda per ore per avere un mezzo piatto di minestra, ed era una guerra permanente fra i gruppi [di prigionieri], perché ognuno voleva essere il primo, sia nella distribuzione del cibo sia in quella del pane. Per circa 14 giorni abbiamo svolto i lavori più diversi in una miniera a cielo aperto, trasportato assi e pesanti travi, scavato buche profonde. Poi di nuovo fu richiesto l’utilizzo di una squadra esterna per la costruzione di una linea ferroviaria per una cava e così il nostro gruppo dovette andarci. Abbiamo vissuto quasi quattro settimane nelle tende, con al centro una stufa di ghisa che però non riscaldava abbastanza. In questo periodo era davvero molto difficile avere cura di sé, perché quando tornavamo dal lavoro era quasi buio e nella tenda non c’era nessuna luce, </w:t>
      </w:r>
      <w:r>
        <w:lastRenderedPageBreak/>
        <w:t xml:space="preserve">cosicché noi talvolta durante l’orario di lavoro, quando nessun [fine p. 81] ufficiale era in vista, facevamo “combattimenti con i piccoli animali”13 . Anche le patate venivano “organizzate” 14 con astuzia, rubate nei campi vicini, abbrustolite di notte nelle braci o bollite nelle gavette. Poi si trattava di smuovere, secondo la “norma”15 , un certo numero di metri di terra per la costruzione della ferrovia. “Norma” qui e “norma” lì. “Norma” è una parola che perseguita una persona in Russia per tutta la vita, indipendentemente dalla posizione in cui lavora, ma con il tempo lo rende anche piuttosto ostinato, cosicché cerca il più spesso possibile di ingannare il superiore. Anche noi, all’occasione, abbiamo fatto così, ma noi tedeschi non ci riuscivamo [come i russi], a causa del nostro innato zelo e onestà. A fine ottobre, quando il tempo peggiorava, si andò di nuovo con armi e bagagli al campo, arrivammo in un cantiere e poi traslocammo di nuovo. Dopo otto giorni arrivammo al campo principale di Roscha, luogo che nessuno dimenticherà. I quattro mesi che abbiamo passato fino al febbraio 1946 nelle baracche sotterranee che sembravano cantine, dove i ratti quasi ci sovrastavano, furono peggiori di tutto quanto noi avevamo provato fino ad allora in Russia. La nostra occupazione fu scavare buche per tubazioni nel terreno gelato, spalare la neve e fare i più diversi lavori con la pancia affamata e con un abbigliamento insufficiente. Vennero distribuiti degli indumenti di cotone, ma non erano affatto sufficienti per tutti quelli che ne avrebbero avuto bisogno, e poi il pensiero di potere almeno per una volta mangiare veramente a sazietà spingeva molti a scambiare gli abiti buoni in cambio di cibo. Nel mezzo della notte siamo passati attraverso la rete [del campo] per rubare rape, barbabietole da zucchero e carote, ma in queste situazioni poteva anche accadere che le nostre borse o gli zaini, pieni o vuoti faceva poca differenza, ci venissero sottratti da un Ivan16 , che era povero e affamato proprio come noi, e noi in fondo potevamo ancora essere contenti se tornavamo indietro sani e salvi, perché quando venivamo scoperte dalla guardia, ci aspettava senza alcun dubbio il “Bunker”, chiamato generalmente “Karzer”. Di cosa è capace un uomo quando ha fame, lo capii in profondità soltanto in questo momento. Non dimenticherò mai nemmeno il Natale del 1945. Proprio in quel giorno non ricevemmo il nostro pezzo di pane perché non era stato consegnato in tempo. Nel nostro totale sconforto il nostro cuore quasi voleva esplodere. Continuamente ci sembrò di vedere davanti ai nostri occhi le feste di Natale a casa, con i familiari. Il panpepato profumato, il luminoso albero di Natale e il viaggio in slitta per andare alla messa, ogni anno atteso tanto melanconicamente, come un bambino. “Pace in terra e bene agli uomini” si diceva nel Vangelo di Natale. In che modo ci eravamo meritati il pesante destino dell’esilio; non eravamo quasi tutti semplici bambini del popolo, che mai si erano interessati della grande politica? Dovevamo espiare la colpa per il fatto che la nostra giovinezza era coincisa proprio con quella di un dittatore megalomane? Allora non immaginavamo ancora l’intera portata delle conseguenze di quel periodo. Soltanto molto più tardi venimmo a sapere che nel caso di una nostra liberazione, da noi così attesa, non ci sarebbe stato più nessun ritorno in patria, perché là, in Germania, risuonavano delle voci straniere e genti straniere avevano preso possesso della nostra proprietà, di tutto quello che era a noi caro, e che tutta la Germania è occupata dalle potenze vincitrici. [fine p. 82] Il primo gennaio del 1946, quale punizione per un giorno di lavoro saltato, dovetti lavorare in un luogo del lager, che qui non voglio descrivere oltre, perché superava, soprattutto in inverno, qualsiasi posto dignitoso nel lager ma anche al di fuori di esso. Così la vita andava avanti, un giorno dopo l’altro; soffrivamo perché non avevamo né un contenitore per lavare gli indumenti, né una stanza in cui avremmo potuto fare dei grandi bucati, ed era possibile fare un grande Banja 18 solo ogni quattro settimane. A inizio di febbraio fummo di nuovo trasferite, stavolta toccò a tutto il campo, inclusi gli ufficiali. Quando nel campo si diffusero le prime notizie, tuttavia ancora poco chiare, alcune alimentarono subito delle speranze che si sarebbe andate a casa, ma, come sempre, queste speranze furono vane. Dopo un viaggio in treno con soste in stazioni intermedie e Banja, giungemmo al campo 1.079 Kopesk, presso Tscheljabinsk. Lì le nostre baracche erano suddivise in camere, che erano sì di nuovo strapiene, ma che non davano più un’impressione così prossima a quella di una stalla. Poi si disse che avremmo lavorato tutte in miniera. Un Volksdeutscher venne nel campo e ci spiegò le condizioni della miniera, delle quali però ci si può fare un’idea soltanto quando si è visto tutto ciò dal vero. Furono consegnati i numeri di </w:t>
      </w:r>
      <w:r>
        <w:lastRenderedPageBreak/>
        <w:t xml:space="preserve">lavoro, i numeri delle lampade etc., i capi della miniera ci suddivisero in base alla forza che dimostravamo fra i più diversi lavori nei loro reparti, chiamati “Utschastek” in russo. A mangiare andavamo in una cucina che stava fuori dal campo e avevamo anche una sala da pranzo, che fino ad allora non avevamo mai avuto, eravamo infatti abituati a consumare i pasti seduti sulle assi. Il cibo era migliore rispetto a quello che fino ad allora avevamo ricevuto. Poi ciascuno ricevette 100 rubli di anticipo e le tessere alimentari delle più diverse categorie in base al lavoro. La mattina e la sera c’era minestra e a pranzo minestra con pane. Presto ci accorgemmo che non guadagnavamo abbastanza denaro per pagare i costosi pasti. Quando lavoravamo sottoterra c’erano 1.200 grammi di pane, all’aperto 800 grammi e per i lavori negli spogliatoi e al Kolchoz 500 grammi. Spesso eravamo costrette a vendere una mezza porzione in cambio del prezzo doppio o triplo, per poterci comprare una porzione adeguata. Un giorno che ebbi paura fu il 15 febbraio [1946]. Ancora una volta era il momento di un gran bagno di gruppo e, nello sgomento di noi tutti, la metà delle ragazze arrivò con la testa rasata a zero. Perché nel Banja c’era un’ebrea, che controllava a noi tutte i capelli; dove scorgeva la minima traccia di pidocchi, oppure se una aveva i capelli particolarmente belli e ondulati, allora lei li tagliava senza pietà. Ancora oggi mi prende la rabbia, se ci penso. Gli Ivan facevano proprio così, come se ci fossimo portate i pidocchi da casa e in realtà molte delle loro donne avevano un mucchio di pidocchi dietro le orecchie, loro che certo non vivevano in abitazioni come le nostre. Ma pidocchi, cimici e la fame sono propri degli strati primitivi del popolo russo. [fine p. 83] Venne il 7 febbraio 1946. Il primo giorno di lavoro in miniera. Fummo condotte dall’ufficiale delle nostre baracche all’ufficio del reparto, chiamato “Kabinett”, al quale eravamo assegnate. Gli sguardi curiosi e insistenti degli operai russi ci squadravano. Poi a ognuno fu messa in mano una pala; a coloro che dovevano lavorare dietro a un “Hauer” [minatore che scava con il martello pneumatico], ne ricevevano perfino due e anche un’accetta. Ricevemmo le lampade e poi andammo all’ascensore, su cui salimmo con alcune palpitazioni. Risuonò un segnale e poi scendemmo nella profondità nera e sconosciuta. Poi avanzammo a stento, impaurite, curve, dietro alla nostra brigata, verso il tunnel chiamato “Dollowa”. Durante il percorso, quando fummo superati da una macchina, per la grande agitazione e lo spavento, cademmo nell’acqua e riempimmo d’acqua le galosce di gomma. In un modo o nell’altro, strisciando e scivolando sulle ginocchia, sui gomiti o sul sedere, arrivammo finalmente al posto di lavoro. Personalmente in quell’occasione ho sudato come un orso, perché per grande precauzione, temendo che potesse essere troppo freddo, mi ero messa addosso tutto quello che avevo, ma questo era davvero troppo, perché nel sottosuolo faceva caldo e ci si doveva muovere. Dopo l’esplosione, i martelli pneumatici cominciarono a fare rumore: c’era il fragore delle frane e il frastuono dei motori. Quando poi il capo, nero come un diavolo, con i capelli sulla fronte e la lampada fra i denti, si precipitò giù per lo scivolo come un selvaggio e sbraitò chiamando gli operai per il cambio, allora si pensò davvero che gli inferi non potevano essere peggio di così. Anche gli operai naturalmente non erano silenziosi e ricorrevano a imprecazioni ed espressioni così basse e scurrili che sarebbe difficile trovarne di simili in qualsiasi altra lingua sulla terra. All’inizio non ne capivamo molto, ma col tempo riuscimmo a seguirli, perché l’uomo assimila sempre meglio le cose cattive rispetto a quelle buone. Io poi, nel corso di 14 mesi, fino alla mia malattia, ho provato tutti i lavori possibili. Spostare vagoni, scaricare carbone, spalare dietro la macchina-tagliatrice, spalare dietro a un “Hauer” [uomo con il perforatore]. Talvolta ci si trovava di fronte un gigantesco mucchio di carbone o un pesante pezzo di legno e non si sapeva davvero come li si potesse oltrepassare. Il Signore sa bene quanto sudore e quante lacrime siano stati versati dalle donne e dalle ragazze tedesche che, deboli e denutrite, furono messe a svolgere i lavori maschili più pesanti. Quante volte furono ingannate sul salario per il lavoro che svolgevano mettendo a rischio la propria vita, con delle palesi ingiustizie da parte dei brigadieri e del capo, i quali scrivevano percentuali false. Certo, per casi simili noi potevamo rivolgerci all’ufficiale della baracca, stava poi però a lui intervenire a nostro sostegno. Ma non si ottenne quasi mai qualcosa in questo modo perché insabbiavano tutto e vivevano da signori a nostre spese. Nel campo, infatti, ci hanno mentito e ingannato come sul posto di lavoro, sia sulla consegna di sapone e cotone, sia sui combustibili per riscaldamento della baracca, che ci spettavano in qualità di </w:t>
      </w:r>
      <w:r>
        <w:lastRenderedPageBreak/>
        <w:t xml:space="preserve">lavoratori civili. Se poi si vedeva le persone, di fronte alle quali si doveva avere rispetto e deferenza, quasi quotidianamente ubriache e queste si permettevano anche delle cose che io qui non voglio citare perché non proprio esemplari, talvolta si poteva davvero dubitare dell’umanità e di un più alto senso della vita. [fine p. 84] Le relazioni familiari, delle quali venimmo a conoscenza per mezzo dei racconti e con il tempo anche attraverso l’osservazione diretta degli uomini e delle donne che lavoravano con noi, erano scioccanti. Il caso di una persona che viveva insieme con il proprio consorte rappresentava un’eccezione. Gli uomini spesso si vantavano di avere già la terza o la quarta moglie. Il rispetto della donna in queste cerchie di persone era scarso. Moltissimi di loro erano già stati condannati una volta ed erano stati costretti a stabilirsi lì. Anche molte persone che durante la guerra si trovavano come operai in Germania erano state condotte dietro agli Urali, per lavorare nelle miniere. Le relazioni che vigevano lì forse non possono essere utilizzati come metro di giudizio per l’intero paese. A questo proposito non vorrei nemmeno dimenticare i molti Volksdeutsche del Volga, del Caucaso o di tutti gli altri territori in cui vivevano, che nel 1941, allo scoppio della guerra tra Germania e Russia dovettero lasciare nell’arco di 24 ore i villaggi e le città che i loro padri avevano costruito con gran fatica e poi essere portati in territori sperduti e abbandonati. Gli uomini furono impiegati nelle miniere e nei distretti industriali dietro agli Urali in condizioni disumane; in seguito fu concesso loro di poter portare anche le proprie famiglie. All’inizio eravamo stupiti, perché in ogni luogo in cui arrivavamo trovavamo gente tedesca, che parlava in molti casi svevo o basso-tedesco. Queste persone avevano dovuto subire, in particolare durante la guerra, i più grandi sacrifici a causa del fatto che erano considerati “tedeschi”. Alcuni forse ci odiavano un po’ per questo motivo, perché vedevano in noi i “Nazischweine” [porci nazisti] e “Hitlerbanditen” [banditi di Hitler], gli epiteti con cui i tedeschi erano definiti dalla propaganda sovietica, e per questo erano stati cacciati dai loro villaggi sul Volga, dove facevano i contadini oppure, essendo comunque persone intelligenti e dotate, facevano gli insegnanti, i medici ecc. e ora lì dovevano lavorare giorno e notte sottoterra, come criminali, per guadagnarsi il minimo vitale per sé e le proprie famiglie. Soltanto in rarissimi casi venne data loro la possibilità di essere impiegati in qualche lavoro che corrispondeva al loro precedente impiego. In alcuni [Volkdeutsche] della generazione più giovane si aveva spesso l’impressione che rinnegassero la loro germanicità, perché talvolta si sono comportati anche nei nostri confronti in modo un po’ meschino. Non c’è però nemmeno da meravigliarsi, quando, da giovani, si vive già da molti anni nella miseria, senza patria, senza familiari e con cattive influenze. La maggior parte [dei Volkdeutsche], tuttavia, è tedesco nel pensare e nell’agire, per quanto questo possa essere compatibile con la situazione, perché quando lì si vuole essere onesti, si va a finire in malora. Loro non desiderano niente più ardentemente della liberazione dal potere comunista e il ricongiungimento [“Vereinigung”] con il loro popolo originario [“Muttervolk”]. Talvolta loro hanno sorriso con compassione delle nostre infantili speranze di ritorno e quando poi finalmente dopo circa 5 anni si era arrivati al punto, in cui nessuno lì dubitava più della liberazione, allora anche in loro montò fortissima la candida nostalgia per la “madre-Germania”, e molti avevano le lacrime agli occhi alla stazione della nostra miniera, quando il convoglio che ci avrebbe riportati indietro si mise in movimento e noi gridammo loro un ultimo addio [fine p. 85]. Ho dovuto lavorare per mesi in una miniera. Le pareti superiori dei cunicoli gocciolavano e durante l’orario di lavoro ero sempre bagnata da capo a piedi. Quando poi arrivavamo all’ascensore, nei pressi del quale d’inverno c’erano temperature molto basse, spesso dovevamo aspettare, quando venivamo controllate o quando venivano trasportati dei vagoni di carbone. Allora ci accadeva spesso che i vestiti ci si congelassero sul corpo, prima che fossimo arrivate di sopra. Per non indossarli il giorno dopo ancora bagnati, ero costretta a trascinare fin nel campo il vestito bagnato e pesante per poi passare delle ore ad asciugarlo alla stufa, ammesso e non concesso che alcune ragazze della nostra stanzetta fossero riuscite ad trafugare fin nel campo un paio di buoni pezzi di carbone per la stufa. Il carbone non ci veniva fornito, cosicché noi eravamo sempre costrette a contare sulle nostre forze. E questo non era affatto sempre così facile, perché dalla direzione della cava c’erano sempre ordini severissimi, rilasciati sotto minaccia di punizioni agli addetti agli ascensori, in base ai quali non si doveva autorizzare nessuno a salire con pezzi </w:t>
      </w:r>
      <w:r>
        <w:lastRenderedPageBreak/>
        <w:t xml:space="preserve">di carbone; al cancello si poteva lasciar passare col carbone soltanto persone in grado di esibire un certificato di acquisto. Spesso, nel sottosuolo, si lottava per alcune miglia [con il carbone nascosto addosso], e di sopra poi si doveva gettare il carbone davanti ai piedi del guardiano, con il quale poi avrebbe scaldato la sua stanzetta. Quella era l’occasione per lamentarci delle paradossali condizioni del campo e di tutto quello che si chiamava Ivan, e di insultarli con parole non troppo gentili che comunque avevamo imparato da loro. Ma in Russia le cose stanno in modo tale che non ci sono soltanto delle recinzioni e una guardia al cancello, ma anche recinzioni con qualche apertura; nonostante le riparazioni e i controlli del giorno prima da parte del “natschalnik” [superiore, capo dei lavori in miniera] e dei suoi uomini, questi pertugi rimanevano, anche perché molte famiglie russe facevano ricorso a questo metodo per procurarsi il carbone, o forse lo facevano per abitudine, perché i soldi così duramente guadagnati non bastavano mai fino alla paga successiva. Alla cassa il primo giorno di paga c’era una gran confusione e il giorno dopo molti uomini arrivavano al lavoro “trasudando” vodka. Accadeva ciò anche per i festeggiamenti della rivoluzione d’ottobre e il primo maggio: il punto più alto era raggiunto quando si potevano ubriacare, ed era del tutto indifferente se poi per settimane dovevano morire di fame oppure vivere a credito. Spessissimo in quei giorni si sentivano le parole “padjon Towarisch, poll Liter wiepiem”19 . Le condizioni di lavoro delle donne nelle miniere erano disumane, noi eravamo prive di abbigliamento protettivo in gomma, per cui nella primavera del 1947 mi ammalai di un’infiammazione alla pleura, mentre un’altra collega di lavoro più tardi morì a causa di dolori ai polmoni. Per tre settimane rimasi a letto in un ospedale della città, senza riuscire ad intendermi con le russe. Le mie colleghe mi avevano già abbandonata ma, sebbene ancora molto fiacca, tornai di nuovo al campo sulle mie gambe, dove – dopo un breve periodo di riposo – lavorai in cucina. Per questo dovevo essere grata agli sforzi del medico del campo, il quale era certo solo un chirurgo dell’esercito, ma una persona per bene. Mostrava comprensione per le nostre rimostranze e per le nostre preoccupazioni e quando era nelle condizioni di poter fare qualcosa, interveniva in nostro favore, sia presso la direzione del campo sia sui luoghi di lavoro. Il lavoro in cucina alle dipendenze di una cuoca russa, che aveva il vizio di maltrattare le persone, non fu così leggero come dall’esterno se ne ebbe sempre l’impressione. Quando poi, dopo un turno di 24 ore avevamo pulito e strofinato per tre o quattro volte molte pentole grandi, portata l’acqua dentro e fuori, puliti i corridoi ecc., si riusciva a “sentire le proprie ossa” e il giorno dopo ero ancora completamente sfinita. I cuochi rubavano sistematicamente gli ingredienti e i grassi che [fine p. 86] dovevano essere messi nella nostra minestra. Per un periodo fu ordinato che uno dei capi del nostro campo per ogni turno di lavoro dovesse attestare il ricevimento [degli alimenti], il regolare utilizzo e la consegna. Doveva controllare che i prodotti alimentari restassero lì. A giudicare dal mio aspetto esteriore, nel giro di sei mesi mi ripresi e fui valutata di nuovo abile a svolgere altri lavori, sebbene soffrissi continuamente di dolori alla schiena; questi dolori furono esaminati soltanto dopo, qui [in Germania] nella zona occidentale, all’ospedale per i reduci, e da queste analisi emerse che si trattava di una conseguenza dell’infiammazione della pleura. Ma lì nel campo andava sempre così, se non si aveva una ferita visibile o la febbre, allora non si era malati, tranne alcune eccezioni, donne che erano molto impertinenti e avevano il vizio di riempire di lamenti le orecchie del medico. Ogni anno tornavano a casa 35-50 donne, le quali o avevano avuto un infortunio in miniera oppure erano ammalate per cui non ci si poteva più attendere alcuna prestazione lavorativa. Io ho poi lavorato per circa quattro settimane con altre donne in un deposito di patate [Kartoffelkeller], dove talvolta non abbiamo fatto molto, cosicché quello si poteva appena chiamare lavoro. Naturalmente lì non guadagnavamo niente e ogni giorno dovevamo pensare a dove potevamo nascondere un paio di patate senza che il guardiano della cantina si accorgesse. Il bisogno aguzza l’ingegno e io non voglio qui descrivere i posti da cui noi, a volte fra le risa delle altre, estraevamo le patate portate dentro la stanzetta. Poiché non guadagnavamo niente, cercammo subito un altro lavoro. Io purtroppo tornai di nuovo “sotto terra”, ma era inverno e faceva molto freddo fuori, e né sul nastro trasportatore né per strada non c’era niente da poter prendere. Inoltre non ci tenevano in considerazione, ci trasferivano come si fa con le pedine su una scacchiera. Spesso le ragazze, </w:t>
      </w:r>
      <w:r>
        <w:lastRenderedPageBreak/>
        <w:t xml:space="preserve">con gioia reciproca, si stabilivano a lavorare nello stesso posto, e poi un giorno arrivava inesorabile il nuovo ordine: “Da domani tu lavorerai in un altro posto”. Esattamente lo stesso avveniva per la permanenza delle persone da un campo all’altro. In Russia non si potrà mai comprendere in base a quale criterio si è proceduto ai trasferimenti. Io ebbi allora di nuovo un po’ di fortuna, perché finii in un utschastek [reparto], in cui il lavoro era un po’ più leggero rispetto a quello che avevo svolto nella miniera. Il compito principale della nostra squadra era quello di chiudere ermeticamente tutte le gallerie già utilizzate, i passaggi inutili e controllare le gallerie dal pericolo di gas e fiamme. Le gallerie venivano poi riempite dall’alto con l’acqua che divorava moltissima terra. In presenza di incendi e forti perdite di gas, venivano chiamate dalla città delle squadre speciali che poi venivano impiegate nelle zone a rischio con i respiratori. In questi giorni faceva sempre molto caldo e il compito della nostra squadra era quello di procurare rapidamente il materiale loro necessario. </w:t>
      </w:r>
    </w:p>
    <w:p w:rsidR="00611878" w:rsidRDefault="00672C55">
      <w:pPr>
        <w:ind w:left="1438" w:right="706"/>
      </w:pPr>
      <w:r>
        <w:t xml:space="preserve">Tronchi d’albero, assi, cemento o terra venivano usati in grandi quantità e li si doveva andare a prendere passando attraverso passaggi bassi e buche strette pieni d’acqua; Dio solo sa quanto strette. Spesso, alla fine del turno, somigliavo più a un maiale che ha appena finito di rotolarsi nel fango che ad un essere umano [fine p. 87]. L’unica consolazione in quei casi era che poi ci si poteva lavare, se le tubature e il riscaldamento erano funzionanti. Il bagno-spogliatoio era piuttosto angusto e dovevamo usarlo insieme alle russe e alle tartare, e non di rado si arrivò a degli scontri. Insieme alle tute noi consegnavamo anche le pale, che lì erano chiamate “Lapatkes”, e queste erano la fissazione dei superiori. Si doveva aver cura delle pale come se fossero oro. Se le si lasciava per un attimo incustodite, allora era certo che erano già sparite. Anche quando il giorno dopo si andava a fare il turno, avevamo paura di non ritrovare la vanga, e se ci si presentava senza di questa al cospetto del capo, si scatenava un putiferio. Ma col passare del tempo mi abituai a e in casi del genere non mi tormentavo più. Non si può dire che tutti i russi fossero pieni d’odio nei nostri confronti, ma al lavoro nella gran parte dei casi accadeva che le Nemka [le donne tedesche] dovessero svolgere i lavori più pesanti nei posti peggiori, e spesso, perfino nel lavoro in miniera, dovessero subire volgarità e imbrogli. Il lavoro sotto terra, senza poter vedere nient’altro, rende l’uomo duro e lo imbarbarisce, si direbbe quasi che lo rende bestiale. Lavorare quotidianamente insieme a persone del genere era duro e faceva male dover constatare che anche “di sopra” eravamo “soltanto” tedeschi senza diritti, esposti all’arbitrio di un popolo senza Dio e “artfremd” 20 . Non si può esprimerlo in poche parole, soltanto chi ha provato questa esperienza sulla propria pelle può coglierne fino in fondo il significato. Negli ultimi due anni le condizioni migliorarono un po’. L’economia “delle tessere” [Kartenwirtschaft] si concluse, ma per molto tempo ci fu una grande scarsità di pane: davanti ad ogni magazzino si vedevano folle enormi in coda, ancor prima che la vendita fosse effettivamente iniziata. Chi non aveva tempo per fare la fila non prendeva niente, tanto che fu introdotto di nuovo il razionamento: furono venduti solamente 500 grammi a persona, una quantità che non era mai stata così bassa in precedenza. Anche per il cibo si faceva quasi sempre la fila e soltanto in occasione dei più importanti giorni festivi i magazzini ricevevano un ristretto contingente di buona farina di frumento destinata alla vendita. Poiché ci trovavamo in un distretto industriale, per tenere per quanto possibile alto il morale delle masse operaie, la situazione alimentare era di gran lunga migliore di quella presente in altre zone. La maggior parte di noi inoltre andava nel campo e si preparava qualcosa da mangiare da sola. Nella nostra camera c’erano 20 ragazze. Se anche alcune di loro cucinavano per due o per tre, fare da mangiare era comunque un problema; infatti, se tutte volevano cucinare sulla piccola piastra della stufa, non sempre tutto si svolgeva pacificamente. In particolare, nei primi otto giorni dopo il pagamento, la pressione era alta e la piastra non faceva in tempo a raffreddarsi. Poi la tensione scendeva e l’atmosfera generale diventava miserabile. La piastra della nostra stufa era una seccatura continua perché accumulava continuamente lo sporco e il grasso. Circa ogni 14 giorni l’ufficiale di baracca veniva tra di noi e pretendeva che fosse rimesso di nuovo tutto in ordine. Con quali mezzi e come, questo lui lo lasciava decidere a noi, sebbene noi all’inizio [fine p. 88] non avessimo la più pallida idea di come si potesse aggiustare una stufa. Anche l’imbiancare con la calce le camerate era un lavoro assegnato alle donne. La vita in una stanza così angusta con così tante persone è </w:t>
      </w:r>
      <w:r>
        <w:lastRenderedPageBreak/>
        <w:t xml:space="preserve">demoralizzante e mette a dura prova i nervi. In miniera in generale si lavorava su tre turni e in ogni camerata c’erano ragazze che andavano al lavoro in tre turni diversi. La cosa peggiore era avere il turno di notte. Quando si arrivava nella baracca nel corso della mattinata, spesso anche alle 11 o alle 12, si pensava subito ad andare a dormire; proprio in quel momento il secondo turno si era già svegliato e cominciava a farsi più rumoroso. Quando poi queste fino alle tre erano andate al lavoro facendo un gran rumore, subito arrivavano di nuovo le prime del turno di giorno e la stessa scena si ripeteva da capo. Ci si arrabbiava così tanto con le altre, ma non si poteva far niente per cambiare e non si poteva del resto pretendere da loro che restassero in silenzio per tutta la serata. L’unica speranza era il cambio del turno all’inizio del mese successivo. D’estate non era quasi più possibile dormire nella stanza a causa del grande calore e delle cimici. Così ognuno si prendeva il suo pagliericcio sotto il braccio e andava a dormire o in soffitta o anche fuori all’addiaccio. Talvolta durante la notte si metteva a piovere anche due o tre volte, e allora noi eravamo in giro perché non si poteva dormire né dentro né fuori. Dormire fuori per tutta la notte non faceva bene, ma dentro non si riusciva a chiudere occhio. Dovemmo sbattere continuamente le assi di legno una contro l’altra, grattarle e lavarle, ma non giovò a niente, perché le pareti delle baracche erano piene zeppe di cimici. Il momento in cui ci si rialzava era un momento davvero duro, spesso si barcollava stando in equilibrio su un piede solo. Quando due che dormivano all’estremità superiore di un’asse si muovevano, allora cominciava a ballare l’intero tavolato. Una volta, due donne, che stavano sedute su una stessa asse, la spezzarono e caddero di sotto nel mezzo della stanza. Per fortuna sotto non c’era nessuno. Dopo le risate di tutta la camerata, dovemmo metterci all’opera per rimettere subito tutto in ordine. Una volta alla settimana, ma solo raramente di domenica, avevamo il giorno di riposo; allora si doveva fare il bucato, rammendare e mettere a posto le proprie cose. Il giorno ce lo sudavamo veramente. Talvolta però fummo anche obbligate dalla direzione del campo a trascorrerlo lavorando nelle gallerie e il salario finiva nelle loro tasche. Oppure dovemmo piantare patate per i russi, sarchiare le erbacce o aiutarli nella raccolta. Spesso fummo costrette a svolgere lavori di pulizia dentro il campo. Attività di questo genere ci abbattevano profondamente, ma si doveva sopportare tutto ciò considerandolo come inevitabile, con l’incrollabile speranza del “dopo questo tempo ne arriva un altro”. Negli ultimi due anni lì [i russi] si sforzavano zelantemente di educarci ad essere antifascisti e sostenitori dell’idea russa della felicità dell’umanità. In ogni campo c’era un commissario politico con il compito di formare un gruppo culturale che poi ogni tanto organizzava delle “belle e variopinte” serate. Questa attività era apparentemente innocua, ma chi vi partecipava doveva poi prendere parte anche a degli indottrinamenti politici e diventare obbligatoriamente un membro degli attivisti antifascisti. In occasione delle più grandi festività politiche, nel giorno del compleanno di Stalin, della morte di Lenin ecc., anche [fine p. 89] dentro al campo furono declamati discorsi altisonanti che noi, annoiati, volenti o nolenti, dovemmo ascoltare; prima era addirittura stato possibile non andarci proprio, poi i responsabili del comando del campo passavano per le camere fino a quando queste non erano vuote e la sala si riempiva. Ci veniva dipinta nel modo più roseo la condizione degli operai e dei contadini sovietici che lavoravano in pace e tranquillità per la ricostruzione e il progresso; tale condizione veniva confrontata con i popoli degli stati capitalisti, mentre noi nella prassi e per nostra stessa esperienza provavamo esattamente il contrario. Stalin brillava come il grande amico e soccorritore dei tedeschi, al quale niente stava più a cuore della riunificazione dell’intero popolo tedesco nella Repubblica Democratica Tedesca. Anche alcuni ex prigionieri di guerra tedeschi andavano di campo in campo e tenevano discorsi che andavano nella stessa direzione. Se questi lo facessero per convinzione o soltanto per essere trattati in modo migliore è un interrogativo che voglio lasciare aperto. [I russi] si impegnavano spasmodicamente a rieducarci e a rilasciarci come sostenitori entusiasti delle idee sovietiche. Ma a mio parere non hanno avuto alcun successo. Si sarebbero dovute cercare delle vittime più stupide, perché noi tutte avevamo provato troppe cose e purtroppo avevamo avuto poche prove del diritto all’autodeterminazione e del benessere degli operai russi. Anche i vagoni del convoglio che ci riportò a casa erano decorati con ritratti di Pieck, Grotewohl 21 , Stalin, Lenin e con striscioni che recavano messaggi come quelli che ho già citato. Ciò ci lasciava piuttosto fredde, la cosa </w:t>
      </w:r>
      <w:r>
        <w:lastRenderedPageBreak/>
        <w:t xml:space="preserve">più importante era di lasciarsi il confine alle spalle. Già nel 1948 la direzione del campo destò in noi delle speranze di un prossimo ritorno. Ma l’anno 1948 passò e quasi del tutto anche il 1949, prima che ciò diventasse realtà. In questo periodo era possibile sentire dei proclami che davano anche l’indicazione delle scadenze precise per il nostro ritorno; ci credevamo sempre sebbene affermassero sempre il contrario dei proclami precedenti. Quando poi qualcuno, che in fondo ci invidiava soltanto per la speranza di uscire un giorno dalla Russia, diceva: “Voi non partite proprio, oppure soltanto fra 10 anni”, si credeva anche a questo. Era un continuo oscillare, avanti e indietro, fra speranza, delusione e scoramento. In agosto o settembre 1946 ricevemmo per la prima volta delle lettere prestampate che potemmo scrivere e spedire a casa. In realtà non credevamo che sarebbero state recapitate e che avesse senso scriverle. Ma per questo fu ancor più grande la gioia quando poi giunsero delle risposte da parte dei parenti, ai quali noi avevamo inviato i nostri saluti. In seguito ci fu fornito anche l’indirizzo dell’ufficio di Berlino che si occupava di rintracciare le persone, attraverso il quale fu comunicato l’indirizzo dei parenti. Anch’io, attraverso l’indirizzo di una famiglia di conoscenti della RenaniaWestfalia, ottenni notizie di mio padre e di mio fratello e, attraverso loro, la dolorosa certezza che la mia cara madre e quasi tutti i parenti in patria erano morti nelle stesse condizioni di miseria in cui mi avevano lasciato la mia unica e cara sorella e le molte donne e ragazze che si trovavano lì in prigionia. Quando si sentiva che era arrivata la posta, nel campo tutte erano in gioiosa attesa, sebbene non ci fosse affatto qualcosa per tutte. Ma ognuna si rallegrava insieme alle altre. Era particolarmente dura per quelle che ancora non avevano ricevuto nemmeno una notizia dei parenti. Ogni lettera veniva letta a voce alta davanti a tutte e, col passare del tempo, si conosceva quasi la parentela di tutte le prigioniere. Quando una aveva ricevuto un buon pagamento ed era andata all’emporio, allora gli acquisti dovevano per prima cosa [fine p. 90] essere ammirati da tutti. Qualche volta facevamo un gran baccano nella stanza e ognuna voleva sempre avere ragione. Ecco un esempio: una inquilina “del piano di sotto” torna dal lavoro, si siede all’angolo della sua asse e mangia. Nel frattempo la donna che dormiva sopra di lei si sveglia, ha fretta e salta giù finendole quasi addosso, cosa che fa arrabbiare la prima donna, che poi insulta la seconda, sebbene questa non potesse proprio sapere che lei stava mangiando. Si potrebbero citare molti casi simili, in cui gli incidenti non potevano mancare. Ma a parte questo, noi vivevamo come in una grande famiglia e condividevamo gioie e dolori. Il bazar era particolare. Nell’ultimo periodo eravamo autorizzate ad andarci anche noi, ma prima dovevamo procurarci un certificato di autorizzazione. Lì si commerciava tutto quello che c’era, talvolta anche degli oggetti rubati. Chi voleva vendere qualcosa, ci andava e lo offriva, indipendentemente dal fatto che l’oggetto fosse vecchio o nuovo. Il commercio era fiorente soprattutto se il tempo a disposizione era scarso, perché si chiedevano prezzi molto alti e il compratore doveva trattare. Lì si teneva il mercato tutti i giorni, ma la vera corsa agli acquisti si faceva di domenica; chi aveva un po’ di tempo e di denaro andava a fare un acquisto, pressappoco come si fa da noi di domenica una gita al mare. Era davvero interessante assistere agli scambi. Dappertutto si “pubblicizzavamo” le merci, anche generi alimentari, carne, patate ecc. I negozi della città vendevano in piccoli baracchini o direttamente dai furgoni. I fotografi aspettavano i clienti, c’era la vodka e anche gli ubriachi, accanto a cartomanti e zingare che aspettavano gli sciocchi e facevano buoni affari. Anche i borseggiatori erano all’opera diligentemente non appena si formava un piccolo capannello. I borseggiatori sono un capitolo a sé. La milizia non era alla loro altezza. Quand’anche uno di loro si accorgeva di un borseggiatore, non osava scagliarsi a parole contro di lui né avvertire i passanti della sua presenza perché temeva che lui o uno dei suoi complici si vendicassero. Anche fra le nostre ragazze tedesche [i borseggiatori] facevano spesso un facile bottino, perché noi, nonostante le brutte esperienze, non eravamo ancora capaci di vedere in ognuno un ladro o un furfante. Ho lavorato fino al settembre del 1949 al reparto prima menzionato, e in quel periodo potei conoscere tutti i passaggi principali e secondari della nostra galleria numero 416, mentre negli altri reparti i deportati lavoravano quasi sempre soltanto nello stesso posto. Per quasi tutto il tempo ho lavorato insieme a una piccola ragazza “Volgadeutsch” 22 , di appena 20 anni che divenne per me una cara collega di lavoro. I suoi nonni avevano avuto una grande azienda agricola che era stata loro espropriata. </w:t>
      </w:r>
      <w:r>
        <w:lastRenderedPageBreak/>
        <w:t xml:space="preserve">Nella sua vita aveva conosciuto quasi soltanto miseria e stenti, e l’indigenza la costringeva a contribuire con il lavoro “sotto terra” al sostentamento della madre e dei fratelli più giovani. Fu tramite lei che imparai i concetti elementari della lingua russa ed era interessante quando riuscivo a seguire i discorsi degli altri in russo. Quando riusciva a non farsi scoprire, lei veniva volentieri nel nostro campo per vedere le rappresentazioni del nostro gruppo teatrale. Spesso si augurava di poter venire in Germania almeno una volta nella vita. Nell’estate 1949 un numero sempre maggiore delle nostre ragazze fu portato fuori dalle gallerie e impiegato all’aperto nella costruzione delle strade. Di nuovo si diceva che saremmo andate presto a casa e che i lavori della miniera dovevano essere svolti dalla manodopera russa [fine p. 91]. Ci rallegravamo del fatto di non dover più lavorare sotto terra, purtroppo però non guadagnavamo molto per cui i mesi fino a dicembre furono ancora molto duri. Con il lavoro ho appreso un metodo di costruzione delle strade molto strano. I tronchi d’albero essiccati venivano segati in ceppi lunghi circa 30 cm, la larghezza della strada veniva scavata, poi si metteva uno strato di ghiaia e sopra venivano posti i ceppi, “in piedi”, uno accanto all’altro, conficcati e poi con la sabbia venivano colmati i buchi. Noi ci abbiamo riso su, ma la gente affermava che queste strade erano stabili, però non dovevano essere percorse da mezzi pesanti. Il 1 ottobre [del 1949] fui impiegata insieme a circa altre 70 ragazze nella raccolta delle patate in un Kolchoz a circa 12 km di distanza. Si diceva che sarebbe stato per 5-6 giorni, ma in realtà ne avemmo per un mese intero, mentre in silenzio speravamo sempre nel congedo a causa del rimpatrio. In ottobre però partirono solamente 50 donne e la nostra pazienza fu messa ancora a dura prova. Il nostro nuovo alloggio era il Klub, una piccola sala del villaggio. Al nostro arrivo dovemmo per prima cosa sgombrare i mucchi di fieno, perché prima di noi lì c’era stato un altro gruppo di giovani operai che venivano reclutati per lavori nelle miniere. Avevamo portato i nostri pagliericci, ricevemmo paglia “fresca” e dormimmo una accanto all’altra sul pavimento. Fino a quando non fu troppo freddo le cose andarono abbastanza bene, sebbene lì non ci fossero né una tinozza per lavarsi né altre possibilità per farlo. C’erano delle gigantesche superfici coltivate. Le macchine scavatrici erano trainate dai trattori ed era in funzione anche una macchina per lo smistamento delle patate. Una parte delle patate fu portata subito in città. Quello che non portarono via fu sistemato sul campo e coperto con fogliame. A metà ottobre arrivò improvvisamente una forte gelata, cadde anche la neve e tutte queste patate subirono dei danni. Lì accade così ogni anno. Molto spesso la metà delle patate si congela già in terra. Anche dove era stato zappato, rimanevano nel terreno grandi quantità di patate, perché i russi non si facevano in quattro per raccoglierle e noi tanto meno. I nostri pensieri erano rivolti sempre e soltanto al rimpatrio e non ci facevamo smuovere più di tanto né dai richiami “Norma” né dall’agronomo o dal direttore. Quando però si è cresciuti nei campi e si conosce il modo in cui si può utilizzare per gli uomini o per gli animali tutto quello che la terra offre, tutto ciò gridava vendetta; infatti era un delitto vedere quanto cibo andava perso con la gestione che se ne faceva al kolchoz. Di fatto anche le patate che avevamo immagazzinato in gigantesche cantine per i bisogni della semina e per il consumo invernale non erano salve, visto che dopo due settimane ne marciva la metà. Forse queste erano “sistemate” troppo in alto: con ciò sotto erano scottate e sopra le aveva danneggiate il gelo perché le cantine non erano sufficientemente chiuse. Ad ogni modo, nelle cantine c’era una puzza che faceva svenire e a noi poveracce toccò pure in sorte di dover trasportare fuori tutta quella poltiglia, dopo averla messa nelle cassette. Lì fu scaricato tutto nel cortile e le patate buone dovettero poi essere selezionate. Nel frattempo raccoglievamo anche barbabietole, carote, cavoli e cipolle, e qualche volta, nei campi più lontani, faceva davvero molto freddo. Per tutto il tempo, fino [fine p. 92] al primo novembre, per tre volte al giorno avevamo nella minestra patate congelate, e la mattina di nuovo purè di patate acquoso. Ogni giorno esattamente lo stesso. La gente deve stare nei campi dalla mattina presto fino a tardi e nei periodi di massimo lavoro non c’erano né domeniche né giorni di riposo; ciononostante nessuno di loro [i russi] andava via. Loro lavoravano perché c’era la miseria, il duro “dovere” e la paga era particolarmente bassa. E’possibile distinguere “Sovchoz” e “Kolchoz”. In un “Sovchoz” i singoli lavoratori ottengono denaro corrispondente al lavoro svolto, in un “Kolchoz” sono retribuiti soltanto in natura, ma nella gran parte dei casi non hanno delle </w:t>
      </w:r>
      <w:r>
        <w:lastRenderedPageBreak/>
        <w:t xml:space="preserve">possibilità per vendere a prezzo vantaggioso quanto hanno ottenuto. Eravamo stufe della vita nel “Sovchoz” e fummo contente quando alla fine ritornammo al campo. Ancora non tornammo a casa, un poco alla volta diventammo più pessimiste perché si avvicinava l’inverno e il morale crollò nel momento in cui ci fu detto di tornare ognuna ai propri posti nella miniera, sebbene fossimo già state scartate. Ma da qualche parte dovevamo pur sempre lavorare. Fummo un poco derise quando ritornammo in miniera con le nostre grandi speranze e lì dentro tutto riprese il vecchio corso. Novembre e dicembre furono molto deprimenti perché non ci fu data alcuna paga per il lavoro svolto nel “Sovchoz”. Tuttavia c’erano sempre più segnali positivi per un nostro rilascio. Al campo si lavorava sui nostri documenti, in miniera ci fu raccontato che era tutto pronto per la liberazione definitiva. Le persone che direttamente o indirettamente avevano lavorato nel nostro campo si cercavano un’altra occupazione e molte famiglie aspettavano di prendere casa nelle nostre baracche che erano state loro promesse. Le nostre speranze aumentarono nuovamente, quando un numero crescente di persone fu spostato dalla miniera ai cantieri edili. Il 28 novembre 1949 arrivò finalmente il giorno tanto atteso, in cui non si sentì più dire: “uscire per andare al lavoro”. Ricevemmo l’ultima paga in rubli, comprammo delle cose per il viaggio e chi aveva guadagnato tanto comprò anche un capo d’abbigliamento. Gli “stivali da miniera” furono consegnati, tutto il resto fu lavato fino a farlo diventare bello pulito; nel corso dell’ultima settimana l’equipaggiamento fu impacchettato per tre o quattro volte. Alcune ragazze, che avevano lavorato dietro ai “picconatori”, riempirono le valige di vestiti. La febbre del viaggio ci aveva prese nel più autentico senso della parola e quasi non riuscivamo a controllare la nostra gioia. L’addio fu festeggiato, il gruppo teatrale organizzò ancora una piccola serata in compagnia, al Klub si tennero per noi discorsi rumorosi e dovemmo sottoscrivere una risoluzione che sarebbe poi dovuta andare a Mosca. Venerdì consegnammo i pagliericci e le coperte e la domenica, il 4 dicembre, avremmo dovuto partire. Le persone che avevano lavorato con noi cercavano di farsi lasciare da noi più cose possibili perché l’intero campo venne smobilitato; stoviglie e capi d’abbigliamento lì valevano ancora una fortuna. Tutto questo sembra strano, ma era così. Portammo loro tutto quello che era possibile dare e, quando andammo fuori dal campo, l’ingresso posteriore alle baracche venne bloccato l’area del campo fu sorvegliata affinché i piccoli monelli russi non oltrepassassero la recinzione e non portassero via tutto; sembrava evidente che il nostro Natschalstawa [il comandante del campo] voleva per primo entrare in possesso di ciò che ancora c’era da ereditare. La direzione si era impegnata a fare arrivare i vagoni fino al macello che si trovava all’inizio del campo [fine p. 93], perché aveva già nevicato abbondantemente e la stazione distava circa quattro chilometri; temevamo di dover fare a piedi quella strada e poi di fare il viaggio nel gran freddo. Per tutta la giornata di domenica rimanemmo sedute, pronte per partire “con armi e bagagli”. Come al solito in Russia la cosa non funzionò e il convoglio arrivò lunedì mattina. Tutte furono prese dall’eccitazione quando finalmente giunse l’ora in cui lasciammo per sempre le nostre stanzette e il campo 1079 una volta per tutte. Il momento che noi avevamo atteso con viva malinconia per anni era finalmente arrivato. I vagoni stavolta erano sistemati in modo già più umano, a due piani, con alcuni pagliericci all’interno, una piccola stufa di ghisa e un secchio per l’acqua e per prendere il cibo. Per fortuna nel corso del viaggio il freddo calò. I combustibili per il riscaldamento erano già di nuovo un problema. C’era sì un po’ di carbone sul treno, ma non era molto adatto allo scopo e per strada questo dovette nuovamente essere procurato illegalmente. Quando passammo per la Polonia ci fu detto di non farlo [di non rubare carbone], in Russia invece i responsabili del trasporto chiudevano un occhio; l’unica cosa importante era che non ci facessimo cogliere sul fatto. Se il treno si fermava per un attimo, si dovevano prendere acqua, minestra e pane. Spesso accadeva che il treno ripartisse mentre molte ragazze si trovavano ancora fuori. Allora si doveva correre a perdifiato e arrampicarsi e venir trascinate all’interno del treno. Nel caso in cui una volta una non ce la facesse, ci veniva detto il numero del convoglio e dovevamo far chiamare alla stazione successiva. Il convoglio passava attraverso gli Urali, a volte le montagne scistose erano sezionate in profondità per far passare il percorso della ferrovia, oppure si abbassavano improvvisamente a strapiombo. Sui declivi e sui terrazzamenti si trovavano piccoli villaggi. </w:t>
      </w:r>
      <w:r>
        <w:lastRenderedPageBreak/>
        <w:t xml:space="preserve">Poi venivano delle infinite praterie piatte e paesaggi boschivi, ogni tanto c’erano un paio di cumuli di fieno, si susseguivano piccoli villaggi con misere capanne e grandi città, la cui illuminazione di notte si poteva vedere a chilometri di distanza. Si poteva osservare per ore il paesaggio dalle finestre, col sentimento confortante che ad ogni giro delle ruote del treno la nostra patria si avvicinava un po’. Talvolta sopravveniva l’afflizione dovuta al fatto che noi effettivamente non avevamo più alcuna patria; infatti, non avremmo potuto far ritorno alle città e ai villaggi in cui le persone e i paesaggi ci erano familiari e che nel profondo del cuore avevamo sempre evocato per tutti quegli anni. Poche fra noi erano quelle che avevano ancora un padre e una madre. Alcune avevano i genitori nella zona orientale e loro andarono invece dai fratelli o da altri parenti ad ovest. Istintivamente emergevano pensieri tristi. Che cosa ci riserverà il futuro? Come potremo noi ambientarci, da reduci senza patria [“Heimatlose Heimkehrer”], nello SchleswigHolstein, nella Germania centrale o in Renania, all’interno di completamente sconosciuti? Certo non è facile per nessuno ritornare dopo una così lunga assenza, ma quanto è ancor più dura per noi che abbiamo perso la patria e in gran parte anche i familiari, e siamo letteralmente andati in rovina. Ma tutti questi dubbi furono soffocati dalla gioia per essere finalmente usciti fuori dalla Russia e dalla speranza di poter di nuovo vivere in relazioni dignitose e realmente umane. Poi il viaggio proseguì oltre il Volga: per ore avevamo aspettato questo momento. Passammo attraverso Smolensk e molte altre città e villaggi, in cui si vedevano ancora chiaramente i segni della guerra, dove c’erano tombe isolate di soldati tedeschi, [fine p. 94] riconoscibili dalla semplice croce di legno. Loro morirono allora in modo altruista e pronti al sacrificio per la loro patria e non hanno certo potuto immaginare il pesante destino che sarebbe spettato alle loro madri, ai loro padri, sorelle e fratelli. A Brest-Litowsk lasciammo i vagoni e passammo per un controllo, ma non fu fastidioso, ci portarono via soltanto le fotografie che erano state fatte in Russia e i documenti, a volte nemmeno quelli. Prima ebbe luogo ancora un comizio in una grande piazza. Furono pronunciati discorsi, anche da parte dei dirigenti antifascisti tedeschi del nostro campo, con un contenuto che era del tutto paradossale, ed era incomprensibile come persone tedesche potessero prestarsi a cose del genere. Poi il viaggio proseguì in altri vagoni. Il convoglio da Brest in poi dovette fermarsi molte volte perché c’era un unico binario. Prima di passare per i confini polacchi i vagoni furono serrati accuratamente e le persone furono contate. Si passò per Varsavia e non, come noi avremmo sperato, attraverso la Prussia orientale. Il 18 dicembre 1949 raggiungemmo nelle ore serali la stazione di Francoforte sull’Oder, e dovemmo constatare, non proprio entusiaste, che lì intorno i russi si aggiravano in gran quantità e aspettavano soltanto di molestare le persone. Il giorno dopo all’alba lasciammo finalmente il convoglio col cuore che batteva forte. Eravamo di nuovo a una stazione più vicina sulla strada verso i parenti e la libertà. Allora si andò al campo di transito di Francoforte sull’Oder, in cui trascorremmo alcune ore fino al pomeriggio. Potemmo lavarci, ricevemmo del cibo e una minestra molto migliore e, dopo aver sbrigato tutte le questioni relative al “da dove” e “verso dove”, ci fu dato il certificato di rilascio della zona orientale. Quando di sera ci mettemmo in marcia per raggiungere il campo di Gronenfelde, distante 3 chilometri, sembrava di assistere a una migrazione di massa. Erano migliaia quelli che quotidianamente venivano fatti passare per lì in quei giorni di dicembre. A Gronenfelde fummo alloggiate nelle baracche già in relazione alle zone di destinazione. Ognuno poteva mandare gratuitamente un telegramma ai familiari e riceveva in mano 40 marchi orientali. Non era possibile però impiegare quei soldi in mezzo a quella gran massa di persone e con quel poco che c’era da comprare. Poi c’erano riserve alimentari ancora per tre giorni, che consistevano in pane, zucchero e salsicce e di nuovo i bei discorsi sulla democrazia del popolo, il progresso, la ricostruzione ecc. Ora, noi avevamo avuto un’esperienza già abbastanza lunga. I buoni rifornimenti che ricevemmo all’ultima tappa del viaggio dovevano essere una sorta di risarcimento per tutta la fame che avevamo sofferto in Russia. Il giorno dopo, alle 5 di mattina, proseguimmo il viaggio, per la prima volta all’interno di un treno-passeggeri, e alle 11 di sera raggiungemmo Heiligenstadt, l’ultima stazione della zona orientale per tutti quelli che erano diretti alla zona britannica. Era scioccante assistere alla stessa scena in tutte le stazioni della zona orientale, in cui bambini e persone di ogni età venivano al treno e aspettavano da noi un pezzo di pane. Non lo </w:t>
      </w:r>
      <w:r>
        <w:lastRenderedPageBreak/>
        <w:t xml:space="preserve">chiedevano direttamente, ma glielo si poteva leggere negli occhi. Noi sapevamo bene che la Germania aveva sofferto gli effetti e le conseguenze della guerra, ma durante il viaggio la vista continua delle macerie e delle case mezze incendiate raffreddò notevolmente la nostra gioia per il ritorno. Ad Heiligenstadt fummo ricevute con la musica, che poi continuò ancora per poco, per le persone che avevano voglia di ballare, per il resto tutto sembrava svolgersi come negli altri campi di transito. [fine pag. 95] La mattina del 21 dicembre 1949 partimmo da Heiligenstadt per un breve tragitto fino alla stazione capolinea e, dopo un percorso a piedi di circa 2 chilometri, raggiungemmo il valico di frontiera. Un sospiro attraversò la colonna e una luce chiara si colse sugli occhi di tutte quelle persone che avevano oltrepassato la barriera e venivano lì salutate calorosamente da alcune suore. </w:t>
      </w:r>
    </w:p>
    <w:p w:rsidR="00611878" w:rsidRDefault="00672C55">
      <w:pPr>
        <w:ind w:left="1438" w:right="706"/>
      </w:pPr>
      <w:r>
        <w:t xml:space="preserve"> Margerete S.  </w:t>
      </w:r>
    </w:p>
    <w:p w:rsidR="00611878" w:rsidRDefault="00672C55">
      <w:pPr>
        <w:spacing w:after="27"/>
        <w:ind w:left="1438" w:right="706"/>
      </w:pPr>
      <w:r>
        <w:t>[Post scriptum manoscritto] Nella testimonianza vorrei ancora far notare, che forse è stata scritta in modo molto realistico e “arido” e che dietro alle frasi scarne si nascondono più dolore e più sofferenza fisica e psicologica di quanto possa sembrare al primo “sguardo”. Le impressioni e l’attitudine delle persone rispetto alle cose e all’ambiente sono molto diverse e un’altra persona avrebbe potuto forse, dalla sua prospettiva, rendere le stesse esperienze in una forma del tutto diversa e più brillante.</w:t>
      </w:r>
      <w:r>
        <w:rPr>
          <w:vertAlign w:val="superscript"/>
        </w:rPr>
        <w:footnoteReference w:id="181"/>
      </w:r>
      <w:r>
        <w:rPr>
          <w:sz w:val="24"/>
        </w:rP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Questa testimonianza è molto significativa dello scambio di ruoli che avviene tra tedeschi e slavi alla fine del conflitto. Le condizioni descritte di solitudine, sofferenza, mancanza di cibo e lavoro oltre le forze fisiche per il bene collettivo di una società altra a quella di appartenenza, sono il segno tangibile di una vendetta profondamente radicata nell’animo dei russi. </w:t>
      </w:r>
    </w:p>
    <w:p w:rsidR="00611878" w:rsidRDefault="00672C55">
      <w:pPr>
        <w:spacing w:after="28" w:line="366" w:lineRule="auto"/>
        <w:ind w:left="561" w:right="707"/>
      </w:pPr>
      <w:r>
        <w:rPr>
          <w:sz w:val="24"/>
        </w:rPr>
        <w:t xml:space="preserve">L’unica speranza per i tedeschi prima che era, dunque, partire prima che fossero conquistati e inviati in direzione opposta al Vaterland. Lasciarsi tutto alle spalle, senza pensarci troppo. </w:t>
      </w:r>
    </w:p>
    <w:p w:rsidR="00611878" w:rsidRDefault="00672C55">
      <w:pPr>
        <w:spacing w:line="366" w:lineRule="auto"/>
        <w:ind w:left="561" w:right="707"/>
      </w:pPr>
      <w:r>
        <w:rPr>
          <w:sz w:val="24"/>
        </w:rPr>
        <w:t xml:space="preserve">Pensare avrebbe potuto essere fatale. C’era chi doveva affrontare un breve viaggio, perché si trovava a breve distanza dal confine e chi, invece, doveva affrontare centinaia e centinaia di chilometri nella neve. I primi hanno racconti brevi, intensi che iniziano dalla valigia, dalla preparazione meticolosa del viaggio: </w:t>
      </w:r>
    </w:p>
    <w:p w:rsidR="00611878" w:rsidRDefault="00672C55">
      <w:pPr>
        <w:ind w:left="1438" w:right="706"/>
      </w:pPr>
      <w:r>
        <w:t>Era possibile portare con sé una sola valigia e mia madre decise di prendere i generi alimentari, perché aveva già affrontato il viaggio come profuga durante la Prima Guerra Mondiale, io decisi di portare con me il mio zaino di scuola e alcuni effetti personali, come una bambola, qualche giocattolo che poteva essere portato in mano.</w:t>
      </w:r>
      <w:r>
        <w:rPr>
          <w:vertAlign w:val="superscript"/>
        </w:rPr>
        <w:footnoteReference w:id="182"/>
      </w:r>
      <w:r>
        <w:t xml:space="preserve"> </w:t>
      </w:r>
    </w:p>
    <w:p w:rsidR="00611878" w:rsidRDefault="00672C55">
      <w:pPr>
        <w:spacing w:after="113" w:line="259" w:lineRule="auto"/>
        <w:ind w:left="566" w:right="0" w:firstLine="0"/>
        <w:jc w:val="left"/>
      </w:pPr>
      <w:r>
        <w:rPr>
          <w:sz w:val="24"/>
        </w:rPr>
        <w:t xml:space="preserve"> </w:t>
      </w:r>
    </w:p>
    <w:p w:rsidR="00611878" w:rsidRDefault="00672C55">
      <w:pPr>
        <w:spacing w:line="366" w:lineRule="auto"/>
        <w:ind w:left="561" w:right="707"/>
      </w:pPr>
      <w:r>
        <w:rPr>
          <w:sz w:val="24"/>
        </w:rPr>
        <w:t xml:space="preserve">L’Ostdokumentation II dell’archivio di Bayreuth conserva una lettera di un giovane che il 27 dicembre 1946 racconta la sua esperienza agli zii </w:t>
      </w:r>
    </w:p>
    <w:p w:rsidR="00611878" w:rsidRDefault="00672C55">
      <w:pPr>
        <w:ind w:left="1438" w:right="706"/>
      </w:pPr>
      <w:r>
        <w:t xml:space="preserve">Caro zio e zia! </w:t>
      </w:r>
    </w:p>
    <w:p w:rsidR="00611878" w:rsidRDefault="00672C55">
      <w:pPr>
        <w:spacing w:after="16" w:line="259" w:lineRule="auto"/>
        <w:ind w:left="1419" w:right="0" w:firstLine="0"/>
        <w:jc w:val="left"/>
      </w:pPr>
      <w:r>
        <w:t xml:space="preserve"> </w:t>
      </w:r>
    </w:p>
    <w:p w:rsidR="00611878" w:rsidRDefault="00672C55">
      <w:pPr>
        <w:spacing w:line="246" w:lineRule="auto"/>
        <w:ind w:left="1414" w:right="702"/>
        <w:jc w:val="left"/>
      </w:pPr>
      <w:r>
        <w:lastRenderedPageBreak/>
        <w:t xml:space="preserve">Prima che termini l’anno, vorrei inviarvi i migliori saluti di cuore per natale, con l’augurio che il nuovo anno vi porti la realizzazione dei migliori diesideri. Con questa mia vorrei riallacciare con voi i collegamenti, dopo che sono caduti per lungo tempo a causa del vostro trasferimento dalla Boemia. […]. </w:t>
      </w:r>
    </w:p>
    <w:p w:rsidR="00611878" w:rsidRDefault="00672C55">
      <w:pPr>
        <w:ind w:left="1438" w:right="706"/>
      </w:pPr>
      <w:r>
        <w:t>Comincio con il 4 maggio 1945. Dopo il 29 aprile 10 persone avevano abbandonato dolorosamente il nostro camion, che era stato abbandonato nell'Istituto. Non c’erano più vetture da requisire e così abbiamo deciso di partire</w:t>
      </w:r>
      <w:r w:rsidR="00BB3E32">
        <w:rPr>
          <w:rStyle w:val="Rimandonotaapidipagina"/>
        </w:rPr>
        <w:footnoteReference w:id="183"/>
      </w:r>
      <w:r>
        <w:t xml:space="preserve">.  </w:t>
      </w:r>
    </w:p>
    <w:p w:rsidR="00611878" w:rsidRDefault="00672C55">
      <w:pPr>
        <w:spacing w:after="0" w:line="259" w:lineRule="auto"/>
        <w:ind w:left="1419" w:right="0" w:firstLine="0"/>
        <w:jc w:val="left"/>
      </w:pPr>
      <w:r>
        <w:t xml:space="preserve"> </w:t>
      </w:r>
    </w:p>
    <w:p w:rsidR="00611878" w:rsidRDefault="00672C55">
      <w:pPr>
        <w:spacing w:line="366" w:lineRule="auto"/>
        <w:ind w:left="561" w:right="707"/>
      </w:pPr>
      <w:r>
        <w:rPr>
          <w:sz w:val="24"/>
        </w:rPr>
        <w:t xml:space="preserve">Essendo un viaggio breve e avendo portato con sé sufficienti scorte alimentari, la giovane Renate Meins e la sua famiglia non hanno subito la fame. Ma questo era un privilegio di pochi.  Gli altri, invece, erano attesi dal freddo e dal ghiaccio che addormentava i più fragili con un abbraccio mortale. Bisognava attraversare campi e terre, laghi e fiumi e questo, con temperature di molte decine di gradi sotto lo zero, poteva portare alla morte. Le superfici ghiacciate potevano essere passate a piedi o con i carri, solamente se lo strato di ghiaccio era sufficientemente spesso da reggere il carico. Non sempre lo era e l’acqua inghiottiva le vittime: </w:t>
      </w:r>
    </w:p>
    <w:p w:rsidR="007C08AB" w:rsidRDefault="007C08AB">
      <w:pPr>
        <w:spacing w:after="40"/>
        <w:ind w:left="1438" w:right="706"/>
      </w:pPr>
    </w:p>
    <w:p w:rsidR="00611878" w:rsidRDefault="00672C55">
      <w:pPr>
        <w:spacing w:after="40"/>
        <w:ind w:left="1438" w:right="706"/>
      </w:pPr>
      <w:r>
        <w:t>I convogli si inoltravano per lo più di notte nella laguna, perché di giorno gli sparavano addosso. Là dove le bombe avevano aperto un varco nel ghiaccio, c’era sempre qualcuno che indicava ai carri la via da seguire attorno alle voragini. In quei buchi galleggiavano cavalli morti, arredi domestici e anche cadaveri di esseri umani.</w:t>
      </w:r>
      <w:r w:rsidR="00BB3E32">
        <w:rPr>
          <w:rStyle w:val="Rimandonotaapidipagina"/>
        </w:rPr>
        <w:footnoteReference w:id="184"/>
      </w:r>
    </w:p>
    <w:p w:rsidR="00611878" w:rsidRDefault="00672C55">
      <w:pPr>
        <w:spacing w:after="148" w:line="259" w:lineRule="auto"/>
        <w:ind w:left="566" w:right="0" w:firstLine="0"/>
        <w:jc w:val="left"/>
      </w:pPr>
      <w:r>
        <w:rPr>
          <w:sz w:val="24"/>
        </w:rPr>
        <w:t xml:space="preserve"> </w:t>
      </w:r>
    </w:p>
    <w:p w:rsidR="00611878" w:rsidRDefault="00672C55" w:rsidP="00264D17">
      <w:pPr>
        <w:spacing w:after="120" w:line="367" w:lineRule="auto"/>
        <w:ind w:left="561" w:right="709" w:hanging="11"/>
      </w:pPr>
      <w:r>
        <w:rPr>
          <w:sz w:val="24"/>
        </w:rPr>
        <w:t>Gli assalti dei sovietici alle carovane erano continui: “Quando l’Armata Rossa ha   travolto il nostro convoglio, ci sono stati molti morti e feriti. I soldati russi sparavano a destra e a manca come selvaggi”.</w:t>
      </w:r>
      <w:r>
        <w:rPr>
          <w:sz w:val="24"/>
          <w:vertAlign w:val="superscript"/>
        </w:rPr>
        <w:t>186</w:t>
      </w:r>
      <w:r>
        <w:rPr>
          <w:sz w:val="24"/>
        </w:rPr>
        <w:t xml:space="preserve"> Le donne erano ancora più indifese rispetto a quando erano nei </w:t>
      </w:r>
      <w:r w:rsidR="00BB3E32">
        <w:rPr>
          <w:sz w:val="24"/>
        </w:rPr>
        <w:t xml:space="preserve">villaggi, </w:t>
      </w:r>
      <w:r>
        <w:rPr>
          <w:sz w:val="24"/>
        </w:rPr>
        <w:t xml:space="preserve">perché ognuno doveva pensare in primis alla propria sopravvivenza, perché ogni goccia di energia doveva essere impiegata per la propria sussistenza. </w:t>
      </w:r>
    </w:p>
    <w:p w:rsidR="00611878" w:rsidRDefault="00672C55">
      <w:pPr>
        <w:spacing w:line="366" w:lineRule="auto"/>
        <w:ind w:left="561" w:right="707"/>
      </w:pPr>
      <w:r>
        <w:rPr>
          <w:sz w:val="24"/>
        </w:rPr>
        <w:t xml:space="preserve">La paura di quel viaggio e di quei mesi è rimasta impressa nel poema </w:t>
      </w:r>
      <w:r>
        <w:rPr>
          <w:i/>
          <w:sz w:val="24"/>
        </w:rPr>
        <w:t xml:space="preserve">Gedanken einer Mutter </w:t>
      </w:r>
      <w:r>
        <w:rPr>
          <w:sz w:val="24"/>
        </w:rPr>
        <w:t xml:space="preserve">di Erika Trakehnen </w:t>
      </w:r>
    </w:p>
    <w:p w:rsidR="00611878" w:rsidRDefault="00672C55">
      <w:pPr>
        <w:spacing w:after="34" w:line="246" w:lineRule="auto"/>
        <w:ind w:left="1414" w:right="6369"/>
        <w:jc w:val="left"/>
      </w:pPr>
      <w:r>
        <w:t xml:space="preserve">A casa e non ancora a casa –  I Russi vengono ogni notte –  Mio Dio ti prego </w:t>
      </w:r>
    </w:p>
    <w:p w:rsidR="00611878" w:rsidRDefault="00672C55">
      <w:pPr>
        <w:spacing w:after="28"/>
        <w:ind w:left="1438" w:right="706"/>
      </w:pPr>
      <w:r>
        <w:t xml:space="preserve">Regalami il Riposo e l’oblìo </w:t>
      </w:r>
    </w:p>
    <w:p w:rsidR="00611878" w:rsidRDefault="00672C55">
      <w:pPr>
        <w:ind w:left="1438" w:right="706"/>
      </w:pPr>
      <w:r>
        <w:t xml:space="preserve">L’oblìo… </w:t>
      </w:r>
    </w:p>
    <w:p w:rsidR="00611878" w:rsidRDefault="00672C55">
      <w:pPr>
        <w:ind w:left="1438" w:right="706"/>
      </w:pPr>
      <w:r>
        <w:t xml:space="preserve">Vergogna, umiliazione e maltrattamento </w:t>
      </w:r>
    </w:p>
    <w:p w:rsidR="00611878" w:rsidRDefault="00672C55">
      <w:pPr>
        <w:spacing w:after="30"/>
        <w:ind w:left="1438" w:right="706"/>
      </w:pPr>
      <w:r>
        <w:lastRenderedPageBreak/>
        <w:t xml:space="preserve">Mi rialzo nuovamente con nuove ferite –  </w:t>
      </w:r>
    </w:p>
    <w:p w:rsidR="00611878" w:rsidRDefault="00672C55">
      <w:pPr>
        <w:ind w:left="1438" w:right="706"/>
      </w:pPr>
      <w:r>
        <w:t xml:space="preserve">L’oblìo… </w:t>
      </w:r>
    </w:p>
    <w:p w:rsidR="00611878" w:rsidRDefault="00672C55">
      <w:pPr>
        <w:spacing w:after="34"/>
        <w:ind w:left="1438" w:right="4936"/>
      </w:pPr>
      <w:r>
        <w:t xml:space="preserve">Se si è donna si è ridotte in schiavitù? Nessuno reclama un diritto? </w:t>
      </w:r>
    </w:p>
    <w:p w:rsidR="00611878" w:rsidRDefault="00672C55">
      <w:pPr>
        <w:ind w:left="1438" w:right="706"/>
      </w:pPr>
      <w:r>
        <w:t xml:space="preserve">L’oblìo… </w:t>
      </w:r>
    </w:p>
    <w:p w:rsidR="00611878" w:rsidRDefault="00672C55">
      <w:pPr>
        <w:ind w:left="1438" w:right="706"/>
      </w:pPr>
      <w:r>
        <w:t xml:space="preserve">È questa la nostra vita, la nostra pena? </w:t>
      </w:r>
    </w:p>
    <w:p w:rsidR="00611878" w:rsidRDefault="00672C55">
      <w:pPr>
        <w:spacing w:after="28"/>
        <w:ind w:left="1438" w:right="706"/>
      </w:pPr>
      <w:r>
        <w:t xml:space="preserve">Essere solo il divertimento degli uomini? </w:t>
      </w:r>
    </w:p>
    <w:p w:rsidR="00611878" w:rsidRDefault="00672C55">
      <w:pPr>
        <w:ind w:left="1438" w:right="706"/>
      </w:pPr>
      <w:r>
        <w:t xml:space="preserve">L’oblìo… </w:t>
      </w:r>
    </w:p>
    <w:p w:rsidR="00611878" w:rsidRDefault="00672C55">
      <w:pPr>
        <w:spacing w:after="32"/>
        <w:ind w:left="1438" w:right="706"/>
      </w:pPr>
      <w:r>
        <w:t xml:space="preserve">Siamo qui per questo? </w:t>
      </w:r>
    </w:p>
    <w:p w:rsidR="00611878" w:rsidRDefault="00672C55">
      <w:pPr>
        <w:spacing w:after="28"/>
        <w:ind w:left="1438" w:right="706"/>
      </w:pPr>
      <w:r>
        <w:t xml:space="preserve">Mi fermai con Peter all’altare… </w:t>
      </w:r>
    </w:p>
    <w:p w:rsidR="00611878" w:rsidRDefault="00672C55">
      <w:pPr>
        <w:ind w:left="1438" w:right="706"/>
      </w:pPr>
      <w:r>
        <w:t xml:space="preserve">L’oblìo… </w:t>
      </w:r>
    </w:p>
    <w:p w:rsidR="00611878" w:rsidRDefault="00672C55">
      <w:pPr>
        <w:ind w:left="1438" w:right="706"/>
      </w:pPr>
      <w:r>
        <w:t xml:space="preserve">Ho ancora i bambini – tutto uguale. </w:t>
      </w:r>
    </w:p>
    <w:p w:rsidR="00611878" w:rsidRDefault="00672C55">
      <w:pPr>
        <w:spacing w:after="30"/>
        <w:ind w:left="1438" w:right="706"/>
      </w:pPr>
      <w:r>
        <w:t xml:space="preserve">Abbiamo i nostri uomini, anche quando non sono qui… </w:t>
      </w:r>
    </w:p>
    <w:p w:rsidR="00611878" w:rsidRDefault="00672C55">
      <w:pPr>
        <w:ind w:left="1438" w:right="706"/>
      </w:pPr>
      <w:r>
        <w:t xml:space="preserve">L’oblìo… </w:t>
      </w:r>
    </w:p>
    <w:p w:rsidR="00611878" w:rsidRDefault="00672C55">
      <w:pPr>
        <w:spacing w:after="26"/>
        <w:ind w:left="1438" w:right="706"/>
      </w:pPr>
      <w:r>
        <w:t>Ti prego Signore, regalami il sonno e l’oblìo</w:t>
      </w:r>
      <w:r w:rsidR="00BB3E32">
        <w:rPr>
          <w:rStyle w:val="Rimandonotaapidipagina"/>
        </w:rPr>
        <w:footnoteReference w:id="185"/>
      </w:r>
      <w:r>
        <w:t xml:space="preserve">   </w:t>
      </w:r>
    </w:p>
    <w:p w:rsidR="00611878" w:rsidRDefault="00672C55">
      <w:pPr>
        <w:spacing w:after="115" w:line="259" w:lineRule="auto"/>
        <w:ind w:left="566" w:right="0" w:firstLine="0"/>
        <w:jc w:val="left"/>
      </w:pPr>
      <w:r>
        <w:rPr>
          <w:sz w:val="24"/>
        </w:rPr>
        <w:t xml:space="preserve"> </w:t>
      </w:r>
    </w:p>
    <w:p w:rsidR="00611878" w:rsidRDefault="00672C55" w:rsidP="00264D17">
      <w:pPr>
        <w:spacing w:after="120" w:line="367" w:lineRule="auto"/>
        <w:ind w:left="561" w:right="709" w:hanging="11"/>
      </w:pPr>
      <w:r>
        <w:rPr>
          <w:sz w:val="24"/>
        </w:rPr>
        <w:t xml:space="preserve">Pensieri e riflessioni di una donna lasciata sola ad affrontare il nemico. </w:t>
      </w:r>
    </w:p>
    <w:p w:rsidR="00611878" w:rsidRDefault="00672C55">
      <w:pPr>
        <w:spacing w:line="366" w:lineRule="auto"/>
        <w:ind w:left="561" w:right="707"/>
      </w:pPr>
      <w:r>
        <w:rPr>
          <w:sz w:val="24"/>
        </w:rPr>
        <w:t>Questa poesia è molto significativa da molti punti di vista. Innanzitutto, perché racconta la sofferenza l’umiliazione e il dolore delle violenze subìte, ma anche per l’interrogativo del 12° verso,</w:t>
      </w:r>
      <w:r>
        <w:rPr>
          <w:i/>
          <w:sz w:val="24"/>
        </w:rPr>
        <w:t xml:space="preserve"> È questa la nostra vita, la nostra pena?/ Essere solo il divertimento degli uomini?</w:t>
      </w:r>
      <w:r>
        <w:rPr>
          <w:sz w:val="24"/>
        </w:rPr>
        <w:t xml:space="preserve">, nel quale non c’è alcun riferimento ai Russi o alla specificità razziale dei violentatori, ma un attacco specifico alla concezione sociale del ruolo della donna, percepita solo come strumento di divertimento e riproduzione. Questo riferimento non ha connotati razziali, non è rivolto specificamente né ai sovietici né ai tedeschi, perché li riguarda entrambi. Per i sovietici, infatti, le donne tedesche erano solo un trastullo per soddisfare il piacere sessuale, mentre per i tedeschi le loro donne erano considerate solo come uno strumento per glorificare il Reich. In entrambi i casi, nessuno si soffermava a considerare le paure, le speranze, le ambizioni o i </w:t>
      </w:r>
      <w:r>
        <w:rPr>
          <w:sz w:val="24"/>
        </w:rPr>
        <w:lastRenderedPageBreak/>
        <w:t xml:space="preserve">sentimenti di persone che avevano subito la scelta degli uomini di andare alla guerra e ne portavano sulle spalle tutto il peso sociale. </w:t>
      </w:r>
    </w:p>
    <w:p w:rsidR="00611878" w:rsidRDefault="00672C55">
      <w:pPr>
        <w:spacing w:line="366" w:lineRule="auto"/>
        <w:ind w:left="561" w:right="707"/>
      </w:pPr>
      <w:r>
        <w:rPr>
          <w:sz w:val="24"/>
        </w:rPr>
        <w:t xml:space="preserve"> Infine è importante in chiusura il ricordo degli uomini che, sebbene non siano presenti, non siano stati in grado di proteggere i più indifesi, hanno il diritto di non essere traditi. Il ritornello invoca la capacità di dimenticare e questo implica e impone di non raccontare di lasciare tutto all’obllìo, affinché nessuno sappia e nessuno possa giudicare. Questo rileva, ancora una volta, il motivo per cui è raro avere testimonianze di donne che raccontano le violenze subite. </w:t>
      </w:r>
    </w:p>
    <w:p w:rsidR="00611878" w:rsidRDefault="00672C55">
      <w:pPr>
        <w:spacing w:line="366" w:lineRule="auto"/>
        <w:ind w:left="561" w:right="707"/>
      </w:pPr>
      <w:r>
        <w:rPr>
          <w:sz w:val="24"/>
        </w:rPr>
        <w:t xml:space="preserve">La donna nella poesia implora Dio di concederle il sonno, affinché possa avere la facoltà di sognare ed essere sollevata per un po’ dal peso del presente. Contemporaneamente, però, potrebbe essere la richiesta di morire per non dover portare il peso di una macchia nel passato, la stessa macchia che dal punto di vista sociale è il sinonimo del ripudio familiare e l’espulsione da parte del mondo maschile che cessa di considerare la vittima come “una donna per bene”. I racconti delle vittime si susseguono raccolti in saggi, biografie o semplici storie tramandate, sempre con lo stesso ritmo, quasi fossero liriche da tramandare oralmente: il calar della sera, l’arrivo dei Russi, la scelta delle vittime tra le più giovani e appetibili, la resistenza degli adulti presenti, la violenza, il saccheggio e la fuga. Ciò che viene molto spesso rimarcato dai testimoni di lingua tedesca è il compiacimento e la complicità dei polacchi o dei cechi nell’assister o nel godere anch’essi del frutto delle razzìe. Come sottolineato da De Zayas, infatti, la violenza è moralmente giustificata dagli orrori commessi dai nazisti, senza alcuna differenza tra membri attivi dell’occupazione e semplici cittadini che abitavano quei luoghi da generazioni. Le testimoniane dei non tedeschi hanno una prospettiva di liberazione, di vendetta e di giustizia verso chi, ormai è solo sconfitto.    </w:t>
      </w:r>
    </w:p>
    <w:p w:rsidR="00611878" w:rsidRDefault="00672C55">
      <w:pPr>
        <w:spacing w:line="366" w:lineRule="auto"/>
        <w:ind w:left="561" w:right="707"/>
      </w:pPr>
      <w:r>
        <w:rPr>
          <w:sz w:val="24"/>
        </w:rPr>
        <w:t xml:space="preserve">Parlare di tedeschi internati nei campi di concentramento può apparire paradossale, eppure migliaia di Reichdeutsch e Volksdeutsch, sono stati internati per anni nei Lager sovietici in Siberia o in quelli allestiti nei vari paesi liberati, con la colpa di essere tedeschi. La maggior parte dei prigionieri erano civili, quindi, donne, anziani e bambini: </w:t>
      </w:r>
    </w:p>
    <w:p w:rsidR="007C08AB" w:rsidRDefault="007C08AB">
      <w:pPr>
        <w:spacing w:after="45"/>
        <w:ind w:left="1438" w:right="706"/>
      </w:pPr>
    </w:p>
    <w:p w:rsidR="007C08AB" w:rsidRDefault="007C08AB">
      <w:pPr>
        <w:spacing w:after="160" w:line="259" w:lineRule="auto"/>
        <w:ind w:left="0" w:right="0" w:firstLine="0"/>
        <w:jc w:val="left"/>
      </w:pPr>
      <w:r>
        <w:br w:type="page"/>
      </w:r>
    </w:p>
    <w:p w:rsidR="00611878" w:rsidRDefault="00672C55">
      <w:pPr>
        <w:spacing w:after="45"/>
        <w:ind w:left="1438" w:right="706"/>
      </w:pPr>
      <w:r>
        <w:lastRenderedPageBreak/>
        <w:t>Circa 600 donne e 200 uomini furono trasportati nel lager di montagna di Krasnogorka a Prokopeck. […] I prigionieri furono sistemati nel bunker sotterraneo. Le razioni di cibo erano scarse. Mancavano cure mediche. Inoltre mancavano le medicine e le bende. La conseguenza fu un gran numero di morti, soprattutto dopo lo scoppio di un’epidemia di tifo. I morti furono allontanati dal lager di notte.</w:t>
      </w:r>
      <w:r>
        <w:rPr>
          <w:vertAlign w:val="superscript"/>
        </w:rPr>
        <w:footnoteReference w:id="186"/>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Questi campi, spesso, rappresentavano l’harem, la riserva di caccia dei vincitori, che avevano a disposizione le donne segregate in un luogo chiuso, psicologicamente già sottomesse: </w:t>
      </w:r>
    </w:p>
    <w:p w:rsidR="007C08AB" w:rsidRDefault="007C08AB">
      <w:pPr>
        <w:spacing w:after="46"/>
        <w:ind w:left="1438" w:right="706"/>
      </w:pPr>
    </w:p>
    <w:p w:rsidR="00611878" w:rsidRDefault="00672C55">
      <w:pPr>
        <w:spacing w:after="46"/>
        <w:ind w:left="1438" w:right="706"/>
      </w:pPr>
      <w:r>
        <w:t>Il 17 gennaio 1946 la signora S. con i suoi figli fuggì attraverso la zona di occupazione tedesca fino a Meus vicino a Görliz, una cittadina di frontiera. Qui era stato organizzato una baracca dove internare i tedeschi, che aveva come iscrizione “casa dei tedeschi”. In questo luogo la milizia imperversava con particolare crudeltà. Siamo rimasti in questo posto circa 3 mesi, senza che potessimo passare la frontiera. La milizia prelevava spesso una ragazza di 17 anni, la picchiava, la molestava e la stuprava più volte. Il corpo di questa ragazza non si reggeva più da solo, era diventato tutto nero. Anche un'altra ragazza subì un tale stupro che, alla fine, il soldato della milizia era malconcio.</w:t>
      </w:r>
      <w:r>
        <w:rPr>
          <w:vertAlign w:val="superscript"/>
        </w:rPr>
        <w:footnoteReference w:id="187"/>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Il viaggio in lunghe carovane divideva intere famiglie. Chi era più stanco rimaneva indietro. I bambini senza genitori, orfani o semplicemente perduti, vagavano nelle città e nei villaggi alla ricerca di qualcuno e, soprattutto alla ricerca della sopravvivenza. Si trovavano, quindi, in luoghi nuovi, sconosciuti, lontani, senza punti di riferimento. </w:t>
      </w:r>
    </w:p>
    <w:p w:rsidR="00611878" w:rsidRDefault="00672C55">
      <w:pPr>
        <w:spacing w:line="366" w:lineRule="auto"/>
        <w:ind w:left="561" w:right="707"/>
      </w:pPr>
      <w:r>
        <w:rPr>
          <w:sz w:val="24"/>
        </w:rPr>
        <w:t xml:space="preserve">  </w:t>
      </w:r>
      <w:r w:rsidRPr="00672C55">
        <w:rPr>
          <w:sz w:val="24"/>
          <w:lang w:val="de-DE"/>
        </w:rPr>
        <w:t xml:space="preserve">Günther Lass, nel saggio </w:t>
      </w:r>
      <w:r w:rsidRPr="00672C55">
        <w:rPr>
          <w:i/>
          <w:sz w:val="24"/>
          <w:lang w:val="de-DE"/>
        </w:rPr>
        <w:t xml:space="preserve">„Die Flucht. </w:t>
      </w:r>
      <w:r>
        <w:rPr>
          <w:i/>
          <w:sz w:val="24"/>
        </w:rPr>
        <w:t>Ostpreußen 1944-1945”</w:t>
      </w:r>
      <w:r>
        <w:rPr>
          <w:sz w:val="24"/>
        </w:rPr>
        <w:t xml:space="preserve"> stima che tra aprile e maggio 1945, la popolazione di origine tedesca presente nella sola Prussia orientale sia intorno a 600.000 unità, mentre nel 1964 era scesa a 50.000. Matteo Ermacora, nel suo breve saggio </w:t>
      </w:r>
      <w:r>
        <w:rPr>
          <w:i/>
          <w:sz w:val="24"/>
        </w:rPr>
        <w:t>In fuga dalla violenza</w:t>
      </w:r>
      <w:r>
        <w:rPr>
          <w:sz w:val="24"/>
        </w:rPr>
        <w:t xml:space="preserve">, descrive la situazione delle donne che mettevano in viaggio verso occidente come degli “obbiettivi in movimento” per le incursioni dei sovietici </w:t>
      </w:r>
    </w:p>
    <w:p w:rsidR="007C08AB" w:rsidRDefault="007C08AB">
      <w:pPr>
        <w:ind w:left="1438" w:right="706"/>
      </w:pPr>
    </w:p>
    <w:p w:rsidR="00611878" w:rsidRDefault="00672C55">
      <w:pPr>
        <w:ind w:left="1438" w:right="706"/>
      </w:pPr>
      <w:r>
        <w:t xml:space="preserve">I profughi, pur essendo non combattenti, diventarono quindi bersagli in movimento sui quali si abbatté la violenza sovietica; il 18 gennaio 1945, ad esempio, una colonna di tedeschi – circa </w:t>
      </w:r>
    </w:p>
    <w:p w:rsidR="00611878" w:rsidRDefault="00672C55">
      <w:pPr>
        <w:ind w:left="1438" w:right="706"/>
      </w:pPr>
      <w:r>
        <w:t xml:space="preserve">800 tra donne e bambini – fu completamente annientata nei pressi dell’abitato di Rosenholz in Prussia orientale. Nel distretto di Waldrode (Prussia orientale), tra il 18 ed il 22 gennaio 1945 </w:t>
      </w:r>
      <w:r>
        <w:lastRenderedPageBreak/>
        <w:t>si registrarono non meno di 14 attacchi contro convogli di profughi che, stando alle fonti militari tedesche, determinarono la morte di circa 8.000 civili, di cui 4.500 tra donne e bambini. A Welun, in Slesia, il 15 febbraio 1945 numerose carovane furono attaccate, cosparse di benzina ed incendiate insieme alle persone; ai lati della colonna giacevano i cadaveri “di molte donne tedesche, uomini e bambini, in parte con gole tagliate, lingue mozzate e ventri squarciati”. Altrove i profughi furono travolti e schiacciati dai carri armati russi, fatti oggetto dei tiri dei cecchini, utilizzati come “scudi umani” per penetrare nei villaggi oppure, come avvenne a Krotoschin (Wartheland), oppure completamente “spogliati e mandati avanti nudi” – una sorta di condanna a morte per assideramento</w:t>
      </w:r>
      <w:r w:rsidR="00BB3E32">
        <w:rPr>
          <w:rStyle w:val="Rimandonotaapidipagina"/>
        </w:rPr>
        <w:footnoteReference w:id="188"/>
      </w:r>
      <w:r>
        <w:t xml:space="preserve">. </w:t>
      </w:r>
    </w:p>
    <w:p w:rsidR="00611878" w:rsidRDefault="00672C55">
      <w:pPr>
        <w:spacing w:after="0" w:line="259" w:lineRule="auto"/>
        <w:ind w:left="566" w:right="0" w:firstLine="0"/>
        <w:jc w:val="left"/>
      </w:pPr>
      <w:r>
        <w:t xml:space="preserve"> </w:t>
      </w:r>
    </w:p>
    <w:p w:rsidR="00611878" w:rsidRDefault="00672C55">
      <w:pPr>
        <w:spacing w:line="366" w:lineRule="auto"/>
        <w:ind w:left="561" w:right="707"/>
      </w:pPr>
      <w:r>
        <w:rPr>
          <w:sz w:val="24"/>
        </w:rPr>
        <w:t xml:space="preserve">  A volte, però, la fuga non è sufficiente a salvarsi dalle violenze. Può capitare, infatti, che chi fugge con la prima ondata di profughi e non si rifugia sufficientemente ad ovest, abbia solamente ritardato le violenze </w:t>
      </w:r>
    </w:p>
    <w:p w:rsidR="007C08AB" w:rsidRDefault="007C08AB">
      <w:pPr>
        <w:spacing w:after="31"/>
        <w:ind w:left="1438" w:right="706"/>
      </w:pPr>
    </w:p>
    <w:p w:rsidR="00611878" w:rsidRDefault="00672C55">
      <w:pPr>
        <w:spacing w:after="31"/>
        <w:ind w:left="1438" w:right="706"/>
      </w:pPr>
      <w:r>
        <w:t>Sono fuggito con mia moglie e tre Tötchern su 20. 1. 1945 dalla Birnbaum e venuto incontrastato fino alla gefend di Perleberg. Qui abbiamo visto l'arrivo dei sovietici maggio. I rifugiati che avevano sperimentato prima, ci ha consigliato come le nostre figlie più grandi dietro la porta n</w:t>
      </w:r>
      <w:r w:rsidR="00BB3E32">
        <w:t>ascosta dei nostri spazi di fuga</w:t>
      </w:r>
      <w:r>
        <w:t>, siamo stati derubati di tutto, ma le nostre figlie non sono state per fortuna scoperti. Purtroppo, questo allettati a lasciare nascondere. E 'stata subito catturato dai sovietici e gravemente violentata</w:t>
      </w:r>
      <w:r w:rsidR="00BB3E32">
        <w:rPr>
          <w:rStyle w:val="Rimandonotaapidipagina"/>
        </w:rPr>
        <w:footnoteReference w:id="189"/>
      </w:r>
      <w:r>
        <w:t xml:space="preserve">. </w:t>
      </w:r>
    </w:p>
    <w:p w:rsidR="00611878" w:rsidRDefault="00672C55">
      <w:pPr>
        <w:spacing w:after="115" w:line="259" w:lineRule="auto"/>
        <w:ind w:left="566" w:right="0" w:firstLine="0"/>
        <w:jc w:val="left"/>
      </w:pPr>
      <w:r>
        <w:rPr>
          <w:sz w:val="24"/>
        </w:rPr>
        <w:t xml:space="preserve"> </w:t>
      </w:r>
    </w:p>
    <w:p w:rsidR="00611878" w:rsidRDefault="00672C55">
      <w:pPr>
        <w:spacing w:line="366" w:lineRule="auto"/>
        <w:ind w:left="561" w:right="707"/>
      </w:pPr>
      <w:r>
        <w:rPr>
          <w:sz w:val="24"/>
        </w:rPr>
        <w:t xml:space="preserve">Negli anni ’50, passata la crisi e il trauma della guerra, i giornali si riempirono di annunci per cercare di riunire le famiglie, ridare i genitori o dei parenti ai bambini che avevano perso i loro punti di riferimento, con piccoli trafiletti, corredati di foto, dal titolo “chi riconosce questa bambina/questo bambino?”, sotto una piccola descrizione fisica e del luogo dal quale si presumeva venissero: “Questa bambina si chiama Renate Reddig, è nata il 4 gennaio 1941. Ha gli occhi marroni e i capelli biondi. Renate probabilmente viene da Heilsberg in Prussia </w:t>
      </w:r>
    </w:p>
    <w:p w:rsidR="00BB3E32" w:rsidRPr="00BB3E32" w:rsidRDefault="00672C55" w:rsidP="00BB3E32">
      <w:pPr>
        <w:spacing w:after="267" w:line="366" w:lineRule="auto"/>
        <w:ind w:left="561" w:right="707"/>
        <w:rPr>
          <w:sz w:val="24"/>
        </w:rPr>
      </w:pPr>
      <w:r>
        <w:rPr>
          <w:sz w:val="24"/>
        </w:rPr>
        <w:t>Orientale. […] Chi può assicurare accoglienza in una casa o ha qualche ipotesi [sulla bambina]?”</w:t>
      </w:r>
      <w:r w:rsidR="00BB3E32">
        <w:rPr>
          <w:rStyle w:val="Rimandonotaapidipagina"/>
          <w:sz w:val="24"/>
        </w:rPr>
        <w:footnoteReference w:id="190"/>
      </w:r>
    </w:p>
    <w:p w:rsidR="00611878" w:rsidRDefault="00672C55">
      <w:pPr>
        <w:spacing w:line="366" w:lineRule="auto"/>
        <w:ind w:left="561" w:right="707"/>
      </w:pPr>
      <w:r>
        <w:rPr>
          <w:sz w:val="24"/>
        </w:rPr>
        <w:t xml:space="preserve">  A volte, però, anche le informazioni sui bambini erano frammentarie ed erano vaghe anche le informazioni anagrafiche, ma si provava ugualmente a reperire più dati possibili, come nel caso </w:t>
      </w:r>
      <w:r>
        <w:rPr>
          <w:sz w:val="24"/>
        </w:rPr>
        <w:lastRenderedPageBreak/>
        <w:t xml:space="preserve">di una bambina, forse di nome Ede: </w:t>
      </w:r>
      <w:r>
        <w:rPr>
          <w:i/>
          <w:sz w:val="24"/>
        </w:rPr>
        <w:t>”La bambina, il cui nome è ignoto così come la data di nascita, è stata trovata l’8 febbraio 1945 in una casa di Heilsberg (Prussia Orientale). La madre è morta lo stesso giorno</w:t>
      </w:r>
      <w:r w:rsidR="00BB3E32">
        <w:rPr>
          <w:rStyle w:val="Rimandonotaapidipagina"/>
          <w:i/>
          <w:sz w:val="24"/>
        </w:rPr>
        <w:footnoteReference w:id="191"/>
      </w:r>
      <w:r>
        <w:rPr>
          <w:i/>
          <w:sz w:val="24"/>
        </w:rPr>
        <w:t xml:space="preserve">”.  </w:t>
      </w:r>
      <w:r>
        <w:rPr>
          <w:sz w:val="24"/>
        </w:rPr>
        <w:t xml:space="preserve">O di un bambino trovato dalla Croce Rossa, chiamato probabilmente Brendt Meyer, che, dice l’annuncio, vorrebbe tornare a casa dai genitori. Perdere un bambino era veramente facile e il lavoro incessante delle Associazioni nongovernative per i ricongiungimenti familiari è stato incessante. Ovviamente, l’alto numero di vittime durante il conflitto lasciava poche speranze, ma tantissime testimonianze riportano unioni avvenute molti anni dopo la separazione e a centinaia di chilometri di distanza dal luogo del distacco. </w:t>
      </w:r>
    </w:p>
    <w:p w:rsidR="00611878" w:rsidRDefault="00672C55">
      <w:pPr>
        <w:spacing w:after="39" w:line="366" w:lineRule="auto"/>
        <w:ind w:left="561" w:right="707"/>
      </w:pPr>
      <w:r>
        <w:rPr>
          <w:sz w:val="24"/>
        </w:rPr>
        <w:t xml:space="preserve">Lasciare la propria terra natia, gli usi, i costumi, gli odori, i colori, le tradizioni, è uno strappo difficile da ricucire. Per i milioni di profughi del vecchio Ostdeutschesgebiet, è il prezzo più caro da pagare per aver perso la guerra contro gli Alleati e, in particolare, contro Stalin. </w:t>
      </w:r>
    </w:p>
    <w:p w:rsidR="00611878" w:rsidRDefault="00672C55">
      <w:pPr>
        <w:spacing w:line="366" w:lineRule="auto"/>
        <w:ind w:left="561" w:right="707"/>
      </w:pPr>
      <w:r>
        <w:rPr>
          <w:sz w:val="24"/>
        </w:rPr>
        <w:t xml:space="preserve">  Molti però si sentivano in un certo senso protetti dall’essere a casa propria e dalle relazioni tra Germania e Russia precedenti il conflitto. Al termine della Prima Guerra Mondiale e dopo l’emanazione delle sanzioni economiche imposte alla Germania dal Trattato di Versailles, i rapporti tra Germania e Russia erano diventati sempre più stretti, anche grazie ad un accordo siglato il lunedì di Pasqua del 1922 e che getta in allarme molti Paesi europei </w:t>
      </w:r>
    </w:p>
    <w:p w:rsidR="007C08AB" w:rsidRDefault="007C08AB">
      <w:pPr>
        <w:ind w:left="1438" w:right="706"/>
      </w:pPr>
    </w:p>
    <w:p w:rsidR="00611878" w:rsidRDefault="00672C55">
      <w:pPr>
        <w:ind w:left="1438" w:right="706"/>
      </w:pPr>
      <w:r>
        <w:t xml:space="preserve">Quando il lunedì di Pasqua fu resa nota la conclusione del trattato economico fra la Russia e la Germania, dalla notizia relativa scaturì quale effetto più immediato la sensazione come dalle tenebre della sconfinata Russia si levasse un primo lontano lampeggiare di un nuovo temporale che verrebbe ad abbattersi sugli infelici popoli europei. </w:t>
      </w:r>
    </w:p>
    <w:p w:rsidR="00611878" w:rsidRDefault="00672C55">
      <w:pPr>
        <w:ind w:left="1438" w:right="706"/>
      </w:pPr>
      <w:r>
        <w:t xml:space="preserve">La Francia attraversò ore di angoscia con gli occhi alla visione di gigantesche radunate di eserciti russo-germanici. Mentre poi gli uni sospettavano nel trattato dell’esistenza di una clausola segreta di carattere militare, altri con criterio più ragionevole supponevano che il trattato economico verrebbe tra non molto integrato da un accordo finanziario e forse anche commerciale con gli Stati Uniti. […]. </w:t>
      </w:r>
    </w:p>
    <w:p w:rsidR="00611878" w:rsidRDefault="00672C55">
      <w:pPr>
        <w:ind w:left="1438" w:right="706"/>
      </w:pPr>
      <w:r>
        <w:t xml:space="preserve">Per il momento abbiamo certo a che fare con una Russia, gelosa, sì della propria indipendenza politica, còmpito quanto mai faticoso e che non potrà essere assolto dalla sola Germania per quanto la Germania è più che qualsiasi altro paese, chiamata a servire di tramite fra gli altri stati e la Russia. […]. </w:t>
      </w:r>
    </w:p>
    <w:p w:rsidR="00BB3E32" w:rsidRDefault="00BB3E32">
      <w:pPr>
        <w:spacing w:line="366" w:lineRule="auto"/>
        <w:ind w:left="561" w:right="707"/>
        <w:rPr>
          <w:sz w:val="24"/>
          <w:lang w:val="de-DE"/>
        </w:rPr>
      </w:pPr>
    </w:p>
    <w:p w:rsidR="00611878" w:rsidRDefault="00672C55">
      <w:pPr>
        <w:spacing w:line="366" w:lineRule="auto"/>
        <w:ind w:left="561" w:right="707"/>
      </w:pPr>
      <w:r w:rsidRPr="00BB3E32">
        <w:rPr>
          <w:sz w:val="24"/>
        </w:rPr>
        <w:t xml:space="preserve">  </w:t>
      </w:r>
      <w:r>
        <w:rPr>
          <w:sz w:val="24"/>
        </w:rPr>
        <w:t xml:space="preserve">Nei mesi successivi la firma dell’accordo, inoltre, si rafforzano i rapporti commerciali tra i due paesi, sia dal punto di vista dello scambio delle merci che dal punto di vista del rapporto economico vero e proprio, continua, infatti, Stein nel suo trattato </w:t>
      </w:r>
    </w:p>
    <w:p w:rsidR="007C08AB" w:rsidRDefault="007C08AB">
      <w:pPr>
        <w:spacing w:after="33"/>
        <w:ind w:left="1438" w:right="706"/>
      </w:pPr>
    </w:p>
    <w:p w:rsidR="007C08AB" w:rsidRDefault="007C08AB">
      <w:pPr>
        <w:spacing w:after="33"/>
        <w:ind w:left="1438" w:right="706"/>
      </w:pPr>
    </w:p>
    <w:p w:rsidR="00611878" w:rsidRDefault="00672C55">
      <w:pPr>
        <w:spacing w:after="33"/>
        <w:ind w:left="1438" w:right="706"/>
      </w:pPr>
      <w:r>
        <w:lastRenderedPageBreak/>
        <w:t>In questi giorni si è inaugurata una linea aerea tra Mosca e Berlino e furono ripresi pure la comunicazione ferroviaria diretta da Konisberga via Dvinsk (Duenaburg) in Russia ed il relativo servizio postale ordinario. Nel commissariato russo per il Commercio estero si stanno elaborando i piani per l’organizzazione di una rete di comunicazioni marittime, fra i quali uno della creazione di una flottiglia di navi di tipo particolare, vapori per compiere viaggi diretti fra la costa baltico tedesca attraverso il sistema di canali nominato di Maria, in giù del Volga, fino al Mar Caspio.</w:t>
      </w:r>
      <w:r>
        <w:rPr>
          <w:vertAlign w:val="superscript"/>
        </w:rPr>
        <w:footnoteReference w:id="192"/>
      </w:r>
      <w:r>
        <w:t xml:space="preserve">  </w:t>
      </w:r>
    </w:p>
    <w:p w:rsidR="00611878" w:rsidRDefault="00672C55">
      <w:pPr>
        <w:spacing w:after="0" w:line="259" w:lineRule="auto"/>
        <w:ind w:left="566" w:right="0" w:firstLine="0"/>
        <w:jc w:val="left"/>
      </w:pPr>
      <w:r>
        <w:rPr>
          <w:sz w:val="24"/>
        </w:rPr>
        <w:t xml:space="preserve"> </w:t>
      </w:r>
      <w:r>
        <w:t xml:space="preserve">  </w:t>
      </w:r>
    </w:p>
    <w:p w:rsidR="00611878" w:rsidRDefault="00672C55">
      <w:pPr>
        <w:spacing w:line="366" w:lineRule="auto"/>
        <w:ind w:left="561" w:right="707"/>
      </w:pPr>
      <w:r>
        <w:rPr>
          <w:sz w:val="24"/>
        </w:rPr>
        <w:t xml:space="preserve">  L’accordo pre-bellico Molotov- Ribentropp aveva dato garanzie proprio sulla sovranità di quei territori, oltre all’assicurazione della pace tra i due popoli. L’operazione Barbarossa, però, cambia le carte in tavola e, ancora prima della resa, quei territori prolifici diventano il primo agnello sacrificale. Però, l’abitudine aveva costituito una sorta di illusione di sicurezza. </w:t>
      </w:r>
    </w:p>
    <w:p w:rsidR="00611878" w:rsidRDefault="00672C55">
      <w:pPr>
        <w:spacing w:line="366" w:lineRule="auto"/>
        <w:ind w:left="561" w:right="707"/>
      </w:pPr>
      <w:r>
        <w:rPr>
          <w:sz w:val="24"/>
        </w:rPr>
        <w:t xml:space="preserve">  I tedeschi, coloro che hanno dovuto abbandonare quelle terre, spinti dalle violenze e dalla barbarie, considerano quella terra sacra e inscindibile. Alcuni anni dopo la fine del conflitto mondiale, i profughi iniziano a far sentire la loro voce. In modo chiaro, netto, inequivocabile, pacifico. Il 15 maggio 1950 il “Landeszeitung” riferisce di una manifestazione di 100 000 profughi ad Amburgo, con lo slogan “Ridateci la nostra Patria”</w:t>
      </w:r>
      <w:r>
        <w:rPr>
          <w:sz w:val="24"/>
          <w:vertAlign w:val="superscript"/>
        </w:rPr>
        <w:footnoteReference w:id="193"/>
      </w:r>
      <w:r>
        <w:rPr>
          <w:sz w:val="24"/>
        </w:rPr>
        <w:t xml:space="preserve"> chiedendo una pacifica riconquista e lanciando un appello alla Polonia e a tutti i popoli, affinché fosse finalmente liberata la frontiera dell’Oder Neiße. Lo stesso articolo riporta una messa aperta a tutti organizzata dagli stessi profughi, che aveva richiamato circa 20 000 partecipanti.   </w:t>
      </w:r>
    </w:p>
    <w:p w:rsidR="00611878" w:rsidRDefault="00672C55">
      <w:pPr>
        <w:spacing w:line="366" w:lineRule="auto"/>
        <w:ind w:left="561" w:right="707"/>
      </w:pPr>
      <w:r>
        <w:rPr>
          <w:sz w:val="24"/>
        </w:rPr>
        <w:t xml:space="preserve">  È difficile accettare il peso della sconfitta di una guerra. Soprattutto quando il peso ricade quasi esclusivamente su una sola nazione.  </w:t>
      </w:r>
    </w:p>
    <w:p w:rsidR="00611878" w:rsidRDefault="00672C55">
      <w:pPr>
        <w:spacing w:after="393" w:line="366" w:lineRule="auto"/>
        <w:ind w:left="561" w:right="707"/>
      </w:pPr>
      <w:r>
        <w:rPr>
          <w:sz w:val="24"/>
        </w:rPr>
        <w:t xml:space="preserve">In realtà il viaggio da est ad ovest degli abitanti di lingua tedesca non termina con i mesi successivi la fine del conflitto. Chi decide di non partire subito, di resistere e di continuare a vivere nei nuovi territori facenti parte integralmente dell’Unione Sovietica, vivono in un limbo sospeso ed è costretto ad affrontare nuovamente la diffidenza della popolazione slava agli inizi degli anni ’90 del XX secolo dopo lo scioglimento del regime comunista, quando la vecchia equazione tedesco = fascista sembra tornare in auge, come dimostra la testimonianza di O. G. che racconta </w:t>
      </w:r>
    </w:p>
    <w:p w:rsidR="00611878" w:rsidRPr="00A12F02" w:rsidRDefault="00672C55">
      <w:pPr>
        <w:spacing w:after="0" w:line="259" w:lineRule="auto"/>
        <w:ind w:left="1419" w:right="0" w:firstLine="0"/>
        <w:jc w:val="left"/>
        <w:rPr>
          <w:sz w:val="2"/>
          <w:szCs w:val="2"/>
        </w:rPr>
      </w:pPr>
      <w:r w:rsidRPr="00A12F02">
        <w:rPr>
          <w:sz w:val="2"/>
          <w:szCs w:val="2"/>
        </w:rPr>
        <w:t xml:space="preserve"> </w:t>
      </w:r>
    </w:p>
    <w:p w:rsidR="00611878" w:rsidRDefault="00672C55">
      <w:pPr>
        <w:spacing w:after="2" w:line="243" w:lineRule="auto"/>
        <w:ind w:right="3268"/>
        <w:jc w:val="left"/>
      </w:pPr>
      <w:r>
        <w:rPr>
          <w:i/>
        </w:rPr>
        <w:t xml:space="preserve">Quando ha dovuto lasciare la Russia Bianca con la sua famiglia?  </w:t>
      </w:r>
      <w:r>
        <w:t xml:space="preserve">Nel 1992, il clima era diventato insopportabile. </w:t>
      </w:r>
      <w:r>
        <w:rPr>
          <w:i/>
        </w:rPr>
        <w:t>Perché?</w:t>
      </w:r>
      <w:r>
        <w:t xml:space="preserve"> </w:t>
      </w:r>
    </w:p>
    <w:p w:rsidR="00611878" w:rsidRDefault="00672C55">
      <w:pPr>
        <w:spacing w:after="57"/>
        <w:ind w:left="1438" w:right="706"/>
      </w:pPr>
      <w:r>
        <w:t xml:space="preserve">Era difficile essere tedeschi, sa? Ci guardavano tutti male… noi tedeschi per loro eravamo tutti </w:t>
      </w:r>
      <w:r>
        <w:rPr>
          <w:i/>
        </w:rPr>
        <w:t>i fascisti</w:t>
      </w:r>
      <w:r>
        <w:t>!</w:t>
      </w:r>
      <w:r w:rsidR="00BB3E32">
        <w:rPr>
          <w:rStyle w:val="Rimandonotaapidipagina"/>
        </w:rPr>
        <w:footnoteReference w:id="194"/>
      </w:r>
      <w:r>
        <w:t xml:space="preserve"> </w:t>
      </w:r>
    </w:p>
    <w:p w:rsidR="00611878" w:rsidRPr="007C08AB" w:rsidRDefault="00672C55" w:rsidP="007C08AB">
      <w:pPr>
        <w:spacing w:after="108" w:line="259" w:lineRule="auto"/>
        <w:ind w:left="566" w:right="0" w:firstLine="0"/>
        <w:jc w:val="left"/>
        <w:rPr>
          <w:sz w:val="2"/>
          <w:szCs w:val="2"/>
        </w:rPr>
      </w:pPr>
      <w:r w:rsidRPr="007C08AB">
        <w:rPr>
          <w:b/>
          <w:sz w:val="2"/>
          <w:szCs w:val="2"/>
        </w:rPr>
        <w:lastRenderedPageBreak/>
        <w:t xml:space="preserve"> </w:t>
      </w:r>
    </w:p>
    <w:p w:rsidR="00611878" w:rsidRDefault="00672C55">
      <w:pPr>
        <w:pStyle w:val="Titolo3"/>
        <w:ind w:left="561"/>
      </w:pPr>
      <w:r>
        <w:t>2)</w:t>
      </w:r>
      <w:r>
        <w:rPr>
          <w:rFonts w:ascii="Arial" w:eastAsia="Arial" w:hAnsi="Arial" w:cs="Arial"/>
        </w:rPr>
        <w:t xml:space="preserve"> </w:t>
      </w:r>
      <w:r>
        <w:t xml:space="preserve">Il martirio di Berlino </w:t>
      </w:r>
    </w:p>
    <w:p w:rsidR="00611878" w:rsidRDefault="00672C55">
      <w:pPr>
        <w:spacing w:after="124"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I documenti d’archivio, soprattutto i carteggi tra gli alti dirigenti del Reich dimostrano come tutti fossero a conoscenza dell’attacco imminente, al punti di programmare tutto. È interessante notare come si pianificasse la difesa e la diffusione dell’allarme nei minimi dettagli, programmando, però, di allertare la popolazione all’ultimo momento utile, per non diffondere la sensazione della sconfitta imminente </w:t>
      </w:r>
    </w:p>
    <w:p w:rsidR="007C08AB" w:rsidRDefault="007C08AB">
      <w:pPr>
        <w:ind w:left="1438" w:right="706"/>
      </w:pPr>
    </w:p>
    <w:p w:rsidR="00611878" w:rsidRDefault="00672C55">
      <w:pPr>
        <w:ind w:left="1438" w:right="706"/>
      </w:pPr>
      <w:r>
        <w:t xml:space="preserve">Il nuovo segnale d’allarme „Pericolo acuto dall’aria“ non è ancora correttamente compreso. “l’allarme antiaereo” viene seguito appena possibile vicino al fronte nella giusta direzione per una soluzione e quindi è possibile contare le bombe che vengono gettate. </w:t>
      </w:r>
    </w:p>
    <w:p w:rsidR="00611878" w:rsidRDefault="00672C55">
      <w:pPr>
        <w:spacing w:after="168"/>
        <w:ind w:left="1438" w:right="706"/>
      </w:pPr>
      <w:r>
        <w:t>Una consapevolezza che il luogo allarmato era l’obbiettivo dell’attacco non era ancora stato individuato, quindi gli aerei nemici possono virare altrove o sorvolare. L’economia e il traffico vanno in quella direzione – in modo tale da allarmare e preoccupare la popolazione civile – ancora – egli vuole prenderlo con sé nello spazio LS, portare la preparazione dell’attacco,</w:t>
      </w:r>
      <w:r w:rsidR="00BB3E32">
        <w:t xml:space="preserve"> affinché possano cercare riparo</w:t>
      </w:r>
      <w:r>
        <w:t xml:space="preserve"> in ogni momento. Se un pericolo grave e immediato, così questi pochi minuti </w:t>
      </w:r>
      <w:r w:rsidR="00BB3E32">
        <w:t>prima</w:t>
      </w:r>
      <w:r>
        <w:t xml:space="preserve"> dalla "minaccia aerea acuta" segnale di allarme è - due toni urlo brevi particolarmente </w:t>
      </w:r>
      <w:r w:rsidR="00BB3E32">
        <w:t>preoccupante</w:t>
      </w:r>
      <w:r>
        <w:t>. Quando si sente questo segnale è quindi più preparati di tempo per i bagagli, vestirsi, ecc come nel suono del raid aereo segnale di avvertimento. Ora tutti devono prendere rapidamente copertura. I segni premonitori "acuta minaccia aerea" quindi significa un aumento del segnale di "sirena antiaerea" [...]. La velocità è quindi offerta più alta. Se SONIT "sirena antiaerea" è dato, così ognuno deve preparare tutto come se avesse voluto visitare il LS-room: la casalinga fa la valigia sulla porta, cottura e lavaggio, ma oltre, l'uomo d'affari ha venduto, ma i suoi clienti ha informato sulla situazione dell</w:t>
      </w:r>
      <w:r w:rsidR="00BB3E32">
        <w:t>e camere contattore.</w:t>
      </w:r>
      <w:r w:rsidR="00BB3E32">
        <w:rPr>
          <w:rStyle w:val="Rimandonotaapidipagina"/>
        </w:rPr>
        <w:footnoteReference w:id="195"/>
      </w:r>
      <w:r>
        <w:t xml:space="preserve"> </w:t>
      </w:r>
    </w:p>
    <w:p w:rsidR="00611878" w:rsidRPr="00A12F02" w:rsidRDefault="00672C55">
      <w:pPr>
        <w:spacing w:after="115" w:line="259" w:lineRule="auto"/>
        <w:ind w:left="924" w:right="0" w:firstLine="0"/>
        <w:jc w:val="left"/>
        <w:rPr>
          <w:sz w:val="2"/>
          <w:szCs w:val="2"/>
        </w:rPr>
      </w:pPr>
      <w:r w:rsidRPr="00A12F02">
        <w:rPr>
          <w:sz w:val="2"/>
          <w:szCs w:val="2"/>
        </w:rPr>
        <w:t xml:space="preserve">   </w:t>
      </w:r>
    </w:p>
    <w:p w:rsidR="00611878" w:rsidRDefault="00672C55">
      <w:pPr>
        <w:spacing w:line="366" w:lineRule="auto"/>
        <w:ind w:left="551" w:right="707" w:firstLine="358"/>
      </w:pPr>
      <w:r>
        <w:rPr>
          <w:sz w:val="24"/>
        </w:rPr>
        <w:t xml:space="preserve">L’obbiettivo dell’avanzata sovietica era Berlino e non era un segreto. I primi segnali di allarme erano già arrivati nell’ottobre 1944 ma, evidentemente, nessuno aveva preso seriamente </w:t>
      </w:r>
      <w:r>
        <w:rPr>
          <w:sz w:val="24"/>
        </w:rPr>
        <w:lastRenderedPageBreak/>
        <w:t xml:space="preserve">in considerazione gli attacchi che erano iniziati a piovere sulla capitale del Reich, come testimoniato da una lettera del Dott. Schäffer </w:t>
      </w:r>
    </w:p>
    <w:p w:rsidR="007C08AB" w:rsidRDefault="007C08AB" w:rsidP="007C08AB">
      <w:pPr>
        <w:ind w:left="1428" w:right="706" w:firstLine="0"/>
      </w:pPr>
    </w:p>
    <w:p w:rsidR="00611878" w:rsidRDefault="00672C55" w:rsidP="007C08AB">
      <w:pPr>
        <w:ind w:left="1428" w:right="706" w:firstLine="0"/>
      </w:pPr>
      <w:r>
        <w:t>Dall’allarme dato presto alle 3:50 dell’11 ottobre a Berlino notato nella annuncio filodiffusione che il primo messaggio non è stato dato. Ho anche aspettato più di 10 minuti a un messaggio che è poi, ma solo detto che la punta aveva raggiunto l'area di Magdeburgo. Tutti i compagni erano in attesa, ma il primo messaggio, che le organizzazioni e che il numero di Waschinen sono un eflogen. Echwäre m. E. bene, se si poteva lasciare che in futuro soprattutto con gli allarmi che arrivano nelle ore notturne, il primo messaggio viene ripetuto più volte</w:t>
      </w:r>
      <w:r w:rsidR="00BB3E32">
        <w:rPr>
          <w:rStyle w:val="Rimandonotaapidipagina"/>
        </w:rPr>
        <w:footnoteReference w:id="196"/>
      </w:r>
      <w:r>
        <w:t xml:space="preserve">. </w:t>
      </w:r>
    </w:p>
    <w:p w:rsidR="007C08AB" w:rsidRDefault="007C08AB">
      <w:pPr>
        <w:spacing w:line="366" w:lineRule="auto"/>
        <w:ind w:left="551" w:right="707" w:firstLine="358"/>
        <w:rPr>
          <w:sz w:val="24"/>
        </w:rPr>
      </w:pPr>
    </w:p>
    <w:p w:rsidR="00611878" w:rsidRDefault="00672C55">
      <w:pPr>
        <w:spacing w:line="366" w:lineRule="auto"/>
        <w:ind w:left="551" w:right="707" w:firstLine="358"/>
      </w:pPr>
      <w:r>
        <w:rPr>
          <w:sz w:val="24"/>
        </w:rPr>
        <w:t xml:space="preserve">L’inizio della fine per Berlino non ha una data, ma la Data. L’attacco definitivo a quella che sarebbe dovuta essere </w:t>
      </w:r>
      <w:r>
        <w:rPr>
          <w:i/>
          <w:sz w:val="24"/>
        </w:rPr>
        <w:t>Germania</w:t>
      </w:r>
      <w:r>
        <w:rPr>
          <w:sz w:val="24"/>
        </w:rPr>
        <w:t xml:space="preserve">, il Sole del Reich, è iniziato il 20 aprile 1945, giorno del 56° compleanno di Adolf Hitler, mentre nel bunker della Cancelleria e nel palazzo adiacente ancora rimasto in piedi, Eva Braun festeggiava il compleanno del marito: </w:t>
      </w:r>
    </w:p>
    <w:p w:rsidR="007C08AB" w:rsidRDefault="007C08AB">
      <w:pPr>
        <w:spacing w:after="30"/>
        <w:ind w:left="1438" w:right="706"/>
      </w:pPr>
    </w:p>
    <w:p w:rsidR="00611878" w:rsidRDefault="00672C55">
      <w:pPr>
        <w:spacing w:after="30"/>
        <w:ind w:left="1438" w:right="706"/>
      </w:pPr>
      <w:r>
        <w:t>Eva Braun voleva narcotizzare la paura che le era nata nel cuore. Voleva solo festeggiare un’altra volta, anche se da festeggiare non c’era più niente; ballare, bere, dimenticare,… […]. Qualcuno portò un vecchio grammofono con un solo disco […]. Si beveva champagne e si rideva forte, e io risi insieme a loro per non piangere.</w:t>
      </w:r>
      <w:r w:rsidR="00BB3E32">
        <w:rPr>
          <w:rStyle w:val="Rimandonotaapidipagina"/>
        </w:rPr>
        <w:footnoteReference w:id="197"/>
      </w:r>
      <w:r>
        <w:t xml:space="preserve"> </w:t>
      </w:r>
    </w:p>
    <w:p w:rsidR="00611878" w:rsidRDefault="00672C55">
      <w:pPr>
        <w:spacing w:after="162" w:line="259" w:lineRule="auto"/>
        <w:ind w:left="924" w:right="0" w:firstLine="0"/>
        <w:jc w:val="left"/>
      </w:pPr>
      <w:r>
        <w:rPr>
          <w:sz w:val="24"/>
        </w:rPr>
        <w:t xml:space="preserve"> </w:t>
      </w:r>
    </w:p>
    <w:p w:rsidR="00611878" w:rsidRDefault="00672C55" w:rsidP="00BB3E32">
      <w:pPr>
        <w:spacing w:after="323" w:line="366" w:lineRule="auto"/>
        <w:ind w:left="551" w:right="707" w:firstLine="358"/>
      </w:pPr>
      <w:r>
        <w:rPr>
          <w:sz w:val="24"/>
        </w:rPr>
        <w:t xml:space="preserve"> In città non c’erano viveri, ma nel bunker della cancelleria si brindava a champagne. Nonostante il clima sempre più spettrale che avvolgeva Berlino, Hitler aveva voglia di festeggiare, perché presto avrebbe fatto la sua comparsa l’arma segreta, la IX Armata avrebbe contrattaccato e … Ma, anche se le condanne a morte per di</w:t>
      </w:r>
      <w:r w:rsidR="00BB3E32">
        <w:rPr>
          <w:sz w:val="24"/>
        </w:rPr>
        <w:t xml:space="preserve">sfattismo erano comminate </w:t>
      </w:r>
      <w:r>
        <w:rPr>
          <w:sz w:val="24"/>
        </w:rPr>
        <w:t>continuamente, strumento delle SS per sfogare la frustrazione contro tutti, a questa favola non credeva più neanche lui. In realtà non è chiaro, per assenza di prove o testimonianze, se questa mancanza di lucidità fosse dovuta al progredire di malattie come il morbo di Parkinson, che ha tra i sintomi principali: la lentezza dei movimenti, disturbo del cammino, postura curva, depressione, ansia, disturbi comportamentali ossessivo-compulsivi, disturbi cognitivi e sintomi psicotici quali deliri e convinzioni non consistenti con la realtà</w:t>
      </w:r>
      <w:r>
        <w:rPr>
          <w:sz w:val="24"/>
          <w:vertAlign w:val="superscript"/>
        </w:rPr>
        <w:footnoteReference w:id="198"/>
      </w:r>
      <w:r>
        <w:rPr>
          <w:sz w:val="24"/>
        </w:rPr>
        <w:t xml:space="preserve">. Non c’è certezza di una diagnosi in questo senso, ma i dubbi provengono dalle poche testimonianze oculari, come </w:t>
      </w:r>
      <w:r>
        <w:rPr>
          <w:sz w:val="24"/>
        </w:rPr>
        <w:lastRenderedPageBreak/>
        <w:t xml:space="preserve">Helga Schneider, una dei bambini che hanno avuto la possibilità di visitare il Bunker della Cancelleria ed incontrare il Führer: </w:t>
      </w:r>
    </w:p>
    <w:p w:rsidR="00611878" w:rsidRDefault="00672C55">
      <w:pPr>
        <w:spacing w:after="44"/>
        <w:ind w:left="1438" w:right="706"/>
      </w:pPr>
      <w:r>
        <w:t>Mentre Hitler avanza verso di noi, io lo fisso senza fiatare […] cammina piano, le spalle lievemente curve, il passo strascicato: non posso crederci! […]. Io vedo invece un vecchio dai movimenti stentati. Noto che ha un lieve tremolio alla testa e che il braccio sinistro pende inerte lungo il suo fianco come fosse di gesso.</w:t>
      </w:r>
      <w:r>
        <w:rPr>
          <w:vertAlign w:val="superscript"/>
        </w:rPr>
        <w:footnoteReference w:id="199"/>
      </w:r>
      <w:r>
        <w:t xml:space="preserve"> </w:t>
      </w:r>
    </w:p>
    <w:p w:rsidR="00611878" w:rsidRDefault="00672C55">
      <w:pPr>
        <w:spacing w:after="112"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 Il 20 aprile 1945, come ogni anno, si è svolta la cerimonia di arruolamento dei giovani alla Hitlerjugend, con l’annuncio di Axmann che il regalo del popolo al suo Führer sarebbero stati i giovani classe 1929, pronti a sacrificarsi per la difesa di Berlino e i bambini, ormai plasmati dalla propaganda, sono pronti ad immolarsi per la causa.   </w:t>
      </w:r>
    </w:p>
    <w:p w:rsidR="00611878" w:rsidRDefault="00672C55">
      <w:pPr>
        <w:spacing w:after="68" w:line="366" w:lineRule="auto"/>
        <w:ind w:left="551" w:right="707" w:firstLine="358"/>
      </w:pPr>
      <w:r>
        <w:rPr>
          <w:sz w:val="24"/>
        </w:rPr>
        <w:t>Goebbels, convinto che senza il nazismo fosse inutile vivere, continuava ad incitare i berlinesi ad una fedeltà cieca al Führer fino al raggiungimento della vittoria finale. Già nel mese di febbraio, Hitler aveva nominato Berlino città fortezza e nominato lo stesso Ministro della Propaganda Commissario per la difesa della capitale, ma senza credere veramente che gli Alleati sarebbero arrivati a tanto, quindi, senza dotare la città delle scorte minime di sopravvivenza in caso di assedio o di invasione, lasciando la difesa della città all’improvvisazione ed al coraggio dei singoli. Il Führer era, infatti, convinto di arrestare l’avanzata sovietica lungo il fiume Oder, ad est di Berlino, ma le riserve che aveva spedito al fronte erano dotate di pochissime armi e solamente 5 proiettili a testa.</w:t>
      </w:r>
      <w:r>
        <w:rPr>
          <w:sz w:val="24"/>
          <w:vertAlign w:val="superscript"/>
        </w:rPr>
        <w:footnoteReference w:id="200"/>
      </w:r>
      <w:r>
        <w:rPr>
          <w:sz w:val="24"/>
        </w:rPr>
        <w:t xml:space="preserve"> </w:t>
      </w:r>
    </w:p>
    <w:p w:rsidR="00611878" w:rsidRDefault="00672C55">
      <w:pPr>
        <w:spacing w:line="366" w:lineRule="auto"/>
        <w:ind w:left="551" w:right="707" w:firstLine="358"/>
      </w:pPr>
      <w:r>
        <w:rPr>
          <w:sz w:val="24"/>
        </w:rPr>
        <w:t xml:space="preserve">In realtà l’esercito tedesco era completamente accerchiato e senza possibilità di ripresa, anche se Hitler non ne aveva cognizione esatta, forse a causa dell’avanzare della sua malattia. Sul fronte occidentale, infatti, la situazione era analoga a causa della spinta degli Alleati. La situazione di quei giorni di aprile ad ovest di Berlino è ben riassunta nel processo a carico di Karl S. tenuto a Magdeburgo il 20 novembre 1946 </w:t>
      </w:r>
    </w:p>
    <w:p w:rsidR="007C08AB" w:rsidRDefault="007C08AB" w:rsidP="007C08AB">
      <w:pPr>
        <w:ind w:left="1428" w:right="706" w:firstLine="0"/>
      </w:pPr>
    </w:p>
    <w:p w:rsidR="00611878" w:rsidRDefault="00672C55" w:rsidP="007C08AB">
      <w:pPr>
        <w:ind w:left="1428" w:right="706" w:firstLine="0"/>
      </w:pPr>
      <w:r>
        <w:t>Il S. imputato era sottotenente della polizia antincendio durante la guerra. È un vecchio membro del Partito del NSDAP. Titolare dell’insegna d’oro del partito e deve il partito, tutta la sua ascesa. Il 16 aprile 1945 fu ordinato con due treni la sua Compagnia di proteggere dal fuoco la città di Magdeburgo. La città era in questi giorni sotto il fuoco dell'artiglieria degli americani che avanzavano. Il 17 aprile 1945 tra le 17,00 e le 18,00 le truppe americane erano già impegnate in alcune parti di periferia, come S. e le sue squadre sulla stazione principale di incendio Kölnerstraße convocato insieme e ha invitato a formare un gruppo di battaglia.</w:t>
      </w:r>
      <w:r>
        <w:rPr>
          <w:vertAlign w:val="superscript"/>
        </w:rPr>
        <w:footnoteReference w:id="201"/>
      </w:r>
      <w:r>
        <w:t xml:space="preserve">    </w:t>
      </w:r>
    </w:p>
    <w:p w:rsidR="00611878" w:rsidRPr="007C08AB" w:rsidRDefault="00672C55">
      <w:pPr>
        <w:spacing w:after="0" w:line="259" w:lineRule="auto"/>
        <w:ind w:left="1776" w:right="0" w:firstLine="0"/>
        <w:jc w:val="left"/>
        <w:rPr>
          <w:sz w:val="2"/>
          <w:szCs w:val="2"/>
        </w:rPr>
      </w:pPr>
      <w:r w:rsidRPr="007C08AB">
        <w:rPr>
          <w:sz w:val="2"/>
          <w:szCs w:val="2"/>
        </w:rPr>
        <w:lastRenderedPageBreak/>
        <w:t xml:space="preserve"> </w:t>
      </w:r>
    </w:p>
    <w:p w:rsidR="00611878" w:rsidRDefault="00672C55">
      <w:pPr>
        <w:spacing w:line="366" w:lineRule="auto"/>
        <w:ind w:left="551" w:right="707" w:firstLine="358"/>
      </w:pPr>
      <w:r>
        <w:rPr>
          <w:sz w:val="24"/>
        </w:rPr>
        <w:t xml:space="preserve">Cui fa eco un altro processo del 2 luglio 1948 che, nell´esposizione dei fatti si richiama all´uso e all´importanza della propaganda </w:t>
      </w:r>
    </w:p>
    <w:p w:rsidR="007C08AB" w:rsidRDefault="007C08AB" w:rsidP="007C08AB">
      <w:pPr>
        <w:spacing w:line="246" w:lineRule="auto"/>
        <w:ind w:left="1404" w:right="702" w:firstLine="0"/>
        <w:jc w:val="left"/>
      </w:pPr>
    </w:p>
    <w:p w:rsidR="00611878" w:rsidRDefault="00672C55" w:rsidP="007C08AB">
      <w:pPr>
        <w:spacing w:line="246" w:lineRule="auto"/>
        <w:ind w:left="1404" w:right="702" w:firstLine="0"/>
        <w:jc w:val="left"/>
      </w:pPr>
      <w:r>
        <w:t>Da gennaio 1930 il partito nazista, dal 1929-1933, anche gli appartenenti delle SA; egli era portatore del cosiddetto distintivo d’oro del Partito. Con la parte operativa del partito non vuole avere nulla a che fare, tranne chiudersi per dedicarsi al proprio lavoro; aveva, tuttavia, ritenuto la propaganda intelligente del nazismo alla fine della questione.</w:t>
      </w:r>
      <w:r>
        <w:rPr>
          <w:vertAlign w:val="superscript"/>
        </w:rPr>
        <w:footnoteReference w:id="202"/>
      </w:r>
      <w:r>
        <w:t xml:space="preserve"> </w:t>
      </w:r>
    </w:p>
    <w:p w:rsidR="00611878" w:rsidRDefault="00672C55">
      <w:pPr>
        <w:spacing w:after="31" w:line="259" w:lineRule="auto"/>
        <w:ind w:left="924" w:right="0" w:firstLine="0"/>
        <w:jc w:val="left"/>
      </w:pPr>
      <w:r>
        <w:t xml:space="preserve">    </w:t>
      </w:r>
    </w:p>
    <w:p w:rsidR="00611878" w:rsidRDefault="00672C55" w:rsidP="004F667C">
      <w:pPr>
        <w:spacing w:after="32" w:line="366" w:lineRule="auto"/>
        <w:ind w:left="567" w:right="707" w:firstLine="16"/>
      </w:pPr>
      <w:r>
        <w:rPr>
          <w:sz w:val="24"/>
        </w:rPr>
        <w:t xml:space="preserve"> Nella cerchia ristretta di Hitler, però, c’erano persone lucide e capaci di comprendere l’ineluttabilità della situazione. Lo stesso 20 aprile Speer ha convinto Goebbels a non far saltare i ponti sulla Sprea azione che, sebbene avrebbe reso più difficile l’invasione del nemico, avrebbe anche impedito il rifornimento di viveri alla popolazione civile già stremata</w:t>
      </w:r>
      <w:r>
        <w:rPr>
          <w:sz w:val="24"/>
          <w:vertAlign w:val="superscript"/>
        </w:rPr>
        <w:footnoteReference w:id="203"/>
      </w:r>
      <w:r>
        <w:rPr>
          <w:sz w:val="24"/>
        </w:rPr>
        <w:t xml:space="preserve">. Molti componenti del cerchio ristretto di Hitler, da Himmler a Bormann, hanno tentato più volte di convincere il capo a trasferirsi in un luogo più sicuro, lontano dall’offensiva sovietica. Ma il dittatore, ha scelto di rimanere fino alla fine all’interno del bunker, allontanando anche il suo medico personale Morell, per paura di essere narcotizzato e trasportato lontano da Berlino, contro la sua volontà. </w:t>
      </w:r>
    </w:p>
    <w:p w:rsidR="00611878" w:rsidRDefault="00672C55" w:rsidP="004F667C">
      <w:pPr>
        <w:spacing w:after="108" w:line="265" w:lineRule="auto"/>
        <w:ind w:left="567" w:right="708" w:firstLine="16"/>
      </w:pPr>
      <w:r>
        <w:rPr>
          <w:sz w:val="24"/>
        </w:rPr>
        <w:t xml:space="preserve">Berlino era il simbolo della guerra che devastava l’Europa da quasi 6 anni, era il centro del </w:t>
      </w:r>
    </w:p>
    <w:p w:rsidR="00611878" w:rsidRDefault="00672C55" w:rsidP="004F667C">
      <w:pPr>
        <w:spacing w:after="0" w:line="357" w:lineRule="auto"/>
        <w:ind w:left="567" w:right="708" w:firstLine="16"/>
      </w:pPr>
      <w:r>
        <w:rPr>
          <w:sz w:val="24"/>
        </w:rPr>
        <w:t xml:space="preserve">Reich, la capitale e la sua caduta aveva un significato simbolico preciso. Per questo i russi volevano essere i primi a piantare la loro bandiera sulla cupola del Reichstag e, quindi, iniziarono una corsa spasmodica. Anche se la Guerra Fredda doveva ancora cominciare, Stalin voleva dimostrare al mondo occidentale, democratico e borghese, che il Comunismo era in grado di riportare vittorie più grandi e simbolicamente più significative. In realtà, la disposizione delle forze in campo aveva chiarito da tempo che i Russi avrebbero preso Berlino, dopo che gli angloamericani avevano liberato Roma il 4 giugno precedente ed erano impegnati sul fronte sudoccidentale. </w:t>
      </w:r>
    </w:p>
    <w:p w:rsidR="00611878" w:rsidRDefault="00672C55" w:rsidP="004F667C">
      <w:pPr>
        <w:spacing w:line="366" w:lineRule="auto"/>
        <w:ind w:left="567" w:right="707" w:firstLine="16"/>
      </w:pPr>
      <w:r>
        <w:rPr>
          <w:sz w:val="24"/>
        </w:rPr>
        <w:lastRenderedPageBreak/>
        <w:t xml:space="preserve">In questa data simbolo, come tutti gli anni, i bambini di 10 anni compivano il loro giuramento di fedeltà al Führer fino alla morte, pur di entrare nella HJ e per molti quelle parole si trasformarono presto in realtà. I russi erano dentro Berlino, bisognava respingere i loro assalti in ogni modo, con una resistenza a tappeto, casa per casa e, per questo, i ragazzini rappresentavano carne fresca da offrire agli invasori per il loro macello. Ragazzini mandati allo sbando contro i carri armati sovietici, equipaggiati solo di </w:t>
      </w:r>
      <w:r>
        <w:rPr>
          <w:i/>
          <w:sz w:val="24"/>
        </w:rPr>
        <w:t>panzerfaust</w:t>
      </w:r>
      <w:r>
        <w:rPr>
          <w:sz w:val="24"/>
        </w:rPr>
        <w:t xml:space="preserve">, razzi anticarro che non sapevano far funzionare e che spesso si trasformano in armi contro se stessi. Questo piccolo olocausto di bambini vittime di un’ideologia è troppo spesso dimenticato, perché si considerano nemici e perché mancano cifre ufficiali.  </w:t>
      </w:r>
    </w:p>
    <w:p w:rsidR="00611878" w:rsidRDefault="00672C55">
      <w:pPr>
        <w:spacing w:line="366" w:lineRule="auto"/>
        <w:ind w:left="551" w:right="707" w:firstLine="358"/>
      </w:pPr>
      <w:r>
        <w:rPr>
          <w:sz w:val="24"/>
        </w:rPr>
        <w:t xml:space="preserve">Negli ultimi giorni di combattimento l’organizzazione nazista allo sbando ha costituito gli </w:t>
      </w:r>
      <w:r>
        <w:rPr>
          <w:i/>
          <w:sz w:val="24"/>
        </w:rPr>
        <w:t>Wehrmachthelferinnenkorps</w:t>
      </w:r>
      <w:r>
        <w:rPr>
          <w:sz w:val="24"/>
        </w:rPr>
        <w:t>, i corpi di aiutanti (donne) della Wehrmacht, che giuravano fedeltà al Führer e al Comandante dell’esercito. Questo atto può essere interpretato come un rito collettivo di matrimonio tra le donne tedesche e gli uomini che combattevano</w:t>
      </w:r>
      <w:r>
        <w:rPr>
          <w:sz w:val="24"/>
          <w:vertAlign w:val="superscript"/>
        </w:rPr>
        <w:footnoteReference w:id="204"/>
      </w:r>
      <w:r>
        <w:rPr>
          <w:sz w:val="24"/>
        </w:rPr>
        <w:t xml:space="preserve">. </w:t>
      </w:r>
    </w:p>
    <w:p w:rsidR="00611878" w:rsidRDefault="00672C55">
      <w:pPr>
        <w:spacing w:after="35" w:line="366" w:lineRule="auto"/>
        <w:ind w:left="551" w:right="707" w:firstLine="358"/>
      </w:pPr>
      <w:r>
        <w:rPr>
          <w:i/>
          <w:sz w:val="24"/>
        </w:rPr>
        <w:t xml:space="preserve">L’Herrenvolk </w:t>
      </w:r>
      <w:r>
        <w:rPr>
          <w:sz w:val="24"/>
        </w:rPr>
        <w:t xml:space="preserve">viveva in cantina ormai da diversi mesi e in tutti i luoghi che avrebbero garantito loro una sorta di protezione, o almeno un’illusione di essa. Molti, impossibilitati a muoversi perché troppo giovani o troppo vecchi, erano costretti a vivere del cibo e dell’acqua che i più coraggiosi rimediavano, uscendo e rischiando la vita. Gli attacchi aerei erano continui e gli allarmi incapaci di ululare in tempo utile per trovare un riparo.  </w:t>
      </w:r>
    </w:p>
    <w:p w:rsidR="00611878" w:rsidRDefault="00672C55">
      <w:pPr>
        <w:spacing w:after="46" w:line="366" w:lineRule="auto"/>
        <w:ind w:left="551" w:right="707" w:firstLine="358"/>
      </w:pPr>
      <w:r>
        <w:rPr>
          <w:sz w:val="24"/>
        </w:rPr>
        <w:t>Trevor-Roper indica tra le cause della disfatta nazista l’incapacità di Hitler di gestire il suo potere in modo assolutistico, circondandosi di persone dedite solo al raggiungimento del proprio riscatto personale, senza adorare il proprio capo. Questo aspetto si evidenzia maggiormente nelle ultime fasi del conflitto, nelle quali ognuno ha pensato a salvaguardare il proprio avvenire, distruggendo il materiale compromettente prima dell’arrivo dei Russi e a pianificare la fuga all’estero, in paesi amici come l’Argentina. Lo storico sostiene la sua tesi evidenziando come ogni gerarca pensasse principalmente ai suoi affari personali piuttosto che al servizio del Führer, ma questo non è avvenuto in tutti i casi, come dimostra il suicidio di molti alti papaveri del partito.</w:t>
      </w:r>
      <w:r>
        <w:rPr>
          <w:sz w:val="24"/>
          <w:vertAlign w:val="superscript"/>
        </w:rPr>
        <w:footnoteReference w:id="205"/>
      </w:r>
      <w:r>
        <w:rPr>
          <w:sz w:val="24"/>
        </w:rPr>
        <w:t xml:space="preserve">   </w:t>
      </w:r>
    </w:p>
    <w:p w:rsidR="00611878" w:rsidRDefault="00672C55">
      <w:pPr>
        <w:spacing w:line="366" w:lineRule="auto"/>
        <w:ind w:left="551" w:right="707" w:firstLine="358"/>
      </w:pPr>
      <w:r>
        <w:rPr>
          <w:sz w:val="24"/>
        </w:rPr>
        <w:t xml:space="preserve">Il 20 aprile 1945 Berlino aveva superato la fase dei bombardamenti aerei ed era sotto il fuoco dell’artiglieria pesante: i russi avanzavano da est verso ovest ed avevano semi accerchiato la città, occupando i quartieri periferici di Marzhan, ad est e Lichterfeld, a sud. Era solo questione di ore e i soldati dell’Armata Rossa avrebbero ballato la mazurka sotto la Porta di </w:t>
      </w:r>
      <w:r>
        <w:rPr>
          <w:sz w:val="24"/>
        </w:rPr>
        <w:lastRenderedPageBreak/>
        <w:t>Brandeburgo, nel cuore della capitale. Nella loro inarrestabile marcia sarebbero passati lungo Wilhelmstraße, la lunga via che porta al cuore della città e che ospitava gli edifici cardine del regime. I colpi erano chiarissimi, si sentivano ovunque, anche nel bunker della Cancelleria. Le forze in campo erano nettamente in favore dei sovietici che contro un esercito ormai allo sbando potevano contare su 2,5 milioni di soldati, 6.250 carrarmati e 42.000 tra pezzi di artiglieria e mortai.</w:t>
      </w:r>
      <w:r>
        <w:rPr>
          <w:sz w:val="24"/>
          <w:vertAlign w:val="superscript"/>
        </w:rPr>
        <w:footnoteReference w:id="206"/>
      </w:r>
      <w:r>
        <w:rPr>
          <w:sz w:val="24"/>
        </w:rPr>
        <w:t xml:space="preserve"> </w:t>
      </w:r>
    </w:p>
    <w:p w:rsidR="00611878" w:rsidRDefault="00672C55">
      <w:pPr>
        <w:spacing w:line="366" w:lineRule="auto"/>
        <w:ind w:left="551" w:right="707" w:firstLine="358"/>
      </w:pPr>
      <w:r>
        <w:rPr>
          <w:sz w:val="24"/>
        </w:rPr>
        <w:t xml:space="preserve">La Germania, pur avendo voluto la guerra totale non era preparata a difendersi in modo adeguato. Nella Berlino devastata dalla guerra, mentre Eva Braun si preoccupava di diventare la signora Hitler, le altre donne si preparavano all’attesa dell’Armata Rossa e a pagare il prezzo nascosto della resa. </w:t>
      </w:r>
    </w:p>
    <w:p w:rsidR="00611878" w:rsidRDefault="00672C55">
      <w:pPr>
        <w:spacing w:line="366" w:lineRule="auto"/>
        <w:ind w:left="551" w:right="707" w:firstLine="358"/>
      </w:pPr>
      <w:r>
        <w:rPr>
          <w:sz w:val="24"/>
        </w:rPr>
        <w:t xml:space="preserve">La città era allo stremo sia per quanto riguarda gli approvvigionamenti di cibo che dal punto di vista morale, gli edifici erano distrutti. La vita nelle cantine che gli abitanti erano costretti a fare da mesi per cercare di sopravvivere ai bombardamenti aerei, portava le persone a vivere al buio. Una descrizione precisa della situazione che si viveva e si percepiva nella capitale del Reich la abbiamo dal racconto di Helga Schneider, allora bambina, che nel suo libro autobiografico </w:t>
      </w:r>
      <w:r>
        <w:rPr>
          <w:i/>
          <w:sz w:val="24"/>
        </w:rPr>
        <w:t xml:space="preserve">Io piccola ospite del Führer </w:t>
      </w:r>
      <w:r>
        <w:rPr>
          <w:sz w:val="24"/>
        </w:rPr>
        <w:t xml:space="preserve">fa della sua città </w:t>
      </w:r>
    </w:p>
    <w:p w:rsidR="007C08AB" w:rsidRDefault="007C08AB">
      <w:pPr>
        <w:ind w:left="1786" w:right="706"/>
      </w:pPr>
    </w:p>
    <w:p w:rsidR="00611878" w:rsidRDefault="00672C55">
      <w:pPr>
        <w:ind w:left="1786" w:right="706"/>
      </w:pPr>
      <w:r>
        <w:t xml:space="preserve">Passiamo per Launenburger Platz. </w:t>
      </w:r>
    </w:p>
    <w:p w:rsidR="00611878" w:rsidRDefault="00672C55">
      <w:pPr>
        <w:ind w:left="1428" w:right="706" w:firstLine="358"/>
      </w:pPr>
      <w:r>
        <w:t xml:space="preserve">Con lo sguardo sfioro il piccolo giardino pubblico nel quale, prima della guerra, mamme e bambinaie conducevano i bambini a giocare. Ci sono ancora due scivoli colorati che stonano con gli scheletri anneriti degli alberi e con qualcosa che sembrano corpi umani. Mi sporgo un poco in avanti: sono proprio dei cadaveri ammucchiati sotto rami secchi! […]. </w:t>
      </w:r>
    </w:p>
    <w:p w:rsidR="00611878" w:rsidRDefault="00672C55">
      <w:pPr>
        <w:ind w:left="1786" w:right="706"/>
      </w:pPr>
      <w:r>
        <w:t xml:space="preserve">Bismarck-Strasse. </w:t>
      </w:r>
    </w:p>
    <w:p w:rsidR="00611878" w:rsidRDefault="00672C55">
      <w:pPr>
        <w:ind w:left="1428" w:right="706" w:firstLine="358"/>
      </w:pPr>
      <w:r>
        <w:t xml:space="preserve">Il bus scansa una colonia di sfollati che, trascinando carretti, spingendo carrozzine stracariche e portando zaini e valigie, avanzano apatici per andare chissà dove… […]. </w:t>
      </w:r>
    </w:p>
    <w:p w:rsidR="00611878" w:rsidRDefault="00672C55">
      <w:pPr>
        <w:spacing w:after="29"/>
        <w:ind w:left="1428" w:right="706" w:firstLine="358"/>
      </w:pPr>
      <w:r>
        <w:t xml:space="preserve">Un vecchio tram, con quasi tutti i finestrini senza vetri, passa sferragliando dall’altra parte della corsia […]. </w:t>
      </w:r>
    </w:p>
    <w:p w:rsidR="00611878" w:rsidRDefault="00672C55">
      <w:pPr>
        <w:ind w:left="1428" w:right="706" w:firstLine="358"/>
      </w:pPr>
      <w:r>
        <w:t xml:space="preserve">Più avanti imbocchiamo uno stradone dove sembra non sia rimasto in piedi neppure un edificio. Intrichi di fili del tram e della luce penzolano da pali storti. Un veicolo dei pompieri rosso sangue giace rovesciato sul bordo della strada, crivellato di fori come un animale ferito a morte. Dei ragazzi della Hitlerjugend sono intenti a togliere di mezzo dei morti che ingombrano un marciapiede. […]. </w:t>
      </w:r>
    </w:p>
    <w:p w:rsidR="00611878" w:rsidRDefault="00672C55">
      <w:pPr>
        <w:spacing w:after="3" w:line="265" w:lineRule="auto"/>
        <w:ind w:left="10" w:right="704"/>
        <w:jc w:val="right"/>
      </w:pPr>
      <w:r>
        <w:t xml:space="preserve">Sul viottolo di accesso a un portone vedo tre file di cadaveri allineati due dei quali senza </w:t>
      </w:r>
    </w:p>
    <w:p w:rsidR="00611878" w:rsidRDefault="00672C55">
      <w:pPr>
        <w:spacing w:after="48"/>
        <w:ind w:left="1438" w:right="706"/>
      </w:pPr>
      <w:r>
        <w:t xml:space="preserve">testa. </w:t>
      </w:r>
      <w:r>
        <w:rPr>
          <w:vertAlign w:val="superscript"/>
        </w:rPr>
        <w:footnoteReference w:id="207"/>
      </w:r>
      <w:r>
        <w:t xml:space="preserve">   </w:t>
      </w:r>
    </w:p>
    <w:p w:rsidR="00611878" w:rsidRDefault="00672C55">
      <w:pPr>
        <w:spacing w:after="115"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I racconti che provenivano da est parlavano di bestie assetate di sesso, che devastavano tutto e tutti pur di ottenere una preda e ognuna si difendeva come poteva: </w:t>
      </w:r>
    </w:p>
    <w:p w:rsidR="00611878" w:rsidRDefault="00672C55">
      <w:pPr>
        <w:spacing w:after="54"/>
        <w:ind w:left="1438" w:right="706"/>
      </w:pPr>
      <w:r>
        <w:lastRenderedPageBreak/>
        <w:t>Le madri tagliavano i capelli alle figlie adolescenti e le vestivano da ragazzo. Una dottoressa diede asilo a giovani donne affiggendo sulla porta dei cartelli in tedesco e in russo che mettevano in guardia dal tifo e le notizia si diffuse in un baleno tra le donne in strada riunite alla pompa dell’acqua</w:t>
      </w:r>
      <w:r>
        <w:rPr>
          <w:vertAlign w:val="superscript"/>
        </w:rPr>
        <w:footnoteReference w:id="208"/>
      </w:r>
      <w:r>
        <w:t xml:space="preserve"> </w:t>
      </w:r>
    </w:p>
    <w:p w:rsidR="00611878" w:rsidRDefault="00672C55">
      <w:pPr>
        <w:spacing w:after="147" w:line="259" w:lineRule="auto"/>
        <w:ind w:left="924" w:right="0" w:firstLine="0"/>
        <w:jc w:val="left"/>
      </w:pPr>
      <w:r>
        <w:rPr>
          <w:sz w:val="24"/>
        </w:rPr>
        <w:t xml:space="preserve"> </w:t>
      </w:r>
    </w:p>
    <w:p w:rsidR="00611878" w:rsidRDefault="00672C55">
      <w:pPr>
        <w:spacing w:line="366" w:lineRule="auto"/>
        <w:ind w:left="561" w:right="707"/>
      </w:pPr>
      <w:r>
        <w:rPr>
          <w:sz w:val="24"/>
        </w:rPr>
        <w:t xml:space="preserve">Le voci correvano di bocca in bocca, diffondendosi a macchia d’olio, ovunque, anche dentro il Bunker della Cancelleria generando paura e attesa, come dimostrano le due diverse testimonianze di Helga Schneider </w:t>
      </w:r>
    </w:p>
    <w:p w:rsidR="007C08AB" w:rsidRDefault="007C08AB">
      <w:pPr>
        <w:ind w:left="1438" w:right="706"/>
      </w:pPr>
    </w:p>
    <w:p w:rsidR="00611878" w:rsidRDefault="00672C55">
      <w:pPr>
        <w:ind w:left="1438" w:right="706"/>
      </w:pPr>
      <w:r>
        <w:t>-Ci sono delle brutte notizie dalla Prussia Orientale, - bisbiglia lei. – Ho dei parenti di Königsberg. I russi stanno avanzando velocemente. Distruggono tutto e violentano le donne. Non sono altro che orde di barbari, nient’altro. Belve feroci.</w:t>
      </w:r>
      <w:r>
        <w:rPr>
          <w:vertAlign w:val="superscript"/>
        </w:rPr>
        <w:footnoteReference w:id="209"/>
      </w:r>
      <w:r>
        <w:t xml:space="preserve"> </w:t>
      </w:r>
    </w:p>
    <w:p w:rsidR="00611878" w:rsidRDefault="00672C55">
      <w:pPr>
        <w:spacing w:after="0" w:line="259" w:lineRule="auto"/>
        <w:ind w:left="1212" w:right="0" w:firstLine="0"/>
        <w:jc w:val="left"/>
      </w:pPr>
      <w:r>
        <w:t xml:space="preserve"> </w:t>
      </w:r>
    </w:p>
    <w:p w:rsidR="00611878" w:rsidRDefault="00672C55">
      <w:pPr>
        <w:spacing w:after="41"/>
        <w:ind w:left="1438" w:right="706"/>
      </w:pPr>
      <w:r>
        <w:t>Eravamo in attesa dei russi; sapevamo che dovevano arrivare, era un appuntamento inevitabile. Non riuscivamo a pensare ad altro. […]  Qualche giorno dopo Opa apprese dalla radio che i sovietici avevano occupato Tempelhof. […] “I sovietici hanno raggiunto il cuore di Berlino” annunciò Opa. Lo aveva sentito alla BBC. […] Cosa sarebbe successo quando i russi fossero scesi nella nostra cantina? Si parlava molto di stupri, ma in realtà io non sapevo cosa fossero. […] Aspettavamo i russi con una tensione crescente. Man mano che passavano i giorni l’attesa si tramutò in ansia incontenibile e quasi non si pensava ad altro. I grandi cercavano di controllarsi, di mimetizzare il problema davanti ai giovani, ma la paura gravava sulla cantina come una coltre densa e soffocante, togliendoci il sonno.</w:t>
      </w:r>
      <w:r>
        <w:rPr>
          <w:vertAlign w:val="superscript"/>
        </w:rPr>
        <w:footnoteReference w:id="210"/>
      </w:r>
      <w:r>
        <w:t xml:space="preserve"> </w:t>
      </w:r>
    </w:p>
    <w:p w:rsidR="00611878" w:rsidRDefault="00672C55">
      <w:pPr>
        <w:spacing w:after="112" w:line="259" w:lineRule="auto"/>
        <w:ind w:left="924" w:right="0" w:firstLine="0"/>
        <w:jc w:val="left"/>
      </w:pPr>
      <w:r>
        <w:rPr>
          <w:sz w:val="24"/>
        </w:rPr>
        <w:t xml:space="preserve"> </w:t>
      </w:r>
    </w:p>
    <w:p w:rsidR="00611878" w:rsidRDefault="00672C55">
      <w:pPr>
        <w:spacing w:after="115" w:line="259" w:lineRule="auto"/>
        <w:ind w:left="934" w:right="707"/>
      </w:pPr>
      <w:r>
        <w:rPr>
          <w:sz w:val="24"/>
        </w:rPr>
        <w:t xml:space="preserve">In questo modo si è alimentata una psicosi collettiva, che spingeva molti al suicidio.  </w:t>
      </w:r>
    </w:p>
    <w:p w:rsidR="00611878" w:rsidRDefault="00672C55">
      <w:pPr>
        <w:spacing w:line="366" w:lineRule="auto"/>
        <w:ind w:left="551" w:right="707" w:firstLine="358"/>
      </w:pPr>
      <w:r>
        <w:rPr>
          <w:sz w:val="24"/>
        </w:rPr>
        <w:t xml:space="preserve">Come sottolinea Goesch nel suo saggio </w:t>
      </w:r>
      <w:r>
        <w:rPr>
          <w:i/>
          <w:sz w:val="24"/>
        </w:rPr>
        <w:t>Suicide in Nazi Germany</w:t>
      </w:r>
      <w:r>
        <w:rPr>
          <w:sz w:val="24"/>
        </w:rPr>
        <w:t xml:space="preserve"> il tasso di suicidi a partire dal 1939 erano diminuiti poiché lo scoppio della guerra nella posizione di forza che si sentivano di avere i nazisti è stata sicuramente un’iniezione di fiducia nei confronti di uomini che avevano spesso vissuto l’onta della Prima Guerra Mondiale che aveva spinto molti a togliersi la vita. Negli anni 1939-1945, si registrano dei casi di suicidio tra gli oppositori al regime, ai soggetti vittime di indagini o ispezioni da parte della Gestapo, tra gli internati nei campi di concentramento e tra gli uomini accusati di omosessualità. Questi, insieme ai suicidi degli uomini e delle donne nella primavera del 1945 rientrano perfettamente non solo nella concezione hitleriana degli individui più deboli che non sopravvivono alla guerra, ma anche in quella che al di fuori del regime non può esserci vita</w:t>
      </w:r>
      <w:r w:rsidR="00BB3E32">
        <w:rPr>
          <w:rStyle w:val="Rimandonotaapidipagina"/>
          <w:sz w:val="24"/>
        </w:rPr>
        <w:footnoteReference w:id="211"/>
      </w:r>
      <w:r>
        <w:rPr>
          <w:sz w:val="24"/>
        </w:rPr>
        <w:t xml:space="preserve">. Lo scontro con i sovietici, inoltre, aveva acutizzato ed estremizzato la visione razziale </w:t>
      </w:r>
    </w:p>
    <w:p w:rsidR="00611878" w:rsidRDefault="00672C55">
      <w:pPr>
        <w:spacing w:after="35"/>
        <w:ind w:left="1428" w:right="706" w:firstLine="358"/>
      </w:pPr>
      <w:r>
        <w:lastRenderedPageBreak/>
        <w:t>La guerra contro l'Unione Sovietica, progettato fin dall'inizio come una guerra di sterminio da, ha visto anche una nuova dinamica delle politiche naziste radicali contro quelli ritenuti politicamente o razzialmente indesiderabile</w:t>
      </w:r>
      <w:r w:rsidR="00BB3E32">
        <w:rPr>
          <w:rStyle w:val="Rimandonotaapidipagina"/>
        </w:rPr>
        <w:footnoteReference w:id="212"/>
      </w:r>
      <w:r>
        <w:t>.</w:t>
      </w:r>
    </w:p>
    <w:p w:rsidR="00611878" w:rsidRDefault="00672C55">
      <w:pPr>
        <w:spacing w:after="115"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Si conta, infatti, che nella sola capitale tra aprile e maggio si sono tolte la vita circa 5000 persone. Analizzando i documenti conservati negli archivi berlinesi, però, emergono dei dati molti rilevanti, che sembrano poter aumentare la stima. Il picco massimo si raggiunge nei giorni immediatamente successivi il 20 aprile (21-26) e le vittime sono appartenenti a tutte le classi sociali e a tutte le età. È difficile a posteriori e con pochi elementi delineare con esattezza le cause che hanno spinto al suicidio le donne, ma se ai singoli atti si prendono in considerazione anche gli omicidi dei bambini per mano dei genitori si può facilmente ipotizzare che il crollo del sistema fosse percepito come la fine di un mondo, l’unico ed il migliore possibile dove far crescere i propri figli. La psicosi generata dalla paura per le possibili violenze sovietiche (che dovevano ancora iniziare a Berlino), ha fatto il resto.  </w:t>
      </w:r>
    </w:p>
    <w:p w:rsidR="00611878" w:rsidRDefault="00672C55">
      <w:pPr>
        <w:spacing w:line="366" w:lineRule="auto"/>
        <w:ind w:left="551" w:right="707" w:firstLine="358"/>
      </w:pPr>
      <w:r>
        <w:rPr>
          <w:sz w:val="24"/>
        </w:rPr>
        <w:t xml:space="preserve"> Alcuni di questi atti sono registrati dal presidio della polizia di Berlino a partire dalla metà di maggio 1945, molte sono donne come M. G. C. M. di cui nella relazione si legge </w:t>
      </w:r>
    </w:p>
    <w:p w:rsidR="007C08AB" w:rsidRDefault="007C08AB">
      <w:pPr>
        <w:spacing w:after="30"/>
        <w:ind w:left="1786" w:right="706"/>
      </w:pPr>
    </w:p>
    <w:p w:rsidR="00611878" w:rsidRDefault="00672C55">
      <w:pPr>
        <w:spacing w:after="30"/>
        <w:ind w:left="1786" w:right="706"/>
      </w:pPr>
      <w:r>
        <w:t xml:space="preserve">La stenografa M. G. C. M. nata M. […] è morta il 22 aprile 1945 alle ore 16 a Berlino </w:t>
      </w:r>
    </w:p>
    <w:p w:rsidR="00611878" w:rsidRDefault="007C08AB">
      <w:pPr>
        <w:spacing w:after="32"/>
        <w:ind w:left="1438" w:right="706"/>
      </w:pPr>
      <w:r>
        <w:t xml:space="preserve">       </w:t>
      </w:r>
      <w:r w:rsidR="00672C55">
        <w:t xml:space="preserve">Buchholz all’interno di una casa […]. </w:t>
      </w:r>
    </w:p>
    <w:p w:rsidR="00611878" w:rsidRDefault="00672C55">
      <w:pPr>
        <w:ind w:left="1786" w:right="706"/>
      </w:pPr>
      <w:r>
        <w:t xml:space="preserve">La defunta era spostata con il macchinista B. A. L. J. M. […]. </w:t>
      </w:r>
    </w:p>
    <w:p w:rsidR="00611878" w:rsidRDefault="00672C55">
      <w:pPr>
        <w:ind w:left="1786" w:right="706"/>
      </w:pPr>
      <w:r>
        <w:t xml:space="preserve">Il testimone segnala verbalmente di ascoltare E. R. abitante a Berlin Buchholz […]. </w:t>
      </w:r>
    </w:p>
    <w:p w:rsidR="00611878" w:rsidRDefault="00672C55">
      <w:pPr>
        <w:spacing w:line="246" w:lineRule="auto"/>
        <w:ind w:left="1786" w:right="1312"/>
        <w:jc w:val="left"/>
      </w:pPr>
      <w:r>
        <w:t xml:space="preserve">Il testimone è identificato con la carta di identità n. … delle Ferrovie Tedesche […]. Dichiara che del caso di morte di basarsi sulla propria conoscenza. […]. </w:t>
      </w:r>
    </w:p>
    <w:p w:rsidR="00611878" w:rsidRDefault="00672C55">
      <w:pPr>
        <w:spacing w:after="119"/>
        <w:ind w:left="1786" w:right="706"/>
      </w:pPr>
      <w:r>
        <w:t>Motivo della morte: suicidio per avvelenamento</w:t>
      </w:r>
      <w:r w:rsidR="00BB3E32">
        <w:rPr>
          <w:rStyle w:val="Rimandonotaapidipagina"/>
        </w:rPr>
        <w:footnoteReference w:id="213"/>
      </w:r>
      <w:r>
        <w:t xml:space="preserve">.      </w:t>
      </w:r>
    </w:p>
    <w:p w:rsidR="00611878" w:rsidRPr="00BB3E32" w:rsidRDefault="00611878">
      <w:pPr>
        <w:spacing w:after="113" w:line="259" w:lineRule="auto"/>
        <w:ind w:left="924" w:right="0" w:firstLine="0"/>
        <w:jc w:val="left"/>
      </w:pPr>
    </w:p>
    <w:p w:rsidR="00611878" w:rsidRDefault="00672C55">
      <w:pPr>
        <w:spacing w:after="110" w:line="259" w:lineRule="auto"/>
        <w:ind w:left="934" w:right="707"/>
      </w:pPr>
      <w:r>
        <w:rPr>
          <w:sz w:val="24"/>
        </w:rPr>
        <w:t xml:space="preserve">Un altro caso è quello di G. E. B., disoccupata  </w:t>
      </w:r>
    </w:p>
    <w:p w:rsidR="00611878" w:rsidRDefault="00672C55">
      <w:pPr>
        <w:spacing w:after="152"/>
        <w:ind w:left="1786" w:right="706"/>
      </w:pPr>
      <w:r>
        <w:t xml:space="preserve">[…] è morta il 21 aprile 1945 alle ore 22. </w:t>
      </w:r>
    </w:p>
    <w:p w:rsidR="00611878" w:rsidRDefault="00672C55">
      <w:pPr>
        <w:spacing w:after="104"/>
        <w:ind w:left="1786" w:right="706"/>
      </w:pPr>
      <w:r>
        <w:t xml:space="preserve">[…]. </w:t>
      </w:r>
    </w:p>
    <w:p w:rsidR="00611878" w:rsidRDefault="00672C55">
      <w:pPr>
        <w:spacing w:after="153"/>
        <w:ind w:left="1786" w:right="706"/>
      </w:pPr>
      <w:r>
        <w:t>Motivo della morte: suicidio per apertura delle arterie.</w:t>
      </w:r>
      <w:r w:rsidR="00BB3E32">
        <w:rPr>
          <w:rStyle w:val="Rimandonotaapidipagina"/>
        </w:rPr>
        <w:footnoteReference w:id="214"/>
      </w:r>
      <w:r>
        <w:t xml:space="preserve">  </w:t>
      </w:r>
    </w:p>
    <w:p w:rsidR="00611878" w:rsidRPr="005B6AE9" w:rsidRDefault="00672C55">
      <w:pPr>
        <w:spacing w:after="115" w:line="259" w:lineRule="auto"/>
        <w:ind w:left="924" w:right="0" w:firstLine="0"/>
        <w:jc w:val="left"/>
        <w:rPr>
          <w:sz w:val="2"/>
          <w:szCs w:val="2"/>
        </w:rPr>
      </w:pPr>
      <w:r w:rsidRPr="005B6AE9">
        <w:rPr>
          <w:sz w:val="2"/>
          <w:szCs w:val="2"/>
        </w:rPr>
        <w:lastRenderedPageBreak/>
        <w:t xml:space="preserve"> </w:t>
      </w:r>
    </w:p>
    <w:p w:rsidR="00611878" w:rsidRDefault="00672C55">
      <w:pPr>
        <w:spacing w:after="104" w:line="259" w:lineRule="auto"/>
        <w:ind w:left="934" w:right="707"/>
      </w:pPr>
      <w:r>
        <w:rPr>
          <w:sz w:val="24"/>
        </w:rPr>
        <w:t xml:space="preserve">E ancora A. T.  </w:t>
      </w:r>
    </w:p>
    <w:p w:rsidR="00611878" w:rsidRDefault="00672C55">
      <w:pPr>
        <w:spacing w:after="152"/>
        <w:ind w:left="1786" w:right="706"/>
      </w:pPr>
      <w:r>
        <w:t xml:space="preserve">[…] è morta il 22 aprile 1945, ora della morte ignota. </w:t>
      </w:r>
    </w:p>
    <w:p w:rsidR="00611878" w:rsidRDefault="00672C55">
      <w:pPr>
        <w:spacing w:after="142"/>
        <w:ind w:left="1786" w:right="706"/>
      </w:pPr>
      <w:r>
        <w:t xml:space="preserve">[…] </w:t>
      </w:r>
    </w:p>
    <w:p w:rsidR="00611878" w:rsidRDefault="00672C55">
      <w:pPr>
        <w:spacing w:line="246" w:lineRule="auto"/>
        <w:ind w:left="1786" w:right="1313"/>
        <w:jc w:val="left"/>
      </w:pPr>
      <w:r>
        <w:t xml:space="preserve">Il testimone è identificato con la carta di identità n. … delle Ferrovie Tedesche […]. Dichiara che del caso di morte di basarsi sulla propria conoscenza. […]. </w:t>
      </w:r>
    </w:p>
    <w:p w:rsidR="00611878" w:rsidRDefault="00672C55">
      <w:pPr>
        <w:spacing w:after="153"/>
        <w:ind w:left="1786" w:right="706"/>
      </w:pPr>
      <w:r>
        <w:t>Motivo della morte: suicidio con barbiturici</w:t>
      </w:r>
      <w:r w:rsidR="00104438">
        <w:rPr>
          <w:rStyle w:val="Rimandonotaapidipagina"/>
        </w:rPr>
        <w:footnoteReference w:id="215"/>
      </w:r>
      <w:r>
        <w:t xml:space="preserve">.    </w:t>
      </w:r>
    </w:p>
    <w:p w:rsidR="00611878" w:rsidRPr="00A12F02" w:rsidRDefault="00672C55">
      <w:pPr>
        <w:spacing w:after="112" w:line="259" w:lineRule="auto"/>
        <w:ind w:left="924" w:right="0" w:firstLine="0"/>
        <w:jc w:val="left"/>
        <w:rPr>
          <w:sz w:val="2"/>
          <w:szCs w:val="2"/>
        </w:rPr>
      </w:pPr>
      <w:r w:rsidRPr="00A12F02">
        <w:rPr>
          <w:sz w:val="2"/>
          <w:szCs w:val="2"/>
        </w:rPr>
        <w:t xml:space="preserve"> </w:t>
      </w:r>
    </w:p>
    <w:p w:rsidR="00611878" w:rsidRDefault="00672C55">
      <w:pPr>
        <w:spacing w:line="366" w:lineRule="auto"/>
        <w:ind w:left="551" w:right="707" w:firstLine="358"/>
      </w:pPr>
      <w:r>
        <w:rPr>
          <w:sz w:val="24"/>
        </w:rPr>
        <w:t xml:space="preserve">È interessante notare come le date dei suicidi riportati nel registro della polizia siano tutti successivi al 20 aprile 1945, senza riportarne neanche uno con una data antecedente. Occorre, inoltre, evidenziare come a differenza dei gerarchi chiusi nel Bunker della Cancelleria, le donne berlinesi abbiano dovuto trovare soluzioni diverse alla rapidità del cianuro e spesso ricorrano a suicidi lenti, come A. M. M. W., nella cui scheda si legge </w:t>
      </w:r>
    </w:p>
    <w:p w:rsidR="00611878" w:rsidRDefault="00672C55">
      <w:pPr>
        <w:spacing w:after="281"/>
        <w:ind w:left="1786" w:right="706"/>
      </w:pPr>
      <w:r>
        <w:t>Motivo della morte: suicidio per aver bevuto una pozione</w:t>
      </w:r>
    </w:p>
    <w:p w:rsidR="00611878" w:rsidRDefault="00672C55">
      <w:pPr>
        <w:spacing w:after="113" w:line="259" w:lineRule="auto"/>
        <w:ind w:left="1776" w:right="0" w:firstLine="0"/>
        <w:jc w:val="left"/>
      </w:pPr>
      <w:r>
        <w:t xml:space="preserve"> </w:t>
      </w:r>
      <w:r>
        <w:rPr>
          <w:sz w:val="24"/>
        </w:rPr>
        <w:t xml:space="preserve">      </w:t>
      </w:r>
    </w:p>
    <w:p w:rsidR="00611878" w:rsidRDefault="00672C55">
      <w:pPr>
        <w:spacing w:line="366" w:lineRule="auto"/>
        <w:ind w:left="551" w:right="707" w:firstLine="358"/>
      </w:pPr>
      <w:r>
        <w:rPr>
          <w:sz w:val="24"/>
        </w:rPr>
        <w:t>Non esistono dati statistici esatti sul numero delle donne che si sono suicidato in quei giorni, ma l’importanza del fenomeno è proprio nei registri delle morti</w:t>
      </w:r>
      <w:r>
        <w:rPr>
          <w:sz w:val="24"/>
          <w:vertAlign w:val="superscript"/>
        </w:rPr>
        <w:footnoteReference w:id="216"/>
      </w:r>
      <w:r>
        <w:rPr>
          <w:sz w:val="24"/>
        </w:rPr>
        <w:t xml:space="preserve">. Un dato significativo si registra anche per quanto riguarda gli infanticidi, poiché la documentazione disponibile dimostra che il gesto di Goebbels e della moglie non sono casi isolati </w:t>
      </w:r>
    </w:p>
    <w:p w:rsidR="005B6AE9" w:rsidRDefault="005B6AE9" w:rsidP="00D249D7">
      <w:pPr>
        <w:spacing w:after="50"/>
        <w:ind w:left="1428" w:right="706" w:firstLine="0"/>
      </w:pPr>
    </w:p>
    <w:p w:rsidR="00611878" w:rsidRDefault="00672C55" w:rsidP="00D249D7">
      <w:pPr>
        <w:spacing w:after="50"/>
        <w:ind w:left="1428" w:right="706" w:firstLine="0"/>
      </w:pPr>
      <w:r>
        <w:t>Il bambino H. H. K. P. […] è morto il 22 aprile 1945, ora della morte sconosciuta, nel quartiere di Berlino-Buchholz in un appartamento. Il defunto era nato il 23 aprile 1943 […]. Motivo della morte: Morte per apertura delle arterie.</w:t>
      </w:r>
      <w:r>
        <w:rPr>
          <w:vertAlign w:val="superscript"/>
        </w:rPr>
        <w:footnoteReference w:id="217"/>
      </w:r>
      <w:r>
        <w:rPr>
          <w:vertAlign w:val="superscript"/>
        </w:rPr>
        <w:footnoteReference w:id="218"/>
      </w:r>
      <w:r>
        <w:t xml:space="preserve"> </w:t>
      </w:r>
    </w:p>
    <w:p w:rsidR="00611878" w:rsidRPr="005B6AE9" w:rsidRDefault="00672C55">
      <w:pPr>
        <w:spacing w:after="7" w:line="259" w:lineRule="auto"/>
        <w:ind w:left="924" w:right="0" w:firstLine="0"/>
        <w:jc w:val="left"/>
        <w:rPr>
          <w:sz w:val="2"/>
          <w:szCs w:val="2"/>
        </w:rPr>
      </w:pPr>
      <w:r w:rsidRPr="005B6AE9">
        <w:rPr>
          <w:sz w:val="2"/>
          <w:szCs w:val="2"/>
        </w:rPr>
        <w:t xml:space="preserve">   </w:t>
      </w:r>
    </w:p>
    <w:p w:rsidR="00611878" w:rsidRDefault="00672C55">
      <w:pPr>
        <w:spacing w:after="39" w:line="366" w:lineRule="auto"/>
        <w:ind w:left="551" w:right="707" w:firstLine="358"/>
      </w:pPr>
      <w:r>
        <w:rPr>
          <w:sz w:val="24"/>
        </w:rPr>
        <w:lastRenderedPageBreak/>
        <w:t xml:space="preserve">Alcune volte, il registro riporta anche “Ucciso dal padre”, come negli atti n. 127 e 128, in altri come quelli sopra riportati non è necessario perché è evidente che nessun bambino di pochi anni sarebbe capace di infliggersi ferite mortali di questo tipo.  </w:t>
      </w:r>
    </w:p>
    <w:p w:rsidR="00611878" w:rsidRDefault="00672C55">
      <w:pPr>
        <w:spacing w:line="366" w:lineRule="auto"/>
        <w:ind w:left="551" w:right="707" w:firstLine="358"/>
      </w:pPr>
      <w:r>
        <w:rPr>
          <w:sz w:val="24"/>
        </w:rPr>
        <w:t xml:space="preserve">Chi erano questi russi che venivano da est? Con il termine “russi” o “soldati dell’Armata Rossa” si intendevano, oltre ai figli della Grande Madre Russia, anche ucraini, estoni, lettoni, lituani e membri della resistenza polacca, che erano uniti alle truppe in avanzata, figli di terre che erano ancora ben lontane dal far parte di quello che sarà l’URSS o a gravitare nella sua orbita, ma che già parlavano la stessa lingua.   </w:t>
      </w:r>
    </w:p>
    <w:p w:rsidR="00611878" w:rsidRDefault="00672C55">
      <w:pPr>
        <w:spacing w:line="366" w:lineRule="auto"/>
        <w:ind w:left="551" w:right="707" w:firstLine="358"/>
      </w:pPr>
      <w:r>
        <w:rPr>
          <w:sz w:val="24"/>
        </w:rPr>
        <w:t xml:space="preserve">A Berlino non si assiste a stupri di massa come quelli raccontati in modo eccessivo da alcune testimonianze dell’archivio di Bayreuth, ma ad episodi singoli, apparentemente isolati l’uno dall’altro. Durante la battaglia per difendere la città casa per casa, i soldati dell’Armata Rossa seguivano un copione ben preciso quasi fosse una tecnica militare imparata all’accademia e provata più volte. Entravano a coppie in una cantina e, con le pistole puntate ad altezza d’uomo, requisivano gli amatissimi </w:t>
      </w:r>
      <w:r>
        <w:rPr>
          <w:i/>
          <w:sz w:val="24"/>
        </w:rPr>
        <w:t>Urri</w:t>
      </w:r>
      <w:r>
        <w:rPr>
          <w:sz w:val="24"/>
        </w:rPr>
        <w:t xml:space="preserve"> (storpiatura del termine tedesco </w:t>
      </w:r>
      <w:r>
        <w:rPr>
          <w:i/>
          <w:sz w:val="24"/>
        </w:rPr>
        <w:t>Uhr</w:t>
      </w:r>
      <w:r>
        <w:rPr>
          <w:sz w:val="24"/>
        </w:rPr>
        <w:t>, orologio) facevano mettere in riga le donne e sceglievano le più avvenenti, o quelle che ritenevano più adatte a soddisfare le loro voglie, poi, mentre uno teneva sotto la minaccia delle armi gli scartati, l’altro procedeva alla penetrazione della donna scelta fino al raggiungimento della piena soddisfazione personale, come testimonia M. D. in una dichiarazione giurata del 13 settembre 1945, che ripercorre quei giorni frenetici: “Il 3 maggio 1945 mi trovavo nel mio appartamento di Berlino. Lo stesso giorno verso le 10 […] piombarono nella cantina tre soldati russi. Sono stata presa da due soldati e portata in un luogo buio e qui sono stata stuprata da ogni soldato per una volta”.</w:t>
      </w:r>
      <w:r>
        <w:rPr>
          <w:sz w:val="24"/>
          <w:vertAlign w:val="superscript"/>
        </w:rPr>
        <w:footnoteReference w:id="219"/>
      </w:r>
      <w:r>
        <w:rPr>
          <w:sz w:val="24"/>
        </w:rPr>
        <w:t xml:space="preserve">  </w:t>
      </w:r>
    </w:p>
    <w:p w:rsidR="00611878" w:rsidRDefault="00672C55">
      <w:pPr>
        <w:spacing w:after="96" w:line="259" w:lineRule="auto"/>
        <w:ind w:left="934" w:right="707"/>
      </w:pPr>
      <w:r>
        <w:rPr>
          <w:sz w:val="24"/>
        </w:rPr>
        <w:t xml:space="preserve">A M. D. fa eco una denuncia anonima raccolta il 6 maggio 1945, poche ore dopo il fatto:   </w:t>
      </w:r>
    </w:p>
    <w:p w:rsidR="005B6AE9" w:rsidRDefault="005B6AE9">
      <w:pPr>
        <w:spacing w:after="40"/>
        <w:ind w:left="1438" w:right="706"/>
      </w:pPr>
    </w:p>
    <w:p w:rsidR="00611878" w:rsidRDefault="00672C55">
      <w:pPr>
        <w:spacing w:after="40"/>
        <w:ind w:left="1438" w:right="706"/>
      </w:pPr>
      <w:r>
        <w:t>Durante la notte del 6 maggio 1945 alle 2,30 del mattino sono entrati tre russi rompendo la finestra del pianterreno dell’appartamento di [nome cancellato]. […] arrivarono fino al secondo piano dove dormivano due donne con un neonato. Un soldato si è seduto tra le signore [nome cancellato] e la signora [nome cancellato] […] quando la signora [nome cancellato] chiamò sua madre fu costretta ad andare in un’altra stanza con un terzo soldato […] dove la trattenne con una mitragliatrice. […] gli altri due soldati stuprarono le altre due donne. Appena dopo le quattro e un quarto di mattina hanno abbandonato l’appartamento.</w:t>
      </w:r>
      <w:r>
        <w:rPr>
          <w:vertAlign w:val="superscript"/>
        </w:rPr>
        <w:footnoteReference w:id="220"/>
      </w:r>
      <w:r>
        <w:t xml:space="preserve"> </w:t>
      </w:r>
    </w:p>
    <w:p w:rsidR="00611878" w:rsidRPr="005B6AE9" w:rsidRDefault="00672C55">
      <w:pPr>
        <w:spacing w:after="112" w:line="259" w:lineRule="auto"/>
        <w:ind w:left="924" w:right="0" w:firstLine="0"/>
        <w:jc w:val="left"/>
        <w:rPr>
          <w:sz w:val="2"/>
          <w:szCs w:val="2"/>
        </w:rPr>
      </w:pPr>
      <w:r w:rsidRPr="005B6AE9">
        <w:rPr>
          <w:sz w:val="2"/>
          <w:szCs w:val="2"/>
        </w:rPr>
        <w:lastRenderedPageBreak/>
        <w:t xml:space="preserve">   </w:t>
      </w:r>
    </w:p>
    <w:p w:rsidR="00611878" w:rsidRDefault="00672C55">
      <w:pPr>
        <w:spacing w:after="37" w:line="366" w:lineRule="auto"/>
        <w:ind w:left="561" w:right="707"/>
      </w:pPr>
      <w:r>
        <w:rPr>
          <w:sz w:val="24"/>
        </w:rPr>
        <w:t xml:space="preserve">A questo punto dava il cambio al compagno rimasto di guardia che cominciava il suo turno sulla giostra del divertimento. Finita la “festa” se ne andavano, lasciando alle loro spalle una traccia indelebile del loro passaggio: “sul materasso dove si era consumato il sacrificio di Erika era </w:t>
      </w:r>
    </w:p>
    <w:p w:rsidR="00611878" w:rsidRDefault="00672C55">
      <w:pPr>
        <w:spacing w:after="134" w:line="259" w:lineRule="auto"/>
        <w:ind w:left="561" w:right="707"/>
      </w:pPr>
      <w:r>
        <w:rPr>
          <w:sz w:val="24"/>
        </w:rPr>
        <w:t>rimasta una macchia di sangue grande come una mela”.</w:t>
      </w:r>
      <w:r>
        <w:rPr>
          <w:sz w:val="24"/>
          <w:vertAlign w:val="superscript"/>
        </w:rPr>
        <w:footnoteReference w:id="221"/>
      </w:r>
      <w:r>
        <w:rPr>
          <w:sz w:val="24"/>
        </w:rPr>
        <w:t xml:space="preserve"> L’onore era compromesso per sempre.  </w:t>
      </w:r>
    </w:p>
    <w:p w:rsidR="00611878" w:rsidRDefault="00672C55">
      <w:pPr>
        <w:spacing w:line="366" w:lineRule="auto"/>
        <w:ind w:left="551" w:right="707" w:firstLine="358"/>
      </w:pPr>
      <w:r>
        <w:rPr>
          <w:sz w:val="24"/>
        </w:rPr>
        <w:t xml:space="preserve">Al contrario di quanto succede nei conflitti attuali, ai soldati non venivano somministrati farmaci sessualmente stimolanti, ma assumevano un quantitativo di superalcolici, tra i quali la Vodka,  sufficienti ad annullare i freni inibitori, ma che non aumentava le prestazioni. </w:t>
      </w:r>
    </w:p>
    <w:p w:rsidR="00611878" w:rsidRDefault="00672C55">
      <w:pPr>
        <w:spacing w:line="366" w:lineRule="auto"/>
        <w:ind w:left="551" w:right="707" w:firstLine="358"/>
        <w:rPr>
          <w:sz w:val="24"/>
        </w:rPr>
      </w:pPr>
      <w:r>
        <w:rPr>
          <w:sz w:val="24"/>
        </w:rPr>
        <w:t xml:space="preserve">Oltre la violenza nei confronti delle donne c’è la passione per gli orologi. Pur potendo trovare molti beni all’interno delle abitazioni dei tedeschi e dei berlinesi in particolare, dalle collezioni delle biblioteche, ai gioielli, agli oggetti di antiquariato, eppura, come spiega Beevor, il possesso degli orologi da polso ed il numero di questi segnava uno status symbol </w:t>
      </w:r>
    </w:p>
    <w:p w:rsidR="00264D17" w:rsidRDefault="00264D17">
      <w:pPr>
        <w:spacing w:line="366" w:lineRule="auto"/>
        <w:ind w:left="551" w:right="707" w:firstLine="358"/>
      </w:pPr>
    </w:p>
    <w:p w:rsidR="00611878" w:rsidRDefault="00672C55">
      <w:pPr>
        <w:spacing w:after="38"/>
        <w:ind w:left="1428" w:right="706" w:firstLine="358"/>
      </w:pPr>
      <w:r>
        <w:t>Altri soldati regalavano pane alle donne tedesche perché cucissero il loro bottino in un lenzuolo per farne un pacco. Era diventato motivo d’orgoglio distribuire doni di pregio ai familiari e agli amici in patria, per esempio cappelli o orologi. L’ossessione di possedere un orologio li rendeva più importanti di altri articoli molto più pregiati. I soldati ne avevano spesso al polso parecchi dei quali almeno uno segnava l’ora di Mosca e un altro quella di Berlino. per questo motivo continuavano a piantare il mitra nello stomaco ai civili, gridando “Uhri, uhri!”anche molto dopo la resa. E i tedeschi cercavano di spiegare nella rozza versione sovietica del tedesco che gli orologi erano già stati requisiti: “Uhr schon Kamerad” – orologio già arreso.</w:t>
      </w:r>
      <w:r>
        <w:rPr>
          <w:vertAlign w:val="superscript"/>
        </w:rPr>
        <w:footnoteReference w:id="222"/>
      </w:r>
      <w:r>
        <w:rPr>
          <w:sz w:val="24"/>
        </w:rPr>
        <w:t xml:space="preserve"> </w:t>
      </w:r>
    </w:p>
    <w:p w:rsidR="00611878" w:rsidRDefault="00672C55">
      <w:pPr>
        <w:spacing w:after="115"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È interessante notare come le violenze dei soldati sovietici contro le donne e le berlinesi in particolare, non avevano un carattere discriminatorio, non vedevano le donne come esseri inferiori da sottomettere. Le donne erano trattate alla stessa stregua degli uomini, anche se con risultati differenti. A dimostrazione di questo ci sono i non rari casi di sodomia nei confronti dei tedeschi di sesso maschile, ma soprattutto la presenza di donne all’interno dell’Armata Rossa che svolgevano anche ruoli di primo piano. Se da un lato si occupavano dell’assistenza e della cura dei feriti, infatti, dall’altro erano membri effettivi dell’esercito, anche con compiti di comando. Questa parità di genere e di trattamento, ovviamente, destabilizzava gli uomini al fronte perché poneva i due sessi sullo stesso piano </w:t>
      </w:r>
    </w:p>
    <w:p w:rsidR="00611878" w:rsidRDefault="00672C55">
      <w:pPr>
        <w:spacing w:after="35"/>
        <w:ind w:left="1428" w:right="706" w:firstLine="358"/>
      </w:pPr>
      <w:r>
        <w:lastRenderedPageBreak/>
        <w:t>Per avere un’idea dell’immagine tradizionale dei ruoli che i generi svolgevano in situazione di combattimento era tipico di una destabilizzazione emotiva e destabilizzando le esperienze degli uomini dei reparti sovietici dove gli uomini hanno incontrato una giovane donna. Non il prodotto di una riflessione profonda, la protezione compulsiva nel bel mezzo del combattimento era la dimostrazione di una struttura profondamente interiorizzata di una radicata segregazione di genere che esclude le donne dai combattimenti. Le difficoltà a scardinare e a chiarire questo meccanismo, le aspettative delle identità dei soldati ad essere maschi, non solo a protezione delle proprie idee, ma evidenzia anche la sofferenza psicologica nel vedere giovani donne intente nei combattimenti, chiedere e pregarle: “per favore, tornate indietro!” al corpo medico o alla retroguardia.</w:t>
      </w:r>
      <w:r>
        <w:rPr>
          <w:vertAlign w:val="superscript"/>
        </w:rPr>
        <w:footnoteReference w:id="223"/>
      </w:r>
      <w:r>
        <w:t xml:space="preserve">     </w:t>
      </w:r>
    </w:p>
    <w:p w:rsidR="00611878" w:rsidRPr="00A12F02" w:rsidRDefault="00672C55">
      <w:pPr>
        <w:spacing w:after="115" w:line="259" w:lineRule="auto"/>
        <w:ind w:left="924" w:right="0" w:firstLine="0"/>
        <w:jc w:val="left"/>
        <w:rPr>
          <w:sz w:val="2"/>
          <w:szCs w:val="2"/>
        </w:rPr>
      </w:pPr>
      <w:r w:rsidRPr="00A12F02">
        <w:rPr>
          <w:sz w:val="2"/>
          <w:szCs w:val="2"/>
        </w:rPr>
        <w:t xml:space="preserve"> </w:t>
      </w:r>
    </w:p>
    <w:p w:rsidR="005B6AE9" w:rsidRDefault="005B6AE9">
      <w:pPr>
        <w:spacing w:line="366" w:lineRule="auto"/>
        <w:ind w:left="561" w:right="707"/>
        <w:rPr>
          <w:sz w:val="24"/>
        </w:rPr>
      </w:pPr>
    </w:p>
    <w:p w:rsidR="00611878" w:rsidRDefault="00672C55">
      <w:pPr>
        <w:spacing w:line="366" w:lineRule="auto"/>
        <w:ind w:left="561" w:right="707"/>
      </w:pPr>
      <w:r>
        <w:rPr>
          <w:sz w:val="24"/>
        </w:rPr>
        <w:t xml:space="preserve">Ciò imponeva ai soldati Russi di dimostrare a sé e agli altri di essere uomini e di avere qualcosa in più delle donne, di essere ancora maschi in grado di imporsi e contemporaneamente, genera un desiderio di protezione nei confronti delle commilitone da un lato e la sicurezza di essere protetti da figure materne dall’altro.  </w:t>
      </w:r>
    </w:p>
    <w:p w:rsidR="00611878" w:rsidRDefault="00672C55">
      <w:pPr>
        <w:spacing w:after="26" w:line="366" w:lineRule="auto"/>
        <w:ind w:left="561" w:right="707"/>
      </w:pPr>
      <w:r>
        <w:rPr>
          <w:sz w:val="24"/>
        </w:rPr>
        <w:t xml:space="preserve"> Allo stesso tempo, le donne devono dimostrarsi capaci di fare le stesse cose degli uomini, sia sul piano militare, guidando i carrarmati, che su quello dell’attitudine fisica e mentale. Da questo punto di vista non sono poche le donne che rifiutano di essere trasportate negli ospedali da campo e non si abbandonano al dolore fisico o psicologico. Da questo punto di vista anche le testimonianze delle donne veterane sono calibrate per spezzare gli stereotipi di genere e non far trasparire differenze, paure, sofferenze, anche se intorno a loro gli uomini, soprattutto se giovani erano terrorizzati. Questa politica inquadrava perfettamente la nuova politica di genere in cui le donne erano equiparate agli uomini, al punto tale da avere lo stesso contatto con la violenza e con la morte. </w:t>
      </w:r>
    </w:p>
    <w:p w:rsidR="00611878" w:rsidRDefault="00672C55">
      <w:pPr>
        <w:spacing w:line="366" w:lineRule="auto"/>
        <w:ind w:left="561" w:right="707"/>
      </w:pPr>
      <w:r>
        <w:rPr>
          <w:sz w:val="24"/>
        </w:rPr>
        <w:t xml:space="preserve">Per evitare a sé e ai propri figli l’incontro e il dominio dei Russi, i coniugi Goebbels hanno risolto il problema alla radice e nel peggiore dei modi. I loro 7 figli biondi e ariani, i cui nomi da Helga a Helmut iniziavano con la lettera “H” in onore di Hitler, sono stati uccisi dalla madre che ha rotto una fiala di cianuro in ciascuna delle loro bocche, affinché non vedessero il declino della Germania alla fine della guerra. Gli altri figli dei gerarchi sopravvissuti alla guerra hanno avuto tutti una vita rocambolesca, segnata dai pregiudizi e dall’orrore che quei cognomi provocavano nell’interlocutore. Molte donne hanno risolto il problema sposandosi e assumendo </w:t>
      </w:r>
      <w:r>
        <w:rPr>
          <w:sz w:val="24"/>
        </w:rPr>
        <w:lastRenderedPageBreak/>
        <w:t xml:space="preserve">il nome del marito. Niklas Frank, figlio del Gaulaiter di Polonia, ha rinnegato il padre, godendo al pensiero di come fosse morto il padre e scrivendo articoli di fuoco contro di lui.  </w:t>
      </w:r>
    </w:p>
    <w:p w:rsidR="005B6AE9" w:rsidRDefault="005B6AE9">
      <w:pPr>
        <w:spacing w:after="42"/>
        <w:ind w:left="566" w:right="706" w:firstLine="358"/>
        <w:rPr>
          <w:sz w:val="24"/>
        </w:rPr>
      </w:pPr>
    </w:p>
    <w:p w:rsidR="00611878" w:rsidRDefault="00672C55">
      <w:pPr>
        <w:spacing w:after="42"/>
        <w:ind w:left="566" w:right="706" w:firstLine="358"/>
      </w:pPr>
      <w:r>
        <w:rPr>
          <w:sz w:val="24"/>
        </w:rPr>
        <w:t xml:space="preserve">A scanso di facili generalizzazioni che porterebbero ad affermare che “tutti i russi erano stupratori” occorre sottolineare che anche le truppe alleate si sono macchiate di stupri nei confronti della popolazione berlinese anche se sono meno registrati, come dimostra la denuncia del 14 ottobre 1945: </w:t>
      </w:r>
      <w:r>
        <w:t>Nella notte tra il 13 ed il 14 ottobre 1945 verso l’una e mezza di notte irruppe un soldato sconosciuto nel pianoterra di Sandhauserstr. e bussò alla porta della settantenne Signora [cancellato]. Appena questa aprì la porta il soldato irruppe immediatamente, minacciando la signora con un bastone. […] Il soldato rimase di sotto la signora si rifugiò al piano superiore. [Raggiuntala,] tentò di violentarla con la forza. Un basco inglese è ritrovato nell’appartamento, sembra strano che un inglese abbia lasciato il suo berretto.</w:t>
      </w:r>
      <w:r>
        <w:rPr>
          <w:vertAlign w:val="superscript"/>
        </w:rPr>
        <w:footnoteReference w:id="224"/>
      </w:r>
      <w:r>
        <w:t xml:space="preserve"> </w:t>
      </w:r>
    </w:p>
    <w:p w:rsidR="00611878" w:rsidRDefault="00672C55">
      <w:pPr>
        <w:spacing w:after="112" w:line="259" w:lineRule="auto"/>
        <w:ind w:left="924" w:right="0" w:firstLine="0"/>
        <w:jc w:val="left"/>
      </w:pPr>
      <w:r>
        <w:rPr>
          <w:sz w:val="24"/>
        </w:rPr>
        <w:t xml:space="preserve"> </w:t>
      </w:r>
    </w:p>
    <w:p w:rsidR="00611878" w:rsidRDefault="00672C55">
      <w:pPr>
        <w:spacing w:after="50" w:line="366" w:lineRule="auto"/>
        <w:ind w:left="551" w:right="707" w:firstLine="358"/>
      </w:pPr>
      <w:r>
        <w:rPr>
          <w:sz w:val="24"/>
        </w:rPr>
        <w:t xml:space="preserve">D’altra parte, ci sono anche frequenti testimonianze su soldati sovietici gentili ed affabili, disponibili a soddisfare le esigenze degli abitanti delle cantine: “’Tu </w:t>
      </w:r>
      <w:r>
        <w:rPr>
          <w:i/>
          <w:sz w:val="24"/>
        </w:rPr>
        <w:t>golod</w:t>
      </w:r>
      <w:r>
        <w:rPr>
          <w:sz w:val="24"/>
        </w:rPr>
        <w:t>?’ ripeté alzando la voce. ‘Digli se hai fame’ suggerì Opa. ‘Si’ […] Il russo disse qualcosa a uno del suo gruppo che sfilò da una sorta di tascapane una pagnotta di pane nero e me la porse. Quando vide il mio stupore rise”.</w:t>
      </w:r>
      <w:r>
        <w:rPr>
          <w:sz w:val="24"/>
          <w:vertAlign w:val="superscript"/>
        </w:rPr>
        <w:footnoteReference w:id="225"/>
      </w:r>
      <w:r>
        <w:rPr>
          <w:sz w:val="24"/>
        </w:rPr>
        <w:t xml:space="preserve"> </w:t>
      </w:r>
    </w:p>
    <w:p w:rsidR="00611878" w:rsidRDefault="00672C55">
      <w:pPr>
        <w:spacing w:line="366" w:lineRule="auto"/>
        <w:ind w:left="551" w:right="707" w:firstLine="358"/>
      </w:pPr>
      <w:r>
        <w:rPr>
          <w:sz w:val="24"/>
        </w:rPr>
        <w:t xml:space="preserve">Oltre a prendersi cura dei cittadini che incontravano, alcuni soldati russi impegnati nella battaglia di Berlino si sono distinti per atti di eroismo, come quello di Nikolaj I. Massalow, un militare che si è gettato nelle acque della Sprea per salvare una madre e suo figlio, ricordato da una targa posta sul Potsdamerbrücke.  </w:t>
      </w:r>
    </w:p>
    <w:p w:rsidR="00611878" w:rsidRDefault="00672C55">
      <w:pPr>
        <w:spacing w:after="36" w:line="366" w:lineRule="auto"/>
        <w:ind w:left="551" w:right="707" w:firstLine="358"/>
      </w:pPr>
      <w:r>
        <w:rPr>
          <w:sz w:val="24"/>
        </w:rPr>
        <w:t xml:space="preserve">Una differenza fondamentale tra gli stupri commessi dalle truppe sovietiche in avanzata in regioni come la Pomerania e la Prussia orientale e quelli compiuti a Berlino è quella che possiamo definire la “possibilità di scelta”. Nei paesi, infatti, le truppe occupavano abitazioni singole dei contadini, case o casali, all’interno delle quali potevano trovarsi un numero  limitato di donne, quelle componenti il nucleo familiare. Nelle cantine di Berlino, invece, la disponibilità di donne è maggiore: quei piccoli rifugi umidi erano il riparo di un intero palazzo, abitato da più famiglie. È questa la ragione per la quale i russi possono operare una vera e propria selezione delle vittime, scegliendo quelle che rispondevano meglio ai loro gusti. Questo aumenta la pressione psicologica sulle donne che attendono, guardano o subiscono, consolano. </w:t>
      </w:r>
    </w:p>
    <w:p w:rsidR="00611878" w:rsidRDefault="00672C55">
      <w:pPr>
        <w:spacing w:line="366" w:lineRule="auto"/>
        <w:ind w:left="551" w:right="707" w:firstLine="358"/>
      </w:pPr>
      <w:r>
        <w:rPr>
          <w:sz w:val="24"/>
        </w:rPr>
        <w:lastRenderedPageBreak/>
        <w:t xml:space="preserve">Lo stesso Stalin si era preoccupato dell’onorabilità delle sue truppe, alle quali era stata lasciata troppa mano libera durante l’avanzata verso Berlino, decidendo di vietare ogni tipo di violenza, soprattutto se di stampo sessuale e i trasgressori erano puniti con la morte. Quest’ordine porta ad un’applicazione elastica della disposizione, con esecuzioni sommarie. Una legge che aveva l’intento di avvicinare l’occupante all’occupato si trasforma, quindi, in un ulteriore inutile spargimento di sangue. </w:t>
      </w:r>
    </w:p>
    <w:p w:rsidR="00611878" w:rsidRDefault="00672C55">
      <w:pPr>
        <w:spacing w:line="366" w:lineRule="auto"/>
        <w:ind w:left="551" w:right="707" w:firstLine="358"/>
      </w:pPr>
      <w:r>
        <w:rPr>
          <w:sz w:val="24"/>
        </w:rPr>
        <w:t xml:space="preserve">Anonyma è una donna forte che pubblica in forma di diario i suoi appunti personali che raccontano la fine di un sogno, la distruzione di un ideale, attraverso l’annientamento di una città allo stremo. Il suo racconto inizia proprio il 20 aprile con una descrizione della situazione generale di Berlino, nella quale non arrivava neanche il latte per i bambini, condannandoli a morte certa. Si sofferma a lungo nella descrizione dei berlinesi, definiti un popolo di muti, capaci di esprimere le opinioni solamente al sicuro delle loro cantine e in preda al panico suscitato dalla </w:t>
      </w:r>
      <w:r>
        <w:rPr>
          <w:i/>
          <w:sz w:val="24"/>
        </w:rPr>
        <w:t>vox populi</w:t>
      </w:r>
      <w:r>
        <w:rPr>
          <w:sz w:val="24"/>
        </w:rPr>
        <w:t xml:space="preserve"> proveniente da est che racconta di donne violentate 24 volte e che non può essere contrastata da notizie ufficiali poiché non arrivavano più e non si trovano neanche più giornali sulle scale della metropolitana</w:t>
      </w:r>
      <w:r>
        <w:rPr>
          <w:sz w:val="24"/>
          <w:vertAlign w:val="superscript"/>
        </w:rPr>
        <w:footnoteReference w:id="226"/>
      </w:r>
      <w:r>
        <w:rPr>
          <w:sz w:val="24"/>
        </w:rPr>
        <w:t xml:space="preserve">. </w:t>
      </w:r>
    </w:p>
    <w:p w:rsidR="00611878" w:rsidRDefault="00672C55">
      <w:pPr>
        <w:spacing w:line="366" w:lineRule="auto"/>
        <w:ind w:left="551" w:right="707" w:firstLine="358"/>
      </w:pPr>
      <w:r>
        <w:rPr>
          <w:sz w:val="24"/>
        </w:rPr>
        <w:t>Negli ultimi frenetici giorni di guerra trascorre il tempo in cantina, affrontando il pericolo dei bombardamenti improvvisi per accaparrarsi un po’d’acqua o del cibo al mercato nero, sfidando il fuoco dei russi che si avvicina sempre di più, come annota nel suo diario: “in direzione di Berlinerstraße si vedono fumo e fiamme”</w:t>
      </w:r>
      <w:r w:rsidR="00104438">
        <w:rPr>
          <w:rStyle w:val="Rimandonotaapidipagina"/>
          <w:sz w:val="24"/>
        </w:rPr>
        <w:footnoteReference w:id="227"/>
      </w:r>
      <w:r>
        <w:rPr>
          <w:sz w:val="24"/>
        </w:rPr>
        <w:t xml:space="preserve">, il quartiere di Zehlendorf era in guerra piena e mancava poco al centro; la via alberata, che deve compiere dalla cantina alla fontana pubblica, era costellata di disertori e traditori impiccati, che creano una macabra cornice. Come molte altre testimonianze, la sua attenzione si posa sulle preghiere dei vecchi durante i bombardamenti, una colonna sonora di </w:t>
      </w:r>
      <w:r>
        <w:rPr>
          <w:i/>
          <w:sz w:val="24"/>
        </w:rPr>
        <w:t>Vaterunser</w:t>
      </w:r>
      <w:r>
        <w:rPr>
          <w:sz w:val="24"/>
        </w:rPr>
        <w:t xml:space="preserve">, </w:t>
      </w:r>
      <w:r>
        <w:rPr>
          <w:i/>
          <w:sz w:val="24"/>
        </w:rPr>
        <w:t>Aves</w:t>
      </w:r>
      <w:r>
        <w:rPr>
          <w:sz w:val="24"/>
        </w:rPr>
        <w:t xml:space="preserve">, e rosari, biascicati consumando i grani della collana, che accompagna tutti gli attacchi, come un rito collettivo per esorcizzare la paura. Poi, d’un tratto arriva il giorno fatidico, atteso, con ansia e terrore: “Venerdì 27 Aprile 1945, il giorno della catastrofe, il vortice selvaggio – annotato sabato pomeriggio”. Ed inizia il racconto: </w:t>
      </w:r>
    </w:p>
    <w:p w:rsidR="005B6AE9" w:rsidRDefault="005B6AE9">
      <w:pPr>
        <w:spacing w:after="28"/>
        <w:ind w:left="1438" w:right="706"/>
      </w:pPr>
    </w:p>
    <w:p w:rsidR="00611878" w:rsidRDefault="00672C55">
      <w:pPr>
        <w:spacing w:after="28"/>
        <w:ind w:left="1438" w:right="706"/>
      </w:pPr>
      <w:r>
        <w:lastRenderedPageBreak/>
        <w:t>Inizia con il silenzio. […]. Non riuscivo a dormire molto, provavo a ricordare un po’ di russo […]. Oggi ho detto per la prima volta agli abitanti della cantina che conosco un po’il russo […].  Il mio russo è semplice, so solamente i vocaboli per la sopravvivenza. […] So contare, dire la data e leggere le lettere. […] Ho dormito fino alle 5 di mattina. Ho sentito qualcuno aggirarsi in cortile. Era la libraia, veniva da fuori, mi ha afferrata con una mano e ha sussurrato: “Sono qui.” “Chi? I Russi?” […] “Si. In questo momento sono da Meyer, sono saliti dalla finestra”</w:t>
      </w:r>
      <w:r w:rsidR="00104438">
        <w:rPr>
          <w:rStyle w:val="Rimandonotaapidipagina"/>
        </w:rPr>
        <w:footnoteReference w:id="228"/>
      </w:r>
      <w:r>
        <w:t xml:space="preserve">  </w:t>
      </w:r>
    </w:p>
    <w:p w:rsidR="00611878" w:rsidRDefault="00672C55">
      <w:pPr>
        <w:spacing w:after="112" w:line="259" w:lineRule="auto"/>
        <w:ind w:left="924" w:right="0" w:firstLine="0"/>
        <w:jc w:val="left"/>
      </w:pPr>
      <w:r>
        <w:rPr>
          <w:sz w:val="24"/>
        </w:rPr>
        <w:t xml:space="preserve"> </w:t>
      </w:r>
    </w:p>
    <w:p w:rsidR="00611878" w:rsidRDefault="00672C55" w:rsidP="00104438">
      <w:pPr>
        <w:spacing w:after="37" w:line="366" w:lineRule="auto"/>
        <w:ind w:left="551" w:right="707" w:firstLine="358"/>
      </w:pPr>
      <w:r>
        <w:rPr>
          <w:sz w:val="24"/>
        </w:rPr>
        <w:t xml:space="preserve">Dal momento in cui arrivano i Russi, nella sua cantina la conoscenza della lingua, anche se limitata, la pone in una  sorta di limbo, tenendola sospesa tra  i privilegiati ed i dannati. È costretta a fare da interprete, tranquillizzare i suoi compagni di sventura e accompagnare  gli invasori della sua piccola comunità alla ricerca disperata e devastante  di </w:t>
      </w:r>
      <w:r>
        <w:rPr>
          <w:i/>
          <w:sz w:val="24"/>
        </w:rPr>
        <w:t>Schnaaps!</w:t>
      </w:r>
      <w:r>
        <w:rPr>
          <w:sz w:val="24"/>
        </w:rPr>
        <w:t>, grappa. Quest’ultima  era ottima per sostituire la vodka come portatrice di buonumore e, soprattutto, di eccitazione ed ebbrezza. I soldati sovietici sapevano e speravano che i tedeschi ne possedessero ancora un po’. In questa incursione, i russi si comportano diversamente rispetto allo standard sopra descritto, cercano di mostrarsi gentili e cercano quasi il consenso al ra</w:t>
      </w:r>
      <w:r w:rsidR="00104438">
        <w:rPr>
          <w:sz w:val="24"/>
        </w:rPr>
        <w:t xml:space="preserve">pporto sessuale. Essi, infatti, </w:t>
      </w:r>
      <w:r>
        <w:rPr>
          <w:sz w:val="24"/>
        </w:rPr>
        <w:t>chiedono alle donne se sono sposate, dove sia il marito o se ne volessero uno russo. Questo approccio che inizialmente può apparire umano è, però, sconfessato da un commento della stessa autrice che sostiene che quello fosse solo uno dei tanti modi di approcciare una donna, per dilatare il tempo e far durare il più a lungo possibile il momento di possesso e dominio. Essi sono percepiti come barbari invasori senza regole: “Loro soprattutto non hanno alcun codice di coppia e non hanno nessun contegno davanti alle donne. I russi non conoscono per niente le tradizioni della cavalleria e la galanteria”.</w:t>
      </w:r>
      <w:r>
        <w:rPr>
          <w:sz w:val="24"/>
          <w:vertAlign w:val="superscript"/>
        </w:rPr>
        <w:footnoteReference w:id="229"/>
      </w:r>
      <w:r>
        <w:rPr>
          <w:sz w:val="24"/>
        </w:rPr>
        <w:t xml:space="preserve">   </w:t>
      </w:r>
    </w:p>
    <w:p w:rsidR="00611878" w:rsidRDefault="00672C55">
      <w:pPr>
        <w:spacing w:line="366" w:lineRule="auto"/>
        <w:ind w:left="551" w:right="707" w:firstLine="358"/>
      </w:pPr>
      <w:r>
        <w:rPr>
          <w:sz w:val="24"/>
        </w:rPr>
        <w:t xml:space="preserve">Petka, il suo carnefice, è però una figura ambivalente. Se da un lato è l’uomo che sceglie Anonyma tra gli abitanti della cantina, separandola dal suo gruppo, dalle sue sicurezze, per violentarla, dall’altro diventa l’incarnazione del Soldato Russo, una concretizzazione che lo rende umano e lo mostra come l’unico elemento certo  in un insieme confuso di voci e racconti provenienti dall’esterno. Questo è sottolineato, oltre dalla familiarità e dolcezza con cui descrive Petka, il silenzio e l’oscurità che avvolge il prima ed il dopo il suo arrivo, ma soprattutto dalla tranquillità che le infonde il ritorno del soldato nella cantina, sottolineato </w:t>
      </w:r>
      <w:r>
        <w:rPr>
          <w:sz w:val="24"/>
        </w:rPr>
        <w:lastRenderedPageBreak/>
        <w:t xml:space="preserve">dall’espressione “è </w:t>
      </w:r>
      <w:r>
        <w:rPr>
          <w:i/>
          <w:sz w:val="24"/>
        </w:rPr>
        <w:t>soltanto</w:t>
      </w:r>
      <w:r>
        <w:rPr>
          <w:sz w:val="24"/>
        </w:rPr>
        <w:t xml:space="preserve"> Petka”</w:t>
      </w:r>
      <w:r>
        <w:rPr>
          <w:sz w:val="24"/>
          <w:vertAlign w:val="superscript"/>
        </w:rPr>
        <w:footnoteReference w:id="230"/>
      </w:r>
      <w:r>
        <w:rPr>
          <w:sz w:val="24"/>
        </w:rPr>
        <w:t>. Il giovane militare protegge lei e gli abitanti della cantina, porta loro da mangiare e dell’alcol per sbronzarsi insieme e non pensare alla guerra. È il suo angelo custode, il sinonimo della salvezza.</w:t>
      </w:r>
      <w:r>
        <w:rPr>
          <w:color w:val="FF0000"/>
          <w:sz w:val="24"/>
        </w:rPr>
        <w:t xml:space="preserve"> </w:t>
      </w:r>
      <w:r>
        <w:rPr>
          <w:sz w:val="24"/>
        </w:rPr>
        <w:t xml:space="preserve">Ma quando se ne va, la realtà torna a mostrare tutta la sua durezza. </w:t>
      </w:r>
    </w:p>
    <w:p w:rsidR="00611878" w:rsidRDefault="00672C55">
      <w:pPr>
        <w:spacing w:line="366" w:lineRule="auto"/>
        <w:ind w:left="551" w:right="707" w:firstLine="358"/>
      </w:pPr>
      <w:r>
        <w:rPr>
          <w:sz w:val="24"/>
        </w:rPr>
        <w:t xml:space="preserve">Se inizialmente la conoscenza della lingua russa pone la giovane in una posizione di privilegio rispetto alle altre, perché la rende capace di prevenire e comprendere le mosse degli aggressori, successivamente la fa diventare una preda ambita dai conquistatori. Incarna, successivamente, il ruolo di prostituta d’alto bordo, quella dedicata solo ai vincitori, che non ha tempo per i vinti. Eppure, dalle sue pagine, traspare un senso altissimo di dignità morale: si concede, rimanendo sempre se stessa.  </w:t>
      </w:r>
    </w:p>
    <w:p w:rsidR="00611878" w:rsidRDefault="00672C55">
      <w:pPr>
        <w:spacing w:line="366" w:lineRule="auto"/>
        <w:ind w:left="551" w:right="707" w:firstLine="358"/>
      </w:pPr>
      <w:r>
        <w:rPr>
          <w:sz w:val="24"/>
        </w:rPr>
        <w:t xml:space="preserve">La facilità con la quale si concede ai soldati sovietici potrebbe far pensare a delle analogie con il caso italiano di Celeste Di Porto, ebrea italiana che all’indomani dell’8 settembre 1943 si è concessa prima ai nazifascisti, poi agli Alleati. Anonyma, però, non è questo genere di donna. Mentre Celeste denuncia, spia ed intasca il compenso per il suo operato, Anonyma protegge gli abitanti della sua cantina, combatte in prima fila per il bene della sua piccola comunità, dividendo con tutti i proventi materiali della protezione che è riuscita ad ottenere. La giovane berlinese, inoltre, non si concede a “tutti”, ma la sua disponibilità ha origine da una violenza subita.   </w:t>
      </w:r>
    </w:p>
    <w:p w:rsidR="00611878" w:rsidRDefault="00672C55">
      <w:pPr>
        <w:spacing w:after="83" w:line="366" w:lineRule="auto"/>
        <w:ind w:left="551" w:right="707" w:firstLine="358"/>
      </w:pPr>
      <w:r>
        <w:rPr>
          <w:sz w:val="24"/>
        </w:rPr>
        <w:t>Il suo diario, benché in forma anonima, risulta una fonte di informazioni preziose e molto attendibile. Lasciando la propria identità ignota, l’autrice è, infatti, più libera di esprimere le proprie idee, raccontare l’accaduto senza filtri, senza la paura di essere riconosciuta e bollata come “l’amica dei russi”, pericolo comunque ben presente nonostante fossero i vincitori.</w:t>
      </w:r>
      <w:r>
        <w:rPr>
          <w:sz w:val="21"/>
          <w:vertAlign w:val="superscript"/>
        </w:rPr>
        <w:t xml:space="preserve"> </w:t>
      </w:r>
      <w:r>
        <w:rPr>
          <w:sz w:val="21"/>
          <w:vertAlign w:val="superscript"/>
        </w:rPr>
        <w:footnoteReference w:id="231"/>
      </w:r>
      <w:r>
        <w:rPr>
          <w:sz w:val="21"/>
          <w:vertAlign w:val="superscript"/>
        </w:rPr>
        <w:t xml:space="preserve"> </w:t>
      </w:r>
      <w:r>
        <w:rPr>
          <w:sz w:val="24"/>
        </w:rPr>
        <w:t xml:space="preserve"> </w:t>
      </w:r>
    </w:p>
    <w:p w:rsidR="00611878" w:rsidRDefault="00672C55">
      <w:pPr>
        <w:spacing w:line="366" w:lineRule="auto"/>
        <w:ind w:left="551" w:right="707" w:firstLine="425"/>
      </w:pPr>
      <w:r>
        <w:rPr>
          <w:sz w:val="24"/>
        </w:rPr>
        <w:t xml:space="preserve">Il film realizzato nel 2008 ha il merito di mostrare all’opinione pubblica tedesca ed estera un aspetto, quello delle violenze sessuali, fino ad allora rimasto nascosto sotto il silenzio della vergogna delle donne, come ben evidenziato anche da Guido Londero nel breve saggio </w:t>
      </w:r>
      <w:r>
        <w:rPr>
          <w:i/>
          <w:sz w:val="24"/>
        </w:rPr>
        <w:t xml:space="preserve">Anonyma. </w:t>
      </w:r>
    </w:p>
    <w:p w:rsidR="00611878" w:rsidRDefault="00672C55">
      <w:pPr>
        <w:spacing w:after="88" w:line="267" w:lineRule="auto"/>
        <w:ind w:left="576" w:right="705"/>
      </w:pPr>
      <w:r>
        <w:rPr>
          <w:i/>
          <w:sz w:val="24"/>
        </w:rPr>
        <w:lastRenderedPageBreak/>
        <w:t xml:space="preserve">Eine Frau in Berlin. Il dibattito in Germania sul film di Max Färberbock  </w:t>
      </w:r>
    </w:p>
    <w:p w:rsidR="00611878" w:rsidRDefault="00672C55">
      <w:pPr>
        <w:ind w:left="1428" w:right="706" w:firstLine="425"/>
      </w:pPr>
      <w:r>
        <w:t>Giornalisti e critici hanno valorizzato la capacità del regista e del produttore di Anonima di essere riusciti a rendere comprensibile un tema-tabù; alcuni lo hanno definito un vero e proprio “colpo di genio”. Nel complesso, dal film emerge una fotografia credibile del clima che si respirava nella capitale del Reich nell’attesa dell’imminente ingresso dell’Armata Rossa, un’atmosfera in cui si presagiva il passaggio da un mondo cosmopolita e benestante ad un contesto retto da una sorta di spietato Faustrecht, la legge del più forte. […] è riuscito a rappresentare le motivazioni del silenzio che ha impedito per decenni una aperta discussione; un silenzio originato dalla vergogna degli stupri, dalla fedeltà femminile ai propri mariti ma anche dalle incomprensioni e dalla volontà maschile di tacere sulle atrocità commesse durante la guerra. In modo alquanto enfatico e retorico, nel film Anonyma qualcuno ha visto addirittura il ricongiungimento ideale - a 63 anni dalla fine della guerra e a 18 dalla fine della Repubblica Democratica Tedesca - della prospettiva storica dell’Est e dell’Ovest tedeschi.</w:t>
      </w:r>
      <w:r>
        <w:rPr>
          <w:vertAlign w:val="superscript"/>
        </w:rPr>
        <w:footnoteReference w:id="232"/>
      </w:r>
      <w:r>
        <w:t xml:space="preserve"> </w:t>
      </w:r>
    </w:p>
    <w:p w:rsidR="00611878" w:rsidRDefault="00672C55">
      <w:pPr>
        <w:spacing w:after="0" w:line="259" w:lineRule="auto"/>
        <w:ind w:left="1844" w:right="0" w:firstLine="0"/>
        <w:jc w:val="left"/>
      </w:pPr>
      <w:r>
        <w:t xml:space="preserve"> </w:t>
      </w:r>
    </w:p>
    <w:p w:rsidR="00611878" w:rsidRDefault="00672C55">
      <w:pPr>
        <w:spacing w:line="366" w:lineRule="auto"/>
        <w:ind w:left="551" w:right="707" w:firstLine="425"/>
      </w:pPr>
      <w:r>
        <w:rPr>
          <w:sz w:val="24"/>
        </w:rPr>
        <w:t>L’8 maggio 1945 l’armistizio è firmato, la guerra è ufficialmente finita, ma per molte donne deve ancora cominciare. L’atto finale e simbolico del conflitto non è l’atto di cesura con il passato bellicoso, bensì il continuum della violenza dei quasi 6 anni precedenti.</w:t>
      </w:r>
      <w:r>
        <w:rPr>
          <w:sz w:val="24"/>
          <w:vertAlign w:val="superscript"/>
        </w:rPr>
        <w:footnoteReference w:id="233"/>
      </w:r>
      <w:r>
        <w:rPr>
          <w:sz w:val="24"/>
        </w:rPr>
        <w:t xml:space="preserve"> Sono tantissimi i racconti di violenze sessuali successive alla resa, perché “lo stupro è un’arma politica di tortura e terrorismo degli uomini contro le donne”</w:t>
      </w:r>
      <w:r>
        <w:rPr>
          <w:sz w:val="24"/>
          <w:vertAlign w:val="superscript"/>
        </w:rPr>
        <w:footnoteReference w:id="234"/>
      </w:r>
      <w:r>
        <w:rPr>
          <w:sz w:val="24"/>
        </w:rPr>
        <w:t xml:space="preserve">. </w:t>
      </w:r>
    </w:p>
    <w:p w:rsidR="00611878" w:rsidRDefault="00672C55">
      <w:pPr>
        <w:spacing w:line="366" w:lineRule="auto"/>
        <w:ind w:left="561" w:right="707"/>
      </w:pPr>
      <w:r>
        <w:rPr>
          <w:sz w:val="24"/>
        </w:rPr>
        <w:t xml:space="preserve"> Al contrario di quanto affermato nel libro di Nicholas Stargardt </w:t>
      </w:r>
      <w:r>
        <w:rPr>
          <w:i/>
          <w:sz w:val="24"/>
        </w:rPr>
        <w:t xml:space="preserve">La guerra dei bambini, </w:t>
      </w:r>
      <w:r>
        <w:rPr>
          <w:sz w:val="24"/>
        </w:rPr>
        <w:t>gli stupri non finiscono con la presa della città</w:t>
      </w:r>
      <w:r>
        <w:rPr>
          <w:sz w:val="24"/>
          <w:vertAlign w:val="superscript"/>
        </w:rPr>
        <w:footnoteReference w:id="235"/>
      </w:r>
      <w:r>
        <w:rPr>
          <w:sz w:val="24"/>
        </w:rPr>
        <w:t>, ma continuano indisturbati.</w:t>
      </w:r>
      <w:r>
        <w:rPr>
          <w:i/>
          <w:sz w:val="24"/>
        </w:rPr>
        <w:t xml:space="preserve"> </w:t>
      </w:r>
      <w:r>
        <w:rPr>
          <w:sz w:val="24"/>
        </w:rPr>
        <w:t>Il Gesundheitsamt, l’Ufficio di Sanità, raccoglie, infatti, tantissime testimonianze di donne che vengono stuprate da uno o più russi nei mesi successivi alla resa tedesca. I vincitori potevano fare ciò che volevano, avevano garantita l’impunità anche qualora venissero denunciati alle autorità garanti della sicurezza e dell’ordine pubblico come testimoniato dalla denuncia della signora H. P. che dichiara “sotto giuramento che venerdì 20 luglio 1945 sulla strada da Berlino a Seddin sono stata violentata da un membro dell’Armata Rossa”</w:t>
      </w:r>
      <w:r>
        <w:rPr>
          <w:sz w:val="24"/>
          <w:vertAlign w:val="superscript"/>
        </w:rPr>
        <w:footnoteReference w:id="236"/>
      </w:r>
      <w:r>
        <w:rPr>
          <w:sz w:val="24"/>
        </w:rPr>
        <w:t xml:space="preserve">. Le fa eco la denuncia di K. K.: “Il 28 luglio 1945 viaggiavo verso Neuen per prendere le mie cose. </w:t>
      </w:r>
      <w:r>
        <w:rPr>
          <w:i/>
          <w:sz w:val="24"/>
        </w:rPr>
        <w:t>Sulla</w:t>
      </w:r>
      <w:r>
        <w:rPr>
          <w:sz w:val="24"/>
        </w:rPr>
        <w:t xml:space="preserve"> strada fecero irruzione due russi uno dei quali mi ha violentata. Il dottor T. ha riscontrato una gravidanza al terzo mese. </w:t>
      </w:r>
      <w:r>
        <w:rPr>
          <w:sz w:val="24"/>
        </w:rPr>
        <w:lastRenderedPageBreak/>
        <w:t>Chiedo l’autorizzazione all’aborto”.</w:t>
      </w:r>
      <w:r>
        <w:rPr>
          <w:sz w:val="24"/>
          <w:vertAlign w:val="superscript"/>
        </w:rPr>
        <w:footnoteReference w:id="237"/>
      </w:r>
      <w:r>
        <w:rPr>
          <w:sz w:val="24"/>
        </w:rPr>
        <w:t xml:space="preserve"> Spesso, però, le dichiarazioni dei medici sono rilasciate su strisce di carta approssimative in cui si riportano solo i dati della ragazza e il mese di gravidanza, un timbro e la firma del medico e sono abbinate alla dichiarazione.</w:t>
      </w:r>
      <w:r>
        <w:rPr>
          <w:sz w:val="24"/>
          <w:vertAlign w:val="superscript"/>
        </w:rPr>
        <w:footnoteReference w:id="238"/>
      </w:r>
      <w:r>
        <w:rPr>
          <w:sz w:val="24"/>
        </w:rPr>
        <w:t xml:space="preserve"> </w:t>
      </w:r>
    </w:p>
    <w:p w:rsidR="00611878" w:rsidRDefault="00672C55">
      <w:pPr>
        <w:spacing w:line="366" w:lineRule="auto"/>
        <w:ind w:left="561" w:right="707"/>
      </w:pPr>
      <w:r>
        <w:rPr>
          <w:sz w:val="24"/>
        </w:rPr>
        <w:t xml:space="preserve">Le testimonianze d’archivio riportano violenze ininterrotte da maggio ad agosto 1945, come quella della giovane G. M.: </w:t>
      </w:r>
    </w:p>
    <w:p w:rsidR="00611878" w:rsidRDefault="00672C55">
      <w:pPr>
        <w:ind w:left="1438" w:right="706"/>
      </w:pPr>
      <w:r>
        <w:t xml:space="preserve">L’11 agosto 1945 verso le 11 andavo in bicicletta verso Königswusterhansen. […] sono stata fermata da due soldati russi, che erano armati. Uno dei russi voleva prendere la mia bicicletta </w:t>
      </w:r>
    </w:p>
    <w:p w:rsidR="00611878" w:rsidRDefault="00672C55">
      <w:pPr>
        <w:spacing w:after="297"/>
        <w:ind w:left="1438" w:right="706"/>
      </w:pPr>
      <w:r>
        <w:t>[…]. Improvvisamente è sbucato fuori un altro russo più armato che mi ha detto di seguirlo nei campi, dove ha tentato di violentarmi. Mi sono difesa molto fino all’arrivo del secondo russo che mi ha tenuto ferma. Sono stata stuprata da entrambi i russi.</w:t>
      </w:r>
      <w:r>
        <w:rPr>
          <w:vertAlign w:val="superscript"/>
        </w:rPr>
        <w:footnoteReference w:id="239"/>
      </w:r>
      <w:r>
        <w:t xml:space="preserve">   </w:t>
      </w:r>
    </w:p>
    <w:p w:rsidR="00611878" w:rsidRDefault="00672C55" w:rsidP="00A12F02">
      <w:pPr>
        <w:spacing w:after="0" w:line="259" w:lineRule="auto"/>
        <w:ind w:left="852" w:right="0" w:firstLine="0"/>
        <w:jc w:val="left"/>
      </w:pPr>
      <w:r>
        <w:t xml:space="preserve"> </w:t>
      </w:r>
      <w:r>
        <w:rPr>
          <w:sz w:val="24"/>
        </w:rPr>
        <w:t xml:space="preserve"> </w:t>
      </w:r>
    </w:p>
    <w:p w:rsidR="00611878" w:rsidRDefault="00672C55">
      <w:pPr>
        <w:spacing w:line="366" w:lineRule="auto"/>
        <w:ind w:left="561" w:right="707"/>
      </w:pPr>
      <w:r>
        <w:rPr>
          <w:sz w:val="24"/>
        </w:rPr>
        <w:t>E quella di I. H., del 9 ottobre 1945 a Berlino - Neukölln: “Dichiaro sotto giuramento che nel mese di giugno sono stata violentata da tre Russi”.</w:t>
      </w:r>
      <w:r w:rsidR="00A34177">
        <w:rPr>
          <w:rStyle w:val="Rimandonotaapidipagina"/>
          <w:sz w:val="24"/>
        </w:rPr>
        <w:footnoteReference w:id="240"/>
      </w:r>
      <w:r>
        <w:rPr>
          <w:sz w:val="24"/>
        </w:rPr>
        <w:t xml:space="preserve"> </w:t>
      </w:r>
    </w:p>
    <w:p w:rsidR="00611878" w:rsidRDefault="00672C55">
      <w:pPr>
        <w:spacing w:line="366" w:lineRule="auto"/>
        <w:ind w:left="551" w:right="707" w:firstLine="425"/>
      </w:pPr>
      <w:r>
        <w:rPr>
          <w:sz w:val="24"/>
        </w:rPr>
        <w:t xml:space="preserve">Ma l’abitudine delle truppe sovietiche ad approfittare delle donne tedesche rimane latente fino ai primi mesi dell’anno successivo, come si evince dalla denuncia di una donna conservata nella forma burocratica di un verbale firmato in calce da una funzionaria e da una madre, poiché la vittima era minorenne: </w:t>
      </w:r>
    </w:p>
    <w:p w:rsidR="00611878" w:rsidRDefault="00672C55">
      <w:pPr>
        <w:ind w:left="1438" w:right="706"/>
      </w:pPr>
      <w:r>
        <w:t xml:space="preserve">Il giorno seguente [29 gennaio 1946], mentre A. percorreva la strada che la conduceva a </w:t>
      </w:r>
    </w:p>
    <w:p w:rsidR="00611878" w:rsidRDefault="00672C55">
      <w:pPr>
        <w:spacing w:after="30"/>
        <w:ind w:left="1438" w:right="706"/>
      </w:pPr>
      <w:r>
        <w:t>Hermannplatz, è stata fermata da un soldato russo che l’ha costretta a seguirlo. Ad Alexanderplatz ha dovuto cercare un parrucchiere che, in presenza del russo, cambiasse il colore dei suoi capelli da biondo scuro a rosso. La sera è stata portata via con un furgone. […] Fu condotta in un edificio, che secondo lei doveva essere un bunker. All’interno si trovavano circa 20 ragazze. Durante il giorno le ragazze furono legate ed ogni sera comparivano i Russi e stupravano qualche ragazza per diverse volte. […] Nella notte del 5 febbraio A. riuscì a fuggire arrampicandosi su una finestra. Quella sera i Russi dovevano essere ubriachi</w:t>
      </w:r>
      <w:r w:rsidR="00A34177">
        <w:rPr>
          <w:rStyle w:val="Rimandonotaapidipagina"/>
        </w:rPr>
        <w:footnoteReference w:id="241"/>
      </w:r>
      <w:r>
        <w:t>.</w:t>
      </w:r>
    </w:p>
    <w:p w:rsidR="00611878" w:rsidRPr="005B6AE9" w:rsidRDefault="00672C55">
      <w:pPr>
        <w:spacing w:after="115" w:line="259" w:lineRule="auto"/>
        <w:ind w:left="566" w:right="0" w:firstLine="0"/>
        <w:jc w:val="left"/>
        <w:rPr>
          <w:sz w:val="2"/>
          <w:szCs w:val="2"/>
        </w:rPr>
      </w:pPr>
      <w:r w:rsidRPr="005B6AE9">
        <w:rPr>
          <w:sz w:val="2"/>
          <w:szCs w:val="2"/>
        </w:rPr>
        <w:lastRenderedPageBreak/>
        <w:t xml:space="preserve"> </w:t>
      </w:r>
    </w:p>
    <w:p w:rsidR="00611878" w:rsidRDefault="00672C55">
      <w:pPr>
        <w:spacing w:line="366" w:lineRule="auto"/>
        <w:ind w:left="551" w:right="707" w:firstLine="425"/>
      </w:pPr>
      <w:r>
        <w:rPr>
          <w:sz w:val="24"/>
        </w:rPr>
        <w:t xml:space="preserve">I capelli rossi che A. è costretta ad avere, come marchio visibile della violenza subita, ricordano le tonsure violente alle quali sono sottoposte le “puttane dei crucchi” all’indomani della liberazione, in altri paesi europei occupati dai nazisti, come Francia o Italia. Oltre la violenza sessuale, la donna doveva portare su di sé un segno visibile della loro infamia passata. Questa è l’ultima testimonianza in ordine cronologico, poi, forse, il fenomeno va spegnendosi o, più probabilmente, le donne si stancano di denunciare. </w:t>
      </w:r>
    </w:p>
    <w:p w:rsidR="00611878" w:rsidRPr="00A34177" w:rsidRDefault="00672C55" w:rsidP="00A34177">
      <w:pPr>
        <w:spacing w:line="366" w:lineRule="auto"/>
        <w:ind w:left="551" w:right="707" w:firstLine="425"/>
      </w:pPr>
      <w:r>
        <w:rPr>
          <w:sz w:val="24"/>
        </w:rPr>
        <w:t>Il racconto di A. è forse uno dei peggiori di questo lungo viaggio nelle violenze sovietiche ma è l’emblema di un percorso che cambia nel tempo. Come afferma, infatti Ernesto Galli Della Loggia con la Seconda Guerra Mondiale oltre alla massificazione d</w:t>
      </w:r>
      <w:r w:rsidR="00A34177">
        <w:rPr>
          <w:sz w:val="24"/>
        </w:rPr>
        <w:t>ella guerra che cessa di essere</w:t>
      </w:r>
    </w:p>
    <w:p w:rsidR="00611878" w:rsidRDefault="00672C55">
      <w:pPr>
        <w:spacing w:line="366" w:lineRule="auto"/>
        <w:ind w:left="561" w:right="707"/>
      </w:pPr>
      <w:r>
        <w:rPr>
          <w:sz w:val="24"/>
        </w:rPr>
        <w:t xml:space="preserve">soltanto una questione di uomini fissa ai confini degli stati, modifica anche il rapporto dei maschi combattenti con il sesso, trasformando il conflitto da militare ad etico, togliendo lo scontro dal semplice campo di battaglia per farlo diventare qualcosa di più complesso e globale, più vicino allo scontro tra mondi differenti </w:t>
      </w:r>
    </w:p>
    <w:p w:rsidR="005B6AE9" w:rsidRDefault="005B6AE9" w:rsidP="00CB2F28">
      <w:pPr>
        <w:spacing w:after="47"/>
        <w:ind w:left="1418" w:right="709" w:firstLine="425"/>
      </w:pPr>
    </w:p>
    <w:p w:rsidR="00611878" w:rsidRDefault="00672C55" w:rsidP="00CB2F28">
      <w:pPr>
        <w:spacing w:after="47"/>
        <w:ind w:left="1418" w:right="709" w:firstLine="425"/>
      </w:pPr>
      <w:r>
        <w:t>Tra il 1914 e il 1918 infatti perlomeno sui fronti occidentali, la iperstanzialità degli eserciti, equivalente ad una reclusione virtuale, contribuì in misura decisiva a privare il Männerbund dei combattenti di ogni potenzialità sessuale che non fosse omo-erotica, ovvero, nella stragrande maggioranza dei casi fornì di regola l’atmosfera congrua ad una cospicua ed eccitata propensione sublimatrice. […]. […] l’atto di uccidere è così evidentemente connotato di significati sessuali, l’astinenza sessuale è così frequentemente prescritta e praticata nella preparazione del gruppo maschile alla caccia o alla guerra […].</w:t>
      </w:r>
      <w:r>
        <w:rPr>
          <w:vertAlign w:val="superscript"/>
        </w:rPr>
        <w:footnoteReference w:id="242"/>
      </w:r>
      <w:r>
        <w:t xml:space="preserve">    </w:t>
      </w:r>
    </w:p>
    <w:p w:rsidR="00611878" w:rsidRPr="00A12F02" w:rsidRDefault="00672C55">
      <w:pPr>
        <w:spacing w:after="112" w:line="259" w:lineRule="auto"/>
        <w:ind w:left="992" w:right="0" w:firstLine="0"/>
        <w:jc w:val="left"/>
        <w:rPr>
          <w:sz w:val="2"/>
          <w:szCs w:val="2"/>
        </w:rPr>
      </w:pPr>
      <w:r w:rsidRPr="00A12F02">
        <w:rPr>
          <w:sz w:val="2"/>
          <w:szCs w:val="2"/>
        </w:rPr>
        <w:t xml:space="preserve"> </w:t>
      </w:r>
    </w:p>
    <w:p w:rsidR="005B6AE9" w:rsidRDefault="005B6AE9">
      <w:pPr>
        <w:spacing w:line="366" w:lineRule="auto"/>
        <w:ind w:left="551" w:right="707" w:firstLine="358"/>
        <w:rPr>
          <w:sz w:val="24"/>
        </w:rPr>
      </w:pPr>
    </w:p>
    <w:p w:rsidR="00611878" w:rsidRDefault="00672C55">
      <w:pPr>
        <w:spacing w:line="366" w:lineRule="auto"/>
        <w:ind w:left="551" w:right="707" w:firstLine="358"/>
      </w:pPr>
      <w:r>
        <w:rPr>
          <w:sz w:val="24"/>
        </w:rPr>
        <w:t xml:space="preserve">Inoltre, se si prende in considerazione la memorialistica presente anche in questo lavoro, si può facilmente notare come scompaia completamente dalle narrazioni l’eroismo individuale che aveva caratterizzato, ad esempio, la Grande Guerra a favore di una narrazione più complessiva che tiene in considerazione tutti gli aspetti del sociale e della vita quotidiana. </w:t>
      </w:r>
    </w:p>
    <w:p w:rsidR="00611878" w:rsidRDefault="00672C55">
      <w:pPr>
        <w:spacing w:line="366" w:lineRule="auto"/>
        <w:ind w:left="551" w:right="707" w:firstLine="358"/>
      </w:pPr>
      <w:r>
        <w:rPr>
          <w:sz w:val="24"/>
        </w:rPr>
        <w:t xml:space="preserve">Studiando questo tema, ad un tratto comincia ad apparire nella mente una domanda: perché i soldati dell’Armata Rossa hanno trattato con tale disprezzo i tedeschi e soprattutto i berlinesi? La risposta si può trovare, ad esempio, nel racconto di una delle superstiti di Auschwitz: </w:t>
      </w:r>
    </w:p>
    <w:p w:rsidR="005B6AE9" w:rsidRDefault="005B6AE9">
      <w:pPr>
        <w:spacing w:after="32"/>
        <w:ind w:left="1438" w:right="706"/>
      </w:pPr>
    </w:p>
    <w:p w:rsidR="005B6AE9" w:rsidRDefault="005B6AE9">
      <w:pPr>
        <w:spacing w:after="32"/>
        <w:ind w:left="1438" w:right="706"/>
      </w:pPr>
    </w:p>
    <w:p w:rsidR="00611878" w:rsidRDefault="00672C55">
      <w:pPr>
        <w:spacing w:after="32"/>
        <w:ind w:left="1438" w:right="706"/>
      </w:pPr>
      <w:r>
        <w:lastRenderedPageBreak/>
        <w:t>Molto è stato scritto anche sul ruolo dei soldati russi e degli stupri di massa contro le donne tedesche. Vorrei poter dire che mi dispiace per quelle donne, ma visto ciò che è successo alla mia famiglia per mano del regime nazista che esse appoggiavano, non ci riesco […]. Nella mia personale esperienza, i soldati russi furono dei liberatori e si rivelarono degli amici.</w:t>
      </w:r>
      <w:r>
        <w:rPr>
          <w:vertAlign w:val="superscript"/>
        </w:rPr>
        <w:footnoteReference w:id="243"/>
      </w:r>
      <w:r>
        <w:t xml:space="preserve"> </w:t>
      </w:r>
    </w:p>
    <w:p w:rsidR="00611878" w:rsidRDefault="00672C55">
      <w:pPr>
        <w:spacing w:after="115" w:line="259" w:lineRule="auto"/>
        <w:ind w:left="924" w:right="0" w:firstLine="0"/>
        <w:jc w:val="left"/>
      </w:pPr>
      <w:r>
        <w:rPr>
          <w:sz w:val="24"/>
        </w:rPr>
        <w:t xml:space="preserve"> </w:t>
      </w:r>
    </w:p>
    <w:p w:rsidR="00611878" w:rsidRDefault="00672C55">
      <w:pPr>
        <w:spacing w:line="366" w:lineRule="auto"/>
        <w:ind w:left="551" w:right="707" w:firstLine="358"/>
      </w:pPr>
      <w:r>
        <w:rPr>
          <w:sz w:val="24"/>
        </w:rPr>
        <w:t xml:space="preserve">Nella Seconda Guerra Mondiale, però tutto cambia e la presenza femminile diventa dominante, ingombrante, onnipresente, soprattutto quando la guerra si trasforma in conquista. La presa di Berlino è il punto culminante della guerra, quindi, le violenze sovietiche mutano radicalmente natura. Il racconto di A. mette in risalto proprio questo cambiamento. Se, infatti, confrontiamo la sua testimonianza con quella di Frau P. o Frau C. di cui si è dato conto all’inizio, le differenze sono immediate. Innanzitutto nelle prime testimonianze delle donne che abitavano la parte orientale del Reich si nota subito come le violenze siano un’onda che arriva, distrugge, stupra e passa oltre, senza una tecnica precisa, senza che ci si soffermi sui dettagli. A Berlino cambia tutto. L’onda non c’è più, le violenze diventano routine sistematica, ammantate di uno schema militare preciso nel quale si ha il tempo di scegliere le proprie vittime, girare per le cantine o per le strade, soddisfare a pieno tutti i desideri. Il racconto di A. testimonia, inoltre, come la disponibilità del tempo e la stanzialità delle truppe  consente ai soldati dell’Armata Rossa di organizzare degli harem, o meglio, delle riserve di caccia, dove poter ammassare tutte le ragazze che si ritenevano più avvenenti e far in modo, rapendole e segregandole, di averle sempre a disposizione per un lungo periodo di tempo. Anche i rapporti sessuali cambiano. Nonostante l’assunzione di sostanze iperalcoliche sia comunque costante, la disponibilità continua delle ragazze consente ai soldati di programmare i rapporti, di non avere fretta di terminare e, soprattutto, non c’è la presenza ingombrante e pericolosa di terze persone che possono intromettersi tentando di impedire che avvenga l’atto sessuale. </w:t>
      </w:r>
    </w:p>
    <w:p w:rsidR="00611878" w:rsidRDefault="00672C55">
      <w:pPr>
        <w:spacing w:line="366" w:lineRule="auto"/>
        <w:ind w:left="551" w:right="707" w:firstLine="358"/>
      </w:pPr>
      <w:r>
        <w:rPr>
          <w:sz w:val="24"/>
        </w:rPr>
        <w:t xml:space="preserve">Ma non è solo questo. È incontestabile che i tedeschi abbiano condotto una campagna di Russia spietata, lasciando alle Einsatzgruppe la facoltà di uccidere ogni forma di vita incontrassero al loro passaggio, senza pietà; è altrettanto vero che sulle terre degli slavi sono stati costruiti i campi di sterminio come quelli di Auschwitz e Treblinka ed i ghetti tristemente noti di Varsavia e Łódź, la popolazione di Leningrado è stata stremata da un assedio disumano e Stalingrado è stata rasa al suolo. Ma questo non basta: “Migliaia di soldati si guardano intorno qui in Germania ripetono con rabbia queste domande: “Ma perché sono venuti da noi? Cosa gli </w:t>
      </w:r>
      <w:r>
        <w:rPr>
          <w:sz w:val="24"/>
        </w:rPr>
        <w:lastRenderedPageBreak/>
        <w:t>mancava?”</w:t>
      </w:r>
      <w:r>
        <w:rPr>
          <w:sz w:val="24"/>
          <w:vertAlign w:val="superscript"/>
        </w:rPr>
        <w:footnoteReference w:id="244"/>
      </w:r>
      <w:r>
        <w:rPr>
          <w:sz w:val="24"/>
        </w:rPr>
        <w:t xml:space="preserve">. Infine, la repressione sanguinaria nei confronti di qualunque tipo di opposizione o resistenza, seguendo le disposizioni del famigerato Merkblatt 69/1 </w:t>
      </w:r>
      <w:r>
        <w:rPr>
          <w:i/>
          <w:sz w:val="24"/>
        </w:rPr>
        <w:t>Kampfanweisung für die Bandenbekämpfung im Osten</w:t>
      </w:r>
      <w:r>
        <w:rPr>
          <w:sz w:val="24"/>
        </w:rPr>
        <w:t xml:space="preserve">, le direttive di guerra per la lotta ai banditi ad est e che prevedeva la possibilità di esecuzioni indiscriminate e impunità per qualsiasi genere di violenza.  </w:t>
      </w:r>
    </w:p>
    <w:p w:rsidR="00611878" w:rsidRDefault="00672C55">
      <w:pPr>
        <w:spacing w:after="270" w:line="366" w:lineRule="auto"/>
        <w:ind w:left="551" w:right="707" w:firstLine="358"/>
      </w:pPr>
      <w:r>
        <w:rPr>
          <w:sz w:val="24"/>
        </w:rPr>
        <w:t>I sovietici non volevano solamente smontare le tesi razziste di Hitler, e distruggere la potenza nazista che aveva tradito la parola data siglando il patto Molotov-Ribentropp: i soldati dell’Armata Rossa erano frastornati dalla ricchezza dei tedeschi, dal loro tenore di vita così alto rispetto alle campagne russe. Lo stupro e le devastazioni non erano avallate dagli alti comandi sovietici che, al contrario, si sforzavano di contrastare il problema, come dimostra la comunicazione del 28 maggio 1945: “Nel caso in cui le donne fossero molestate da membri dell’Armata Rossa o se membri dell’Armata Rossa entrano senza permesso negli appartamenti, si avvisi immediatamente il comando di Berlino-Stegliz, in Lepisusstraße”.</w:t>
      </w:r>
      <w:r>
        <w:rPr>
          <w:sz w:val="24"/>
          <w:vertAlign w:val="superscript"/>
        </w:rPr>
        <w:footnoteReference w:id="245"/>
      </w:r>
      <w:r>
        <w:rPr>
          <w:sz w:val="24"/>
        </w:rPr>
        <w:t xml:space="preserve"> </w:t>
      </w:r>
    </w:p>
    <w:p w:rsidR="00611878" w:rsidRDefault="00672C55">
      <w:pPr>
        <w:spacing w:after="0" w:line="259" w:lineRule="auto"/>
        <w:ind w:left="852" w:right="0" w:firstLine="0"/>
        <w:jc w:val="left"/>
      </w:pPr>
      <w:r>
        <w:t xml:space="preserve"> </w:t>
      </w:r>
    </w:p>
    <w:p w:rsidR="00611878" w:rsidRDefault="00672C55">
      <w:pPr>
        <w:spacing w:line="366" w:lineRule="auto"/>
        <w:ind w:left="561" w:right="707"/>
      </w:pPr>
      <w:r>
        <w:rPr>
          <w:sz w:val="24"/>
        </w:rPr>
        <w:t xml:space="preserve"> Ciononostante, i Russi si sentivano moralmente giustificati per le loro azioni: avevano combattuto per mesi nella neve, assistendo ad orrori continui, senza avere mai una licenza per tornare a casa dalle proprie famiglie, quindi, si sentivano in diritto di sfogare il lungo periodo di frustrazioni e privazioni: “Abbiamo combattuto quattro anni fra noi e non ci sono stati concesse ferie. Agli uomini furono promesse le donne tedesche come trofeo di vittoria”.</w:t>
      </w:r>
      <w:r>
        <w:rPr>
          <w:sz w:val="24"/>
          <w:vertAlign w:val="superscript"/>
        </w:rPr>
        <w:footnoteReference w:id="246"/>
      </w:r>
      <w:r>
        <w:rPr>
          <w:sz w:val="24"/>
        </w:rPr>
        <w:t xml:space="preserve">    </w:t>
      </w:r>
    </w:p>
    <w:p w:rsidR="00611878" w:rsidRDefault="00672C55">
      <w:pPr>
        <w:spacing w:line="366" w:lineRule="auto"/>
        <w:ind w:left="561" w:right="707"/>
      </w:pPr>
      <w:r>
        <w:rPr>
          <w:sz w:val="24"/>
        </w:rPr>
        <w:t xml:space="preserve">I Sovietici in primis, gli occupanti in seguito, si trovano ad amministrare, però, un insieme di macerie e un popolo logorato nel corpo e nell’anima. I numeri dell’emergenza abitativa e sociale, per esempio, sono esemplificativi in proposito </w:t>
      </w:r>
    </w:p>
    <w:p w:rsidR="005B6AE9" w:rsidRDefault="005B6AE9">
      <w:pPr>
        <w:ind w:left="1438" w:right="706"/>
      </w:pPr>
    </w:p>
    <w:p w:rsidR="00611878" w:rsidRDefault="00672C55">
      <w:pPr>
        <w:ind w:left="1438" w:right="706"/>
      </w:pPr>
      <w:r>
        <w:t xml:space="preserve">28000 appartamenti sono distrutti. 7-8.000 appartamenti danneggiati. Di questi circa 1750 sono nuovamente abitabili e 5700 sono ancora da rendere abitabili. In entrambi i casi sono da prendere in considerazione che per rendere abitabili gli appartamenti serve un relativo   </w:t>
      </w:r>
    </w:p>
    <w:p w:rsidR="00611878" w:rsidRDefault="00672C55">
      <w:pPr>
        <w:ind w:left="1438" w:right="706"/>
      </w:pPr>
      <w:r>
        <w:t>In entrambi i casi sarà accettato che per la vivibilità sia data anche solo con una bassa spesa cosa che passa sotto il nome di “ristrutturazione”; da un altro lato si deve considerare abitabile, senza nessun dubbio ciò che prima veniva definito restrutturabile. In chiusura sono stati contati 35000 appartamenti come abitabili – poiché sono già abitati.</w:t>
      </w:r>
      <w:r>
        <w:rPr>
          <w:vertAlign w:val="superscript"/>
        </w:rPr>
        <w:footnoteReference w:id="247"/>
      </w:r>
      <w:r>
        <w:rPr>
          <w:vertAlign w:val="superscript"/>
        </w:rPr>
        <w:footnoteReference w:id="248"/>
      </w:r>
      <w:r>
        <w:t xml:space="preserve">  </w:t>
      </w:r>
    </w:p>
    <w:p w:rsidR="00611878" w:rsidRPr="005B6AE9" w:rsidRDefault="00672C55">
      <w:pPr>
        <w:spacing w:after="0" w:line="259" w:lineRule="auto"/>
        <w:ind w:left="1419" w:right="0" w:firstLine="0"/>
        <w:jc w:val="left"/>
        <w:rPr>
          <w:sz w:val="2"/>
          <w:szCs w:val="2"/>
        </w:rPr>
      </w:pPr>
      <w:r w:rsidRPr="005B6AE9">
        <w:rPr>
          <w:sz w:val="2"/>
          <w:szCs w:val="2"/>
        </w:rPr>
        <w:lastRenderedPageBreak/>
        <w:t xml:space="preserve"> </w:t>
      </w:r>
    </w:p>
    <w:p w:rsidR="00611878" w:rsidRDefault="00672C55" w:rsidP="00264D17">
      <w:pPr>
        <w:spacing w:after="0" w:line="357" w:lineRule="auto"/>
        <w:ind w:left="561" w:right="697"/>
        <w:jc w:val="left"/>
      </w:pPr>
      <w:r>
        <w:rPr>
          <w:sz w:val="24"/>
        </w:rPr>
        <w:t xml:space="preserve">Il lavoro di sgombero delle macerie e dei calcinacci spettava alle donne. Gli uomini, infatti, se erano rientrati già in Patria, dovevano fare i conti con lo shock della guerra che molto spesso li aveva resi inermi, passivi allo scorrere degli eventi. L’operazione era estremamente pesante ma anche molto utile nella lotta per la sopravvivenza di tutti contro tutti in atto nella capitale. Una descrizione accurata di questo lavoro è fornita da Gunter Grass  </w:t>
      </w:r>
    </w:p>
    <w:p w:rsidR="005B6AE9" w:rsidRDefault="005B6AE9">
      <w:pPr>
        <w:spacing w:after="26"/>
        <w:ind w:left="1438" w:right="706"/>
      </w:pPr>
    </w:p>
    <w:p w:rsidR="00611878" w:rsidRDefault="00672C55">
      <w:pPr>
        <w:spacing w:after="26"/>
        <w:ind w:left="1438" w:right="706"/>
      </w:pPr>
      <w:r>
        <w:t>Polvere di mattone, le dico, polvere di mattone dappertutto! Nell’aria, nei vestiti, tra i denti e non so ancora dove. Ma noi donne non ce ne fregava niente. C’era la pace, finalmente, questo importava. E oggi ci vogliono costruire un monumento addirittura. Ma certo! C’è una vera e propria iniziativa per la Donna delle Macerie di Berlino. a quei tempi però, quando tutti intorno c’erano solo rovine e montagne di calcinacci dove riuscivi a passare, ti davano appena 61 pfennig all’ora, me lo ricordo bene. Ma c’era anche una tessera migliore, si chiamava numero due, era una tessera da lavoratore perché su quella delle casalinghe c’erano solo 300 grammi di pane al giorno e 7 grammi scarsi di strutto. Cosa ci facevi poi con sta miseria, lo chiedo a lei.  […] e una volta, me lo ricordo ancora, abbiamo rovistato in un appartamento vuoto, danneggiato solo in parte. Non c’era più niente, soltanto la tappezzeria a brandelli. Ma in un angolo Lotte ha trovato un orsacchiotto. Era pieno di polvere, prima che gli desse una sbattuta. Poi sembrava come nuovo. E ci siamo chieste tutte cosa ne sarà stato del bambino a cui l’orsacchiotto apparteneva. Nessuna della nostra squadra l’ha voluto tenere finché Lotte l’ha preso per il suo Felix, perché allora il piccolo era ancora vivo</w:t>
      </w:r>
      <w:r w:rsidR="00CB2F28">
        <w:rPr>
          <w:rStyle w:val="Rimandonotaapidipagina"/>
        </w:rPr>
        <w:footnoteReference w:id="249"/>
      </w:r>
      <w:r>
        <w:t xml:space="preserve">.         </w:t>
      </w:r>
    </w:p>
    <w:p w:rsidR="00611878" w:rsidRDefault="00672C55">
      <w:pPr>
        <w:spacing w:after="115" w:line="259" w:lineRule="auto"/>
        <w:ind w:left="566" w:right="0" w:firstLine="0"/>
        <w:jc w:val="left"/>
      </w:pPr>
      <w:r>
        <w:rPr>
          <w:sz w:val="24"/>
        </w:rPr>
        <w:t xml:space="preserve"> </w:t>
      </w:r>
    </w:p>
    <w:p w:rsidR="00611878" w:rsidRDefault="00264D17">
      <w:pPr>
        <w:spacing w:line="366" w:lineRule="auto"/>
        <w:ind w:left="561" w:right="707"/>
      </w:pPr>
      <w:r>
        <w:rPr>
          <w:sz w:val="24"/>
        </w:rPr>
        <w:t>L’</w:t>
      </w:r>
      <w:r w:rsidR="00672C55">
        <w:rPr>
          <w:sz w:val="24"/>
        </w:rPr>
        <w:t xml:space="preserve">obbiettivo sovietico non era solamente vincere la guerra, schiacciare i nazisti ed essere i primi della coalizione ad entrare a Berlino. C’era una guerra nascosta, non dichiarata, per dimostrare la forza sovietica alle potenze Alleate, che passava attraverso molti segnali. L’urgenza dei sovietici era quella di conquistare la Reichsbank per poter accaparrare un bottino molto ricco di 2.389 kg d’oro, 12 tonnellate di monete d’argento ed una quantità non identificata di banconote dei paesi occupati. Mettere le mani sul bottino di guerra era dunque uno degli obbiettivi fondamentali, ma un altro aspetto fondamentale era riuscire a fare proprie le conoscenze tecniche e scientifiche dei tedeschi, soprattutto quelle della Siemens e riuscire a sviluppare il razzo V-2. </w:t>
      </w:r>
    </w:p>
    <w:p w:rsidR="00611878" w:rsidRDefault="00672C55">
      <w:pPr>
        <w:spacing w:line="366" w:lineRule="auto"/>
        <w:ind w:left="561" w:right="707"/>
      </w:pPr>
      <w:r>
        <w:rPr>
          <w:sz w:val="24"/>
        </w:rPr>
        <w:t xml:space="preserve">Oltre alla deportazione in Unione Sovietica dei tecnici e delle rispettive famiglie, c’è stato il trasporto di molto materiale, rivelatosi successivamente inutilizzabili poiché necessitavano di un ambiente meccanico che i russi non erano in grado di sviluppare e garantire.  </w:t>
      </w:r>
    </w:p>
    <w:p w:rsidR="00611878" w:rsidRDefault="00672C55">
      <w:pPr>
        <w:spacing w:line="366" w:lineRule="auto"/>
        <w:ind w:left="561" w:right="707"/>
      </w:pPr>
      <w:r>
        <w:rPr>
          <w:sz w:val="24"/>
        </w:rPr>
        <w:lastRenderedPageBreak/>
        <w:t xml:space="preserve">I soldati sovietici che, come si è visto, spesso non avevano il controllo delle proprie azioni poiché molto spesso si lasciava andare all’alcol, non erano in grado di valorizzare il materiale che si trovavano davanti, poiché se trovavano riserve di grappa o altro le bevevano perdendo la lucidità. Molti, inoltre, soprattutto tra i comandanti depredavano gli uffici e le abitazioni degli alti gerarchi tenendo per loro o regalando ai superiori i grandi oggetti di pregio, come le due doppiette Holland &amp; Holland ricevute da Zukov.  </w:t>
      </w:r>
    </w:p>
    <w:p w:rsidR="00611878" w:rsidRDefault="00672C55">
      <w:pPr>
        <w:spacing w:line="366" w:lineRule="auto"/>
        <w:ind w:left="561" w:right="707"/>
      </w:pPr>
      <w:r>
        <w:rPr>
          <w:sz w:val="24"/>
        </w:rPr>
        <w:t xml:space="preserve"> Le violenze di cittadini russi nei confronti dei tedeschi non erano effettuate solamente da membri dell’Armata Rossa. Non si può ignorare, infatti, la presenza di numerosissimi ragazzi che avevano compiuto lavori coatti durante il nazismo. Questi giovani nutrivano un odio profondo nei confronti dei tedeschi che scaricavano perpetrando violenze e saccheggi nei confronti dei civili. Questo duplice assalto nei confronti dei civili era vissuto con orrore da parte dei tedeschi che tendevano a chiamare “russi” tutti i senzatetto.</w:t>
      </w:r>
      <w:r>
        <w:rPr>
          <w:sz w:val="24"/>
          <w:vertAlign w:val="superscript"/>
        </w:rPr>
        <w:t>251</w:t>
      </w:r>
      <w:r>
        <w:rPr>
          <w:sz w:val="24"/>
        </w:rPr>
        <w:t xml:space="preserve"> </w:t>
      </w:r>
    </w:p>
    <w:p w:rsidR="00611878" w:rsidRDefault="00CB2F28" w:rsidP="00CB2F28">
      <w:pPr>
        <w:spacing w:after="0" w:line="259" w:lineRule="auto"/>
        <w:ind w:left="566" w:right="0" w:firstLine="0"/>
        <w:jc w:val="left"/>
      </w:pPr>
      <w:r>
        <w:t xml:space="preserve">  </w:t>
      </w:r>
    </w:p>
    <w:p w:rsidR="00A12F02" w:rsidRDefault="00A12F02" w:rsidP="00CB2F28">
      <w:pPr>
        <w:spacing w:after="0" w:line="259" w:lineRule="auto"/>
        <w:ind w:left="566" w:right="0" w:firstLine="0"/>
        <w:jc w:val="left"/>
      </w:pPr>
    </w:p>
    <w:p w:rsidR="00A12F02" w:rsidRDefault="00A12F02" w:rsidP="00CB2F28">
      <w:pPr>
        <w:spacing w:after="0" w:line="259" w:lineRule="auto"/>
        <w:ind w:left="566" w:right="0" w:firstLine="0"/>
        <w:jc w:val="left"/>
      </w:pPr>
    </w:p>
    <w:p w:rsidR="00611878" w:rsidRDefault="00672C55">
      <w:pPr>
        <w:pStyle w:val="Titolo3"/>
        <w:ind w:left="561"/>
      </w:pPr>
      <w:r>
        <w:t>3)</w:t>
      </w:r>
      <w:r>
        <w:rPr>
          <w:rFonts w:ascii="Arial" w:eastAsia="Arial" w:hAnsi="Arial" w:cs="Arial"/>
        </w:rPr>
        <w:t xml:space="preserve"> </w:t>
      </w:r>
      <w:r>
        <w:t xml:space="preserve">Stupri e aborti </w:t>
      </w:r>
    </w:p>
    <w:p w:rsidR="00611878" w:rsidRDefault="00672C55">
      <w:pPr>
        <w:spacing w:after="112" w:line="259" w:lineRule="auto"/>
        <w:ind w:left="992" w:right="0" w:firstLine="0"/>
        <w:jc w:val="left"/>
      </w:pPr>
      <w:r>
        <w:rPr>
          <w:sz w:val="24"/>
        </w:rPr>
        <w:t xml:space="preserve"> </w:t>
      </w:r>
    </w:p>
    <w:p w:rsidR="00611878" w:rsidRDefault="00672C55">
      <w:pPr>
        <w:spacing w:after="75" w:line="366" w:lineRule="auto"/>
        <w:ind w:left="551" w:right="707" w:firstLine="425"/>
      </w:pPr>
      <w:r>
        <w:rPr>
          <w:sz w:val="24"/>
        </w:rPr>
        <w:t>Durante la Prima Guerra Mondiale si erano verificati moltissimi casi di stupro da parte delle truppe occupanti e da questi erano stati concepiti molti bambini. Il 7 gennaio 1915 in Francia, si inaugura un aspro dibattito sulla sorte dei nascituri con un sermone citato in un articolo del giornale “Le Matin”</w:t>
      </w:r>
      <w:r>
        <w:rPr>
          <w:i/>
          <w:sz w:val="24"/>
        </w:rPr>
        <w:t xml:space="preserve"> </w:t>
      </w:r>
      <w:r>
        <w:rPr>
          <w:sz w:val="24"/>
        </w:rPr>
        <w:t>nel quale si incitavano le donne violentate dai tedeschi ad abortire. A questo scritto replica dopo poco tempo Barrès che dalle pagine dell’“Echo de Paris” propone ai governanti una legge che prevedesse che fosse lo Stato a farsi carico dell’assistenza dei figli nati dagli stupri. La disputa vedeva gli intellettuali schierati su tre fronti distinti: le femministe moderate ed i cattolici erano assolutamente contrari ad ogni interruzione della vita umana, alcuni non volevano alcun aborto ma non biasimavano le donne che vi ricorrevano, mentre la maggior parte era assolutamente favorevole all’interruzione di gravidanza. Questi ultimi vedevano nei nascituri un pericolo per la società, poiché essi avrebbero ereditato il carattere criminale del padre ed inoltre sarebbero stati influenzati dalla circostanza traumatica del concepimento che ne avrebbe causato una degenerazione mentale e fisica, per questo auspicavano l’</w:t>
      </w:r>
      <w:r>
        <w:rPr>
          <w:i/>
          <w:sz w:val="24"/>
        </w:rPr>
        <w:t>aborto eugenetico</w:t>
      </w:r>
      <w:r>
        <w:rPr>
          <w:sz w:val="24"/>
          <w:vertAlign w:val="superscript"/>
        </w:rPr>
        <w:footnoteReference w:id="250"/>
      </w:r>
      <w:r>
        <w:rPr>
          <w:sz w:val="24"/>
        </w:rPr>
        <w:t xml:space="preserve">.  </w:t>
      </w:r>
    </w:p>
    <w:p w:rsidR="00611878" w:rsidRDefault="00672C55">
      <w:pPr>
        <w:spacing w:line="366" w:lineRule="auto"/>
        <w:ind w:left="551" w:right="707" w:firstLine="425"/>
      </w:pPr>
      <w:r>
        <w:rPr>
          <w:sz w:val="24"/>
        </w:rPr>
        <w:t xml:space="preserve">Durante l’invasione del Belgio i tedeschi avevano violentato a tappeto le donne al punto tale che lo stupro di guerra era stato identificato con gli occupanti. Anche in Germania si era </w:t>
      </w:r>
      <w:r>
        <w:rPr>
          <w:sz w:val="24"/>
        </w:rPr>
        <w:lastRenderedPageBreak/>
        <w:t>vissuto questo fenomeno in Renania, dove gli stupri degli occupanti proseguono oltre la fine della guerra mantenendo, però, la caratteristica bellica dell’umiliazione del nemico sconfitto, essere violentate da un uomo di colore era la pena alla quale dovevano sottoporsi le bionde tedesche</w:t>
      </w:r>
      <w:r>
        <w:rPr>
          <w:sz w:val="24"/>
          <w:vertAlign w:val="superscript"/>
        </w:rPr>
        <w:footnoteReference w:id="251"/>
      </w:r>
      <w:r>
        <w:rPr>
          <w:sz w:val="24"/>
        </w:rPr>
        <w:t xml:space="preserve">. Questo tipo di violenze era cresciuto con il tempo a partire dal 1919 ed era frutto dello stanziamento di truppe occupanti di colore nella regione. Sebbene lo stupro fosse considerato un’onta, la Germania aveva necessità di avere uno strumento di pressione sugli alleati per ottenere indietro le terre. È interessante che, sebbene gli uomini di colore fossero stati definiti da Morel come individui incapaci di contenere le pulsioni sessuali e pericolosi per le donne, il trait-d ’union tra Francia e Germania era costituito dalla criminalizzazione delle donne che comunque erano descritte come “puttanelle” e provocatrici che si aggirano intorno alle caserme. </w:t>
      </w:r>
    </w:p>
    <w:p w:rsidR="00611878" w:rsidRDefault="00672C55">
      <w:pPr>
        <w:spacing w:line="366" w:lineRule="auto"/>
        <w:ind w:left="551" w:right="707" w:firstLine="425"/>
      </w:pPr>
      <w:r>
        <w:rPr>
          <w:sz w:val="24"/>
        </w:rPr>
        <w:t xml:space="preserve">Dunque, la questione degli stupri commessi da soldati neri in Renania, non è solamente una questione di dominio sulle terre, ma anche di inquinamento della razza. È importante rilevare come, sebbene </w:t>
      </w:r>
      <w:r>
        <w:rPr>
          <w:i/>
          <w:sz w:val="24"/>
        </w:rPr>
        <w:t xml:space="preserve">il Mito del 20° secolo </w:t>
      </w:r>
      <w:r>
        <w:rPr>
          <w:sz w:val="24"/>
        </w:rPr>
        <w:t xml:space="preserve">dovesse essere ancora scritto, la questione di fondo sia quella della diffusione sul territorio tedesco di Mischlinge che, pur avendo un padre di colore ma sconosciuto, si sarebbero riconosciuti in una </w:t>
      </w:r>
      <w:r>
        <w:rPr>
          <w:i/>
          <w:sz w:val="24"/>
        </w:rPr>
        <w:t>Vaterland</w:t>
      </w:r>
      <w:r>
        <w:rPr>
          <w:sz w:val="24"/>
        </w:rPr>
        <w:t xml:space="preserve"> di uomini bianchi, che così veniva ancora una volta, ulteriormente, umiliata. Per questo, anche la Santa Sede attraverso Mons. Pacelli cercava di fare pressione sui deputati dell’Assemblée Nationale affinché la Francia ponesse fine all’occupazione della regione. In un promemoria della S. Sede, riportato da Fattorini si legge </w:t>
      </w:r>
    </w:p>
    <w:p w:rsidR="005B6AE9" w:rsidRDefault="005B6AE9">
      <w:pPr>
        <w:spacing w:after="31"/>
        <w:ind w:left="1428" w:right="706" w:firstLine="425"/>
      </w:pPr>
    </w:p>
    <w:p w:rsidR="00611878" w:rsidRDefault="00672C55">
      <w:pPr>
        <w:spacing w:after="31"/>
        <w:ind w:left="1428" w:right="706" w:firstLine="425"/>
      </w:pPr>
      <w:r>
        <w:t>Questi uomini lontani dal loro paese, lontani dalle loro donne, di temperamento fuocoso sentono imperiosamente lo stimolo della carne, tanto più che non lavorano, sono ben nutriti e bevono in abbondanza vino e spirituosi […] l’uomo di colore specialmente il negro forse non è cattivo, ma è però un primitivo e facilmente cede senza alcun ritegno ai suoi istinti brutali […]. E la Germania con orrore e disgusto si vede minacciata nella purezza del suo sangue […] ci guastano il sangue, guastano la purezza del nostro sangue per anni e anni e si avrà da mescolare col sangue delle razze più primitive e diverremo un popolo di mulatti. Ah quest’ultimo affronto non lo vogliamo soffrire! E il senso della solidarietà europea non vedono il pericolo che minaccia tutta l’Europa se la Germania un giorno avesse ad essere abitata da una popolazione proletarizzata, empia e mulattizzata, […] e si incaricherebbero di educare i mulattini, per le Colonie […]. Vitto abitudini, istruzione (anche nelle lingue di quei paesi) tutto sarebbe organizzato in vista di quel loro avvenire in Africa imparerebbero un mestiere e si addestrerebbero nelle faccende di casa, dell’orto, della stalla […].</w:t>
      </w:r>
      <w:r>
        <w:rPr>
          <w:vertAlign w:val="superscript"/>
        </w:rPr>
        <w:footnoteReference w:id="252"/>
      </w:r>
      <w:r>
        <w:t xml:space="preserve">    </w:t>
      </w:r>
    </w:p>
    <w:p w:rsidR="00611878" w:rsidRDefault="00672C55">
      <w:pPr>
        <w:spacing w:after="115" w:line="259" w:lineRule="auto"/>
        <w:ind w:left="1844" w:right="0" w:firstLine="0"/>
        <w:jc w:val="left"/>
      </w:pPr>
      <w:r>
        <w:rPr>
          <w:sz w:val="24"/>
        </w:rPr>
        <w:t xml:space="preserve"> </w:t>
      </w:r>
    </w:p>
    <w:p w:rsidR="00611878" w:rsidRDefault="00672C55">
      <w:pPr>
        <w:spacing w:line="366" w:lineRule="auto"/>
        <w:ind w:left="551" w:right="707" w:firstLine="425"/>
      </w:pPr>
      <w:r>
        <w:rPr>
          <w:sz w:val="24"/>
        </w:rPr>
        <w:lastRenderedPageBreak/>
        <w:t xml:space="preserve">A questo proposito è interessante rilevare che in questa nota ci sia già rilevato il problema di fondo. Esso infatti non risiede tanto nelle violenze che le ragazze dovevano subire, quanto nel rischio di una società che oggi sarebbe definita multietnica. Per questo a partire dal 1933, questi bambini rientrano nel piano di sterilizzazione e il numero di queste operazioni è la più numerosa dopo quello dei malati mentali, dopo aver passato il vaglio di una commissione governativa composta da un membro del governo e due medici. Negli anni ’30 la caccia a questi bambini ormai cresciuti era senzza quartiere e coinvolgeva tutto l’apparato organizzativo ed investigativo dello stato. Emblematica da questo punto di vista quanto accaduto ad A. A. </w:t>
      </w:r>
    </w:p>
    <w:p w:rsidR="005B6AE9" w:rsidRDefault="005B6AE9">
      <w:pPr>
        <w:ind w:left="1428" w:right="706" w:firstLine="425"/>
      </w:pPr>
    </w:p>
    <w:p w:rsidR="00611878" w:rsidRDefault="00672C55">
      <w:pPr>
        <w:ind w:left="1428" w:right="706" w:firstLine="425"/>
      </w:pPr>
      <w:r>
        <w:t xml:space="preserve">Abbiamo ricevuto l’indirizzo di A. A. nato il 14 marzo 1920 e appartenente alla vostra comunità. La polizia costata che il giovane di 17 anni non viveva più a Kandel ma che lavorava come steward su una barca olandese che faceva base nel porto di Duisburg. La Gestapo di Duisburg, contattata immediatamente, ha ritrovato sue tracce a bordo dell’imbarcazione Eagle che faceva rotta verso Ludwigshafen. È lì che la Gestapo di questa cittàche aveva ricevuto l’ordine di arrestarlo e lo ha condotto all’ospedale di Colonia. Due agenti delle SS l’attendevano all’arrivo del battello alle 23:15. Il mandato d’arresto dato al capitano era “alto tradimento”. Il ragazzo fu trasferito nella notte a Colonia. Il capo chirurgo dell’ospedale protestante della città, il professor Nieden, già lo aspettava. Il paziente fu preparato ben presto all’intervento, per il quale il medico ha redatto questo rapporto : « la ferita si è cicatrizzata senza complicazioni. </w:t>
      </w:r>
    </w:p>
    <w:p w:rsidR="00611878" w:rsidRDefault="00672C55">
      <w:pPr>
        <w:spacing w:after="49"/>
        <w:ind w:left="1438" w:right="706"/>
      </w:pPr>
      <w:r>
        <w:t>L’operazione è da considerarsi riuscita al 100%. Il paziente ha lasciato l’ospedale in buone condizioni.</w:t>
      </w:r>
      <w:r>
        <w:rPr>
          <w:vertAlign w:val="superscript"/>
        </w:rPr>
        <w:footnoteReference w:id="253"/>
      </w:r>
      <w:r>
        <w:t xml:space="preserve">  </w:t>
      </w:r>
    </w:p>
    <w:p w:rsidR="00611878" w:rsidRPr="00A12F02" w:rsidRDefault="00672C55">
      <w:pPr>
        <w:spacing w:after="112" w:line="259" w:lineRule="auto"/>
        <w:ind w:left="992" w:right="0" w:firstLine="0"/>
        <w:jc w:val="left"/>
        <w:rPr>
          <w:sz w:val="2"/>
          <w:szCs w:val="2"/>
        </w:rPr>
      </w:pPr>
      <w:r w:rsidRPr="00A12F02">
        <w:rPr>
          <w:sz w:val="2"/>
          <w:szCs w:val="2"/>
        </w:rPr>
        <w:t xml:space="preserve"> </w:t>
      </w:r>
    </w:p>
    <w:p w:rsidR="00611878" w:rsidRDefault="00672C55">
      <w:pPr>
        <w:spacing w:line="366" w:lineRule="auto"/>
        <w:ind w:left="551" w:right="707" w:firstLine="425"/>
      </w:pPr>
      <w:r>
        <w:rPr>
          <w:sz w:val="24"/>
        </w:rPr>
        <w:t xml:space="preserve">È interessante leggere il </w:t>
      </w:r>
      <w:r>
        <w:rPr>
          <w:i/>
          <w:sz w:val="24"/>
        </w:rPr>
        <w:t>Piano francese di una poco larvata annessione della Renania e del bacino della Saar</w:t>
      </w:r>
      <w:r>
        <w:rPr>
          <w:sz w:val="24"/>
        </w:rPr>
        <w:t xml:space="preserve">, elaborato a Parigi il 28 maggio  1922 nel paragrafo dedicato alla politica in Renania si legge </w:t>
      </w:r>
    </w:p>
    <w:p w:rsidR="005B6AE9" w:rsidRDefault="005B6AE9">
      <w:pPr>
        <w:spacing w:after="3" w:line="243" w:lineRule="auto"/>
        <w:ind w:left="1404" w:right="698" w:firstLine="415"/>
        <w:rPr>
          <w:color w:val="222222"/>
          <w:sz w:val="24"/>
          <w:szCs w:val="24"/>
        </w:rPr>
      </w:pPr>
    </w:p>
    <w:p w:rsidR="00611878" w:rsidRPr="00CB2F28" w:rsidRDefault="00672C55">
      <w:pPr>
        <w:spacing w:after="3" w:line="243" w:lineRule="auto"/>
        <w:ind w:left="1404" w:right="698" w:firstLine="415"/>
        <w:rPr>
          <w:sz w:val="24"/>
          <w:szCs w:val="24"/>
        </w:rPr>
      </w:pPr>
      <w:r w:rsidRPr="00CB2F28">
        <w:rPr>
          <w:color w:val="222222"/>
          <w:sz w:val="24"/>
          <w:szCs w:val="24"/>
        </w:rPr>
        <w:t xml:space="preserve">Agli abitanti della Renania certamente non piaceva l'ufficiale prussiano avido e sgradevole, che si era trasferito in questo paese tranquillo, preoccupato per la rigida disciplina e lo spirito di autorità. </w:t>
      </w:r>
    </w:p>
    <w:p w:rsidR="00611878" w:rsidRDefault="00672C55">
      <w:pPr>
        <w:spacing w:after="3" w:line="243" w:lineRule="auto"/>
        <w:ind w:left="1404" w:right="698" w:firstLine="0"/>
      </w:pPr>
      <w:r w:rsidRPr="00CB2F28">
        <w:rPr>
          <w:color w:val="222222"/>
          <w:sz w:val="24"/>
          <w:szCs w:val="24"/>
        </w:rPr>
        <w:t xml:space="preserve">C'è una psicologia in Renania abbastanza complessa ma facile da derimere: queste sono state le promesse entro le quali si sono mosse le vittorie, il rancore di tutte le sconfitte, che gli uomini in armi ha portato pesantemente sul loro suolo. Le truppe di Luigi XIV, di Luigi XV, di Napoleone che si sono succeduti e sono stati sostituiti di Federico il Grande o di Blucher. Geograficamente, intellettualmente il loro polo è </w:t>
      </w:r>
      <w:r w:rsidRPr="00CB2F28">
        <w:rPr>
          <w:color w:val="222222"/>
          <w:sz w:val="24"/>
          <w:szCs w:val="24"/>
        </w:rPr>
        <w:lastRenderedPageBreak/>
        <w:t>posto ad ovest. Degli atti di forza, i grandi disastri dalla fine dell’Impero, li hanno gettato politicamente nel sistema prussiano. […].</w:t>
      </w:r>
      <w:r>
        <w:rPr>
          <w:color w:val="222222"/>
        </w:rPr>
        <w:t xml:space="preserve"> </w:t>
      </w:r>
    </w:p>
    <w:p w:rsidR="00611878" w:rsidRDefault="00672C55">
      <w:pPr>
        <w:spacing w:after="3" w:line="243" w:lineRule="auto"/>
        <w:ind w:left="1404" w:right="698" w:firstLine="415"/>
      </w:pPr>
      <w:r>
        <w:rPr>
          <w:color w:val="222222"/>
        </w:rPr>
        <w:t xml:space="preserve">La grande catastrofe del 1918 è arrivata. La Renania, nei primi mesi del 1919 ha atteso delle modifiche al suo statuto nazionale. Ha creduto all’annessione alla Francia o all’autonomia, e se la prima di queste eventualità sollevava, se non delle resistenze, - le popolazioni renane sono sono abbastanza malleabili e per accettare la decisione della forza – a meno di inquietudini, la seconda sembrava, nell’insieme, essere preferiti. La pace di Versailles ha condotto ad una terza soluzione : l’occupazione interalleata per 5, 10 o 15 anni ma mantenendo la Renania nell’unità tedesca. Tutt’al più sulla solida trama dell’organizzazione amministrativa del Reich, è stato aggiunto qualche organismo interalleato; i funzionari prussiani sono rimasti e con loro la prospettiva di un futuro che non ha alcuna prospettiva di discontinuità con il passato. […]. </w:t>
      </w:r>
    </w:p>
    <w:p w:rsidR="00611878" w:rsidRDefault="00672C55">
      <w:pPr>
        <w:spacing w:after="3" w:line="243" w:lineRule="auto"/>
        <w:ind w:left="1404" w:right="698" w:firstLine="415"/>
      </w:pPr>
      <w:r>
        <w:rPr>
          <w:color w:val="222222"/>
        </w:rPr>
        <w:t>Tutta la politica francese in Renania è in ogni caso subordinata ad una condizione primaria, il mantenimento prolungato della nostra armata del Reno nei territori occupati. Senza questa assicurazione, questa politica è fatalmente precaria. Le popolazioni, l’abbiamo visto, non vogliono compromettersi per una cosa della quale la debolezza sembrava, perché è limitata nel tempo – e limitata alla data stabilita – e incerta – negli strumenti di azione.</w:t>
      </w:r>
      <w:r>
        <w:rPr>
          <w:vertAlign w:val="superscript"/>
        </w:rPr>
        <w:footnoteReference w:id="254"/>
      </w:r>
      <w:r>
        <w:t xml:space="preserve">                  </w:t>
      </w:r>
      <w:r>
        <w:rPr>
          <w:color w:val="222222"/>
        </w:rPr>
        <w:t xml:space="preserve"> </w:t>
      </w:r>
    </w:p>
    <w:p w:rsidR="00611878" w:rsidRPr="0008600D" w:rsidRDefault="00672C55">
      <w:pPr>
        <w:spacing w:after="113" w:line="259" w:lineRule="auto"/>
        <w:ind w:left="992" w:right="0" w:firstLine="0"/>
        <w:jc w:val="left"/>
        <w:rPr>
          <w:sz w:val="2"/>
          <w:szCs w:val="2"/>
        </w:rPr>
      </w:pPr>
      <w:r w:rsidRPr="0008600D">
        <w:rPr>
          <w:sz w:val="2"/>
          <w:szCs w:val="2"/>
        </w:rPr>
        <w:t xml:space="preserve"> </w:t>
      </w:r>
    </w:p>
    <w:p w:rsidR="005B6AE9" w:rsidRDefault="005B6AE9">
      <w:pPr>
        <w:spacing w:line="366" w:lineRule="auto"/>
        <w:ind w:left="551" w:right="707" w:firstLine="425"/>
        <w:rPr>
          <w:sz w:val="24"/>
        </w:rPr>
      </w:pPr>
    </w:p>
    <w:p w:rsidR="00611878" w:rsidRDefault="00672C55">
      <w:pPr>
        <w:spacing w:line="366" w:lineRule="auto"/>
        <w:ind w:left="551" w:right="707" w:firstLine="425"/>
      </w:pPr>
      <w:r>
        <w:rPr>
          <w:sz w:val="24"/>
        </w:rPr>
        <w:t xml:space="preserve">In Renania, dunque, la questione delle violenze si possono iscrivere in una sorta di tentativo complessivo di francesizzazione del territorio che Ludovico Stein ben rappresenta nel capitolo </w:t>
      </w:r>
    </w:p>
    <w:p w:rsidR="00611878" w:rsidRDefault="00672C55">
      <w:pPr>
        <w:spacing w:line="366" w:lineRule="auto"/>
        <w:ind w:left="561" w:right="707"/>
      </w:pPr>
      <w:r>
        <w:rPr>
          <w:i/>
          <w:sz w:val="24"/>
        </w:rPr>
        <w:t>Oro e sangue del Reno</w:t>
      </w:r>
      <w:r>
        <w:rPr>
          <w:sz w:val="24"/>
        </w:rPr>
        <w:t xml:space="preserve"> del suo saggio </w:t>
      </w:r>
      <w:r>
        <w:rPr>
          <w:i/>
          <w:sz w:val="24"/>
        </w:rPr>
        <w:t xml:space="preserve">La tradizionale politica della Francia e l’avvenire Europeo, </w:t>
      </w:r>
      <w:r>
        <w:rPr>
          <w:sz w:val="24"/>
        </w:rPr>
        <w:t xml:space="preserve">pubblicato a Roma nel 1923, analizzando il rapporto di cui è stato precedentemente citato un breve estratto </w:t>
      </w:r>
    </w:p>
    <w:p w:rsidR="005B6AE9" w:rsidRDefault="005B6AE9">
      <w:pPr>
        <w:spacing w:after="42"/>
        <w:ind w:left="1428" w:right="706" w:firstLine="425"/>
      </w:pPr>
    </w:p>
    <w:p w:rsidR="00611878" w:rsidRDefault="00672C55">
      <w:pPr>
        <w:spacing w:after="42"/>
        <w:ind w:left="1428" w:right="706" w:firstLine="425"/>
      </w:pPr>
      <w:r>
        <w:t xml:space="preserve">Bisogna riconoscere che anche questo Rapporto, come la maggior parte dei lavori francesi è di una chiarezza di concetti e di dati tecnici da riscuotere vera ammirazione. Vengono poi segante le tappe, attraverso le quali la Francia dovrà compiere l’opera altrettanto </w:t>
      </w:r>
      <w:r>
        <w:lastRenderedPageBreak/>
        <w:t>grandiosa quanto esiziale per la pace, nonché la prosperità economica europea. […]. Verranno in seguito lo spostamento delle barriere doganali, già una volta tentato nella riva destra del Reno, la trasformazione dell’amministrazione tedesca colla francese, la diffusione della lingua francese con ogni mezzo  di allettamento da una parte e violenza dall’altra, poi la creazione di assemblee dipartimentali ed infine la “protezione dei nuovi dipartimenti” mediante guarnigioni e francesi, e in un primo tempo belghe</w:t>
      </w:r>
      <w:r w:rsidR="00CB2F28">
        <w:rPr>
          <w:rStyle w:val="Rimandonotaapidipagina"/>
        </w:rPr>
        <w:footnoteReference w:id="255"/>
      </w:r>
      <w:r>
        <w:t xml:space="preserve">. </w:t>
      </w:r>
    </w:p>
    <w:p w:rsidR="00611878" w:rsidRDefault="00672C55">
      <w:pPr>
        <w:spacing w:after="115" w:line="259" w:lineRule="auto"/>
        <w:ind w:left="992" w:right="0" w:firstLine="0"/>
        <w:jc w:val="left"/>
      </w:pPr>
      <w:r>
        <w:rPr>
          <w:i/>
          <w:sz w:val="24"/>
        </w:rPr>
        <w:t xml:space="preserve"> </w:t>
      </w:r>
    </w:p>
    <w:p w:rsidR="00611878" w:rsidRDefault="00672C55">
      <w:pPr>
        <w:spacing w:line="366" w:lineRule="auto"/>
        <w:ind w:left="551" w:right="707" w:firstLine="425"/>
      </w:pPr>
      <w:r>
        <w:rPr>
          <w:sz w:val="24"/>
        </w:rPr>
        <w:t xml:space="preserve">La politica francese all’interno della regione si può iscrivere tranquillamente all’interno di quello che Albrecht-Carrié definisce “il sistema francese” per limitare lo strapotere tedesco. La </w:t>
      </w:r>
    </w:p>
    <w:p w:rsidR="00611878" w:rsidRDefault="00672C55" w:rsidP="00CB2F28">
      <w:pPr>
        <w:spacing w:after="278" w:line="366" w:lineRule="auto"/>
        <w:ind w:left="561" w:right="707"/>
      </w:pPr>
      <w:r>
        <w:rPr>
          <w:sz w:val="24"/>
        </w:rPr>
        <w:t xml:space="preserve">Prima Guerra Mondiale era stato l’ennesimo esempio del pericolo che la Germania costituiva per Parigi. All’indomani del conflitto, quindi, occorreva rendere i tedeschi innocui e, soprattutto controllabili. Oltre l’occupazione della Renania, si è portata avanti, quindi, una politica di accordi bilaterali anche con le nazioni che confinavano con la Germania, in particolar modo con la Polonia.  </w:t>
      </w:r>
      <w:r w:rsidR="00CB2F28">
        <w:rPr>
          <w:rStyle w:val="Rimandonotaapidipagina"/>
          <w:sz w:val="24"/>
        </w:rPr>
        <w:footnoteReference w:id="256"/>
      </w:r>
      <w:r>
        <w:rPr>
          <w:rFonts w:ascii="Calibri" w:eastAsia="Calibri" w:hAnsi="Calibri" w:cs="Calibri"/>
          <w:strike/>
        </w:rPr>
        <w:t xml:space="preserve">                                    </w:t>
      </w:r>
      <w:r>
        <w:rPr>
          <w:rFonts w:ascii="Calibri" w:eastAsia="Calibri" w:hAnsi="Calibri" w:cs="Calibri"/>
        </w:rPr>
        <w:t xml:space="preserve"> </w:t>
      </w:r>
    </w:p>
    <w:p w:rsidR="00611878" w:rsidRDefault="00672C55">
      <w:pPr>
        <w:spacing w:line="366" w:lineRule="auto"/>
        <w:ind w:left="551" w:right="707" w:firstLine="425"/>
      </w:pPr>
      <w:r>
        <w:rPr>
          <w:sz w:val="24"/>
        </w:rPr>
        <w:t xml:space="preserve">Nonostante il tentativo del Governo di Parigi di far apparire attraverso i media che l’operazione in Renania fosse esclusivamente una penetrazione pacifica nel rispetto, seppur non di fatto, dell’autodeterminazione dei popoli, la francesizzazione di tutti gli aspetti della vita pubblica di quella regione fanno apparire le truppe come mere forze di occupazione militare. </w:t>
      </w:r>
    </w:p>
    <w:p w:rsidR="00611878" w:rsidRDefault="00672C55">
      <w:pPr>
        <w:spacing w:after="0" w:line="357" w:lineRule="auto"/>
        <w:ind w:left="551" w:right="697" w:firstLine="425"/>
        <w:jc w:val="left"/>
      </w:pPr>
      <w:r>
        <w:rPr>
          <w:sz w:val="24"/>
        </w:rPr>
        <w:t xml:space="preserve">Koller, nel suo studio sulle truppe coloniali in Europa tra il 1919 ed il 1930, illustra come la presenza delle truppe di colore prevalenti nel bacino della Ruhr siano un mezzo di sfiancamento anche morale dei tedeschi </w:t>
      </w:r>
    </w:p>
    <w:p w:rsidR="005B6AE9" w:rsidRDefault="005B6AE9">
      <w:pPr>
        <w:ind w:left="1428" w:right="706" w:firstLine="425"/>
      </w:pPr>
    </w:p>
    <w:p w:rsidR="00611878" w:rsidRDefault="00672C55" w:rsidP="005B6AE9">
      <w:pPr>
        <w:ind w:left="1428" w:right="706"/>
      </w:pPr>
      <w:r>
        <w:t>Per questo uso abbastanza massiccio di truppe coloniali in Renania essa sembra aver dato diverse ragioni. Durante il periodo dei negoziati di pace, il timore di una recrudescenza della guerra può aver lasciato un rapido rimpatrio delle truppe coloniali sembra saggio sembrava opportuno distribuire gli africani in Germania invece che in Francia, in particolare da parte dei soldati bianchi sono stati smobilitati, di cui il lavoratore è urgentemente necessaria per la ricostruzione della patria. Senza dubbio, ma anche un fattore psicologico ha giocato un certo ruolo: in stazionamento forze di occupazione non dovrebbe bianchi tedeschi avvenire particolarmente drastica in mente la misura della loro sconfitta.</w:t>
      </w:r>
      <w:r>
        <w:rPr>
          <w:vertAlign w:val="superscript"/>
        </w:rPr>
        <w:footnoteReference w:id="257"/>
      </w:r>
      <w:r>
        <w:t xml:space="preserve">       </w:t>
      </w:r>
    </w:p>
    <w:p w:rsidR="00611878" w:rsidRDefault="00672C55" w:rsidP="005B6AE9">
      <w:pPr>
        <w:spacing w:after="152" w:line="265" w:lineRule="auto"/>
        <w:ind w:left="1428" w:right="708"/>
      </w:pPr>
      <w:r>
        <w:rPr>
          <w:sz w:val="24"/>
        </w:rPr>
        <w:lastRenderedPageBreak/>
        <w:t>Si calcola, inoltre, che a partire dal gennaio 1920 su un totale di 85.000 soldati di stanza in Renania circa 45.000 africani e che durante l’inverno arrivarono soldati dall’Indocina. Nelson parla di 42.000 unità nella primavera del 1920, 45.000 all’inizio dell’anno seguente.</w:t>
      </w:r>
      <w:r>
        <w:rPr>
          <w:sz w:val="24"/>
          <w:vertAlign w:val="superscript"/>
        </w:rPr>
        <w:footnoteReference w:id="258"/>
      </w:r>
      <w:r>
        <w:rPr>
          <w:sz w:val="24"/>
        </w:rPr>
        <w:t xml:space="preserve"> </w:t>
      </w:r>
    </w:p>
    <w:p w:rsidR="005B6AE9" w:rsidRDefault="005B6AE9">
      <w:pPr>
        <w:spacing w:line="366" w:lineRule="auto"/>
        <w:ind w:left="551" w:right="707" w:firstLine="425"/>
        <w:rPr>
          <w:sz w:val="24"/>
        </w:rPr>
      </w:pPr>
    </w:p>
    <w:p w:rsidR="00611878" w:rsidRDefault="00672C55">
      <w:pPr>
        <w:spacing w:line="366" w:lineRule="auto"/>
        <w:ind w:left="551" w:right="707" w:firstLine="425"/>
      </w:pPr>
      <w:r>
        <w:rPr>
          <w:sz w:val="24"/>
        </w:rPr>
        <w:t xml:space="preserve">Se si confronta la percezione tedesca esposta in un saggio coevo, si può vedere come la percezione della popolazione sia più simile alla visione italiana del fenomeno </w:t>
      </w:r>
    </w:p>
    <w:p w:rsidR="005B6AE9" w:rsidRDefault="005B6AE9">
      <w:pPr>
        <w:spacing w:after="34"/>
        <w:ind w:left="1428" w:right="706" w:firstLine="425"/>
      </w:pPr>
    </w:p>
    <w:p w:rsidR="00611878" w:rsidRDefault="00672C55">
      <w:pPr>
        <w:spacing w:after="34"/>
        <w:ind w:left="1428" w:right="706" w:firstLine="425"/>
      </w:pPr>
      <w:r>
        <w:t>Le regole generali contro il mercato di schiavi mirano a regolamentare la protezione della libertà personale. Da ciò deriva che la versione delle leggi, che all’interno di una potenza – e pronta al potere di civilizzazione degli Stati in un territorio una degradazione che rende schiavi gli uomini liberi, quindi l’oggetto della legge dovrebbe essere trattati come merce.</w:t>
      </w:r>
      <w:r>
        <w:rPr>
          <w:vertAlign w:val="superscript"/>
        </w:rPr>
        <w:footnoteReference w:id="259"/>
      </w:r>
      <w:r>
        <w:t xml:space="preserve">    </w:t>
      </w:r>
    </w:p>
    <w:p w:rsidR="00611878" w:rsidRDefault="00672C55">
      <w:pPr>
        <w:spacing w:after="0" w:line="259" w:lineRule="auto"/>
        <w:ind w:left="992" w:right="0" w:firstLine="0"/>
        <w:jc w:val="left"/>
      </w:pPr>
      <w:r>
        <w:t xml:space="preserve"> </w:t>
      </w:r>
      <w:r>
        <w:rPr>
          <w:sz w:val="24"/>
        </w:rPr>
        <w:t xml:space="preserve">  </w:t>
      </w:r>
    </w:p>
    <w:p w:rsidR="00611878" w:rsidRDefault="00672C55">
      <w:pPr>
        <w:spacing w:line="366" w:lineRule="auto"/>
        <w:ind w:left="551" w:right="707" w:firstLine="425"/>
      </w:pPr>
      <w:r>
        <w:rPr>
          <w:sz w:val="24"/>
        </w:rPr>
        <w:t xml:space="preserve">Inoltre, possiamo ottenere un’ulteriore e interessante lettura a posteriore della situazione tedesca degli stupri in Renania, nella recensione del volume </w:t>
      </w:r>
      <w:r>
        <w:rPr>
          <w:i/>
          <w:sz w:val="24"/>
        </w:rPr>
        <w:t xml:space="preserve">La femme et le soldat: viols et violences de guerre du Moyen Age à nos jours </w:t>
      </w:r>
      <w:r>
        <w:rPr>
          <w:sz w:val="24"/>
        </w:rPr>
        <w:t xml:space="preserve">di José Cubero, Andrea Martini scrive </w:t>
      </w:r>
    </w:p>
    <w:p w:rsidR="005B6AE9" w:rsidRDefault="005B6AE9">
      <w:pPr>
        <w:spacing w:after="49"/>
        <w:ind w:left="1428" w:right="706" w:firstLine="425"/>
        <w:rPr>
          <w:i/>
        </w:rPr>
      </w:pPr>
    </w:p>
    <w:p w:rsidR="00611878" w:rsidRDefault="00672C55">
      <w:pPr>
        <w:spacing w:after="49"/>
        <w:ind w:left="1428" w:right="706" w:firstLine="425"/>
      </w:pPr>
      <w:r>
        <w:rPr>
          <w:i/>
        </w:rPr>
        <w:t xml:space="preserve"> </w:t>
      </w:r>
      <w:r>
        <w:t xml:space="preserve"> All’indomani del conflitto, il trattato di Versailles impose l’occupazione della Renania da parte delle truppe francesi; a questo punto furono i civili tedeschi a entrare in contatto con i soldati francesi, molti dei quali di colore. Ciò inquietò la Germania, dando vita ad una violenta propaganda antifrancese. Cubero pur dando conto degli stupri avvenuti, mostra anche un’altra verità: alcune donne tedesche vissero storie d’amore con gli occupanti durante gli anni di convivenza. Queste donne finirono nel mirino della propaganda tedesca. A fianco allo stupro, l’autore propone al lettore un altro tipo di violenza, la pratica della tonte, la tonsura. Il taglio dei capelli della donna – uno dei simboli della sua sessualità – era un atto dovuto nei confronti della Nazione, motivato dall’accusa di aver minacciato l’integrità etnica/razziale della comunità stessa</w:t>
      </w:r>
      <w:r>
        <w:rPr>
          <w:sz w:val="24"/>
        </w:rPr>
        <w:t>.</w:t>
      </w:r>
      <w:r>
        <w:rPr>
          <w:sz w:val="24"/>
          <w:vertAlign w:val="superscript"/>
        </w:rPr>
        <w:footnoteReference w:id="260"/>
      </w:r>
      <w:r>
        <w:rPr>
          <w:sz w:val="24"/>
        </w:rPr>
        <w:t xml:space="preserve"> </w:t>
      </w:r>
    </w:p>
    <w:p w:rsidR="00611878" w:rsidRDefault="00672C55">
      <w:pPr>
        <w:spacing w:after="143" w:line="259" w:lineRule="auto"/>
        <w:ind w:left="992" w:right="0" w:firstLine="0"/>
        <w:jc w:val="left"/>
      </w:pPr>
      <w:r>
        <w:rPr>
          <w:sz w:val="24"/>
        </w:rPr>
        <w:t xml:space="preserve"> </w:t>
      </w:r>
    </w:p>
    <w:p w:rsidR="00611878" w:rsidRDefault="00672C55">
      <w:pPr>
        <w:spacing w:line="366" w:lineRule="auto"/>
        <w:ind w:left="551" w:right="707" w:firstLine="425"/>
      </w:pPr>
      <w:r>
        <w:rPr>
          <w:sz w:val="24"/>
        </w:rPr>
        <w:t xml:space="preserve">Il discorso di Hindenburg al momento della “riconquista” Palatinato è molto significativo della percezione tedesca delle violenze subite </w:t>
      </w:r>
    </w:p>
    <w:p w:rsidR="005B6AE9" w:rsidRDefault="005B6AE9">
      <w:pPr>
        <w:ind w:left="1428" w:right="706" w:firstLine="425"/>
      </w:pPr>
    </w:p>
    <w:p w:rsidR="00611878" w:rsidRDefault="00672C55">
      <w:pPr>
        <w:ind w:left="1428" w:right="706" w:firstLine="425"/>
      </w:pPr>
      <w:r>
        <w:t xml:space="preserve">Mi è di specialissima soddisfazione il potere oggi essere tra voi per festeggiare insieme la riacquistata libertà del Palatinato. Voi palatini come tutti i tedeschi avete veramente diritto a salutare a fronte alta dopo lunghi e oscuri anni dell’occupazione straniera, i giorni della libertà. Specialemte grave e dura è stata la pressione dell’occupazione del Palatinato e specialmente attive sono state qui le tendenze dei pessimi elementi che tentavano la separazione del </w:t>
      </w:r>
      <w:r>
        <w:lastRenderedPageBreak/>
        <w:t>territorio tedesco e offendevano in pieno accecamento morale la santità della Patria. Con dignità e fermezza, coraggio indefettibile, la popolazione a tutti questi pericoli ha difeso il suo germanesimo.</w:t>
      </w:r>
      <w:r>
        <w:rPr>
          <w:vertAlign w:val="superscript"/>
        </w:rPr>
        <w:footnoteReference w:id="261"/>
      </w:r>
      <w:r>
        <w:t xml:space="preserve">  </w:t>
      </w:r>
    </w:p>
    <w:p w:rsidR="00611878" w:rsidRDefault="00672C55">
      <w:pPr>
        <w:spacing w:after="0" w:line="259" w:lineRule="auto"/>
        <w:ind w:left="1844" w:right="0" w:firstLine="0"/>
        <w:jc w:val="left"/>
      </w:pPr>
      <w:r>
        <w:t xml:space="preserve">   </w:t>
      </w:r>
    </w:p>
    <w:p w:rsidR="00611878" w:rsidRDefault="00672C55">
      <w:pPr>
        <w:spacing w:line="366" w:lineRule="auto"/>
        <w:ind w:left="551" w:right="707" w:firstLine="425"/>
      </w:pPr>
      <w:r>
        <w:rPr>
          <w:sz w:val="24"/>
        </w:rPr>
        <w:t xml:space="preserve">A questa lettura sociale si deve aggiungere quella politica, coeva, che si ottiene dalla lettura di un piccolo pamphlet di Otto Schöny pubblicato nel 1924 </w:t>
      </w:r>
    </w:p>
    <w:p w:rsidR="00611878" w:rsidRDefault="00672C55">
      <w:pPr>
        <w:spacing w:after="4" w:line="267" w:lineRule="auto"/>
        <w:ind w:left="1839" w:right="4107"/>
        <w:jc w:val="left"/>
      </w:pPr>
      <w:r>
        <w:rPr>
          <w:b/>
        </w:rPr>
        <w:t xml:space="preserve">Come stanno le cose a fine novembre 1923? […]. </w:t>
      </w:r>
    </w:p>
    <w:p w:rsidR="00611878" w:rsidRDefault="00672C55">
      <w:pPr>
        <w:ind w:left="1428" w:right="706" w:firstLine="425"/>
      </w:pPr>
      <w:r>
        <w:rPr>
          <w:b/>
        </w:rPr>
        <w:t>Il ministro delle finanze Dott. Luther</w:t>
      </w:r>
      <w:r>
        <w:t xml:space="preserve"> componente del Gabinetto il 22 novembre 1923 si trova al Reichstag. Iniziò con le seguenti parole: </w:t>
      </w:r>
    </w:p>
    <w:p w:rsidR="00611878" w:rsidRDefault="00672C55">
      <w:pPr>
        <w:ind w:left="1428" w:right="706" w:firstLine="425"/>
      </w:pPr>
      <w:r>
        <w:t>„Si può senza dubbio essere sconfitti, così come il popolo tedesco nella sua interezza non ha ancora sufficientemente dimostrato, come la forte pressione dell’emergenza oggi   si trova il popolo e lo stato. Non è comodo, forse, prestare ascolto al ministro delle finanze, oggi. I desideri senza prezzo che il popolo tutto intero ha espresso da anni non sono più realizzabili. Il tempo è trascorso, dove si possa riuscire a cavarsela con un riconoscimento generale. Sarebbe un cattivo colpo per le finanze ma dovrebbe essere fatto.</w:t>
      </w:r>
      <w:r>
        <w:rPr>
          <w:vertAlign w:val="superscript"/>
        </w:rPr>
        <w:footnoteReference w:id="262"/>
      </w:r>
      <w:r>
        <w:t xml:space="preserve">         </w:t>
      </w:r>
    </w:p>
    <w:p w:rsidR="00611878" w:rsidRPr="0008600D" w:rsidRDefault="00672C55">
      <w:pPr>
        <w:spacing w:after="0" w:line="259" w:lineRule="auto"/>
        <w:ind w:left="992" w:right="0" w:firstLine="0"/>
        <w:jc w:val="left"/>
        <w:rPr>
          <w:sz w:val="2"/>
          <w:szCs w:val="2"/>
        </w:rPr>
      </w:pPr>
      <w:r w:rsidRPr="0008600D">
        <w:rPr>
          <w:sz w:val="2"/>
          <w:szCs w:val="2"/>
        </w:rPr>
        <w:t xml:space="preserve"> </w:t>
      </w:r>
    </w:p>
    <w:p w:rsidR="00611878" w:rsidRDefault="00672C55">
      <w:pPr>
        <w:spacing w:line="366" w:lineRule="auto"/>
        <w:ind w:left="551" w:right="707" w:firstLine="425"/>
      </w:pPr>
      <w:r>
        <w:rPr>
          <w:sz w:val="24"/>
        </w:rPr>
        <w:t xml:space="preserve">Durante la Prima Guerra Mondiale, anche il mondo slavo è stato scosso da numerosissime e ripetute violenze di massa nei confronti dei civili. Sicuramente tra i paesi più martoriati c’è la Serbia, da parte della Bulgaria. Nel saggio </w:t>
      </w:r>
      <w:r>
        <w:rPr>
          <w:i/>
          <w:sz w:val="24"/>
        </w:rPr>
        <w:t xml:space="preserve">Gli stupri di massa in Serbia durante la Prima Guerra </w:t>
      </w:r>
    </w:p>
    <w:p w:rsidR="00611878" w:rsidRDefault="00672C55">
      <w:pPr>
        <w:spacing w:line="366" w:lineRule="auto"/>
        <w:ind w:left="561" w:right="707"/>
      </w:pPr>
      <w:r>
        <w:rPr>
          <w:i/>
          <w:sz w:val="24"/>
        </w:rPr>
        <w:t>Mondiale</w:t>
      </w:r>
      <w:r>
        <w:rPr>
          <w:sz w:val="24"/>
        </w:rPr>
        <w:t xml:space="preserve">, Bruna Bianchi cerca di fare un bilancio riportando alcune testimonianze raccolte dalla Commissione Interalleata dal 25 novembre 1915 al mese di aprile 1916 </w:t>
      </w:r>
    </w:p>
    <w:p w:rsidR="005B6AE9" w:rsidRDefault="005B6AE9">
      <w:pPr>
        <w:ind w:left="1428" w:right="706" w:firstLine="425"/>
      </w:pPr>
    </w:p>
    <w:p w:rsidR="00611878" w:rsidRDefault="00672C55">
      <w:pPr>
        <w:ind w:left="1428" w:right="706" w:firstLine="425"/>
      </w:pPr>
      <w:r>
        <w:t xml:space="preserve">A Surdulica la domanda dell’inquirente americano William Dryton se le donne fossero state picchiate o maltrattate venne accolta dagli abitanti con un amaro sorriso “mi hanno risposto che tutte le donne hanno patito tutto ciò che una donna può patire”. </w:t>
      </w:r>
    </w:p>
    <w:p w:rsidR="00611878" w:rsidRDefault="00672C55">
      <w:pPr>
        <w:spacing w:after="35"/>
        <w:ind w:left="1428" w:right="706" w:firstLine="425"/>
      </w:pPr>
      <w:r>
        <w:t>Le mogli e le figlie dei deportati erano stuprate pubblicamente. Né mancavano torture morali. Mentre si consumavano torture di massa, le donne furono costrette a partecipare a danze e festeggiamenti organizzati per celebrare la “morte del serbismo”, come ricordò il sindaco del paese: “Il comandante si accaniva proprio sulle donne in lutto; non voleva allontanarsi prima di averle viste impegnate nelle danze. Esse danzavano e piangevano con loro. È stato il momento più doloroso del regime bulgaro</w:t>
      </w:r>
      <w:r w:rsidR="00CB2F28">
        <w:rPr>
          <w:rStyle w:val="Rimandonotaapidipagina"/>
        </w:rPr>
        <w:footnoteReference w:id="263"/>
      </w:r>
      <w:r>
        <w:t>.</w:t>
      </w:r>
    </w:p>
    <w:p w:rsidR="00611878" w:rsidRDefault="00672C55">
      <w:pPr>
        <w:spacing w:after="115" w:line="259" w:lineRule="auto"/>
        <w:ind w:left="992" w:right="0" w:firstLine="0"/>
        <w:jc w:val="left"/>
      </w:pPr>
      <w:r>
        <w:rPr>
          <w:sz w:val="24"/>
        </w:rPr>
        <w:t xml:space="preserve">   </w:t>
      </w:r>
    </w:p>
    <w:p w:rsidR="00611878" w:rsidRDefault="00672C55">
      <w:pPr>
        <w:spacing w:after="36" w:line="366" w:lineRule="auto"/>
        <w:ind w:left="551" w:right="707" w:firstLine="425"/>
      </w:pPr>
      <w:r>
        <w:rPr>
          <w:sz w:val="24"/>
        </w:rPr>
        <w:lastRenderedPageBreak/>
        <w:t xml:space="preserve">Adoin-Rouzeau sostiene che alla fine del conflitto il problema degli stupri e delle loro conseguenze sociali diventi banale, mentre posa l’attenzione sull’uso strumentale e politico che ne viene fatto in alcuni paesi, nei quali diventa un’arma nelle mani delle correnti nazionalistiche. In Prussia si comincia a parlare delle atrocità cosacche già nei primi anni di guerra. Nel 1915 in Germania, viene pubblicato un libro intitolato </w:t>
      </w:r>
      <w:r>
        <w:rPr>
          <w:i/>
          <w:sz w:val="24"/>
        </w:rPr>
        <w:t>Atrocità commesse dalle unità russe verso i cittadini ed i prigionieri di guerra tedeschi</w:t>
      </w:r>
      <w:r>
        <w:rPr>
          <w:sz w:val="24"/>
        </w:rPr>
        <w:t xml:space="preserve"> contenente le dichiarazioni giurate dei testimoni delle violenze. Secondo lo stesso autore il nazionalismo tedesco degli anni ’20 e ’30 fa breccia nelle regioni più colpite dalle violenze proprio perché fa leva sugli stupri e le violenze commesse, creando i prodromi della fobia collettiva che sarà cavalcata vent’anni dopo, durante la Campagna di Russia</w:t>
      </w:r>
      <w:r w:rsidR="00CB2F28">
        <w:rPr>
          <w:rStyle w:val="Rimandonotaapidipagina"/>
          <w:sz w:val="24"/>
        </w:rPr>
        <w:footnoteReference w:id="264"/>
      </w:r>
      <w:r>
        <w:rPr>
          <w:sz w:val="24"/>
        </w:rPr>
        <w:t xml:space="preserve">. </w:t>
      </w:r>
    </w:p>
    <w:p w:rsidR="00611878" w:rsidRDefault="00672C55" w:rsidP="00CB2F28">
      <w:pPr>
        <w:spacing w:after="191" w:line="366" w:lineRule="auto"/>
        <w:ind w:left="551" w:right="707" w:firstLine="425"/>
      </w:pPr>
      <w:r>
        <w:rPr>
          <w:sz w:val="24"/>
        </w:rPr>
        <w:t xml:space="preserve">La fobia degli slavi è presente anche in Italia dove il contatto era avvenuto sul fronte orientale. Nei mesi tra lo scoppio della Prima Guerra Mondiale e l’ingresso nel conflitto dell’Italia, il regno sabaudo si trova a fare i conti con migliaia </w:t>
      </w:r>
      <w:r w:rsidR="00CB2F28">
        <w:rPr>
          <w:sz w:val="24"/>
        </w:rPr>
        <w:t xml:space="preserve">di profughi, che scappati dalle </w:t>
      </w:r>
      <w:r>
        <w:rPr>
          <w:sz w:val="24"/>
        </w:rPr>
        <w:t xml:space="preserve">terre contese, avevano disertato la chiamata alle armi dell’esercito asburgico. L’Italia ha mostrato in diversi modi nel corso del conflitto la sua concezione antislava, che ha preso diverse forme e vie </w:t>
      </w:r>
    </w:p>
    <w:p w:rsidR="00611878" w:rsidRDefault="00672C55">
      <w:pPr>
        <w:ind w:left="1428" w:right="706" w:firstLine="425"/>
      </w:pPr>
      <w:r>
        <w:t>Io vorrei sapere, signori del Governo, quali siano i rapporti di controllo , quale sia l’azione della Corte dei Conti  sul bilancio della Croce Rossa , quale sia l’azione  delle Commissioni provinciali di beneficienza sulle esplicazioni di questa istituzione; vorrei sapere che cosa è stato dato a questa istituzione durante la guerra, e come, con quale reddito preciso il denaro venne usato. Lo so. Quando durante la guerra alcune timide osservazioni vennero fatte, fu risposto con parole alate (le parole alate si chiamano così perché somigliano agli uccelli: molte penne e poca testa). (</w:t>
      </w:r>
      <w:r>
        <w:rPr>
          <w:i/>
        </w:rPr>
        <w:t>Ilarità</w:t>
      </w:r>
      <w:r>
        <w:t xml:space="preserve">). </w:t>
      </w:r>
    </w:p>
    <w:p w:rsidR="00611878" w:rsidRDefault="00672C55">
      <w:pPr>
        <w:ind w:left="1428" w:right="706" w:firstLine="425"/>
      </w:pPr>
      <w:r>
        <w:t>L’istituto della Croce Rossa subì tutto il pervertimento della guerra. Che direte voi, onorevoli colleghi, quando io vi ripeterò che durante la ritirata di Caporetto le nostre Croci Rosse arsero il materiale di medicazione affinché non cadesse in mano del nemico a lenire i dolori dei nostri stessi prigionieri, oltreché di tutti gli uomini combattenti? Che direte voi quando vi dirò che la Croce Rossa ha respinto i pacchi inviati da cittadini russi residenti a Roma, ai poveri prigionieri in Germania? Il pensiero pace è stato rivolto e distrutto in questo pervertimento del senso morale che corruppe il paese. Or bene, la guerra passò, rimase l’abitudine della grandezza e della facioneria</w:t>
      </w:r>
      <w:r>
        <w:rPr>
          <w:vertAlign w:val="superscript"/>
        </w:rPr>
        <w:footnoteReference w:id="265"/>
      </w:r>
      <w:r>
        <w:t xml:space="preserve">   </w:t>
      </w:r>
      <w:r>
        <w:rPr>
          <w:sz w:val="24"/>
        </w:rPr>
        <w:t xml:space="preserve">  </w:t>
      </w:r>
    </w:p>
    <w:p w:rsidR="00611878" w:rsidRDefault="00672C55">
      <w:pPr>
        <w:spacing w:after="0" w:line="259" w:lineRule="auto"/>
        <w:ind w:left="992" w:right="0" w:firstLine="0"/>
        <w:jc w:val="left"/>
      </w:pPr>
      <w:r>
        <w:rPr>
          <w:sz w:val="24"/>
        </w:rPr>
        <w:t xml:space="preserve"> </w:t>
      </w:r>
    </w:p>
    <w:p w:rsidR="00611878" w:rsidRDefault="00672C55">
      <w:pPr>
        <w:spacing w:after="49" w:line="366" w:lineRule="auto"/>
        <w:ind w:left="551" w:right="707" w:firstLine="425"/>
      </w:pPr>
      <w:r>
        <w:rPr>
          <w:sz w:val="24"/>
        </w:rPr>
        <w:t xml:space="preserve">Negli anni ’20 e ’30 le legislazioni dei vari paesi europei favorivano l’incremento delle nascite, deprecando gli aborti. I metodi contraccettivi si erano via via perfezionati, quindi, tutte le creature concepite dovevano vedere la luce. Le leggi varate reprimevano con forza gli aborti, scoraggiavano le donne che non si sentivano in grado di terminare la gravidanza, dipingendole </w:t>
      </w:r>
      <w:r>
        <w:rPr>
          <w:sz w:val="24"/>
        </w:rPr>
        <w:lastRenderedPageBreak/>
        <w:t>come esseri che impediscono un “rigoglioso sviluppo del nostro popolo”</w:t>
      </w:r>
      <w:r>
        <w:rPr>
          <w:sz w:val="24"/>
          <w:vertAlign w:val="superscript"/>
        </w:rPr>
        <w:footnoteReference w:id="266"/>
      </w:r>
      <w:r>
        <w:rPr>
          <w:sz w:val="24"/>
        </w:rPr>
        <w:t xml:space="preserve">. Questo però non aveva scoraggiato gli aborti che erano praticati in clandestinità. Secondo i dati raccolti dalla polizia criminale di Lipsia tra il 1936 ed il 1945 sono stati portati avanti 38 procedimenti penali contro altrettante donne, di etä compresa tra i 20 ed i 36 anni  che avevano abortito o avevano tentato di farlo. Sorprende gli stessi inquirenti il fatto che gli sborti siano stati praticati in pieno centro città tra Brühl, Adolf Hitler Straße, Pistorisstraße, Schleussig, Lützner Straße,… l’atto d’accusa nei loro confronti utilizza termini che sono esplificativi della concezione che era alla base della politica anti abortista dello stato nazista: le donne hanno </w:t>
      </w:r>
      <w:r>
        <w:rPr>
          <w:i/>
          <w:sz w:val="24"/>
        </w:rPr>
        <w:t>Leibesfrucht abgetötet</w:t>
      </w:r>
      <w:r>
        <w:rPr>
          <w:sz w:val="24"/>
        </w:rPr>
        <w:t>, letteralmente “ucciso il frutto del loro corpo”. In una società nella quale la maternità era il perno, l’unico scopo nella vita di una donna risultava incomprensibile come ella potesse disfarsi del frutto di se stessa. Come ben evidenziato da Kasten nessuno prendeva assolutamente in considerazione le difficoltà ambientali e sociali nelle quali le donne si trovavano a dover affrontare all’indomani della crisi economica, con l’innalzamento del costo della vita che spingeva già moltissimi a commettere reati comuni.</w:t>
      </w:r>
      <w:r>
        <w:rPr>
          <w:sz w:val="24"/>
          <w:vertAlign w:val="superscript"/>
        </w:rPr>
        <w:footnoteReference w:id="267"/>
      </w:r>
      <w:r>
        <w:rPr>
          <w:sz w:val="24"/>
        </w:rPr>
        <w:t xml:space="preserve"> </w:t>
      </w:r>
    </w:p>
    <w:p w:rsidR="00611878" w:rsidRDefault="00672C55">
      <w:pPr>
        <w:spacing w:line="366" w:lineRule="auto"/>
        <w:ind w:left="551" w:right="707" w:firstLine="425"/>
      </w:pPr>
      <w:r>
        <w:rPr>
          <w:sz w:val="24"/>
        </w:rPr>
        <w:t>La guerra aveva sovvertito i ruoli sociali, attribuendo alle donne compiti precedentemente maschili, ma lasciando agli uomini l’illusione che tutto fosse comunque sotto il loro controllo: “il controllo degli uomini, lo splendore del mondo nazista vacilla - e con lui il mito “Uomo”. Nei primi anni di guerra gli uomini potevano contare su questo, che spettasse a loro il privilegio della morte per la patria”.</w:t>
      </w:r>
      <w:r>
        <w:rPr>
          <w:sz w:val="24"/>
          <w:vertAlign w:val="superscript"/>
        </w:rPr>
        <w:footnoteReference w:id="268"/>
      </w:r>
      <w:r>
        <w:rPr>
          <w:sz w:val="24"/>
        </w:rPr>
        <w:t xml:space="preserve"> Per la prima volta dopo anni le donne si trovano ad affrontare il mondo degli uomini, dei maschi. Dovevano guardarli, parlare e agire con loro dopo tanto tempo e, soprattutto, si trovavano davanti un “muro” di uomini che non ha orecchie per sentire il linguaggio internazionale delle grida di dolore. È significativo come una delle donne accusate di aver abortito giustifica il suo essere incinta  </w:t>
      </w:r>
    </w:p>
    <w:p w:rsidR="005B6AE9" w:rsidRDefault="005B6AE9">
      <w:pPr>
        <w:spacing w:after="38"/>
        <w:ind w:left="1428" w:right="706" w:firstLine="425"/>
      </w:pPr>
    </w:p>
    <w:p w:rsidR="00611878" w:rsidRDefault="00672C55">
      <w:pPr>
        <w:spacing w:after="38"/>
        <w:ind w:left="1428" w:right="706" w:firstLine="425"/>
      </w:pPr>
      <w:r>
        <w:t>Sono incinta di tre mesi. il padre è mio marito che sta sempre a casa. Non ho mai avuto relazioni con altri uomini.</w:t>
      </w:r>
      <w:r>
        <w:rPr>
          <w:vertAlign w:val="superscript"/>
        </w:rPr>
        <w:footnoteReference w:id="269"/>
      </w:r>
      <w:r>
        <w:t xml:space="preserve">  </w:t>
      </w:r>
    </w:p>
    <w:p w:rsidR="00611878" w:rsidRDefault="00672C55">
      <w:pPr>
        <w:spacing w:after="112" w:line="259" w:lineRule="auto"/>
        <w:ind w:left="992" w:right="0" w:firstLine="0"/>
        <w:jc w:val="left"/>
      </w:pPr>
      <w:r>
        <w:rPr>
          <w:sz w:val="24"/>
        </w:rPr>
        <w:t xml:space="preserve"> </w:t>
      </w:r>
    </w:p>
    <w:p w:rsidR="00611878" w:rsidRDefault="00672C55">
      <w:pPr>
        <w:spacing w:line="366" w:lineRule="auto"/>
        <w:ind w:left="551" w:right="707" w:firstLine="425"/>
      </w:pPr>
      <w:r>
        <w:rPr>
          <w:sz w:val="24"/>
        </w:rPr>
        <w:lastRenderedPageBreak/>
        <w:t xml:space="preserve">Gli uomini, privati delle loro mansioni abituali e disorientati dalla guerra perdono le loro certezze e vagano o giacciono inermi. </w:t>
      </w:r>
    </w:p>
    <w:p w:rsidR="00611878" w:rsidRDefault="00672C55">
      <w:pPr>
        <w:spacing w:line="366" w:lineRule="auto"/>
        <w:ind w:left="551" w:right="707" w:firstLine="425"/>
      </w:pPr>
      <w:r>
        <w:rPr>
          <w:sz w:val="24"/>
        </w:rPr>
        <w:t xml:space="preserve">Rispetto agli altri paesi d’Europa, inoltre, il regime nazista aveva creato un eccessivo </w:t>
      </w:r>
      <w:r>
        <w:rPr>
          <w:i/>
          <w:sz w:val="24"/>
        </w:rPr>
        <w:t>Mutterkult</w:t>
      </w:r>
      <w:r>
        <w:rPr>
          <w:sz w:val="24"/>
          <w:vertAlign w:val="superscript"/>
        </w:rPr>
        <w:footnoteReference w:id="270"/>
      </w:r>
      <w:r>
        <w:rPr>
          <w:sz w:val="24"/>
        </w:rPr>
        <w:t>, culto della madre, basato esclusivamente sull’infinita capacità di procreazione delle donne ariane. Questo vero e proprio culto della capacità di procreare della donna, secondo la filosofia nazista, la rende completamente dipendente dalla volontà e dai desideri dell’uomo. Infatti, come evidenziato da Schoppmann questa dipendenza era assoluta e totale al punto da considerare l’omosessualità maschile un problema di stato da curare o da internare, mentre a non trattare quella femminile. Poiché la donna era un semplice contenitore di bambini i suoi desideri  e le sue aspirazioni erano assolutamente posti in secondo piano.</w:t>
      </w:r>
      <w:r>
        <w:rPr>
          <w:sz w:val="24"/>
          <w:vertAlign w:val="superscript"/>
        </w:rPr>
        <w:footnoteReference w:id="271"/>
      </w:r>
      <w:r>
        <w:rPr>
          <w:sz w:val="24"/>
        </w:rPr>
        <w:t xml:space="preserve"> </w:t>
      </w:r>
    </w:p>
    <w:p w:rsidR="00611878" w:rsidRDefault="00672C55">
      <w:pPr>
        <w:spacing w:line="366" w:lineRule="auto"/>
        <w:ind w:left="551" w:right="707" w:firstLine="425"/>
      </w:pPr>
      <w:r>
        <w:rPr>
          <w:sz w:val="24"/>
        </w:rPr>
        <w:t xml:space="preserve">Esso supera di gran lunga le campagne fatte in Italia da Mussolini per lo stesso obbiettivo, poiché avevano come base un radicato orgoglio razziale. Le ragazze e le donne che vivono la Seconda Guerra Mondiale sanno che abortire è un reato contro lo Stato, contro il Volk, ma dipende dal bambino. L’attuazione nel Reich del piano T4, che prevedeva la soppressione delle </w:t>
      </w:r>
      <w:r>
        <w:rPr>
          <w:i/>
          <w:sz w:val="24"/>
        </w:rPr>
        <w:t>unwerte Leben</w:t>
      </w:r>
      <w:r>
        <w:rPr>
          <w:sz w:val="24"/>
        </w:rPr>
        <w:t xml:space="preserve">, ovvero di tutti gli individui improduttivi, aveva convinto le donne che tutti i bambini che avrebbero ereditato la gloria dell’Impero nazionalsocialista sarebbero dovuti essere perfetti, ariani. I figli delle violenze sovietiche sono per metà slavi, quindi, penultimi nella piramide razziale di Rosenberg che li aveva convinti che i loro figli sarebbero dovuti essere </w:t>
      </w:r>
    </w:p>
    <w:p w:rsidR="00611878" w:rsidRDefault="00672C55">
      <w:pPr>
        <w:spacing w:line="366" w:lineRule="auto"/>
        <w:ind w:left="561" w:right="707"/>
      </w:pPr>
      <w:r>
        <w:rPr>
          <w:sz w:val="24"/>
        </w:rPr>
        <w:t>“come il Credo, così l’uomo”</w:t>
      </w:r>
      <w:r>
        <w:rPr>
          <w:sz w:val="24"/>
          <w:vertAlign w:val="superscript"/>
        </w:rPr>
        <w:footnoteReference w:id="272"/>
      </w:r>
      <w:r>
        <w:rPr>
          <w:sz w:val="24"/>
        </w:rPr>
        <w:t>, dunque degli individui pericolosi e da sopprimere. Questi bambini erano diversi dal credo nazista, quindi, non avevano il diritto di nascere nel Reich, anche se decadente: “Per la Germania nazista anche una piccola goccia di quello che era considerato un sangue impuro, macchiava un individuo la cui identità derivava esclusivamente da quella macchia”.</w:t>
      </w:r>
      <w:r>
        <w:rPr>
          <w:sz w:val="24"/>
          <w:vertAlign w:val="superscript"/>
        </w:rPr>
        <w:footnoteReference w:id="273"/>
      </w:r>
      <w:r>
        <w:rPr>
          <w:sz w:val="24"/>
        </w:rPr>
        <w:t xml:space="preserve"> Essi, infatti, rientravano a malapena nei criteri indicati da Himmler per la concessione della cittadinanza tedesca</w:t>
      </w:r>
      <w:r>
        <w:rPr>
          <w:sz w:val="24"/>
          <w:vertAlign w:val="superscript"/>
        </w:rPr>
        <w:footnoteReference w:id="274"/>
      </w:r>
      <w:r>
        <w:rPr>
          <w:sz w:val="24"/>
        </w:rPr>
        <w:t xml:space="preserve">, atto che, come tutte le concessioni, è calato all’alto e non dovuto.  </w:t>
      </w:r>
    </w:p>
    <w:p w:rsidR="00611878" w:rsidRDefault="00672C55">
      <w:pPr>
        <w:spacing w:line="366" w:lineRule="auto"/>
        <w:ind w:left="551" w:right="707" w:firstLine="425"/>
      </w:pPr>
      <w:r>
        <w:rPr>
          <w:sz w:val="24"/>
        </w:rPr>
        <w:lastRenderedPageBreak/>
        <w:t>La sconfitta e gli stupri da parte dei sovietici avevano spento ogni sogno di gloria. Le donne avevano presto capito che il nemico stava entrando in casa, devastando e prendendosi il bene più prezioso: il futuro. Ovviamente i soldati sovietici non avevano l’accortezza di usare contraccettivi, che avrebbero limitato il loro piacere fisico, rovinando il loro gioco, bensì spargevano il loro seme che, alcune volte, germogliava. Questa situazione si vive in tutte le zone occupate, nelle quali si combatteva ma, a differenza della Germania, l’arco temporale nel quale si compiono le violenze è molto breve e si limita al momento della liberazione. Questi atti lasciano, comunque, dietro di sé donne incinte dall’onore segnato per sempre, non lasciando altra scelta che l’aborto</w:t>
      </w:r>
      <w:r>
        <w:rPr>
          <w:sz w:val="24"/>
          <w:vertAlign w:val="superscript"/>
        </w:rPr>
        <w:footnoteReference w:id="275"/>
      </w:r>
      <w:r>
        <w:rPr>
          <w:sz w:val="24"/>
        </w:rPr>
        <w:t xml:space="preserve">. </w:t>
      </w:r>
    </w:p>
    <w:p w:rsidR="00611878" w:rsidRDefault="00672C55">
      <w:pPr>
        <w:spacing w:line="366" w:lineRule="auto"/>
        <w:ind w:left="551" w:right="707" w:firstLine="425"/>
      </w:pPr>
      <w:r>
        <w:rPr>
          <w:sz w:val="24"/>
        </w:rPr>
        <w:t xml:space="preserve">Quel piccolo embrione che cresceva con il trascorrere del tempo era un problema sociale nella Berlino del 1945. La guerra era finita. La guerra era persa e i vincitori potevano prendere tutti i trofei che volevano. Come dimostrato dalle richieste di aborto giunte nell’autunno successivo al </w:t>
      </w:r>
      <w:r>
        <w:rPr>
          <w:i/>
          <w:sz w:val="24"/>
        </w:rPr>
        <w:t>Gesundheitsamt</w:t>
      </w:r>
      <w:r>
        <w:rPr>
          <w:sz w:val="24"/>
        </w:rPr>
        <w:t xml:space="preserve">, l’ufficio di sanità, la firma del trattato di pace tra i grandi uomini di Stato che scrivono la Storia, fa tacere le armi, ma non fa terminare la guerra degli uomini. </w:t>
      </w:r>
    </w:p>
    <w:p w:rsidR="00611878" w:rsidRDefault="00672C55">
      <w:pPr>
        <w:spacing w:line="366" w:lineRule="auto"/>
        <w:ind w:left="551" w:right="707" w:firstLine="425"/>
      </w:pPr>
      <w:r>
        <w:rPr>
          <w:sz w:val="24"/>
        </w:rPr>
        <w:t xml:space="preserve">I soldati dell’Armata Rossa continuano a stuprare, a violare corpi e a creare embrioni. Nella Berlino occupata e divisa, davanti al problema delle migliaia di gravidanze indesiderate, si concede l’assistenza sanitaria a tutte coloro che volessero interromperla. I documenti certificano che questo non si deve intendere come una legalizzazione dell’aborto, bensì come la risposta ad un’emergenza. </w:t>
      </w:r>
    </w:p>
    <w:p w:rsidR="00611878" w:rsidRDefault="00672C55">
      <w:pPr>
        <w:spacing w:line="366" w:lineRule="auto"/>
        <w:ind w:left="551" w:right="707" w:firstLine="425"/>
      </w:pPr>
      <w:r>
        <w:rPr>
          <w:sz w:val="24"/>
        </w:rPr>
        <w:t>Le donne affidavano ad un foglio il loro dolore, scrivendo e giurando di essere state violentate da un membro delle truppe sovietiche. Spesso la carta sulla quale sono impresse queste dichiarazioni è rimediata da un quaderno a quadretti o un atto formale battuto a macchina in qualche ufficio, ma il desiderio che emerge è sempre lo stesso: “Dichiaro sotto giuramento che nell´Agosto 1945 sono stata violentata, prego di interrompere la gravidanza”.</w:t>
      </w:r>
      <w:r>
        <w:rPr>
          <w:sz w:val="24"/>
          <w:vertAlign w:val="superscript"/>
        </w:rPr>
        <w:footnoteReference w:id="276"/>
      </w:r>
      <w:r>
        <w:rPr>
          <w:sz w:val="24"/>
        </w:rPr>
        <w:t xml:space="preserve"> </w:t>
      </w:r>
    </w:p>
    <w:p w:rsidR="00611878" w:rsidRDefault="00672C55">
      <w:pPr>
        <w:spacing w:line="366" w:lineRule="auto"/>
        <w:ind w:left="551" w:right="707" w:firstLine="425"/>
      </w:pPr>
      <w:r>
        <w:rPr>
          <w:sz w:val="24"/>
        </w:rPr>
        <w:lastRenderedPageBreak/>
        <w:t>La volontà di abortire è ferrea, non un dubbio traspare dalle carte. Eppure abortire significa separarsi per sempre da una creatura che per qualche mese è stata parte di sé come un braccio, una gamba, un occhio, o forse di più, perché si è nutrito ed è cresciuto grazie al cordone che lo legava strettamente alla sua mamma. Centinaia di donne pronte, o inconsapevoli, ad affrontare le conseguenze della propria scelta, del proprio arbitrio: ormoni impazziti, perché improvvisamente privati del compito al quale si erano preparati, ma soprattutto, affrontare il</w:t>
      </w:r>
      <w:r>
        <w:rPr>
          <w:i/>
          <w:color w:val="FF0000"/>
          <w:sz w:val="24"/>
        </w:rPr>
        <w:t xml:space="preserve"> </w:t>
      </w:r>
      <w:r>
        <w:rPr>
          <w:sz w:val="24"/>
        </w:rPr>
        <w:t xml:space="preserve">senso di colpa. Nessun documento racconta il “dopo”, ma esso soffoca le donne che abortiscono per cause naturali, figurarsi coloro che hanno voluto cacciare quel piccolo mostro rosso, il loro piccolo.   </w:t>
      </w:r>
    </w:p>
    <w:p w:rsidR="00611878" w:rsidRDefault="00672C55">
      <w:pPr>
        <w:spacing w:line="366" w:lineRule="auto"/>
        <w:ind w:left="551" w:right="707" w:firstLine="425"/>
      </w:pPr>
      <w:r>
        <w:rPr>
          <w:sz w:val="24"/>
        </w:rPr>
        <w:t xml:space="preserve">Il ruolo del medico è molto particolare. Egli, infatti, non ha il compito di informare o tranquillizzare, ma solo quello di certificare la gravidanza, senza costatare l’avvenuto stupro, come uno dei tanti burocrati. Questo perché il clima vigente in tempo di guerra, quando la violenza era quotidiana e nessuno la denunciava, era assolutamente normale. La sua funzione era solamente quella di contribuire all’ordine sociale evitando di far nascere i “figli del nemico” e assicurarsi che le vittime non avessero contratto alcuna malattia venerea. </w:t>
      </w:r>
    </w:p>
    <w:p w:rsidR="00611878" w:rsidRDefault="00672C55">
      <w:pPr>
        <w:spacing w:line="366" w:lineRule="auto"/>
        <w:ind w:left="551" w:right="707" w:firstLine="425"/>
      </w:pPr>
      <w:r>
        <w:rPr>
          <w:sz w:val="24"/>
        </w:rPr>
        <w:t>Spesso le dichiarazioni giurate ed il certificato medico si trovano sulla stessa pagina battuta a macchina, come fosse un modulo prestampato come la dichiarazione di K. P., la cui pratica si compone di un unico foglio: “Assicuro sotto giuramento che dall’arrivo dell’Armata Rossa sono stata violentata da un Russo. Mi trovo al terzo mese di gravidanza e prego cortesemente di interrompere la gravidanza. Frau K. P. […] è incinta di tre mesi. Non è stata riscontrata alcuna infezione”</w:t>
      </w:r>
      <w:r w:rsidR="0065399F">
        <w:rPr>
          <w:rStyle w:val="Rimandonotaapidipagina"/>
          <w:sz w:val="24"/>
        </w:rPr>
        <w:footnoteReference w:id="277"/>
      </w:r>
      <w:r>
        <w:rPr>
          <w:sz w:val="24"/>
        </w:rPr>
        <w:t xml:space="preserve">. </w:t>
      </w:r>
    </w:p>
    <w:p w:rsidR="00611878" w:rsidRDefault="00672C55">
      <w:pPr>
        <w:spacing w:line="366" w:lineRule="auto"/>
        <w:ind w:left="551" w:right="707" w:firstLine="425"/>
      </w:pPr>
      <w:r>
        <w:rPr>
          <w:sz w:val="24"/>
        </w:rPr>
        <w:t xml:space="preserve">Le richieste di aborto, però, potevano essere anche più articolate, come nel caso di M. S. che inoltra una richiesta formale battuta a macchina al competente ufficio sanitario. </w:t>
      </w:r>
    </w:p>
    <w:p w:rsidR="005B6AE9" w:rsidRDefault="005B6AE9">
      <w:pPr>
        <w:ind w:left="1854" w:right="706"/>
      </w:pPr>
    </w:p>
    <w:p w:rsidR="00611878" w:rsidRDefault="00672C55">
      <w:pPr>
        <w:ind w:left="1854" w:right="706"/>
      </w:pPr>
      <w:r>
        <w:t xml:space="preserve">Io do all'Ufficio della Sanità Comunale la seguente comunicazione: </w:t>
      </w:r>
    </w:p>
    <w:p w:rsidR="00611878" w:rsidRDefault="00672C55">
      <w:pPr>
        <w:ind w:left="1428" w:right="706" w:firstLine="425"/>
      </w:pPr>
      <w:r>
        <w:t xml:space="preserve">Ero in ospedale dal 1.1.45 nel lazzaretto 138 di Mariendorfer. Dopo che i russi avevano occupato il nostro territorio, abbiamo alloggiato in un ospedale fino al 05/10/45 (giorno dell’Ascensione) ero stata mandata dalle Hertzberge a Berlino Lichterfelde.  </w:t>
      </w:r>
    </w:p>
    <w:p w:rsidR="0065399F" w:rsidRDefault="00672C55" w:rsidP="0065399F">
      <w:pPr>
        <w:spacing w:after="442"/>
        <w:ind w:left="1428" w:right="706" w:firstLine="425"/>
      </w:pPr>
      <w:r>
        <w:t xml:space="preserve">Il 29 aprile di quest’anno Avevo ottenuto il permesso di tornare a casa una volta e ci conosciamo tutti le cose. Lungo la strada sono stata, purtroppo, fermata da 2 russi.durante il periodo nel quale ero in montagna, più o meno fino a metà maggio è successo anche un’altra volta. Hanno preso qualcuna sotto la loro attenzione che doveva semplicemente obbedire, altrimenti avrebbe pagato con la morte ed è stato minacciato con la pistola. Le paure e gli orrori che abbiamo vissuto sono difficili da immaginare. Siamo stati poi esaminati dai nostri medici lì, per vedere se ci avevano infettato ma il risultato è stato negativo. Non era stato </w:t>
      </w:r>
      <w:r>
        <w:lastRenderedPageBreak/>
        <w:t>possibile attestare la gravidanza di cui mi sono accorta solamente in seguito. I risultati sono inclusi. Chiedo pertanto di poter accedere all’aborto</w:t>
      </w:r>
      <w:r w:rsidR="0065399F">
        <w:rPr>
          <w:rStyle w:val="Rimandonotaapidipagina"/>
        </w:rPr>
        <w:footnoteReference w:id="278"/>
      </w:r>
      <w:r>
        <w:t xml:space="preserve">.       </w:t>
      </w:r>
    </w:p>
    <w:p w:rsidR="00611878" w:rsidRPr="0065399F" w:rsidRDefault="0065399F" w:rsidP="0065399F">
      <w:pPr>
        <w:spacing w:after="442" w:line="360" w:lineRule="auto"/>
        <w:ind w:left="567" w:right="709" w:firstLine="425"/>
        <w:rPr>
          <w:sz w:val="24"/>
          <w:szCs w:val="24"/>
        </w:rPr>
      </w:pPr>
      <w:r w:rsidRPr="0065399F">
        <w:rPr>
          <w:rFonts w:eastAsia="Calibri"/>
          <w:sz w:val="24"/>
          <w:szCs w:val="24"/>
        </w:rPr>
        <w:t>Q</w:t>
      </w:r>
      <w:r w:rsidR="00672C55" w:rsidRPr="0065399F">
        <w:rPr>
          <w:sz w:val="24"/>
          <w:szCs w:val="24"/>
        </w:rPr>
        <w:t xml:space="preserve">uesta testimonianza è molto interessante per i linguaggio che usa che è estremamente significativo. La violenza subita non viene descritta ma viene fatta intendere dall’uso dell’espressione </w:t>
      </w:r>
      <w:r w:rsidR="00672C55" w:rsidRPr="0065399F">
        <w:rPr>
          <w:i/>
          <w:sz w:val="24"/>
          <w:szCs w:val="24"/>
        </w:rPr>
        <w:t xml:space="preserve">“wurde ich leider angehalten und musste mit 2 Russen mit”, </w:t>
      </w:r>
      <w:r w:rsidR="00672C55" w:rsidRPr="0065399F">
        <w:rPr>
          <w:sz w:val="24"/>
          <w:szCs w:val="24"/>
        </w:rPr>
        <w:t>dove l’utilizzo del verbo</w:t>
      </w:r>
      <w:r w:rsidR="00672C55" w:rsidRPr="0065399F">
        <w:rPr>
          <w:i/>
          <w:sz w:val="24"/>
          <w:szCs w:val="24"/>
        </w:rPr>
        <w:t xml:space="preserve"> anhalten</w:t>
      </w:r>
      <w:r w:rsidR="00672C55" w:rsidRPr="0065399F">
        <w:rPr>
          <w:sz w:val="24"/>
          <w:szCs w:val="24"/>
        </w:rPr>
        <w:t xml:space="preserve">, fermare, è evidentemente sinonimo di violentare, esattamente come l’espressione successiva </w:t>
      </w:r>
      <w:r w:rsidR="00672C55" w:rsidRPr="0065399F">
        <w:rPr>
          <w:i/>
          <w:sz w:val="24"/>
          <w:szCs w:val="24"/>
        </w:rPr>
        <w:t>“nocheinmal”.</w:t>
      </w:r>
      <w:r w:rsidR="00672C55" w:rsidRPr="0065399F">
        <w:rPr>
          <w:sz w:val="24"/>
          <w:szCs w:val="24"/>
        </w:rPr>
        <w:t xml:space="preserve"> Questo uso improprio della lingua testimonia come nella realtà berlinese del secondo dopoguerra gli stupri fossero un fenomeno normale, consueto, quotidiano, secondo il concetto che Bourke definisce di Prevalenza di un soldato su una donna appartenente al popolo sconfitto. Secondo la storica inglese, inoltre, la metodologia della guerra di contatto tra i civili e i militari favorisce ed incrementa il fenomeno degli stupri, che è assente nelle guerre di trincea o nelle battaglie navali dove avviene una sorta di segregazione dei militari in ambienti chiusi e controllati. </w:t>
      </w:r>
    </w:p>
    <w:p w:rsidR="00611878" w:rsidRDefault="00672C55">
      <w:pPr>
        <w:spacing w:after="26" w:line="366" w:lineRule="auto"/>
        <w:ind w:left="551" w:right="707" w:firstLine="425"/>
      </w:pPr>
      <w:r>
        <w:rPr>
          <w:sz w:val="24"/>
        </w:rPr>
        <w:t xml:space="preserve">Come i nazisti erano terrorizzati dal pericolo di contrarre malattie potenzialmente mortali come il tifo, così i tedeschi del primissimo dopoguerra avevano la paura, ben più concreta, di un’epidemia di malattie veneree, prima fra tutte la sifilide, importata con la forza dall’occupante sovietico. Le autorità stilavano periodicamente delle statistiche con i dati della popolazione malata e le percentuali di aumento. Se si prende a riferimento la sola città di Berlino, i numeri rappresentano freddamente ciò che le denunce riportano sul piano umano. La razionalizzazione matematica del fenomeno era, però, fondamentale per evitare il dilagare incontrollato delle malattie, poiché nel mese di luglio 1946 nel quartiere di Reinickendorf, i casi </w:t>
      </w:r>
      <w:r>
        <w:rPr>
          <w:sz w:val="24"/>
        </w:rPr>
        <w:lastRenderedPageBreak/>
        <w:t>di sifilide raggiungono le 67 unità, contro le 42 del mese precedente, mentre quelli di gonorrea salgono</w:t>
      </w:r>
      <w:r>
        <w:rPr>
          <w:i/>
          <w:color w:val="FF0000"/>
          <w:sz w:val="24"/>
        </w:rPr>
        <w:t xml:space="preserve"> </w:t>
      </w:r>
      <w:r>
        <w:rPr>
          <w:sz w:val="24"/>
        </w:rPr>
        <w:t>da 114 a 132</w:t>
      </w:r>
      <w:r w:rsidR="0065399F">
        <w:rPr>
          <w:rStyle w:val="Rimandonotaapidipagina"/>
          <w:sz w:val="24"/>
        </w:rPr>
        <w:footnoteReference w:id="279"/>
      </w:r>
      <w:r>
        <w:rPr>
          <w:sz w:val="24"/>
        </w:rPr>
        <w:t xml:space="preserve">.  </w:t>
      </w:r>
    </w:p>
    <w:p w:rsidR="00611878" w:rsidRDefault="00672C55" w:rsidP="0065399F">
      <w:pPr>
        <w:spacing w:line="360" w:lineRule="auto"/>
        <w:ind w:left="551" w:right="707" w:firstLine="425"/>
      </w:pPr>
      <w:r>
        <w:rPr>
          <w:sz w:val="24"/>
        </w:rPr>
        <w:t xml:space="preserve">Gli stupri, dunque, continuano. Nel Landesarchiv di Berlino sono conservati i certificati medici che accompagnano le richieste di aborto. Il quartiere più interessato è Reinickendorf, mentre le altre deposizioni sono registrate nella zona sudorientale di Neukölln. Non avendo altri riferimenti nei racconti delle giovani, si può ipotizzare che fossero le due zone di raccolta del Gesundheitsamt. Le dichiarazioni giurate portano i timbri di tre date: il 7, il 9 ed il 16 ottobre </w:t>
      </w:r>
    </w:p>
    <w:p w:rsidR="00611878" w:rsidRDefault="00672C55" w:rsidP="0065399F">
      <w:pPr>
        <w:spacing w:after="384" w:line="360" w:lineRule="auto"/>
        <w:ind w:left="561" w:right="707"/>
      </w:pPr>
      <w:r>
        <w:rPr>
          <w:sz w:val="24"/>
        </w:rPr>
        <w:t>1945, come se fossero appuntamenti prestabiliti, mentre l</w:t>
      </w:r>
      <w:r w:rsidR="0065399F">
        <w:rPr>
          <w:sz w:val="24"/>
        </w:rPr>
        <w:t>e richieste di aborto hanno una</w:t>
      </w:r>
      <w:r>
        <w:rPr>
          <w:rFonts w:ascii="Calibri" w:eastAsia="Calibri" w:hAnsi="Calibri" w:cs="Calibri"/>
          <w:strike/>
        </w:rPr>
        <w:t xml:space="preserve">                          </w:t>
      </w:r>
      <w:r>
        <w:rPr>
          <w:rFonts w:ascii="Calibri" w:eastAsia="Calibri" w:hAnsi="Calibri" w:cs="Calibri"/>
        </w:rPr>
        <w:t xml:space="preserve"> </w:t>
      </w:r>
      <w:r w:rsidR="0065399F">
        <w:t xml:space="preserve"> </w:t>
      </w:r>
      <w:r>
        <w:rPr>
          <w:sz w:val="24"/>
        </w:rPr>
        <w:t xml:space="preserve">periodizzazione più ampia che parte dall’agosto precedente. Infatti, è impossibile che gli stupri siano un fenomeno che interessa la città a macchia di leopardo e che le donne abbiano deciso simultaneamente di abortire.  </w:t>
      </w:r>
    </w:p>
    <w:p w:rsidR="00611878" w:rsidRDefault="00672C55">
      <w:pPr>
        <w:spacing w:line="366" w:lineRule="auto"/>
        <w:ind w:left="551" w:right="707" w:firstLine="425"/>
      </w:pPr>
      <w:r>
        <w:rPr>
          <w:sz w:val="24"/>
        </w:rPr>
        <w:t>La presa in carico da parte dell’ufficio di sanità apre ad un nuovo approccio con l’aborto. Mentre fino a quel momento la clandestinità che aveva accompagnato le interruzioni di gravidanza erano il risultato della politica a favore della natalità, che faceva apparire gli aborti come qualcosa di esecrabile e moralmente condannabile, alla fine della Seconda Guerra Mondiale erano diventati un fatto pubblico, di cui si doveva fare custode e garante la sanità. Quindi, se prima occorreva difendersi anche dai famosi muri con le orecchie, soprattutto quelle dei bagni, dei corridoi e di tutti i luoghi in cui si svolgevano clandestinamente le operazioni, ora occorreva renderle pubbliche, allegando una dichiarazione giurata e una certificazione medica attestante lo stato di gravidanza.</w:t>
      </w:r>
      <w:r>
        <w:rPr>
          <w:sz w:val="24"/>
          <w:vertAlign w:val="superscript"/>
        </w:rPr>
        <w:footnoteReference w:id="280"/>
      </w:r>
      <w:r>
        <w:rPr>
          <w:sz w:val="24"/>
        </w:rPr>
        <w:t xml:space="preserve">   </w:t>
      </w:r>
    </w:p>
    <w:p w:rsidR="00611878" w:rsidRDefault="00672C55">
      <w:pPr>
        <w:spacing w:line="366" w:lineRule="auto"/>
        <w:ind w:left="551" w:right="707" w:firstLine="425"/>
      </w:pPr>
      <w:r>
        <w:rPr>
          <w:sz w:val="24"/>
        </w:rPr>
        <w:t>I documenti,</w:t>
      </w:r>
      <w:r>
        <w:rPr>
          <w:i/>
          <w:sz w:val="24"/>
        </w:rPr>
        <w:t xml:space="preserve"> </w:t>
      </w:r>
      <w:r>
        <w:rPr>
          <w:sz w:val="24"/>
        </w:rPr>
        <w:t>però, pongono dei quesiti: oltre a riportare la stessa data di registrazione all’ufficio di sanità, infatti, i concepimenti avvengono tutti nello stesso periodo tra fine giugno e luglio 1945. Le donne si trovano al III mese di gravidanza e, di conseguenza gli stupri vanno datati tutti ad un arco temporale successivo alla firma dell’armistizio, le richieste di aborto cominciano a piovere in autunno, con il ritorno degli uomini dal fronte</w:t>
      </w:r>
      <w:r>
        <w:rPr>
          <w:sz w:val="24"/>
          <w:vertAlign w:val="superscript"/>
        </w:rPr>
        <w:footnoteReference w:id="281"/>
      </w:r>
      <w:r>
        <w:rPr>
          <w:sz w:val="24"/>
        </w:rPr>
        <w:t xml:space="preserve">. Anche le testimonianze di alcune donne confermano il trimestre maggio- giugno-luglio 1945 come quello con il più alto tasso di violenze sessuali a Berlino. Lo stupro, dunque, non era sono un’arma di guerra, ma anche di pace </w:t>
      </w:r>
    </w:p>
    <w:p w:rsidR="00611878" w:rsidRDefault="00672C55">
      <w:pPr>
        <w:spacing w:after="34"/>
        <w:ind w:left="1428" w:right="706" w:firstLine="425"/>
      </w:pPr>
      <w:r>
        <w:lastRenderedPageBreak/>
        <w:t>Dichiaro sotto giuramento che io il 12 luglio 1945 da un soldato russo all’interno dell’aeroporto, rapita e portata in un edificio dove erano altre ragazze. Qui ci hanno rinchiuso sotto la minaccia di una pistola e non potevamo sederci a causa di uno sbarramento. Prego di interrompere la gravidanza.</w:t>
      </w:r>
      <w:r>
        <w:rPr>
          <w:vertAlign w:val="superscript"/>
        </w:rPr>
        <w:footnoteReference w:id="282"/>
      </w:r>
      <w:r>
        <w:t xml:space="preserve">        </w:t>
      </w:r>
    </w:p>
    <w:p w:rsidR="00611878" w:rsidRDefault="00672C55">
      <w:pPr>
        <w:spacing w:after="115" w:line="259" w:lineRule="auto"/>
        <w:ind w:left="992" w:right="0" w:firstLine="0"/>
        <w:jc w:val="left"/>
      </w:pPr>
      <w:r>
        <w:rPr>
          <w:sz w:val="24"/>
        </w:rPr>
        <w:t xml:space="preserve">  </w:t>
      </w:r>
    </w:p>
    <w:p w:rsidR="00611878" w:rsidRDefault="00672C55">
      <w:pPr>
        <w:spacing w:line="366" w:lineRule="auto"/>
        <w:ind w:left="1002" w:right="707"/>
      </w:pPr>
      <w:r>
        <w:rPr>
          <w:sz w:val="24"/>
        </w:rPr>
        <w:t xml:space="preserve">E ancora </w:t>
      </w:r>
    </w:p>
    <w:p w:rsidR="00611878" w:rsidRDefault="00672C55">
      <w:pPr>
        <w:ind w:left="1428" w:right="706" w:firstLine="425"/>
      </w:pPr>
      <w:r>
        <w:t>All’inizio di giugno di quest’anno sono stata violentata da un russo con l’aiuto di una pistola e ora mi trovo al 3° mese di gravidanza. Prego di interrompere la gravidanza e dichiaro sotto giuramento che quanto affermato risponde a verità.</w:t>
      </w:r>
      <w:r>
        <w:rPr>
          <w:vertAlign w:val="superscript"/>
        </w:rPr>
        <w:footnoteReference w:id="283"/>
      </w:r>
      <w:r>
        <w:t xml:space="preserve">  </w:t>
      </w:r>
    </w:p>
    <w:p w:rsidR="00611878" w:rsidRDefault="00672C55">
      <w:pPr>
        <w:spacing w:after="0" w:line="259" w:lineRule="auto"/>
        <w:ind w:left="992" w:right="0" w:firstLine="0"/>
        <w:jc w:val="left"/>
      </w:pPr>
      <w:r>
        <w:t xml:space="preserve"> </w:t>
      </w:r>
    </w:p>
    <w:p w:rsidR="00611878" w:rsidRDefault="00672C55">
      <w:pPr>
        <w:spacing w:line="366" w:lineRule="auto"/>
        <w:ind w:left="551" w:right="707" w:firstLine="425"/>
      </w:pPr>
      <w:r>
        <w:rPr>
          <w:sz w:val="24"/>
        </w:rPr>
        <w:t>La guerra aveva sovvertito i ruoli sociali e le donne si erano trovate a ricoprirne alcuni prettamente maschili. Dal punto di vista sessuale, però, lo sfruttamento che viene perpetrato sul loro corpo non cambia. Gli uomini che tornati a casa  trovano le loro donne incinte a causa degli stupri russi non hanno voglia di ascoltare le loro storie di violenza perché ognuno ne ha vissuta la sua</w:t>
      </w:r>
      <w:r>
        <w:rPr>
          <w:color w:val="FF0000"/>
          <w:sz w:val="24"/>
        </w:rPr>
        <w:t xml:space="preserve"> </w:t>
      </w:r>
      <w:r>
        <w:rPr>
          <w:sz w:val="24"/>
        </w:rPr>
        <w:t xml:space="preserve"> parte e le spingono ad abortire. Questo è un aspetto molto controverso della questione perché, ovviamente, nessuna ragazza fa mai esplicito riferimento ad alcuna pressione ricevuta dall’esterno, in un solo caso emerge il timore di deludere il proprio marito, quello di B. B. che in una dichiarazione autografa del 18 settembre 1945 racconta di essere stata violentata dai russi a Stettino: “Mio marito si trova da 3 anni rinchiuso in una prigione americana. Ho [già] un figlio e per me risulta impossibile avere un figlio da un russo. La prego di aiutarmi. Non ho la tessera annonaria.</w:t>
      </w:r>
      <w:r>
        <w:rPr>
          <w:sz w:val="24"/>
          <w:vertAlign w:val="superscript"/>
        </w:rPr>
        <w:footnoteReference w:id="284"/>
      </w:r>
      <w:r>
        <w:rPr>
          <w:sz w:val="24"/>
        </w:rPr>
        <w:t xml:space="preserve"> Dai dati raccolti il 12 agosto 1945, la zona di occupazione russa risulta essere quella con il più alto numero di popolazione femminile 669.243, contro le 541. 531 del settore americano, 326.475 di quello britannico e 237.487 di quello francese. Occorre, però, sottolineare che i quartieri controllati dai sovietici (Mitte, Prenzlauer Berg, Friedrichshein, Treptow, Köpenick, Lichtenberg, Weißensee, Pankow) erano quelli più abitati in assoluto.</w:t>
      </w:r>
      <w:r>
        <w:rPr>
          <w:sz w:val="24"/>
          <w:vertAlign w:val="superscript"/>
        </w:rPr>
        <w:footnoteReference w:id="285"/>
      </w:r>
      <w:r>
        <w:rPr>
          <w:sz w:val="24"/>
        </w:rPr>
        <w:t xml:space="preserve"> È interessante notare come nei documenti C. Rep. 106 che racchiudono le statistiche della città di Berlino da Agosto 1945 a Novembre 1948 non ci sia alcuna rilevazione statistica sulle violenze sessuali, tra i dati sulla disoccupazione, i bambini da assistere, le persone rimaste senza casa, i </w:t>
      </w:r>
      <w:r>
        <w:rPr>
          <w:sz w:val="24"/>
        </w:rPr>
        <w:lastRenderedPageBreak/>
        <w:t xml:space="preserve">costi per gli ospedali e i numeri riguardanti i delitti contro le persone e la criminalità giovanile, gli stupri non hanno “dignità” di rilevazione. </w:t>
      </w:r>
    </w:p>
    <w:p w:rsidR="00611878" w:rsidRDefault="00672C55">
      <w:pPr>
        <w:spacing w:line="366" w:lineRule="auto"/>
        <w:ind w:left="551" w:right="707" w:firstLine="567"/>
      </w:pPr>
      <w:r>
        <w:rPr>
          <w:sz w:val="24"/>
        </w:rPr>
        <w:t xml:space="preserve">Lo stupro commesso da un uomo di una razza considerata inferiore era considerato qualcosa di socialmente insopportabile, un trauma, un’onta della quale non ci si sarebbe mai liberati. In un articolo del 1942 la teoria razziale antisovietica è ben illustrata in un articolo di Armando Tosti pubblicato su </w:t>
      </w:r>
      <w:r>
        <w:rPr>
          <w:i/>
          <w:sz w:val="24"/>
        </w:rPr>
        <w:t>La difesa della Razza</w:t>
      </w:r>
      <w:r>
        <w:rPr>
          <w:sz w:val="24"/>
        </w:rPr>
        <w:t xml:space="preserve"> dal titolo </w:t>
      </w:r>
      <w:r>
        <w:rPr>
          <w:i/>
          <w:sz w:val="24"/>
        </w:rPr>
        <w:t>Il messianismo russo</w:t>
      </w:r>
      <w:r>
        <w:rPr>
          <w:sz w:val="24"/>
        </w:rPr>
        <w:t xml:space="preserve">, che tratta dei rapporti della popolazione civile con gli ebrei </w:t>
      </w:r>
    </w:p>
    <w:p w:rsidR="005B6AE9" w:rsidRDefault="005B6AE9">
      <w:pPr>
        <w:spacing w:after="28"/>
        <w:ind w:left="1428" w:right="706" w:firstLine="566"/>
      </w:pPr>
    </w:p>
    <w:p w:rsidR="00611878" w:rsidRDefault="00672C55">
      <w:pPr>
        <w:spacing w:after="28"/>
        <w:ind w:left="1428" w:right="706" w:firstLine="566"/>
      </w:pPr>
      <w:r>
        <w:t xml:space="preserve">Le stragi di Ebrei si ripetono quasi ogni anno all’avvicinarsi della Pasqua: il popolo, in un impeto di fanatismo, li assale nelle loro abitazioni, li batte, li uccide, mandando in rovina e mettendo a sacco le loro case, facendo proprie vittime anche coloro che, come dei medici e degli studenti, si sono schierati in difesa dei perseguitati. Il popolaccio apatico, ubriacone e poco amante del lavoro, nutre un vivissimo senso di invidia per gli Ebrei che esercitano largamente quel commercio di denaro il quale, per la sua speciale natura, è fonte perenne di odi e di rancori. </w:t>
      </w:r>
    </w:p>
    <w:p w:rsidR="00611878" w:rsidRDefault="00672C55">
      <w:pPr>
        <w:spacing w:after="34"/>
        <w:ind w:left="1438" w:right="706"/>
      </w:pPr>
      <w:r>
        <w:t xml:space="preserve">[…]. Secondo il suo biografo inglese, il Veale, Lenin “è esattamente il tipo di cui si fanno i grandi missionari” e gli Israeliti gli perdonano il suo ateismo appunto perché bolscevismo e giudaismo si confondono, perché gli Ebrei costituiscono lo stato maggiore bolscevico in ragione dell’80 o 90 per cento. Quando il dittatore rosso muore ecco quello che pubblica il </w:t>
      </w:r>
      <w:r>
        <w:rPr>
          <w:i/>
        </w:rPr>
        <w:t>Jewish World</w:t>
      </w:r>
      <w:r>
        <w:t xml:space="preserve"> del 21 gennaio 1924: “Fra coloro che hanno dimostrato un profondo dolore per la morte di Lenin sono gli Ebrei […]. I fanciulli delle scuole Israelite hanno seguito il corteo; il Teatro dell’Arte Ebraica (Habima) ha mandato una bandiera con questa iscrizione: Tu hai liberato le nazioni il tuo ricordo sarà eterno!”</w:t>
      </w:r>
      <w:r>
        <w:rPr>
          <w:vertAlign w:val="superscript"/>
        </w:rPr>
        <w:footnoteReference w:id="286"/>
      </w:r>
      <w:r>
        <w:t xml:space="preserve">    </w:t>
      </w:r>
    </w:p>
    <w:p w:rsidR="00611878" w:rsidRDefault="00672C55">
      <w:pPr>
        <w:spacing w:after="112" w:line="259" w:lineRule="auto"/>
        <w:ind w:left="1133" w:right="0" w:firstLine="0"/>
        <w:jc w:val="left"/>
      </w:pPr>
      <w:r>
        <w:rPr>
          <w:sz w:val="24"/>
        </w:rPr>
        <w:t xml:space="preserve">  </w:t>
      </w:r>
    </w:p>
    <w:p w:rsidR="00611878" w:rsidRDefault="00672C55">
      <w:pPr>
        <w:spacing w:line="366" w:lineRule="auto"/>
        <w:ind w:left="551" w:right="707" w:firstLine="567"/>
      </w:pPr>
      <w:r>
        <w:rPr>
          <w:sz w:val="24"/>
        </w:rPr>
        <w:t xml:space="preserve">In un articolo successivo della stessa rivista dal titolo </w:t>
      </w:r>
      <w:r>
        <w:rPr>
          <w:i/>
          <w:sz w:val="24"/>
        </w:rPr>
        <w:t>Eugenetica razziale e matrimoni misti</w:t>
      </w:r>
      <w:r>
        <w:rPr>
          <w:sz w:val="24"/>
        </w:rPr>
        <w:t xml:space="preserve">, Edmondo Vercellesi spiegava bene quali fossero le teorie alla base della pericolosità sociale di coloro che la Germania nazista considerava </w:t>
      </w:r>
      <w:r>
        <w:rPr>
          <w:i/>
          <w:sz w:val="24"/>
        </w:rPr>
        <w:t>Mischlinge</w:t>
      </w:r>
      <w:r>
        <w:rPr>
          <w:sz w:val="24"/>
        </w:rPr>
        <w:t xml:space="preserve"> </w:t>
      </w:r>
    </w:p>
    <w:p w:rsidR="00611878" w:rsidRDefault="00672C55">
      <w:pPr>
        <w:spacing w:after="0" w:line="259" w:lineRule="auto"/>
        <w:ind w:left="1985" w:right="0" w:firstLine="0"/>
        <w:jc w:val="left"/>
      </w:pPr>
      <w:r>
        <w:t xml:space="preserve"> </w:t>
      </w:r>
    </w:p>
    <w:p w:rsidR="00611878" w:rsidRDefault="00672C55">
      <w:pPr>
        <w:ind w:left="1428" w:right="706" w:firstLine="566"/>
      </w:pPr>
      <w:r>
        <w:t xml:space="preserve">È nozione comune che i figli somiglino ai genitori, ma la diversa potenza del patrimonio ereditario, paterno e materno e l’azione dell’ambiente sono cause che determinano sviluppi varii delle avite tendenze. I fattori che condizionano i caratteri ereditari sono detti “genidi” ad essi è attribuito il potere di trasmettere nelle discendenze i caratteri paterni e materni secondo che prevalga il gruppo dei genidi paterni o quello dei materni. […]. </w:t>
      </w:r>
    </w:p>
    <w:p w:rsidR="00611878" w:rsidRDefault="00672C55">
      <w:pPr>
        <w:spacing w:after="3" w:line="265" w:lineRule="auto"/>
        <w:ind w:left="10" w:right="704"/>
        <w:jc w:val="right"/>
      </w:pPr>
      <w:r>
        <w:t xml:space="preserve">I rapporti e le affinità che intercorrono tra la nostra popolazione e quella germanica, oltre </w:t>
      </w:r>
    </w:p>
    <w:p w:rsidR="00611878" w:rsidRDefault="00672C55">
      <w:pPr>
        <w:spacing w:after="26"/>
        <w:ind w:left="1438" w:right="706"/>
      </w:pPr>
      <w:r>
        <w:t xml:space="preserve">che da un punto di vista spirituale anche da quello etnologico specie nelle regioni dell’Italia settentrionale, superano ogni particolare giudizio, per cui i matrimoni tra i due elementi rientrano nel campo dell’assoluta normalità in quanto le due nazioni offrono quanto di più puro può esistere in Europa. Diversamente bisognerà considerare le popolazioni degli Stati Balcanici orientali che, particolarmente i greci, sono ormai già troppo distanti dalle caratteristiche della razza italiana per rendere possibili, senza riserve, degli accoppiamenti questo sarebbe stato possibile difronte agli elleni antichi la cui estinzione già denunciava </w:t>
      </w:r>
      <w:r>
        <w:lastRenderedPageBreak/>
        <w:t>Polibio, due millenni fa. Altrettanto dicasi per le popolazioni romene, ungheresi e bulgare, e, facendo forse qualche eccezione, per gli albanesi.</w:t>
      </w:r>
      <w:r>
        <w:rPr>
          <w:vertAlign w:val="superscript"/>
        </w:rPr>
        <w:footnoteReference w:id="287"/>
      </w:r>
      <w:r>
        <w:t xml:space="preserve">    </w:t>
      </w:r>
    </w:p>
    <w:p w:rsidR="00611878" w:rsidRDefault="00672C55">
      <w:pPr>
        <w:spacing w:line="366" w:lineRule="auto"/>
        <w:ind w:left="551" w:right="707" w:firstLine="567"/>
      </w:pPr>
      <w:r>
        <w:rPr>
          <w:sz w:val="24"/>
        </w:rPr>
        <w:t xml:space="preserve">Le ragazze giungevano a Berlino da diverse zone orientali del Reich pur di liberarsi del segno più evidente della sconfitta subita dal Volk che si doveva pagare anche e soprattutto con la disponibilità delle donne che doveva essere immediata e senza discussioni. Nella concezione comune, le donne erano vittime di abusi e violenze poiché la guerra le aveva private degli uomini, gli unici ad essere i difensori ed i garanti dell’onorabilità della parte femminile della società. </w:t>
      </w:r>
    </w:p>
    <w:p w:rsidR="00611878" w:rsidRDefault="00672C55">
      <w:pPr>
        <w:spacing w:line="366" w:lineRule="auto"/>
        <w:ind w:left="551" w:right="707" w:firstLine="425"/>
      </w:pPr>
      <w:r>
        <w:rPr>
          <w:sz w:val="24"/>
        </w:rPr>
        <w:t xml:space="preserve"> B. B. non è l’unica donna ad aver compiuto il viaggio della speranza oltre l’Oder che significava, oltre la salvezza, anche la possibilità di abortire legalmente in ospedale, senza incorrere nei pericoli delle mammane. Una comunicazione interna del 10 agosto 1945 indica che, all’interno del campo profughi nel quartiere di Reinickendorf, era stata predisposta una sezione per l’assistenza delle donne incinte provenienti da est</w:t>
      </w:r>
      <w:r>
        <w:rPr>
          <w:sz w:val="24"/>
          <w:vertAlign w:val="superscript"/>
        </w:rPr>
        <w:footnoteReference w:id="288"/>
      </w:r>
      <w:r>
        <w:rPr>
          <w:sz w:val="24"/>
        </w:rPr>
        <w:t xml:space="preserve">, da dove giungono diverse ragazze incinte </w:t>
      </w:r>
    </w:p>
    <w:p w:rsidR="005B6AE9" w:rsidRDefault="005B6AE9">
      <w:pPr>
        <w:ind w:left="1854" w:right="706"/>
      </w:pPr>
    </w:p>
    <w:p w:rsidR="00611878" w:rsidRDefault="00672C55">
      <w:pPr>
        <w:ind w:left="1854" w:right="706"/>
      </w:pPr>
      <w:r>
        <w:t xml:space="preserve">Sig. Dott. Brandt! </w:t>
      </w:r>
    </w:p>
    <w:p w:rsidR="00611878" w:rsidRDefault="00672C55">
      <w:pPr>
        <w:spacing w:after="44"/>
        <w:ind w:left="1428" w:right="706" w:firstLine="425"/>
      </w:pPr>
      <w:r>
        <w:t>Ero stata evacuata a Dauadelbrüun distretto di Ingsrottau dove già dal 9 febbraio 1945 ero stata stuprata da un russo senza subire conseguenze, dopodiché sono rimasta incinta, purtroppo. Io [illeggibile] quindi la prego di liberarmi da questa gravidanza. Allego la certificazione medica.</w:t>
      </w:r>
      <w:r>
        <w:rPr>
          <w:vertAlign w:val="superscript"/>
        </w:rPr>
        <w:footnoteReference w:id="289"/>
      </w:r>
      <w:r>
        <w:t xml:space="preserve">      </w:t>
      </w:r>
    </w:p>
    <w:p w:rsidR="00611878" w:rsidRDefault="00672C55">
      <w:pPr>
        <w:spacing w:after="113" w:line="259" w:lineRule="auto"/>
        <w:ind w:left="992" w:right="0" w:firstLine="0"/>
        <w:jc w:val="left"/>
      </w:pPr>
      <w:r>
        <w:rPr>
          <w:sz w:val="24"/>
        </w:rPr>
        <w:t xml:space="preserve"> </w:t>
      </w:r>
    </w:p>
    <w:p w:rsidR="00611878" w:rsidRDefault="00672C55">
      <w:pPr>
        <w:spacing w:after="30" w:line="366" w:lineRule="auto"/>
        <w:ind w:left="551" w:right="707" w:firstLine="425"/>
      </w:pPr>
      <w:r>
        <w:rPr>
          <w:sz w:val="24"/>
        </w:rPr>
        <w:t xml:space="preserve"> Anche I. S. ha fatto lo stesso percorso di fuga dalla violenza, come dimostra il documento, anch’esso autografo, che ci ha lasciato: </w:t>
      </w:r>
    </w:p>
    <w:p w:rsidR="005B6AE9" w:rsidRDefault="005B6AE9">
      <w:pPr>
        <w:spacing w:after="42" w:line="246" w:lineRule="auto"/>
        <w:ind w:left="1414" w:right="702"/>
        <w:jc w:val="left"/>
      </w:pPr>
    </w:p>
    <w:p w:rsidR="00611878" w:rsidRDefault="00672C55">
      <w:pPr>
        <w:spacing w:after="42" w:line="246" w:lineRule="auto"/>
        <w:ind w:left="1414" w:right="702"/>
        <w:jc w:val="left"/>
      </w:pPr>
      <w:r>
        <w:t>Dichiaro sotto giuramento che dal 18 febbraio 1945 sono stata violentata più volte dai russi. Di conseguenza ora sono al 7° mese di gravidanza. Perciò, per mia scelta, prego di interrompere la gestazione, purtroppo non mi è più possibile indicare qui [dove fossi], poiché nel febbraio 1945 mi trovavo in un piccolo villaggio sull’Oder occupato dai russi.</w:t>
      </w:r>
      <w:r>
        <w:rPr>
          <w:vertAlign w:val="superscript"/>
        </w:rPr>
        <w:footnoteReference w:id="290"/>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51" w:right="707" w:firstLine="425"/>
      </w:pPr>
      <w:r>
        <w:rPr>
          <w:sz w:val="24"/>
        </w:rPr>
        <w:lastRenderedPageBreak/>
        <w:t xml:space="preserve">Quest’ultimo caso potrebbe far apparire l’aborto come un aspetto secondario, quasi una liberazione delle donne, che a volte può sembrare come un modo di sbarazzarsi anche di gravidanze indesiderate a prescindere dalla nazionalità paterna.  </w:t>
      </w:r>
    </w:p>
    <w:p w:rsidR="00611878" w:rsidRDefault="00672C55">
      <w:pPr>
        <w:spacing w:line="366" w:lineRule="auto"/>
        <w:ind w:left="551" w:right="707" w:firstLine="425"/>
      </w:pPr>
      <w:r>
        <w:rPr>
          <w:sz w:val="24"/>
        </w:rPr>
        <w:t xml:space="preserve">L’operazione di aborto non è semplice da affrontare né dal punto di vista ideologico, né da quello culturale e religioso. Il Cristianesimo, infatti, aveva stabilito l’indissolubilità del matrimonio, sancendo l’uguaglianza formale e materiale tra uomo e donna e consentendo ad entrambi i rapporti sessuali solamente all’interno dell’unione sancita dalla benedizione divina. </w:t>
      </w:r>
    </w:p>
    <w:p w:rsidR="00611878" w:rsidRDefault="00672C55">
      <w:pPr>
        <w:spacing w:line="366" w:lineRule="auto"/>
        <w:ind w:left="561" w:right="707"/>
      </w:pPr>
      <w:r>
        <w:rPr>
          <w:sz w:val="24"/>
        </w:rPr>
        <w:t xml:space="preserve">Questo muta il concetto stesso di matrimonio, da atto giuridico a destino indissolubile. Come tale </w:t>
      </w:r>
    </w:p>
    <w:p w:rsidR="00611878" w:rsidRDefault="00672C55">
      <w:pPr>
        <w:spacing w:after="31" w:line="366" w:lineRule="auto"/>
        <w:ind w:left="561" w:right="707"/>
      </w:pPr>
      <w:r>
        <w:rPr>
          <w:sz w:val="24"/>
        </w:rPr>
        <w:t xml:space="preserve">un rapporto extraconiugale anche se preso con la forza era comunque un elemento di forte destabilizzazione del già precario ruolo della donna all’interno della famiglia. </w:t>
      </w:r>
    </w:p>
    <w:p w:rsidR="00611878" w:rsidRDefault="00672C55">
      <w:pPr>
        <w:spacing w:line="366" w:lineRule="auto"/>
        <w:ind w:left="551" w:right="707" w:firstLine="425"/>
      </w:pPr>
      <w:r>
        <w:rPr>
          <w:sz w:val="24"/>
        </w:rPr>
        <w:t xml:space="preserve">Questo concetto, ovviamente, è molto sfumato in una società a maggioranza luterana, ma è comunque presente e tangibile nelle richieste delle donne che vogliono avvalersi dell’interruzione di gravidanza per mantenere integro il matrimonio.    </w:t>
      </w:r>
    </w:p>
    <w:p w:rsidR="00611878" w:rsidRDefault="00672C55">
      <w:pPr>
        <w:spacing w:line="366" w:lineRule="auto"/>
        <w:ind w:left="551" w:right="707" w:firstLine="425"/>
      </w:pPr>
      <w:r>
        <w:rPr>
          <w:sz w:val="24"/>
        </w:rPr>
        <w:t>Gli stupri impuniti successivi alla fine della guerra mostrano la debolezza delle autorità civili tedesche che non riescono a fare altro che raccogliere le testimonianze, senza poter punire i colpevoli. Questo aspetto si riscontra anche in altri teatri di guerra, come ad esempio l’Italia, dove le vittime di questa “violenza secondaria”</w:t>
      </w:r>
      <w:r>
        <w:rPr>
          <w:sz w:val="24"/>
          <w:vertAlign w:val="superscript"/>
        </w:rPr>
        <w:footnoteReference w:id="291"/>
      </w:r>
      <w:r>
        <w:rPr>
          <w:sz w:val="24"/>
        </w:rPr>
        <w:t xml:space="preserve">, come l’ha definita Michela Ponzani, non hanno la possibilità di vedere punito il colpevole. Nessuno arresterebbe il leone che ha sbranato la gazzella, la legge di natura vuole che il più forte vinca e detti la sua legge allo sconfitto. </w:t>
      </w:r>
    </w:p>
    <w:p w:rsidR="00611878" w:rsidRDefault="00672C55">
      <w:pPr>
        <w:spacing w:after="65" w:line="366" w:lineRule="auto"/>
        <w:ind w:left="551" w:right="707" w:firstLine="358"/>
      </w:pPr>
      <w:r>
        <w:rPr>
          <w:sz w:val="24"/>
        </w:rPr>
        <w:t>In tutti i casi di violenza sessuale la vittima è minacciata psicologicamente o fisicamente da colui che la domina. L’aggressore compare all’improvviso dal buio o nei luoghi isolati ed ha un approccio diretto e violento con la vittima prescelta. L’aggressore è sempre descritto come fortissimo, qualcuno contro cui è impossibile lottare, ma ci si prova fino all’esaurimento delle forze fisiche e mentali. Alcune volte la donna è scelta nei giorni precedenti, viene seguita e studiata al fine di sorprenderla nel momento di massima fragilità e solitudine, poiché l’atto che si vuole compiere è un reato, quindi, va fatto velocemente, prima che qualcuno possa accorgersi, vedere. L’azione è rapida, fulminea e gli uomini sono spesso in difficoltà per questa fretta, al punto tale da avere difficoltà nel raggiungere l’erezione e costringere la vittima ad un primo contatto attraverso un rapporto orale</w:t>
      </w:r>
      <w:r>
        <w:rPr>
          <w:sz w:val="24"/>
          <w:vertAlign w:val="superscript"/>
        </w:rPr>
        <w:footnoteReference w:id="292"/>
      </w:r>
      <w:r>
        <w:rPr>
          <w:sz w:val="24"/>
        </w:rPr>
        <w:t xml:space="preserve">. </w:t>
      </w:r>
    </w:p>
    <w:p w:rsidR="00611878" w:rsidRDefault="00672C55">
      <w:pPr>
        <w:spacing w:line="366" w:lineRule="auto"/>
        <w:ind w:left="551" w:right="707" w:firstLine="358"/>
      </w:pPr>
      <w:r>
        <w:rPr>
          <w:sz w:val="24"/>
        </w:rPr>
        <w:lastRenderedPageBreak/>
        <w:t xml:space="preserve"> Negli stupri di guerra, benché potrebbe apparire paradossale, l’atto viene estorto senza l’uso delle armi. Le pistole, le mitragliatrici compaiono solo all’inizio dei racconti delle donne, come fossero un’esibizione di forza, poi scompaiono. Nessuna, infatti, racconta di essere stata tenuta sotto la minaccia di un’arma. A differenza di altri teatri di guerra, dove la violenza sessuale è perpetrata all’aperto, negli spazi comuni o addirittura in strada e termina con l’uccisione brutale delle vittime sodomizzate o sventrate con l’uso di armi bianche</w:t>
      </w:r>
      <w:r>
        <w:rPr>
          <w:sz w:val="24"/>
          <w:vertAlign w:val="superscript"/>
        </w:rPr>
        <w:footnoteReference w:id="293"/>
      </w:r>
      <w:r>
        <w:rPr>
          <w:sz w:val="24"/>
        </w:rPr>
        <w:t xml:space="preserve">, o è compiuta con lo scopo di una pulizia etnica, a Berlino i soldati dell’Armata Rossa stuprano per marcare il territorio, per ottenere un premio, ma mai per uccidere o con fini esclusivamente razziali. </w:t>
      </w:r>
    </w:p>
    <w:p w:rsidR="00611878" w:rsidRDefault="00672C55">
      <w:pPr>
        <w:spacing w:line="366" w:lineRule="auto"/>
        <w:ind w:left="551" w:right="707" w:firstLine="358"/>
      </w:pPr>
      <w:r>
        <w:rPr>
          <w:sz w:val="24"/>
        </w:rPr>
        <w:t xml:space="preserve">Si potrebbe, allora, obbiettare che le ragazze tedesche potessero ribellarsi con calci o morsi, divincolarsi rendendo più complesso portare a termine la violenza, ma bisogna considerare la pressione psicologica causata dalla guerra, che aveva annientato la lucidità di pensiero, prima che di azione, portando gli sconfitti alla remissione, per spirito di sopravvivenza. </w:t>
      </w:r>
    </w:p>
    <w:p w:rsidR="00611878" w:rsidRDefault="00672C55">
      <w:pPr>
        <w:spacing w:after="108" w:line="265" w:lineRule="auto"/>
        <w:ind w:left="96" w:right="838"/>
        <w:jc w:val="right"/>
      </w:pPr>
      <w:r>
        <w:rPr>
          <w:sz w:val="24"/>
        </w:rPr>
        <w:t xml:space="preserve">La condizione di sottomissione della Nazione diventava una sottomissione fisica al nemico </w:t>
      </w:r>
    </w:p>
    <w:p w:rsidR="00611878" w:rsidRDefault="00672C55">
      <w:pPr>
        <w:spacing w:after="46" w:line="366" w:lineRule="auto"/>
        <w:ind w:left="551" w:right="707" w:firstLine="425"/>
      </w:pPr>
      <w:r>
        <w:rPr>
          <w:sz w:val="24"/>
        </w:rPr>
        <w:t>Nel 1946 il numero dei profughi che si trovavano sul territorio tedesco era altissimo: il 29 ottobre 1946 nelle zone di occupazione della Germania si trovavano 9,5 milioni di rifugiati ed espulsi: 3,6 milioni nella zona britannica, 3,1 milioni nella zona americana, 2,7 milioni nella zona sovietica, 100.000 a Berlino e 60.000 nella zona francese.</w:t>
      </w:r>
      <w:r>
        <w:rPr>
          <w:sz w:val="24"/>
          <w:vertAlign w:val="superscript"/>
        </w:rPr>
        <w:footnoteReference w:id="294"/>
      </w:r>
      <w:r>
        <w:rPr>
          <w:sz w:val="24"/>
        </w:rPr>
        <w:t xml:space="preserve"> </w:t>
      </w:r>
    </w:p>
    <w:p w:rsidR="00611878" w:rsidRDefault="00672C55">
      <w:pPr>
        <w:spacing w:after="153" w:line="265" w:lineRule="auto"/>
        <w:ind w:left="96" w:right="708"/>
        <w:jc w:val="right"/>
      </w:pPr>
      <w:r>
        <w:rPr>
          <w:sz w:val="24"/>
        </w:rPr>
        <w:t xml:space="preserve">In conclusione non si può non condividere l‘analisi di Riasanovsky che nella sua </w:t>
      </w:r>
      <w:r>
        <w:rPr>
          <w:i/>
          <w:sz w:val="24"/>
        </w:rPr>
        <w:t xml:space="preserve">Storia della </w:t>
      </w:r>
    </w:p>
    <w:p w:rsidR="00611878" w:rsidRDefault="00672C55">
      <w:pPr>
        <w:spacing w:line="366" w:lineRule="auto"/>
        <w:ind w:left="561" w:right="707"/>
      </w:pPr>
      <w:r>
        <w:rPr>
          <w:i/>
          <w:sz w:val="24"/>
        </w:rPr>
        <w:t xml:space="preserve">Russia </w:t>
      </w:r>
      <w:r>
        <w:rPr>
          <w:sz w:val="24"/>
        </w:rPr>
        <w:t>si sofferma sul comportamento ricco di contrasti da parte dei soldati dell’Armata Rossa: se da un lato, infatti, si assiste a catastrofiche sconfitte che avrebbero potuto spalancare le porte della conquista della Russia da parte dei nazisti, dall’altro l’esercito è in grado di combattere gloriose battaglie</w:t>
      </w:r>
      <w:r>
        <w:rPr>
          <w:sz w:val="24"/>
          <w:vertAlign w:val="superscript"/>
        </w:rPr>
        <w:footnoteReference w:id="295"/>
      </w:r>
      <w:r>
        <w:rPr>
          <w:sz w:val="24"/>
        </w:rPr>
        <w:t xml:space="preserve">, sostenuto da un popolo che non si è fatto piegare dalla paura e dagli stenti né a Stalingrado né a Leningrado.  </w:t>
      </w:r>
    </w:p>
    <w:p w:rsidR="00611878" w:rsidRDefault="00672C55">
      <w:pPr>
        <w:spacing w:line="366" w:lineRule="auto"/>
        <w:ind w:left="551" w:right="707" w:firstLine="425"/>
      </w:pPr>
      <w:r>
        <w:rPr>
          <w:sz w:val="24"/>
        </w:rPr>
        <w:t xml:space="preserve">Lo stesso dualismo si può ritrovare nel comportamento dei soldati di qualunque grado nei confronti delle donne: da una parte si pone all’avanguardia con un’apertura senza precedenti alla parità di genere, come si è visto, affidando alla guida delle donne anche alcuni reparti, mentre dall’altra si assiste ad una violenza cieca, brutale e ai limiti dell’ancestrale nei confronti </w:t>
      </w:r>
      <w:r>
        <w:rPr>
          <w:sz w:val="24"/>
        </w:rPr>
        <w:lastRenderedPageBreak/>
        <w:t xml:space="preserve">delle donne sottomesse. Questo è un aspetto poco noto della Seconda Guerra Mondiale, soprattutto al di fuori dei confini tedeschi. Le violenze sessuali sui civili sono passate in secondo piano perché rispetto agli orrori perpetrati nei campi di concentramento, i tedeschi dovevano essere bollati esclusivamente come sanguinari carnefici, senza soffermarsi sulle sofferenze dei civili. È indubbio che </w:t>
      </w:r>
      <w:r>
        <w:rPr>
          <w:i/>
          <w:sz w:val="24"/>
        </w:rPr>
        <w:t xml:space="preserve">la banalità del Male </w:t>
      </w:r>
      <w:r>
        <w:rPr>
          <w:sz w:val="24"/>
        </w:rPr>
        <w:t xml:space="preserve">che ha pervaso la Germania a partire dall’inizio degli anni ’30 abbia coinvolto direttamente o indirettamente tutta la popolazione tedesca. Un’analisi obbiettiva degli anni del conflitto, però, non può prescindere dal ruolo che le donne hanno avuto in quegli anni e come giocoforza siano state vittime di un sistema maschilista che le ha portate dall’essere ingranaggio indispensabile del sistema razziale alla preda più ambita.  </w:t>
      </w:r>
    </w:p>
    <w:p w:rsidR="00611878" w:rsidRDefault="00672C55">
      <w:pPr>
        <w:spacing w:line="366" w:lineRule="auto"/>
        <w:ind w:left="551" w:right="707" w:firstLine="425"/>
      </w:pPr>
      <w:r>
        <w:rPr>
          <w:sz w:val="24"/>
        </w:rPr>
        <w:t xml:space="preserve">Ciò che impressiona delle testimonianze sono i profondi silenzi delle donne che non dicono o hanno vissuto orrori troppo grandi per essere tramandati e preferiscono preservare tutto da sole, comprese le violenze subite in prima persona che spesso non vengono raccontate per pudore, ma che si leggono tra le righe delle loro dichiarazioni su piccoli brandelli di carta strappati dalle pagine di qualche quaderno. </w:t>
      </w:r>
    </w:p>
    <w:p w:rsidR="00611878" w:rsidRDefault="00672C55">
      <w:pPr>
        <w:spacing w:line="366" w:lineRule="auto"/>
        <w:ind w:left="551" w:right="707" w:firstLine="425"/>
      </w:pPr>
      <w:r>
        <w:rPr>
          <w:sz w:val="24"/>
        </w:rPr>
        <w:t xml:space="preserve">È probabile che qualcuna delle richieste fossero legate a gravidanze indesiderate che non avevano nulla a che vedere con le violenze dei sovietici, esattamente come non è verificabile la vulgata che sostiene che 1/3 delle berlinesi sia stata violentata, la sistematicità delle azioni dei sovietici fanno pensare che il numero possa essere più alto. Il nodo da sciogliere rimane però quello del silenzio. Un silenzio molto diverso a quello di altri testimoni degli orrori della Seconda Guerra Mondiale, frutto non solamente del pudore e della paura di non essere più sposate o di ferire con i propri ricordi l’orgoglio degli uomini, ma anche e soprattutto da un’intrinseca consapevolezza che in fondo fosse “il giusto prezzo” da pagare per gli orrori commessi dagli uomini e dalle donne che hanno occupato l’Europa. Il rapporto sessuale è l’unico elemento assolutamente individuale di una guerra di massa, una relazione tra due singoli che devasta come un’onda, senza lasciare macerie apparenti.    </w:t>
      </w:r>
    </w:p>
    <w:p w:rsidR="00611878" w:rsidRDefault="00672C55">
      <w:pPr>
        <w:spacing w:after="1" w:line="259" w:lineRule="auto"/>
        <w:ind w:left="566" w:right="0" w:firstLine="0"/>
        <w:jc w:val="left"/>
        <w:rPr>
          <w:b/>
          <w:sz w:val="24"/>
        </w:rPr>
      </w:pPr>
      <w:r>
        <w:rPr>
          <w:b/>
          <w:sz w:val="24"/>
        </w:rPr>
        <w:t xml:space="preserve"> </w:t>
      </w:r>
    </w:p>
    <w:p w:rsidR="00FF5873" w:rsidRDefault="00FF5873">
      <w:pPr>
        <w:spacing w:after="1" w:line="259" w:lineRule="auto"/>
        <w:ind w:left="566" w:right="0" w:firstLine="0"/>
        <w:jc w:val="left"/>
      </w:pPr>
    </w:p>
    <w:p w:rsidR="00264D17" w:rsidRDefault="00264D17">
      <w:pPr>
        <w:spacing w:after="1" w:line="259" w:lineRule="auto"/>
        <w:ind w:left="566" w:right="0" w:firstLine="0"/>
        <w:jc w:val="left"/>
      </w:pPr>
    </w:p>
    <w:p w:rsidR="005B6AE9" w:rsidRDefault="005B6AE9">
      <w:pPr>
        <w:spacing w:after="160" w:line="259" w:lineRule="auto"/>
        <w:ind w:left="0" w:right="0" w:firstLine="0"/>
        <w:jc w:val="left"/>
        <w:rPr>
          <w:b/>
          <w:sz w:val="24"/>
        </w:rPr>
      </w:pPr>
      <w:r>
        <w:br w:type="page"/>
      </w:r>
    </w:p>
    <w:p w:rsidR="00611878" w:rsidRDefault="00672C55">
      <w:pPr>
        <w:pStyle w:val="Titolo3"/>
        <w:spacing w:after="0"/>
        <w:ind w:left="561"/>
      </w:pPr>
      <w:r>
        <w:lastRenderedPageBreak/>
        <w:t>4)</w:t>
      </w:r>
      <w:r>
        <w:rPr>
          <w:rFonts w:ascii="Arial" w:eastAsia="Arial" w:hAnsi="Arial" w:cs="Arial"/>
        </w:rPr>
        <w:t xml:space="preserve"> </w:t>
      </w:r>
      <w:r>
        <w:t xml:space="preserve">La città fortezza di Breslau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pPr>
      <w:r>
        <w:rPr>
          <w:sz w:val="24"/>
        </w:rPr>
        <w:t xml:space="preserve">Nella primavera del 1944, Breslau era stata dichiarata </w:t>
      </w:r>
      <w:r>
        <w:rPr>
          <w:i/>
          <w:sz w:val="24"/>
        </w:rPr>
        <w:t xml:space="preserve">città aperta </w:t>
      </w:r>
      <w:r>
        <w:rPr>
          <w:sz w:val="24"/>
        </w:rPr>
        <w:t xml:space="preserve">e questo ha comportato che per la difesa non fosse stato necessario prevedere piani particolari e, soprattutto, l’ha fatta divenire la meta dei migliaia di sfollati da est, come racconta Ursula Brauburger: </w:t>
      </w:r>
    </w:p>
    <w:p w:rsidR="00611878" w:rsidRDefault="00672C55">
      <w:pPr>
        <w:spacing w:after="44"/>
        <w:ind w:left="1438" w:right="706"/>
      </w:pPr>
      <w:r>
        <w:t>Improvvisamente, all’alba, si presentò la guardia notturna che esisteva allora ancora nei nostri villaggi, e svegliò via via tutte le famiglie. Gettò sassolini contro le finestre, avvertendo: “ce ne andiamo!” o qualcosa di simile. La mamma venne da me, mi prese per mano e mi condusse accanto al tavolo dove erano stati preparati i regali. C’erano una candela accesa, una di quelle cosiddette “candele della vita”, dono del mio padrino, uno zaino perché a pasqua sarei dovuta andare a scuola, alcune altre piccolezze e due torte. […] Tutto avvenne nell’oscurità che c’è a quell’ora, di gennaio, in mezzo a un freddo terribile, ci dirigemmo alla volta di Breslavia lungo strade di campagna.</w:t>
      </w:r>
      <w:r>
        <w:rPr>
          <w:vertAlign w:val="superscript"/>
        </w:rPr>
        <w:footnoteReference w:id="296"/>
      </w:r>
      <w:r>
        <w:t xml:space="preserve"> </w:t>
      </w:r>
    </w:p>
    <w:p w:rsidR="00611878" w:rsidRDefault="00672C55">
      <w:pPr>
        <w:spacing w:after="112" w:line="259" w:lineRule="auto"/>
        <w:ind w:left="566" w:right="0" w:firstLine="0"/>
        <w:jc w:val="left"/>
      </w:pPr>
      <w:r>
        <w:rPr>
          <w:sz w:val="24"/>
        </w:rPr>
        <w:t xml:space="preserve"> </w:t>
      </w:r>
    </w:p>
    <w:p w:rsidR="00611878" w:rsidRDefault="00672C55">
      <w:pPr>
        <w:spacing w:line="366" w:lineRule="auto"/>
        <w:ind w:left="561" w:right="707"/>
        <w:rPr>
          <w:sz w:val="24"/>
        </w:rPr>
      </w:pPr>
      <w:r>
        <w:rPr>
          <w:sz w:val="24"/>
        </w:rPr>
        <w:t xml:space="preserve">  Hitler non ha mai voluto ammettere la realtà fino alla fine del conflitto e quando Guderian gli ha illustrato la consistenza delle truppe nemiche al fronte, il Führer ha bollato le informative come “idiozie infondate”, accumulando continui ritardi sugli ordini di evacuazione e ampliando i numeri delle vittime. Lo schieramento delle forze in campo era nettamente a favore dell’Armata Rossa che poteva schierare 2,2 milioni di uomini, 6.000 carri armati e 5.000 aerei disposti lungo la linea che andava dalla valle del Goldap a Varsavia. Il comando della Wehrmacht era perfettamente consapevole della disparità di forze in campo, o almeno del fatto che i sovietici disponessero di un ingente quantitativo di armi e mezzi ben equipaggiati ed addestrati. A testimonianza di questo c’è un documento non datato, ma per la disposizione all’interno del fondo di archivio dove è collocato potrebbe risalire ai primi mesi del 1945 nel quale si legge </w:t>
      </w:r>
    </w:p>
    <w:p w:rsidR="005B6AE9" w:rsidRDefault="005B6AE9">
      <w:pPr>
        <w:spacing w:line="366" w:lineRule="auto"/>
        <w:ind w:left="561" w:right="707"/>
      </w:pPr>
    </w:p>
    <w:p w:rsidR="00611878" w:rsidRDefault="00672C55">
      <w:pPr>
        <w:ind w:left="576" w:right="706"/>
      </w:pPr>
      <w:r>
        <w:t xml:space="preserve">L'armatura di un Corpo sovietico </w:t>
      </w:r>
    </w:p>
    <w:p w:rsidR="00611878" w:rsidRDefault="00672C55">
      <w:pPr>
        <w:spacing w:after="48"/>
        <w:ind w:left="1438" w:right="706"/>
      </w:pPr>
      <w:r>
        <w:t>Quanto forte è in realtà una divisione sovietica? O un corpo corazzato? Soprattutto in questi giorni, quando il rapporto Wehrmacht di tanto in tanto ha annunciato il numero di anrennenden contro Germania Divisioni, la domanda è sorta. Se si mette la forza alla base delle divisioni tedesche, spesso portato a numeri enormi. In generale, ci si può aspettare una cosa del genere un equivalente Unione Sovietica. Un esercito sovietico corrisponde quindi ad un corpo tedesco, un Corpo sovietica su una divisione tedesca. Le divisioni di fanteria bolscevichi devono essere comunicati in algemeinen con uno spessore 5000-6000 uomini. La forza di combattimento del corpo corazzato sovietico è stimato a 140 150 carri armati, si sviluppa su quattro brigate corazzate.</w:t>
      </w:r>
      <w:r>
        <w:rPr>
          <w:vertAlign w:val="superscript"/>
        </w:rPr>
        <w:footnoteReference w:id="297"/>
      </w:r>
      <w:r>
        <w:t xml:space="preserve">  </w:t>
      </w:r>
    </w:p>
    <w:p w:rsidR="00611878" w:rsidRPr="005B6AE9" w:rsidRDefault="00672C55">
      <w:pPr>
        <w:spacing w:after="128" w:line="259" w:lineRule="auto"/>
        <w:ind w:left="1419" w:right="0" w:firstLine="0"/>
        <w:jc w:val="left"/>
        <w:rPr>
          <w:sz w:val="2"/>
          <w:szCs w:val="2"/>
        </w:rPr>
      </w:pPr>
      <w:r w:rsidRPr="005B6AE9">
        <w:rPr>
          <w:sz w:val="2"/>
          <w:szCs w:val="2"/>
        </w:rPr>
        <w:lastRenderedPageBreak/>
        <w:t xml:space="preserve"> </w:t>
      </w:r>
    </w:p>
    <w:p w:rsidR="00611878" w:rsidRDefault="00672C55">
      <w:pPr>
        <w:spacing w:after="115" w:line="259" w:lineRule="auto"/>
        <w:ind w:left="561" w:right="707"/>
      </w:pPr>
      <w:r>
        <w:rPr>
          <w:sz w:val="24"/>
        </w:rPr>
        <w:t>Breslau, la città polacca di Wroclaw, era l'ultimo baluardo nazista prima del confine dell’Oder-</w:t>
      </w:r>
    </w:p>
    <w:p w:rsidR="00611878" w:rsidRDefault="00672C55">
      <w:pPr>
        <w:spacing w:line="366" w:lineRule="auto"/>
        <w:ind w:left="561" w:right="707"/>
      </w:pPr>
      <w:r>
        <w:rPr>
          <w:sz w:val="24"/>
        </w:rPr>
        <w:t xml:space="preserve">Naisse e si pone come l’ultima speranza di resistenza per i tedeschi. Nell’agosto 1944 Adolf Hitler dichiarò la città </w:t>
      </w:r>
      <w:r>
        <w:rPr>
          <w:i/>
          <w:sz w:val="24"/>
        </w:rPr>
        <w:t xml:space="preserve">città-fortezza </w:t>
      </w:r>
      <w:r>
        <w:rPr>
          <w:sz w:val="24"/>
        </w:rPr>
        <w:t>da difendere a tutti i costi e con tutte le forze e ha designato Karl Hanke a comandante. Il 19 gennaio la città è stata evacuata e sono iniziati i preparativi per resistere all’assalto. Come riportato da Rogall, lo stesso Borgomastro di Breslau aveva portato la sua famiglia in salvo a Berlino, per rientrare nella città il 29 gennaio ed essere però ucciso sul ring poco tempo dopo. Anche l’arcivescovo 86enne e malato Adolf Bertram ha trasferito la sede nella vicina Görliz..</w:t>
      </w:r>
      <w:r>
        <w:rPr>
          <w:sz w:val="24"/>
          <w:vertAlign w:val="superscript"/>
        </w:rPr>
        <w:footnoteReference w:id="298"/>
      </w:r>
      <w:r>
        <w:rPr>
          <w:sz w:val="24"/>
        </w:rPr>
        <w:t xml:space="preserve"> L'inizio dell'assedio e dell'offensiva della città e di parte della Bassa Slesia ha avuto inizio il 13 febbraio 1945, con le azioni congiunte della VI Armata del I Fronte ucraino sotto il comando del maresciallo Ivan Koniev che si è fatto carico di organizzare e portare avanti l'avanzata dell'esercito, mentre l'assedio di Breslau è stato terminato il giorno seguente. </w:t>
      </w:r>
    </w:p>
    <w:p w:rsidR="00611878" w:rsidRDefault="00672C55">
      <w:pPr>
        <w:spacing w:line="366" w:lineRule="auto"/>
        <w:ind w:left="561" w:right="707"/>
      </w:pPr>
      <w:r>
        <w:rPr>
          <w:sz w:val="24"/>
        </w:rPr>
        <w:t>Le prime forze ucraine in avanzata hanno assediato la città con il 22° e 74 ° corpo Riefle, insieme ad altre unità più piccole. Il numero di soldati tedeschi rimasti intrappolati dalle azioni di accerchiamento sono incerti, ma si ritiene plausibile un numero superiore a 50.000. Per quanto riguarda l'andamento dell'assedio, in un primo momento ha portato i combattimenti casa per casa, mentre la città subiva bombardamenti pesanti atti a distruggere l'artiglieria della 6</w:t>
      </w:r>
      <w:r>
        <w:rPr>
          <w:sz w:val="24"/>
          <w:vertAlign w:val="superscript"/>
        </w:rPr>
        <w:t xml:space="preserve">a </w:t>
      </w:r>
      <w:r>
        <w:rPr>
          <w:sz w:val="24"/>
        </w:rPr>
        <w:t xml:space="preserve">Armata sovietica. Entrambe le parti in lotta, sia l’Armata Rossa che i nazisti hanno utilizzato interi quartieri come base d’appoggio per le azioni di attacco e difesa. </w:t>
      </w:r>
    </w:p>
    <w:p w:rsidR="00611878" w:rsidRDefault="00672C55">
      <w:pPr>
        <w:spacing w:line="366" w:lineRule="auto"/>
        <w:ind w:left="561" w:right="707"/>
      </w:pPr>
      <w:r>
        <w:rPr>
          <w:sz w:val="24"/>
        </w:rPr>
        <w:t xml:space="preserve">Il 15 febbraio 1945, la Luftwaffe ha creato un ponte aereo per garantire i rifornimenti alle truppe nella città assediata. Durante i 76 giorni di conflitto cittadino,  conclusosi il 1 ° maggio, l’aviazione nazista ha portato avanti più di 2000 incursioni per portare cibo e viveri alla popolazione residua e alle truppe in combattimento per un totale di 1.638 tonnellate derrate alimentari consegnate. </w:t>
      </w:r>
    </w:p>
    <w:p w:rsidR="00611878" w:rsidRDefault="00672C55">
      <w:pPr>
        <w:spacing w:after="28" w:line="366" w:lineRule="auto"/>
        <w:ind w:left="561" w:right="707"/>
      </w:pPr>
      <w:r>
        <w:rPr>
          <w:sz w:val="24"/>
        </w:rPr>
        <w:t xml:space="preserve"> Il 22 febbraio, il 6 ° reggimento sovietico  ha occupato tre sobborghi di Breslau, e durante il giorno successivo, le truppe dell'esercito erano nella parte meridionale della città stessa. Da quel momento e fino al 31 marzo, la parte settentrionale, meridionale e occidentale della città sono state sistematicamente bombardate e occupate e, a partire dai giorni di Pasqua la città ü </w:t>
      </w:r>
      <w:r>
        <w:rPr>
          <w:sz w:val="24"/>
        </w:rPr>
        <w:lastRenderedPageBreak/>
        <w:t xml:space="preserve">stata sottoposta al bombardamento continuo che ha raso al suolo e annientato circa il 70% di Breslau. </w:t>
      </w:r>
    </w:p>
    <w:p w:rsidR="00611878" w:rsidRDefault="00672C55">
      <w:pPr>
        <w:spacing w:line="366" w:lineRule="auto"/>
        <w:ind w:left="561" w:right="707"/>
      </w:pPr>
      <w:r>
        <w:rPr>
          <w:sz w:val="24"/>
        </w:rPr>
        <w:t>Le testimonianze provenienti dalle truppe che stavano all’interno della città raccontano che gran parte della città era in fiamme e completamente distrutte. Il 4 maggio il clero di Breslau attraverso il Pastore Hornig, il dottor Konrad, Vescovo Ferche, e il Canonico Kramer hanno chiesto che il Generale Niehoff firmasse la resa e facesse terminare, così, la sofferenza della città. Niehoff ha mandato via i rappresentanti del clero, senza fornire una risposta definitiva. Quello stesso pomeriggio, il pastore Hornig ha ripetuto la sua supplica in un discorso ai comandanti delle truppe. La risposta dei nazisti è stato l’ordine di Hanke a Niehoff di non avere ulteriori rapporti con il clero, anche se la resa è stata poi formalizzata il 6 maggio e lo stesso Hanke ha abbandonato la città in aereo la notte precedente. Si calcola che a questa data la Slesia avesse perso circa 1,6 milioni di abitanti che erano emigrati nelle regioni ad ovest della frontiera naturale dell’OderNeisse come la Sassonia, la Turingia e la Baviera.</w:t>
      </w:r>
      <w:r>
        <w:rPr>
          <w:sz w:val="24"/>
          <w:vertAlign w:val="superscript"/>
        </w:rPr>
        <w:footnoteReference w:id="299"/>
      </w:r>
      <w:r>
        <w:rPr>
          <w:sz w:val="24"/>
        </w:rPr>
        <w:t xml:space="preserve"> Del resto con la sconfitta del Reich gli abitanti di lingua tedesca avevano perso completamente ogni prerogativa e, come si è già visto, la permanenza nell’Heimat avrebbe comportato il forte rischio di diventare oggetto di violenza, saccheggio e devastazione. Durante l’avanzata sulla direttrice che congiunge Cracovia a Breslau si annota, infatti, un altro massacro compiuto dai sovietici: nel piccolo paese di Boguschütz nei pressi di Oppel tra il 27 ed il 30 gennaio 1945 erano stati trucidati 350 abitanti ed avevano iniziato a muoversi verso ovest circa 2,2 milioni di persone. </w:t>
      </w:r>
    </w:p>
    <w:p w:rsidR="00611878" w:rsidRDefault="00672C55">
      <w:pPr>
        <w:spacing w:line="366" w:lineRule="auto"/>
        <w:ind w:left="561" w:right="707"/>
      </w:pPr>
      <w:r>
        <w:rPr>
          <w:sz w:val="24"/>
        </w:rPr>
        <w:t xml:space="preserve">È interessante notare che fino al 1989 questi episodi di violenza sovietica erano assolutamente censurati dal governo polacco e non se ne parlava.  </w:t>
      </w:r>
    </w:p>
    <w:p w:rsidR="00611878" w:rsidRDefault="00672C55">
      <w:pPr>
        <w:spacing w:line="366" w:lineRule="auto"/>
        <w:ind w:left="561" w:right="707"/>
      </w:pPr>
      <w:r>
        <w:rPr>
          <w:sz w:val="24"/>
        </w:rPr>
        <w:t xml:space="preserve">L’assedio di Breslau rappresenta sicuramente uno dei tanti drammi della Seconda Guerra Mondiale, non solo per la popolazione residente nella città, ma anche per tutti i profughi che l’avevano raggiunta come punto terminale del loro viaggio da est, dalla fuga dall’Armata Rossa. Da quando il 6 maggio 1945 la città è capitolata, i cittadini e gli amministrazioni polacche hanno iniziato un’opera di denazificazione e de-tedeschizzazione della popolazione, anche attraverso la modifica della toponomastica. La città, infatti, prese il nome di Wroclaw e la popolazione di lingua tedesca è arrivata al 10%. Gli abitanti hanno patito pesantemente l’assedio, anche perché a differenza di Stalingrado e Leningrado, l’azione avviene al termine della guerra quando le scorte alimentari erano già state intaccate dagli anni di conflitto precedenti. </w:t>
      </w:r>
    </w:p>
    <w:p w:rsidR="00611878" w:rsidRDefault="00672C55">
      <w:pPr>
        <w:spacing w:line="366" w:lineRule="auto"/>
        <w:ind w:left="561" w:right="707"/>
      </w:pPr>
      <w:r>
        <w:rPr>
          <w:sz w:val="24"/>
        </w:rPr>
        <w:lastRenderedPageBreak/>
        <w:t xml:space="preserve">Mentre in Prussia Orientale attraverso il Mar Baltico la gente tentava di salvarsi la pelle fuggendo, si stava compiendo in Slesia una tragedia di specie diversa. Il Gauleiter Karl Hancke come altri colleghi, si era opposto a tutte le richieste ad evacuare la popolazione fino al giorno in cui Breslau è stata dichiarata fortezza. Hitler ha voluto che fosse il responsabile delle azioni atte a ritardare l’avanzata dell’Arma Rossa su Berlino. Per la città e i civili che la abitavano è stata la sentenza di morte. L’ordine è stato impartito a fine gennaio attraverso l’invio per le strade di furgoncini con altoparlanti che intimavano alle donne ed ai bambini di abbandonare la città. Le difficoltà erano rappresentate non tanto dalla carenze di generi alimentari, bensì, dalla carenza strutturale di munizioni che la Luftwaffe aveva provato a far giungere i rifornimenti paracadutandoli, senza tener conto l’alto tasso di dispersione sul territorio. </w:t>
      </w:r>
    </w:p>
    <w:p w:rsidR="00611878" w:rsidRDefault="00672C55">
      <w:pPr>
        <w:spacing w:line="366" w:lineRule="auto"/>
        <w:ind w:left="561" w:right="707"/>
      </w:pPr>
      <w:r>
        <w:rPr>
          <w:sz w:val="24"/>
        </w:rPr>
        <w:t xml:space="preserve">La fuga veloce, rapida e ineluttabile conseguenza di questa decisione ha fatto pagare il prezzo più alto ancora una volta a donne e bambini. La “marcia della morte delle madri di Breslau”, che sono state costrette ad andare a piedi verso ovest in cerca di rifugio, mentre nel frattempo il clima invernale avverso aveva portato le temperature in picchiata a -20 °C, è rimasta nell’immaginario collettivo come una delle catastrofi della Guerra. 18.000 morti, soprattutto bambini, nei due mesi successivi altre migliaia di profughi sono morti a Breslau: non solo per il fuoco nemico ma, come abbiamo già visto, per il fanatismo degli ultimi nazisti che, nelle ultime settimane, si sono impegnati con tutte le forze per opporsi all’avanzata dell’Armata Rossa. Qui durante le ultime settimane di guerra feroce e inferocita, la HJ è stata l’asse portante della difesa. Al termine della battaglia il Gauleiter Henke, che si era appellato all’onore tedesco chiedendo ai giovani e giovanissimi di resistere fino alla morte, pur di salvare Breslau è scappato a bordo di un aereo leggero diretto verso l’interno della Germania, sparendo nel nulla. </w:t>
      </w:r>
    </w:p>
    <w:p w:rsidR="00611878" w:rsidRDefault="00672C55">
      <w:pPr>
        <w:spacing w:line="366" w:lineRule="auto"/>
        <w:ind w:left="561" w:right="707"/>
      </w:pPr>
      <w:r>
        <w:rPr>
          <w:sz w:val="24"/>
        </w:rPr>
        <w:t xml:space="preserve">Dal marzo 1945 durante tutto il periodo dell’assedio, la Pomerania, la Slesia, la Masuria e, successivamente, Danzica sono passate sotto il controllo polacco, anticipando lo spostamento ad ovest dei confini di questo Stato che sarà poi sancito dalla Conferenza di Postdam. Dalla fine di giugno è iniziato l’esodo dei tedeschi in direzione ovest. Alcuni, prima della partenza, sono stati messi in campi di internamento dove si sono trovati sottoposti al singolo arbitrio dei guardiani. </w:t>
      </w:r>
    </w:p>
    <w:p w:rsidR="00611878" w:rsidRDefault="00672C55">
      <w:pPr>
        <w:spacing w:line="366" w:lineRule="auto"/>
        <w:ind w:left="561" w:right="707"/>
      </w:pPr>
      <w:r>
        <w:rPr>
          <w:sz w:val="24"/>
        </w:rPr>
        <w:t xml:space="preserve">Gli altri sono stati costretti a mettersi in marcia, a vagare per quel pezzo d’Europa ed a lasciare l’Heimat per un Vaterland che spesso era totalmente ignoto. Il tutto in 10 minuti, riproponendo lo stesso schema dei rastrellamenti nazisti. </w:t>
      </w:r>
    </w:p>
    <w:p w:rsidR="00611878" w:rsidRDefault="00672C55">
      <w:pPr>
        <w:spacing w:line="366" w:lineRule="auto"/>
        <w:ind w:left="561" w:right="707"/>
      </w:pPr>
      <w:r>
        <w:rPr>
          <w:sz w:val="24"/>
        </w:rPr>
        <w:t xml:space="preserve">Hanno viaggiato per settimane utilizzando strade secondarie e di campagna, soggetti a qualunque tipo di attacco e percorribili solo in determinati orari del giorno, per poi riposare nei </w:t>
      </w:r>
      <w:r>
        <w:rPr>
          <w:sz w:val="24"/>
        </w:rPr>
        <w:lastRenderedPageBreak/>
        <w:t xml:space="preserve">boschi o nei fienili abbandonati, portandosi dietro le poche cose che si era riusciti a radunare su carri o carretti improvvisati. Per alcuni di essi il viaggio finiva a Cottbus nella zona di occupazione sovietica della Germania, primo paese che si incontra appena passato il confine, sulla direttrice che unisce Berlino a Breslau. Cottbus, Stettino e Görlitz si sono ritrovate in estate invase da centinaia di migliaia di profughi, ma in queste città di frontiera, rimanevano solamente coloro che speravano di poter far rientro nelle proprie case abbandonate ad est.    </w:t>
      </w:r>
    </w:p>
    <w:p w:rsidR="00611878" w:rsidRDefault="00672C55" w:rsidP="00D249D7">
      <w:pPr>
        <w:spacing w:after="35" w:line="366" w:lineRule="auto"/>
        <w:ind w:left="561" w:right="707"/>
      </w:pPr>
      <w:r>
        <w:rPr>
          <w:sz w:val="24"/>
        </w:rPr>
        <w:t>L’assedio di Breslau si è protratto anche oltre la conquista di Berlino. Come sostenuto dal generale Schörner, i soldati tedeschi che erano al fronte, combattendo anche in città, erano stati forgiati dagli anni di guerra che “li avevano induriti e fanatizzati nella lotta contro i bolscevichi … la campagna del fronte orientale ha fatto nascere il soldato politico”</w:t>
      </w:r>
      <w:r>
        <w:rPr>
          <w:sz w:val="24"/>
          <w:vertAlign w:val="superscript"/>
        </w:rPr>
        <w:footnoteReference w:id="300"/>
      </w:r>
      <w:r>
        <w:rPr>
          <w:i/>
          <w:sz w:val="24"/>
        </w:rPr>
        <w:t xml:space="preserve"> </w:t>
      </w:r>
      <w:r>
        <w:rPr>
          <w:b/>
          <w:sz w:val="24"/>
        </w:rPr>
        <w:t xml:space="preserve">  </w:t>
      </w:r>
    </w:p>
    <w:p w:rsidR="00611878" w:rsidRDefault="00672C55">
      <w:pPr>
        <w:spacing w:after="34" w:line="366" w:lineRule="auto"/>
        <w:ind w:left="561" w:right="707"/>
      </w:pPr>
      <w:r>
        <w:rPr>
          <w:sz w:val="24"/>
        </w:rPr>
        <w:t xml:space="preserve">L’assedio di Breslau poneva ai profughi un doppio problema: da un lato ad ovest la fuga dalla città che avevano considerato un approdo sicuro era crollato, mentre a nord est Könisberg mancavano completamente i beni di prima necessità, come evidenziato da alcune testimonianze riportate da Anthony Beevor. </w:t>
      </w:r>
    </w:p>
    <w:p w:rsidR="00611878" w:rsidRDefault="00672C55">
      <w:pPr>
        <w:spacing w:line="366" w:lineRule="auto"/>
        <w:ind w:left="561" w:right="707"/>
      </w:pPr>
      <w:r>
        <w:rPr>
          <w:sz w:val="24"/>
        </w:rPr>
        <w:t>Berija fu informato da un alto ufficiale della SMERSH che “la parte significativa della popolazione della Prussia Orientale” rifugiatasi a Königsberg aveva scoperto che il posto disponibile era scarso e i viveri lo erano ancor di più. Potevano dirsi fortunati se ottenevano 180 grammi di pane al giorno. “Donne affamate con bambini si trascinano lungo la strada”, nella speranza di ricevere cibo dall’Armata Rossa. Da questi civili, il servizio informazioni militari apprese che “il morale della guarnigione di Königsberg è gravemente scosso. Sono stati diramati nuovi ordini secondo i quali qualunque tedesco maschio non si presenti per andare in prima linea verrà fucilato sul posto … i soldati indossano abiti civili e disertano. Il 6 e 7 febbraio i cadaveri di 80 soldati tedeschi furono ammucchiati alla stazione ferroviaria nord, sotto un cartello: “Erano codardi ma sono morti lo stesso”</w:t>
      </w:r>
      <w:r>
        <w:rPr>
          <w:sz w:val="24"/>
          <w:vertAlign w:val="superscript"/>
        </w:rPr>
        <w:footnoteReference w:id="301"/>
      </w:r>
      <w:r>
        <w:rPr>
          <w:sz w:val="24"/>
        </w:rPr>
        <w:t xml:space="preserve">.  </w:t>
      </w:r>
    </w:p>
    <w:p w:rsidR="00611878" w:rsidRDefault="00672C55">
      <w:pPr>
        <w:spacing w:line="366" w:lineRule="auto"/>
        <w:ind w:left="561" w:right="707"/>
      </w:pPr>
      <w:r>
        <w:rPr>
          <w:sz w:val="24"/>
        </w:rPr>
        <w:t xml:space="preserve">All’indomani della fine della guerra la difficoltà nel reperire derrate alimentari era ancora molto forte in città, al punto tale che le autorità preposte al controllo avevano imposto un nuovo razionamento. Questa divisione delle materie prime teneva in forte considerazione l’origine del richiedente; si era, infatti, stabilito che ogni cittadino di origine polacca avesse diritto ogni mese a 21 Kg di pane, 4,5 Kg di farina, 4,5 kg di zucchero, 1,5 Kg di grasso, 7,5 Kg di carne, 21 Kg di patate, 0,5 Kg di sale, 1,5 Kg di caffè e 300 g di sapone; al contrario i cittadini di lingua tedesca potevano ottenere: 9 Kg di pane, 2 Kg di farina, 2 Kg di semola, 0,5 di zucchero, 1 Kg </w:t>
      </w:r>
      <w:r>
        <w:rPr>
          <w:sz w:val="24"/>
        </w:rPr>
        <w:lastRenderedPageBreak/>
        <w:t>di grasso, 3 Kg di carne, 12 Kg di patate, 400 g di sale, 300 g di caffè e 100 g di sapone.</w:t>
      </w:r>
      <w:r>
        <w:rPr>
          <w:sz w:val="24"/>
          <w:vertAlign w:val="superscript"/>
        </w:rPr>
        <w:footnoteReference w:id="302"/>
      </w:r>
      <w:r>
        <w:rPr>
          <w:sz w:val="24"/>
        </w:rPr>
        <w:t xml:space="preserve"> Queste disparità vengono mantenute anche nella riapertura dei negozi e spingono molti cittadini di origine tedesca al suicidio. Questo è un ulteriore elemento che dimostra che il fenomeno dei suicidi precedenti l’ingresso dei sovietici in città è tipicamente berlinese. </w:t>
      </w:r>
    </w:p>
    <w:p w:rsidR="00611878" w:rsidRDefault="00672C55">
      <w:pPr>
        <w:spacing w:line="366" w:lineRule="auto"/>
        <w:ind w:left="561" w:right="707"/>
      </w:pPr>
      <w:r>
        <w:rPr>
          <w:sz w:val="24"/>
        </w:rPr>
        <w:t xml:space="preserve"> Un fenomeno simile è rappresentato ad esempio dai suicidi dei gerarchi nazisti immediatamente successivi all’arresto o precedenti il giudizio e la condanna da parte del tribunale internazionale. Himmler, ad esempio, si è suicidato subito dopo la visita medica alla quale lo avevano sottoposto gli Alleati, rompendo la fiala di cianuro che aveva tenuto in bocca per tutto il tempo, Göring si è tolto la vita la sera precedente la sua impiccaggione, così come altri esponenti minori. Era molto forte il principio di non morire per mano del nemico.  </w:t>
      </w:r>
    </w:p>
    <w:p w:rsidR="00611878" w:rsidRDefault="00672C55">
      <w:pPr>
        <w:spacing w:after="167" w:line="259" w:lineRule="auto"/>
        <w:ind w:left="992" w:right="0" w:firstLine="0"/>
        <w:jc w:val="left"/>
        <w:rPr>
          <w:sz w:val="24"/>
        </w:rPr>
      </w:pPr>
      <w:r>
        <w:rPr>
          <w:sz w:val="24"/>
        </w:rPr>
        <w:t xml:space="preserve"> </w:t>
      </w:r>
    </w:p>
    <w:p w:rsidR="00FF5873" w:rsidRDefault="00FF5873">
      <w:pPr>
        <w:spacing w:after="167" w:line="259" w:lineRule="auto"/>
        <w:ind w:left="992" w:right="0" w:firstLine="0"/>
        <w:jc w:val="left"/>
      </w:pPr>
    </w:p>
    <w:p w:rsidR="00611878" w:rsidRDefault="00672C55">
      <w:pPr>
        <w:pStyle w:val="Titolo3"/>
        <w:ind w:left="561"/>
      </w:pPr>
      <w:r>
        <w:t>5)</w:t>
      </w:r>
      <w:r>
        <w:rPr>
          <w:rFonts w:ascii="Arial" w:eastAsia="Arial" w:hAnsi="Arial" w:cs="Arial"/>
        </w:rPr>
        <w:t xml:space="preserve"> </w:t>
      </w:r>
      <w:r>
        <w:t xml:space="preserve">L’amministrazione della giustizia  </w:t>
      </w:r>
    </w:p>
    <w:p w:rsidR="00611878" w:rsidRDefault="00672C55">
      <w:pPr>
        <w:spacing w:after="141" w:line="259" w:lineRule="auto"/>
        <w:ind w:left="1028" w:right="0" w:firstLine="0"/>
        <w:jc w:val="left"/>
      </w:pPr>
      <w:r>
        <w:rPr>
          <w:sz w:val="24"/>
        </w:rPr>
        <w:t xml:space="preserve"> </w:t>
      </w:r>
    </w:p>
    <w:p w:rsidR="00611878" w:rsidRDefault="00672C55">
      <w:pPr>
        <w:spacing w:line="366" w:lineRule="auto"/>
        <w:ind w:left="551" w:right="707" w:firstLine="461"/>
      </w:pPr>
      <w:r>
        <w:rPr>
          <w:sz w:val="24"/>
        </w:rPr>
        <w:t xml:space="preserve">Nei regimi l’amministrazione della giustizia è un nodo centrale per gli stessi per dimostrare la loro forza, soprattutto all’indomani di conquiste territoriali. I nazisti imponevano il proprio dominio con il sangue dello sterminio di massa, i sovietici e gli Alleati attraverso l’utilizzo di processi giudiziari.  </w:t>
      </w:r>
    </w:p>
    <w:p w:rsidR="00611878" w:rsidRDefault="00672C55">
      <w:pPr>
        <w:spacing w:line="366" w:lineRule="auto"/>
        <w:ind w:left="551" w:right="707" w:firstLine="461"/>
      </w:pPr>
      <w:r>
        <w:rPr>
          <w:sz w:val="24"/>
        </w:rPr>
        <w:t xml:space="preserve">La Germania nazista aveva amministrato l'Europa, soprattutto quella orientale spargendo sangue sempre a partire da rastrellamenti pianificati, come testimonia una lettera interna tra reparti delle SS a Pryp’jet </w:t>
      </w:r>
    </w:p>
    <w:p w:rsidR="00611878" w:rsidRDefault="00672C55">
      <w:pPr>
        <w:spacing w:after="3" w:line="265" w:lineRule="auto"/>
        <w:ind w:left="10" w:right="704"/>
        <w:jc w:val="right"/>
      </w:pPr>
      <w:r>
        <w:t xml:space="preserve">Oggetto: direttive per il rastrellamento sistematico e la perlustrazione di territori paludosi. L’incarico </w:t>
      </w:r>
    </w:p>
    <w:p w:rsidR="00611878" w:rsidRDefault="00672C55">
      <w:pPr>
        <w:spacing w:line="246" w:lineRule="auto"/>
        <w:ind w:left="1027" w:right="6282" w:hanging="461"/>
        <w:jc w:val="left"/>
      </w:pPr>
      <w:r>
        <w:t xml:space="preserve">è affidato alle unità di cavalleria SS. I prestazioni dei reparti di cavalleria […]. </w:t>
      </w:r>
    </w:p>
    <w:p w:rsidR="00611878" w:rsidRDefault="00672C55" w:rsidP="004B3A00">
      <w:pPr>
        <w:numPr>
          <w:ilvl w:val="0"/>
          <w:numId w:val="30"/>
        </w:numPr>
        <w:ind w:left="1304" w:right="6203" w:hanging="276"/>
      </w:pPr>
      <w:r>
        <w:t xml:space="preserve">Parteciapazione della polizia. […]. </w:t>
      </w:r>
    </w:p>
    <w:p w:rsidR="00611878" w:rsidRDefault="00672C55" w:rsidP="004B3A00">
      <w:pPr>
        <w:numPr>
          <w:ilvl w:val="0"/>
          <w:numId w:val="30"/>
        </w:numPr>
        <w:ind w:left="1304" w:right="6203" w:hanging="276"/>
      </w:pPr>
      <w:r>
        <w:t xml:space="preserve">Impostazione delle operazioni </w:t>
      </w:r>
    </w:p>
    <w:p w:rsidR="00611878" w:rsidRDefault="00672C55" w:rsidP="004B3A00">
      <w:pPr>
        <w:numPr>
          <w:ilvl w:val="0"/>
          <w:numId w:val="31"/>
        </w:numPr>
        <w:spacing w:after="28"/>
        <w:ind w:right="706" w:hanging="360"/>
      </w:pPr>
      <w:r>
        <w:t xml:space="preserve">Ogni rastrellamento deve essere preparato con cura e preceduto da scrupolose ricognizioni terrestri e aeree (eventualmente con elicotteri “Fiesler”). La popolazione deve essere opportunamente avvertita mediante il lancio di volantini e diffidata dall’aiutare i banditi. </w:t>
      </w:r>
    </w:p>
    <w:p w:rsidR="00611878" w:rsidRDefault="00672C55" w:rsidP="004B3A00">
      <w:pPr>
        <w:numPr>
          <w:ilvl w:val="0"/>
          <w:numId w:val="31"/>
        </w:numPr>
        <w:ind w:right="706" w:hanging="360"/>
      </w:pPr>
      <w:r>
        <w:t xml:space="preserve">È necessario perlustrare di volta in volta una porzione limitata di territorio, affinché non si perda il coordinamento. </w:t>
      </w:r>
    </w:p>
    <w:p w:rsidR="00611878" w:rsidRDefault="00672C55" w:rsidP="004B3A00">
      <w:pPr>
        <w:numPr>
          <w:ilvl w:val="0"/>
          <w:numId w:val="31"/>
        </w:numPr>
        <w:ind w:right="706" w:hanging="360"/>
      </w:pPr>
      <w:r>
        <w:t xml:space="preserve">[…]. </w:t>
      </w:r>
    </w:p>
    <w:p w:rsidR="00611878" w:rsidRDefault="00672C55" w:rsidP="004B3A00">
      <w:pPr>
        <w:numPr>
          <w:ilvl w:val="0"/>
          <w:numId w:val="31"/>
        </w:numPr>
        <w:ind w:right="706" w:hanging="360"/>
      </w:pPr>
      <w:r>
        <w:t xml:space="preserve">[…]. </w:t>
      </w:r>
    </w:p>
    <w:p w:rsidR="00611878" w:rsidRDefault="00672C55" w:rsidP="004B3A00">
      <w:pPr>
        <w:numPr>
          <w:ilvl w:val="0"/>
          <w:numId w:val="31"/>
        </w:numPr>
        <w:spacing w:after="27"/>
        <w:ind w:right="706" w:hanging="360"/>
      </w:pPr>
      <w:r>
        <w:t xml:space="preserve">Il bottino di materiale vario e di beni mobili (bestiame) sarà collocato in luogo sicuro. </w:t>
      </w:r>
      <w:r>
        <w:rPr>
          <w:vertAlign w:val="superscript"/>
        </w:rPr>
        <w:footnoteReference w:id="303"/>
      </w:r>
      <w:r>
        <w:t xml:space="preserve"> </w:t>
      </w:r>
    </w:p>
    <w:p w:rsidR="00611878" w:rsidRPr="005B6AE9" w:rsidRDefault="00672C55">
      <w:pPr>
        <w:spacing w:after="112" w:line="259" w:lineRule="auto"/>
        <w:ind w:left="1028" w:right="0" w:firstLine="0"/>
        <w:jc w:val="left"/>
        <w:rPr>
          <w:sz w:val="2"/>
          <w:szCs w:val="2"/>
        </w:rPr>
      </w:pPr>
      <w:r w:rsidRPr="005B6AE9">
        <w:rPr>
          <w:sz w:val="2"/>
          <w:szCs w:val="2"/>
        </w:rPr>
        <w:t xml:space="preserve">  </w:t>
      </w:r>
    </w:p>
    <w:p w:rsidR="00611878" w:rsidRDefault="00672C55">
      <w:pPr>
        <w:spacing w:line="366" w:lineRule="auto"/>
        <w:ind w:left="551" w:right="707" w:firstLine="461"/>
      </w:pPr>
      <w:r>
        <w:rPr>
          <w:sz w:val="24"/>
        </w:rPr>
        <w:lastRenderedPageBreak/>
        <w:t>L’uccisione di massa dei prigionieri di guerra è stata, fin dall’antichità, il classico strumento estremo di occupazione territoriale. Con gli eserciti dell’età moderna si sviluppa il fenomeno dei prigionieri di guerra. […]. [i prigionieri die tedeschi nella Seconda Guerra Mondiale] morivano nei campi con questi numeri: 845.000 nella zona di occupazione militare vicino al fronte, 1,2 milioni nei campi che si trovano nei dintorni delle zone di occupazione civile, 500.000 nelle zone del cosiddetto Governatorato Generale e tra i 360.000 e i 400.000 nei campi interni al territorio dell’impero tedesco.</w:t>
      </w:r>
      <w:r>
        <w:rPr>
          <w:sz w:val="24"/>
          <w:vertAlign w:val="superscript"/>
        </w:rPr>
        <w:footnoteReference w:id="304"/>
      </w:r>
      <w:r>
        <w:rPr>
          <w:sz w:val="24"/>
        </w:rPr>
        <w:t xml:space="preserve">   </w:t>
      </w:r>
    </w:p>
    <w:p w:rsidR="00611878" w:rsidRDefault="00672C55">
      <w:pPr>
        <w:spacing w:line="399" w:lineRule="auto"/>
        <w:ind w:left="1428" w:right="706" w:firstLine="458"/>
      </w:pPr>
      <w:r>
        <w:t xml:space="preserve">  Procuratore: E oggi, alla luce di quello che è stato detto, alla luce dei documenti emersi nel corso dell’istruttoria, lei si considera ancora un soldato? </w:t>
      </w:r>
    </w:p>
    <w:p w:rsidR="00611878" w:rsidRDefault="00672C55">
      <w:pPr>
        <w:ind w:left="1887" w:right="706"/>
      </w:pPr>
      <w:r>
        <w:t xml:space="preserve">Stroop: Penso di non poter uscire dalla mia pelle. </w:t>
      </w:r>
    </w:p>
    <w:p w:rsidR="00611878" w:rsidRDefault="00672C55">
      <w:pPr>
        <w:spacing w:after="27"/>
        <w:ind w:left="1428" w:right="706" w:firstLine="458"/>
      </w:pPr>
      <w:r>
        <w:t xml:space="preserve">Procuratore: L’uso delle armi contro bambini e vecchi, la distruzione delle case, è in accordo con l’onore militare, è forse nei doveri del soldato? </w:t>
      </w:r>
    </w:p>
    <w:p w:rsidR="00611878" w:rsidRDefault="00672C55">
      <w:pPr>
        <w:spacing w:after="14" w:line="259" w:lineRule="auto"/>
        <w:ind w:left="1877" w:right="0" w:firstLine="0"/>
        <w:jc w:val="left"/>
      </w:pPr>
      <w:r>
        <w:t xml:space="preserve"> </w:t>
      </w:r>
    </w:p>
    <w:p w:rsidR="00611878" w:rsidRDefault="00672C55">
      <w:pPr>
        <w:ind w:left="1887" w:right="706"/>
      </w:pPr>
      <w:r>
        <w:t xml:space="preserve">[…] </w:t>
      </w:r>
    </w:p>
    <w:p w:rsidR="00611878" w:rsidRDefault="00672C55">
      <w:pPr>
        <w:ind w:left="1428" w:right="706" w:firstLine="458"/>
      </w:pPr>
      <w:r>
        <w:t xml:space="preserve">Procuratore: L’imputato ammette di aver personalmente assassinato delle persone e che altre sono state uccise in sua presenza? </w:t>
      </w:r>
    </w:p>
    <w:p w:rsidR="00611878" w:rsidRDefault="00672C55">
      <w:pPr>
        <w:ind w:left="1887" w:right="706"/>
      </w:pPr>
      <w:r>
        <w:t xml:space="preserve">Stroop: Ho assistito a una sola esecuzione. </w:t>
      </w:r>
    </w:p>
    <w:p w:rsidR="00611878" w:rsidRDefault="00672C55">
      <w:pPr>
        <w:ind w:left="1887" w:right="706"/>
      </w:pPr>
      <w:r>
        <w:t xml:space="preserve">[…] </w:t>
      </w:r>
    </w:p>
    <w:p w:rsidR="00611878" w:rsidRDefault="00672C55">
      <w:pPr>
        <w:ind w:left="1887" w:right="706"/>
      </w:pPr>
      <w:r>
        <w:t xml:space="preserve">Procuratore: Come si svolse? </w:t>
      </w:r>
    </w:p>
    <w:p w:rsidR="00611878" w:rsidRDefault="00672C55">
      <w:pPr>
        <w:ind w:left="1887" w:right="706"/>
      </w:pPr>
      <w:r>
        <w:t xml:space="preserve">Stroop: Erano persone in possesso di armi e pertanto la polizia le fucilò sul posto. </w:t>
      </w:r>
    </w:p>
    <w:p w:rsidR="00611878" w:rsidRDefault="00672C55">
      <w:pPr>
        <w:ind w:left="1428" w:right="706" w:firstLine="458"/>
      </w:pPr>
      <w:r>
        <w:t xml:space="preserve">[…] Procuratore (all’interprete): La prego di mostrare all’imputato la fotografia di questo bambino ucciso. Anche questo bambino è stato ucciso secondo una sentenza ufficiale di un tribunale? </w:t>
      </w:r>
    </w:p>
    <w:p w:rsidR="00611878" w:rsidRDefault="00672C55">
      <w:pPr>
        <w:ind w:left="1887" w:right="706"/>
      </w:pPr>
      <w:r>
        <w:t xml:space="preserve">Stroop (osservando la foto): si può dire che è un bambino </w:t>
      </w:r>
    </w:p>
    <w:p w:rsidR="00611878" w:rsidRDefault="00672C55">
      <w:pPr>
        <w:ind w:left="1887" w:right="706"/>
      </w:pPr>
      <w:r>
        <w:t xml:space="preserve">Procuratore: Anche questo bambino ha combattuto? Anche i bambini erano banditi? </w:t>
      </w:r>
    </w:p>
    <w:p w:rsidR="00611878" w:rsidRDefault="00672C55">
      <w:pPr>
        <w:spacing w:after="59"/>
        <w:ind w:left="1428" w:right="706" w:firstLine="458"/>
      </w:pPr>
      <w:r>
        <w:t>Stroop: I bambini venivano uccisi perché insieme ai loro genitori correvano nelle fiamme.</w:t>
      </w:r>
      <w:r>
        <w:rPr>
          <w:vertAlign w:val="superscript"/>
        </w:rPr>
        <w:footnoteReference w:id="305"/>
      </w:r>
      <w:r>
        <w:t xml:space="preserve"> </w:t>
      </w:r>
    </w:p>
    <w:p w:rsidR="00611878" w:rsidRDefault="00672C55">
      <w:pPr>
        <w:spacing w:after="115" w:line="259" w:lineRule="auto"/>
        <w:ind w:left="1877" w:right="0" w:firstLine="0"/>
        <w:jc w:val="left"/>
      </w:pPr>
      <w:r>
        <w:rPr>
          <w:sz w:val="24"/>
        </w:rPr>
        <w:t xml:space="preserve"> </w:t>
      </w:r>
    </w:p>
    <w:p w:rsidR="00611878" w:rsidRDefault="00672C55">
      <w:pPr>
        <w:spacing w:after="93" w:line="259" w:lineRule="auto"/>
        <w:ind w:left="1887" w:right="707"/>
      </w:pPr>
      <w:r>
        <w:rPr>
          <w:sz w:val="24"/>
        </w:rPr>
        <w:t xml:space="preserve">E ancora </w:t>
      </w:r>
    </w:p>
    <w:p w:rsidR="00611878" w:rsidRDefault="00672C55">
      <w:pPr>
        <w:spacing w:after="0" w:line="259" w:lineRule="auto"/>
        <w:ind w:left="1877" w:right="0" w:firstLine="0"/>
        <w:jc w:val="left"/>
      </w:pPr>
      <w:r>
        <w:t xml:space="preserve"> </w:t>
      </w:r>
    </w:p>
    <w:p w:rsidR="00611878" w:rsidRDefault="00672C55">
      <w:pPr>
        <w:spacing w:after="31"/>
        <w:ind w:left="1887" w:right="706"/>
      </w:pPr>
      <w:r>
        <w:t xml:space="preserve">Accusatore Amen: Durante l’anno quanti ebrei vennero soppressi dal suo </w:t>
      </w:r>
    </w:p>
    <w:p w:rsidR="00611878" w:rsidRDefault="00672C55">
      <w:pPr>
        <w:ind w:left="1438" w:right="706"/>
      </w:pPr>
      <w:r>
        <w:t xml:space="preserve">“Einsatzgruppe”? </w:t>
      </w:r>
    </w:p>
    <w:p w:rsidR="00611878" w:rsidRDefault="00672C55">
      <w:pPr>
        <w:ind w:left="1887" w:right="706"/>
      </w:pPr>
      <w:r>
        <w:t xml:space="preserve">Ohlendorf: Novemila </w:t>
      </w:r>
    </w:p>
    <w:p w:rsidR="00611878" w:rsidRDefault="00672C55">
      <w:pPr>
        <w:ind w:left="1887" w:right="706"/>
      </w:pPr>
      <w:r>
        <w:t xml:space="preserve">Accusatore Amen: La cifra contiene uomini donne e bimbi? </w:t>
      </w:r>
    </w:p>
    <w:p w:rsidR="00611878" w:rsidRDefault="00672C55">
      <w:pPr>
        <w:ind w:left="1887" w:right="7027"/>
      </w:pPr>
      <w:r>
        <w:t xml:space="preserve">Ohlendorf: si […] </w:t>
      </w:r>
    </w:p>
    <w:p w:rsidR="00611878" w:rsidRDefault="00672C55">
      <w:pPr>
        <w:ind w:left="1887" w:right="706"/>
      </w:pPr>
      <w:r>
        <w:lastRenderedPageBreak/>
        <w:t xml:space="preserve">Accusatore Amen: Come si comportavano gli esecutori? </w:t>
      </w:r>
    </w:p>
    <w:p w:rsidR="00611878" w:rsidRDefault="00672C55">
      <w:pPr>
        <w:ind w:left="1428" w:right="706" w:firstLine="458"/>
      </w:pPr>
      <w:r>
        <w:t xml:space="preserve">Ohlendorf: Non ho mai permesso che a sparare fossero singoli individui; ordinavo che diversi militari sparassero simultaneamente per evitare responsabilità dirette, personali. In altri </w:t>
      </w:r>
    </w:p>
    <w:p w:rsidR="00611878" w:rsidRDefault="00672C55">
      <w:pPr>
        <w:spacing w:after="29" w:line="246" w:lineRule="auto"/>
        <w:ind w:left="1862" w:right="2609" w:hanging="458"/>
        <w:jc w:val="left"/>
      </w:pPr>
      <w:r>
        <w:t xml:space="preserve">Eisatzgruppen obbligavano le vittime a sten dersi a terra, carponi e le facevano uccidere col colpo alla nuca. […] […] </w:t>
      </w:r>
    </w:p>
    <w:p w:rsidR="00611878" w:rsidRDefault="00672C55">
      <w:pPr>
        <w:ind w:left="1887" w:right="706"/>
      </w:pPr>
      <w:r>
        <w:t xml:space="preserve">Accusatore Amen: Ha mai avuto scrupoli nell’eseguire quegli ordini? </w:t>
      </w:r>
    </w:p>
    <w:p w:rsidR="00611878" w:rsidRDefault="00672C55">
      <w:pPr>
        <w:ind w:left="1887" w:right="706"/>
      </w:pPr>
      <w:r>
        <w:t xml:space="preserve">Ohlendorf: Oh, si </w:t>
      </w:r>
    </w:p>
    <w:p w:rsidR="00611878" w:rsidRDefault="00672C55">
      <w:pPr>
        <w:ind w:left="1887" w:right="706"/>
      </w:pPr>
      <w:r>
        <w:t xml:space="preserve">Accusatore Amen: e come mai li eseguì? </w:t>
      </w:r>
    </w:p>
    <w:p w:rsidR="00611878" w:rsidRDefault="00672C55">
      <w:pPr>
        <w:spacing w:after="38"/>
        <w:ind w:left="1428" w:right="706" w:firstLine="458"/>
      </w:pPr>
      <w:r>
        <w:t>Ohlendorf: Perché ritengo inconcepibile che un capo subalterno non esegua gli ordini impartiti dal capo dello Stato!</w:t>
      </w:r>
      <w:r>
        <w:rPr>
          <w:vertAlign w:val="superscript"/>
        </w:rPr>
        <w:footnoteReference w:id="306"/>
      </w:r>
      <w:r>
        <w:t xml:space="preserve">  </w:t>
      </w:r>
    </w:p>
    <w:p w:rsidR="00611878" w:rsidRDefault="00672C55">
      <w:pPr>
        <w:spacing w:after="115" w:line="259" w:lineRule="auto"/>
        <w:ind w:left="1028" w:right="0" w:firstLine="0"/>
        <w:jc w:val="left"/>
      </w:pPr>
      <w:r>
        <w:rPr>
          <w:sz w:val="24"/>
        </w:rPr>
        <w:t xml:space="preserve"> </w:t>
      </w:r>
    </w:p>
    <w:p w:rsidR="00611878" w:rsidRDefault="00672C55">
      <w:pPr>
        <w:spacing w:line="366" w:lineRule="auto"/>
        <w:ind w:left="551" w:right="707" w:firstLine="461"/>
      </w:pPr>
      <w:r>
        <w:rPr>
          <w:sz w:val="24"/>
        </w:rPr>
        <w:t xml:space="preserve">Lo sterminio di massa era compiuto, a volte, con un sistema barbaro che andava ad incidere pesantemente sulla psiche dei soldati stessi che erano costretti ad eseguire un ordine. I plotoni d’esecuzione ordinari infatti, erano sempre composti da soldati con armi sia caricate per sparare, sia caricate a salve, per impedire crisi di coscienza e lasciare ad ogni militare la possibilità di pensare di non aver contribuito ad uccidere.  Oltre ai massacri di civili perpetrati dai militari, i soldati occupanti si macchiano anche di innumerevoli stupri, atti a marcare il territorio. Durante l’avanzata e l’occupazione nazista dell’Europa Orientale si è manifestato chiaramente uno dei problemi maggiori: le malattie sessualmente trasmissibili. Dalle statistiche del tempo, si conta che “il 70 % di tutti i tedeschi della regione che si fossero trovati nel cosiddetto Kojen  con una ragazza, risultano aver contratto una seria malattia”.  Altri 45 000 uomini malati erano in Francia.  </w:t>
      </w:r>
    </w:p>
    <w:p w:rsidR="00611878" w:rsidRDefault="00672C55">
      <w:pPr>
        <w:spacing w:line="366" w:lineRule="auto"/>
        <w:ind w:left="551" w:right="707" w:firstLine="461"/>
      </w:pPr>
      <w:r>
        <w:rPr>
          <w:sz w:val="24"/>
        </w:rPr>
        <w:t xml:space="preserve">Questo bilancio così catastrofico è il frutto della mentalità degli occupanti nazisti. Come sostengono infatti Neitzel e Welzer, lo stupro o comunque il rapporto sessuale con una ragazza era l’aspetto centrale della loro esperienza di guerra [für die Soldaten zentralen Aspekt ihrer Kriegserfahrung].   </w:t>
      </w:r>
    </w:p>
    <w:p w:rsidR="00611878" w:rsidRDefault="00672C55">
      <w:pPr>
        <w:spacing w:line="366" w:lineRule="auto"/>
        <w:ind w:left="551" w:right="707" w:firstLine="461"/>
      </w:pPr>
      <w:r>
        <w:rPr>
          <w:sz w:val="24"/>
        </w:rPr>
        <w:t xml:space="preserve">Il punto nodale per comprendere la cosiddetta “Operazione Valchiria” è proprio nell’ultima risposta dell’imputato Ohlendorf al processo di Norimberga: un sottoposto, non può rifiutarsi di eseguire un ordine del capo dello Stato. I congiurati volevano, appunto, cambiare il capo dello Stato. Per un colonnello come Stauffenberg, non si è trattato di una decisione facile, ma assolutamente necessaria perché come lui stesso sosteneva  </w:t>
      </w:r>
    </w:p>
    <w:p w:rsidR="005B6AE9" w:rsidRDefault="005B6AE9">
      <w:pPr>
        <w:spacing w:after="133"/>
        <w:ind w:left="1887" w:right="706"/>
      </w:pPr>
    </w:p>
    <w:p w:rsidR="00611878" w:rsidRDefault="00672C55">
      <w:pPr>
        <w:spacing w:after="133"/>
        <w:ind w:left="1887" w:right="706"/>
      </w:pPr>
      <w:r>
        <w:t xml:space="preserve">Come ufficiali di stato maggiore siamo tutti corresponsabili. </w:t>
      </w:r>
    </w:p>
    <w:p w:rsidR="00611878" w:rsidRDefault="00672C55">
      <w:pPr>
        <w:spacing w:after="115" w:line="259" w:lineRule="auto"/>
        <w:ind w:left="1028" w:right="0" w:firstLine="0"/>
        <w:jc w:val="left"/>
      </w:pPr>
      <w:r>
        <w:rPr>
          <w:sz w:val="24"/>
        </w:rPr>
        <w:t xml:space="preserve"> </w:t>
      </w:r>
    </w:p>
    <w:p w:rsidR="00611878" w:rsidRDefault="00672C55">
      <w:pPr>
        <w:spacing w:line="366" w:lineRule="auto"/>
        <w:ind w:left="551" w:right="707" w:firstLine="461"/>
      </w:pPr>
      <w:r>
        <w:rPr>
          <w:sz w:val="24"/>
        </w:rPr>
        <w:t xml:space="preserve">Gli ufficiali hanno deciso, quindi, di ribellarsi e uscire dall’ombra e dall’eseguire gli ordini passivamente. La paura dello smantellamento dell’esercito, avvenuto alla fine della Prima </w:t>
      </w:r>
      <w:r>
        <w:rPr>
          <w:sz w:val="24"/>
        </w:rPr>
        <w:lastRenderedPageBreak/>
        <w:t xml:space="preserve">Guerra Mondiale, ha alimentato la voglia di cambiare il comando. Il fronte orientale era diventato già dall’ottobre 1943, determinante per la tenuta dell’intero Reich e per il proseguimento della guerra </w:t>
      </w:r>
    </w:p>
    <w:p w:rsidR="005B6AE9" w:rsidRDefault="005B6AE9">
      <w:pPr>
        <w:spacing w:after="46"/>
        <w:ind w:left="1428" w:right="706" w:firstLine="458"/>
      </w:pPr>
    </w:p>
    <w:p w:rsidR="00611878" w:rsidRDefault="00672C55">
      <w:pPr>
        <w:spacing w:after="46"/>
        <w:ind w:left="1428" w:right="706" w:firstLine="458"/>
      </w:pPr>
      <w:r>
        <w:t>Se andiamo avanti così, il fronte orientale crolla prima che si riesca a mettere gli uni contro gli altri gli avversari russi e occidentali</w:t>
      </w:r>
      <w:r>
        <w:rPr>
          <w:vertAlign w:val="superscript"/>
        </w:rPr>
        <w:footnoteReference w:id="307"/>
      </w:r>
      <w:r>
        <w:t xml:space="preserve"> </w:t>
      </w:r>
    </w:p>
    <w:p w:rsidR="00611878" w:rsidRDefault="00672C55">
      <w:pPr>
        <w:spacing w:after="112" w:line="259" w:lineRule="auto"/>
        <w:ind w:left="1028" w:right="0" w:firstLine="0"/>
        <w:jc w:val="left"/>
      </w:pPr>
      <w:r>
        <w:rPr>
          <w:sz w:val="24"/>
        </w:rPr>
        <w:t xml:space="preserve"> </w:t>
      </w:r>
    </w:p>
    <w:p w:rsidR="00611878" w:rsidRDefault="00672C55">
      <w:pPr>
        <w:spacing w:after="38" w:line="366" w:lineRule="auto"/>
        <w:ind w:left="551" w:right="707" w:firstLine="461"/>
      </w:pPr>
      <w:r>
        <w:rPr>
          <w:sz w:val="24"/>
        </w:rPr>
        <w:t xml:space="preserve">Dalle ricostruzioni risultano già dal mese di agosto 1943, le prime bozze delle modifiche all’azione Valchiria, determinanti per la riuscita complessiva dell’operazione. Era necessario, infatti, escludere dai piani le SS e mobilitare tutto l’esercito, riserve comprese. La neutralizzazione delle SS era essenziale perché, mentre la Wehrmacht aveva prestato giuramento per servire lo Stato, indipendentemente da chi fosse il cancelliere, le SS si identificavano esclusivamente nella persona di Adolf Hitler. Affinché l’Operazione Valchiria fosse efficace, però, era necessario che il Führer fosse morto. Successivamente alla sua morte, occorreva neutralizzare le SS ed evitare una lotta intestina per il potere. Il lavoro certosino condotto da Olbricht per convincere i vertici militari della necessità di modificare la stesura del testo, senza attirare sospetti.  </w:t>
      </w:r>
    </w:p>
    <w:p w:rsidR="00611878" w:rsidRDefault="00672C55">
      <w:pPr>
        <w:spacing w:line="366" w:lineRule="auto"/>
        <w:ind w:left="551" w:right="707" w:firstLine="461"/>
      </w:pPr>
      <w:r>
        <w:rPr>
          <w:sz w:val="24"/>
        </w:rPr>
        <w:t xml:space="preserve">Tuttavia, il Führer non uscì illeso dall’attentato. Fu sottoposto immediatamente a due visite mediche e, una volta rientrato a Berlino, gli fu diagnosticata la lesione di entrambi i timpani. </w:t>
      </w:r>
    </w:p>
    <w:p w:rsidR="00611878" w:rsidRDefault="00672C55">
      <w:pPr>
        <w:spacing w:line="366" w:lineRule="auto"/>
        <w:ind w:left="551" w:right="707" w:firstLine="461"/>
      </w:pPr>
      <w:r>
        <w:rPr>
          <w:sz w:val="24"/>
        </w:rPr>
        <w:t xml:space="preserve">Secondo la testimonianza della segretaria di Hitler, inoltre, l’ordine sarebbe stato ripristinato in fretta, senza sparare un solo colpo e archiviando brevemente la questione, ma promettendo vendetta contro chi aveva ordito la congiura. Le indagini sono state affidate al Gruppenführer Fegelein che ha svolto il suo compito con zelo, rivelando quanto la resistenza avesse permeato l’esercito a partire dagli alti gradi. </w:t>
      </w:r>
    </w:p>
    <w:p w:rsidR="00611878" w:rsidRDefault="00672C55">
      <w:pPr>
        <w:spacing w:line="366" w:lineRule="auto"/>
        <w:ind w:left="551" w:right="707" w:firstLine="461"/>
      </w:pPr>
      <w:r>
        <w:rPr>
          <w:sz w:val="24"/>
        </w:rPr>
        <w:t xml:space="preserve">Il processo ai congiurati si configurerà come una farsa, esattamente come era accaduto agli studenti di die weiße Rose. Il giudice incaricato dell’istruttoria, lo stesso Roland Freisler che aveva giudicato gli studenti bavaresi, aveva il compito di denigrare e sminuire agli occhi dell’opinione pubblica, l’immagine degli imputati. A questo fine i militari furono costretti a presentarsi alla sbarra con abiti molto più grandi della loro taglia e senza cinture per poterli sostenere. La sentenza di morte, decisa prima ancora che il processo potesse avere inizio, è stata eseguita nel più breve tempo possibile, i traditori della Patria dovevano avere una pena esemplare, prima che qualcun altro potesse emularne le gesta.  </w:t>
      </w:r>
    </w:p>
    <w:p w:rsidR="00611878" w:rsidRDefault="00672C55">
      <w:pPr>
        <w:spacing w:line="366" w:lineRule="auto"/>
        <w:ind w:left="551" w:right="707" w:firstLine="461"/>
      </w:pPr>
      <w:r>
        <w:rPr>
          <w:sz w:val="24"/>
        </w:rPr>
        <w:lastRenderedPageBreak/>
        <w:t xml:space="preserve">L’attentato del 20 luglio 1944 è l’ultimo grande, disperato tentativo di fermare Hitler prima che fosse troppo tardi. Il suo fallimento è tra le cause determinanti dell’ultima devastante fase della guerra in cui lo stesso Hitler aveva perso la lucidità per capire che la capitolazione era inevitabile. In ogni caso, la pena scelta per la condanna a morte dei generali è emblematica dell’inasprimento della barbarie del regime. Hitler steso, infatti, aveva ideato un sistema di corda a strozzo con la quale impiccare simultaneamente i condannati, facendo dipendere dai movimenti di uno la morte degli altri. Il codice militare, invece, prevedeva tutt’altro. Gli ufficiali avevano diritto ad una morte veloce, che non implicasse una sofferenza eccessiva. L’unica simbologia ammessa era la posizione del condannato, frontale per i reati comuni, alla schiena per i traditori. </w:t>
      </w:r>
    </w:p>
    <w:p w:rsidR="00611878" w:rsidRDefault="00672C55">
      <w:pPr>
        <w:spacing w:line="366" w:lineRule="auto"/>
        <w:ind w:left="551" w:right="707" w:firstLine="461"/>
      </w:pPr>
      <w:r>
        <w:rPr>
          <w:sz w:val="24"/>
        </w:rPr>
        <w:t xml:space="preserve">L’attentato del 20 luglio 1944 aveva istillato nei vertici dello Stato-Partito nazista un forte pregiudizio nei confronti della Wehrmacht, ponendo al contempo la questione della motivazione delle truppe al fronte. Era difficile, infatti, continuare a combattere assecondando </w:t>
      </w:r>
      <w:r>
        <w:rPr>
          <w:i/>
          <w:sz w:val="24"/>
        </w:rPr>
        <w:t>la banalità del Male</w:t>
      </w:r>
      <w:r>
        <w:rPr>
          <w:sz w:val="24"/>
        </w:rPr>
        <w:t xml:space="preserve">, assistendo passivi ed inermi allo sterminio di interi villaggi, senza avere lo spirito unitario di corpo che caratterizzava i membri delle SS, soprattutto all’indomani della decimazione dei vertici dell’esercito. La complessità e l’estensione dell’Operazione Valchiria aveva, però, dimostrato che opporsi e smettere di combattere fosse possibile, perché il Führer non era un’intoccabile divinità, ma un comune mortale e che il concetto di </w:t>
      </w:r>
      <w:r>
        <w:rPr>
          <w:i/>
          <w:sz w:val="24"/>
        </w:rPr>
        <w:t>Lebensraum</w:t>
      </w:r>
      <w:r>
        <w:rPr>
          <w:sz w:val="24"/>
        </w:rPr>
        <w:t xml:space="preserve"> utilizzato per giustificare la guerra non era più una causa sufficiente a motivare le truppe a morire.    </w:t>
      </w:r>
    </w:p>
    <w:p w:rsidR="00611878" w:rsidRDefault="00672C55">
      <w:pPr>
        <w:spacing w:line="366" w:lineRule="auto"/>
        <w:ind w:left="551" w:right="707" w:firstLine="461"/>
      </w:pPr>
      <w:r>
        <w:rPr>
          <w:sz w:val="24"/>
        </w:rPr>
        <w:t xml:space="preserve">La Seconda Guerra Mondiale ha riempito l’Europa con le ossa delle vittime delle fucilazioni di massa, basti pensare alle stragi degli Einsatzgruppe in Galizia, o quella degli italiani a Domenikon alle quali è stato attribuito il nome di "strage" senza alcuna connotazione specifica. Eppure è provato che i soldati tedeschi abbiano stuprato senza alcuno scrupolo razziale le popolazioni sottomesse.  </w:t>
      </w:r>
    </w:p>
    <w:p w:rsidR="00611878" w:rsidRDefault="00672C55">
      <w:pPr>
        <w:spacing w:line="366" w:lineRule="auto"/>
        <w:ind w:left="551" w:right="707" w:firstLine="425"/>
      </w:pPr>
      <w:r>
        <w:rPr>
          <w:sz w:val="24"/>
        </w:rPr>
        <w:t xml:space="preserve">Quando le parti si sono invertite e i tedeschi sono stati sconfitti, l’Urss ha gestito il potere alla stessa stregua dei nazisti. Sono i sovietici a svelare i primi massacri e a fare i primi processi. Il 15 dicembre 1943, ad esempio è iniziato a Kakov il processo pubblico ad un luogotenente ed altri due membri delle SS accusati dell’assassinio di 23.000 ebrei da parte dei reparti speciali degli Einsatzgruppe nel dicembre 1941. Tra i testimoni dell’eccidio è chiamato Alexei Tolstoj che ha dichiarato  </w:t>
      </w:r>
    </w:p>
    <w:p w:rsidR="00611878" w:rsidRDefault="00672C55">
      <w:pPr>
        <w:spacing w:after="34"/>
        <w:ind w:left="1428" w:right="706" w:firstLine="425"/>
      </w:pPr>
      <w:r>
        <w:t xml:space="preserve">Ero presente nel momento in cui sono state scavate queste fosse spaventose e posso testimoniare la veridicità di questi omicidi, così come della raffinatezza estrema con la quale sono state eseguiti allo scopo di infliggere alle vittime i tormenti peggiori. Queste 23.000 persone sono state in un primo tempo chiuse in alcune baracche senza luce e riscaldamento e </w:t>
      </w:r>
      <w:r>
        <w:lastRenderedPageBreak/>
        <w:t>per due settimane sono rimasti al freddo glaciale di dicembre senza ricevere nessun tipo di sostentamento alimentare. In molti hanno perso la ragione. In seguito, a gruppi di 500, sono stati costretti a camminare lungo la strada carrabile a lungo, fino al raggiungimento di un burrone profondo ed incassato, all’interno del quale sono stati fucilati sul ciglio di una fossa ancora pieno di cadaveri non ancora sotterrati. Quando i soldati dell’Armata Rossa hanno dissotterrato con le pale i cadaveri lividi e mezzi nudi delle donne, dei bambini e degli anziani dai visi corrosi, hanno trovato nella terra nera dei giocattoli, dei palloni e delle bambole.</w:t>
      </w:r>
      <w:r>
        <w:rPr>
          <w:vertAlign w:val="superscript"/>
        </w:rPr>
        <w:footnoteReference w:id="308"/>
      </w:r>
      <w:r>
        <w:t xml:space="preserve"> </w:t>
      </w:r>
    </w:p>
    <w:p w:rsidR="00611878" w:rsidRDefault="00672C55">
      <w:pPr>
        <w:spacing w:line="366" w:lineRule="auto"/>
        <w:ind w:left="551" w:right="707" w:firstLine="425"/>
      </w:pPr>
      <w:r>
        <w:rPr>
          <w:sz w:val="24"/>
        </w:rPr>
        <w:t xml:space="preserve">I tre sono stati condannati a morte ed impiccati. Durante l’avanzata dell’Armata Rossa da est ad ovest, le fila dell’esercito si ingrossano con tutti coloro che negli anni della guerra avevano combattuto nella resistenza al nazismo, soprattutto gli ebrei. Questi hanno da subito iniziato a raccontare dei ghetti e dei campi di concentramento e di sterminio ma sono servite le prove inoppugnabili raccolte durante l’avanzata per avviare ulteriori processi esclusi dalla legge internazionale e regolati, come quello di Riga iniziato il gennaio 1946 a Fredrich Jeckeln capo della polizia e delle SS nei paesi baltici. Egli era accusato della liquidazione del getto di Riga e della spedizione contro i partigiani del dicembre 1944 in cui erano state fucilate più di 100 persone. A sua difesa Jeckeln ha sostenuto di non aver avuto scelta e di aver eseguito degli ordini. </w:t>
      </w:r>
    </w:p>
    <w:p w:rsidR="00611878" w:rsidRDefault="00672C55">
      <w:pPr>
        <w:spacing w:line="366" w:lineRule="auto"/>
        <w:ind w:left="561" w:right="707"/>
      </w:pPr>
      <w:r>
        <w:rPr>
          <w:sz w:val="24"/>
        </w:rPr>
        <w:t xml:space="preserve">È stato impiccato sulla Piazza della Vittoria il 3 febbraio e l’esecuzione è stata filmata dai sovietici per poterla usare a scopi propagandistici affinché fosse da monito, ma anche per tranquillizzare i popoli che avevano subito il dominio nazista che avrebbero ricevuto vendetta per le sofferenze che avevano dovuto subire.  </w:t>
      </w:r>
    </w:p>
    <w:p w:rsidR="00611878" w:rsidRDefault="00672C55">
      <w:pPr>
        <w:spacing w:line="366" w:lineRule="auto"/>
        <w:ind w:left="551" w:right="707" w:firstLine="425"/>
      </w:pPr>
      <w:r>
        <w:rPr>
          <w:sz w:val="24"/>
        </w:rPr>
        <w:t xml:space="preserve">Questo ovviamente è solo il primo di una lunga serie di processi che si sono svolti soprattutto al termine della guerra. </w:t>
      </w:r>
    </w:p>
    <w:p w:rsidR="00611878" w:rsidRDefault="00672C55">
      <w:pPr>
        <w:spacing w:line="366" w:lineRule="auto"/>
        <w:ind w:left="551" w:right="707" w:firstLine="425"/>
      </w:pPr>
      <w:r>
        <w:rPr>
          <w:sz w:val="24"/>
        </w:rPr>
        <w:t xml:space="preserve">Contemporaneamente anche a Kiev si svolgevano processi analoghi, come quello per il massacro di Babi Yar. Durante il procedimento un ruolo chiave lo ha avuto la testimonianza di Dina Ponitcheva </w:t>
      </w:r>
    </w:p>
    <w:p w:rsidR="00611878" w:rsidRDefault="00672C55">
      <w:pPr>
        <w:ind w:left="1428" w:right="706" w:firstLine="425"/>
      </w:pPr>
      <w:r>
        <w:t xml:space="preserve">Non ci ci hanno spogliato perché, era già buio. Ci hanno portato al bordo del burrone. Si potrebbe a malapena a stare in piedi. Hanno iniziato a sparare. Ho chiuso gli occhi, ho chiuso i pugni. Ho raggiunto tutti i miei muscoli e mi sono gettato nella fossa. Ha assemblato la mia caduta è durato un'eternità. Mi sono imbattuto i corpi. Alcuni sono stati feriti solo. Qualche tempo dopo, il fuisillade era guidare avanti e ho sentito i tedeschi giù in Revin, e sparare tutti </w:t>
      </w:r>
      <w:r>
        <w:lastRenderedPageBreak/>
        <w:t>quelli soffocante. Avevano lampade torce reparerceux che erano ancora vivi. I laici. Ho cercato di non muoversi per non avermi fatto riparare. Ho pensato che il mio fine era venuto. Ho aspettato in silenzio. Hanno cominciato a coprire il corpo con il suolo. Mi era tutto coperto di terra e mi sentivo come starter. Avevo paura di muoversi. Mi ha lasciato con qualche boccata d'aria da prendere prima di perdere il respiro. Avrei preferito essere trainato da un proiettile, piuttosto che morire soffocato. Ho iniziato a muoversi. Non sapevo che stava facendo maintenent notte buia, ho trovato il respiro e ho cancellato la terra mano sinistra era su di me. Dopo ho preso qualche boccata d’aria, utilizzando la mia ultima forza sono uscito da sotto terra, era su di me. Dopo aver preso qualche boccata d'aria usando la mia ultima forza, ho lasciato sottoterra. Si fece notte, ma era pericoloso muoversi perché i tedeschi rischiaravano il fondo del burrone dal crinale. Hanno continuato a sparare i feriti e loro mi potevano toccare. Sono riuscito a strisciare alle pareti del burrone, e al costo di sforzo sovrumano, sono riuscito ad uscire.</w:t>
      </w:r>
      <w:r>
        <w:rPr>
          <w:vertAlign w:val="superscript"/>
        </w:rPr>
        <w:footnoteReference w:id="309"/>
      </w:r>
      <w:r>
        <w:t xml:space="preserve"> </w:t>
      </w:r>
    </w:p>
    <w:p w:rsidR="00611878" w:rsidRPr="00FF5873" w:rsidRDefault="00672C55">
      <w:pPr>
        <w:spacing w:after="0" w:line="259" w:lineRule="auto"/>
        <w:ind w:left="1844" w:right="0" w:firstLine="0"/>
        <w:jc w:val="left"/>
        <w:rPr>
          <w:sz w:val="2"/>
          <w:szCs w:val="2"/>
        </w:rPr>
      </w:pPr>
      <w:r w:rsidRPr="00FF5873">
        <w:rPr>
          <w:sz w:val="2"/>
          <w:szCs w:val="2"/>
        </w:rPr>
        <w:t xml:space="preserve"> </w:t>
      </w:r>
    </w:p>
    <w:p w:rsidR="00611878" w:rsidRDefault="00672C55">
      <w:pPr>
        <w:spacing w:line="366" w:lineRule="auto"/>
        <w:ind w:left="551" w:right="707" w:firstLine="425"/>
      </w:pPr>
      <w:r>
        <w:rPr>
          <w:sz w:val="24"/>
        </w:rPr>
        <w:t xml:space="preserve">La gestione della giustizia e la capacità di fare processi rapidi anche a figure di secondo piano del nazismo era uno degli aspetti fondamentali per affermare la propria autorità e leggittimare la propria presenza da parte dei sovietici. Le condanne a morte comminate erano parte del sistema di affermazione di un nuovo regime che doveva cancellare il vecchio anche solo fisicamente e contemporaneamente dare un segno di giustizia.  </w:t>
      </w:r>
    </w:p>
    <w:p w:rsidR="00611878" w:rsidRDefault="00672C55">
      <w:pPr>
        <w:spacing w:line="366" w:lineRule="auto"/>
        <w:ind w:left="551" w:right="707" w:firstLine="425"/>
      </w:pPr>
      <w:r>
        <w:rPr>
          <w:sz w:val="24"/>
        </w:rPr>
        <w:t xml:space="preserve">Non ci sono mai nazisti di primo piano ma solo rappresentanti di quella </w:t>
      </w:r>
      <w:r>
        <w:rPr>
          <w:i/>
          <w:sz w:val="24"/>
        </w:rPr>
        <w:t>Banalità del Male</w:t>
      </w:r>
      <w:r>
        <w:rPr>
          <w:sz w:val="24"/>
        </w:rPr>
        <w:t xml:space="preserve"> che Hannah Arendt avrebbe descritto decenni dopo. Le vittime erano molto spesso i meri esecutori degli ordini che la catena di comando aveva impartito, il processo era una farsa senza la possibilità per gli imputati di difendersi veramente dalle accuse e con la sentenza eseguita in un brevissimo lasso di tempo, pubblicamente. La pubblicità della morte aveva un duplice scopo: da un lato diffondere un senso di protezione ai cittadini e la sicurezza che il tempo delle stragi si era concluso, dall’altro affermare la capacità di saper usare il pugno di ferro nei confronti di tutti. </w:t>
      </w:r>
    </w:p>
    <w:p w:rsidR="00611878" w:rsidRDefault="00672C55">
      <w:pPr>
        <w:spacing w:line="366" w:lineRule="auto"/>
        <w:ind w:left="551" w:right="707" w:firstLine="425"/>
      </w:pPr>
      <w:r>
        <w:rPr>
          <w:sz w:val="24"/>
        </w:rPr>
        <w:t xml:space="preserve">Il primo problema che gli occupanti si trovano a dover affrontare è, infatti, quella della legittimazione popolare. Non tutti gli abitanti delle varie nazioni vedevano di buon occhio la </w:t>
      </w:r>
      <w:r>
        <w:rPr>
          <w:sz w:val="24"/>
        </w:rPr>
        <w:lastRenderedPageBreak/>
        <w:t xml:space="preserve">dominazione sovietica, perché memori della precedente esperienza. Garantire una giustizia rapida soprattutto contro gli esecutori materiali degli eccidi, permetteva di avere il placet dei civili, ai quali era inoltre concesso il permesso di saccheggio. Da questo punto di vista è molto importante il supporto che giunge dalla popolazione ebraica e dai comunisti locali che avevano subito per anni la dominazione nazista, che erano stati deportati nei campi di concentramento </w:t>
      </w:r>
    </w:p>
    <w:p w:rsidR="00611878" w:rsidRDefault="00672C55">
      <w:pPr>
        <w:ind w:left="1428" w:right="706" w:firstLine="425"/>
      </w:pPr>
      <w:r>
        <w:t xml:space="preserve">Questa mattina presto la soprintendente è venuta a dirci che quelle che erano in grado di camminare dovevano prepararsi a partire. Dunque questa è la fine. Adesso che la fine è davvero vicina, soo stremata. Se solo avessi un po’di forza! Almeno qualche piccola speranza di riuscire a trascinarmi avanti. </w:t>
      </w:r>
    </w:p>
    <w:p w:rsidR="00611878" w:rsidRDefault="00672C55">
      <w:pPr>
        <w:ind w:left="1428" w:right="706" w:firstLine="425"/>
      </w:pPr>
      <w:r>
        <w:t xml:space="preserve">La nostra speranza di stare in cammino per tre giorni soltanto era vana. I giorni passano e non riusciamo a vedere la fine della strada. Camminiamo e camminiamo. Ho bisogno di essere sorretta. Non riesco più a camminare da sola. Non ci viene dato niente da mangiare.  </w:t>
      </w:r>
    </w:p>
    <w:p w:rsidR="00611878" w:rsidRDefault="00672C55">
      <w:pPr>
        <w:ind w:left="1428" w:right="706" w:firstLine="425"/>
      </w:pPr>
      <w:r>
        <w:t xml:space="preserve">Ho cominciato a gonfiarmi. Il lato su cui dormo di notte è completamente gonfio. Un occhio è tutto gonfio e di giorno non riesco più ad aprirlo. E i miei piedi, a guardarli, fanno impressione sono così gonfi che riesco a stento a infilare gli zoccoli da uomo che di solito imbottivo con della carta. </w:t>
      </w:r>
    </w:p>
    <w:p w:rsidR="00611878" w:rsidRDefault="00672C55">
      <w:pPr>
        <w:spacing w:after="33"/>
        <w:ind w:left="1428" w:right="706" w:firstLine="425"/>
      </w:pPr>
      <w:r>
        <w:t xml:space="preserve">Per sentire un po’ meno la mia debolezza e non sentire il tormento che viene causato da ogni passo, continuo mentalmente a scrivere il mio diario. </w:t>
      </w:r>
    </w:p>
    <w:p w:rsidR="00611878" w:rsidRDefault="00672C55">
      <w:pPr>
        <w:spacing w:after="0" w:line="259" w:lineRule="auto"/>
        <w:ind w:left="13" w:right="0"/>
        <w:jc w:val="center"/>
      </w:pPr>
      <w:r>
        <w:t xml:space="preserve">Di notte sentiamo in lontananza delle esplosioni attutite. Dev’essere il fronte! </w:t>
      </w:r>
    </w:p>
    <w:p w:rsidR="00611878" w:rsidRDefault="00672C55">
      <w:pPr>
        <w:ind w:left="1428" w:right="706" w:firstLine="425"/>
      </w:pPr>
      <w:r>
        <w:t xml:space="preserve">Ci è stato ordinato di camminare in silenzio. Anche alle guardie è stato proibito di parlare e di fumare. Le gambe non mi obbediscono più, vanno a zigzag. Sono già cadute molte volte, ma le donne mi tirano su e mi trascinano avanti. Mi pregano di resistere, di non scivolare via dalle loro mani, ma io cado. Non ci posso fare niente. Questa è la fine…  </w:t>
      </w:r>
    </w:p>
    <w:p w:rsidR="00611878" w:rsidRDefault="00672C55">
      <w:pPr>
        <w:ind w:left="1428" w:right="706" w:firstLine="425"/>
      </w:pPr>
      <w:r>
        <w:t xml:space="preserve">Le donne sono obbligate a lasciarmi… vengono spinte avanti. Sospirano e si allontanano. Chiudo gli occhi per non vedere quando vengo fucilata.  </w:t>
      </w:r>
    </w:p>
    <w:p w:rsidR="00611878" w:rsidRDefault="00672C55">
      <w:pPr>
        <w:ind w:left="1428" w:right="706" w:firstLine="425"/>
      </w:pPr>
      <w:r>
        <w:t xml:space="preserve">Cos’è questa voce? Sto sognando? Una voce di donna. Mi sta chiedendo se sono viva. Apro un occhio. Una donna si è fermata. Mi chiede di alzarmi. Non devo restare sdraiata o mi congelerò. Mi devo muovere. Mi ha portato un bastone. Mi dice di non fare la sciocca ora che la libertà è così vicina. Bisogna costringersi a tener duro a tutti i costi. Mi dice di aggrapparmi al suo braccio e di muovermi almeno un po’, così da non congelare. </w:t>
      </w:r>
    </w:p>
    <w:p w:rsidR="00611878" w:rsidRDefault="00672C55">
      <w:pPr>
        <w:ind w:left="1428" w:right="706" w:firstLine="425"/>
      </w:pPr>
      <w:r>
        <w:t xml:space="preserve">Vediamo una guardia dal campo che arriva in un carro. Ci colpisce e ci dice di salire. Le guardie portano i carri verso un fienile. Gli daranno fuoco? Saremo bruciati vivi!!! </w:t>
      </w:r>
    </w:p>
    <w:p w:rsidR="00611878" w:rsidRDefault="00672C55">
      <w:pPr>
        <w:ind w:left="1854" w:right="706"/>
      </w:pPr>
      <w:r>
        <w:t xml:space="preserve">Ci fanno entrare nel fienile. Ci troviamo molte donne, non tutte del nostro campo. </w:t>
      </w:r>
    </w:p>
    <w:p w:rsidR="00611878" w:rsidRDefault="00672C55">
      <w:pPr>
        <w:ind w:left="1428" w:right="706" w:firstLine="425"/>
      </w:pPr>
      <w:r>
        <w:t xml:space="preserve">Qualcuno mi da un colpetto sulla schiena. Chi? Di nuovo la donna ungherese che mi ha salvato. Mi chiede se capisco il polacco. Sta forse dicendo che l’Armata Rossa è qui, in questo paese, e che i nazisti sono tutti scappati? </w:t>
      </w:r>
    </w:p>
    <w:p w:rsidR="00611878" w:rsidRDefault="00672C55">
      <w:pPr>
        <w:ind w:left="1428" w:right="706" w:firstLine="425"/>
      </w:pPr>
      <w:r>
        <w:t xml:space="preserve">Una sirena. Qualcosa che si avvicina. Perché questo frastuono? Perché tutti gridano? Perché stanno correndo? Mi calpesteranno. Aiutatemi ad alzarmi. Dietro il fienile posso sentire delle voci di uomini. Soldati dell’Armata Rossa? Sono loro? Voglio andare là fuori! Verso di loro! Come posso alzarmi? </w:t>
      </w:r>
    </w:p>
    <w:p w:rsidR="00611878" w:rsidRDefault="00672C55">
      <w:pPr>
        <w:ind w:left="1428" w:right="706" w:firstLine="425"/>
      </w:pPr>
      <w:r>
        <w:t xml:space="preserve">I soldati dell’Armata Rossa si precipitano nel fienile. Vengono verso di noi, cercando i vivi, aiutando ad alzarsi. Tolgono il cappello a quelli che non hanno più bisogno di aiuto. </w:t>
      </w:r>
    </w:p>
    <w:p w:rsidR="00611878" w:rsidRDefault="00672C55">
      <w:pPr>
        <w:ind w:left="1428" w:right="706" w:firstLine="425"/>
      </w:pPr>
      <w:r>
        <w:t xml:space="preserve">“hai bisogno di aiuto sorellina?” vengo sollevata, messa in piedi, ma non posso andare avanti, le mie gambe tremano talmente. Due soldati incrociano le braccia, fanno una seggiola e mi portano. </w:t>
      </w:r>
    </w:p>
    <w:p w:rsidR="00611878" w:rsidRDefault="00672C55">
      <w:pPr>
        <w:spacing w:after="36"/>
        <w:ind w:left="1428" w:right="706" w:firstLine="425"/>
      </w:pPr>
      <w:r>
        <w:t xml:space="preserve">Nel villaggio arrivano le ambulanze. I soldati corrono. Uno si offre di portarmi, l’altro mi dà del pane, il terzo mi dà i suoi guanti. E la loro gentilezza mi fa sentire così bene che ho voglia di piangere. I soldati mi consolano, mi tranquillizzano. Uno di loro tira fuori un fazzoletto sporco e, come una bambina, mi asciuga le lacrime. “Non piangere sorellina, non </w:t>
      </w:r>
      <w:r>
        <w:lastRenderedPageBreak/>
        <w:t>permetteremo a nessuno di farti ancora del male.” E sul loro cappello brilla la stella rossa. Era da tanto tempo che non la vedevo!</w:t>
      </w:r>
      <w:r>
        <w:rPr>
          <w:vertAlign w:val="superscript"/>
        </w:rPr>
        <w:footnoteReference w:id="310"/>
      </w:r>
      <w:r>
        <w:t xml:space="preserve">    </w:t>
      </w:r>
    </w:p>
    <w:p w:rsidR="00611878" w:rsidRDefault="00672C55">
      <w:pPr>
        <w:spacing w:after="153" w:line="259" w:lineRule="auto"/>
        <w:ind w:left="992" w:right="0" w:firstLine="0"/>
        <w:jc w:val="left"/>
      </w:pPr>
      <w:r>
        <w:rPr>
          <w:sz w:val="24"/>
        </w:rPr>
        <w:t xml:space="preserve">  </w:t>
      </w:r>
    </w:p>
    <w:p w:rsidR="00611878" w:rsidRDefault="00672C55">
      <w:pPr>
        <w:spacing w:line="366" w:lineRule="auto"/>
        <w:ind w:left="551" w:right="707" w:firstLine="425"/>
      </w:pPr>
      <w:r>
        <w:rPr>
          <w:sz w:val="24"/>
        </w:rPr>
        <w:t xml:space="preserve">Al termine della Seconda Guerra Mondiale questo concetto di vendetta che trapela nelle sentenze del tempo di guerra si assottiglia fino a sparire all’indomani della conclusione del conflitto. </w:t>
      </w:r>
    </w:p>
    <w:p w:rsidR="00611878" w:rsidRDefault="00672C55">
      <w:pPr>
        <w:spacing w:after="36" w:line="366" w:lineRule="auto"/>
        <w:ind w:left="551" w:right="707" w:firstLine="425"/>
      </w:pPr>
      <w:r>
        <w:rPr>
          <w:sz w:val="24"/>
        </w:rPr>
        <w:t xml:space="preserve"> La differenza sostanziale tra la giustizia unilaterale sovietica e il tribunale internazionale di Norimberga era che i procedimenti erano portati avanti esclusivamente dai sovietici, con pochi testimoni, senza dibattimento e con una sentenza sostanzialmente già scritta in partenza, poiché l’aspetto più importante era il verdetto finale e l’effetto sui civili. Di questo ne sono testimonianza alcuni processi effettuati “In nome del Popolo Tedesco” nel settore sovietico di controllo di Berlino negli anni successivi la guerra, in un arco temporale che va dal 1947 ai primi anni ’50. </w:t>
      </w:r>
    </w:p>
    <w:p w:rsidR="00611878" w:rsidRDefault="00672C55">
      <w:pPr>
        <w:spacing w:line="366" w:lineRule="auto"/>
        <w:ind w:left="561" w:right="707"/>
      </w:pPr>
      <w:r>
        <w:rPr>
          <w:sz w:val="24"/>
        </w:rPr>
        <w:t xml:space="preserve">Queste sentenze sono conservate nell’Archivio Federale della DDR nella capitale tedesca e non sono di facile consultazione, né è possibile trascrivere la documentazione. Queste sentenze sono di straordinaria importanza per comprendere da un lato il clima politico e sociale che si viveva, dall’altro la ferocia del processo di denazificazione portato avanti dai sovietici. Tra tutti gli atti è significativo il processo a M. svoltosi tra il 1947 ed il 1948. M. era un alto funzionario del partito nazista, senza però mai aver preso parte attiva nelle stragi e nelle deportazioni, che viene dapprima condannato a morte per impiccagione e successivamente, la pena viene commutata in 15 anni di carcere. Gli atti del processo sono conservati nello stesso faldone con gli articoli di giornale che raccontano al pubblico il processo. È interessante notare il tono e l’enfasi che questi anno nei confronti dell’ex nazista.  </w:t>
      </w:r>
    </w:p>
    <w:p w:rsidR="00611878" w:rsidRDefault="00672C55">
      <w:pPr>
        <w:spacing w:line="366" w:lineRule="auto"/>
        <w:ind w:left="551" w:right="707" w:firstLine="425"/>
      </w:pPr>
      <w:r>
        <w:rPr>
          <w:sz w:val="24"/>
        </w:rPr>
        <w:t xml:space="preserve">Un altro processo significativo da questo punto di vista è sicuramente quelo che si è celebrato a Berlino nel 1949 e che ha avuto rilevanza sulla stampa nazionale con un articolo edito da Freiheit n° 60 del 12 marzo 1949 </w:t>
      </w:r>
    </w:p>
    <w:p w:rsidR="00611878" w:rsidRDefault="00672C55">
      <w:pPr>
        <w:spacing w:after="4" w:line="267" w:lineRule="auto"/>
        <w:ind w:left="1839" w:right="4107"/>
        <w:jc w:val="left"/>
      </w:pPr>
      <w:r>
        <w:rPr>
          <w:b/>
        </w:rPr>
        <w:t xml:space="preserve">25 anni di reclusione per l’assassino di nazisti </w:t>
      </w:r>
    </w:p>
    <w:p w:rsidR="00611878" w:rsidRDefault="00672C55">
      <w:pPr>
        <w:ind w:left="1428" w:right="706" w:firstLine="425"/>
      </w:pPr>
      <w:r>
        <w:t xml:space="preserve">Magdeburgo (Eb) Davanti alla Camera di Giudizio Superiore il luogotenente dei vigili del fuoco coniugato K. S. ha ammesso crimini contro l’umanità. </w:t>
      </w:r>
    </w:p>
    <w:p w:rsidR="00611878" w:rsidRDefault="00672C55">
      <w:pPr>
        <w:spacing w:after="39"/>
        <w:ind w:left="1428" w:right="706" w:firstLine="425"/>
      </w:pPr>
      <w:r>
        <w:t>Egli ha, prima della fine della guerra, ucciso un funzionario di polizia che si era ribellato ad un suo ordine. S. è stato condannato a 25 anni di reclusione.</w:t>
      </w:r>
      <w:r>
        <w:rPr>
          <w:vertAlign w:val="superscript"/>
        </w:rPr>
        <w:t xml:space="preserve"> </w:t>
      </w:r>
      <w:r>
        <w:rPr>
          <w:vertAlign w:val="superscript"/>
        </w:rPr>
        <w:footnoteReference w:id="311"/>
      </w:r>
      <w:r>
        <w:t xml:space="preserve"> </w:t>
      </w:r>
    </w:p>
    <w:p w:rsidR="00611878" w:rsidRDefault="00672C55" w:rsidP="00264D17">
      <w:pPr>
        <w:spacing w:after="0" w:line="259" w:lineRule="auto"/>
        <w:ind w:left="1844" w:right="0" w:firstLine="0"/>
        <w:jc w:val="left"/>
      </w:pPr>
      <w:r>
        <w:lastRenderedPageBreak/>
        <w:t xml:space="preserve"> </w:t>
      </w:r>
      <w:r>
        <w:rPr>
          <w:sz w:val="24"/>
        </w:rPr>
        <w:t xml:space="preserve"> </w:t>
      </w:r>
    </w:p>
    <w:p w:rsidR="00611878" w:rsidRDefault="00672C55">
      <w:pPr>
        <w:spacing w:line="366" w:lineRule="auto"/>
        <w:ind w:left="551" w:right="707" w:firstLine="425"/>
      </w:pPr>
      <w:r>
        <w:rPr>
          <w:sz w:val="24"/>
        </w:rPr>
        <w:t xml:space="preserve">Nelle motivazioni della sentenza si legge che è condannato per crimini contro l’umanità e, dunque, perde tutti i diritti civili e viene posto sotto controllo. </w:t>
      </w:r>
    </w:p>
    <w:p w:rsidR="00611878" w:rsidRDefault="00672C55">
      <w:pPr>
        <w:spacing w:line="366" w:lineRule="auto"/>
        <w:ind w:left="551" w:right="707" w:firstLine="425"/>
      </w:pPr>
      <w:r>
        <w:rPr>
          <w:sz w:val="24"/>
        </w:rPr>
        <w:t xml:space="preserve">Il ricorso al “crimine contro l’umanità” era ormai in uso, ma la sensazione che si riceve è che ci sia un utilizzo strumentale per l’eliminazione, fisica o politica, più veloce dei possibili oppositori. </w:t>
      </w:r>
    </w:p>
    <w:p w:rsidR="00611878" w:rsidRDefault="00672C55">
      <w:pPr>
        <w:spacing w:line="366" w:lineRule="auto"/>
        <w:ind w:left="551" w:right="707" w:firstLine="425"/>
      </w:pPr>
      <w:r>
        <w:rPr>
          <w:sz w:val="24"/>
        </w:rPr>
        <w:t xml:space="preserve">Questo processo rientra a pieno titolo nel processo di denazificazione che i sovietici impongono con forza, senza considerare il ruolo effettivo giocato dai singoli imputati. In questo modo il processo di tramuta in una banale caccia alle streghe. La difficoltà di affrontare questo tema è testimoniato dalla difficoltà dell’accesso agli atti e dalla farraginosa burocrazia che attornia la possibilità di consultare i faldoni. </w:t>
      </w:r>
    </w:p>
    <w:p w:rsidR="00611878" w:rsidRDefault="00672C55">
      <w:pPr>
        <w:spacing w:line="366" w:lineRule="auto"/>
        <w:ind w:left="551" w:right="707" w:firstLine="425"/>
      </w:pPr>
      <w:r>
        <w:rPr>
          <w:sz w:val="24"/>
        </w:rPr>
        <w:t xml:space="preserve">Questi atti sono estremamente significativi, perché mostrano l’utilizzo politico della giustizia per velocizzare e favorire il processo di nezaficazione della società. Ovviamente questa è una procedura lenta e complessa che raggiunge la società nel profondo, soprattutto nel settore di controllo sovietico. Questo aspetto diventa centrale per passare da un regime all’altro, cancellando tutto ciò che erano i segni di materiale umano e materiale del passato. </w:t>
      </w:r>
    </w:p>
    <w:p w:rsidR="00611878" w:rsidRDefault="00672C55">
      <w:pPr>
        <w:spacing w:line="366" w:lineRule="auto"/>
        <w:ind w:left="551" w:right="707" w:firstLine="425"/>
      </w:pPr>
      <w:r>
        <w:rPr>
          <w:sz w:val="24"/>
        </w:rPr>
        <w:t xml:space="preserve">Durante i processi di Norimberga, invece, ci si concentra sul diritto e quindi sono garantite l’accusa e la difesa, come è stato riportato sopra, che si fronteggiano, vengono ascoltati i testimoni ed utilizzate le riprese video ed, inoltre, le pene comminate non sono solo condanne a morte ma anche periodi di reclusione relativamente brevi, come quello comminato all’architetto del Reich Speer. Essendo processi in cui non occorreva radicare il dominio, l’aspetto principale era quello di contrapporre agli occhi dell’opinione pubblica il “Bene”, gli Alleati, al “Male”. Quindi, era fondamentale che alle barbarie commesse dai nazisti nei campi di concentramento si contrapponesse il diritto con il rispetto di tutte le parti. </w:t>
      </w:r>
    </w:p>
    <w:p w:rsidR="00611878" w:rsidRDefault="00672C55">
      <w:pPr>
        <w:spacing w:line="366" w:lineRule="auto"/>
        <w:ind w:left="551" w:right="707" w:firstLine="425"/>
      </w:pPr>
      <w:r>
        <w:rPr>
          <w:sz w:val="24"/>
        </w:rPr>
        <w:t xml:space="preserve">Questa è una distinzione importante, ma occorre ricordare che le condanne approssimative sono proprie dei giorni successivi la fine del conflitto in tutte le parti d’Europa. La maggior parte dei nazisti, però, erano tornati in Germania o erano prigionieri in attesa di un processo da parte degli alleati, quindi, la rabbia delle popolazioni che erano state sottomesse si sfogava contro le donne, considerate ree di aver fraternizzato con il nemico che venivano uccise dalla barbarie incontrollata della folla o sottoposte alla rasatura al termine della quale erano incisi sulla pelle del cranio segni inequivocabili che sarebbero rimasti impressi per sempre poiché lì i </w:t>
      </w:r>
      <w:r>
        <w:rPr>
          <w:sz w:val="24"/>
        </w:rPr>
        <w:lastRenderedPageBreak/>
        <w:t xml:space="preserve">capelli non sarebbero più ricresciuti. Anche molti collaborazionisti uomini hanno subito vessazioni, torture o sono stati uccisi; la paura era tale che molti di loro cambiavano nome o, nel caso delle donne cercavano disperatamente di sposarsi per poter cambiare cognome e consegnare il proprio passato all’oblìo.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0" w:line="259" w:lineRule="auto"/>
        <w:ind w:left="1702" w:right="0" w:firstLine="0"/>
        <w:jc w:val="left"/>
      </w:pPr>
      <w:r>
        <w:rPr>
          <w:b/>
          <w:sz w:val="24"/>
        </w:rPr>
        <w:t xml:space="preserve"> </w:t>
      </w:r>
    </w:p>
    <w:p w:rsidR="005B6AE9" w:rsidRDefault="005B6AE9">
      <w:pPr>
        <w:spacing w:after="160" w:line="259" w:lineRule="auto"/>
        <w:ind w:left="0" w:right="0" w:firstLine="0"/>
        <w:jc w:val="left"/>
        <w:rPr>
          <w:b/>
          <w:sz w:val="24"/>
        </w:rPr>
      </w:pPr>
      <w:r>
        <w:br w:type="page"/>
      </w:r>
    </w:p>
    <w:p w:rsidR="00611878" w:rsidRDefault="00672C55">
      <w:pPr>
        <w:pStyle w:val="Titolo3"/>
        <w:spacing w:after="271" w:line="259" w:lineRule="auto"/>
        <w:ind w:left="574" w:right="711"/>
        <w:jc w:val="center"/>
      </w:pPr>
      <w:r>
        <w:lastRenderedPageBreak/>
        <w:t xml:space="preserve">Conclusioni </w:t>
      </w:r>
    </w:p>
    <w:p w:rsidR="00611878" w:rsidRDefault="00672C55">
      <w:pPr>
        <w:spacing w:after="268" w:line="259" w:lineRule="auto"/>
        <w:ind w:left="0" w:right="88" w:firstLine="0"/>
        <w:jc w:val="center"/>
      </w:pPr>
      <w:r>
        <w:rPr>
          <w:b/>
          <w:sz w:val="24"/>
        </w:rPr>
        <w:t xml:space="preserve"> </w:t>
      </w:r>
    </w:p>
    <w:p w:rsidR="00611878" w:rsidRDefault="00672C55">
      <w:pPr>
        <w:spacing w:after="179" w:line="366" w:lineRule="auto"/>
        <w:ind w:left="561" w:right="707"/>
      </w:pPr>
      <w:r>
        <w:rPr>
          <w:sz w:val="24"/>
        </w:rPr>
        <w:t xml:space="preserve">Al termine di questo viaggio al seguito delle profughe e dei profughi di origine tedesca si comprendono degli elementi fondamentali. Innanzitutto l’utilizzo del corpo delle donne è un elemento trasversale e strumentale. Le violenze sessuali che si registrano a partire dall’episodio di Nemmersdorf, infatti, sono armi di una guerra psicologica prima che fisica. Nell’ultima fase della guerra era più importante ciò che si diceva di aver fatto piuttosto di ciò che avveniva realmente. Questo non significa che le violenze sessuali non ci siano state, ma che esse erano solamente un aspetto secondario della guerra psicologica. Le violenze non sono, dunque, solamente un modo per gratificare i soldati come avviene in tutti i conflitti, ma anche uno strumento dalla doppia lama.   </w:t>
      </w:r>
    </w:p>
    <w:p w:rsidR="00611878" w:rsidRDefault="00672C55">
      <w:pPr>
        <w:spacing w:after="183" w:line="366" w:lineRule="auto"/>
        <w:ind w:left="561" w:right="707"/>
      </w:pPr>
      <w:r>
        <w:rPr>
          <w:sz w:val="24"/>
        </w:rPr>
        <w:t xml:space="preserve">Nella prima fase di conquista, infatti, le violenze dei soldati dell’Armata Rossa sono plateali, pubbliche e pubblicizzate, affinché possano avere la funzione che una volta avevano le trombe sul campo di battaglia: stiamo arrivando. Ovviamente, ai racconti, ai si dice, era importante fomentare gli uomini, i soldati sovietici, per convincerli della missione che compivano stuprando le donne e questo avveniva attraverso la propaganda e i volantini che venivano diffusi sul fronte.  </w:t>
      </w:r>
    </w:p>
    <w:p w:rsidR="00611878" w:rsidRDefault="00672C55">
      <w:pPr>
        <w:spacing w:after="151" w:line="366" w:lineRule="auto"/>
        <w:ind w:left="561" w:right="707"/>
      </w:pPr>
      <w:r>
        <w:rPr>
          <w:sz w:val="24"/>
        </w:rPr>
        <w:t xml:space="preserve">La propaganda è il fil rouge di ogni singola violenza, sia nell’immediato, ma anche al termine della guerra guerreggiata e l’innalzarsi della cortina di ferro. Infatti, nel momento in cui si congelano e si scontrano i due giganti mondiali di URSS e USA gli stupri dell’Armata Rossa diventano nuovamente un’arma per la possibilità di creare un dossier, pronto ad ogni eventuale utilizzo. Questa linea di continuità è demarcata continuamente durante la violenza e dopo la violenza: mentre essa viene consumata, infatti, spesso c’è l’uso attivo o passivo delle armi che sottolinea la conquista armata e la sottomissione, la violenza continua anche successivamente attraverso i volantini e gli articoli di propaganda che incitavano i sovietici a perpetrare l’esperienza su altre donne. La richiesta di memorie da parte della Germania dell’Ovest, inoltre, causa alle donne il tornare con la mente a quei momenti e le porta a continuare a vivere una violenza che spesso avrebbero voluto dimenticare.  </w:t>
      </w:r>
    </w:p>
    <w:p w:rsidR="00611878" w:rsidRDefault="00672C55">
      <w:pPr>
        <w:spacing w:after="152" w:line="366" w:lineRule="auto"/>
        <w:ind w:left="561" w:right="707"/>
      </w:pPr>
      <w:r>
        <w:rPr>
          <w:sz w:val="24"/>
        </w:rPr>
        <w:t xml:space="preserve">Le donne erano solo uno strumento. Nella percezione comune le donne, tedesche, non vivevano la guerra, essendo lontane dal fronte e avevano il compito di essere al fianco degli uomini, seppur da lontano. Esse avevano il compito di aspettare il ritorno, credere nella vittoria finale ed essere da supporto con le loro lettere e le loro attenzioni. Queste erano le linee guida della </w:t>
      </w:r>
      <w:r>
        <w:rPr>
          <w:sz w:val="24"/>
        </w:rPr>
        <w:lastRenderedPageBreak/>
        <w:t xml:space="preserve">formazione impressa alle BDM, l’unione delle ragazze tedesche, che avevano tutto il carico dell’assistenza sociale a chi viveva in città.  </w:t>
      </w:r>
    </w:p>
    <w:p w:rsidR="00611878" w:rsidRDefault="00672C55">
      <w:pPr>
        <w:spacing w:after="150" w:line="366" w:lineRule="auto"/>
        <w:ind w:left="561" w:right="707"/>
      </w:pPr>
      <w:r>
        <w:rPr>
          <w:sz w:val="24"/>
        </w:rPr>
        <w:t xml:space="preserve">È importante sottolineare ancora una volta che le violenze sessuali erano rivolte alle donne comuni, proprio perché doveva essere una notizia da diffondere e qualora fossero indirizzate a membri delle forze paramilitari, non avrebbe avuto lo stesso effetto di diffusione perché sarebbero rimaste chiuse. </w:t>
      </w:r>
    </w:p>
    <w:p w:rsidR="00611878" w:rsidRDefault="00672C55">
      <w:pPr>
        <w:spacing w:after="150" w:line="366" w:lineRule="auto"/>
        <w:ind w:left="561" w:right="707"/>
      </w:pPr>
      <w:r>
        <w:rPr>
          <w:sz w:val="24"/>
        </w:rPr>
        <w:t xml:space="preserve">Occorre, però, rispondere alla domanda iniziale: perché migliaia di donne berlinesi decidono, nella primavera del 1945 di togliersi la vita?  </w:t>
      </w:r>
    </w:p>
    <w:p w:rsidR="00611878" w:rsidRDefault="00672C55">
      <w:pPr>
        <w:spacing w:after="277" w:line="259" w:lineRule="auto"/>
        <w:ind w:left="561" w:right="707"/>
      </w:pPr>
      <w:r>
        <w:rPr>
          <w:sz w:val="24"/>
        </w:rPr>
        <w:t xml:space="preserve">Al termine di questo lavoro si può affermare senza dubbio che le ragioni sono molteplici: </w:t>
      </w:r>
    </w:p>
    <w:p w:rsidR="00611878" w:rsidRDefault="00672C55" w:rsidP="004B3A00">
      <w:pPr>
        <w:numPr>
          <w:ilvl w:val="0"/>
          <w:numId w:val="32"/>
        </w:numPr>
        <w:spacing w:line="366" w:lineRule="auto"/>
        <w:ind w:left="911" w:right="707" w:hanging="360"/>
      </w:pPr>
      <w:r>
        <w:rPr>
          <w:sz w:val="24"/>
        </w:rPr>
        <w:t xml:space="preserve">Paura di essere violentate. La paura degli stupri è sicuramente un fattore determinante, poiché a partire dall’ottobre 1944 le voci di violenze sessuali ed omicidi di massa si sono fatte sempre più insistenti e convincenti, le immagini di quanto accaduto a Nemmersdorf sono ormai patrimonio collettivo dei racconti che viaggiano di cantina in cantina, alimentati da chi ha terminato il proprio viaggio da est proprio nella capitale. Per questo motivo si affiggono cartelli che annunciano malattie infettive, si radono i capelli e si fasciano i seni delle ragazze, esattamente come succede in situazioni analoghe, come ad esempio a Nanchino. Eppure, non si hanno notizie di suicidi di massa nelle altre zone orientali. È evidente, quindi, che i fattori devono essere altri e concomitanti tra loro.  </w:t>
      </w:r>
    </w:p>
    <w:p w:rsidR="00611878" w:rsidRDefault="00672C55" w:rsidP="004B3A00">
      <w:pPr>
        <w:numPr>
          <w:ilvl w:val="0"/>
          <w:numId w:val="32"/>
        </w:numPr>
        <w:spacing w:line="366" w:lineRule="auto"/>
        <w:ind w:left="911" w:right="707" w:hanging="360"/>
      </w:pPr>
      <w:r>
        <w:rPr>
          <w:sz w:val="24"/>
        </w:rPr>
        <w:t xml:space="preserve">Principio dell’illibatezza. La castità prematrimoniale era un principio fondamentale anche nelle società protestanti. Come è stato più volte sottolineato da studi come </w:t>
      </w:r>
      <w:r>
        <w:rPr>
          <w:i/>
          <w:sz w:val="24"/>
        </w:rPr>
        <w:t>Storia dell’aborto</w:t>
      </w:r>
      <w:r>
        <w:rPr>
          <w:sz w:val="24"/>
        </w:rPr>
        <w:t xml:space="preserve"> di Giulia Galeotti, mentre per le donne la “proprietà” del figlio è assicurata dalla gravidanza e del parto, per gli uomini non esiste questa certezza, perché il loro contributo alla nuova vita è limitata al semplice rapporto sessuale. Per questo, una vedova deve attendere tre mesi prima di potersi risposare. Una donna sposata che ha subito uno, stupro, quindi, non può garantire al marito la paternità del figlio, mentre una nubile che viene violentata toglie al suo uomo il gusto dello Jus primae noctis. Inoltre, c’era comunque il pregiudizio che, in un modo o nell’altro sia la donna che abbia provocato. Nonostante tutto. </w:t>
      </w:r>
    </w:p>
    <w:p w:rsidR="00611878" w:rsidRDefault="00672C55" w:rsidP="004B3A00">
      <w:pPr>
        <w:numPr>
          <w:ilvl w:val="0"/>
          <w:numId w:val="32"/>
        </w:numPr>
        <w:spacing w:after="172" w:line="366" w:lineRule="auto"/>
        <w:ind w:left="911" w:right="707" w:hanging="360"/>
      </w:pPr>
      <w:r>
        <w:rPr>
          <w:sz w:val="24"/>
        </w:rPr>
        <w:t xml:space="preserve">Mito della purezza razza. Il mito della razza era diffuso nel mondo occidentale già a partire dalla fine del XIX secolo, poi vergato su carta ne </w:t>
      </w:r>
      <w:r>
        <w:rPr>
          <w:i/>
          <w:sz w:val="24"/>
        </w:rPr>
        <w:t xml:space="preserve">Il mito del XX secolo </w:t>
      </w:r>
      <w:r>
        <w:rPr>
          <w:sz w:val="24"/>
        </w:rPr>
        <w:t xml:space="preserve">di Alfred Rosenberg in cui è scritto il programma politico razziale nazista. Dalla salita al potere di Adolf Hitler si inizia il percorso di selezione razziale dapprima con la selezione di chi aveva diritto alla cittadinanza, poi eliminando tutti quelli che erano una minaccia per gli ariani: dagli ebrei, i </w:t>
      </w:r>
      <w:r>
        <w:rPr>
          <w:sz w:val="24"/>
        </w:rPr>
        <w:lastRenderedPageBreak/>
        <w:t xml:space="preserve">sinti, i rom,… ma anche attraverso l’eliminazione di tutti quei bambini che potevano essere considerati portatori di tare ereditarie. Un bambino frutto degli incroci  </w:t>
      </w:r>
    </w:p>
    <w:p w:rsidR="00611878" w:rsidRDefault="00672C55">
      <w:pPr>
        <w:spacing w:after="150" w:line="366" w:lineRule="auto"/>
        <w:ind w:left="561" w:right="707"/>
      </w:pPr>
      <w:r>
        <w:rPr>
          <w:sz w:val="24"/>
        </w:rPr>
        <w:t xml:space="preserve">È, dunque, l’insieme di questi elementi a determinare la volontà delle donne di uccidersi ed uccidere i propri figli.  </w:t>
      </w:r>
    </w:p>
    <w:p w:rsidR="00611878" w:rsidRDefault="00672C55" w:rsidP="00981B1F">
      <w:pPr>
        <w:spacing w:after="151" w:line="366" w:lineRule="auto"/>
        <w:ind w:left="561" w:right="707"/>
      </w:pPr>
      <w:r>
        <w:rPr>
          <w:sz w:val="24"/>
        </w:rPr>
        <w:t xml:space="preserve">Se si considerano le teorie sui miti, le esperienze collettive, i canti e le tradizioni intorno alle quali si costruisce l’identità nazionale, si può certamente affermare che la catarsi rappresentata dalla migrazione est-ovest, le violenze sessuali, rappresentano per i profughi un elemento costitutivo della propria identità per riconoscersi parte di una nazione con la quale di fatto condividevano la lingua. </w:t>
      </w:r>
    </w:p>
    <w:p w:rsidR="00611878" w:rsidRDefault="00672C55" w:rsidP="00981B1F">
      <w:pPr>
        <w:spacing w:after="144" w:line="366" w:lineRule="auto"/>
        <w:ind w:left="561" w:right="707"/>
      </w:pPr>
      <w:r>
        <w:rPr>
          <w:sz w:val="24"/>
        </w:rPr>
        <w:t xml:space="preserve">Se si confronta il caso tedesco con il caso italiano, inoltre, questo aspetto risulta con maggiore evidenza nella sua dimensione di fenomeno “nazionale”. </w:t>
      </w:r>
    </w:p>
    <w:p w:rsidR="00611878" w:rsidRDefault="00672C55" w:rsidP="00981B1F">
      <w:pPr>
        <w:spacing w:line="366" w:lineRule="auto"/>
        <w:ind w:left="561" w:right="707"/>
      </w:pPr>
      <w:r>
        <w:rPr>
          <w:sz w:val="24"/>
        </w:rPr>
        <w:t xml:space="preserve">Sul fronte italiano, infatti, lo stallo del fronte ha causato una lunghissima scia di sangue e violenze. Secondo i dati riportati da Gribaudi nel suo testo </w:t>
      </w:r>
      <w:r>
        <w:rPr>
          <w:i/>
          <w:sz w:val="24"/>
        </w:rPr>
        <w:t>Guerra Totale</w:t>
      </w:r>
      <w:r>
        <w:rPr>
          <w:sz w:val="24"/>
        </w:rPr>
        <w:t xml:space="preserve">, si calcola che solo nel Lazio le violenze sessuali denunciate da parte dei cosiddetti marocchini siano state più di 800. Alle violenze fisiche dei liberatori si aggiungono le stragi dei nazisti, frutto di frustrazione ma soprattutto di rappresaglie. Solamente a Roma in quei mesi si contano centinaia di piccole azioni di disturbo partigiane come attacchi isolati ai presidi tedeschi, lo spargimento di chiodi ed altro materiale pericoloso atto a lesionare e rendere inutilizzabili le vetture tedesche che percorrevano le principali vie di comunicazione. La strage delle Fosse Ardeatina, le retate e le deportazioni in Germania di uomini abili al lavoro erano gli unici strumenti di vendetta di cui i nazisti erano capaci. Nonostante le razzie, si diffonde il mito del “tedesco buono”, ovvero il soldato della Wehrmacht che viene contrapposto nell’ideale collettivo alle Waffen-SS che compiono ciecamente le stragi.   </w:t>
      </w:r>
    </w:p>
    <w:p w:rsidR="00611878" w:rsidRDefault="00672C55" w:rsidP="00981B1F">
      <w:pPr>
        <w:spacing w:line="366" w:lineRule="auto"/>
        <w:ind w:left="561" w:right="707"/>
      </w:pPr>
      <w:r>
        <w:rPr>
          <w:sz w:val="24"/>
        </w:rPr>
        <w:t xml:space="preserve">Dopo lo sfondamento di Montecassino, il fronte di pressione verso Roma si è fatto più compatto e la strada era, di fatto, libera. Rimaneva da battere la resistenza nazista sui Colli Albani, ma la difesa è durata poco tempo e Roma è stata liberata in poco tempo. </w:t>
      </w:r>
    </w:p>
    <w:p w:rsidR="00611878" w:rsidRDefault="00672C55" w:rsidP="00981B1F">
      <w:pPr>
        <w:spacing w:line="366" w:lineRule="auto"/>
        <w:ind w:left="551" w:right="707" w:firstLine="708"/>
      </w:pPr>
      <w:r>
        <w:rPr>
          <w:sz w:val="24"/>
        </w:rPr>
        <w:t xml:space="preserve">I racconti dei bambini e degli adulti in Italia tendono ad edulcorare il comportamento dei soldati americani, evidenziando solo l’aspetto positivo del cibo e delle danze. In realtà, il comportamento dei soldati Alleati nell’avanzare lungo la direttrice sud-nord è assolutamente ambiguo e l’importazione di balli che vengono fatti in piazza come il boogie-woogie fanno aumentare il senso di frustrazione negli uomini italiani, padri o fratelli che siano, che vivono l'incubo di una doppia sconfitta: sul piano militare e su quello della virilità. Lo stallo della </w:t>
      </w:r>
      <w:r>
        <w:rPr>
          <w:sz w:val="24"/>
        </w:rPr>
        <w:lastRenderedPageBreak/>
        <w:t xml:space="preserve">guerra lungo la linea Gustav (la linea che del fronte che divideva l’Italia in due e che andava  da Gaeta alla valle del </w:t>
      </w:r>
    </w:p>
    <w:p w:rsidR="00611878" w:rsidRDefault="00672C55" w:rsidP="00981B1F">
      <w:pPr>
        <w:spacing w:line="366" w:lineRule="auto"/>
        <w:ind w:left="561" w:right="707"/>
      </w:pPr>
      <w:r>
        <w:rPr>
          <w:sz w:val="24"/>
        </w:rPr>
        <w:t xml:space="preserve">Sangro) fino al maggio 1944 crea aspettativa nella popolazione civile e, come viene riportato da Michela Ponzani in </w:t>
      </w:r>
      <w:r>
        <w:rPr>
          <w:i/>
          <w:sz w:val="24"/>
        </w:rPr>
        <w:t>Guerra alle donne</w:t>
      </w:r>
      <w:r>
        <w:rPr>
          <w:sz w:val="24"/>
        </w:rPr>
        <w:t xml:space="preserve">, nonostante i numerosi cartelli che avvisavano la popolazione civile di non dare confidenza agli Alleati, gli stupri avvengono in modo regolare </w:t>
      </w:r>
    </w:p>
    <w:p w:rsidR="00611878" w:rsidRDefault="00672C55" w:rsidP="00981B1F">
      <w:pPr>
        <w:ind w:left="1428" w:right="706" w:firstLine="708"/>
      </w:pPr>
      <w:r>
        <w:t>Una sera verso le 8 – eravamo a cena insieme ai miei genitori e le mie due sorelle più piccole di me, si mangiava la minestra di fagioli un po’di pane nero, non c’era altro – a un tratto si spalanca la porta e tre neri entrarono in casa e questa è la prima volta che vedevo un uomo di colore. Uno ci spense il lume – la luce ancora non c’era – uno si mise alla finestra e l’altro mi viene vicino e mi cinge la vita e con l’altra mi mostrava una manciata di soldi, non so la provenienza, forse erano dollari, ma quando mi sentii sollevare non mi misi a urlare o pregare, il mio istinto mi diceva di difendermi, infatti presi il mio coltello e cominciai a menare coltellate, intanto i miei tre neri si misero a gambe, saltarono dalla finestra che intanto era corsa gente e qualcuno si è perfino congratulato con me […].</w:t>
      </w:r>
      <w:r>
        <w:rPr>
          <w:vertAlign w:val="superscript"/>
        </w:rPr>
        <w:footnoteReference w:id="312"/>
      </w:r>
      <w:r>
        <w:t xml:space="preserve">   </w:t>
      </w:r>
    </w:p>
    <w:p w:rsidR="00611878" w:rsidRDefault="00672C55" w:rsidP="00981B1F">
      <w:pPr>
        <w:spacing w:after="0" w:line="259" w:lineRule="auto"/>
        <w:ind w:left="1275" w:right="706" w:firstLine="0"/>
        <w:jc w:val="left"/>
      </w:pPr>
      <w:r>
        <w:t xml:space="preserve"> </w:t>
      </w:r>
    </w:p>
    <w:p w:rsidR="00611878" w:rsidRDefault="00672C55" w:rsidP="00981B1F">
      <w:pPr>
        <w:ind w:left="1419" w:right="706" w:hanging="144"/>
      </w:pPr>
      <w:r>
        <w:rPr>
          <w:sz w:val="24"/>
        </w:rPr>
        <w:t xml:space="preserve">E ancora: </w:t>
      </w:r>
      <w:r>
        <w:t xml:space="preserve">C’era una famiglia: una donna, suo marito, una sorella, un bimbo. La ragazza con il cognato vollero andare a vedere se la loro casa esisteva ancora. Tornarono, erano irriconoscibili, la ragazza piangente e stravolta. </w:t>
      </w:r>
    </w:p>
    <w:p w:rsidR="00611878" w:rsidRDefault="00672C55" w:rsidP="00981B1F">
      <w:pPr>
        <w:spacing w:after="45"/>
        <w:ind w:left="1428" w:right="706" w:firstLine="708"/>
      </w:pPr>
      <w:r>
        <w:t>Avevano incontrato dei militari (credo si disse marocchini)  e tenendo formo l’uomo avevano abusato della ragazza.</w:t>
      </w:r>
      <w:r>
        <w:rPr>
          <w:vertAlign w:val="superscript"/>
        </w:rPr>
        <w:footnoteReference w:id="313"/>
      </w:r>
      <w:r>
        <w:t xml:space="preserve"> </w:t>
      </w:r>
    </w:p>
    <w:p w:rsidR="00611878" w:rsidRDefault="00672C55" w:rsidP="00981B1F">
      <w:pPr>
        <w:spacing w:after="112" w:line="259" w:lineRule="auto"/>
        <w:ind w:left="1275" w:right="706" w:firstLine="0"/>
        <w:jc w:val="left"/>
      </w:pPr>
      <w:r>
        <w:rPr>
          <w:sz w:val="24"/>
        </w:rPr>
        <w:t xml:space="preserve"> </w:t>
      </w:r>
    </w:p>
    <w:p w:rsidR="00611878" w:rsidRDefault="00672C55" w:rsidP="00981B1F">
      <w:pPr>
        <w:spacing w:after="96" w:line="259" w:lineRule="auto"/>
        <w:ind w:left="10" w:right="706"/>
        <w:jc w:val="center"/>
      </w:pPr>
      <w:r>
        <w:rPr>
          <w:sz w:val="24"/>
        </w:rPr>
        <w:t xml:space="preserve">Non sono mancati stupri di gruppo e sevizie anche nei confronti delle bambine </w:t>
      </w:r>
    </w:p>
    <w:p w:rsidR="00611878" w:rsidRDefault="00672C55" w:rsidP="00981B1F">
      <w:pPr>
        <w:spacing w:after="3" w:line="265" w:lineRule="auto"/>
        <w:ind w:left="10" w:right="706"/>
        <w:jc w:val="right"/>
      </w:pPr>
      <w:r>
        <w:t xml:space="preserve">Io tenevo undici anni me pianno sotto i miei genitori. Mamma teneva un altro bambino </w:t>
      </w:r>
    </w:p>
    <w:p w:rsidR="00611878" w:rsidRDefault="00672C55" w:rsidP="00981B1F">
      <w:pPr>
        <w:ind w:left="1438" w:right="706"/>
      </w:pPr>
      <w:r>
        <w:t xml:space="preserve">piccolo che ci reva lu latte e aveva n’altra sorella che teneva sotto i vestiti per non farla prendere. Allora me pianno a me la prima volta… mamma e papà i caccianne, a me ficinnu rimané dentro… e allora papà piagneva appresso a me… A papà i abbiarono na bottiglia appresso, n’atu poco o accedevano. Poi si misero il fucile vicino a me, le botte, le mazzate… mi menannu, m’annu fattu tutto, m’hanno oltraggiato, mi hanno fatto del male, tutto… Dopo scesa nella casetta tutta piangente, non potevo neanche camminà, pe comme m’avevano rovinata… ecco che vennero gnauti, mi pianno, lì c’era il grano alto, era notte,  mi portanno in mezzo al grano, erano cinque, sei, mi trascinarono come una cosa… me pianno, fecero i fatti loro chistauti e me lassanno mezu a gnu grano. Mio padre piagnenne ieva cercamme la figlia: ando stai, ando stai!? E io, piagnenne, chiamavo: papà, mamma, tutti quanti… era di notte, era buio, non ci si vreva affatto… non potevo nemmeno camminare, per come mi avevano rovinata… così papà venne a prendermi in mezzo al campo di grano, piagnenne… eh… sono tutti ricordi che…allora dopo che mi incontrai con mio padre, con i miei genitori, mi misero dentro na capanna di fieno, perché erano vnuti n’ata vota pe’mi pignà, però non mi trovanno affatto perché mi ero messa già dentro un pagliaio. Quella buona anima di mio fratello Pasquale e papà mi presero, mi misero ancionciu e mi portarono mezu na vallata de prete, in modo che là non potevano venì. Piangevo tutta la notte, mi sentivo tanto male, tutti i dolori teneva ine… dopo che fu fatto giorno mio padre e mio fratello mi misero ancionciu e mi portanno sulla Madonna del Colle… io piagnevo, non ce la facevo più…straziante…dopo che arrivammo sulla Madonna del Colle chiedemmo un’ostetrica e mi visitò e mi disse: figlia mia ti hanno rovinata, come ti hanno rovinata! N’sacciu come sei viva… […] Dopo un anno andai </w:t>
      </w:r>
      <w:r>
        <w:lastRenderedPageBreak/>
        <w:t>girando per l’ospedali, perché mi avevano infettato il sangue sono stata al San Camillo a Roma, a parecchi ospedali a Fondi… in un ospedale trasevo e in un altro ne uscieva. Ho dovuto subire parecchi interventi alla gamba, a Fondi mi hanno ingessato, mi hanno fatto un intervento sotto le braccia. A Fondi mi operarono… avevo ghiandole sotto il braccio, tutte infezioni…al San Camillo c’era il prof. Chisciotte che mi operò due volte [</w:t>
      </w:r>
      <w:r>
        <w:rPr>
          <w:i/>
        </w:rPr>
        <w:t>facendo vedere le ferite]</w:t>
      </w:r>
      <w:r>
        <w:t xml:space="preserve"> tutto sangue infetto…</w:t>
      </w:r>
      <w:r w:rsidR="00D77858">
        <w:rPr>
          <w:rStyle w:val="Rimandonotaapidipagina"/>
        </w:rPr>
        <w:footnoteReference w:id="314"/>
      </w:r>
    </w:p>
    <w:p w:rsidR="00611878" w:rsidRDefault="00672C55" w:rsidP="00981B1F">
      <w:pPr>
        <w:spacing w:after="113" w:line="259" w:lineRule="auto"/>
        <w:ind w:left="2127" w:right="706" w:firstLine="0"/>
        <w:jc w:val="left"/>
      </w:pPr>
      <w:r>
        <w:rPr>
          <w:sz w:val="24"/>
        </w:rPr>
        <w:t xml:space="preserve"> </w:t>
      </w:r>
    </w:p>
    <w:p w:rsidR="00611878" w:rsidRDefault="00672C55" w:rsidP="00981B1F">
      <w:pPr>
        <w:spacing w:line="366" w:lineRule="auto"/>
        <w:ind w:left="551" w:right="706" w:firstLine="708"/>
      </w:pPr>
      <w:r>
        <w:rPr>
          <w:sz w:val="24"/>
        </w:rPr>
        <w:t xml:space="preserve">Nonostante il perpetrarsi delle violenze anche sul suolo italiano da parte delle truppe Alleate, simili in tutto a quelle già descritte sul fronte orientale ed il tentativo della propaganda di porre l’accento sulla razza dei violentatori, non si assiste a nessun genere di psicosi collettiva paragonabile a quella delle donne tedesche nei confronti dell’Armata Rossa. Anzi, spesso sono le stesse donne che, spinte dalla gioia dei festeggiamenti per la libertà ritrovata si gettano inconsapevolmente nelle braccia dei loro stupratori </w:t>
      </w:r>
    </w:p>
    <w:p w:rsidR="00611878" w:rsidRDefault="00672C55" w:rsidP="00981B1F">
      <w:pPr>
        <w:ind w:left="1428" w:right="706" w:firstLine="708"/>
      </w:pPr>
      <w:r>
        <w:t xml:space="preserve">La gioia che avevamo provato con l'arrivo degli americani svanì in un soffio di vento: nemmeno i tedeschi avevano fatto quello che fecero quei soldati! [Testimonianza di Laura raccolta da Ponzani, cit., p.232] </w:t>
      </w:r>
    </w:p>
    <w:p w:rsidR="00611878" w:rsidRDefault="00672C55" w:rsidP="00981B1F">
      <w:pPr>
        <w:spacing w:after="115" w:line="259" w:lineRule="auto"/>
        <w:ind w:left="1275" w:right="706" w:firstLine="0"/>
        <w:jc w:val="left"/>
      </w:pPr>
      <w:r>
        <w:rPr>
          <w:sz w:val="24"/>
        </w:rPr>
        <w:t xml:space="preserve"> </w:t>
      </w:r>
    </w:p>
    <w:p w:rsidR="00611878" w:rsidRDefault="00672C55" w:rsidP="00981B1F">
      <w:pPr>
        <w:spacing w:line="366" w:lineRule="auto"/>
        <w:ind w:left="551" w:right="706" w:firstLine="708"/>
      </w:pPr>
      <w:r>
        <w:rPr>
          <w:sz w:val="24"/>
        </w:rPr>
        <w:t xml:space="preserve">Dalle testimonianze trascritte in una nota inviata a Badoglio il 25 maggio 1944 si esplicita il concetto in maniera ancora più esaustiva  </w:t>
      </w:r>
    </w:p>
    <w:p w:rsidR="00611878" w:rsidRDefault="00672C55" w:rsidP="00981B1F">
      <w:pPr>
        <w:ind w:left="1428" w:right="706" w:firstLine="708"/>
      </w:pPr>
      <w:r>
        <w:t xml:space="preserve">"[...] sono andate incontro a queste truppe convinte di incontrare i liberatori, convinti di aver finalmente finito la loro tragedia". Stupore e incredulità per il comportamento dei marocchini lasciano il posto al racconto della tragedia. "Abbiamo sofferto più nelle 24 ore con cui abbiamo avuto contatti coi marocchini che negli otto mesi in cui abbiamo subito i tedeschi". Dunque ci si difende molto di più dalle razzie dei tedeschi che si conoscono e sono attese, piuttosto che dalle violenze delle truppe Alleate. </w:t>
      </w:r>
    </w:p>
    <w:p w:rsidR="00611878" w:rsidRDefault="00672C55" w:rsidP="00981B1F">
      <w:pPr>
        <w:spacing w:after="276" w:line="259" w:lineRule="auto"/>
        <w:ind w:left="0" w:right="706" w:firstLine="0"/>
        <w:jc w:val="left"/>
      </w:pPr>
      <w:r>
        <w:rPr>
          <w:sz w:val="24"/>
        </w:rPr>
        <w:t xml:space="preserve"> </w:t>
      </w:r>
    </w:p>
    <w:p w:rsidR="00611878" w:rsidRDefault="00672C55" w:rsidP="00981B1F">
      <w:pPr>
        <w:spacing w:line="366" w:lineRule="auto"/>
        <w:ind w:left="561" w:right="706"/>
      </w:pPr>
      <w:r>
        <w:rPr>
          <w:sz w:val="24"/>
        </w:rPr>
        <w:t xml:space="preserve">È del tutto evidente che le violenze in Italia ed in Germania vadano calate in un contesto sociale e religioso differente. Nonostante in entrambi i contesti le violenze siano perpetrate dai vincitori nei confronti degli sconfitti, sono questi due elementi ad essere significativamente differenti. Gli </w:t>
      </w:r>
    </w:p>
    <w:p w:rsidR="00611878" w:rsidRDefault="00672C55" w:rsidP="00981B1F">
      <w:pPr>
        <w:spacing w:after="153" w:line="366" w:lineRule="auto"/>
        <w:ind w:left="561" w:right="706"/>
      </w:pPr>
      <w:r>
        <w:rPr>
          <w:sz w:val="24"/>
        </w:rPr>
        <w:t xml:space="preserve">Alleati, sia dal punto di vista tecnico che di percezione politica e sociale, hanno liberato l’Italia dai nazifascisti, mentre la Germania è stata occupata, conquistata, dunque umiliata.  </w:t>
      </w:r>
    </w:p>
    <w:p w:rsidR="00611878" w:rsidRDefault="00672C55" w:rsidP="00D77858">
      <w:pPr>
        <w:spacing w:after="120" w:line="367" w:lineRule="auto"/>
        <w:ind w:left="561" w:right="709" w:hanging="11"/>
      </w:pPr>
      <w:r>
        <w:rPr>
          <w:sz w:val="24"/>
        </w:rPr>
        <w:t xml:space="preserve">Nonostante le violenze siano diffuse in tutte e due le nazioni con un’altissima percentuale e frequenza, in Italia non c’è un’interiorizzazione collettiva delle violenze, ma vengono vissute singolarmente, a volte da piccoli nuclei sociali, lasciando traccia nei canti popolari, nei racconti molto postumi delle donne, ma l’interesse è quello di raffigurare gli Alleati con descrizioni </w:t>
      </w:r>
      <w:r>
        <w:rPr>
          <w:sz w:val="24"/>
        </w:rPr>
        <w:lastRenderedPageBreak/>
        <w:t xml:space="preserve">spesso quasi agiografiche che lega l’immagine dei soldati ad i balli in strada, alla cioccolata e le sigarette.  </w:t>
      </w:r>
    </w:p>
    <w:p w:rsidR="00611878" w:rsidRDefault="00672C55" w:rsidP="00D77858">
      <w:pPr>
        <w:spacing w:after="120" w:line="367" w:lineRule="auto"/>
        <w:ind w:left="561" w:right="709" w:hanging="11"/>
      </w:pPr>
      <w:r>
        <w:rPr>
          <w:sz w:val="24"/>
        </w:rPr>
        <w:t xml:space="preserve"> In Germania, invece, si vedono diverse ragioni per rimarcare le violenze dal punto di vista delle donne: da un lato ci sono i germi della Guerra Fredda, come è stato rimarcato più volte, ma anche la necessità di mostrarsi vittime. Questo ha rappresentato un cambio di prospettiva, un continuo confronto con quello che Ivekovic definisce la difficoltà di </w:t>
      </w:r>
      <w:r>
        <w:rPr>
          <w:i/>
          <w:sz w:val="24"/>
        </w:rPr>
        <w:t>Tradurre la violenza di genere</w:t>
      </w:r>
      <w:r>
        <w:rPr>
          <w:sz w:val="24"/>
        </w:rPr>
        <w:t xml:space="preserve">, poiché ogni realtà va calata nel contesto (anche strumentale) in cui si inserisce. </w:t>
      </w:r>
    </w:p>
    <w:p w:rsidR="00611878" w:rsidRDefault="00672C55">
      <w:pPr>
        <w:spacing w:after="153" w:line="366" w:lineRule="auto"/>
        <w:ind w:left="561" w:right="707"/>
      </w:pPr>
      <w:r>
        <w:rPr>
          <w:sz w:val="24"/>
        </w:rPr>
        <w:t xml:space="preserve">I circa 12 milioni di profughi una volta entrati nei confini nazionali si sono riconosciuti nelle tradizioni comuni, una lingua comune ma anche in un’esperienza di violenza individuale che diventa collettiva, sulla quale costruire la propria identità in un mondo che si preparava a dividersi in due blocchi granitici.   </w:t>
      </w:r>
    </w:p>
    <w:p w:rsidR="00611878" w:rsidRDefault="00672C55">
      <w:pPr>
        <w:spacing w:after="158" w:line="259" w:lineRule="auto"/>
        <w:ind w:left="0" w:right="228" w:firstLine="0"/>
        <w:jc w:val="center"/>
      </w:pPr>
      <w:r>
        <w:rPr>
          <w:b/>
          <w:sz w:val="24"/>
        </w:rPr>
        <w:t xml:space="preserve"> </w:t>
      </w:r>
    </w:p>
    <w:p w:rsidR="00D77858" w:rsidRDefault="00D77858">
      <w:pPr>
        <w:spacing w:after="160" w:line="259" w:lineRule="auto"/>
        <w:ind w:left="0" w:right="0" w:firstLine="0"/>
        <w:jc w:val="left"/>
        <w:rPr>
          <w:b/>
          <w:sz w:val="24"/>
        </w:rPr>
      </w:pPr>
      <w:r>
        <w:rPr>
          <w:b/>
          <w:sz w:val="24"/>
        </w:rPr>
        <w:br w:type="page"/>
      </w:r>
    </w:p>
    <w:p w:rsidR="00611878" w:rsidRDefault="00672C55">
      <w:pPr>
        <w:spacing w:after="158" w:line="259" w:lineRule="auto"/>
        <w:ind w:left="574" w:right="852"/>
        <w:jc w:val="center"/>
      </w:pPr>
      <w:r>
        <w:rPr>
          <w:b/>
          <w:sz w:val="24"/>
        </w:rPr>
        <w:lastRenderedPageBreak/>
        <w:t xml:space="preserve">Appendice fotografica </w:t>
      </w:r>
    </w:p>
    <w:p w:rsidR="00611878" w:rsidRDefault="00672C55">
      <w:pPr>
        <w:spacing w:after="156" w:line="259" w:lineRule="auto"/>
        <w:ind w:left="0" w:right="228" w:firstLine="0"/>
        <w:jc w:val="center"/>
      </w:pPr>
      <w:r>
        <w:rPr>
          <w:b/>
          <w:sz w:val="24"/>
        </w:rPr>
        <w:t xml:space="preserve"> </w:t>
      </w:r>
    </w:p>
    <w:p w:rsidR="00611878" w:rsidRDefault="00672C55">
      <w:pPr>
        <w:pStyle w:val="Titolo3"/>
        <w:spacing w:after="158" w:line="259" w:lineRule="auto"/>
        <w:ind w:left="574" w:right="712"/>
        <w:jc w:val="center"/>
      </w:pPr>
      <w:r>
        <w:t xml:space="preserve">IMMAGINI DI NEMMERSDORF* </w:t>
      </w:r>
    </w:p>
    <w:p w:rsidR="00611878" w:rsidRDefault="00672C55">
      <w:pPr>
        <w:spacing w:after="156" w:line="259" w:lineRule="auto"/>
        <w:ind w:left="0" w:right="88" w:firstLine="0"/>
        <w:jc w:val="center"/>
      </w:pPr>
      <w:r>
        <w:rPr>
          <w:b/>
          <w:sz w:val="24"/>
        </w:rPr>
        <w:t xml:space="preserve"> </w:t>
      </w:r>
    </w:p>
    <w:p w:rsidR="00611878" w:rsidRDefault="00672C55">
      <w:pPr>
        <w:spacing w:line="366" w:lineRule="auto"/>
        <w:ind w:left="561" w:right="707"/>
      </w:pPr>
      <w:r>
        <w:rPr>
          <w:b/>
          <w:sz w:val="24"/>
        </w:rPr>
        <w:t>*</w:t>
      </w:r>
      <w:r>
        <w:rPr>
          <w:sz w:val="24"/>
        </w:rPr>
        <w:t xml:space="preserve">La scelta di due sole immagini dell’eccidio di Nemmersdorf è fatta a tutela delle vittime e della loro memoria. Sono state selezionate foto emblematiche nel rispetto del corpo e della dignità delle uccise e degli uccisi.  </w:t>
      </w:r>
    </w:p>
    <w:p w:rsidR="00611878" w:rsidRDefault="00672C55">
      <w:pPr>
        <w:spacing w:after="144" w:line="259" w:lineRule="auto"/>
        <w:ind w:left="0" w:right="88" w:firstLine="0"/>
        <w:jc w:val="center"/>
      </w:pPr>
      <w:r>
        <w:rPr>
          <w:b/>
          <w:sz w:val="24"/>
        </w:rPr>
        <w:t xml:space="preserve"> </w:t>
      </w:r>
    </w:p>
    <w:p w:rsidR="00611878" w:rsidRDefault="00672C55">
      <w:pPr>
        <w:spacing w:after="119" w:line="259" w:lineRule="auto"/>
        <w:ind w:left="566" w:right="0" w:firstLine="0"/>
        <w:jc w:val="left"/>
      </w:pPr>
      <w:r>
        <w:rPr>
          <w:rFonts w:ascii="Calibri" w:eastAsia="Calibri" w:hAnsi="Calibri" w:cs="Calibri"/>
        </w:rPr>
        <w:t xml:space="preserve"> </w:t>
      </w:r>
    </w:p>
    <w:p w:rsidR="00611878" w:rsidRDefault="00672C55">
      <w:pPr>
        <w:spacing w:after="72" w:line="377" w:lineRule="auto"/>
        <w:ind w:left="0" w:right="696" w:firstLine="0"/>
        <w:jc w:val="right"/>
      </w:pPr>
      <w:r>
        <w:rPr>
          <w:noProof/>
        </w:rPr>
        <w:drawing>
          <wp:inline distT="0" distB="0" distL="0" distR="0">
            <wp:extent cx="5829300" cy="4331208"/>
            <wp:effectExtent l="0" t="0" r="0" b="0"/>
            <wp:docPr id="25690" name="Picture 25690"/>
            <wp:cNvGraphicFramePr/>
            <a:graphic xmlns:a="http://schemas.openxmlformats.org/drawingml/2006/main">
              <a:graphicData uri="http://schemas.openxmlformats.org/drawingml/2006/picture">
                <pic:pic xmlns:pic="http://schemas.openxmlformats.org/drawingml/2006/picture">
                  <pic:nvPicPr>
                    <pic:cNvPr id="25690" name="Picture 25690"/>
                    <pic:cNvPicPr/>
                  </pic:nvPicPr>
                  <pic:blipFill>
                    <a:blip r:embed="rId16"/>
                    <a:stretch>
                      <a:fillRect/>
                    </a:stretch>
                  </pic:blipFill>
                  <pic:spPr>
                    <a:xfrm>
                      <a:off x="0" y="0"/>
                      <a:ext cx="5829300" cy="4331208"/>
                    </a:xfrm>
                    <a:prstGeom prst="rect">
                      <a:avLst/>
                    </a:prstGeom>
                  </pic:spPr>
                </pic:pic>
              </a:graphicData>
            </a:graphic>
          </wp:inline>
        </w:drawing>
      </w:r>
      <w:hyperlink r:id="rId17">
        <w:r>
          <w:rPr>
            <w:rFonts w:ascii="Calibri" w:eastAsia="Calibri" w:hAnsi="Calibri" w:cs="Calibri"/>
          </w:rPr>
          <w:t xml:space="preserve"> </w:t>
        </w:r>
      </w:hyperlink>
      <w:hyperlink r:id="rId18">
        <w:r>
          <w:rPr>
            <w:color w:val="0563C1"/>
            <w:sz w:val="20"/>
            <w:u w:val="single" w:color="0563C1"/>
          </w:rPr>
          <w:t>http://commons.wikimedia.org/wiki/File:Germans_killed_by_Soviet_army.jpg</w:t>
        </w:r>
      </w:hyperlink>
      <w:hyperlink r:id="rId19">
        <w:r>
          <w:rPr>
            <w:sz w:val="20"/>
          </w:rPr>
          <w:t xml:space="preserve"> </w:t>
        </w:r>
      </w:hyperlink>
      <w:r>
        <w:rPr>
          <w:sz w:val="20"/>
        </w:rPr>
        <w:t xml:space="preserve"> </w:t>
      </w:r>
    </w:p>
    <w:p w:rsidR="00611878" w:rsidRDefault="00672C55">
      <w:pPr>
        <w:spacing w:after="0" w:line="259" w:lineRule="auto"/>
        <w:ind w:left="566" w:right="0" w:firstLine="0"/>
        <w:jc w:val="left"/>
      </w:pPr>
      <w:r>
        <w:rPr>
          <w:rFonts w:ascii="Calibri" w:eastAsia="Calibri" w:hAnsi="Calibri" w:cs="Calibri"/>
        </w:rPr>
        <w:t xml:space="preserve"> </w:t>
      </w:r>
    </w:p>
    <w:p w:rsidR="00611878" w:rsidRPr="000E485B" w:rsidRDefault="00672C55">
      <w:pPr>
        <w:spacing w:after="115" w:line="259" w:lineRule="auto"/>
        <w:ind w:left="0" w:right="816" w:firstLine="0"/>
        <w:jc w:val="right"/>
        <w:rPr>
          <w:lang w:val="de-DE"/>
        </w:rPr>
      </w:pPr>
      <w:r>
        <w:rPr>
          <w:noProof/>
        </w:rPr>
        <w:lastRenderedPageBreak/>
        <w:drawing>
          <wp:inline distT="0" distB="0" distL="0" distR="0">
            <wp:extent cx="5751576" cy="3855720"/>
            <wp:effectExtent l="0" t="0" r="0" b="0"/>
            <wp:docPr id="25724" name="Picture 25724"/>
            <wp:cNvGraphicFramePr/>
            <a:graphic xmlns:a="http://schemas.openxmlformats.org/drawingml/2006/main">
              <a:graphicData uri="http://schemas.openxmlformats.org/drawingml/2006/picture">
                <pic:pic xmlns:pic="http://schemas.openxmlformats.org/drawingml/2006/picture">
                  <pic:nvPicPr>
                    <pic:cNvPr id="25724" name="Picture 25724"/>
                    <pic:cNvPicPr/>
                  </pic:nvPicPr>
                  <pic:blipFill>
                    <a:blip r:embed="rId20"/>
                    <a:stretch>
                      <a:fillRect/>
                    </a:stretch>
                  </pic:blipFill>
                  <pic:spPr>
                    <a:xfrm>
                      <a:off x="0" y="0"/>
                      <a:ext cx="5751576" cy="3855720"/>
                    </a:xfrm>
                    <a:prstGeom prst="rect">
                      <a:avLst/>
                    </a:prstGeom>
                  </pic:spPr>
                </pic:pic>
              </a:graphicData>
            </a:graphic>
          </wp:inline>
        </w:drawing>
      </w:r>
      <w:r w:rsidRPr="000E485B">
        <w:rPr>
          <w:rFonts w:ascii="Calibri" w:eastAsia="Calibri" w:hAnsi="Calibri" w:cs="Calibri"/>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72C55">
      <w:pPr>
        <w:spacing w:after="144" w:line="259" w:lineRule="auto"/>
        <w:ind w:left="566" w:right="0" w:firstLine="0"/>
        <w:jc w:val="left"/>
        <w:rPr>
          <w:lang w:val="de-DE"/>
        </w:rPr>
      </w:pPr>
      <w:r w:rsidRPr="000E485B">
        <w:rPr>
          <w:b/>
          <w:sz w:val="24"/>
          <w:lang w:val="de-DE"/>
        </w:rPr>
        <w:t xml:space="preserve"> </w:t>
      </w:r>
    </w:p>
    <w:p w:rsidR="00611878" w:rsidRPr="000E485B" w:rsidRDefault="00611878">
      <w:pPr>
        <w:spacing w:after="150" w:line="259" w:lineRule="auto"/>
        <w:ind w:left="566" w:right="0" w:firstLine="0"/>
        <w:jc w:val="left"/>
        <w:rPr>
          <w:lang w:val="de-DE"/>
        </w:rPr>
      </w:pPr>
    </w:p>
    <w:p w:rsidR="00611878" w:rsidRPr="000E485B" w:rsidRDefault="00672C55">
      <w:pPr>
        <w:spacing w:after="0" w:line="259" w:lineRule="auto"/>
        <w:ind w:left="566" w:right="0" w:firstLine="0"/>
        <w:jc w:val="left"/>
        <w:rPr>
          <w:lang w:val="de-DE"/>
        </w:rPr>
      </w:pPr>
      <w:r w:rsidRPr="000E485B">
        <w:rPr>
          <w:b/>
          <w:sz w:val="24"/>
          <w:lang w:val="de-DE"/>
        </w:rPr>
        <w:t xml:space="preserve"> </w:t>
      </w:r>
    </w:p>
    <w:p w:rsidR="00611878" w:rsidRPr="000E485B" w:rsidRDefault="00672C55">
      <w:pPr>
        <w:pStyle w:val="Titolo3"/>
        <w:spacing w:after="57" w:line="259" w:lineRule="auto"/>
        <w:ind w:left="574" w:right="710"/>
        <w:jc w:val="center"/>
        <w:rPr>
          <w:lang w:val="de-DE"/>
        </w:rPr>
      </w:pPr>
      <w:r w:rsidRPr="000E485B">
        <w:rPr>
          <w:lang w:val="de-DE"/>
        </w:rPr>
        <w:lastRenderedPageBreak/>
        <w:t xml:space="preserve">Le foto del viaggio </w:t>
      </w:r>
    </w:p>
    <w:p w:rsidR="00611878" w:rsidRPr="000E485B" w:rsidRDefault="00672C55">
      <w:pPr>
        <w:spacing w:after="98" w:line="259" w:lineRule="auto"/>
        <w:ind w:left="0" w:right="247" w:firstLine="0"/>
        <w:jc w:val="right"/>
        <w:rPr>
          <w:lang w:val="de-DE"/>
        </w:rPr>
      </w:pPr>
      <w:r>
        <w:rPr>
          <w:noProof/>
        </w:rPr>
        <w:drawing>
          <wp:inline distT="0" distB="0" distL="0" distR="0">
            <wp:extent cx="6114288" cy="4408932"/>
            <wp:effectExtent l="0" t="0" r="0" b="0"/>
            <wp:docPr id="25743" name="Picture 25743"/>
            <wp:cNvGraphicFramePr/>
            <a:graphic xmlns:a="http://schemas.openxmlformats.org/drawingml/2006/main">
              <a:graphicData uri="http://schemas.openxmlformats.org/drawingml/2006/picture">
                <pic:pic xmlns:pic="http://schemas.openxmlformats.org/drawingml/2006/picture">
                  <pic:nvPicPr>
                    <pic:cNvPr id="25743" name="Picture 25743"/>
                    <pic:cNvPicPr/>
                  </pic:nvPicPr>
                  <pic:blipFill>
                    <a:blip r:embed="rId21"/>
                    <a:stretch>
                      <a:fillRect/>
                    </a:stretch>
                  </pic:blipFill>
                  <pic:spPr>
                    <a:xfrm>
                      <a:off x="0" y="0"/>
                      <a:ext cx="6114288" cy="4408932"/>
                    </a:xfrm>
                    <a:prstGeom prst="rect">
                      <a:avLst/>
                    </a:prstGeom>
                  </pic:spPr>
                </pic:pic>
              </a:graphicData>
            </a:graphic>
          </wp:inline>
        </w:drawing>
      </w:r>
      <w:hyperlink r:id="rId22">
        <w:r w:rsidRPr="000E485B">
          <w:rPr>
            <w:rFonts w:ascii="Calibri" w:eastAsia="Calibri" w:hAnsi="Calibri" w:cs="Calibri"/>
            <w:lang w:val="de-DE"/>
          </w:rPr>
          <w:t xml:space="preserve"> </w:t>
        </w:r>
      </w:hyperlink>
    </w:p>
    <w:p w:rsidR="00611878" w:rsidRPr="000E485B" w:rsidRDefault="00672C55">
      <w:pPr>
        <w:spacing w:after="161"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791545">
      <w:pPr>
        <w:spacing w:after="158" w:line="259" w:lineRule="auto"/>
        <w:ind w:left="566" w:right="0" w:firstLine="0"/>
        <w:jc w:val="left"/>
        <w:rPr>
          <w:lang w:val="de-DE"/>
        </w:rPr>
      </w:pPr>
      <w:hyperlink r:id="rId23">
        <w:r w:rsidR="00672C55" w:rsidRPr="000E485B">
          <w:rPr>
            <w:rFonts w:ascii="Calibri" w:eastAsia="Calibri" w:hAnsi="Calibri" w:cs="Calibri"/>
            <w:color w:val="0563C1"/>
            <w:u w:val="single" w:color="0563C1"/>
            <w:lang w:val="de-DE"/>
          </w:rPr>
          <w:t>Bundesarchiv_R_49_Bild</w:t>
        </w:r>
      </w:hyperlink>
      <w:hyperlink r:id="rId24">
        <w:r w:rsidR="00672C55" w:rsidRPr="000E485B">
          <w:rPr>
            <w:rFonts w:ascii="Calibri" w:eastAsia="Calibri" w:hAnsi="Calibri" w:cs="Calibri"/>
            <w:color w:val="0563C1"/>
            <w:u w:val="single" w:color="0563C1"/>
            <w:lang w:val="de-DE"/>
          </w:rPr>
          <w:t>-</w:t>
        </w:r>
      </w:hyperlink>
      <w:hyperlink r:id="rId25">
        <w:r w:rsidR="00672C55" w:rsidRPr="000E485B">
          <w:rPr>
            <w:rFonts w:ascii="Calibri" w:eastAsia="Calibri" w:hAnsi="Calibri" w:cs="Calibri"/>
            <w:color w:val="0563C1"/>
            <w:u w:val="single" w:color="0563C1"/>
            <w:lang w:val="de-DE"/>
          </w:rPr>
          <w:t>0142,_Polen,_Aussiedlung_von_Polen.jpg</w:t>
        </w:r>
      </w:hyperlink>
      <w:hyperlink r:id="rId26">
        <w:r w:rsidR="00672C55" w:rsidRPr="000E485B">
          <w:rPr>
            <w:rFonts w:ascii="Calibri" w:eastAsia="Calibri" w:hAnsi="Calibri" w:cs="Calibri"/>
            <w:lang w:val="de-DE"/>
          </w:rPr>
          <w:t xml:space="preserve"> </w:t>
        </w:r>
      </w:hyperlink>
    </w:p>
    <w:p w:rsidR="00611878" w:rsidRPr="000E485B" w:rsidRDefault="00672C55">
      <w:pPr>
        <w:spacing w:after="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12" w:line="259" w:lineRule="auto"/>
        <w:ind w:left="0" w:right="238" w:firstLine="0"/>
        <w:jc w:val="right"/>
        <w:rPr>
          <w:lang w:val="de-DE"/>
        </w:rPr>
      </w:pPr>
      <w:r>
        <w:rPr>
          <w:noProof/>
        </w:rPr>
        <w:lastRenderedPageBreak/>
        <w:drawing>
          <wp:inline distT="0" distB="0" distL="0" distR="0">
            <wp:extent cx="6120384" cy="4223004"/>
            <wp:effectExtent l="0" t="0" r="0" b="0"/>
            <wp:docPr id="25782" name="Picture 25782"/>
            <wp:cNvGraphicFramePr/>
            <a:graphic xmlns:a="http://schemas.openxmlformats.org/drawingml/2006/main">
              <a:graphicData uri="http://schemas.openxmlformats.org/drawingml/2006/picture">
                <pic:pic xmlns:pic="http://schemas.openxmlformats.org/drawingml/2006/picture">
                  <pic:nvPicPr>
                    <pic:cNvPr id="25782" name="Picture 25782"/>
                    <pic:cNvPicPr/>
                  </pic:nvPicPr>
                  <pic:blipFill>
                    <a:blip r:embed="rId27"/>
                    <a:stretch>
                      <a:fillRect/>
                    </a:stretch>
                  </pic:blipFill>
                  <pic:spPr>
                    <a:xfrm>
                      <a:off x="0" y="0"/>
                      <a:ext cx="6120384" cy="4223004"/>
                    </a:xfrm>
                    <a:prstGeom prst="rect">
                      <a:avLst/>
                    </a:prstGeom>
                  </pic:spPr>
                </pic:pic>
              </a:graphicData>
            </a:graphic>
          </wp:inline>
        </w:drawing>
      </w:r>
      <w:hyperlink r:id="rId28">
        <w:r w:rsidRPr="000E485B">
          <w:rPr>
            <w:rFonts w:ascii="Calibri" w:eastAsia="Calibri" w:hAnsi="Calibri" w:cs="Calibri"/>
            <w:lang w:val="de-DE"/>
          </w:rPr>
          <w:t xml:space="preserve"> </w:t>
        </w:r>
      </w:hyperlink>
    </w:p>
    <w:p w:rsidR="00611878" w:rsidRPr="000E485B" w:rsidRDefault="00672C55">
      <w:pPr>
        <w:tabs>
          <w:tab w:val="center" w:pos="566"/>
          <w:tab w:val="center" w:pos="6077"/>
        </w:tabs>
        <w:spacing w:after="160" w:line="259" w:lineRule="auto"/>
        <w:ind w:left="0" w:right="0" w:firstLine="0"/>
        <w:jc w:val="left"/>
        <w:rPr>
          <w:lang w:val="de-DE"/>
        </w:rPr>
      </w:pPr>
      <w:r w:rsidRPr="000E485B">
        <w:rPr>
          <w:rFonts w:ascii="Calibri" w:eastAsia="Calibri" w:hAnsi="Calibri" w:cs="Calibri"/>
          <w:lang w:val="de-DE"/>
        </w:rPr>
        <w:tab/>
        <w:t xml:space="preserve"> </w:t>
      </w:r>
      <w:r w:rsidRPr="000E485B">
        <w:rPr>
          <w:rFonts w:ascii="Calibri" w:eastAsia="Calibri" w:hAnsi="Calibri" w:cs="Calibri"/>
          <w:lang w:val="de-DE"/>
        </w:rPr>
        <w:tab/>
        <w:t xml:space="preserve">Bundesarchiv R 49 Bild-0137, Polen, Wartheland, Aussiedlung von Polen.jpg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61"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6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6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6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6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58"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16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spacing w:after="0" w:line="259" w:lineRule="auto"/>
        <w:ind w:left="566" w:right="0" w:firstLine="0"/>
        <w:jc w:val="left"/>
        <w:rPr>
          <w:lang w:val="de-DE"/>
        </w:rPr>
      </w:pPr>
      <w:r w:rsidRPr="000E485B">
        <w:rPr>
          <w:rFonts w:ascii="Calibri" w:eastAsia="Calibri" w:hAnsi="Calibri" w:cs="Calibri"/>
          <w:lang w:val="de-DE"/>
        </w:rPr>
        <w:t xml:space="preserve"> </w:t>
      </w:r>
    </w:p>
    <w:p w:rsidR="00611878" w:rsidRPr="000E485B" w:rsidRDefault="00672C55">
      <w:pPr>
        <w:pStyle w:val="Titolo3"/>
        <w:spacing w:after="144" w:line="259" w:lineRule="auto"/>
        <w:ind w:left="574" w:right="713"/>
        <w:jc w:val="center"/>
        <w:rPr>
          <w:lang w:val="en-GB"/>
        </w:rPr>
      </w:pPr>
      <w:r w:rsidRPr="000E485B">
        <w:rPr>
          <w:lang w:val="en-GB"/>
        </w:rPr>
        <w:lastRenderedPageBreak/>
        <w:t xml:space="preserve">Attacco a Berlino </w:t>
      </w:r>
    </w:p>
    <w:p w:rsidR="00611878" w:rsidRPr="000E485B" w:rsidRDefault="00672C55">
      <w:pPr>
        <w:spacing w:after="158" w:line="259" w:lineRule="auto"/>
        <w:ind w:left="566" w:right="0" w:firstLine="0"/>
        <w:jc w:val="left"/>
        <w:rPr>
          <w:lang w:val="en-GB"/>
        </w:rPr>
      </w:pPr>
      <w:r w:rsidRPr="000E485B">
        <w:rPr>
          <w:rFonts w:ascii="Calibri" w:eastAsia="Calibri" w:hAnsi="Calibri" w:cs="Calibri"/>
          <w:lang w:val="en-GB"/>
        </w:rPr>
        <w:t xml:space="preserve"> </w:t>
      </w:r>
    </w:p>
    <w:p w:rsidR="00611878" w:rsidRPr="000E485B" w:rsidRDefault="00672C55">
      <w:pPr>
        <w:spacing w:after="114" w:line="259" w:lineRule="auto"/>
        <w:ind w:left="566" w:right="0" w:firstLine="0"/>
        <w:jc w:val="left"/>
        <w:rPr>
          <w:lang w:val="en-GB"/>
        </w:rPr>
      </w:pPr>
      <w:r w:rsidRPr="000E485B">
        <w:rPr>
          <w:rFonts w:ascii="Calibri" w:eastAsia="Calibri" w:hAnsi="Calibri" w:cs="Calibri"/>
          <w:lang w:val="en-GB"/>
        </w:rPr>
        <w:t xml:space="preserve"> </w:t>
      </w:r>
    </w:p>
    <w:p w:rsidR="00611878" w:rsidRPr="000E485B" w:rsidRDefault="00672C55">
      <w:pPr>
        <w:spacing w:after="0" w:line="259" w:lineRule="auto"/>
        <w:ind w:left="0" w:right="2377" w:firstLine="0"/>
        <w:jc w:val="right"/>
        <w:rPr>
          <w:lang w:val="en-GB"/>
        </w:rPr>
      </w:pPr>
      <w:r>
        <w:rPr>
          <w:noProof/>
        </w:rPr>
        <w:drawing>
          <wp:inline distT="0" distB="0" distL="0" distR="0">
            <wp:extent cx="4762500" cy="2239010"/>
            <wp:effectExtent l="0" t="0" r="0" b="0"/>
            <wp:docPr id="25795" name="Picture 25795"/>
            <wp:cNvGraphicFramePr/>
            <a:graphic xmlns:a="http://schemas.openxmlformats.org/drawingml/2006/main">
              <a:graphicData uri="http://schemas.openxmlformats.org/drawingml/2006/picture">
                <pic:pic xmlns:pic="http://schemas.openxmlformats.org/drawingml/2006/picture">
                  <pic:nvPicPr>
                    <pic:cNvPr id="25795" name="Picture 25795"/>
                    <pic:cNvPicPr/>
                  </pic:nvPicPr>
                  <pic:blipFill>
                    <a:blip r:embed="rId29"/>
                    <a:stretch>
                      <a:fillRect/>
                    </a:stretch>
                  </pic:blipFill>
                  <pic:spPr>
                    <a:xfrm>
                      <a:off x="0" y="0"/>
                      <a:ext cx="4762500" cy="2239010"/>
                    </a:xfrm>
                    <a:prstGeom prst="rect">
                      <a:avLst/>
                    </a:prstGeom>
                  </pic:spPr>
                </pic:pic>
              </a:graphicData>
            </a:graphic>
          </wp:inline>
        </w:drawing>
      </w:r>
      <w:hyperlink r:id="rId30">
        <w:r w:rsidRPr="000E485B">
          <w:rPr>
            <w:rFonts w:ascii="Calibri" w:eastAsia="Calibri" w:hAnsi="Calibri" w:cs="Calibri"/>
            <w:lang w:val="en-GB"/>
          </w:rPr>
          <w:t xml:space="preserve"> </w:t>
        </w:r>
      </w:hyperlink>
    </w:p>
    <w:p w:rsidR="00611878" w:rsidRPr="000E485B" w:rsidRDefault="00672C55">
      <w:pPr>
        <w:spacing w:after="156" w:line="259" w:lineRule="auto"/>
        <w:ind w:left="576" w:right="0"/>
        <w:jc w:val="left"/>
        <w:rPr>
          <w:lang w:val="en-GB"/>
        </w:rPr>
      </w:pPr>
      <w:r w:rsidRPr="000E485B">
        <w:rPr>
          <w:rFonts w:ascii="Calibri" w:eastAsia="Calibri" w:hAnsi="Calibri" w:cs="Calibri"/>
          <w:sz w:val="20"/>
          <w:lang w:val="en-GB"/>
        </w:rPr>
        <w:t>No higher resolution available.</w:t>
      </w:r>
      <w:r w:rsidRPr="000E485B">
        <w:rPr>
          <w:rFonts w:ascii="Calibri" w:eastAsia="Calibri" w:hAnsi="Calibri" w:cs="Calibri"/>
          <w:lang w:val="en-GB"/>
        </w:rPr>
        <w:t xml:space="preserve"> </w:t>
      </w:r>
    </w:p>
    <w:p w:rsidR="00611878" w:rsidRPr="000E485B" w:rsidRDefault="00791545">
      <w:pPr>
        <w:spacing w:after="0" w:line="259" w:lineRule="auto"/>
        <w:ind w:left="561" w:right="0"/>
        <w:jc w:val="left"/>
        <w:rPr>
          <w:lang w:val="en-GB"/>
        </w:rPr>
      </w:pPr>
      <w:hyperlink r:id="rId31">
        <w:r w:rsidR="00672C55" w:rsidRPr="000E485B">
          <w:rPr>
            <w:rFonts w:ascii="Calibri" w:eastAsia="Calibri" w:hAnsi="Calibri" w:cs="Calibri"/>
            <w:color w:val="0563C1"/>
            <w:u w:val="single" w:color="0563C1"/>
            <w:lang w:val="en-GB"/>
          </w:rPr>
          <w:t>Soviet_artillery_firing_on_berlin_april_1945.jpg</w:t>
        </w:r>
      </w:hyperlink>
      <w:hyperlink r:id="rId32">
        <w:r w:rsidR="00672C55" w:rsidRPr="000E485B">
          <w:rPr>
            <w:rFonts w:ascii="Calibri" w:eastAsia="Calibri" w:hAnsi="Calibri" w:cs="Calibri"/>
            <w:lang w:val="en-GB"/>
          </w:rPr>
          <w:t xml:space="preserve"> </w:t>
        </w:r>
      </w:hyperlink>
      <w:r w:rsidR="00672C55" w:rsidRPr="000E485B">
        <w:rPr>
          <w:rFonts w:ascii="Calibri" w:eastAsia="Calibri" w:hAnsi="Calibri" w:cs="Calibri"/>
          <w:lang w:val="en-GB"/>
        </w:rPr>
        <w:t xml:space="preserve">(500 × 235 pixels, file size: 21 KB, MIME type: </w:t>
      </w:r>
    </w:p>
    <w:p w:rsidR="00611878" w:rsidRDefault="00672C55">
      <w:pPr>
        <w:spacing w:after="160" w:line="259" w:lineRule="auto"/>
        <w:ind w:left="561" w:right="0"/>
        <w:jc w:val="left"/>
      </w:pPr>
      <w:r>
        <w:rPr>
          <w:rFonts w:ascii="Calibri" w:eastAsia="Calibri" w:hAnsi="Calibri" w:cs="Calibri"/>
        </w:rPr>
        <w:t xml:space="preserve">image/jpeg) </w:t>
      </w:r>
    </w:p>
    <w:p w:rsidR="00611878" w:rsidRDefault="00672C55">
      <w:pPr>
        <w:spacing w:after="114" w:line="259" w:lineRule="auto"/>
        <w:ind w:left="566" w:right="0" w:firstLine="0"/>
        <w:jc w:val="left"/>
      </w:pPr>
      <w:r>
        <w:rPr>
          <w:rFonts w:ascii="Calibri" w:eastAsia="Calibri" w:hAnsi="Calibri" w:cs="Calibri"/>
        </w:rPr>
        <w:t xml:space="preserve"> </w:t>
      </w:r>
    </w:p>
    <w:p w:rsidR="00611878" w:rsidRDefault="00672C55">
      <w:pPr>
        <w:spacing w:after="71" w:line="259" w:lineRule="auto"/>
        <w:ind w:left="0" w:right="878" w:firstLine="0"/>
        <w:jc w:val="right"/>
      </w:pPr>
      <w:r>
        <w:rPr>
          <w:noProof/>
        </w:rPr>
        <w:drawing>
          <wp:inline distT="0" distB="0" distL="0" distR="0">
            <wp:extent cx="5713095" cy="4049395"/>
            <wp:effectExtent l="0" t="0" r="0" b="0"/>
            <wp:docPr id="25806" name="Picture 25806"/>
            <wp:cNvGraphicFramePr/>
            <a:graphic xmlns:a="http://schemas.openxmlformats.org/drawingml/2006/main">
              <a:graphicData uri="http://schemas.openxmlformats.org/drawingml/2006/picture">
                <pic:pic xmlns:pic="http://schemas.openxmlformats.org/drawingml/2006/picture">
                  <pic:nvPicPr>
                    <pic:cNvPr id="25806" name="Picture 25806"/>
                    <pic:cNvPicPr/>
                  </pic:nvPicPr>
                  <pic:blipFill>
                    <a:blip r:embed="rId33"/>
                    <a:stretch>
                      <a:fillRect/>
                    </a:stretch>
                  </pic:blipFill>
                  <pic:spPr>
                    <a:xfrm>
                      <a:off x="0" y="0"/>
                      <a:ext cx="5713095" cy="4049395"/>
                    </a:xfrm>
                    <a:prstGeom prst="rect">
                      <a:avLst/>
                    </a:prstGeom>
                  </pic:spPr>
                </pic:pic>
              </a:graphicData>
            </a:graphic>
          </wp:inline>
        </w:drawing>
      </w:r>
      <w:hyperlink r:id="rId34">
        <w:r>
          <w:rPr>
            <w:rFonts w:ascii="Calibri" w:eastAsia="Calibri" w:hAnsi="Calibri" w:cs="Calibri"/>
          </w:rPr>
          <w:t xml:space="preserve"> </w:t>
        </w:r>
      </w:hyperlink>
    </w:p>
    <w:p w:rsidR="00611878" w:rsidRDefault="00672C55">
      <w:pPr>
        <w:spacing w:after="170" w:line="248" w:lineRule="auto"/>
        <w:ind w:left="576" w:right="162"/>
        <w:jc w:val="left"/>
      </w:pPr>
      <w:r>
        <w:rPr>
          <w:sz w:val="20"/>
        </w:rPr>
        <w:t xml:space="preserve">6 maggio 1945: soldati tedeschi fatti prigionieri dai Russi a Berlino </w:t>
      </w:r>
    </w:p>
    <w:p w:rsidR="00611878" w:rsidRPr="000E485B" w:rsidRDefault="00791545">
      <w:pPr>
        <w:spacing w:after="194" w:line="248" w:lineRule="auto"/>
        <w:ind w:left="576" w:right="162"/>
        <w:jc w:val="left"/>
        <w:rPr>
          <w:lang w:val="de-DE"/>
        </w:rPr>
      </w:pPr>
      <w:hyperlink r:id="rId35">
        <w:r w:rsidR="00672C55" w:rsidRPr="000E485B">
          <w:rPr>
            <w:color w:val="0563C1"/>
            <w:sz w:val="20"/>
            <w:u w:val="single" w:color="0563C1"/>
            <w:lang w:val="de-DE"/>
          </w:rPr>
          <w:t>FestungBreslau6V1945.jpg</w:t>
        </w:r>
      </w:hyperlink>
      <w:hyperlink r:id="rId36">
        <w:r w:rsidR="00672C55" w:rsidRPr="000E485B">
          <w:rPr>
            <w:sz w:val="20"/>
            <w:lang w:val="de-DE"/>
          </w:rPr>
          <w:t xml:space="preserve"> </w:t>
        </w:r>
      </w:hyperlink>
      <w:r w:rsidR="00672C55" w:rsidRPr="000E485B">
        <w:rPr>
          <w:sz w:val="20"/>
          <w:lang w:val="de-DE"/>
        </w:rPr>
        <w:t xml:space="preserve">(600 × 425 pixels, file size: 43 KB, MIME type: image/jpeg) </w:t>
      </w:r>
    </w:p>
    <w:p w:rsidR="00611878" w:rsidRPr="000E485B" w:rsidRDefault="00672C55">
      <w:pPr>
        <w:spacing w:after="0" w:line="259" w:lineRule="auto"/>
        <w:ind w:left="0" w:right="0" w:firstLine="0"/>
        <w:jc w:val="left"/>
        <w:rPr>
          <w:lang w:val="de-DE"/>
        </w:rPr>
      </w:pPr>
      <w:r w:rsidRPr="000E485B">
        <w:rPr>
          <w:rFonts w:ascii="Calibri" w:eastAsia="Calibri" w:hAnsi="Calibri" w:cs="Calibri"/>
          <w:lang w:val="de-DE"/>
        </w:rPr>
        <w:t xml:space="preserve"> </w:t>
      </w:r>
    </w:p>
    <w:p w:rsidR="00611878" w:rsidRDefault="00672C55">
      <w:pPr>
        <w:spacing w:after="192" w:line="259" w:lineRule="auto"/>
        <w:ind w:left="574" w:right="0"/>
        <w:jc w:val="center"/>
      </w:pPr>
      <w:r>
        <w:rPr>
          <w:b/>
          <w:sz w:val="24"/>
        </w:rPr>
        <w:lastRenderedPageBreak/>
        <w:t xml:space="preserve">La memoria di Berlino </w:t>
      </w:r>
    </w:p>
    <w:p w:rsidR="00611878" w:rsidRDefault="00672C55">
      <w:pPr>
        <w:pStyle w:val="Titolo3"/>
        <w:spacing w:after="144" w:line="259" w:lineRule="auto"/>
        <w:ind w:left="574" w:right="3"/>
        <w:jc w:val="center"/>
      </w:pPr>
      <w:r>
        <w:t xml:space="preserve">(foto realizzate dall’autrice) </w:t>
      </w:r>
    </w:p>
    <w:p w:rsidR="00611878" w:rsidRDefault="00672C55">
      <w:pPr>
        <w:spacing w:after="88" w:line="259" w:lineRule="auto"/>
        <w:ind w:left="622" w:right="0" w:firstLine="0"/>
        <w:jc w:val="center"/>
      </w:pPr>
      <w:r>
        <w:rPr>
          <w:b/>
          <w:sz w:val="24"/>
        </w:rPr>
        <w:t xml:space="preserve"> </w:t>
      </w:r>
    </w:p>
    <w:p w:rsidR="00611878" w:rsidRDefault="00672C55">
      <w:pPr>
        <w:spacing w:after="19" w:line="259" w:lineRule="auto"/>
        <w:ind w:left="0" w:right="1234" w:firstLine="0"/>
        <w:jc w:val="right"/>
      </w:pPr>
      <w:r>
        <w:rPr>
          <w:noProof/>
        </w:rPr>
        <w:drawing>
          <wp:inline distT="0" distB="0" distL="0" distR="0">
            <wp:extent cx="5396484" cy="4046220"/>
            <wp:effectExtent l="0" t="0" r="0" b="0"/>
            <wp:docPr id="25876" name="Picture 25876"/>
            <wp:cNvGraphicFramePr/>
            <a:graphic xmlns:a="http://schemas.openxmlformats.org/drawingml/2006/main">
              <a:graphicData uri="http://schemas.openxmlformats.org/drawingml/2006/picture">
                <pic:pic xmlns:pic="http://schemas.openxmlformats.org/drawingml/2006/picture">
                  <pic:nvPicPr>
                    <pic:cNvPr id="25876" name="Picture 25876"/>
                    <pic:cNvPicPr/>
                  </pic:nvPicPr>
                  <pic:blipFill>
                    <a:blip r:embed="rId37"/>
                    <a:stretch>
                      <a:fillRect/>
                    </a:stretch>
                  </pic:blipFill>
                  <pic:spPr>
                    <a:xfrm>
                      <a:off x="0" y="0"/>
                      <a:ext cx="5396484" cy="4046220"/>
                    </a:xfrm>
                    <a:prstGeom prst="rect">
                      <a:avLst/>
                    </a:prstGeom>
                  </pic:spPr>
                </pic:pic>
              </a:graphicData>
            </a:graphic>
          </wp:inline>
        </w:drawing>
      </w:r>
      <w:r>
        <w:rPr>
          <w:rFonts w:ascii="Calibri" w:eastAsia="Calibri" w:hAnsi="Calibri" w:cs="Calibri"/>
        </w:rPr>
        <w:t xml:space="preserve"> </w:t>
      </w:r>
    </w:p>
    <w:p w:rsidR="00611878" w:rsidRDefault="00672C55">
      <w:pPr>
        <w:spacing w:after="173" w:line="258" w:lineRule="auto"/>
        <w:ind w:left="0" w:right="78" w:firstLine="0"/>
        <w:jc w:val="center"/>
      </w:pPr>
      <w:r>
        <w:rPr>
          <w:rFonts w:ascii="Calibri" w:eastAsia="Calibri" w:hAnsi="Calibri" w:cs="Calibri"/>
          <w:i/>
          <w:color w:val="44546A"/>
          <w:sz w:val="18"/>
        </w:rPr>
        <w:t xml:space="preserve">Questa foto è stata realizzata dall’autrice della tesi nel luogo in cui è stata progettata l’operazione T4. Si sottolineano i due termini “umgebracht” (uccisi) e “lebensunwert” (vite prive di un valore economico spendibile). </w:t>
      </w:r>
      <w:r>
        <w:rPr>
          <w:b/>
          <w:i/>
          <w:color w:val="44546A"/>
          <w:sz w:val="24"/>
        </w:rPr>
        <w:t xml:space="preserve"> </w:t>
      </w:r>
    </w:p>
    <w:p w:rsidR="00611878" w:rsidRDefault="00672C55">
      <w:pPr>
        <w:spacing w:after="0" w:line="259" w:lineRule="auto"/>
        <w:ind w:left="566" w:right="0" w:firstLine="0"/>
        <w:jc w:val="left"/>
      </w:pPr>
      <w:r>
        <w:rPr>
          <w:sz w:val="24"/>
        </w:rPr>
        <w:t xml:space="preserve"> </w:t>
      </w:r>
    </w:p>
    <w:p w:rsidR="00611878" w:rsidRDefault="00672C55">
      <w:pPr>
        <w:spacing w:after="76" w:line="259" w:lineRule="auto"/>
        <w:ind w:left="0" w:right="1342" w:firstLine="0"/>
        <w:jc w:val="right"/>
      </w:pPr>
      <w:r>
        <w:rPr>
          <w:noProof/>
        </w:rPr>
        <w:lastRenderedPageBreak/>
        <w:drawing>
          <wp:inline distT="0" distB="0" distL="0" distR="0">
            <wp:extent cx="5248657" cy="3934968"/>
            <wp:effectExtent l="0" t="0" r="0" b="0"/>
            <wp:docPr id="25907" name="Picture 25907"/>
            <wp:cNvGraphicFramePr/>
            <a:graphic xmlns:a="http://schemas.openxmlformats.org/drawingml/2006/main">
              <a:graphicData uri="http://schemas.openxmlformats.org/drawingml/2006/picture">
                <pic:pic xmlns:pic="http://schemas.openxmlformats.org/drawingml/2006/picture">
                  <pic:nvPicPr>
                    <pic:cNvPr id="25907" name="Picture 25907"/>
                    <pic:cNvPicPr/>
                  </pic:nvPicPr>
                  <pic:blipFill>
                    <a:blip r:embed="rId38"/>
                    <a:stretch>
                      <a:fillRect/>
                    </a:stretch>
                  </pic:blipFill>
                  <pic:spPr>
                    <a:xfrm>
                      <a:off x="0" y="0"/>
                      <a:ext cx="5248657" cy="3934968"/>
                    </a:xfrm>
                    <a:prstGeom prst="rect">
                      <a:avLst/>
                    </a:prstGeom>
                  </pic:spPr>
                </pic:pic>
              </a:graphicData>
            </a:graphic>
          </wp:inline>
        </w:drawing>
      </w:r>
      <w:r>
        <w:rPr>
          <w:rFonts w:ascii="Calibri" w:eastAsia="Calibri" w:hAnsi="Calibri" w:cs="Calibri"/>
        </w:rPr>
        <w:t xml:space="preserve"> </w:t>
      </w:r>
    </w:p>
    <w:p w:rsidR="00611878" w:rsidRDefault="00672C55">
      <w:pPr>
        <w:spacing w:after="132" w:line="259" w:lineRule="auto"/>
        <w:ind w:left="566" w:right="0" w:firstLine="0"/>
        <w:jc w:val="left"/>
      </w:pPr>
      <w:r>
        <w:t xml:space="preserve"> </w:t>
      </w:r>
    </w:p>
    <w:p w:rsidR="00611878" w:rsidRDefault="00672C55">
      <w:pPr>
        <w:spacing w:line="399" w:lineRule="auto"/>
        <w:ind w:left="576" w:right="970"/>
      </w:pPr>
      <w:r>
        <w:t xml:space="preserve">Questa lapide si trova a Tiergartenstraße, 4 dove si trovava la villa nella quale è stato messo a punto il programma di eutanasia e ne ricorda le vittime, qui alcuni dettagli. </w:t>
      </w:r>
    </w:p>
    <w:p w:rsidR="00611878" w:rsidRDefault="00672C55">
      <w:pPr>
        <w:spacing w:after="144" w:line="259" w:lineRule="auto"/>
        <w:ind w:left="0" w:right="511" w:firstLine="0"/>
        <w:jc w:val="center"/>
      </w:pPr>
      <w:r>
        <w:rPr>
          <w:b/>
          <w:sz w:val="24"/>
        </w:rPr>
        <w:t xml:space="preserve"> </w:t>
      </w:r>
    </w:p>
    <w:p w:rsidR="00611878" w:rsidRDefault="00672C55">
      <w:pPr>
        <w:spacing w:after="0" w:line="259" w:lineRule="auto"/>
        <w:ind w:left="0" w:right="511" w:firstLine="0"/>
        <w:jc w:val="center"/>
      </w:pPr>
      <w:r>
        <w:rPr>
          <w:b/>
          <w:sz w:val="24"/>
        </w:rPr>
        <w:t xml:space="preserve"> </w:t>
      </w:r>
    </w:p>
    <w:p w:rsidR="00611878" w:rsidRDefault="00672C55">
      <w:pPr>
        <w:spacing w:after="0" w:line="259" w:lineRule="auto"/>
        <w:ind w:left="1541" w:right="0" w:firstLine="0"/>
        <w:jc w:val="left"/>
      </w:pPr>
      <w:r>
        <w:rPr>
          <w:noProof/>
        </w:rPr>
        <w:drawing>
          <wp:inline distT="0" distB="0" distL="0" distR="0">
            <wp:extent cx="4344924" cy="3258312"/>
            <wp:effectExtent l="0" t="0" r="0" b="0"/>
            <wp:docPr id="25909" name="Picture 25909"/>
            <wp:cNvGraphicFramePr/>
            <a:graphic xmlns:a="http://schemas.openxmlformats.org/drawingml/2006/main">
              <a:graphicData uri="http://schemas.openxmlformats.org/drawingml/2006/picture">
                <pic:pic xmlns:pic="http://schemas.openxmlformats.org/drawingml/2006/picture">
                  <pic:nvPicPr>
                    <pic:cNvPr id="25909" name="Picture 25909"/>
                    <pic:cNvPicPr/>
                  </pic:nvPicPr>
                  <pic:blipFill>
                    <a:blip r:embed="rId39"/>
                    <a:stretch>
                      <a:fillRect/>
                    </a:stretch>
                  </pic:blipFill>
                  <pic:spPr>
                    <a:xfrm>
                      <a:off x="0" y="0"/>
                      <a:ext cx="4344924" cy="3258312"/>
                    </a:xfrm>
                    <a:prstGeom prst="rect">
                      <a:avLst/>
                    </a:prstGeom>
                  </pic:spPr>
                </pic:pic>
              </a:graphicData>
            </a:graphic>
          </wp:inline>
        </w:drawing>
      </w:r>
    </w:p>
    <w:p w:rsidR="00611878" w:rsidRDefault="00672C55">
      <w:pPr>
        <w:spacing w:after="91" w:line="259" w:lineRule="auto"/>
        <w:ind w:left="0" w:right="1108" w:firstLine="0"/>
        <w:jc w:val="right"/>
      </w:pPr>
      <w:r>
        <w:rPr>
          <w:noProof/>
        </w:rPr>
        <w:lastRenderedPageBreak/>
        <w:drawing>
          <wp:inline distT="0" distB="0" distL="0" distR="0">
            <wp:extent cx="7389877" cy="5541264"/>
            <wp:effectExtent l="0" t="0" r="0" b="0"/>
            <wp:docPr id="25918" name="Picture 25918"/>
            <wp:cNvGraphicFramePr/>
            <a:graphic xmlns:a="http://schemas.openxmlformats.org/drawingml/2006/main">
              <a:graphicData uri="http://schemas.openxmlformats.org/drawingml/2006/picture">
                <pic:pic xmlns:pic="http://schemas.openxmlformats.org/drawingml/2006/picture">
                  <pic:nvPicPr>
                    <pic:cNvPr id="25918" name="Picture 25918"/>
                    <pic:cNvPicPr/>
                  </pic:nvPicPr>
                  <pic:blipFill>
                    <a:blip r:embed="rId40"/>
                    <a:stretch>
                      <a:fillRect/>
                    </a:stretch>
                  </pic:blipFill>
                  <pic:spPr>
                    <a:xfrm rot="5399999">
                      <a:off x="0" y="0"/>
                      <a:ext cx="7389877" cy="5541264"/>
                    </a:xfrm>
                    <a:prstGeom prst="rect">
                      <a:avLst/>
                    </a:prstGeom>
                  </pic:spPr>
                </pic:pic>
              </a:graphicData>
            </a:graphic>
          </wp:inline>
        </w:drawing>
      </w:r>
      <w:r>
        <w:rPr>
          <w:b/>
          <w:sz w:val="24"/>
        </w:rPr>
        <w:t xml:space="preserve"> </w:t>
      </w:r>
    </w:p>
    <w:p w:rsidR="00611878" w:rsidRDefault="00672C55">
      <w:pPr>
        <w:spacing w:after="0" w:line="259" w:lineRule="auto"/>
        <w:ind w:left="1702" w:right="0" w:firstLine="0"/>
        <w:jc w:val="left"/>
      </w:pPr>
      <w:r>
        <w:rPr>
          <w:b/>
          <w:sz w:val="24"/>
        </w:rPr>
        <w:t xml:space="preserve"> </w:t>
      </w:r>
    </w:p>
    <w:p w:rsidR="00611878" w:rsidRDefault="00672C55">
      <w:pPr>
        <w:spacing w:after="30" w:line="259" w:lineRule="auto"/>
        <w:ind w:left="0" w:right="1061" w:firstLine="0"/>
        <w:jc w:val="right"/>
      </w:pPr>
      <w:r>
        <w:rPr>
          <w:noProof/>
        </w:rPr>
        <w:lastRenderedPageBreak/>
        <w:drawing>
          <wp:inline distT="0" distB="0" distL="0" distR="0">
            <wp:extent cx="4867656" cy="3649980"/>
            <wp:effectExtent l="0" t="0" r="0" b="0"/>
            <wp:docPr id="25933" name="Picture 25933"/>
            <wp:cNvGraphicFramePr/>
            <a:graphic xmlns:a="http://schemas.openxmlformats.org/drawingml/2006/main">
              <a:graphicData uri="http://schemas.openxmlformats.org/drawingml/2006/picture">
                <pic:pic xmlns:pic="http://schemas.openxmlformats.org/drawingml/2006/picture">
                  <pic:nvPicPr>
                    <pic:cNvPr id="25933" name="Picture 25933"/>
                    <pic:cNvPicPr/>
                  </pic:nvPicPr>
                  <pic:blipFill>
                    <a:blip r:embed="rId41"/>
                    <a:stretch>
                      <a:fillRect/>
                    </a:stretch>
                  </pic:blipFill>
                  <pic:spPr>
                    <a:xfrm>
                      <a:off x="0" y="0"/>
                      <a:ext cx="4867656" cy="3649980"/>
                    </a:xfrm>
                    <a:prstGeom prst="rect">
                      <a:avLst/>
                    </a:prstGeom>
                  </pic:spPr>
                </pic:pic>
              </a:graphicData>
            </a:graphic>
          </wp:inline>
        </w:drawing>
      </w:r>
      <w:r>
        <w:rPr>
          <w:rFonts w:ascii="Calibri" w:eastAsia="Calibri" w:hAnsi="Calibri" w:cs="Calibri"/>
        </w:rPr>
        <w:t xml:space="preserve"> </w:t>
      </w:r>
    </w:p>
    <w:p w:rsidR="00611878" w:rsidRDefault="00672C55">
      <w:pPr>
        <w:tabs>
          <w:tab w:val="center" w:pos="708"/>
          <w:tab w:val="center" w:pos="1416"/>
          <w:tab w:val="center" w:pos="3065"/>
        </w:tabs>
        <w:spacing w:after="222" w:line="259" w:lineRule="auto"/>
        <w:ind w:left="-15" w:right="0" w:firstLine="0"/>
        <w:jc w:val="left"/>
      </w:pPr>
      <w:r>
        <w:rPr>
          <w:rFonts w:ascii="Calibri" w:eastAsia="Calibri" w:hAnsi="Calibri" w:cs="Calibri"/>
          <w:i/>
          <w:color w:val="44546A"/>
          <w:sz w:val="18"/>
        </w:rPr>
        <w:t xml:space="preserve"> </w:t>
      </w:r>
      <w:r>
        <w:rPr>
          <w:rFonts w:ascii="Calibri" w:eastAsia="Calibri" w:hAnsi="Calibri" w:cs="Calibri"/>
          <w:i/>
          <w:color w:val="44546A"/>
          <w:sz w:val="18"/>
        </w:rPr>
        <w:tab/>
        <w:t xml:space="preserve"> </w:t>
      </w:r>
      <w:r>
        <w:rPr>
          <w:rFonts w:ascii="Calibri" w:eastAsia="Calibri" w:hAnsi="Calibri" w:cs="Calibri"/>
          <w:i/>
          <w:color w:val="44546A"/>
          <w:sz w:val="18"/>
        </w:rPr>
        <w:tab/>
        <w:t xml:space="preserve"> </w:t>
      </w:r>
      <w:r>
        <w:rPr>
          <w:rFonts w:ascii="Calibri" w:eastAsia="Calibri" w:hAnsi="Calibri" w:cs="Calibri"/>
          <w:i/>
          <w:color w:val="44546A"/>
          <w:sz w:val="18"/>
        </w:rPr>
        <w:tab/>
        <w:t xml:space="preserve">Il parco di Tiergarten oggi </w:t>
      </w:r>
    </w:p>
    <w:p w:rsidR="00611878" w:rsidRDefault="00FF5873" w:rsidP="00FF5873">
      <w:pPr>
        <w:spacing w:after="88" w:line="259" w:lineRule="auto"/>
        <w:ind w:left="426" w:right="855" w:firstLine="0"/>
        <w:jc w:val="left"/>
      </w:pPr>
      <w:r>
        <w:rPr>
          <w:b/>
          <w:sz w:val="24"/>
        </w:rPr>
        <w:t xml:space="preserve">                      </w:t>
      </w:r>
      <w:r w:rsidR="00672C55">
        <w:rPr>
          <w:noProof/>
        </w:rPr>
        <w:drawing>
          <wp:inline distT="0" distB="0" distL="0" distR="0">
            <wp:extent cx="4868883" cy="3538847"/>
            <wp:effectExtent l="0" t="0" r="8255" b="5080"/>
            <wp:docPr id="25935" name="Picture 25935"/>
            <wp:cNvGraphicFramePr/>
            <a:graphic xmlns:a="http://schemas.openxmlformats.org/drawingml/2006/main">
              <a:graphicData uri="http://schemas.openxmlformats.org/drawingml/2006/picture">
                <pic:pic xmlns:pic="http://schemas.openxmlformats.org/drawingml/2006/picture">
                  <pic:nvPicPr>
                    <pic:cNvPr id="25935" name="Picture 25935"/>
                    <pic:cNvPicPr/>
                  </pic:nvPicPr>
                  <pic:blipFill>
                    <a:blip r:embed="rId42"/>
                    <a:stretch>
                      <a:fillRect/>
                    </a:stretch>
                  </pic:blipFill>
                  <pic:spPr>
                    <a:xfrm>
                      <a:off x="0" y="0"/>
                      <a:ext cx="4876747" cy="3544563"/>
                    </a:xfrm>
                    <a:prstGeom prst="rect">
                      <a:avLst/>
                    </a:prstGeom>
                  </pic:spPr>
                </pic:pic>
              </a:graphicData>
            </a:graphic>
          </wp:inline>
        </w:drawing>
      </w:r>
      <w:r w:rsidR="00672C55">
        <w:rPr>
          <w:b/>
          <w:sz w:val="24"/>
        </w:rPr>
        <w:t xml:space="preserve"> </w:t>
      </w:r>
    </w:p>
    <w:p w:rsidR="00611878" w:rsidRDefault="00672C55">
      <w:pPr>
        <w:spacing w:after="0" w:line="259" w:lineRule="auto"/>
        <w:ind w:left="1702" w:right="0" w:firstLine="0"/>
        <w:jc w:val="left"/>
      </w:pPr>
      <w:r>
        <w:rPr>
          <w:b/>
          <w:sz w:val="24"/>
        </w:rPr>
        <w:t xml:space="preserve"> </w:t>
      </w:r>
    </w:p>
    <w:p w:rsidR="00611878" w:rsidRDefault="00672C55">
      <w:pPr>
        <w:spacing w:after="0" w:line="259" w:lineRule="auto"/>
        <w:ind w:left="0" w:right="1952" w:firstLine="0"/>
        <w:jc w:val="right"/>
      </w:pPr>
      <w:r>
        <w:rPr>
          <w:b/>
          <w:sz w:val="32"/>
        </w:rPr>
        <w:lastRenderedPageBreak/>
        <w:t xml:space="preserve"> </w:t>
      </w:r>
      <w:r>
        <w:rPr>
          <w:noProof/>
        </w:rPr>
        <w:drawing>
          <wp:inline distT="0" distB="0" distL="0" distR="0">
            <wp:extent cx="4940809" cy="3704844"/>
            <wp:effectExtent l="0" t="0" r="0" b="0"/>
            <wp:docPr id="25952" name="Picture 25952"/>
            <wp:cNvGraphicFramePr/>
            <a:graphic xmlns:a="http://schemas.openxmlformats.org/drawingml/2006/main">
              <a:graphicData uri="http://schemas.openxmlformats.org/drawingml/2006/picture">
                <pic:pic xmlns:pic="http://schemas.openxmlformats.org/drawingml/2006/picture">
                  <pic:nvPicPr>
                    <pic:cNvPr id="25952" name="Picture 25952"/>
                    <pic:cNvPicPr/>
                  </pic:nvPicPr>
                  <pic:blipFill>
                    <a:blip r:embed="rId43"/>
                    <a:stretch>
                      <a:fillRect/>
                    </a:stretch>
                  </pic:blipFill>
                  <pic:spPr>
                    <a:xfrm rot="5399999">
                      <a:off x="0" y="0"/>
                      <a:ext cx="4940809" cy="3704844"/>
                    </a:xfrm>
                    <a:prstGeom prst="rect">
                      <a:avLst/>
                    </a:prstGeom>
                  </pic:spPr>
                </pic:pic>
              </a:graphicData>
            </a:graphic>
          </wp:inline>
        </w:drawing>
      </w:r>
      <w:r>
        <w:rPr>
          <w:rFonts w:ascii="Calibri" w:eastAsia="Calibri" w:hAnsi="Calibri" w:cs="Calibri"/>
        </w:rPr>
        <w:t xml:space="preserve"> </w:t>
      </w:r>
    </w:p>
    <w:p w:rsidR="00611878" w:rsidRDefault="00672C55">
      <w:pPr>
        <w:spacing w:after="222" w:line="259" w:lineRule="auto"/>
        <w:ind w:left="2482" w:right="0"/>
        <w:jc w:val="left"/>
      </w:pPr>
      <w:r>
        <w:rPr>
          <w:rFonts w:ascii="Calibri" w:eastAsia="Calibri" w:hAnsi="Calibri" w:cs="Calibri"/>
          <w:i/>
          <w:color w:val="44546A"/>
          <w:sz w:val="18"/>
        </w:rPr>
        <w:t xml:space="preserve">Riproduzione di un articolo di giornale contro le persone di razza ebraica </w:t>
      </w:r>
    </w:p>
    <w:p w:rsidR="00611878" w:rsidRDefault="00672C55">
      <w:pPr>
        <w:spacing w:after="160" w:line="259" w:lineRule="auto"/>
        <w:ind w:left="0" w:right="0" w:firstLine="0"/>
        <w:jc w:val="left"/>
      </w:pPr>
      <w:r>
        <w:rPr>
          <w:rFonts w:ascii="Calibri" w:eastAsia="Calibri" w:hAnsi="Calibri" w:cs="Calibri"/>
        </w:rPr>
        <w:t xml:space="preserve"> </w:t>
      </w:r>
    </w:p>
    <w:p w:rsidR="00611878" w:rsidRDefault="00672C55">
      <w:pPr>
        <w:spacing w:after="0" w:line="259" w:lineRule="auto"/>
        <w:ind w:left="0" w:right="0" w:firstLine="0"/>
        <w:jc w:val="left"/>
      </w:pPr>
      <w:r>
        <w:rPr>
          <w:rFonts w:ascii="Calibri" w:eastAsia="Calibri" w:hAnsi="Calibri" w:cs="Calibri"/>
        </w:rPr>
        <w:t xml:space="preserve"> </w:t>
      </w:r>
    </w:p>
    <w:p w:rsidR="00611878" w:rsidRDefault="00672C55">
      <w:pPr>
        <w:tabs>
          <w:tab w:val="center" w:pos="708"/>
          <w:tab w:val="center" w:pos="5662"/>
        </w:tabs>
        <w:spacing w:after="81" w:line="259" w:lineRule="auto"/>
        <w:ind w:left="0" w:right="0" w:firstLine="0"/>
        <w:jc w:val="left"/>
      </w:pPr>
      <w:r>
        <w:rPr>
          <w:rFonts w:ascii="Calibri" w:eastAsia="Calibri" w:hAnsi="Calibri" w:cs="Calibri"/>
        </w:rPr>
        <w:lastRenderedPageBreak/>
        <w:t xml:space="preserve"> </w:t>
      </w:r>
      <w:r>
        <w:rPr>
          <w:rFonts w:ascii="Calibri" w:eastAsia="Calibri" w:hAnsi="Calibri" w:cs="Calibri"/>
        </w:rPr>
        <w:tab/>
        <w:t xml:space="preserve"> </w:t>
      </w:r>
      <w:r>
        <w:rPr>
          <w:rFonts w:ascii="Calibri" w:eastAsia="Calibri" w:hAnsi="Calibri" w:cs="Calibri"/>
        </w:rPr>
        <w:tab/>
      </w:r>
      <w:r>
        <w:rPr>
          <w:noProof/>
        </w:rPr>
        <w:drawing>
          <wp:inline distT="0" distB="0" distL="0" distR="0">
            <wp:extent cx="5359909" cy="4018789"/>
            <wp:effectExtent l="0" t="0" r="0" b="0"/>
            <wp:docPr id="25976" name="Picture 25976"/>
            <wp:cNvGraphicFramePr/>
            <a:graphic xmlns:a="http://schemas.openxmlformats.org/drawingml/2006/main">
              <a:graphicData uri="http://schemas.openxmlformats.org/drawingml/2006/picture">
                <pic:pic xmlns:pic="http://schemas.openxmlformats.org/drawingml/2006/picture">
                  <pic:nvPicPr>
                    <pic:cNvPr id="25976" name="Picture 25976"/>
                    <pic:cNvPicPr/>
                  </pic:nvPicPr>
                  <pic:blipFill>
                    <a:blip r:embed="rId44"/>
                    <a:stretch>
                      <a:fillRect/>
                    </a:stretch>
                  </pic:blipFill>
                  <pic:spPr>
                    <a:xfrm>
                      <a:off x="0" y="0"/>
                      <a:ext cx="5359909" cy="4018789"/>
                    </a:xfrm>
                    <a:prstGeom prst="rect">
                      <a:avLst/>
                    </a:prstGeom>
                  </pic:spPr>
                </pic:pic>
              </a:graphicData>
            </a:graphic>
          </wp:inline>
        </w:drawing>
      </w:r>
      <w:r>
        <w:rPr>
          <w:rFonts w:ascii="Calibri" w:eastAsia="Calibri" w:hAnsi="Calibri" w:cs="Calibri"/>
        </w:rPr>
        <w:t xml:space="preserve"> </w:t>
      </w:r>
    </w:p>
    <w:p w:rsidR="00611878" w:rsidRDefault="00672C55">
      <w:pPr>
        <w:tabs>
          <w:tab w:val="center" w:pos="5386"/>
        </w:tabs>
        <w:spacing w:after="0" w:line="259" w:lineRule="auto"/>
        <w:ind w:left="-15" w:right="0" w:firstLine="0"/>
        <w:jc w:val="left"/>
      </w:pPr>
      <w:r>
        <w:rPr>
          <w:rFonts w:ascii="Calibri" w:eastAsia="Calibri" w:hAnsi="Calibri" w:cs="Calibri"/>
          <w:i/>
          <w:color w:val="44546A"/>
          <w:sz w:val="18"/>
        </w:rPr>
        <w:t xml:space="preserve"> </w:t>
      </w:r>
      <w:r>
        <w:rPr>
          <w:rFonts w:ascii="Calibri" w:eastAsia="Calibri" w:hAnsi="Calibri" w:cs="Calibri"/>
          <w:i/>
          <w:color w:val="44546A"/>
          <w:sz w:val="18"/>
        </w:rPr>
        <w:tab/>
        <w:t xml:space="preserve"> Wihlelmstraße era la via die Ministeri e del Bunker della Cancelleria, oggi all’interno delle fondamenta c’è un museo sul nazismo </w:t>
      </w:r>
    </w:p>
    <w:p w:rsidR="00611878" w:rsidRDefault="00672C55" w:rsidP="00D77858">
      <w:pPr>
        <w:spacing w:after="0" w:line="259" w:lineRule="auto"/>
        <w:ind w:left="1418" w:right="0" w:firstLine="0"/>
        <w:jc w:val="left"/>
      </w:pPr>
      <w:r>
        <w:rPr>
          <w:noProof/>
        </w:rPr>
        <w:drawing>
          <wp:inline distT="0" distB="0" distL="0" distR="0">
            <wp:extent cx="5360400" cy="3482340"/>
            <wp:effectExtent l="0" t="0" r="0" b="3810"/>
            <wp:docPr id="25978" name="Picture 25978"/>
            <wp:cNvGraphicFramePr/>
            <a:graphic xmlns:a="http://schemas.openxmlformats.org/drawingml/2006/main">
              <a:graphicData uri="http://schemas.openxmlformats.org/drawingml/2006/picture">
                <pic:pic xmlns:pic="http://schemas.openxmlformats.org/drawingml/2006/picture">
                  <pic:nvPicPr>
                    <pic:cNvPr id="25978" name="Picture 25978"/>
                    <pic:cNvPicPr/>
                  </pic:nvPicPr>
                  <pic:blipFill>
                    <a:blip r:embed="rId45"/>
                    <a:stretch>
                      <a:fillRect/>
                    </a:stretch>
                  </pic:blipFill>
                  <pic:spPr>
                    <a:xfrm>
                      <a:off x="0" y="0"/>
                      <a:ext cx="5360400" cy="3482340"/>
                    </a:xfrm>
                    <a:prstGeom prst="rect">
                      <a:avLst/>
                    </a:prstGeom>
                  </pic:spPr>
                </pic:pic>
              </a:graphicData>
            </a:graphic>
          </wp:inline>
        </w:drawing>
      </w:r>
    </w:p>
    <w:p w:rsidR="00611878" w:rsidRDefault="00672C55">
      <w:pPr>
        <w:spacing w:after="67" w:line="333" w:lineRule="auto"/>
        <w:ind w:left="5528" w:right="1158" w:hanging="3728"/>
      </w:pPr>
      <w:r>
        <w:rPr>
          <w:noProof/>
        </w:rPr>
        <w:lastRenderedPageBreak/>
        <w:drawing>
          <wp:inline distT="0" distB="0" distL="0" distR="0">
            <wp:extent cx="4735068" cy="3549396"/>
            <wp:effectExtent l="0" t="0" r="0" b="0"/>
            <wp:docPr id="26000" name="Picture 26000"/>
            <wp:cNvGraphicFramePr/>
            <a:graphic xmlns:a="http://schemas.openxmlformats.org/drawingml/2006/main">
              <a:graphicData uri="http://schemas.openxmlformats.org/drawingml/2006/picture">
                <pic:pic xmlns:pic="http://schemas.openxmlformats.org/drawingml/2006/picture">
                  <pic:nvPicPr>
                    <pic:cNvPr id="26000" name="Picture 26000"/>
                    <pic:cNvPicPr/>
                  </pic:nvPicPr>
                  <pic:blipFill>
                    <a:blip r:embed="rId46"/>
                    <a:stretch>
                      <a:fillRect/>
                    </a:stretch>
                  </pic:blipFill>
                  <pic:spPr>
                    <a:xfrm>
                      <a:off x="0" y="0"/>
                      <a:ext cx="4735068" cy="3549396"/>
                    </a:xfrm>
                    <a:prstGeom prst="rect">
                      <a:avLst/>
                    </a:prstGeom>
                  </pic:spPr>
                </pic:pic>
              </a:graphicData>
            </a:graphic>
          </wp:inline>
        </w:drawing>
      </w:r>
      <w:r>
        <w:rPr>
          <w:b/>
          <w:sz w:val="32"/>
        </w:rPr>
        <w:t xml:space="preserve">  </w:t>
      </w:r>
    </w:p>
    <w:p w:rsidR="00611878" w:rsidRDefault="00672C55">
      <w:pPr>
        <w:spacing w:after="184" w:line="259" w:lineRule="auto"/>
        <w:ind w:left="5528" w:right="0" w:firstLine="0"/>
        <w:jc w:val="left"/>
      </w:pPr>
      <w:r>
        <w:rPr>
          <w:b/>
          <w:sz w:val="32"/>
        </w:rPr>
        <w:t xml:space="preserve"> </w:t>
      </w:r>
    </w:p>
    <w:p w:rsidR="00611878" w:rsidRDefault="00672C55">
      <w:pPr>
        <w:spacing w:after="181" w:line="259" w:lineRule="auto"/>
        <w:ind w:left="5528" w:right="0" w:firstLine="0"/>
        <w:jc w:val="left"/>
      </w:pPr>
      <w:r>
        <w:rPr>
          <w:b/>
          <w:sz w:val="32"/>
        </w:rPr>
        <w:t xml:space="preserve"> </w:t>
      </w:r>
    </w:p>
    <w:p w:rsidR="00611878" w:rsidRDefault="00672C55">
      <w:pPr>
        <w:spacing w:after="184" w:line="259" w:lineRule="auto"/>
        <w:ind w:left="5528" w:right="0" w:firstLine="0"/>
        <w:jc w:val="left"/>
      </w:pPr>
      <w:r>
        <w:rPr>
          <w:b/>
          <w:sz w:val="32"/>
        </w:rPr>
        <w:t xml:space="preserve"> </w:t>
      </w:r>
    </w:p>
    <w:p w:rsidR="00611878" w:rsidRDefault="00672C55">
      <w:pPr>
        <w:spacing w:after="181" w:line="259" w:lineRule="auto"/>
        <w:ind w:left="5528" w:right="0" w:firstLine="0"/>
        <w:jc w:val="left"/>
      </w:pPr>
      <w:r>
        <w:rPr>
          <w:b/>
          <w:sz w:val="32"/>
        </w:rPr>
        <w:t xml:space="preserve"> </w:t>
      </w:r>
    </w:p>
    <w:p w:rsidR="00611878" w:rsidRDefault="00672C55">
      <w:pPr>
        <w:spacing w:after="184" w:line="259" w:lineRule="auto"/>
        <w:ind w:left="5528" w:right="0" w:firstLine="0"/>
        <w:jc w:val="left"/>
      </w:pPr>
      <w:r>
        <w:rPr>
          <w:b/>
          <w:sz w:val="32"/>
        </w:rPr>
        <w:t xml:space="preserve"> </w:t>
      </w:r>
    </w:p>
    <w:p w:rsidR="00611878" w:rsidRDefault="00672C55">
      <w:pPr>
        <w:spacing w:after="181" w:line="259" w:lineRule="auto"/>
        <w:ind w:left="5528" w:right="0" w:firstLine="0"/>
        <w:jc w:val="left"/>
      </w:pPr>
      <w:r>
        <w:rPr>
          <w:b/>
          <w:sz w:val="32"/>
        </w:rPr>
        <w:t xml:space="preserve"> </w:t>
      </w:r>
    </w:p>
    <w:p w:rsidR="00611878" w:rsidRDefault="00672C55">
      <w:pPr>
        <w:spacing w:after="184" w:line="259" w:lineRule="auto"/>
        <w:ind w:left="5528" w:right="0" w:firstLine="0"/>
        <w:jc w:val="left"/>
      </w:pPr>
      <w:r>
        <w:rPr>
          <w:b/>
          <w:sz w:val="32"/>
        </w:rPr>
        <w:t xml:space="preserve"> </w:t>
      </w:r>
    </w:p>
    <w:p w:rsidR="00611878" w:rsidRDefault="00672C55">
      <w:pPr>
        <w:spacing w:after="181" w:line="259" w:lineRule="auto"/>
        <w:ind w:left="5528" w:right="0" w:firstLine="0"/>
        <w:jc w:val="left"/>
      </w:pPr>
      <w:r>
        <w:rPr>
          <w:b/>
          <w:sz w:val="32"/>
        </w:rPr>
        <w:t xml:space="preserve"> </w:t>
      </w:r>
    </w:p>
    <w:p w:rsidR="00611878" w:rsidRDefault="00672C55">
      <w:pPr>
        <w:spacing w:after="182" w:line="259" w:lineRule="auto"/>
        <w:ind w:left="5528" w:right="0" w:firstLine="0"/>
        <w:jc w:val="left"/>
      </w:pPr>
      <w:r>
        <w:rPr>
          <w:b/>
          <w:sz w:val="32"/>
        </w:rPr>
        <w:t xml:space="preserve"> </w:t>
      </w:r>
    </w:p>
    <w:p w:rsidR="00611878" w:rsidRDefault="00672C55">
      <w:pPr>
        <w:spacing w:after="184" w:line="259" w:lineRule="auto"/>
        <w:ind w:left="5528" w:right="0" w:firstLine="0"/>
        <w:jc w:val="left"/>
        <w:rPr>
          <w:b/>
          <w:sz w:val="32"/>
        </w:rPr>
      </w:pPr>
      <w:r>
        <w:rPr>
          <w:b/>
          <w:sz w:val="32"/>
        </w:rPr>
        <w:t xml:space="preserve"> </w:t>
      </w:r>
    </w:p>
    <w:p w:rsidR="00FF5873" w:rsidRDefault="00FF5873">
      <w:pPr>
        <w:spacing w:after="184" w:line="259" w:lineRule="auto"/>
        <w:ind w:left="5528" w:right="0" w:firstLine="0"/>
        <w:jc w:val="left"/>
        <w:rPr>
          <w:b/>
          <w:sz w:val="32"/>
        </w:rPr>
      </w:pPr>
    </w:p>
    <w:p w:rsidR="00FF5873" w:rsidRDefault="00FF5873">
      <w:pPr>
        <w:spacing w:after="184" w:line="259" w:lineRule="auto"/>
        <w:ind w:left="5528" w:right="0" w:firstLine="0"/>
        <w:jc w:val="left"/>
      </w:pPr>
    </w:p>
    <w:p w:rsidR="00611878" w:rsidRDefault="00672C55">
      <w:pPr>
        <w:spacing w:after="181" w:line="259" w:lineRule="auto"/>
        <w:ind w:left="5528" w:right="0" w:firstLine="0"/>
        <w:jc w:val="left"/>
      </w:pPr>
      <w:r>
        <w:rPr>
          <w:b/>
          <w:sz w:val="32"/>
        </w:rPr>
        <w:t xml:space="preserve"> </w:t>
      </w:r>
    </w:p>
    <w:p w:rsidR="00611878" w:rsidRDefault="00672C55">
      <w:pPr>
        <w:spacing w:after="184" w:line="259" w:lineRule="auto"/>
        <w:ind w:left="5528" w:right="0" w:firstLine="0"/>
        <w:jc w:val="left"/>
      </w:pPr>
      <w:r>
        <w:rPr>
          <w:b/>
          <w:sz w:val="32"/>
        </w:rPr>
        <w:t xml:space="preserve"> </w:t>
      </w:r>
    </w:p>
    <w:p w:rsidR="00611878" w:rsidRDefault="00672C55">
      <w:pPr>
        <w:spacing w:after="0" w:line="259" w:lineRule="auto"/>
        <w:ind w:left="5528" w:right="0" w:firstLine="0"/>
        <w:jc w:val="left"/>
      </w:pPr>
      <w:r>
        <w:rPr>
          <w:b/>
          <w:sz w:val="32"/>
        </w:rPr>
        <w:t xml:space="preserve"> </w:t>
      </w:r>
    </w:p>
    <w:p w:rsidR="00611878" w:rsidRDefault="00672C55">
      <w:pPr>
        <w:pStyle w:val="Titolo1"/>
        <w:spacing w:after="177"/>
        <w:ind w:left="3649" w:right="0"/>
        <w:jc w:val="left"/>
      </w:pPr>
      <w:r>
        <w:rPr>
          <w:b/>
          <w:i w:val="0"/>
        </w:rPr>
        <w:lastRenderedPageBreak/>
        <w:t xml:space="preserve">Appendice II: I documenti* </w:t>
      </w:r>
    </w:p>
    <w:p w:rsidR="00611878" w:rsidRDefault="00672C55">
      <w:pPr>
        <w:spacing w:after="0" w:line="397" w:lineRule="auto"/>
        <w:ind w:left="2590" w:right="493" w:hanging="156"/>
        <w:jc w:val="left"/>
      </w:pPr>
      <w:r>
        <w:rPr>
          <w:sz w:val="32"/>
        </w:rPr>
        <w:t xml:space="preserve">*La riproduzione dei documenti è nel rispetto della vigente legge della Repubblica Federale Tedesca  </w:t>
      </w:r>
      <w:r>
        <w:br w:type="page"/>
      </w:r>
    </w:p>
    <w:p w:rsidR="00611878" w:rsidRDefault="00544949">
      <w:pPr>
        <w:spacing w:after="0" w:line="259" w:lineRule="auto"/>
        <w:ind w:left="1706" w:right="0" w:firstLine="0"/>
      </w:pPr>
      <w:r w:rsidRPr="0072502A">
        <w:rPr>
          <w:rFonts w:ascii="Calibri" w:eastAsia="Calibri" w:hAnsi="Calibri" w:cs="Calibri"/>
          <w:i/>
          <w:noProof/>
          <w:color w:val="44546A"/>
          <w:sz w:val="18"/>
        </w:rPr>
        <w:lastRenderedPageBreak/>
        <mc:AlternateContent>
          <mc:Choice Requires="wps">
            <w:drawing>
              <wp:anchor distT="0" distB="0" distL="114300" distR="114300" simplePos="0" relativeHeight="251660288" behindDoc="0" locked="0" layoutInCell="1" allowOverlap="1" wp14:anchorId="1244C411" wp14:editId="73227705">
                <wp:simplePos x="0" y="0"/>
                <wp:positionH relativeFrom="column">
                  <wp:posOffset>1018128</wp:posOffset>
                </wp:positionH>
                <wp:positionV relativeFrom="paragraph">
                  <wp:posOffset>8184193</wp:posOffset>
                </wp:positionV>
                <wp:extent cx="5165766" cy="783772"/>
                <wp:effectExtent l="0" t="0" r="15875" b="16510"/>
                <wp:wrapNone/>
                <wp:docPr id="30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5766" cy="783772"/>
                        </a:xfrm>
                        <a:prstGeom prst="rect">
                          <a:avLst/>
                        </a:prstGeom>
                        <a:solidFill>
                          <a:srgbClr val="FFFFFF"/>
                        </a:solidFill>
                        <a:ln w="9525">
                          <a:solidFill>
                            <a:schemeClr val="bg1"/>
                          </a:solidFill>
                          <a:miter lim="800000"/>
                          <a:headEnd/>
                          <a:tailEnd/>
                        </a:ln>
                      </wps:spPr>
                      <wps:txbx>
                        <w:txbxContent>
                          <w:p w:rsidR="00593A53" w:rsidRDefault="00593A53" w:rsidP="00544949">
                            <w:pPr>
                              <w:ind w:left="0"/>
                            </w:pPr>
                            <w:r>
                              <w:rPr>
                                <w:rFonts w:ascii="Calibri" w:eastAsia="Calibri" w:hAnsi="Calibri" w:cs="Calibri"/>
                                <w:i/>
                                <w:color w:val="44546A"/>
                                <w:sz w:val="18"/>
                              </w:rPr>
                              <w:t>Questionario con risposte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80.15pt;margin-top:644.4pt;width:406.75pt;height:6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" strokecolor="white [3212]">
                <v:textbox>
                  <w:txbxContent>
                    <w:p w:rsidR="00593A53" w:rsidRDefault="00593A53" w:rsidP="00544949">
                      <w:pPr>
                        <w:ind w:left="0"/>
                      </w:pPr>
                      <w:r>
                        <w:rPr>
                          <w:rFonts w:ascii="Calibri" w:eastAsia="Calibri" w:hAnsi="Calibri" w:cs="Calibri"/>
                          <w:i/>
                          <w:color w:val="44546A"/>
                          <w:sz w:val="18"/>
                        </w:rPr>
                        <w:t>Questionario con risposte</w:t>
                      </w:r>
                    </w:p>
                  </w:txbxContent>
                </v:textbox>
              </v:shape>
            </w:pict>
          </mc:Fallback>
        </mc:AlternateContent>
      </w:r>
      <w:r w:rsidR="00672C55">
        <w:rPr>
          <w:noProof/>
        </w:rPr>
        <w:drawing>
          <wp:inline distT="0" distB="0" distL="0" distR="0" wp14:anchorId="7C90DA0E" wp14:editId="5C0A4D4F">
            <wp:extent cx="9070848" cy="5102353"/>
            <wp:effectExtent l="0" t="0" r="0" b="0"/>
            <wp:docPr id="26020" name="Picture 26020"/>
            <wp:cNvGraphicFramePr/>
            <a:graphic xmlns:a="http://schemas.openxmlformats.org/drawingml/2006/main">
              <a:graphicData uri="http://schemas.openxmlformats.org/drawingml/2006/picture">
                <pic:pic xmlns:pic="http://schemas.openxmlformats.org/drawingml/2006/picture">
                  <pic:nvPicPr>
                    <pic:cNvPr id="26020" name="Picture 26020"/>
                    <pic:cNvPicPr/>
                  </pic:nvPicPr>
                  <pic:blipFill>
                    <a:blip r:embed="rId47"/>
                    <a:stretch>
                      <a:fillRect/>
                    </a:stretch>
                  </pic:blipFill>
                  <pic:spPr>
                    <a:xfrm rot="5399999">
                      <a:off x="0" y="0"/>
                      <a:ext cx="9070848" cy="5102353"/>
                    </a:xfrm>
                    <a:prstGeom prst="rect">
                      <a:avLst/>
                    </a:prstGeom>
                  </pic:spPr>
                </pic:pic>
              </a:graphicData>
            </a:graphic>
          </wp:inline>
        </w:drawing>
      </w:r>
      <w:r w:rsidR="00672C55">
        <w:rPr>
          <w:rFonts w:ascii="Calibri" w:eastAsia="Calibri" w:hAnsi="Calibri" w:cs="Calibri"/>
        </w:rPr>
        <w:t xml:space="preserve"> </w:t>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36" name="Picture 26036"/>
            <wp:cNvGraphicFramePr/>
            <a:graphic xmlns:a="http://schemas.openxmlformats.org/drawingml/2006/main">
              <a:graphicData uri="http://schemas.openxmlformats.org/drawingml/2006/picture">
                <pic:pic xmlns:pic="http://schemas.openxmlformats.org/drawingml/2006/picture">
                  <pic:nvPicPr>
                    <pic:cNvPr id="26036" name="Picture 26036"/>
                    <pic:cNvPicPr/>
                  </pic:nvPicPr>
                  <pic:blipFill>
                    <a:blip r:embed="rId48"/>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43" name="Picture 26043"/>
            <wp:cNvGraphicFramePr/>
            <a:graphic xmlns:a="http://schemas.openxmlformats.org/drawingml/2006/main">
              <a:graphicData uri="http://schemas.openxmlformats.org/drawingml/2006/picture">
                <pic:pic xmlns:pic="http://schemas.openxmlformats.org/drawingml/2006/picture">
                  <pic:nvPicPr>
                    <pic:cNvPr id="26043" name="Picture 26043"/>
                    <pic:cNvPicPr/>
                  </pic:nvPicPr>
                  <pic:blipFill>
                    <a:blip r:embed="rId49"/>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50" name="Picture 26050"/>
            <wp:cNvGraphicFramePr/>
            <a:graphic xmlns:a="http://schemas.openxmlformats.org/drawingml/2006/main">
              <a:graphicData uri="http://schemas.openxmlformats.org/drawingml/2006/picture">
                <pic:pic xmlns:pic="http://schemas.openxmlformats.org/drawingml/2006/picture">
                  <pic:nvPicPr>
                    <pic:cNvPr id="26050" name="Picture 26050"/>
                    <pic:cNvPicPr/>
                  </pic:nvPicPr>
                  <pic:blipFill>
                    <a:blip r:embed="rId50"/>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57" name="Picture 26057"/>
            <wp:cNvGraphicFramePr/>
            <a:graphic xmlns:a="http://schemas.openxmlformats.org/drawingml/2006/main">
              <a:graphicData uri="http://schemas.openxmlformats.org/drawingml/2006/picture">
                <pic:pic xmlns:pic="http://schemas.openxmlformats.org/drawingml/2006/picture">
                  <pic:nvPicPr>
                    <pic:cNvPr id="26057" name="Picture 26057"/>
                    <pic:cNvPicPr/>
                  </pic:nvPicPr>
                  <pic:blipFill>
                    <a:blip r:embed="rId51"/>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64" name="Picture 26064"/>
            <wp:cNvGraphicFramePr/>
            <a:graphic xmlns:a="http://schemas.openxmlformats.org/drawingml/2006/main">
              <a:graphicData uri="http://schemas.openxmlformats.org/drawingml/2006/picture">
                <pic:pic xmlns:pic="http://schemas.openxmlformats.org/drawingml/2006/picture">
                  <pic:nvPicPr>
                    <pic:cNvPr id="26064" name="Picture 26064"/>
                    <pic:cNvPicPr/>
                  </pic:nvPicPr>
                  <pic:blipFill>
                    <a:blip r:embed="rId52"/>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71" name="Picture 26071"/>
            <wp:cNvGraphicFramePr/>
            <a:graphic xmlns:a="http://schemas.openxmlformats.org/drawingml/2006/main">
              <a:graphicData uri="http://schemas.openxmlformats.org/drawingml/2006/picture">
                <pic:pic xmlns:pic="http://schemas.openxmlformats.org/drawingml/2006/picture">
                  <pic:nvPicPr>
                    <pic:cNvPr id="26071" name="Picture 26071"/>
                    <pic:cNvPicPr/>
                  </pic:nvPicPr>
                  <pic:blipFill>
                    <a:blip r:embed="rId53"/>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78" name="Picture 26078"/>
            <wp:cNvGraphicFramePr/>
            <a:graphic xmlns:a="http://schemas.openxmlformats.org/drawingml/2006/main">
              <a:graphicData uri="http://schemas.openxmlformats.org/drawingml/2006/picture">
                <pic:pic xmlns:pic="http://schemas.openxmlformats.org/drawingml/2006/picture">
                  <pic:nvPicPr>
                    <pic:cNvPr id="26078" name="Picture 26078"/>
                    <pic:cNvPicPr/>
                  </pic:nvPicPr>
                  <pic:blipFill>
                    <a:blip r:embed="rId54"/>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85" name="Picture 26085"/>
            <wp:cNvGraphicFramePr/>
            <a:graphic xmlns:a="http://schemas.openxmlformats.org/drawingml/2006/main">
              <a:graphicData uri="http://schemas.openxmlformats.org/drawingml/2006/picture">
                <pic:pic xmlns:pic="http://schemas.openxmlformats.org/drawingml/2006/picture">
                  <pic:nvPicPr>
                    <pic:cNvPr id="26085" name="Picture 26085"/>
                    <pic:cNvPicPr/>
                  </pic:nvPicPr>
                  <pic:blipFill>
                    <a:blip r:embed="rId55"/>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92" name="Picture 26092"/>
            <wp:cNvGraphicFramePr/>
            <a:graphic xmlns:a="http://schemas.openxmlformats.org/drawingml/2006/main">
              <a:graphicData uri="http://schemas.openxmlformats.org/drawingml/2006/picture">
                <pic:pic xmlns:pic="http://schemas.openxmlformats.org/drawingml/2006/picture">
                  <pic:nvPicPr>
                    <pic:cNvPr id="26092" name="Picture 26092"/>
                    <pic:cNvPicPr/>
                  </pic:nvPicPr>
                  <pic:blipFill>
                    <a:blip r:embed="rId56"/>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099" name="Picture 26099"/>
            <wp:cNvGraphicFramePr/>
            <a:graphic xmlns:a="http://schemas.openxmlformats.org/drawingml/2006/main">
              <a:graphicData uri="http://schemas.openxmlformats.org/drawingml/2006/picture">
                <pic:pic xmlns:pic="http://schemas.openxmlformats.org/drawingml/2006/picture">
                  <pic:nvPicPr>
                    <pic:cNvPr id="26099" name="Picture 26099"/>
                    <pic:cNvPicPr/>
                  </pic:nvPicPr>
                  <pic:blipFill>
                    <a:blip r:embed="rId57"/>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2" w:right="0" w:firstLine="0"/>
        <w:jc w:val="left"/>
      </w:pPr>
      <w:r>
        <w:rPr>
          <w:noProof/>
        </w:rPr>
        <w:lastRenderedPageBreak/>
        <w:drawing>
          <wp:inline distT="0" distB="0" distL="0" distR="0">
            <wp:extent cx="8511540" cy="4786884"/>
            <wp:effectExtent l="0" t="0" r="0" b="0"/>
            <wp:docPr id="26106" name="Picture 26106"/>
            <wp:cNvGraphicFramePr/>
            <a:graphic xmlns:a="http://schemas.openxmlformats.org/drawingml/2006/main">
              <a:graphicData uri="http://schemas.openxmlformats.org/drawingml/2006/picture">
                <pic:pic xmlns:pic="http://schemas.openxmlformats.org/drawingml/2006/picture">
                  <pic:nvPicPr>
                    <pic:cNvPr id="26106" name="Picture 26106"/>
                    <pic:cNvPicPr/>
                  </pic:nvPicPr>
                  <pic:blipFill>
                    <a:blip r:embed="rId58"/>
                    <a:stretch>
                      <a:fillRect/>
                    </a:stretch>
                  </pic:blipFill>
                  <pic:spPr>
                    <a:xfrm rot="5399999">
                      <a:off x="0" y="0"/>
                      <a:ext cx="8511540" cy="4786884"/>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113" name="Picture 26113"/>
            <wp:cNvGraphicFramePr/>
            <a:graphic xmlns:a="http://schemas.openxmlformats.org/drawingml/2006/main">
              <a:graphicData uri="http://schemas.openxmlformats.org/drawingml/2006/picture">
                <pic:pic xmlns:pic="http://schemas.openxmlformats.org/drawingml/2006/picture">
                  <pic:nvPicPr>
                    <pic:cNvPr id="26113" name="Picture 26113"/>
                    <pic:cNvPicPr/>
                  </pic:nvPicPr>
                  <pic:blipFill>
                    <a:blip r:embed="rId59"/>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120" name="Picture 26120"/>
            <wp:cNvGraphicFramePr/>
            <a:graphic xmlns:a="http://schemas.openxmlformats.org/drawingml/2006/main">
              <a:graphicData uri="http://schemas.openxmlformats.org/drawingml/2006/picture">
                <pic:pic xmlns:pic="http://schemas.openxmlformats.org/drawingml/2006/picture">
                  <pic:nvPicPr>
                    <pic:cNvPr id="26120" name="Picture 26120"/>
                    <pic:cNvPicPr/>
                  </pic:nvPicPr>
                  <pic:blipFill>
                    <a:blip r:embed="rId60"/>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14" w:right="0" w:firstLine="0"/>
        <w:jc w:val="left"/>
      </w:pPr>
      <w:r>
        <w:rPr>
          <w:noProof/>
        </w:rPr>
        <w:lastRenderedPageBreak/>
        <w:drawing>
          <wp:inline distT="0" distB="0" distL="0" distR="0">
            <wp:extent cx="8831580" cy="4966715"/>
            <wp:effectExtent l="0" t="0" r="0" b="0"/>
            <wp:docPr id="26127" name="Picture 26127"/>
            <wp:cNvGraphicFramePr/>
            <a:graphic xmlns:a="http://schemas.openxmlformats.org/drawingml/2006/main">
              <a:graphicData uri="http://schemas.openxmlformats.org/drawingml/2006/picture">
                <pic:pic xmlns:pic="http://schemas.openxmlformats.org/drawingml/2006/picture">
                  <pic:nvPicPr>
                    <pic:cNvPr id="26127" name="Picture 26127"/>
                    <pic:cNvPicPr/>
                  </pic:nvPicPr>
                  <pic:blipFill>
                    <a:blip r:embed="rId61"/>
                    <a:stretch>
                      <a:fillRect/>
                    </a:stretch>
                  </pic:blipFill>
                  <pic:spPr>
                    <a:xfrm rot="5399999">
                      <a:off x="0" y="0"/>
                      <a:ext cx="8831580" cy="4966715"/>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135" name="Picture 26135"/>
            <wp:cNvGraphicFramePr/>
            <a:graphic xmlns:a="http://schemas.openxmlformats.org/drawingml/2006/main">
              <a:graphicData uri="http://schemas.openxmlformats.org/drawingml/2006/picture">
                <pic:pic xmlns:pic="http://schemas.openxmlformats.org/drawingml/2006/picture">
                  <pic:nvPicPr>
                    <pic:cNvPr id="26135" name="Picture 26135"/>
                    <pic:cNvPicPr/>
                  </pic:nvPicPr>
                  <pic:blipFill>
                    <a:blip r:embed="rId62"/>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143" name="Picture 26143"/>
            <wp:cNvGraphicFramePr/>
            <a:graphic xmlns:a="http://schemas.openxmlformats.org/drawingml/2006/main">
              <a:graphicData uri="http://schemas.openxmlformats.org/drawingml/2006/picture">
                <pic:pic xmlns:pic="http://schemas.openxmlformats.org/drawingml/2006/picture">
                  <pic:nvPicPr>
                    <pic:cNvPr id="26143" name="Picture 26143"/>
                    <pic:cNvPicPr/>
                  </pic:nvPicPr>
                  <pic:blipFill>
                    <a:blip r:embed="rId63"/>
                    <a:stretch>
                      <a:fillRect/>
                    </a:stretch>
                  </pic:blipFill>
                  <pic:spPr>
                    <a:xfrm rot="5399999">
                      <a:off x="0" y="0"/>
                      <a:ext cx="9070848" cy="5102353"/>
                    </a:xfrm>
                    <a:prstGeom prst="rect">
                      <a:avLst/>
                    </a:prstGeom>
                  </pic:spPr>
                </pic:pic>
              </a:graphicData>
            </a:graphic>
          </wp:inline>
        </w:drawing>
      </w:r>
    </w:p>
    <w:p w:rsidR="00611878" w:rsidRDefault="00672C55">
      <w:pPr>
        <w:spacing w:after="0" w:line="259" w:lineRule="auto"/>
        <w:ind w:left="1706" w:right="0" w:firstLine="0"/>
        <w:jc w:val="left"/>
      </w:pPr>
      <w:r>
        <w:rPr>
          <w:noProof/>
        </w:rPr>
        <w:lastRenderedPageBreak/>
        <w:drawing>
          <wp:inline distT="0" distB="0" distL="0" distR="0">
            <wp:extent cx="9070848" cy="5102353"/>
            <wp:effectExtent l="0" t="0" r="0" b="0"/>
            <wp:docPr id="26151" name="Picture 26151"/>
            <wp:cNvGraphicFramePr/>
            <a:graphic xmlns:a="http://schemas.openxmlformats.org/drawingml/2006/main">
              <a:graphicData uri="http://schemas.openxmlformats.org/drawingml/2006/picture">
                <pic:pic xmlns:pic="http://schemas.openxmlformats.org/drawingml/2006/picture">
                  <pic:nvPicPr>
                    <pic:cNvPr id="26151" name="Picture 26151"/>
                    <pic:cNvPicPr/>
                  </pic:nvPicPr>
                  <pic:blipFill>
                    <a:blip r:embed="rId64"/>
                    <a:stretch>
                      <a:fillRect/>
                    </a:stretch>
                  </pic:blipFill>
                  <pic:spPr>
                    <a:xfrm rot="5399999">
                      <a:off x="0" y="0"/>
                      <a:ext cx="9070848" cy="5102353"/>
                    </a:xfrm>
                    <a:prstGeom prst="rect">
                      <a:avLst/>
                    </a:prstGeom>
                  </pic:spPr>
                </pic:pic>
              </a:graphicData>
            </a:graphic>
          </wp:inline>
        </w:drawing>
      </w:r>
    </w:p>
    <w:p w:rsidR="00611878" w:rsidRDefault="00672C55">
      <w:pPr>
        <w:spacing w:after="28" w:line="259" w:lineRule="auto"/>
        <w:ind w:left="0" w:right="221" w:firstLine="0"/>
        <w:jc w:val="right"/>
      </w:pPr>
      <w:r>
        <w:rPr>
          <w:noProof/>
        </w:rPr>
        <w:lastRenderedPageBreak/>
        <w:drawing>
          <wp:inline distT="0" distB="0" distL="0" distR="0">
            <wp:extent cx="5408677" cy="3041904"/>
            <wp:effectExtent l="0" t="0" r="0" b="0"/>
            <wp:docPr id="26169" name="Picture 26169"/>
            <wp:cNvGraphicFramePr/>
            <a:graphic xmlns:a="http://schemas.openxmlformats.org/drawingml/2006/main">
              <a:graphicData uri="http://schemas.openxmlformats.org/drawingml/2006/picture">
                <pic:pic xmlns:pic="http://schemas.openxmlformats.org/drawingml/2006/picture">
                  <pic:nvPicPr>
                    <pic:cNvPr id="26169" name="Picture 26169"/>
                    <pic:cNvPicPr/>
                  </pic:nvPicPr>
                  <pic:blipFill>
                    <a:blip r:embed="rId65"/>
                    <a:stretch>
                      <a:fillRect/>
                    </a:stretch>
                  </pic:blipFill>
                  <pic:spPr>
                    <a:xfrm>
                      <a:off x="0" y="0"/>
                      <a:ext cx="5408677" cy="3041904"/>
                    </a:xfrm>
                    <a:prstGeom prst="rect">
                      <a:avLst/>
                    </a:prstGeom>
                  </pic:spPr>
                </pic:pic>
              </a:graphicData>
            </a:graphic>
          </wp:inline>
        </w:drawing>
      </w:r>
      <w:r>
        <w:rPr>
          <w:rFonts w:ascii="Calibri" w:eastAsia="Calibri" w:hAnsi="Calibri" w:cs="Calibri"/>
        </w:rPr>
        <w:t xml:space="preserve"> </w:t>
      </w:r>
    </w:p>
    <w:p w:rsidR="00611878" w:rsidRDefault="00672C55">
      <w:pPr>
        <w:tabs>
          <w:tab w:val="center" w:pos="708"/>
          <w:tab w:val="center" w:pos="1416"/>
          <w:tab w:val="center" w:pos="4311"/>
        </w:tabs>
        <w:spacing w:after="222" w:line="259" w:lineRule="auto"/>
        <w:ind w:left="-15" w:right="0" w:firstLine="0"/>
        <w:jc w:val="left"/>
      </w:pPr>
      <w:r>
        <w:rPr>
          <w:rFonts w:ascii="Calibri" w:eastAsia="Calibri" w:hAnsi="Calibri" w:cs="Calibri"/>
          <w:i/>
          <w:color w:val="44546A"/>
          <w:sz w:val="18"/>
        </w:rPr>
        <w:t xml:space="preserve"> </w:t>
      </w:r>
      <w:r>
        <w:rPr>
          <w:rFonts w:ascii="Calibri" w:eastAsia="Calibri" w:hAnsi="Calibri" w:cs="Calibri"/>
          <w:i/>
          <w:color w:val="44546A"/>
          <w:sz w:val="18"/>
        </w:rPr>
        <w:tab/>
        <w:t xml:space="preserve"> </w:t>
      </w:r>
      <w:r>
        <w:rPr>
          <w:rFonts w:ascii="Calibri" w:eastAsia="Calibri" w:hAnsi="Calibri" w:cs="Calibri"/>
          <w:i/>
          <w:color w:val="44546A"/>
          <w:sz w:val="18"/>
        </w:rPr>
        <w:tab/>
        <w:t xml:space="preserve"> </w:t>
      </w:r>
      <w:r>
        <w:rPr>
          <w:rFonts w:ascii="Calibri" w:eastAsia="Calibri" w:hAnsi="Calibri" w:cs="Calibri"/>
          <w:i/>
          <w:color w:val="44546A"/>
          <w:sz w:val="18"/>
        </w:rPr>
        <w:tab/>
        <w:t xml:space="preserve"> Volantino tedesco per l'arruolamento volontario dei ragazzi </w:t>
      </w:r>
    </w:p>
    <w:p w:rsidR="00611878" w:rsidRDefault="00672C55">
      <w:pPr>
        <w:spacing w:after="158" w:line="259" w:lineRule="auto"/>
        <w:ind w:left="0" w:right="0" w:firstLine="0"/>
        <w:jc w:val="left"/>
      </w:pPr>
      <w:r>
        <w:rPr>
          <w:rFonts w:ascii="Calibri" w:eastAsia="Calibri" w:hAnsi="Calibri" w:cs="Calibri"/>
        </w:rPr>
        <w:t xml:space="preserve"> </w:t>
      </w:r>
    </w:p>
    <w:p w:rsidR="00611878" w:rsidRDefault="00672C55">
      <w:pPr>
        <w:spacing w:after="160" w:line="259" w:lineRule="auto"/>
        <w:ind w:left="0" w:right="0" w:firstLine="0"/>
        <w:jc w:val="left"/>
      </w:pPr>
      <w:r>
        <w:rPr>
          <w:rFonts w:ascii="Calibri" w:eastAsia="Calibri" w:hAnsi="Calibri" w:cs="Calibri"/>
        </w:rPr>
        <w:t xml:space="preserve"> </w:t>
      </w:r>
    </w:p>
    <w:p w:rsidR="00611878" w:rsidRDefault="00672C55">
      <w:pPr>
        <w:spacing w:after="158" w:line="259" w:lineRule="auto"/>
        <w:ind w:left="0" w:right="0" w:firstLine="0"/>
        <w:jc w:val="left"/>
      </w:pPr>
      <w:r>
        <w:rPr>
          <w:rFonts w:ascii="Calibri" w:eastAsia="Calibri" w:hAnsi="Calibri" w:cs="Calibri"/>
        </w:rPr>
        <w:t xml:space="preserve"> </w:t>
      </w:r>
    </w:p>
    <w:p w:rsidR="00611878" w:rsidRDefault="00672C55">
      <w:pPr>
        <w:spacing w:after="0" w:line="259" w:lineRule="auto"/>
        <w:ind w:left="0" w:right="0" w:firstLine="0"/>
        <w:jc w:val="left"/>
      </w:pPr>
      <w:r>
        <w:rPr>
          <w:rFonts w:ascii="Calibri" w:eastAsia="Calibri" w:hAnsi="Calibri" w:cs="Calibri"/>
        </w:rPr>
        <w:t xml:space="preserve"> </w:t>
      </w:r>
    </w:p>
    <w:p w:rsidR="00611878" w:rsidRDefault="00672C55">
      <w:pPr>
        <w:spacing w:after="0" w:line="259" w:lineRule="auto"/>
        <w:ind w:left="1702" w:right="0" w:firstLine="0"/>
        <w:jc w:val="left"/>
      </w:pPr>
      <w:r>
        <w:rPr>
          <w:noProof/>
        </w:rPr>
        <w:drawing>
          <wp:inline distT="0" distB="0" distL="0" distR="0">
            <wp:extent cx="5155692" cy="2900172"/>
            <wp:effectExtent l="0" t="0" r="0" b="0"/>
            <wp:docPr id="26171" name="Picture 26171"/>
            <wp:cNvGraphicFramePr/>
            <a:graphic xmlns:a="http://schemas.openxmlformats.org/drawingml/2006/main">
              <a:graphicData uri="http://schemas.openxmlformats.org/drawingml/2006/picture">
                <pic:pic xmlns:pic="http://schemas.openxmlformats.org/drawingml/2006/picture">
                  <pic:nvPicPr>
                    <pic:cNvPr id="26171" name="Picture 26171"/>
                    <pic:cNvPicPr/>
                  </pic:nvPicPr>
                  <pic:blipFill>
                    <a:blip r:embed="rId66"/>
                    <a:stretch>
                      <a:fillRect/>
                    </a:stretch>
                  </pic:blipFill>
                  <pic:spPr>
                    <a:xfrm>
                      <a:off x="0" y="0"/>
                      <a:ext cx="5155692" cy="2900172"/>
                    </a:xfrm>
                    <a:prstGeom prst="rect">
                      <a:avLst/>
                    </a:prstGeom>
                  </pic:spPr>
                </pic:pic>
              </a:graphicData>
            </a:graphic>
          </wp:inline>
        </w:drawing>
      </w:r>
    </w:p>
    <w:p w:rsidR="00611878" w:rsidRDefault="00672C55">
      <w:pPr>
        <w:spacing w:after="0" w:line="259" w:lineRule="auto"/>
        <w:ind w:left="1702" w:right="0" w:firstLine="0"/>
        <w:jc w:val="left"/>
      </w:pPr>
      <w:r>
        <w:rPr>
          <w:noProof/>
        </w:rPr>
        <w:lastRenderedPageBreak/>
        <w:drawing>
          <wp:inline distT="0" distB="0" distL="0" distR="0">
            <wp:extent cx="9572244" cy="5384292"/>
            <wp:effectExtent l="0" t="0" r="0" b="0"/>
            <wp:docPr id="26178" name="Picture 26178"/>
            <wp:cNvGraphicFramePr/>
            <a:graphic xmlns:a="http://schemas.openxmlformats.org/drawingml/2006/main">
              <a:graphicData uri="http://schemas.openxmlformats.org/drawingml/2006/picture">
                <pic:pic xmlns:pic="http://schemas.openxmlformats.org/drawingml/2006/picture">
                  <pic:nvPicPr>
                    <pic:cNvPr id="26178" name="Picture 26178"/>
                    <pic:cNvPicPr/>
                  </pic:nvPicPr>
                  <pic:blipFill>
                    <a:blip r:embed="rId67"/>
                    <a:stretch>
                      <a:fillRect/>
                    </a:stretch>
                  </pic:blipFill>
                  <pic:spPr>
                    <a:xfrm rot="5399999">
                      <a:off x="0" y="0"/>
                      <a:ext cx="9572244" cy="5384292"/>
                    </a:xfrm>
                    <a:prstGeom prst="rect">
                      <a:avLst/>
                    </a:prstGeom>
                  </pic:spPr>
                </pic:pic>
              </a:graphicData>
            </a:graphic>
          </wp:inline>
        </w:drawing>
      </w:r>
    </w:p>
    <w:p w:rsidR="00611878" w:rsidRDefault="00672C55">
      <w:pPr>
        <w:spacing w:after="28" w:line="259" w:lineRule="auto"/>
        <w:ind w:left="0" w:right="0" w:firstLine="0"/>
        <w:jc w:val="right"/>
      </w:pPr>
      <w:r>
        <w:rPr>
          <w:noProof/>
        </w:rPr>
        <w:lastRenderedPageBreak/>
        <w:drawing>
          <wp:inline distT="0" distB="0" distL="0" distR="0">
            <wp:extent cx="5551932" cy="3122676"/>
            <wp:effectExtent l="0" t="0" r="0" b="0"/>
            <wp:docPr id="26201" name="Picture 26201"/>
            <wp:cNvGraphicFramePr/>
            <a:graphic xmlns:a="http://schemas.openxmlformats.org/drawingml/2006/main">
              <a:graphicData uri="http://schemas.openxmlformats.org/drawingml/2006/picture">
                <pic:pic xmlns:pic="http://schemas.openxmlformats.org/drawingml/2006/picture">
                  <pic:nvPicPr>
                    <pic:cNvPr id="26201" name="Picture 26201"/>
                    <pic:cNvPicPr/>
                  </pic:nvPicPr>
                  <pic:blipFill>
                    <a:blip r:embed="rId68"/>
                    <a:stretch>
                      <a:fillRect/>
                    </a:stretch>
                  </pic:blipFill>
                  <pic:spPr>
                    <a:xfrm>
                      <a:off x="0" y="0"/>
                      <a:ext cx="5551932" cy="3122676"/>
                    </a:xfrm>
                    <a:prstGeom prst="rect">
                      <a:avLst/>
                    </a:prstGeom>
                  </pic:spPr>
                </pic:pic>
              </a:graphicData>
            </a:graphic>
          </wp:inline>
        </w:drawing>
      </w:r>
      <w:r>
        <w:rPr>
          <w:rFonts w:ascii="Calibri" w:eastAsia="Calibri" w:hAnsi="Calibri" w:cs="Calibri"/>
        </w:rPr>
        <w:t xml:space="preserve"> </w:t>
      </w:r>
    </w:p>
    <w:p w:rsidR="00611878" w:rsidRDefault="00672C55">
      <w:pPr>
        <w:tabs>
          <w:tab w:val="center" w:pos="708"/>
          <w:tab w:val="center" w:pos="1416"/>
          <w:tab w:val="center" w:pos="3480"/>
        </w:tabs>
        <w:spacing w:after="222" w:line="259" w:lineRule="auto"/>
        <w:ind w:left="-15" w:right="0" w:firstLine="0"/>
        <w:jc w:val="left"/>
      </w:pPr>
      <w:r>
        <w:rPr>
          <w:rFonts w:ascii="Calibri" w:eastAsia="Calibri" w:hAnsi="Calibri" w:cs="Calibri"/>
          <w:i/>
          <w:color w:val="44546A"/>
          <w:sz w:val="18"/>
        </w:rPr>
        <w:t xml:space="preserve"> </w:t>
      </w:r>
      <w:r>
        <w:rPr>
          <w:rFonts w:ascii="Calibri" w:eastAsia="Calibri" w:hAnsi="Calibri" w:cs="Calibri"/>
          <w:i/>
          <w:color w:val="44546A"/>
          <w:sz w:val="18"/>
        </w:rPr>
        <w:tab/>
        <w:t xml:space="preserve"> </w:t>
      </w:r>
      <w:r>
        <w:rPr>
          <w:rFonts w:ascii="Calibri" w:eastAsia="Calibri" w:hAnsi="Calibri" w:cs="Calibri"/>
          <w:i/>
          <w:color w:val="44546A"/>
          <w:sz w:val="18"/>
        </w:rPr>
        <w:tab/>
        <w:t xml:space="preserve"> </w:t>
      </w:r>
      <w:r>
        <w:rPr>
          <w:rFonts w:ascii="Calibri" w:eastAsia="Calibri" w:hAnsi="Calibri" w:cs="Calibri"/>
          <w:i/>
          <w:color w:val="44546A"/>
          <w:sz w:val="18"/>
        </w:rPr>
        <w:tab/>
        <w:t xml:space="preserve">Moduli per l'arruolamento volontario </w:t>
      </w:r>
    </w:p>
    <w:p w:rsidR="00611878" w:rsidRDefault="00672C55">
      <w:pPr>
        <w:spacing w:after="86" w:line="259" w:lineRule="auto"/>
        <w:ind w:left="0" w:right="931" w:firstLine="0"/>
        <w:jc w:val="right"/>
      </w:pPr>
      <w:r>
        <w:rPr>
          <w:noProof/>
        </w:rPr>
        <w:drawing>
          <wp:inline distT="0" distB="0" distL="0" distR="0">
            <wp:extent cx="4949952" cy="2784348"/>
            <wp:effectExtent l="0" t="0" r="0" b="0"/>
            <wp:docPr id="26203" name="Picture 26203"/>
            <wp:cNvGraphicFramePr/>
            <a:graphic xmlns:a="http://schemas.openxmlformats.org/drawingml/2006/main">
              <a:graphicData uri="http://schemas.openxmlformats.org/drawingml/2006/picture">
                <pic:pic xmlns:pic="http://schemas.openxmlformats.org/drawingml/2006/picture">
                  <pic:nvPicPr>
                    <pic:cNvPr id="26203" name="Picture 26203"/>
                    <pic:cNvPicPr/>
                  </pic:nvPicPr>
                  <pic:blipFill>
                    <a:blip r:embed="rId69"/>
                    <a:stretch>
                      <a:fillRect/>
                    </a:stretch>
                  </pic:blipFill>
                  <pic:spPr>
                    <a:xfrm>
                      <a:off x="0" y="0"/>
                      <a:ext cx="4949952" cy="2784348"/>
                    </a:xfrm>
                    <a:prstGeom prst="rect">
                      <a:avLst/>
                    </a:prstGeom>
                  </pic:spPr>
                </pic:pic>
              </a:graphicData>
            </a:graphic>
          </wp:inline>
        </w:drawing>
      </w: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144" w:line="259" w:lineRule="auto"/>
        <w:ind w:left="1702" w:right="0" w:firstLine="0"/>
        <w:jc w:val="left"/>
      </w:pPr>
      <w:r>
        <w:rPr>
          <w:b/>
          <w:sz w:val="24"/>
        </w:rPr>
        <w:t xml:space="preserve"> </w:t>
      </w:r>
    </w:p>
    <w:p w:rsidR="00611878" w:rsidRDefault="00672C55">
      <w:pPr>
        <w:spacing w:after="0" w:line="259" w:lineRule="auto"/>
        <w:ind w:left="1702" w:right="0" w:firstLine="0"/>
        <w:jc w:val="left"/>
      </w:pPr>
      <w:r>
        <w:rPr>
          <w:b/>
          <w:sz w:val="24"/>
        </w:rPr>
        <w:t xml:space="preserve"> </w:t>
      </w:r>
    </w:p>
    <w:p w:rsidR="00611878" w:rsidRDefault="00672C55">
      <w:pPr>
        <w:spacing w:after="192" w:line="259" w:lineRule="auto"/>
        <w:ind w:left="1702" w:right="0" w:firstLine="0"/>
        <w:jc w:val="left"/>
      </w:pPr>
      <w:r>
        <w:rPr>
          <w:b/>
          <w:sz w:val="24"/>
        </w:rPr>
        <w:t xml:space="preserve"> </w:t>
      </w:r>
    </w:p>
    <w:p w:rsidR="00611878" w:rsidRDefault="00672C55">
      <w:pPr>
        <w:pStyle w:val="Titolo2"/>
        <w:spacing w:after="177" w:line="265" w:lineRule="auto"/>
        <w:ind w:left="1712"/>
      </w:pPr>
      <w:r>
        <w:rPr>
          <w:sz w:val="24"/>
        </w:rPr>
        <w:lastRenderedPageBreak/>
        <w:t xml:space="preserve">FONTI </w:t>
      </w:r>
    </w:p>
    <w:p w:rsidR="00611878" w:rsidRDefault="00672C55">
      <w:pPr>
        <w:spacing w:after="144" w:line="259" w:lineRule="auto"/>
        <w:ind w:left="1697" w:right="0"/>
        <w:jc w:val="left"/>
      </w:pPr>
      <w:r>
        <w:rPr>
          <w:sz w:val="24"/>
          <w:u w:val="single" w:color="000000"/>
        </w:rPr>
        <w:t>Archivi:</w:t>
      </w:r>
      <w:r>
        <w:rPr>
          <w:sz w:val="24"/>
        </w:rPr>
        <w:t xml:space="preserve"> </w:t>
      </w:r>
    </w:p>
    <w:p w:rsidR="00611878" w:rsidRDefault="00672C55">
      <w:pPr>
        <w:spacing w:after="223" w:line="259" w:lineRule="auto"/>
        <w:ind w:left="1702" w:right="0" w:firstLine="0"/>
        <w:jc w:val="left"/>
      </w:pPr>
      <w:r>
        <w:rPr>
          <w:sz w:val="24"/>
        </w:rPr>
        <w:t xml:space="preserve"> </w:t>
      </w:r>
    </w:p>
    <w:p w:rsidR="00611878" w:rsidRDefault="00672C55">
      <w:pPr>
        <w:spacing w:after="223" w:line="259" w:lineRule="auto"/>
        <w:ind w:left="1352" w:right="707"/>
      </w:pPr>
      <w:r>
        <w:rPr>
          <w:sz w:val="24"/>
        </w:rPr>
        <w:t>1.</w:t>
      </w:r>
      <w:r>
        <w:rPr>
          <w:rFonts w:ascii="Arial" w:eastAsia="Arial" w:hAnsi="Arial" w:cs="Arial"/>
          <w:sz w:val="24"/>
        </w:rPr>
        <w:t xml:space="preserve"> </w:t>
      </w:r>
      <w:r>
        <w:rPr>
          <w:sz w:val="24"/>
        </w:rPr>
        <w:t xml:space="preserve">A.C.S. (Archivio Centrale dello Stato) – Roma </w:t>
      </w:r>
    </w:p>
    <w:p w:rsidR="00611878" w:rsidRDefault="00672C55" w:rsidP="004B3A00">
      <w:pPr>
        <w:numPr>
          <w:ilvl w:val="0"/>
          <w:numId w:val="33"/>
        </w:numPr>
        <w:spacing w:after="168" w:line="259" w:lineRule="auto"/>
        <w:ind w:right="707" w:hanging="360"/>
      </w:pPr>
      <w:r>
        <w:rPr>
          <w:sz w:val="24"/>
        </w:rPr>
        <w:t xml:space="preserve">CPC – Casellario Politico Centrale  </w:t>
      </w:r>
    </w:p>
    <w:p w:rsidR="00611878" w:rsidRDefault="00672C55" w:rsidP="004B3A00">
      <w:pPr>
        <w:numPr>
          <w:ilvl w:val="0"/>
          <w:numId w:val="33"/>
        </w:numPr>
        <w:spacing w:after="181" w:line="259" w:lineRule="auto"/>
        <w:ind w:right="707" w:hanging="360"/>
      </w:pPr>
      <w:r>
        <w:rPr>
          <w:sz w:val="24"/>
        </w:rPr>
        <w:t xml:space="preserve">CSIR – Corpo di Spedizione Italiana in Russia </w:t>
      </w:r>
    </w:p>
    <w:p w:rsidR="00611878" w:rsidRDefault="00672C55">
      <w:pPr>
        <w:spacing w:after="221" w:line="259" w:lineRule="auto"/>
        <w:ind w:left="0" w:right="0" w:firstLine="0"/>
        <w:jc w:val="left"/>
      </w:pPr>
      <w:r>
        <w:rPr>
          <w:sz w:val="24"/>
        </w:rPr>
        <w:t xml:space="preserve"> </w:t>
      </w:r>
    </w:p>
    <w:p w:rsidR="00611878" w:rsidRDefault="00672C55" w:rsidP="004B3A00">
      <w:pPr>
        <w:numPr>
          <w:ilvl w:val="1"/>
          <w:numId w:val="33"/>
        </w:numPr>
        <w:spacing w:after="223" w:line="259" w:lineRule="auto"/>
        <w:ind w:right="707" w:hanging="360"/>
      </w:pPr>
      <w:r>
        <w:rPr>
          <w:sz w:val="24"/>
        </w:rPr>
        <w:t xml:space="preserve">A.D.N. (Archivio Diaristico Nazionale) – Pieve S. Stefano (Ar) </w:t>
      </w:r>
    </w:p>
    <w:p w:rsidR="00611878" w:rsidRDefault="00672C55" w:rsidP="004B3A00">
      <w:pPr>
        <w:numPr>
          <w:ilvl w:val="1"/>
          <w:numId w:val="33"/>
        </w:numPr>
        <w:spacing w:after="210" w:line="259" w:lineRule="auto"/>
        <w:ind w:right="707" w:hanging="360"/>
      </w:pPr>
      <w:r>
        <w:rPr>
          <w:sz w:val="24"/>
        </w:rPr>
        <w:t xml:space="preserve">B. A. Bayreuth (Bundesarchiv) – Bayreuth </w:t>
      </w:r>
    </w:p>
    <w:p w:rsidR="00611878" w:rsidRDefault="00672C55">
      <w:pPr>
        <w:tabs>
          <w:tab w:val="center" w:pos="708"/>
          <w:tab w:val="center" w:pos="1743"/>
        </w:tabs>
        <w:spacing w:after="216" w:line="267" w:lineRule="auto"/>
        <w:ind w:left="0" w:right="0" w:firstLine="0"/>
        <w:jc w:val="left"/>
      </w:pPr>
      <w:r>
        <w:rPr>
          <w:sz w:val="24"/>
        </w:rPr>
        <w:t xml:space="preserve"> </w:t>
      </w:r>
      <w:r>
        <w:rPr>
          <w:sz w:val="24"/>
        </w:rPr>
        <w:tab/>
        <w:t xml:space="preserve"> </w:t>
      </w:r>
      <w:r>
        <w:rPr>
          <w:sz w:val="24"/>
        </w:rPr>
        <w:tab/>
      </w:r>
      <w:r>
        <w:rPr>
          <w:i/>
          <w:sz w:val="24"/>
        </w:rPr>
        <w:t xml:space="preserve">Fondi: </w:t>
      </w:r>
    </w:p>
    <w:p w:rsidR="00611878" w:rsidRDefault="00672C55" w:rsidP="004B3A00">
      <w:pPr>
        <w:numPr>
          <w:ilvl w:val="0"/>
          <w:numId w:val="33"/>
        </w:numPr>
        <w:spacing w:after="162" w:line="259" w:lineRule="auto"/>
        <w:ind w:right="707" w:hanging="360"/>
      </w:pPr>
      <w:r>
        <w:rPr>
          <w:sz w:val="24"/>
        </w:rPr>
        <w:t xml:space="preserve">Ost-Dok. 1 </w:t>
      </w:r>
    </w:p>
    <w:p w:rsidR="00611878" w:rsidRDefault="00672C55" w:rsidP="004B3A00">
      <w:pPr>
        <w:numPr>
          <w:ilvl w:val="0"/>
          <w:numId w:val="33"/>
        </w:numPr>
        <w:spacing w:after="164" w:line="259" w:lineRule="auto"/>
        <w:ind w:right="707" w:hanging="360"/>
      </w:pPr>
      <w:r>
        <w:rPr>
          <w:sz w:val="24"/>
        </w:rPr>
        <w:t xml:space="preserve">Ost-Dok. 2  </w:t>
      </w:r>
    </w:p>
    <w:p w:rsidR="00611878" w:rsidRDefault="00672C55" w:rsidP="004B3A00">
      <w:pPr>
        <w:numPr>
          <w:ilvl w:val="0"/>
          <w:numId w:val="33"/>
        </w:numPr>
        <w:spacing w:after="179" w:line="259" w:lineRule="auto"/>
        <w:ind w:right="707" w:hanging="360"/>
      </w:pPr>
      <w:r>
        <w:rPr>
          <w:sz w:val="24"/>
        </w:rPr>
        <w:t xml:space="preserve">Ost-Dok. 3 </w:t>
      </w:r>
    </w:p>
    <w:p w:rsidR="00611878" w:rsidRDefault="00672C55">
      <w:pPr>
        <w:spacing w:after="222" w:line="259" w:lineRule="auto"/>
        <w:ind w:left="0" w:right="0" w:firstLine="0"/>
        <w:jc w:val="left"/>
      </w:pPr>
      <w:r>
        <w:rPr>
          <w:sz w:val="24"/>
        </w:rPr>
        <w:t xml:space="preserve"> </w:t>
      </w:r>
    </w:p>
    <w:p w:rsidR="00611878" w:rsidRDefault="00672C55" w:rsidP="004B3A00">
      <w:pPr>
        <w:numPr>
          <w:ilvl w:val="1"/>
          <w:numId w:val="33"/>
        </w:numPr>
        <w:spacing w:after="208" w:line="259" w:lineRule="auto"/>
        <w:ind w:right="707" w:hanging="360"/>
      </w:pPr>
      <w:r>
        <w:rPr>
          <w:sz w:val="24"/>
        </w:rPr>
        <w:t xml:space="preserve">B. A. Berlin Lichterfelde – Berlino </w:t>
      </w:r>
    </w:p>
    <w:p w:rsidR="00611878" w:rsidRDefault="00672C55">
      <w:pPr>
        <w:tabs>
          <w:tab w:val="center" w:pos="708"/>
          <w:tab w:val="center" w:pos="1703"/>
        </w:tabs>
        <w:spacing w:after="179" w:line="267" w:lineRule="auto"/>
        <w:ind w:left="0" w:right="0" w:firstLine="0"/>
        <w:jc w:val="left"/>
      </w:pPr>
      <w:r>
        <w:rPr>
          <w:sz w:val="24"/>
        </w:rPr>
        <w:t xml:space="preserve"> </w:t>
      </w:r>
      <w:r>
        <w:rPr>
          <w:sz w:val="24"/>
        </w:rPr>
        <w:tab/>
        <w:t xml:space="preserve"> </w:t>
      </w:r>
      <w:r>
        <w:rPr>
          <w:sz w:val="24"/>
        </w:rPr>
        <w:tab/>
      </w:r>
      <w:r>
        <w:rPr>
          <w:i/>
          <w:sz w:val="24"/>
        </w:rPr>
        <w:t xml:space="preserve">Fondi </w:t>
      </w:r>
    </w:p>
    <w:p w:rsidR="00611878" w:rsidRDefault="00672C55" w:rsidP="004B3A00">
      <w:pPr>
        <w:numPr>
          <w:ilvl w:val="0"/>
          <w:numId w:val="33"/>
        </w:numPr>
        <w:spacing w:line="366" w:lineRule="auto"/>
        <w:ind w:right="707" w:hanging="360"/>
      </w:pPr>
      <w:r>
        <w:rPr>
          <w:sz w:val="24"/>
        </w:rPr>
        <w:t>NY4036 -</w:t>
      </w:r>
      <w:r>
        <w:rPr>
          <w:rFonts w:ascii="Arial" w:eastAsia="Arial" w:hAnsi="Arial" w:cs="Arial"/>
          <w:sz w:val="24"/>
        </w:rPr>
        <w:t xml:space="preserve"> </w:t>
      </w:r>
      <w:r>
        <w:rPr>
          <w:sz w:val="24"/>
        </w:rPr>
        <w:t xml:space="preserve">R 90 </w:t>
      </w:r>
    </w:p>
    <w:p w:rsidR="00611878" w:rsidRDefault="00672C55" w:rsidP="004B3A00">
      <w:pPr>
        <w:numPr>
          <w:ilvl w:val="0"/>
          <w:numId w:val="33"/>
        </w:numPr>
        <w:spacing w:after="122" w:line="259" w:lineRule="auto"/>
        <w:ind w:right="707" w:hanging="360"/>
      </w:pPr>
      <w:r>
        <w:rPr>
          <w:sz w:val="24"/>
        </w:rPr>
        <w:t xml:space="preserve">R 55/619 </w:t>
      </w:r>
    </w:p>
    <w:p w:rsidR="00611878" w:rsidRDefault="00672C55" w:rsidP="004B3A00">
      <w:pPr>
        <w:numPr>
          <w:ilvl w:val="0"/>
          <w:numId w:val="33"/>
        </w:numPr>
        <w:spacing w:after="228" w:line="259" w:lineRule="auto"/>
        <w:ind w:right="707" w:hanging="360"/>
      </w:pPr>
      <w:r>
        <w:rPr>
          <w:sz w:val="24"/>
        </w:rPr>
        <w:t xml:space="preserve">R179 </w:t>
      </w:r>
    </w:p>
    <w:p w:rsidR="00611878" w:rsidRDefault="00672C55" w:rsidP="004B3A00">
      <w:pPr>
        <w:numPr>
          <w:ilvl w:val="1"/>
          <w:numId w:val="33"/>
        </w:numPr>
        <w:spacing w:after="208" w:line="259" w:lineRule="auto"/>
        <w:ind w:right="707" w:hanging="360"/>
      </w:pPr>
      <w:r>
        <w:rPr>
          <w:sz w:val="24"/>
        </w:rPr>
        <w:t xml:space="preserve">L.A. Berlin (Landesarchiv) – Berlino </w:t>
      </w:r>
    </w:p>
    <w:p w:rsidR="00611878" w:rsidRDefault="00672C55">
      <w:pPr>
        <w:tabs>
          <w:tab w:val="center" w:pos="708"/>
          <w:tab w:val="center" w:pos="1703"/>
        </w:tabs>
        <w:spacing w:after="214" w:line="267" w:lineRule="auto"/>
        <w:ind w:left="0" w:right="0" w:firstLine="0"/>
        <w:jc w:val="left"/>
      </w:pPr>
      <w:r>
        <w:rPr>
          <w:sz w:val="24"/>
        </w:rPr>
        <w:t xml:space="preserve"> </w:t>
      </w:r>
      <w:r>
        <w:rPr>
          <w:sz w:val="24"/>
        </w:rPr>
        <w:tab/>
        <w:t xml:space="preserve"> </w:t>
      </w:r>
      <w:r>
        <w:rPr>
          <w:sz w:val="24"/>
        </w:rPr>
        <w:tab/>
      </w:r>
      <w:r>
        <w:rPr>
          <w:i/>
          <w:sz w:val="24"/>
        </w:rPr>
        <w:t xml:space="preserve">Fondi </w:t>
      </w:r>
    </w:p>
    <w:p w:rsidR="00611878" w:rsidRDefault="00672C55" w:rsidP="004B3A00">
      <w:pPr>
        <w:numPr>
          <w:ilvl w:val="0"/>
          <w:numId w:val="33"/>
        </w:numPr>
        <w:spacing w:after="36" w:line="366" w:lineRule="auto"/>
        <w:ind w:right="707" w:hanging="360"/>
      </w:pPr>
      <w:r>
        <w:rPr>
          <w:sz w:val="24"/>
        </w:rPr>
        <w:t>3 Rep. 314 -</w:t>
      </w:r>
      <w:r>
        <w:rPr>
          <w:rFonts w:ascii="Arial" w:eastAsia="Arial" w:hAnsi="Arial" w:cs="Arial"/>
          <w:sz w:val="24"/>
        </w:rPr>
        <w:t xml:space="preserve"> </w:t>
      </w:r>
      <w:r>
        <w:rPr>
          <w:rFonts w:ascii="Arial" w:eastAsia="Arial" w:hAnsi="Arial" w:cs="Arial"/>
          <w:sz w:val="24"/>
        </w:rPr>
        <w:tab/>
      </w:r>
      <w:r>
        <w:rPr>
          <w:sz w:val="24"/>
        </w:rPr>
        <w:t xml:space="preserve">A Rep. 005-007 </w:t>
      </w:r>
    </w:p>
    <w:p w:rsidR="00611878" w:rsidRDefault="00672C55" w:rsidP="004B3A00">
      <w:pPr>
        <w:numPr>
          <w:ilvl w:val="0"/>
          <w:numId w:val="33"/>
        </w:numPr>
        <w:spacing w:after="165" w:line="259" w:lineRule="auto"/>
        <w:ind w:right="707" w:hanging="360"/>
      </w:pPr>
      <w:r>
        <w:rPr>
          <w:sz w:val="24"/>
        </w:rPr>
        <w:t xml:space="preserve">B Rep. 209 </w:t>
      </w:r>
    </w:p>
    <w:p w:rsidR="00611878" w:rsidRDefault="00672C55" w:rsidP="004B3A00">
      <w:pPr>
        <w:numPr>
          <w:ilvl w:val="0"/>
          <w:numId w:val="33"/>
        </w:numPr>
        <w:spacing w:after="162" w:line="259" w:lineRule="auto"/>
        <w:ind w:right="707" w:hanging="360"/>
      </w:pPr>
      <w:r>
        <w:rPr>
          <w:sz w:val="24"/>
        </w:rPr>
        <w:t xml:space="preserve">B Rep. 214 </w:t>
      </w:r>
    </w:p>
    <w:p w:rsidR="00611878" w:rsidRDefault="00672C55" w:rsidP="004B3A00">
      <w:pPr>
        <w:numPr>
          <w:ilvl w:val="0"/>
          <w:numId w:val="33"/>
        </w:numPr>
        <w:spacing w:after="167" w:line="259" w:lineRule="auto"/>
        <w:ind w:right="707" w:hanging="360"/>
      </w:pPr>
      <w:r>
        <w:rPr>
          <w:sz w:val="24"/>
        </w:rPr>
        <w:t xml:space="preserve">C Rep 106 </w:t>
      </w:r>
    </w:p>
    <w:p w:rsidR="00611878" w:rsidRDefault="00672C55" w:rsidP="004B3A00">
      <w:pPr>
        <w:numPr>
          <w:ilvl w:val="0"/>
          <w:numId w:val="33"/>
        </w:numPr>
        <w:spacing w:after="125" w:line="259" w:lineRule="auto"/>
        <w:ind w:right="707" w:hanging="360"/>
      </w:pPr>
      <w:r>
        <w:rPr>
          <w:sz w:val="24"/>
        </w:rPr>
        <w:t xml:space="preserve">Rep. 214 Acc. 2740 </w:t>
      </w:r>
    </w:p>
    <w:p w:rsidR="00611878" w:rsidRDefault="00672C55" w:rsidP="004B3A00">
      <w:pPr>
        <w:numPr>
          <w:ilvl w:val="0"/>
          <w:numId w:val="33"/>
        </w:numPr>
        <w:spacing w:after="165" w:line="259" w:lineRule="auto"/>
        <w:ind w:right="707" w:hanging="360"/>
      </w:pPr>
      <w:r>
        <w:rPr>
          <w:sz w:val="24"/>
        </w:rPr>
        <w:t xml:space="preserve">F. Rep. 280 LAZ – Sammlung 1801 – 2200 </w:t>
      </w:r>
    </w:p>
    <w:p w:rsidR="00611878" w:rsidRDefault="00672C55" w:rsidP="004B3A00">
      <w:pPr>
        <w:numPr>
          <w:ilvl w:val="0"/>
          <w:numId w:val="33"/>
        </w:numPr>
        <w:spacing w:after="167" w:line="259" w:lineRule="auto"/>
        <w:ind w:right="707" w:hanging="360"/>
      </w:pPr>
      <w:r>
        <w:rPr>
          <w:sz w:val="24"/>
        </w:rPr>
        <w:t xml:space="preserve">Ort Nr. 2857 </w:t>
      </w:r>
    </w:p>
    <w:p w:rsidR="00611878" w:rsidRDefault="00672C55" w:rsidP="004B3A00">
      <w:pPr>
        <w:numPr>
          <w:ilvl w:val="0"/>
          <w:numId w:val="33"/>
        </w:numPr>
        <w:spacing w:line="259" w:lineRule="auto"/>
        <w:ind w:right="707" w:hanging="360"/>
      </w:pPr>
      <w:r>
        <w:rPr>
          <w:sz w:val="24"/>
        </w:rPr>
        <w:t xml:space="preserve">Polizeipräsidium Berlin-Buchholz </w:t>
      </w:r>
    </w:p>
    <w:p w:rsidR="00611878" w:rsidRDefault="00672C55">
      <w:pPr>
        <w:spacing w:after="220" w:line="259" w:lineRule="auto"/>
        <w:ind w:left="1212" w:right="0" w:firstLine="0"/>
        <w:jc w:val="left"/>
      </w:pPr>
      <w:r>
        <w:rPr>
          <w:sz w:val="24"/>
        </w:rPr>
        <w:t xml:space="preserve"> </w:t>
      </w:r>
    </w:p>
    <w:p w:rsidR="00611878" w:rsidRDefault="00672C55" w:rsidP="004B3A00">
      <w:pPr>
        <w:numPr>
          <w:ilvl w:val="1"/>
          <w:numId w:val="33"/>
        </w:numPr>
        <w:spacing w:after="212" w:line="259" w:lineRule="auto"/>
        <w:ind w:right="707" w:hanging="360"/>
      </w:pPr>
      <w:r>
        <w:rPr>
          <w:sz w:val="24"/>
        </w:rPr>
        <w:lastRenderedPageBreak/>
        <w:t xml:space="preserve">St.A. Leipzig (Stadtsarchiv) – Lipsia </w:t>
      </w:r>
    </w:p>
    <w:p w:rsidR="00611878" w:rsidRDefault="00672C55">
      <w:pPr>
        <w:tabs>
          <w:tab w:val="center" w:pos="708"/>
          <w:tab w:val="center" w:pos="1743"/>
        </w:tabs>
        <w:spacing w:after="214" w:line="267" w:lineRule="auto"/>
        <w:ind w:left="0" w:right="0" w:firstLine="0"/>
        <w:jc w:val="left"/>
      </w:pPr>
      <w:r>
        <w:rPr>
          <w:sz w:val="24"/>
        </w:rPr>
        <w:t xml:space="preserve"> </w:t>
      </w:r>
      <w:r>
        <w:rPr>
          <w:sz w:val="24"/>
        </w:rPr>
        <w:tab/>
        <w:t xml:space="preserve"> </w:t>
      </w:r>
      <w:r>
        <w:rPr>
          <w:sz w:val="24"/>
        </w:rPr>
        <w:tab/>
      </w:r>
      <w:r>
        <w:rPr>
          <w:i/>
          <w:sz w:val="24"/>
        </w:rPr>
        <w:t xml:space="preserve">Fondi: </w:t>
      </w:r>
    </w:p>
    <w:p w:rsidR="00611878" w:rsidRDefault="00672C55">
      <w:pPr>
        <w:tabs>
          <w:tab w:val="center" w:pos="708"/>
          <w:tab w:val="center" w:pos="2189"/>
        </w:tabs>
        <w:spacing w:after="224" w:line="259" w:lineRule="auto"/>
        <w:ind w:left="0" w:right="0" w:firstLine="0"/>
        <w:jc w:val="left"/>
      </w:pPr>
      <w:r>
        <w:rPr>
          <w:i/>
          <w:sz w:val="24"/>
        </w:rPr>
        <w:t xml:space="preserve"> </w:t>
      </w:r>
      <w:r>
        <w:rPr>
          <w:i/>
          <w:sz w:val="24"/>
        </w:rPr>
        <w:tab/>
        <w:t xml:space="preserve"> </w:t>
      </w:r>
      <w:r>
        <w:rPr>
          <w:i/>
          <w:sz w:val="24"/>
        </w:rPr>
        <w:tab/>
      </w:r>
      <w:r>
        <w:rPr>
          <w:sz w:val="24"/>
        </w:rPr>
        <w:t xml:space="preserve">ScA – Schulamt </w:t>
      </w:r>
    </w:p>
    <w:p w:rsidR="00611878" w:rsidRDefault="00672C55">
      <w:pPr>
        <w:tabs>
          <w:tab w:val="center" w:pos="708"/>
          <w:tab w:val="center" w:pos="2291"/>
        </w:tabs>
        <w:spacing w:after="222" w:line="259" w:lineRule="auto"/>
        <w:ind w:left="0" w:right="0" w:firstLine="0"/>
        <w:jc w:val="left"/>
      </w:pPr>
      <w:r>
        <w:rPr>
          <w:sz w:val="24"/>
        </w:rPr>
        <w:t xml:space="preserve"> </w:t>
      </w:r>
      <w:r>
        <w:rPr>
          <w:sz w:val="24"/>
        </w:rPr>
        <w:tab/>
        <w:t xml:space="preserve"> </w:t>
      </w:r>
      <w:r>
        <w:rPr>
          <w:sz w:val="24"/>
        </w:rPr>
        <w:tab/>
        <w:t xml:space="preserve">AGL 1401 e segg. </w:t>
      </w:r>
    </w:p>
    <w:p w:rsidR="00611878" w:rsidRDefault="00672C55">
      <w:pPr>
        <w:tabs>
          <w:tab w:val="center" w:pos="708"/>
          <w:tab w:val="center" w:pos="2222"/>
        </w:tabs>
        <w:spacing w:after="229" w:line="259" w:lineRule="auto"/>
        <w:ind w:left="0" w:right="0" w:firstLine="0"/>
        <w:jc w:val="left"/>
      </w:pPr>
      <w:r>
        <w:rPr>
          <w:sz w:val="24"/>
        </w:rPr>
        <w:t xml:space="preserve"> </w:t>
      </w:r>
      <w:r>
        <w:rPr>
          <w:sz w:val="24"/>
        </w:rPr>
        <w:tab/>
        <w:t xml:space="preserve"> </w:t>
      </w:r>
      <w:r>
        <w:rPr>
          <w:sz w:val="24"/>
        </w:rPr>
        <w:tab/>
        <w:t xml:space="preserve">JuA - Jugendamt </w:t>
      </w:r>
    </w:p>
    <w:p w:rsidR="00611878" w:rsidRDefault="00672C55" w:rsidP="004B3A00">
      <w:pPr>
        <w:numPr>
          <w:ilvl w:val="1"/>
          <w:numId w:val="33"/>
        </w:numPr>
        <w:spacing w:after="216" w:line="259" w:lineRule="auto"/>
        <w:ind w:right="707" w:hanging="360"/>
      </w:pPr>
      <w:r>
        <w:rPr>
          <w:sz w:val="24"/>
        </w:rPr>
        <w:t xml:space="preserve">ASC – Archivio Storico della Camera dei Deputati  </w:t>
      </w:r>
    </w:p>
    <w:p w:rsidR="00611878" w:rsidRDefault="00672C55">
      <w:pPr>
        <w:spacing w:after="154" w:line="267" w:lineRule="auto"/>
        <w:ind w:left="1243" w:right="705"/>
      </w:pPr>
      <w:r>
        <w:rPr>
          <w:i/>
          <w:sz w:val="24"/>
        </w:rPr>
        <w:t xml:space="preserve">Fondi: </w:t>
      </w:r>
    </w:p>
    <w:p w:rsidR="00611878" w:rsidRDefault="00672C55">
      <w:pPr>
        <w:spacing w:after="47" w:line="366" w:lineRule="auto"/>
        <w:ind w:left="1222" w:right="1137"/>
      </w:pPr>
      <w:r>
        <w:rPr>
          <w:sz w:val="24"/>
        </w:rPr>
        <w:t xml:space="preserve">-Commissione Parlamentare d’Inchiesta sulle terre liberate e redente – 1920-1922 -Commissione Parlamentare d’Inchiesta sulle spese di guerra – Saggi e strumenti d’analisi </w:t>
      </w:r>
    </w:p>
    <w:p w:rsidR="00611878" w:rsidRDefault="00672C55">
      <w:pPr>
        <w:spacing w:after="144" w:line="259" w:lineRule="auto"/>
        <w:ind w:left="0"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1"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0" w:line="259" w:lineRule="auto"/>
        <w:ind w:left="1702" w:right="0" w:firstLine="0"/>
        <w:jc w:val="left"/>
      </w:pPr>
      <w:r>
        <w:rPr>
          <w:sz w:val="24"/>
        </w:rPr>
        <w:t xml:space="preserve"> </w:t>
      </w:r>
    </w:p>
    <w:p w:rsidR="00611878" w:rsidRDefault="00672C55">
      <w:pPr>
        <w:spacing w:after="144" w:line="259" w:lineRule="auto"/>
        <w:ind w:left="1702" w:right="0" w:firstLine="0"/>
        <w:jc w:val="left"/>
      </w:pPr>
      <w:r>
        <w:rPr>
          <w:sz w:val="24"/>
        </w:rPr>
        <w:t xml:space="preserve"> </w:t>
      </w:r>
    </w:p>
    <w:p w:rsidR="00611878" w:rsidRDefault="00672C55">
      <w:pPr>
        <w:spacing w:after="189" w:line="259" w:lineRule="auto"/>
        <w:ind w:left="1702" w:right="0" w:firstLine="0"/>
        <w:jc w:val="left"/>
      </w:pPr>
      <w:r>
        <w:rPr>
          <w:sz w:val="24"/>
        </w:rPr>
        <w:t xml:space="preserve"> </w:t>
      </w:r>
    </w:p>
    <w:p w:rsidR="00611878" w:rsidRDefault="00672C55">
      <w:pPr>
        <w:spacing w:after="144" w:line="259" w:lineRule="auto"/>
        <w:ind w:left="1697" w:right="0"/>
        <w:jc w:val="left"/>
      </w:pPr>
      <w:r>
        <w:rPr>
          <w:sz w:val="24"/>
          <w:u w:val="single" w:color="000000"/>
        </w:rPr>
        <w:lastRenderedPageBreak/>
        <w:t>Biblioteche:</w:t>
      </w:r>
      <w:r>
        <w:rPr>
          <w:sz w:val="24"/>
        </w:rPr>
        <w:t xml:space="preserve"> </w:t>
      </w:r>
    </w:p>
    <w:p w:rsidR="00611878" w:rsidRDefault="00672C55">
      <w:pPr>
        <w:spacing w:after="161" w:line="259" w:lineRule="auto"/>
        <w:ind w:left="1702" w:right="0" w:firstLine="0"/>
        <w:jc w:val="left"/>
      </w:pPr>
      <w:r>
        <w:rPr>
          <w:sz w:val="24"/>
        </w:rPr>
        <w:t xml:space="preserve"> </w:t>
      </w:r>
    </w:p>
    <w:p w:rsidR="00611878" w:rsidRDefault="00672C55" w:rsidP="004B3A00">
      <w:pPr>
        <w:numPr>
          <w:ilvl w:val="0"/>
          <w:numId w:val="34"/>
        </w:numPr>
        <w:spacing w:after="162" w:line="259" w:lineRule="auto"/>
        <w:ind w:right="707" w:hanging="434"/>
      </w:pPr>
      <w:r>
        <w:rPr>
          <w:sz w:val="24"/>
        </w:rPr>
        <w:t xml:space="preserve">Biblioteca F. Chabod – Roma  </w:t>
      </w:r>
    </w:p>
    <w:p w:rsidR="00611878" w:rsidRDefault="00672C55" w:rsidP="004B3A00">
      <w:pPr>
        <w:numPr>
          <w:ilvl w:val="0"/>
          <w:numId w:val="34"/>
        </w:numPr>
        <w:spacing w:after="160" w:line="259" w:lineRule="auto"/>
        <w:ind w:right="707" w:hanging="434"/>
      </w:pPr>
      <w:r>
        <w:rPr>
          <w:sz w:val="24"/>
        </w:rPr>
        <w:t xml:space="preserve">Biblioteca della Camera dei Deputati </w:t>
      </w:r>
    </w:p>
    <w:p w:rsidR="00611878" w:rsidRDefault="00672C55" w:rsidP="004B3A00">
      <w:pPr>
        <w:numPr>
          <w:ilvl w:val="0"/>
          <w:numId w:val="34"/>
        </w:numPr>
        <w:spacing w:after="190" w:line="259" w:lineRule="auto"/>
        <w:ind w:right="707" w:hanging="434"/>
      </w:pPr>
      <w:r>
        <w:rPr>
          <w:sz w:val="24"/>
        </w:rPr>
        <w:t xml:space="preserve">Biblioteca del Senato della Repubblica </w:t>
      </w:r>
    </w:p>
    <w:p w:rsidR="00611878" w:rsidRDefault="00672C55" w:rsidP="004B3A00">
      <w:pPr>
        <w:numPr>
          <w:ilvl w:val="0"/>
          <w:numId w:val="34"/>
        </w:numPr>
        <w:spacing w:after="191" w:line="259" w:lineRule="auto"/>
        <w:ind w:right="707" w:hanging="434"/>
      </w:pPr>
      <w:r>
        <w:rPr>
          <w:sz w:val="24"/>
        </w:rPr>
        <w:t xml:space="preserve">Casa Internazionale delle Donne – Roma </w:t>
      </w:r>
    </w:p>
    <w:p w:rsidR="00611878" w:rsidRDefault="00672C55" w:rsidP="004B3A00">
      <w:pPr>
        <w:numPr>
          <w:ilvl w:val="0"/>
          <w:numId w:val="34"/>
        </w:numPr>
        <w:spacing w:after="191" w:line="259" w:lineRule="auto"/>
        <w:ind w:right="707" w:hanging="434"/>
      </w:pPr>
      <w:r>
        <w:rPr>
          <w:sz w:val="24"/>
        </w:rPr>
        <w:t xml:space="preserve">Casa della Memoria e della Storia – Roma </w:t>
      </w:r>
    </w:p>
    <w:p w:rsidR="00611878" w:rsidRPr="000E485B" w:rsidRDefault="00672C55" w:rsidP="004B3A00">
      <w:pPr>
        <w:numPr>
          <w:ilvl w:val="0"/>
          <w:numId w:val="34"/>
        </w:numPr>
        <w:spacing w:after="191" w:line="259" w:lineRule="auto"/>
        <w:ind w:right="707" w:hanging="434"/>
        <w:rPr>
          <w:lang w:val="de-DE"/>
        </w:rPr>
      </w:pPr>
      <w:r w:rsidRPr="000E485B">
        <w:rPr>
          <w:sz w:val="24"/>
          <w:lang w:val="de-DE"/>
        </w:rPr>
        <w:t xml:space="preserve">D.H.I. (Deutsches Historisches Institut) – Roma </w:t>
      </w:r>
    </w:p>
    <w:p w:rsidR="00611878" w:rsidRDefault="00672C55" w:rsidP="004B3A00">
      <w:pPr>
        <w:numPr>
          <w:ilvl w:val="0"/>
          <w:numId w:val="35"/>
        </w:numPr>
        <w:spacing w:after="192" w:line="259" w:lineRule="auto"/>
        <w:ind w:right="707" w:hanging="358"/>
      </w:pPr>
      <w:r>
        <w:rPr>
          <w:sz w:val="24"/>
        </w:rPr>
        <w:t xml:space="preserve">Hannah Arendt Institut – Dresda </w:t>
      </w:r>
    </w:p>
    <w:p w:rsidR="00611878" w:rsidRDefault="00672C55" w:rsidP="004B3A00">
      <w:pPr>
        <w:numPr>
          <w:ilvl w:val="0"/>
          <w:numId w:val="35"/>
        </w:numPr>
        <w:spacing w:after="187" w:line="259" w:lineRule="auto"/>
        <w:ind w:right="707" w:hanging="358"/>
      </w:pPr>
      <w:r>
        <w:rPr>
          <w:sz w:val="24"/>
        </w:rPr>
        <w:t xml:space="preserve">Insmli (Instituti per la Storia della Resistenza) – Milano  </w:t>
      </w:r>
    </w:p>
    <w:p w:rsidR="00611878" w:rsidRDefault="00672C55" w:rsidP="004B3A00">
      <w:pPr>
        <w:numPr>
          <w:ilvl w:val="0"/>
          <w:numId w:val="35"/>
        </w:numPr>
        <w:spacing w:after="144" w:line="259" w:lineRule="auto"/>
        <w:ind w:right="707" w:hanging="358"/>
      </w:pPr>
      <w:r>
        <w:rPr>
          <w:sz w:val="24"/>
        </w:rPr>
        <w:t xml:space="preserve">Staatsbibliotek – Berlino  </w:t>
      </w:r>
    </w:p>
    <w:p w:rsidR="00611878" w:rsidRDefault="00672C55">
      <w:pPr>
        <w:spacing w:after="144" w:line="259" w:lineRule="auto"/>
        <w:ind w:left="1344" w:right="0" w:firstLine="0"/>
        <w:jc w:val="left"/>
      </w:pPr>
      <w:r>
        <w:rPr>
          <w:sz w:val="24"/>
        </w:rPr>
        <w:t xml:space="preserve"> </w:t>
      </w:r>
    </w:p>
    <w:p w:rsidR="00611878" w:rsidRDefault="00672C55">
      <w:pPr>
        <w:spacing w:after="144" w:line="259" w:lineRule="auto"/>
        <w:ind w:left="1344" w:right="0" w:firstLine="0"/>
        <w:jc w:val="left"/>
      </w:pPr>
      <w:r>
        <w:rPr>
          <w:sz w:val="24"/>
        </w:rPr>
        <w:t xml:space="preserve"> </w:t>
      </w:r>
    </w:p>
    <w:p w:rsidR="00611878" w:rsidRDefault="00672C55">
      <w:pPr>
        <w:spacing w:after="144" w:line="259" w:lineRule="auto"/>
        <w:ind w:left="1344" w:right="0" w:firstLine="0"/>
        <w:jc w:val="left"/>
      </w:pPr>
      <w:r>
        <w:rPr>
          <w:sz w:val="24"/>
        </w:rPr>
        <w:t xml:space="preserve"> </w:t>
      </w:r>
    </w:p>
    <w:p w:rsidR="00611878" w:rsidRDefault="00672C55">
      <w:pPr>
        <w:spacing w:after="144" w:line="259" w:lineRule="auto"/>
        <w:ind w:left="1344"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1"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0"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44" w:line="259" w:lineRule="auto"/>
        <w:ind w:left="1248" w:right="0" w:firstLine="0"/>
        <w:jc w:val="left"/>
      </w:pPr>
      <w:r>
        <w:rPr>
          <w:sz w:val="24"/>
        </w:rPr>
        <w:t xml:space="preserve"> </w:t>
      </w:r>
    </w:p>
    <w:p w:rsidR="00611878" w:rsidRDefault="00672C55">
      <w:pPr>
        <w:spacing w:after="189" w:line="259" w:lineRule="auto"/>
        <w:ind w:left="1248" w:right="0" w:firstLine="0"/>
        <w:jc w:val="left"/>
      </w:pPr>
      <w:r>
        <w:rPr>
          <w:sz w:val="24"/>
        </w:rPr>
        <w:t xml:space="preserve"> </w:t>
      </w:r>
    </w:p>
    <w:p w:rsidR="00611878" w:rsidRDefault="00672C55">
      <w:pPr>
        <w:spacing w:after="48" w:line="259" w:lineRule="auto"/>
        <w:ind w:left="1258" w:right="0"/>
        <w:jc w:val="left"/>
      </w:pPr>
      <w:r>
        <w:rPr>
          <w:sz w:val="24"/>
          <w:u w:val="single" w:color="000000"/>
        </w:rPr>
        <w:lastRenderedPageBreak/>
        <w:t>Bibliografia:</w:t>
      </w:r>
      <w:r>
        <w:rPr>
          <w:sz w:val="24"/>
        </w:rPr>
        <w:t xml:space="preserve"> </w:t>
      </w:r>
    </w:p>
    <w:p w:rsidR="00611878" w:rsidRDefault="00672C55">
      <w:pPr>
        <w:spacing w:after="68" w:line="259" w:lineRule="auto"/>
        <w:ind w:left="1248" w:right="0" w:firstLine="0"/>
        <w:jc w:val="left"/>
      </w:pPr>
      <w:r>
        <w:rPr>
          <w:sz w:val="24"/>
        </w:rPr>
        <w:t xml:space="preserve"> </w:t>
      </w:r>
    </w:p>
    <w:p w:rsidR="00611878" w:rsidRPr="000E485B" w:rsidRDefault="00672C55" w:rsidP="00B72269">
      <w:pPr>
        <w:numPr>
          <w:ilvl w:val="0"/>
          <w:numId w:val="36"/>
        </w:numPr>
        <w:tabs>
          <w:tab w:val="left" w:pos="1985"/>
        </w:tabs>
        <w:spacing w:after="120" w:line="259" w:lineRule="auto"/>
        <w:ind w:left="1985" w:right="707" w:hanging="709"/>
        <w:rPr>
          <w:lang w:val="en-GB"/>
        </w:rPr>
      </w:pPr>
      <w:r w:rsidRPr="000E485B">
        <w:rPr>
          <w:sz w:val="24"/>
          <w:lang w:val="en-GB"/>
        </w:rPr>
        <w:t xml:space="preserve">Albrecht-Carrié, France Europe and the two world war, Ginevra 1960 </w:t>
      </w:r>
    </w:p>
    <w:p w:rsidR="00611878" w:rsidRDefault="00672C55" w:rsidP="00B72269">
      <w:pPr>
        <w:numPr>
          <w:ilvl w:val="0"/>
          <w:numId w:val="36"/>
        </w:numPr>
        <w:tabs>
          <w:tab w:val="left" w:pos="1985"/>
        </w:tabs>
        <w:spacing w:after="120" w:line="259" w:lineRule="auto"/>
        <w:ind w:left="1985" w:right="707" w:hanging="709"/>
      </w:pPr>
      <w:r>
        <w:rPr>
          <w:sz w:val="24"/>
        </w:rPr>
        <w:t xml:space="preserve">H. Arendt, Le origini del totalitarismo, Einaudi, Milano 2004 </w:t>
      </w:r>
    </w:p>
    <w:p w:rsidR="00611878" w:rsidRPr="000E485B" w:rsidRDefault="00672C55" w:rsidP="00B72269">
      <w:pPr>
        <w:numPr>
          <w:ilvl w:val="0"/>
          <w:numId w:val="36"/>
        </w:numPr>
        <w:tabs>
          <w:tab w:val="left" w:pos="1985"/>
        </w:tabs>
        <w:spacing w:after="120" w:line="259" w:lineRule="auto"/>
        <w:ind w:left="1985" w:right="707" w:hanging="709"/>
        <w:rPr>
          <w:lang w:val="fr-FR"/>
        </w:rPr>
      </w:pPr>
      <w:r w:rsidRPr="000E485B">
        <w:rPr>
          <w:sz w:val="24"/>
          <w:lang w:val="fr-FR"/>
        </w:rPr>
        <w:t xml:space="preserve">Audoin-Rouzeau "L'enfant de l'ennemi", Paris 1995 </w:t>
      </w:r>
    </w:p>
    <w:p w:rsidR="00611878" w:rsidRPr="000E485B" w:rsidRDefault="00672C55" w:rsidP="00B72269">
      <w:pPr>
        <w:numPr>
          <w:ilvl w:val="0"/>
          <w:numId w:val="36"/>
        </w:numPr>
        <w:tabs>
          <w:tab w:val="left" w:pos="1985"/>
        </w:tabs>
        <w:spacing w:after="120" w:line="259" w:lineRule="auto"/>
        <w:ind w:left="1985" w:right="707" w:hanging="709"/>
        <w:rPr>
          <w:lang w:val="de-DE"/>
        </w:rPr>
      </w:pPr>
      <w:r w:rsidRPr="000E485B">
        <w:rPr>
          <w:sz w:val="24"/>
          <w:lang w:val="de-DE"/>
        </w:rPr>
        <w:t xml:space="preserve">Band, E., "Stadt und Kreis", Deutsche Kommunal Verlag, Berlino 1928  </w:t>
      </w:r>
    </w:p>
    <w:p w:rsidR="00611878" w:rsidRDefault="00672C55" w:rsidP="00B72269">
      <w:pPr>
        <w:numPr>
          <w:ilvl w:val="0"/>
          <w:numId w:val="36"/>
        </w:numPr>
        <w:tabs>
          <w:tab w:val="left" w:pos="1985"/>
        </w:tabs>
        <w:spacing w:after="120" w:line="259" w:lineRule="auto"/>
        <w:ind w:left="1985" w:right="707" w:hanging="709"/>
      </w:pPr>
      <w:r>
        <w:rPr>
          <w:sz w:val="24"/>
        </w:rPr>
        <w:t xml:space="preserve">Banti, A. M., "L´onore della Nazione", Einaudi, Torino 2005 </w:t>
      </w:r>
    </w:p>
    <w:p w:rsidR="00611878" w:rsidRDefault="00672C55" w:rsidP="00B72269">
      <w:pPr>
        <w:numPr>
          <w:ilvl w:val="0"/>
          <w:numId w:val="36"/>
        </w:numPr>
        <w:tabs>
          <w:tab w:val="left" w:pos="1985"/>
        </w:tabs>
        <w:spacing w:after="120" w:line="259" w:lineRule="auto"/>
        <w:ind w:left="1985" w:right="707" w:hanging="709"/>
      </w:pPr>
      <w:r w:rsidRPr="000E485B">
        <w:rPr>
          <w:sz w:val="24"/>
          <w:lang w:val="en-GB"/>
        </w:rPr>
        <w:t xml:space="preserve">L. Bauer, </w:t>
      </w:r>
      <w:r w:rsidRPr="000E485B">
        <w:rPr>
          <w:i/>
          <w:sz w:val="24"/>
          <w:lang w:val="en-GB"/>
        </w:rPr>
        <w:t>Transferred to Hadamar</w:t>
      </w:r>
      <w:r w:rsidRPr="000E485B">
        <w:rPr>
          <w:sz w:val="24"/>
          <w:lang w:val="en-GB"/>
        </w:rPr>
        <w:t xml:space="preserve">, Uta George (Ed.) </w:t>
      </w:r>
      <w:r>
        <w:rPr>
          <w:sz w:val="24"/>
        </w:rPr>
        <w:t xml:space="preserve">Kassel 2005 </w:t>
      </w:r>
    </w:p>
    <w:p w:rsidR="00611878" w:rsidRPr="000E485B" w:rsidRDefault="00672C55" w:rsidP="00B72269">
      <w:pPr>
        <w:numPr>
          <w:ilvl w:val="0"/>
          <w:numId w:val="36"/>
        </w:numPr>
        <w:tabs>
          <w:tab w:val="left" w:pos="1985"/>
        </w:tabs>
        <w:spacing w:after="120" w:line="314" w:lineRule="auto"/>
        <w:ind w:left="1985" w:right="707" w:hanging="709"/>
        <w:rPr>
          <w:lang w:val="de-DE"/>
        </w:rPr>
      </w:pPr>
      <w:r w:rsidRPr="000E485B">
        <w:rPr>
          <w:sz w:val="24"/>
          <w:lang w:val="de-DE"/>
        </w:rPr>
        <w:t xml:space="preserve">Baumann, Heusler, Kinder für den Führer – Der Lebensborn in München, Franz Schiermeier Verlag, Monaco 2013 </w:t>
      </w:r>
    </w:p>
    <w:p w:rsidR="00611878" w:rsidRPr="000E485B" w:rsidRDefault="00672C55" w:rsidP="00B72269">
      <w:pPr>
        <w:numPr>
          <w:ilvl w:val="0"/>
          <w:numId w:val="36"/>
        </w:numPr>
        <w:tabs>
          <w:tab w:val="left" w:pos="1985"/>
        </w:tabs>
        <w:spacing w:after="120" w:line="267" w:lineRule="auto"/>
        <w:ind w:left="1985" w:right="707" w:hanging="709"/>
        <w:rPr>
          <w:lang w:val="de-DE"/>
        </w:rPr>
      </w:pPr>
      <w:r w:rsidRPr="000E485B">
        <w:rPr>
          <w:sz w:val="24"/>
          <w:lang w:val="de-DE"/>
        </w:rPr>
        <w:t xml:space="preserve">S. Baumeister, </w:t>
      </w:r>
      <w:r w:rsidRPr="000E485B">
        <w:rPr>
          <w:i/>
          <w:sz w:val="24"/>
          <w:lang w:val="de-DE"/>
        </w:rPr>
        <w:t xml:space="preserve">NS-Führungskader-Rekrutierung und Ausbildung bis zum Begin des Zweiten Weltkrieg“, </w:t>
      </w:r>
      <w:r w:rsidRPr="000E485B">
        <w:rPr>
          <w:sz w:val="24"/>
          <w:lang w:val="de-DE"/>
        </w:rPr>
        <w:t xml:space="preserve">Hartung – Gorre Verlag, Costanza 1997 </w:t>
      </w:r>
    </w:p>
    <w:p w:rsidR="00611878" w:rsidRDefault="00672C55" w:rsidP="00B72269">
      <w:pPr>
        <w:numPr>
          <w:ilvl w:val="0"/>
          <w:numId w:val="36"/>
        </w:numPr>
        <w:tabs>
          <w:tab w:val="left" w:pos="1985"/>
        </w:tabs>
        <w:spacing w:after="120" w:line="259" w:lineRule="auto"/>
        <w:ind w:left="1985" w:right="707" w:hanging="709"/>
      </w:pPr>
      <w:r>
        <w:rPr>
          <w:sz w:val="24"/>
        </w:rPr>
        <w:t xml:space="preserve">Bendiscioli, M., "Neopaganesimo razzista", Morcelliana, Brescia 1937 </w:t>
      </w:r>
    </w:p>
    <w:p w:rsidR="00611878" w:rsidRPr="00D77858" w:rsidRDefault="00672C55" w:rsidP="00B72269">
      <w:pPr>
        <w:numPr>
          <w:ilvl w:val="0"/>
          <w:numId w:val="36"/>
        </w:numPr>
        <w:tabs>
          <w:tab w:val="left" w:pos="1985"/>
        </w:tabs>
        <w:spacing w:after="120" w:line="301" w:lineRule="auto"/>
        <w:ind w:left="1985" w:right="707" w:hanging="709"/>
      </w:pPr>
      <w:r>
        <w:rPr>
          <w:sz w:val="24"/>
        </w:rPr>
        <w:t>B. Bianchi Londra, 1943. La propaganda pacifista contro i bombardamenti di massa DEP n. 13-14/2010 11.</w:t>
      </w:r>
      <w:r>
        <w:rPr>
          <w:rFonts w:ascii="Arial" w:eastAsia="Arial" w:hAnsi="Arial" w:cs="Arial"/>
          <w:sz w:val="24"/>
        </w:rPr>
        <w:t xml:space="preserve"> </w:t>
      </w:r>
      <w:r>
        <w:rPr>
          <w:sz w:val="24"/>
        </w:rPr>
        <w:t xml:space="preserve">Boelcke, W. A., "La guerra è bella, Goebbels e la propaganda di guerra", Vallecchi editore, Firenze 1973 </w:t>
      </w:r>
    </w:p>
    <w:p w:rsidR="00611878" w:rsidRPr="00D77858" w:rsidRDefault="00672C55" w:rsidP="00B72269">
      <w:pPr>
        <w:pStyle w:val="Paragrafoelenco"/>
        <w:numPr>
          <w:ilvl w:val="0"/>
          <w:numId w:val="37"/>
        </w:numPr>
        <w:tabs>
          <w:tab w:val="left" w:pos="1985"/>
        </w:tabs>
        <w:spacing w:after="120" w:line="316" w:lineRule="auto"/>
        <w:ind w:left="1985" w:right="707" w:hanging="709"/>
        <w:rPr>
          <w:lang w:val="de-DE"/>
        </w:rPr>
      </w:pPr>
      <w:r w:rsidRPr="00D77858">
        <w:rPr>
          <w:sz w:val="24"/>
          <w:lang w:val="de-DE"/>
        </w:rPr>
        <w:t xml:space="preserve">Bonacker, M., "Goebbles'Mann beim Radio. Der Ns Propagandist Hans Fritzsche (1900-1953)" R. Oldenbourg Verlag Monaco 2007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Brechmann, T., "Jede dritte Frau", RoRoRo, Amburgo 1981 </w:t>
      </w:r>
    </w:p>
    <w:p w:rsidR="00611878" w:rsidRDefault="00672C55" w:rsidP="00B72269">
      <w:pPr>
        <w:numPr>
          <w:ilvl w:val="0"/>
          <w:numId w:val="37"/>
        </w:numPr>
        <w:tabs>
          <w:tab w:val="left" w:pos="1985"/>
        </w:tabs>
        <w:spacing w:after="120" w:line="313" w:lineRule="auto"/>
        <w:ind w:left="1985" w:right="707" w:hanging="709"/>
      </w:pPr>
      <w:r>
        <w:rPr>
          <w:sz w:val="24"/>
        </w:rPr>
        <w:t xml:space="preserve">Brownmiller, "Contro la nostra volontà. Uomini donne e violenza sessuale" Bompiani, Milano 1976 </w:t>
      </w:r>
    </w:p>
    <w:p w:rsidR="00611878" w:rsidRDefault="00672C55" w:rsidP="00B72269">
      <w:pPr>
        <w:numPr>
          <w:ilvl w:val="0"/>
          <w:numId w:val="37"/>
        </w:numPr>
        <w:tabs>
          <w:tab w:val="left" w:pos="1985"/>
        </w:tabs>
        <w:spacing w:after="120" w:line="267" w:lineRule="auto"/>
        <w:ind w:left="1985" w:right="707" w:hanging="709"/>
      </w:pPr>
      <w:r>
        <w:rPr>
          <w:sz w:val="24"/>
        </w:rPr>
        <w:t xml:space="preserve">Bourke, J., </w:t>
      </w:r>
      <w:r>
        <w:rPr>
          <w:i/>
          <w:sz w:val="24"/>
        </w:rPr>
        <w:t>Stupro, storia della violenza sessuale</w:t>
      </w:r>
      <w:r>
        <w:rPr>
          <w:sz w:val="24"/>
        </w:rPr>
        <w:t xml:space="preserve">, Laterza, Bari 2011 </w:t>
      </w:r>
    </w:p>
    <w:p w:rsidR="00611878" w:rsidRPr="000E485B" w:rsidRDefault="00672C55" w:rsidP="00B72269">
      <w:pPr>
        <w:numPr>
          <w:ilvl w:val="0"/>
          <w:numId w:val="37"/>
        </w:numPr>
        <w:tabs>
          <w:tab w:val="left" w:pos="1985"/>
        </w:tabs>
        <w:spacing w:after="120" w:line="259" w:lineRule="auto"/>
        <w:ind w:left="1985" w:right="707" w:hanging="709"/>
        <w:rPr>
          <w:lang w:val="en-GB"/>
        </w:rPr>
      </w:pPr>
      <w:r w:rsidRPr="000E485B">
        <w:rPr>
          <w:sz w:val="24"/>
          <w:lang w:val="en-GB"/>
        </w:rPr>
        <w:t xml:space="preserve">Charpenter, C. </w:t>
      </w:r>
      <w:r w:rsidRPr="000E485B">
        <w:rPr>
          <w:i/>
          <w:sz w:val="24"/>
          <w:lang w:val="en-GB"/>
        </w:rPr>
        <w:t>Born of war</w:t>
      </w:r>
      <w:r w:rsidRPr="000E485B">
        <w:rPr>
          <w:sz w:val="24"/>
          <w:lang w:val="en-GB"/>
        </w:rPr>
        <w:t xml:space="preserve">, USA 2007 </w:t>
      </w:r>
    </w:p>
    <w:p w:rsidR="00611878" w:rsidRDefault="00672C55" w:rsidP="00B72269">
      <w:pPr>
        <w:numPr>
          <w:ilvl w:val="0"/>
          <w:numId w:val="37"/>
        </w:numPr>
        <w:tabs>
          <w:tab w:val="left" w:pos="1985"/>
        </w:tabs>
        <w:spacing w:after="120" w:line="267" w:lineRule="auto"/>
        <w:ind w:left="1985" w:right="707" w:hanging="709"/>
      </w:pPr>
      <w:r>
        <w:rPr>
          <w:sz w:val="24"/>
        </w:rPr>
        <w:t xml:space="preserve">Chang. I., </w:t>
      </w:r>
      <w:r>
        <w:rPr>
          <w:i/>
          <w:sz w:val="24"/>
        </w:rPr>
        <w:t>Lo stupro di Nanchino. L'olocausto dimenticato della II guerra mondiale</w:t>
      </w:r>
      <w:r>
        <w:rPr>
          <w:sz w:val="24"/>
        </w:rPr>
        <w:t xml:space="preserve">, Corbaccio, Milano 2000 </w:t>
      </w:r>
    </w:p>
    <w:p w:rsidR="00611878" w:rsidRDefault="00672C55" w:rsidP="00B72269">
      <w:pPr>
        <w:numPr>
          <w:ilvl w:val="0"/>
          <w:numId w:val="37"/>
        </w:numPr>
        <w:tabs>
          <w:tab w:val="left" w:pos="1985"/>
        </w:tabs>
        <w:spacing w:after="120" w:line="259" w:lineRule="auto"/>
        <w:ind w:left="1985" w:right="707" w:hanging="709"/>
      </w:pPr>
      <w:r>
        <w:rPr>
          <w:sz w:val="24"/>
        </w:rPr>
        <w:t xml:space="preserve">N. Chomsky, </w:t>
      </w:r>
      <w:r>
        <w:rPr>
          <w:i/>
          <w:sz w:val="24"/>
        </w:rPr>
        <w:t>Il potere dei media</w:t>
      </w:r>
      <w:r>
        <w:rPr>
          <w:sz w:val="24"/>
        </w:rPr>
        <w:t xml:space="preserve">, Vallecchi Editore 1994 </w:t>
      </w:r>
    </w:p>
    <w:p w:rsidR="00611878" w:rsidRDefault="00672C55" w:rsidP="00B72269">
      <w:pPr>
        <w:numPr>
          <w:ilvl w:val="0"/>
          <w:numId w:val="37"/>
        </w:numPr>
        <w:tabs>
          <w:tab w:val="left" w:pos="1985"/>
        </w:tabs>
        <w:spacing w:after="120" w:line="267" w:lineRule="auto"/>
        <w:ind w:left="1985" w:right="707" w:hanging="709"/>
      </w:pPr>
      <w:r>
        <w:rPr>
          <w:sz w:val="24"/>
        </w:rPr>
        <w:t xml:space="preserve">V. Ciuikov, </w:t>
      </w:r>
      <w:r>
        <w:rPr>
          <w:i/>
          <w:sz w:val="24"/>
        </w:rPr>
        <w:t>La Battaglia di Stalingrado - il racconto del Generale che ha sconfitto i nazisti</w:t>
      </w:r>
      <w:r>
        <w:rPr>
          <w:sz w:val="24"/>
        </w:rPr>
        <w:t xml:space="preserve">, Res Gestae, Milano 2012, </w:t>
      </w:r>
    </w:p>
    <w:p w:rsidR="00611878" w:rsidRDefault="00672C55" w:rsidP="00B72269">
      <w:pPr>
        <w:numPr>
          <w:ilvl w:val="0"/>
          <w:numId w:val="37"/>
        </w:numPr>
        <w:tabs>
          <w:tab w:val="left" w:pos="1985"/>
        </w:tabs>
        <w:spacing w:after="120" w:line="267" w:lineRule="auto"/>
        <w:ind w:left="1985" w:right="705" w:hanging="709"/>
      </w:pPr>
      <w:r w:rsidRPr="00D77858">
        <w:rPr>
          <w:sz w:val="24"/>
        </w:rPr>
        <w:t xml:space="preserve">Comitato Regionale per le celebrazioni del 50° anniversario della Resistenza e della Liberazione - Emilia Romagna, </w:t>
      </w:r>
      <w:r w:rsidRPr="00D77858">
        <w:rPr>
          <w:i/>
          <w:sz w:val="24"/>
        </w:rPr>
        <w:t xml:space="preserve">Catalogo della mostra La guerra sui muri - Manifesti 1943/45 </w:t>
      </w:r>
    </w:p>
    <w:p w:rsidR="00611878" w:rsidRPr="000E485B" w:rsidRDefault="00672C55" w:rsidP="00B72269">
      <w:pPr>
        <w:numPr>
          <w:ilvl w:val="0"/>
          <w:numId w:val="37"/>
        </w:numPr>
        <w:tabs>
          <w:tab w:val="left" w:pos="1985"/>
        </w:tabs>
        <w:spacing w:after="120" w:line="267" w:lineRule="auto"/>
        <w:ind w:left="1985" w:right="707" w:hanging="709"/>
        <w:rPr>
          <w:lang w:val="fr-FR"/>
        </w:rPr>
      </w:pPr>
      <w:r w:rsidRPr="000E485B">
        <w:rPr>
          <w:sz w:val="24"/>
          <w:lang w:val="fr-FR"/>
        </w:rPr>
        <w:t xml:space="preserve">Cuquery-Vidrovitch, </w:t>
      </w:r>
      <w:r w:rsidRPr="000E485B">
        <w:rPr>
          <w:i/>
          <w:sz w:val="24"/>
          <w:lang w:val="fr-FR"/>
        </w:rPr>
        <w:t>Des Victimes oubliées du nazisme – Les noirs et l’Allemagne dans la première moitié du XX</w:t>
      </w:r>
      <w:r w:rsidRPr="000E485B">
        <w:rPr>
          <w:i/>
          <w:sz w:val="24"/>
          <w:vertAlign w:val="superscript"/>
          <w:lang w:val="fr-FR"/>
        </w:rPr>
        <w:t>e</w:t>
      </w:r>
      <w:r w:rsidRPr="000E485B">
        <w:rPr>
          <w:i/>
          <w:sz w:val="24"/>
          <w:lang w:val="fr-FR"/>
        </w:rPr>
        <w:t xml:space="preserve"> siècle</w:t>
      </w:r>
      <w:r w:rsidRPr="000E485B">
        <w:rPr>
          <w:sz w:val="24"/>
          <w:lang w:val="fr-FR"/>
        </w:rPr>
        <w:t>, Le cherche midi, Parigi 2007</w:t>
      </w:r>
      <w:r w:rsidRPr="000E485B">
        <w:rPr>
          <w:i/>
          <w:sz w:val="24"/>
          <w:lang w:val="fr-FR"/>
        </w:rPr>
        <w:t xml:space="preserve">  </w:t>
      </w:r>
    </w:p>
    <w:p w:rsidR="00611878" w:rsidRDefault="00672C55" w:rsidP="00B72269">
      <w:pPr>
        <w:numPr>
          <w:ilvl w:val="0"/>
          <w:numId w:val="37"/>
        </w:numPr>
        <w:tabs>
          <w:tab w:val="left" w:pos="1985"/>
        </w:tabs>
        <w:spacing w:after="120" w:line="259" w:lineRule="auto"/>
        <w:ind w:left="1985" w:right="707" w:hanging="709"/>
      </w:pPr>
      <w:r>
        <w:rPr>
          <w:sz w:val="24"/>
        </w:rPr>
        <w:t xml:space="preserve">C. Corbin, (a cura di), </w:t>
      </w:r>
      <w:r>
        <w:rPr>
          <w:i/>
          <w:sz w:val="24"/>
        </w:rPr>
        <w:t>La violenza sessuale nella storia</w:t>
      </w:r>
      <w:r>
        <w:rPr>
          <w:sz w:val="24"/>
        </w:rPr>
        <w:t xml:space="preserve">, Laterza, Roma Bari, 1992 </w:t>
      </w:r>
    </w:p>
    <w:p w:rsidR="00611878" w:rsidRDefault="00672C55" w:rsidP="00B72269">
      <w:pPr>
        <w:numPr>
          <w:ilvl w:val="0"/>
          <w:numId w:val="37"/>
        </w:numPr>
        <w:tabs>
          <w:tab w:val="left" w:pos="1985"/>
        </w:tabs>
        <w:spacing w:after="120" w:line="314" w:lineRule="auto"/>
        <w:ind w:left="1985" w:right="707" w:hanging="709"/>
      </w:pPr>
      <w:r>
        <w:rPr>
          <w:sz w:val="24"/>
        </w:rPr>
        <w:lastRenderedPageBreak/>
        <w:t>P. Craveri, G. Quagliariello</w:t>
      </w:r>
      <w:r>
        <w:rPr>
          <w:i/>
          <w:sz w:val="24"/>
        </w:rPr>
        <w:t>, La Seconda Guerra Mondiale e la sua Memoria</w:t>
      </w:r>
      <w:r>
        <w:rPr>
          <w:sz w:val="24"/>
        </w:rPr>
        <w:t xml:space="preserve">, Rubettino, Soveria Mannelli 2006 </w:t>
      </w:r>
    </w:p>
    <w:p w:rsidR="00611878" w:rsidRDefault="00672C55" w:rsidP="00B72269">
      <w:pPr>
        <w:numPr>
          <w:ilvl w:val="0"/>
          <w:numId w:val="37"/>
        </w:numPr>
        <w:tabs>
          <w:tab w:val="left" w:pos="1985"/>
        </w:tabs>
        <w:spacing w:after="120" w:line="267" w:lineRule="auto"/>
        <w:ind w:left="1985" w:right="707" w:hanging="709"/>
      </w:pPr>
      <w:r>
        <w:rPr>
          <w:sz w:val="24"/>
        </w:rPr>
        <w:t xml:space="preserve">G. De Luna, </w:t>
      </w:r>
      <w:r>
        <w:rPr>
          <w:i/>
          <w:sz w:val="24"/>
        </w:rPr>
        <w:t>Il corpo del nemico ucciso. Violenza e morte nella guerra contemporanea</w:t>
      </w:r>
      <w:r>
        <w:rPr>
          <w:sz w:val="24"/>
        </w:rPr>
        <w:t xml:space="preserve">, Einaudi, Torino 2006 </w:t>
      </w:r>
    </w:p>
    <w:p w:rsidR="00611878" w:rsidRDefault="00672C55" w:rsidP="00B72269">
      <w:pPr>
        <w:numPr>
          <w:ilvl w:val="0"/>
          <w:numId w:val="37"/>
        </w:numPr>
        <w:tabs>
          <w:tab w:val="left" w:pos="1985"/>
        </w:tabs>
        <w:spacing w:after="120" w:line="267" w:lineRule="auto"/>
        <w:ind w:left="1985" w:right="707" w:hanging="709"/>
      </w:pPr>
      <w:r>
        <w:rPr>
          <w:i/>
          <w:sz w:val="24"/>
        </w:rPr>
        <w:t>Donne contro la guerra - atti della Conferenza negli USA sulla situazione jugoslava del marzo 1993</w:t>
      </w:r>
      <w:r>
        <w:rPr>
          <w:sz w:val="24"/>
        </w:rPr>
        <w:t xml:space="preserve"> - , Il Pioppo, Palermo 1996 </w:t>
      </w:r>
    </w:p>
    <w:p w:rsidR="00611878" w:rsidRPr="000E485B" w:rsidRDefault="00672C55" w:rsidP="00B72269">
      <w:pPr>
        <w:numPr>
          <w:ilvl w:val="0"/>
          <w:numId w:val="37"/>
        </w:numPr>
        <w:tabs>
          <w:tab w:val="left" w:pos="1985"/>
        </w:tabs>
        <w:spacing w:after="120" w:line="310" w:lineRule="auto"/>
        <w:ind w:left="1985" w:right="707" w:hanging="709"/>
        <w:rPr>
          <w:lang w:val="fr-FR"/>
        </w:rPr>
      </w:pPr>
      <w:r w:rsidRPr="000E485B">
        <w:rPr>
          <w:sz w:val="24"/>
          <w:lang w:val="fr-FR"/>
        </w:rPr>
        <w:t xml:space="preserve">J. Driencourt, </w:t>
      </w:r>
      <w:r w:rsidRPr="000E485B">
        <w:rPr>
          <w:i/>
          <w:sz w:val="24"/>
          <w:lang w:val="fr-FR"/>
        </w:rPr>
        <w:t>La Propagande nouvelle force politique</w:t>
      </w:r>
      <w:r w:rsidRPr="000E485B">
        <w:rPr>
          <w:sz w:val="24"/>
          <w:lang w:val="fr-FR"/>
        </w:rPr>
        <w:t xml:space="preserve">, Librairie Armand Colin, Parigi 1950 </w:t>
      </w:r>
    </w:p>
    <w:p w:rsidR="00611878" w:rsidRPr="000E485B" w:rsidRDefault="00672C55" w:rsidP="00B72269">
      <w:pPr>
        <w:numPr>
          <w:ilvl w:val="0"/>
          <w:numId w:val="37"/>
        </w:numPr>
        <w:tabs>
          <w:tab w:val="left" w:pos="1985"/>
        </w:tabs>
        <w:spacing w:after="120" w:line="267" w:lineRule="auto"/>
        <w:ind w:left="1985" w:right="707" w:hanging="709"/>
        <w:rPr>
          <w:lang w:val="de-DE"/>
        </w:rPr>
      </w:pPr>
      <w:r w:rsidRPr="000E485B">
        <w:rPr>
          <w:sz w:val="24"/>
          <w:lang w:val="de-DE"/>
        </w:rPr>
        <w:t xml:space="preserve">Drolshagen, </w:t>
      </w:r>
      <w:r w:rsidRPr="000E485B">
        <w:rPr>
          <w:i/>
          <w:sz w:val="24"/>
          <w:lang w:val="de-DE"/>
        </w:rPr>
        <w:t>Nicht ungeschoren davonkommen – Die geliebten der Wehrmachtssoldaten im besetzten Europa</w:t>
      </w:r>
      <w:r w:rsidRPr="000E485B">
        <w:rPr>
          <w:sz w:val="24"/>
          <w:lang w:val="de-DE"/>
        </w:rPr>
        <w:t xml:space="preserve">, Propyläen Taschenbuch, Amburgo 2000 </w:t>
      </w:r>
    </w:p>
    <w:p w:rsidR="00611878" w:rsidRPr="000E485B" w:rsidRDefault="00672C55" w:rsidP="00B72269">
      <w:pPr>
        <w:numPr>
          <w:ilvl w:val="0"/>
          <w:numId w:val="37"/>
        </w:numPr>
        <w:tabs>
          <w:tab w:val="left" w:pos="1985"/>
        </w:tabs>
        <w:spacing w:after="120" w:line="259" w:lineRule="auto"/>
        <w:ind w:left="1985" w:right="707" w:hanging="709"/>
        <w:rPr>
          <w:lang w:val="en-GB"/>
        </w:rPr>
      </w:pPr>
      <w:r w:rsidRPr="000E485B">
        <w:rPr>
          <w:sz w:val="24"/>
          <w:lang w:val="en-GB"/>
        </w:rPr>
        <w:t xml:space="preserve">Dufty, Red Storm on the Reich, Londra 1991 </w:t>
      </w:r>
    </w:p>
    <w:p w:rsidR="00611878" w:rsidRDefault="00672C55" w:rsidP="00B72269">
      <w:pPr>
        <w:numPr>
          <w:ilvl w:val="0"/>
          <w:numId w:val="37"/>
        </w:numPr>
        <w:tabs>
          <w:tab w:val="left" w:pos="1985"/>
        </w:tabs>
        <w:spacing w:after="120" w:line="267" w:lineRule="auto"/>
        <w:ind w:left="1985" w:right="707" w:hanging="709"/>
      </w:pPr>
      <w:r>
        <w:rPr>
          <w:sz w:val="24"/>
        </w:rPr>
        <w:t xml:space="preserve">G. Falabrino, </w:t>
      </w:r>
      <w:r>
        <w:rPr>
          <w:i/>
          <w:sz w:val="24"/>
        </w:rPr>
        <w:t>I comunisti mangiano i bambini - La storia dello slogan politico</w:t>
      </w:r>
      <w:r>
        <w:rPr>
          <w:sz w:val="24"/>
        </w:rPr>
        <w:t xml:space="preserve">, A. Vallardi, Garzanti, Milano 1994 </w:t>
      </w:r>
    </w:p>
    <w:p w:rsidR="00611878" w:rsidRDefault="00672C55" w:rsidP="00B72269">
      <w:pPr>
        <w:numPr>
          <w:ilvl w:val="0"/>
          <w:numId w:val="37"/>
        </w:numPr>
        <w:tabs>
          <w:tab w:val="left" w:pos="1985"/>
        </w:tabs>
        <w:spacing w:after="120" w:line="293" w:lineRule="auto"/>
        <w:ind w:left="1985" w:right="707" w:hanging="709"/>
      </w:pPr>
      <w:r>
        <w:rPr>
          <w:sz w:val="24"/>
        </w:rPr>
        <w:t xml:space="preserve">E. Fattorini, "Il colpo di grazia sessuale. Le violenze delle truppe nere in Renania negli anni Venti", in A. Bravo, Donne e uomini nelle guerre mondiali, Laterza, Roma Bari 1991, p 28 e segg. </w:t>
      </w:r>
    </w:p>
    <w:p w:rsidR="00611878" w:rsidRDefault="00672C55" w:rsidP="00B72269">
      <w:pPr>
        <w:numPr>
          <w:ilvl w:val="0"/>
          <w:numId w:val="37"/>
        </w:numPr>
        <w:tabs>
          <w:tab w:val="left" w:pos="1985"/>
        </w:tabs>
        <w:spacing w:after="120" w:line="316" w:lineRule="auto"/>
        <w:ind w:left="1985" w:right="707" w:hanging="709"/>
      </w:pPr>
      <w:r>
        <w:rPr>
          <w:sz w:val="24"/>
        </w:rPr>
        <w:t xml:space="preserve">Flores, M., "Stupri di guerra: la violenza di massa contro le donne nel 1900", Franco Angeli Editore, Milano 2010 </w:t>
      </w:r>
    </w:p>
    <w:p w:rsidR="00611878" w:rsidRDefault="00672C55" w:rsidP="00B72269">
      <w:pPr>
        <w:numPr>
          <w:ilvl w:val="0"/>
          <w:numId w:val="37"/>
        </w:numPr>
        <w:tabs>
          <w:tab w:val="left" w:pos="1985"/>
        </w:tabs>
        <w:spacing w:after="120" w:line="316" w:lineRule="auto"/>
        <w:ind w:left="1985" w:right="707" w:hanging="709"/>
      </w:pPr>
      <w:r>
        <w:rPr>
          <w:sz w:val="24"/>
        </w:rPr>
        <w:t xml:space="preserve">Fondazione Luigi Micheletti (a cura di), </w:t>
      </w:r>
      <w:r>
        <w:rPr>
          <w:i/>
          <w:sz w:val="24"/>
        </w:rPr>
        <w:t>1943-45 - L'immagine della Rsi nella      propaganda</w:t>
      </w:r>
      <w:r>
        <w:rPr>
          <w:sz w:val="24"/>
        </w:rPr>
        <w:t xml:space="preserve">, Nuove edizioni Gabriele Mazzotta, Milano 1985 </w:t>
      </w:r>
    </w:p>
    <w:p w:rsidR="00611878" w:rsidRPr="000E485B" w:rsidRDefault="00672C55" w:rsidP="00B72269">
      <w:pPr>
        <w:numPr>
          <w:ilvl w:val="0"/>
          <w:numId w:val="37"/>
        </w:numPr>
        <w:tabs>
          <w:tab w:val="left" w:pos="1985"/>
        </w:tabs>
        <w:spacing w:after="120" w:line="295" w:lineRule="auto"/>
        <w:ind w:left="1985" w:right="707" w:hanging="709"/>
        <w:rPr>
          <w:lang w:val="de-DE"/>
        </w:rPr>
      </w:pPr>
      <w:r w:rsidRPr="000E485B">
        <w:rPr>
          <w:sz w:val="24"/>
          <w:lang w:val="de-DE"/>
        </w:rPr>
        <w:t xml:space="preserve">N. Frei "Medizin und Gesundheitpolitik in der NS-Zeit", articolo contenuto in "Schriftenreihe der Vierteljahrshefte für Zeitgeschichte Sondernummer", R. Oldenburg Verlag, München 1991 </w:t>
      </w:r>
    </w:p>
    <w:p w:rsidR="00611878" w:rsidRDefault="00672C55" w:rsidP="00B72269">
      <w:pPr>
        <w:numPr>
          <w:ilvl w:val="0"/>
          <w:numId w:val="37"/>
        </w:numPr>
        <w:tabs>
          <w:tab w:val="left" w:pos="1985"/>
        </w:tabs>
        <w:spacing w:after="120" w:line="259" w:lineRule="auto"/>
        <w:ind w:left="1985" w:right="707" w:hanging="709"/>
      </w:pPr>
      <w:r>
        <w:rPr>
          <w:sz w:val="24"/>
        </w:rPr>
        <w:t xml:space="preserve">J. Friedrich, "La Germania bombardata", Mondadori, Milano 2005   </w:t>
      </w:r>
    </w:p>
    <w:p w:rsidR="00611878" w:rsidRDefault="00672C55" w:rsidP="00B72269">
      <w:pPr>
        <w:numPr>
          <w:ilvl w:val="0"/>
          <w:numId w:val="37"/>
        </w:numPr>
        <w:tabs>
          <w:tab w:val="left" w:pos="1985"/>
        </w:tabs>
        <w:spacing w:after="120" w:line="315" w:lineRule="auto"/>
        <w:ind w:left="1985" w:right="707" w:hanging="709"/>
      </w:pPr>
      <w:r>
        <w:rPr>
          <w:sz w:val="24"/>
        </w:rPr>
        <w:t xml:space="preserve">G. Galeotti, "Storia dell'aborto, i molti protagonisti e interessi di una lunga vicenda", Il Mulino, Bologna 2003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t xml:space="preserve">Galius, Vollhals, Mit Herz und Verstand – Protestantische Frauen im Wiederstand gegen die NS-Rassenpolitik, Dresda 2013 </w:t>
      </w:r>
    </w:p>
    <w:p w:rsidR="00611878" w:rsidRDefault="00672C55" w:rsidP="00B72269">
      <w:pPr>
        <w:numPr>
          <w:ilvl w:val="0"/>
          <w:numId w:val="37"/>
        </w:numPr>
        <w:tabs>
          <w:tab w:val="left" w:pos="1985"/>
        </w:tabs>
        <w:spacing w:after="120" w:line="259" w:lineRule="auto"/>
        <w:ind w:left="1985" w:right="707" w:hanging="709"/>
      </w:pPr>
      <w:r>
        <w:rPr>
          <w:sz w:val="24"/>
        </w:rPr>
        <w:t xml:space="preserve">G. Galli, "Hitler e il nazismo magico", Bur, Milano 2007 </w:t>
      </w:r>
    </w:p>
    <w:p w:rsidR="00611878" w:rsidRPr="000E485B" w:rsidRDefault="00672C55" w:rsidP="00B72269">
      <w:pPr>
        <w:numPr>
          <w:ilvl w:val="0"/>
          <w:numId w:val="37"/>
        </w:numPr>
        <w:tabs>
          <w:tab w:val="left" w:pos="1985"/>
        </w:tabs>
        <w:spacing w:after="120" w:line="259" w:lineRule="auto"/>
        <w:ind w:left="1985" w:right="707" w:hanging="709"/>
        <w:rPr>
          <w:lang w:val="en-GB"/>
        </w:rPr>
      </w:pPr>
      <w:r w:rsidRPr="000E485B">
        <w:rPr>
          <w:sz w:val="24"/>
          <w:lang w:val="en-GB"/>
        </w:rPr>
        <w:t xml:space="preserve">E. Gilboa, Media and Conflict, Transnational Publishers, New York 2002 </w:t>
      </w:r>
    </w:p>
    <w:p w:rsidR="00611878" w:rsidRPr="000E485B" w:rsidRDefault="00672C55" w:rsidP="00B72269">
      <w:pPr>
        <w:numPr>
          <w:ilvl w:val="0"/>
          <w:numId w:val="37"/>
        </w:numPr>
        <w:tabs>
          <w:tab w:val="left" w:pos="1985"/>
        </w:tabs>
        <w:spacing w:after="120" w:line="314" w:lineRule="auto"/>
        <w:ind w:left="1985" w:right="707" w:hanging="709"/>
        <w:rPr>
          <w:lang w:val="en-GB"/>
        </w:rPr>
      </w:pPr>
      <w:r w:rsidRPr="000E485B">
        <w:rPr>
          <w:sz w:val="24"/>
          <w:lang w:val="en-GB"/>
        </w:rPr>
        <w:t xml:space="preserve">C. Goeschel Suicide in Nazi Germany, Oxford University press, New York 2009, cap. 4 Wartime suicides, 1939-1945 </w:t>
      </w:r>
    </w:p>
    <w:p w:rsidR="00611878" w:rsidRDefault="00672C55" w:rsidP="00B72269">
      <w:pPr>
        <w:numPr>
          <w:ilvl w:val="0"/>
          <w:numId w:val="37"/>
        </w:numPr>
        <w:tabs>
          <w:tab w:val="left" w:pos="1985"/>
        </w:tabs>
        <w:spacing w:after="120" w:line="259" w:lineRule="auto"/>
        <w:ind w:left="1985" w:right="707" w:hanging="709"/>
      </w:pPr>
      <w:r>
        <w:rPr>
          <w:sz w:val="24"/>
        </w:rPr>
        <w:t xml:space="preserve">G. Grass, Discorso di un senza patria, Leonardo Editore, Milano 1990 </w:t>
      </w:r>
    </w:p>
    <w:p w:rsidR="00611878" w:rsidRDefault="00672C55" w:rsidP="00B72269">
      <w:pPr>
        <w:numPr>
          <w:ilvl w:val="0"/>
          <w:numId w:val="37"/>
        </w:numPr>
        <w:tabs>
          <w:tab w:val="left" w:pos="1985"/>
        </w:tabs>
        <w:spacing w:after="120" w:line="259" w:lineRule="auto"/>
        <w:ind w:left="1985" w:right="707" w:hanging="709"/>
      </w:pPr>
      <w:r>
        <w:rPr>
          <w:sz w:val="24"/>
        </w:rPr>
        <w:t xml:space="preserve">G. Grass, </w:t>
      </w:r>
      <w:r>
        <w:rPr>
          <w:i/>
          <w:sz w:val="24"/>
        </w:rPr>
        <w:t xml:space="preserve">Il mio secolo – cento racconti, </w:t>
      </w:r>
      <w:r>
        <w:rPr>
          <w:sz w:val="24"/>
        </w:rPr>
        <w:t xml:space="preserve">Einaudi, Torino 1999 </w:t>
      </w:r>
    </w:p>
    <w:p w:rsidR="00611878" w:rsidRDefault="00672C55" w:rsidP="00B72269">
      <w:pPr>
        <w:numPr>
          <w:ilvl w:val="0"/>
          <w:numId w:val="37"/>
        </w:numPr>
        <w:tabs>
          <w:tab w:val="left" w:pos="1985"/>
        </w:tabs>
        <w:spacing w:after="120" w:line="259" w:lineRule="auto"/>
        <w:ind w:left="1985" w:right="707" w:hanging="709"/>
      </w:pPr>
      <w:r>
        <w:rPr>
          <w:sz w:val="24"/>
        </w:rPr>
        <w:lastRenderedPageBreak/>
        <w:t xml:space="preserve">G. Grass, </w:t>
      </w:r>
      <w:r>
        <w:rPr>
          <w:i/>
          <w:sz w:val="24"/>
        </w:rPr>
        <w:t>Sbucciando la cipolla</w:t>
      </w:r>
      <w:r>
        <w:rPr>
          <w:sz w:val="24"/>
        </w:rPr>
        <w:t xml:space="preserve">, Einaudi, Torino 2012 </w:t>
      </w:r>
    </w:p>
    <w:p w:rsidR="00611878" w:rsidRPr="000E485B" w:rsidRDefault="00672C55" w:rsidP="00B72269">
      <w:pPr>
        <w:numPr>
          <w:ilvl w:val="0"/>
          <w:numId w:val="37"/>
        </w:numPr>
        <w:tabs>
          <w:tab w:val="left" w:pos="1985"/>
        </w:tabs>
        <w:spacing w:after="120" w:line="273" w:lineRule="auto"/>
        <w:ind w:left="1985" w:right="707" w:hanging="709"/>
        <w:rPr>
          <w:lang w:val="de-DE"/>
        </w:rPr>
      </w:pPr>
      <w:r w:rsidRPr="000E485B">
        <w:rPr>
          <w:sz w:val="24"/>
          <w:lang w:val="de-DE"/>
        </w:rPr>
        <w:t xml:space="preserve">G. Grau, Homosexualität in der NS-Zeit Dokumente einer Diskriminierung und Verfolgung, FischenvTaschenbuch Verlag, Francoforte sul Meno, 1993 </w:t>
      </w:r>
    </w:p>
    <w:p w:rsidR="00611878" w:rsidRDefault="00672C55" w:rsidP="00B72269">
      <w:pPr>
        <w:numPr>
          <w:ilvl w:val="0"/>
          <w:numId w:val="37"/>
        </w:numPr>
        <w:tabs>
          <w:tab w:val="left" w:pos="1985"/>
        </w:tabs>
        <w:spacing w:after="120" w:line="259" w:lineRule="auto"/>
        <w:ind w:left="1985" w:right="707" w:hanging="709"/>
      </w:pPr>
      <w:r>
        <w:rPr>
          <w:sz w:val="24"/>
        </w:rPr>
        <w:t xml:space="preserve">K. Guenivet, "Stupri di guerra" Luca Sossella Editore, Roma 2002 </w:t>
      </w:r>
    </w:p>
    <w:p w:rsidR="00611878" w:rsidRDefault="00672C55" w:rsidP="00B72269">
      <w:pPr>
        <w:numPr>
          <w:ilvl w:val="0"/>
          <w:numId w:val="37"/>
        </w:numPr>
        <w:tabs>
          <w:tab w:val="left" w:pos="1985"/>
        </w:tabs>
        <w:spacing w:after="120" w:line="259" w:lineRule="auto"/>
        <w:ind w:left="1985" w:right="707" w:hanging="709"/>
      </w:pPr>
      <w:r>
        <w:rPr>
          <w:sz w:val="24"/>
        </w:rPr>
        <w:t xml:space="preserve">Gribaudi, G., "Guerra totale", Bollati Beringhieri, Torino, 2005 </w:t>
      </w:r>
    </w:p>
    <w:p w:rsidR="00611878" w:rsidRDefault="00672C55" w:rsidP="00B72269">
      <w:pPr>
        <w:numPr>
          <w:ilvl w:val="0"/>
          <w:numId w:val="37"/>
        </w:numPr>
        <w:tabs>
          <w:tab w:val="left" w:pos="1985"/>
        </w:tabs>
        <w:spacing w:after="120" w:line="276" w:lineRule="auto"/>
        <w:ind w:left="1985" w:right="707" w:hanging="709"/>
      </w:pPr>
      <w:r>
        <w:rPr>
          <w:sz w:val="24"/>
        </w:rPr>
        <w:t xml:space="preserve">L. Hollyday </w:t>
      </w:r>
      <w:r>
        <w:rPr>
          <w:i/>
          <w:sz w:val="24"/>
        </w:rPr>
        <w:t>Ragazzi in Guerra e nell’Olocausto</w:t>
      </w:r>
      <w:r>
        <w:rPr>
          <w:sz w:val="24"/>
        </w:rPr>
        <w:t xml:space="preserve">, Marco Tropea Editore, Milano 2008, pp. 159 e segg. </w:t>
      </w:r>
    </w:p>
    <w:p w:rsidR="00611878" w:rsidRPr="000E485B" w:rsidRDefault="00672C55" w:rsidP="00B72269">
      <w:pPr>
        <w:numPr>
          <w:ilvl w:val="0"/>
          <w:numId w:val="37"/>
        </w:numPr>
        <w:tabs>
          <w:tab w:val="left" w:pos="1985"/>
        </w:tabs>
        <w:spacing w:after="120" w:line="259" w:lineRule="auto"/>
        <w:ind w:left="1985" w:right="707" w:hanging="709"/>
        <w:rPr>
          <w:lang w:val="en-GB"/>
        </w:rPr>
      </w:pPr>
      <w:r w:rsidRPr="000E485B">
        <w:rPr>
          <w:sz w:val="24"/>
          <w:lang w:val="en-GB"/>
        </w:rPr>
        <w:t xml:space="preserve">Ioffe, Sowiet law and soviet reality, Martinus Nijoff Pubblishers Hartford 1985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t xml:space="preserve">Lauter, Sicherheit und Reparationen – Die französische Öffentlichkeit der Rehin und die Ruhr, Klartezt Verlag, Essen 2006 </w:t>
      </w:r>
    </w:p>
    <w:p w:rsidR="00611878" w:rsidRPr="000E485B" w:rsidRDefault="00672C55" w:rsidP="00B72269">
      <w:pPr>
        <w:numPr>
          <w:ilvl w:val="0"/>
          <w:numId w:val="37"/>
        </w:numPr>
        <w:tabs>
          <w:tab w:val="left" w:pos="1985"/>
        </w:tabs>
        <w:spacing w:after="120" w:line="293" w:lineRule="auto"/>
        <w:ind w:left="1985" w:right="707" w:hanging="709"/>
        <w:rPr>
          <w:lang w:val="de-DE"/>
        </w:rPr>
      </w:pPr>
      <w:r w:rsidRPr="000E485B">
        <w:rPr>
          <w:sz w:val="24"/>
          <w:lang w:val="de-DE"/>
        </w:rPr>
        <w:t xml:space="preserve">Kenkmann, "Wilde Jugend: Lebenswelt großstädtischer Jugendlicher zwischen Weltwirtschaftskrise, Nationalsozialismus und Währungsreform", Taschenbuch, Essen 1996 </w:t>
      </w:r>
    </w:p>
    <w:p w:rsidR="00611878" w:rsidRDefault="00672C55" w:rsidP="00B72269">
      <w:pPr>
        <w:numPr>
          <w:ilvl w:val="0"/>
          <w:numId w:val="37"/>
        </w:numPr>
        <w:tabs>
          <w:tab w:val="left" w:pos="1985"/>
        </w:tabs>
        <w:spacing w:after="120" w:line="259" w:lineRule="auto"/>
        <w:ind w:left="1985" w:right="707" w:hanging="709"/>
      </w:pPr>
      <w:r>
        <w:rPr>
          <w:sz w:val="24"/>
        </w:rPr>
        <w:t xml:space="preserve">Kershaw, I., "Che cos'è il nazismo?", Bollati Boringhieri,Torino 1995 </w:t>
      </w:r>
    </w:p>
    <w:p w:rsidR="00611878" w:rsidRDefault="00672C55" w:rsidP="00B72269">
      <w:pPr>
        <w:numPr>
          <w:ilvl w:val="0"/>
          <w:numId w:val="37"/>
        </w:numPr>
        <w:tabs>
          <w:tab w:val="left" w:pos="1985"/>
        </w:tabs>
        <w:spacing w:after="120" w:line="259" w:lineRule="auto"/>
        <w:ind w:left="1985" w:right="707" w:hanging="709"/>
      </w:pPr>
      <w:r>
        <w:rPr>
          <w:sz w:val="24"/>
        </w:rPr>
        <w:t xml:space="preserve">Kershaw, I., "Hitler e l'enigma del consenso", Laterza, Bari 1997  </w:t>
      </w:r>
    </w:p>
    <w:p w:rsidR="00611878" w:rsidRPr="00D77858" w:rsidRDefault="00672C55" w:rsidP="00B72269">
      <w:pPr>
        <w:numPr>
          <w:ilvl w:val="0"/>
          <w:numId w:val="37"/>
        </w:numPr>
        <w:tabs>
          <w:tab w:val="left" w:pos="1985"/>
        </w:tabs>
        <w:spacing w:after="120" w:line="259" w:lineRule="auto"/>
        <w:ind w:left="1985" w:right="707" w:hanging="709"/>
        <w:rPr>
          <w:lang w:val="en-US"/>
        </w:rPr>
      </w:pPr>
      <w:r w:rsidRPr="00D77858">
        <w:rPr>
          <w:sz w:val="24"/>
          <w:lang w:val="en-GB"/>
        </w:rPr>
        <w:t xml:space="preserve">Kershaw, I., "Popular Opinion &amp; Political Dissent in the Third Reich", Clarendon </w:t>
      </w:r>
      <w:r w:rsidRPr="00D77858">
        <w:rPr>
          <w:sz w:val="24"/>
          <w:lang w:val="en-US"/>
        </w:rPr>
        <w:t xml:space="preserve">Press, Oxford 1984 </w:t>
      </w:r>
    </w:p>
    <w:p w:rsidR="00611878" w:rsidRPr="000E485B" w:rsidRDefault="00672C55" w:rsidP="00B72269">
      <w:pPr>
        <w:numPr>
          <w:ilvl w:val="0"/>
          <w:numId w:val="37"/>
        </w:numPr>
        <w:tabs>
          <w:tab w:val="left" w:pos="1985"/>
        </w:tabs>
        <w:spacing w:after="120" w:line="295" w:lineRule="auto"/>
        <w:ind w:left="1985" w:right="707" w:hanging="709"/>
        <w:rPr>
          <w:lang w:val="de-DE"/>
        </w:rPr>
      </w:pPr>
      <w:r w:rsidRPr="000E485B">
        <w:rPr>
          <w:sz w:val="24"/>
          <w:lang w:val="de-DE"/>
        </w:rPr>
        <w:t xml:space="preserve">Koller, Von Wilden aller Rassen niedergemetzelt – die Diskussion um die Verwendung von Kolonialgruppen in Europa zwischen Rassismus, Kolonial und Militärpolitik, (1919-1930), Franz Steiner Verlag, Stoccarda 2001  </w:t>
      </w:r>
    </w:p>
    <w:p w:rsidR="00611878" w:rsidRDefault="00672C55" w:rsidP="00B72269">
      <w:pPr>
        <w:numPr>
          <w:ilvl w:val="0"/>
          <w:numId w:val="37"/>
        </w:numPr>
        <w:tabs>
          <w:tab w:val="left" w:pos="1985"/>
        </w:tabs>
        <w:spacing w:after="120" w:line="314" w:lineRule="auto"/>
        <w:ind w:left="1985" w:right="707" w:hanging="709"/>
      </w:pPr>
      <w:r>
        <w:rPr>
          <w:sz w:val="24"/>
        </w:rPr>
        <w:t xml:space="preserve">N. Labanca, C. Zadra, Costruire un nemico - Studi di storia della propaganda di guerra - Edizioni Unicopli, Milano 2011 </w:t>
      </w:r>
    </w:p>
    <w:p w:rsidR="00611878" w:rsidRDefault="00672C55" w:rsidP="00B72269">
      <w:pPr>
        <w:numPr>
          <w:ilvl w:val="0"/>
          <w:numId w:val="37"/>
        </w:numPr>
        <w:tabs>
          <w:tab w:val="left" w:pos="1985"/>
        </w:tabs>
        <w:spacing w:after="120" w:line="313" w:lineRule="auto"/>
        <w:ind w:left="1985" w:right="707" w:hanging="709"/>
      </w:pPr>
      <w:r>
        <w:rPr>
          <w:sz w:val="24"/>
        </w:rPr>
        <w:t xml:space="preserve">K. Lowe, Il continente selvaggio, l'Europa alla fine della Seconda Guerra Mondiale, Roma-Bari Laterza 2013 </w:t>
      </w:r>
    </w:p>
    <w:p w:rsidR="00611878" w:rsidRPr="000E485B" w:rsidRDefault="00672C55" w:rsidP="00B72269">
      <w:pPr>
        <w:numPr>
          <w:ilvl w:val="0"/>
          <w:numId w:val="37"/>
        </w:numPr>
        <w:tabs>
          <w:tab w:val="left" w:pos="1985"/>
        </w:tabs>
        <w:spacing w:after="120" w:line="312" w:lineRule="auto"/>
        <w:ind w:left="1985" w:right="707" w:hanging="709"/>
        <w:rPr>
          <w:lang w:val="fr-FR"/>
        </w:rPr>
      </w:pPr>
      <w:r w:rsidRPr="000E485B">
        <w:rPr>
          <w:sz w:val="24"/>
          <w:lang w:val="fr-FR"/>
        </w:rPr>
        <w:t xml:space="preserve">Maffesoli, M., "Essai sur la violence banal et fondatrice", Librairie du quotidien, Parigi 1984 </w:t>
      </w:r>
    </w:p>
    <w:p w:rsidR="00611878" w:rsidRDefault="00672C55" w:rsidP="00B72269">
      <w:pPr>
        <w:numPr>
          <w:ilvl w:val="0"/>
          <w:numId w:val="37"/>
        </w:numPr>
        <w:tabs>
          <w:tab w:val="left" w:pos="1985"/>
        </w:tabs>
        <w:spacing w:after="120" w:line="259" w:lineRule="auto"/>
        <w:ind w:left="1985" w:right="707" w:hanging="709"/>
      </w:pPr>
      <w:r>
        <w:rPr>
          <w:sz w:val="24"/>
        </w:rPr>
        <w:t xml:space="preserve">E. Magnanimi, I diritti civili nell’URSS, 1917-1936, DEP 5-6/2006 </w:t>
      </w:r>
    </w:p>
    <w:p w:rsidR="00611878" w:rsidRPr="000E485B" w:rsidRDefault="00672C55" w:rsidP="00B72269">
      <w:pPr>
        <w:numPr>
          <w:ilvl w:val="0"/>
          <w:numId w:val="37"/>
        </w:numPr>
        <w:tabs>
          <w:tab w:val="left" w:pos="1985"/>
        </w:tabs>
        <w:spacing w:after="120" w:line="267" w:lineRule="auto"/>
        <w:ind w:left="1985" w:right="707" w:hanging="709"/>
        <w:rPr>
          <w:lang w:val="de-DE"/>
        </w:rPr>
      </w:pPr>
      <w:r w:rsidRPr="000E485B">
        <w:rPr>
          <w:sz w:val="24"/>
          <w:lang w:val="de-DE"/>
        </w:rPr>
        <w:t xml:space="preserve">Moser, </w:t>
      </w:r>
      <w:r w:rsidRPr="000E485B">
        <w:rPr>
          <w:i/>
          <w:sz w:val="24"/>
          <w:lang w:val="de-DE"/>
        </w:rPr>
        <w:t>Die Napola Reichenau – Von der Heil- und Pfleganstalt zur nationalistischen Eliteerziehung (1941-1945)</w:t>
      </w:r>
      <w:r w:rsidRPr="000E485B">
        <w:rPr>
          <w:sz w:val="24"/>
          <w:lang w:val="de-DE"/>
        </w:rPr>
        <w:t xml:space="preserve">, Schriftliche des Arbeitskreises für Regionalgeschichte Bodensee e. V., Costanza 1997 </w:t>
      </w:r>
    </w:p>
    <w:p w:rsidR="00611878" w:rsidRDefault="00672C55" w:rsidP="00B72269">
      <w:pPr>
        <w:numPr>
          <w:ilvl w:val="0"/>
          <w:numId w:val="37"/>
        </w:numPr>
        <w:tabs>
          <w:tab w:val="left" w:pos="1985"/>
        </w:tabs>
        <w:spacing w:after="120" w:line="315" w:lineRule="auto"/>
        <w:ind w:left="1985" w:right="707" w:hanging="709"/>
      </w:pPr>
      <w:r>
        <w:rPr>
          <w:sz w:val="24"/>
        </w:rPr>
        <w:t xml:space="preserve">Munzenberg, W., "La Propagande hitlerienne instrument de guerre", Edition Sebastien Brant, Parigi 1938 </w:t>
      </w:r>
    </w:p>
    <w:p w:rsidR="00611878" w:rsidRDefault="00672C55" w:rsidP="00B72269">
      <w:pPr>
        <w:numPr>
          <w:ilvl w:val="0"/>
          <w:numId w:val="37"/>
        </w:numPr>
        <w:tabs>
          <w:tab w:val="left" w:pos="1985"/>
        </w:tabs>
        <w:spacing w:after="120" w:line="259" w:lineRule="auto"/>
        <w:ind w:left="1985" w:right="707" w:hanging="709"/>
      </w:pPr>
      <w:r>
        <w:rPr>
          <w:sz w:val="24"/>
        </w:rPr>
        <w:t xml:space="preserve">M. Nyiszli, Medico ad Auschwitz, Casa Editrice Sugar, Milano-Varese 1962 </w:t>
      </w:r>
    </w:p>
    <w:p w:rsidR="00611878" w:rsidRDefault="00672C55" w:rsidP="00B72269">
      <w:pPr>
        <w:numPr>
          <w:ilvl w:val="0"/>
          <w:numId w:val="37"/>
        </w:numPr>
        <w:tabs>
          <w:tab w:val="left" w:pos="1985"/>
        </w:tabs>
        <w:spacing w:after="120" w:line="259" w:lineRule="auto"/>
        <w:ind w:left="1985" w:right="707" w:hanging="709"/>
      </w:pPr>
      <w:r>
        <w:rPr>
          <w:sz w:val="24"/>
        </w:rPr>
        <w:t xml:space="preserve">Orsini, Violenza: un'analisi sociologica, Rubbattino Editore, Sovaria Mannelli (Cz) </w:t>
      </w:r>
    </w:p>
    <w:p w:rsidR="00611878" w:rsidRPr="00791545" w:rsidRDefault="00672C55" w:rsidP="00B72269">
      <w:pPr>
        <w:numPr>
          <w:ilvl w:val="0"/>
          <w:numId w:val="37"/>
        </w:numPr>
        <w:tabs>
          <w:tab w:val="left" w:pos="1985"/>
        </w:tabs>
        <w:spacing w:after="120" w:line="312" w:lineRule="auto"/>
        <w:ind w:left="1985" w:right="707" w:hanging="709"/>
        <w:rPr>
          <w:lang w:val="en-US"/>
        </w:rPr>
      </w:pPr>
      <w:r w:rsidRPr="000E485B">
        <w:rPr>
          <w:sz w:val="24"/>
          <w:lang w:val="de-DE"/>
        </w:rPr>
        <w:lastRenderedPageBreak/>
        <w:t xml:space="preserve">Laychuk, J. L., "Ilya Ehrenburg. </w:t>
      </w:r>
      <w:r w:rsidRPr="00791545">
        <w:rPr>
          <w:sz w:val="24"/>
          <w:lang w:val="en-US"/>
        </w:rPr>
        <w:t xml:space="preserve">An idealist in an Age of Realism", Peter Lang, Berna 1991 </w:t>
      </w:r>
    </w:p>
    <w:p w:rsidR="00611878" w:rsidRPr="000E485B" w:rsidRDefault="00672C55" w:rsidP="00B72269">
      <w:pPr>
        <w:numPr>
          <w:ilvl w:val="0"/>
          <w:numId w:val="37"/>
        </w:numPr>
        <w:tabs>
          <w:tab w:val="left" w:pos="1985"/>
        </w:tabs>
        <w:spacing w:after="120" w:line="292" w:lineRule="auto"/>
        <w:ind w:left="1985" w:right="707" w:hanging="709"/>
        <w:rPr>
          <w:lang w:val="de-DE"/>
        </w:rPr>
      </w:pPr>
      <w:r w:rsidRPr="000E485B">
        <w:rPr>
          <w:sz w:val="24"/>
          <w:lang w:val="de-DE"/>
        </w:rPr>
        <w:t xml:space="preserve">Platz, Schneider, Todesurteil per Meldebogen – Ärtzlicher Krankenmord in Ns-Staat Beitragezur Aktion T4, Stiftung Neue Synagoge Berlin Centrum Judaicum, Berlino 2006 </w:t>
      </w:r>
    </w:p>
    <w:p w:rsidR="00611878" w:rsidRDefault="00672C55" w:rsidP="00B72269">
      <w:pPr>
        <w:numPr>
          <w:ilvl w:val="0"/>
          <w:numId w:val="37"/>
        </w:numPr>
        <w:tabs>
          <w:tab w:val="left" w:pos="1985"/>
        </w:tabs>
        <w:spacing w:after="120" w:line="259" w:lineRule="auto"/>
        <w:ind w:left="1985" w:right="707" w:hanging="709"/>
      </w:pPr>
      <w:r>
        <w:rPr>
          <w:sz w:val="24"/>
        </w:rPr>
        <w:t xml:space="preserve">Ponzani, M., "Guerra alle donne", Einaudi, Torino 2012 </w:t>
      </w:r>
    </w:p>
    <w:p w:rsidR="00611878" w:rsidRDefault="00672C55" w:rsidP="00B72269">
      <w:pPr>
        <w:numPr>
          <w:ilvl w:val="0"/>
          <w:numId w:val="37"/>
        </w:numPr>
        <w:tabs>
          <w:tab w:val="left" w:pos="1985"/>
        </w:tabs>
        <w:spacing w:after="120" w:line="316" w:lineRule="auto"/>
        <w:ind w:left="1985" w:right="707" w:hanging="709"/>
      </w:pPr>
      <w:r w:rsidRPr="000E485B">
        <w:rPr>
          <w:sz w:val="24"/>
          <w:lang w:val="fr-FR"/>
        </w:rPr>
        <w:t xml:space="preserve">M. Prazan, Einsatzgruppe – sur les traces des commandos de la mort nazis, ed. </w:t>
      </w:r>
      <w:r>
        <w:rPr>
          <w:sz w:val="24"/>
        </w:rPr>
        <w:t xml:space="preserve">De Seuil, Parigi 2010 pp. 492-493 </w:t>
      </w:r>
    </w:p>
    <w:p w:rsidR="00611878" w:rsidRDefault="00672C55" w:rsidP="00B72269">
      <w:pPr>
        <w:numPr>
          <w:ilvl w:val="0"/>
          <w:numId w:val="37"/>
        </w:numPr>
        <w:tabs>
          <w:tab w:val="left" w:pos="1985"/>
        </w:tabs>
        <w:spacing w:after="120" w:line="259" w:lineRule="auto"/>
        <w:ind w:left="1985" w:right="707" w:hanging="709"/>
      </w:pPr>
      <w:r>
        <w:rPr>
          <w:sz w:val="24"/>
        </w:rPr>
        <w:t xml:space="preserve">F. Rapetti, Ero un Balilla, Greco &amp; Greco editori, Milano 2007 </w:t>
      </w:r>
    </w:p>
    <w:p w:rsidR="00611878" w:rsidRPr="000E485B" w:rsidRDefault="00672C55" w:rsidP="00B72269">
      <w:pPr>
        <w:numPr>
          <w:ilvl w:val="0"/>
          <w:numId w:val="37"/>
        </w:numPr>
        <w:tabs>
          <w:tab w:val="left" w:pos="1985"/>
        </w:tabs>
        <w:spacing w:after="120" w:line="295" w:lineRule="auto"/>
        <w:ind w:left="1985" w:right="707" w:hanging="709"/>
        <w:rPr>
          <w:lang w:val="de-DE"/>
        </w:rPr>
      </w:pPr>
      <w:r w:rsidRPr="000E485B">
        <w:rPr>
          <w:sz w:val="24"/>
          <w:lang w:val="de-DE"/>
        </w:rPr>
        <w:t xml:space="preserve">Richter, "Katholizismus und Eugenik in der Weimarer Republik und im dritten Reich" articolo contenuto in Veröffentlichungen der Kommission für Zeitgeschichte, vol. 88, Ferdinand Schöningh, Paderborn, München, Wien, Zürich 2001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J. Riecker, "Hitlers 9. November" ,WSW, Berlin 2009 </w:t>
      </w:r>
    </w:p>
    <w:p w:rsidR="00611878" w:rsidRDefault="00672C55" w:rsidP="00B72269">
      <w:pPr>
        <w:numPr>
          <w:ilvl w:val="0"/>
          <w:numId w:val="37"/>
        </w:numPr>
        <w:tabs>
          <w:tab w:val="left" w:pos="1985"/>
        </w:tabs>
        <w:spacing w:after="120" w:line="259" w:lineRule="auto"/>
        <w:ind w:left="1985" w:right="707" w:hanging="709"/>
      </w:pPr>
      <w:r>
        <w:rPr>
          <w:sz w:val="24"/>
        </w:rPr>
        <w:t xml:space="preserve">A. Rognoni in DEP 9/2008 </w:t>
      </w:r>
    </w:p>
    <w:p w:rsidR="00611878" w:rsidRDefault="00672C55" w:rsidP="00B72269">
      <w:pPr>
        <w:numPr>
          <w:ilvl w:val="0"/>
          <w:numId w:val="37"/>
        </w:numPr>
        <w:tabs>
          <w:tab w:val="left" w:pos="1985"/>
        </w:tabs>
        <w:spacing w:after="120" w:line="312" w:lineRule="auto"/>
        <w:ind w:left="1985" w:right="707" w:hanging="709"/>
      </w:pPr>
      <w:r w:rsidRPr="000E485B">
        <w:rPr>
          <w:sz w:val="24"/>
          <w:lang w:val="de-DE"/>
        </w:rPr>
        <w:t xml:space="preserve">Rosenberg, A., "Der Mythos der 20. </w:t>
      </w:r>
      <w:r>
        <w:rPr>
          <w:sz w:val="24"/>
        </w:rPr>
        <w:t xml:space="preserve">Jahrhundert", Hocheneichen Verlag, München 1930 </w:t>
      </w:r>
    </w:p>
    <w:p w:rsidR="00611878" w:rsidRDefault="00672C55" w:rsidP="00B72269">
      <w:pPr>
        <w:numPr>
          <w:ilvl w:val="0"/>
          <w:numId w:val="37"/>
        </w:numPr>
        <w:tabs>
          <w:tab w:val="left" w:pos="1985"/>
        </w:tabs>
        <w:spacing w:after="120" w:line="259" w:lineRule="auto"/>
        <w:ind w:left="1985" w:right="707" w:hanging="709"/>
      </w:pPr>
      <w:r>
        <w:rPr>
          <w:sz w:val="24"/>
        </w:rPr>
        <w:t xml:space="preserve">H. Schneider, Lasciami andare, madre, Adelphi, Milano 2001 </w:t>
      </w:r>
    </w:p>
    <w:p w:rsidR="00611878" w:rsidRDefault="00672C55" w:rsidP="00B72269">
      <w:pPr>
        <w:numPr>
          <w:ilvl w:val="0"/>
          <w:numId w:val="37"/>
        </w:numPr>
        <w:tabs>
          <w:tab w:val="left" w:pos="1985"/>
        </w:tabs>
        <w:spacing w:after="120" w:line="259" w:lineRule="auto"/>
        <w:ind w:left="1985" w:right="707" w:hanging="709"/>
      </w:pPr>
      <w:r>
        <w:rPr>
          <w:sz w:val="24"/>
        </w:rPr>
        <w:t xml:space="preserve">H. Schneider, </w:t>
      </w:r>
      <w:r>
        <w:rPr>
          <w:i/>
          <w:sz w:val="24"/>
        </w:rPr>
        <w:t>L’usignolo dei Linke</w:t>
      </w:r>
      <w:r>
        <w:rPr>
          <w:sz w:val="24"/>
        </w:rPr>
        <w:t xml:space="preserve">, Adelphi, Milano 2004 </w:t>
      </w:r>
    </w:p>
    <w:p w:rsidR="00611878" w:rsidRDefault="00672C55" w:rsidP="00B72269">
      <w:pPr>
        <w:numPr>
          <w:ilvl w:val="0"/>
          <w:numId w:val="37"/>
        </w:numPr>
        <w:tabs>
          <w:tab w:val="left" w:pos="1985"/>
        </w:tabs>
        <w:spacing w:after="120" w:line="259" w:lineRule="auto"/>
        <w:ind w:left="1985" w:right="707" w:hanging="709"/>
      </w:pPr>
      <w:r>
        <w:rPr>
          <w:sz w:val="24"/>
        </w:rPr>
        <w:t xml:space="preserve">P. Schneider, Papà, Edizioni e/o, Roma 2002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S. Schötz, </w:t>
      </w:r>
      <w:r w:rsidRPr="000E485B">
        <w:rPr>
          <w:i/>
          <w:sz w:val="24"/>
          <w:lang w:val="de-DE"/>
        </w:rPr>
        <w:t>Frauen Alltag in Leipzig</w:t>
      </w:r>
      <w:r w:rsidRPr="000E485B">
        <w:rPr>
          <w:sz w:val="24"/>
          <w:lang w:val="de-DE"/>
        </w:rPr>
        <w:t xml:space="preserve">, Bohlau, Köln, Weimar, Wien, Böhlau, 1997 </w:t>
      </w:r>
    </w:p>
    <w:p w:rsidR="00611878" w:rsidRDefault="00672C55" w:rsidP="00B72269">
      <w:pPr>
        <w:numPr>
          <w:ilvl w:val="0"/>
          <w:numId w:val="37"/>
        </w:numPr>
        <w:tabs>
          <w:tab w:val="left" w:pos="1985"/>
        </w:tabs>
        <w:spacing w:after="120" w:line="259" w:lineRule="auto"/>
        <w:ind w:left="1985" w:right="707" w:hanging="709"/>
      </w:pPr>
      <w:r>
        <w:rPr>
          <w:sz w:val="24"/>
        </w:rPr>
        <w:t xml:space="preserve">Scottà (a cura di), La confer </w:t>
      </w:r>
    </w:p>
    <w:p w:rsidR="00611878" w:rsidRDefault="00672C55" w:rsidP="00B72269">
      <w:pPr>
        <w:numPr>
          <w:ilvl w:val="0"/>
          <w:numId w:val="37"/>
        </w:numPr>
        <w:tabs>
          <w:tab w:val="left" w:pos="1985"/>
        </w:tabs>
        <w:spacing w:after="120" w:line="315" w:lineRule="auto"/>
        <w:ind w:left="1985" w:right="707" w:hanging="709"/>
      </w:pPr>
      <w:r>
        <w:rPr>
          <w:sz w:val="24"/>
        </w:rPr>
        <w:t xml:space="preserve">enza di pace – atti del convegno Imternazionale di studi Portogruaro Bibione 31 maggio-4 giugno 2000  </w:t>
      </w:r>
    </w:p>
    <w:p w:rsidR="00611878" w:rsidRDefault="00672C55" w:rsidP="00B72269">
      <w:pPr>
        <w:numPr>
          <w:ilvl w:val="0"/>
          <w:numId w:val="37"/>
        </w:numPr>
        <w:tabs>
          <w:tab w:val="left" w:pos="1985"/>
        </w:tabs>
        <w:spacing w:after="120" w:line="259" w:lineRule="auto"/>
        <w:ind w:left="1985" w:right="707" w:hanging="709"/>
      </w:pPr>
      <w:r>
        <w:rPr>
          <w:sz w:val="24"/>
        </w:rPr>
        <w:t xml:space="preserve">Solzeniczyn "Racconti di guerra", Jaca book, Milano 2014 </w:t>
      </w:r>
    </w:p>
    <w:p w:rsidR="00611878" w:rsidRPr="000E485B" w:rsidRDefault="00672C55" w:rsidP="00B72269">
      <w:pPr>
        <w:numPr>
          <w:ilvl w:val="0"/>
          <w:numId w:val="37"/>
        </w:numPr>
        <w:tabs>
          <w:tab w:val="left" w:pos="1985"/>
        </w:tabs>
        <w:spacing w:after="120" w:line="259" w:lineRule="auto"/>
        <w:ind w:left="1985" w:right="707" w:hanging="709"/>
        <w:rPr>
          <w:lang w:val="en-GB"/>
        </w:rPr>
      </w:pPr>
      <w:r w:rsidRPr="000E485B">
        <w:rPr>
          <w:sz w:val="24"/>
          <w:lang w:val="en-GB"/>
        </w:rPr>
        <w:t xml:space="preserve">Spilker, The East Germany Leadership and the division of Germany, Oxford Historical Monograph, Oxford University Press, 2006 </w:t>
      </w:r>
    </w:p>
    <w:p w:rsidR="00611878" w:rsidRDefault="00672C55" w:rsidP="00B72269">
      <w:pPr>
        <w:numPr>
          <w:ilvl w:val="0"/>
          <w:numId w:val="37"/>
        </w:numPr>
        <w:tabs>
          <w:tab w:val="left" w:pos="1985"/>
        </w:tabs>
        <w:spacing w:after="120" w:line="259" w:lineRule="auto"/>
        <w:ind w:left="1985" w:right="707" w:hanging="709"/>
      </w:pPr>
      <w:r>
        <w:rPr>
          <w:sz w:val="24"/>
        </w:rPr>
        <w:t xml:space="preserve">Ultime lettere da Stalingrado, Einaudi Ed. Milaino 1958,  </w:t>
      </w:r>
    </w:p>
    <w:p w:rsidR="00611878" w:rsidRDefault="00672C55" w:rsidP="00B72269">
      <w:pPr>
        <w:numPr>
          <w:ilvl w:val="0"/>
          <w:numId w:val="37"/>
        </w:numPr>
        <w:tabs>
          <w:tab w:val="left" w:pos="1985"/>
        </w:tabs>
        <w:spacing w:after="120" w:line="259" w:lineRule="auto"/>
        <w:ind w:left="1985" w:right="707" w:hanging="709"/>
      </w:pPr>
      <w:r>
        <w:rPr>
          <w:sz w:val="24"/>
        </w:rPr>
        <w:t xml:space="preserve">W. Venhor, "L'identità tedesca e il caso Stauffenberg", Rusconi, Milano 1988 </w:t>
      </w:r>
    </w:p>
    <w:p w:rsidR="00611878" w:rsidRDefault="00672C55" w:rsidP="00B72269">
      <w:pPr>
        <w:numPr>
          <w:ilvl w:val="0"/>
          <w:numId w:val="37"/>
        </w:numPr>
        <w:tabs>
          <w:tab w:val="left" w:pos="1985"/>
        </w:tabs>
        <w:spacing w:after="120" w:line="313" w:lineRule="auto"/>
        <w:ind w:left="1985" w:right="707" w:hanging="709"/>
      </w:pPr>
      <w:r>
        <w:rPr>
          <w:sz w:val="24"/>
        </w:rPr>
        <w:t xml:space="preserve">L. Vaglica, Prigionieri di guerra italiani in URSS - tra propaganda e rieducazione politica "L'Alba" 1943-1946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t xml:space="preserve">Wedel, H. v., "Die Propagandatruppen der deutschen Wehrmacht", Kurt Vowinkel Verlag, Neckargemünd 1962 </w:t>
      </w:r>
    </w:p>
    <w:p w:rsidR="00611878" w:rsidRPr="00D77858" w:rsidRDefault="00672C55" w:rsidP="00B72269">
      <w:pPr>
        <w:numPr>
          <w:ilvl w:val="0"/>
          <w:numId w:val="37"/>
        </w:numPr>
        <w:tabs>
          <w:tab w:val="left" w:pos="1985"/>
        </w:tabs>
        <w:spacing w:after="120" w:line="314" w:lineRule="auto"/>
        <w:ind w:left="1985" w:right="707" w:hanging="709"/>
        <w:rPr>
          <w:lang w:val="de-DE"/>
        </w:rPr>
      </w:pPr>
      <w:r w:rsidRPr="00D77858">
        <w:rPr>
          <w:sz w:val="24"/>
          <w:lang w:val="de-DE"/>
        </w:rPr>
        <w:t xml:space="preserve">Saggio di W. Wette, Das Massensterben als „Herdeneops” – Stalingrad in der NsPropaganda, contenuto nella raccolta Stalingrad – Mythos und Wirklichkeit </w:t>
      </w:r>
      <w:r w:rsidRPr="00D77858">
        <w:rPr>
          <w:sz w:val="24"/>
          <w:lang w:val="de-DE"/>
        </w:rPr>
        <w:lastRenderedPageBreak/>
        <w:t xml:space="preserve">einer Schlacht Herausgegeben von Woltram Wette und Gerd R. Ueberschär, Geschichte Fischer Frankfurt am Main 1992 </w:t>
      </w:r>
    </w:p>
    <w:p w:rsidR="00611878" w:rsidRPr="000E485B" w:rsidRDefault="00672C55" w:rsidP="00B72269">
      <w:pPr>
        <w:numPr>
          <w:ilvl w:val="0"/>
          <w:numId w:val="37"/>
        </w:numPr>
        <w:tabs>
          <w:tab w:val="left" w:pos="1985"/>
        </w:tabs>
        <w:spacing w:after="120" w:line="315" w:lineRule="auto"/>
        <w:ind w:left="1985" w:right="707" w:hanging="709"/>
        <w:rPr>
          <w:lang w:val="de-DE"/>
        </w:rPr>
      </w:pPr>
      <w:r w:rsidRPr="000E485B">
        <w:rPr>
          <w:sz w:val="24"/>
          <w:lang w:val="de-DE"/>
        </w:rPr>
        <w:t xml:space="preserve">Wentker, Justiz in der SBZ/DDR 1945-1953, R. Oldenbourg Verlag, Monaco di Baviera 2011 </w:t>
      </w:r>
    </w:p>
    <w:p w:rsidR="00611878" w:rsidRDefault="00672C55" w:rsidP="00B72269">
      <w:pPr>
        <w:numPr>
          <w:ilvl w:val="0"/>
          <w:numId w:val="37"/>
        </w:numPr>
        <w:tabs>
          <w:tab w:val="left" w:pos="1985"/>
        </w:tabs>
        <w:spacing w:after="120" w:line="259" w:lineRule="auto"/>
        <w:ind w:left="1985" w:right="707" w:hanging="709"/>
      </w:pPr>
      <w:r>
        <w:rPr>
          <w:sz w:val="24"/>
        </w:rPr>
        <w:t xml:space="preserve">Winkler, H. A., "Grande storia della Germania" 2 Voll., Donizelli, Roma 2004 </w:t>
      </w:r>
    </w:p>
    <w:p w:rsidR="00611878" w:rsidRPr="000E485B" w:rsidRDefault="00672C55" w:rsidP="00B72269">
      <w:pPr>
        <w:numPr>
          <w:ilvl w:val="0"/>
          <w:numId w:val="37"/>
        </w:numPr>
        <w:tabs>
          <w:tab w:val="left" w:pos="1985"/>
        </w:tabs>
        <w:spacing w:after="120" w:line="313" w:lineRule="auto"/>
        <w:ind w:left="1985" w:right="707" w:hanging="709"/>
        <w:rPr>
          <w:lang w:val="de-DE"/>
        </w:rPr>
      </w:pPr>
      <w:r w:rsidRPr="000E485B">
        <w:rPr>
          <w:sz w:val="24"/>
          <w:lang w:val="de-DE"/>
        </w:rPr>
        <w:t xml:space="preserve">Biallas , L., "Komm, Frau, raboti: Flucht und Vertreibung 1945-1946", Drachenmond Verlag, Leverkusen 2011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t xml:space="preserve">Braun, J., "Ein Teil Heimat seid ihr für mich. Rundbriefe einer Mädchenklasse 19442000", Aufbau Verlag, Berlino 2002  </w:t>
      </w:r>
    </w:p>
    <w:p w:rsidR="00611878" w:rsidRDefault="00672C55" w:rsidP="00B72269">
      <w:pPr>
        <w:numPr>
          <w:ilvl w:val="0"/>
          <w:numId w:val="37"/>
        </w:numPr>
        <w:tabs>
          <w:tab w:val="left" w:pos="1985"/>
        </w:tabs>
        <w:spacing w:after="120" w:line="259" w:lineRule="auto"/>
        <w:ind w:left="1985" w:right="707" w:hanging="709"/>
      </w:pPr>
      <w:r>
        <w:rPr>
          <w:sz w:val="24"/>
        </w:rPr>
        <w:t xml:space="preserve">V. Cersosimo, Dall'istruttoria alla fucilazione, Garzanti, Milano 1961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Dallin, "Deutsche Herrschaft in Russland 1941-1945" </w:t>
      </w:r>
    </w:p>
    <w:p w:rsidR="00611878" w:rsidRPr="000E485B" w:rsidRDefault="00672C55" w:rsidP="00B72269">
      <w:pPr>
        <w:numPr>
          <w:ilvl w:val="0"/>
          <w:numId w:val="37"/>
        </w:numPr>
        <w:tabs>
          <w:tab w:val="left" w:pos="1985"/>
        </w:tabs>
        <w:spacing w:after="120" w:line="313" w:lineRule="auto"/>
        <w:ind w:left="1985" w:right="707" w:hanging="709"/>
        <w:rPr>
          <w:lang w:val="de-DE"/>
        </w:rPr>
      </w:pPr>
      <w:r w:rsidRPr="000E485B">
        <w:rPr>
          <w:sz w:val="24"/>
          <w:lang w:val="de-DE"/>
        </w:rPr>
        <w:t xml:space="preserve">Damals bei Oma und Opa, zeitzeugen erinnern sich an ihre Großeltern, Zeitgut Verlag, Berlino 2010 </w:t>
      </w:r>
    </w:p>
    <w:p w:rsidR="00611878" w:rsidRDefault="00672C55" w:rsidP="00B72269">
      <w:pPr>
        <w:numPr>
          <w:ilvl w:val="0"/>
          <w:numId w:val="37"/>
        </w:numPr>
        <w:tabs>
          <w:tab w:val="left" w:pos="1985"/>
        </w:tabs>
        <w:spacing w:after="120" w:line="259" w:lineRule="auto"/>
        <w:ind w:left="1985" w:right="707" w:hanging="709"/>
      </w:pPr>
      <w:r>
        <w:rPr>
          <w:sz w:val="24"/>
        </w:rPr>
        <w:t xml:space="preserve">K., Ericsson Simonsen E. "I figli di Hitler", Boroli Editore </w:t>
      </w:r>
    </w:p>
    <w:p w:rsidR="00611878" w:rsidRDefault="00672C55" w:rsidP="00B72269">
      <w:pPr>
        <w:numPr>
          <w:ilvl w:val="0"/>
          <w:numId w:val="37"/>
        </w:numPr>
        <w:tabs>
          <w:tab w:val="left" w:pos="1985"/>
        </w:tabs>
        <w:spacing w:after="120" w:line="316" w:lineRule="auto"/>
        <w:ind w:left="1985" w:right="707" w:hanging="709"/>
      </w:pPr>
      <w:r>
        <w:rPr>
          <w:sz w:val="24"/>
        </w:rPr>
        <w:t xml:space="preserve">M. Ermacora, "Dorothea e le altre. Memoria delle violenze sovietiche in Germania 1944-1945", articolo contenuto in "DEP. Deportate, Esuli, Profughe, n 10 (2009)" </w:t>
      </w:r>
    </w:p>
    <w:p w:rsidR="00611878" w:rsidRDefault="00672C55" w:rsidP="00B72269">
      <w:pPr>
        <w:numPr>
          <w:ilvl w:val="0"/>
          <w:numId w:val="37"/>
        </w:numPr>
        <w:tabs>
          <w:tab w:val="left" w:pos="1985"/>
        </w:tabs>
        <w:spacing w:after="120" w:line="259" w:lineRule="auto"/>
        <w:ind w:left="1985" w:right="707" w:hanging="709"/>
      </w:pPr>
      <w:r>
        <w:rPr>
          <w:sz w:val="24"/>
        </w:rPr>
        <w:t xml:space="preserve">Ermacora M., S. Tiepolato, "In fuga dalla violenza"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Fisch, B., "Nemmersdorf, Oktober 1944", Edition Ost, 1997 </w:t>
      </w:r>
    </w:p>
    <w:p w:rsidR="00611878" w:rsidRDefault="00672C55" w:rsidP="00B72269">
      <w:pPr>
        <w:numPr>
          <w:ilvl w:val="0"/>
          <w:numId w:val="37"/>
        </w:numPr>
        <w:tabs>
          <w:tab w:val="left" w:pos="1985"/>
        </w:tabs>
        <w:spacing w:after="120" w:line="315" w:lineRule="auto"/>
        <w:ind w:left="1985" w:right="707" w:hanging="709"/>
      </w:pPr>
      <w:r>
        <w:rPr>
          <w:sz w:val="24"/>
        </w:rPr>
        <w:t xml:space="preserve">Fest J., "Il volto del Terzo Reich, Profilo degli uomini chiave della Germania nazista", Mursia, 2001 </w:t>
      </w:r>
    </w:p>
    <w:p w:rsidR="00611878" w:rsidRDefault="00672C55" w:rsidP="00B72269">
      <w:pPr>
        <w:numPr>
          <w:ilvl w:val="0"/>
          <w:numId w:val="37"/>
        </w:numPr>
        <w:tabs>
          <w:tab w:val="left" w:pos="1985"/>
        </w:tabs>
        <w:spacing w:after="120" w:line="259" w:lineRule="auto"/>
        <w:ind w:left="1985" w:right="707" w:hanging="709"/>
      </w:pPr>
      <w:r>
        <w:rPr>
          <w:sz w:val="24"/>
        </w:rPr>
        <w:t xml:space="preserve">Fest, J., "Io no - memorie d'infanzia e gioventù", Garzanti, Milano 2007 </w:t>
      </w:r>
    </w:p>
    <w:p w:rsidR="00611878" w:rsidRDefault="00672C55" w:rsidP="00B72269">
      <w:pPr>
        <w:numPr>
          <w:ilvl w:val="0"/>
          <w:numId w:val="37"/>
        </w:numPr>
        <w:tabs>
          <w:tab w:val="left" w:pos="1985"/>
        </w:tabs>
        <w:spacing w:after="120" w:line="313" w:lineRule="auto"/>
        <w:ind w:left="1985" w:right="707" w:hanging="709"/>
      </w:pPr>
      <w:r>
        <w:rPr>
          <w:sz w:val="24"/>
        </w:rPr>
        <w:t xml:space="preserve">Fest, J. "Obiettivo Hitler - La resistenza al nazismo e l'attentato del 20 luglio 1944", Garzanti, Milano 2006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N. Frank, "Der Vater, eine Abrechnung", Goldmann, München 2005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N. Frank, "Eine deutsche Mutter", Goldmann, München 2006  </w:t>
      </w:r>
    </w:p>
    <w:p w:rsidR="00611878" w:rsidRPr="00D77858" w:rsidRDefault="00672C55" w:rsidP="00B72269">
      <w:pPr>
        <w:numPr>
          <w:ilvl w:val="0"/>
          <w:numId w:val="37"/>
        </w:numPr>
        <w:tabs>
          <w:tab w:val="left" w:pos="1985"/>
        </w:tabs>
        <w:spacing w:after="120" w:line="259" w:lineRule="auto"/>
        <w:ind w:left="1985" w:right="707" w:hanging="709"/>
        <w:rPr>
          <w:lang w:val="de-DE"/>
        </w:rPr>
      </w:pPr>
      <w:r w:rsidRPr="00D77858">
        <w:rPr>
          <w:sz w:val="24"/>
          <w:lang w:val="de-DE"/>
        </w:rPr>
        <w:t xml:space="preserve">Großbongardt A., Klußmann U., Pötzl F., "Die Deutschen im Osten Europas: Eroberer, Siedler, Vertriebene", DVA, München 2011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J. Heineman, "Rasse Siedelung, deutsches Blut", Wallstein, 2003 </w:t>
      </w:r>
    </w:p>
    <w:p w:rsidR="00611878" w:rsidRDefault="00672C55" w:rsidP="00B72269">
      <w:pPr>
        <w:numPr>
          <w:ilvl w:val="0"/>
          <w:numId w:val="37"/>
        </w:numPr>
        <w:tabs>
          <w:tab w:val="left" w:pos="1985"/>
        </w:tabs>
        <w:spacing w:after="120" w:line="314" w:lineRule="auto"/>
        <w:ind w:left="1985" w:right="707" w:hanging="709"/>
      </w:pPr>
      <w:r>
        <w:rPr>
          <w:sz w:val="24"/>
        </w:rPr>
        <w:t xml:space="preserve">Le atrocità polacche contro la minoranza tedesca in Polonia, Volk und Reich, Berlino 1940 (pubblicazione in lingua italiana a cura del Governo del Reich)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t xml:space="preserve">R. Kabur, A. Zühlke, "Von Ostpreußen in die Lünenberger Heide: Vertreibung und Eingliederung 1945-1953", Lüneburg 1995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lastRenderedPageBreak/>
        <w:t xml:space="preserve">J. Kleindienst, I. Hantke, "Damals bei Oma und Opa: Zeitzeugen erinnern sich an ihre Großeltern 1910 - 1984", Zeitgut Verlag, Berlin 2010. </w:t>
      </w:r>
    </w:p>
    <w:p w:rsidR="00611878" w:rsidRPr="000E485B" w:rsidRDefault="00672C55" w:rsidP="00B72269">
      <w:pPr>
        <w:numPr>
          <w:ilvl w:val="0"/>
          <w:numId w:val="37"/>
        </w:numPr>
        <w:tabs>
          <w:tab w:val="left" w:pos="1985"/>
        </w:tabs>
        <w:spacing w:after="120" w:line="259" w:lineRule="auto"/>
        <w:ind w:left="1985" w:right="707" w:hanging="709"/>
        <w:rPr>
          <w:lang w:val="en-GB"/>
        </w:rPr>
      </w:pPr>
      <w:r w:rsidRPr="000E485B">
        <w:rPr>
          <w:sz w:val="24"/>
          <w:lang w:val="en-GB"/>
        </w:rPr>
        <w:t xml:space="preserve">A. Krylova, </w:t>
      </w:r>
      <w:r w:rsidRPr="000E485B">
        <w:rPr>
          <w:i/>
          <w:sz w:val="24"/>
          <w:lang w:val="en-GB"/>
        </w:rPr>
        <w:t>Soviet Women in combat – A History on the Eastern Front</w:t>
      </w:r>
      <w:r w:rsidRPr="000E485B">
        <w:rPr>
          <w:sz w:val="24"/>
          <w:lang w:val="en-GB"/>
        </w:rPr>
        <w:t xml:space="preserve">, Cambridge University Press, New York 2010 </w:t>
      </w:r>
    </w:p>
    <w:p w:rsidR="00611878" w:rsidRPr="000E485B" w:rsidRDefault="00672C55" w:rsidP="00B72269">
      <w:pPr>
        <w:numPr>
          <w:ilvl w:val="0"/>
          <w:numId w:val="37"/>
        </w:numPr>
        <w:tabs>
          <w:tab w:val="left" w:pos="1985"/>
        </w:tabs>
        <w:spacing w:after="120" w:line="310" w:lineRule="auto"/>
        <w:ind w:left="1985" w:right="707" w:hanging="709"/>
        <w:rPr>
          <w:lang w:val="de-DE"/>
        </w:rPr>
      </w:pPr>
      <w:r w:rsidRPr="000E485B">
        <w:rPr>
          <w:sz w:val="24"/>
          <w:lang w:val="de-DE"/>
        </w:rPr>
        <w:t xml:space="preserve">Lass, G., "Die Flucht. Ostpreußen 1944-1945", Podzun Verlag, Bad Neuheim 1964 </w:t>
      </w:r>
    </w:p>
    <w:p w:rsidR="00611878" w:rsidRPr="000E485B" w:rsidRDefault="00672C55" w:rsidP="00B72269">
      <w:pPr>
        <w:numPr>
          <w:ilvl w:val="0"/>
          <w:numId w:val="37"/>
        </w:numPr>
        <w:tabs>
          <w:tab w:val="left" w:pos="1985"/>
        </w:tabs>
        <w:spacing w:after="120" w:line="259" w:lineRule="auto"/>
        <w:ind w:left="1985" w:right="707" w:hanging="709"/>
        <w:rPr>
          <w:lang w:val="de-DE"/>
        </w:rPr>
      </w:pPr>
      <w:r w:rsidRPr="000E485B">
        <w:rPr>
          <w:sz w:val="24"/>
          <w:lang w:val="de-DE"/>
        </w:rPr>
        <w:t xml:space="preserve">G. Lilienthal "Der Lebensborn", Fischerverlag, 1993 </w:t>
      </w:r>
    </w:p>
    <w:p w:rsidR="00611878" w:rsidRPr="000E485B" w:rsidRDefault="00672C55" w:rsidP="00B72269">
      <w:pPr>
        <w:numPr>
          <w:ilvl w:val="0"/>
          <w:numId w:val="37"/>
        </w:numPr>
        <w:tabs>
          <w:tab w:val="left" w:pos="1985"/>
        </w:tabs>
        <w:spacing w:after="120" w:line="314" w:lineRule="auto"/>
        <w:ind w:left="1985" w:right="707" w:hanging="709"/>
        <w:rPr>
          <w:lang w:val="de-DE"/>
        </w:rPr>
      </w:pPr>
      <w:r w:rsidRPr="000E485B">
        <w:rPr>
          <w:sz w:val="24"/>
          <w:lang w:val="de-DE"/>
        </w:rPr>
        <w:t xml:space="preserve">G. Lilienthal, "Lebensborn Kinder und Kriegskinder", Vergessene Opfer nationalsozialistischer Rassenpolitik.   </w:t>
      </w:r>
    </w:p>
    <w:p w:rsidR="00611878" w:rsidRDefault="00672C55" w:rsidP="00B72269">
      <w:pPr>
        <w:numPr>
          <w:ilvl w:val="0"/>
          <w:numId w:val="37"/>
        </w:numPr>
        <w:tabs>
          <w:tab w:val="left" w:pos="1985"/>
        </w:tabs>
        <w:spacing w:after="120" w:line="316" w:lineRule="auto"/>
        <w:ind w:left="1985" w:right="707" w:hanging="709"/>
      </w:pPr>
      <w:r>
        <w:rPr>
          <w:sz w:val="24"/>
        </w:rPr>
        <w:t xml:space="preserve">J. R. Lilly "Stupri di guerra. Le violenze commesse dalle truppe americane in Gran Bretagna, Francia e Germania. 1942-1945" Mursia, Milano 2004. </w:t>
      </w:r>
    </w:p>
    <w:p w:rsidR="00611878" w:rsidRDefault="00672C55" w:rsidP="00B72269">
      <w:pPr>
        <w:numPr>
          <w:ilvl w:val="0"/>
          <w:numId w:val="37"/>
        </w:numPr>
        <w:tabs>
          <w:tab w:val="left" w:pos="1985"/>
        </w:tabs>
        <w:spacing w:after="120" w:line="312" w:lineRule="auto"/>
        <w:ind w:left="1985" w:right="707" w:hanging="709"/>
      </w:pPr>
      <w:r>
        <w:rPr>
          <w:sz w:val="24"/>
        </w:rPr>
        <w:t xml:space="preserve">D. Mayer, La verità sul processo di Verona, Mondadori, Milano ottobre 1945, pp. 163-164 </w:t>
      </w:r>
    </w:p>
    <w:p w:rsidR="00611878" w:rsidRDefault="00672C55" w:rsidP="00B72269">
      <w:pPr>
        <w:numPr>
          <w:ilvl w:val="0"/>
          <w:numId w:val="37"/>
        </w:numPr>
        <w:tabs>
          <w:tab w:val="left" w:pos="1985"/>
        </w:tabs>
        <w:spacing w:after="120" w:line="315" w:lineRule="auto"/>
        <w:ind w:left="1985" w:right="707" w:hanging="709"/>
      </w:pPr>
      <w:r>
        <w:rPr>
          <w:sz w:val="24"/>
        </w:rPr>
        <w:t>M. Picone Chiodo, "E malediranno l´ora in cui partirono", Mursia, Milano 1987 112.</w:t>
      </w:r>
      <w:r>
        <w:rPr>
          <w:rFonts w:ascii="Arial" w:eastAsia="Arial" w:hAnsi="Arial" w:cs="Arial"/>
          <w:sz w:val="24"/>
        </w:rPr>
        <w:t xml:space="preserve"> </w:t>
      </w:r>
      <w:r w:rsidRPr="000E485B">
        <w:rPr>
          <w:sz w:val="24"/>
          <w:lang w:val="de-DE"/>
        </w:rPr>
        <w:t xml:space="preserve">Quellen zu den Beziehungen Deutschlands zu seinen Nachbarn im 19. Und 20. </w:t>
      </w:r>
      <w:r>
        <w:rPr>
          <w:sz w:val="24"/>
        </w:rPr>
        <w:t xml:space="preserve">Jahrhundert, Wissenschaftliche Buchgesellschaft, Darmstadt 2001, vol. 10  </w:t>
      </w:r>
    </w:p>
    <w:p w:rsidR="00611878" w:rsidRPr="000E485B" w:rsidRDefault="00672C55" w:rsidP="00B72269">
      <w:pPr>
        <w:numPr>
          <w:ilvl w:val="0"/>
          <w:numId w:val="38"/>
        </w:numPr>
        <w:tabs>
          <w:tab w:val="left" w:pos="1985"/>
        </w:tabs>
        <w:spacing w:after="120" w:line="311" w:lineRule="auto"/>
        <w:ind w:left="1985" w:right="707" w:hanging="709"/>
        <w:rPr>
          <w:lang w:val="de-DE"/>
        </w:rPr>
      </w:pPr>
      <w:r w:rsidRPr="000E485B">
        <w:rPr>
          <w:sz w:val="24"/>
          <w:lang w:val="de-DE"/>
        </w:rPr>
        <w:t xml:space="preserve">Krausnik, "Denkschrift Himmlers über die Behandlung der Fremdvolkschen im Osten" </w:t>
      </w:r>
    </w:p>
    <w:p w:rsidR="00611878" w:rsidRPr="000E485B" w:rsidRDefault="00672C55" w:rsidP="00B72269">
      <w:pPr>
        <w:numPr>
          <w:ilvl w:val="0"/>
          <w:numId w:val="38"/>
        </w:numPr>
        <w:tabs>
          <w:tab w:val="left" w:pos="1985"/>
        </w:tabs>
        <w:spacing w:after="120" w:line="315" w:lineRule="auto"/>
        <w:ind w:left="1985" w:right="707" w:hanging="709"/>
        <w:rPr>
          <w:lang w:val="de-DE"/>
        </w:rPr>
      </w:pPr>
      <w:r w:rsidRPr="000E485B">
        <w:rPr>
          <w:sz w:val="24"/>
          <w:lang w:val="de-DE"/>
        </w:rPr>
        <w:t xml:space="preserve">Schöny, </w:t>
      </w:r>
      <w:r w:rsidRPr="000E485B">
        <w:rPr>
          <w:i/>
          <w:sz w:val="24"/>
          <w:lang w:val="de-DE"/>
        </w:rPr>
        <w:t>Die Rettung vor der Katastrophe – die Politik des Kabinetts Marx unter dem Ermächtigungsgesetz und ihre Erfolge</w:t>
      </w:r>
      <w:r w:rsidRPr="000E485B">
        <w:rPr>
          <w:sz w:val="24"/>
          <w:lang w:val="de-DE"/>
        </w:rPr>
        <w:t>, Verlag der Germania A.-G., Berlino 1924 115.</w:t>
      </w:r>
      <w:r w:rsidRPr="000E485B">
        <w:rPr>
          <w:rFonts w:ascii="Arial" w:eastAsia="Arial" w:hAnsi="Arial" w:cs="Arial"/>
          <w:sz w:val="24"/>
          <w:lang w:val="de-DE"/>
        </w:rPr>
        <w:t xml:space="preserve"> </w:t>
      </w:r>
      <w:r w:rsidRPr="000E485B">
        <w:rPr>
          <w:sz w:val="24"/>
          <w:lang w:val="de-DE"/>
        </w:rPr>
        <w:t xml:space="preserve">Schumann, S., "Die Frau aus den Erwerbsleben wieder herausnehmen." H. Arendt Institut, Dresda 2000 </w:t>
      </w:r>
    </w:p>
    <w:p w:rsidR="00611878" w:rsidRDefault="00672C55" w:rsidP="00B72269">
      <w:pPr>
        <w:numPr>
          <w:ilvl w:val="0"/>
          <w:numId w:val="39"/>
        </w:numPr>
        <w:tabs>
          <w:tab w:val="left" w:pos="1985"/>
        </w:tabs>
        <w:spacing w:after="120" w:line="259" w:lineRule="auto"/>
        <w:ind w:left="1985" w:right="707" w:hanging="709"/>
      </w:pPr>
      <w:r>
        <w:rPr>
          <w:sz w:val="24"/>
        </w:rPr>
        <w:t xml:space="preserve">N.. Stargardt, "La guerra dei bambini", Mondadori, Milano 2005 </w:t>
      </w:r>
    </w:p>
    <w:p w:rsidR="00611878" w:rsidRDefault="00672C55" w:rsidP="00B72269">
      <w:pPr>
        <w:numPr>
          <w:ilvl w:val="0"/>
          <w:numId w:val="39"/>
        </w:numPr>
        <w:tabs>
          <w:tab w:val="left" w:pos="1985"/>
        </w:tabs>
        <w:spacing w:after="120" w:line="267" w:lineRule="auto"/>
        <w:ind w:left="1985" w:right="707" w:hanging="709"/>
      </w:pPr>
      <w:r>
        <w:rPr>
          <w:sz w:val="24"/>
        </w:rPr>
        <w:t xml:space="preserve">W. L. Stein, </w:t>
      </w:r>
      <w:r>
        <w:rPr>
          <w:i/>
          <w:sz w:val="24"/>
        </w:rPr>
        <w:t xml:space="preserve">La tradizionale politica della Francia e l’avvenire europeo, </w:t>
      </w:r>
      <w:r>
        <w:rPr>
          <w:sz w:val="24"/>
        </w:rPr>
        <w:t xml:space="preserve">Maglione e Strini Ed., Roma, 1923 </w:t>
      </w:r>
    </w:p>
    <w:p w:rsidR="00611878" w:rsidRDefault="00672C55" w:rsidP="00B72269">
      <w:pPr>
        <w:numPr>
          <w:ilvl w:val="0"/>
          <w:numId w:val="39"/>
        </w:numPr>
        <w:tabs>
          <w:tab w:val="left" w:pos="1985"/>
        </w:tabs>
        <w:spacing w:after="120" w:line="314" w:lineRule="auto"/>
        <w:ind w:left="1985" w:right="707" w:hanging="709"/>
      </w:pPr>
      <w:r>
        <w:rPr>
          <w:sz w:val="24"/>
        </w:rPr>
        <w:t xml:space="preserve">M. Strazza, "Senza via di scampo", pubb. A cura del Consiglio regionale della Basilicata, Villa d´Agri (Pz), 2010 </w:t>
      </w:r>
    </w:p>
    <w:p w:rsidR="00611878" w:rsidRPr="000E485B" w:rsidRDefault="00672C55" w:rsidP="00B72269">
      <w:pPr>
        <w:numPr>
          <w:ilvl w:val="0"/>
          <w:numId w:val="39"/>
        </w:numPr>
        <w:tabs>
          <w:tab w:val="left" w:pos="1985"/>
        </w:tabs>
        <w:spacing w:after="120" w:line="314" w:lineRule="auto"/>
        <w:ind w:left="1985" w:right="707" w:hanging="709"/>
        <w:rPr>
          <w:lang w:val="de-DE"/>
        </w:rPr>
      </w:pPr>
      <w:r w:rsidRPr="000E485B">
        <w:rPr>
          <w:sz w:val="24"/>
          <w:lang w:val="de-DE"/>
        </w:rPr>
        <w:t xml:space="preserve">F. Römer, </w:t>
      </w:r>
      <w:r w:rsidRPr="000E485B">
        <w:rPr>
          <w:i/>
          <w:sz w:val="24"/>
          <w:lang w:val="de-DE"/>
        </w:rPr>
        <w:t>Kameraden – die Wehrmacht von innen</w:t>
      </w:r>
      <w:r w:rsidRPr="000E485B">
        <w:rPr>
          <w:sz w:val="24"/>
          <w:lang w:val="de-DE"/>
        </w:rPr>
        <w:t xml:space="preserve">, Piper München Zürich, Monaco di Baviera 2012 </w:t>
      </w:r>
    </w:p>
    <w:p w:rsidR="00611878" w:rsidRPr="000E485B" w:rsidRDefault="00672C55" w:rsidP="00B72269">
      <w:pPr>
        <w:numPr>
          <w:ilvl w:val="0"/>
          <w:numId w:val="39"/>
        </w:numPr>
        <w:tabs>
          <w:tab w:val="left" w:pos="1985"/>
        </w:tabs>
        <w:spacing w:after="120" w:line="259" w:lineRule="auto"/>
        <w:ind w:left="1985" w:right="707" w:hanging="709"/>
        <w:rPr>
          <w:lang w:val="en-GB"/>
        </w:rPr>
      </w:pPr>
      <w:r w:rsidRPr="000E485B">
        <w:rPr>
          <w:sz w:val="24"/>
          <w:lang w:val="en-GB"/>
        </w:rPr>
        <w:t xml:space="preserve">H. R. Trevor-Roper "The last days of Hitler", Pan books ltd, Londra 1962  </w:t>
      </w:r>
    </w:p>
    <w:p w:rsidR="00611878" w:rsidRPr="000E485B" w:rsidRDefault="00672C55" w:rsidP="00B72269">
      <w:pPr>
        <w:numPr>
          <w:ilvl w:val="0"/>
          <w:numId w:val="39"/>
        </w:numPr>
        <w:tabs>
          <w:tab w:val="left" w:pos="1985"/>
        </w:tabs>
        <w:spacing w:after="120" w:line="267" w:lineRule="auto"/>
        <w:ind w:left="1985" w:right="707" w:hanging="709"/>
        <w:rPr>
          <w:lang w:val="de-DE"/>
        </w:rPr>
      </w:pPr>
      <w:r w:rsidRPr="000E485B">
        <w:rPr>
          <w:sz w:val="24"/>
          <w:lang w:val="de-DE"/>
        </w:rPr>
        <w:t xml:space="preserve">Trunk, </w:t>
      </w:r>
      <w:r w:rsidRPr="000E485B">
        <w:rPr>
          <w:i/>
          <w:sz w:val="24"/>
          <w:lang w:val="de-DE"/>
        </w:rPr>
        <w:t>Zweihundert Blutbroben aus Auschwitz, eine Forschungvorhabe zwischen Antropologie und Biochemie (1943-1945)</w:t>
      </w:r>
      <w:r w:rsidRPr="000E485B">
        <w:rPr>
          <w:sz w:val="24"/>
          <w:lang w:val="de-DE"/>
        </w:rPr>
        <w:t xml:space="preserve">, Max Planck – Gesellschaft zur Forderung der Wissenschaften e. V., p. 29 </w:t>
      </w:r>
    </w:p>
    <w:p w:rsidR="00611878" w:rsidRDefault="00672C55" w:rsidP="00B72269">
      <w:pPr>
        <w:numPr>
          <w:ilvl w:val="0"/>
          <w:numId w:val="39"/>
        </w:numPr>
        <w:tabs>
          <w:tab w:val="left" w:pos="1985"/>
        </w:tabs>
        <w:spacing w:after="120" w:line="357" w:lineRule="auto"/>
        <w:ind w:left="1985" w:right="707" w:hanging="709"/>
      </w:pPr>
      <w:r w:rsidRPr="000E485B">
        <w:rPr>
          <w:sz w:val="24"/>
          <w:lang w:val="de-DE"/>
        </w:rPr>
        <w:lastRenderedPageBreak/>
        <w:t>A. M. de Zayas, Anmerkungen zur Vertreibung der Deutschen aus dem Osten – Dritte, verbesserte Auflage, Verlag W. Kohlhammer, Stoccarda 1987 123.</w:t>
      </w:r>
      <w:r w:rsidRPr="000E485B">
        <w:rPr>
          <w:rFonts w:ascii="Arial" w:eastAsia="Arial" w:hAnsi="Arial" w:cs="Arial"/>
          <w:sz w:val="24"/>
          <w:lang w:val="de-DE"/>
        </w:rPr>
        <w:t xml:space="preserve"> </w:t>
      </w:r>
      <w:r w:rsidRPr="000E485B">
        <w:rPr>
          <w:rFonts w:ascii="Arial" w:eastAsia="Arial" w:hAnsi="Arial" w:cs="Arial"/>
          <w:sz w:val="24"/>
          <w:lang w:val="de-DE"/>
        </w:rPr>
        <w:tab/>
      </w:r>
      <w:r>
        <w:rPr>
          <w:sz w:val="24"/>
        </w:rPr>
        <w:t xml:space="preserve">De Zayas, A., "Nemesis at Potsdam" </w:t>
      </w:r>
    </w:p>
    <w:p w:rsidR="00611878" w:rsidRDefault="00672C55" w:rsidP="00B72269">
      <w:pPr>
        <w:numPr>
          <w:ilvl w:val="0"/>
          <w:numId w:val="40"/>
        </w:numPr>
        <w:tabs>
          <w:tab w:val="left" w:pos="1985"/>
        </w:tabs>
        <w:spacing w:after="120" w:line="259" w:lineRule="auto"/>
        <w:ind w:left="1985" w:right="707" w:hanging="709"/>
      </w:pPr>
      <w:r>
        <w:rPr>
          <w:sz w:val="24"/>
        </w:rPr>
        <w:t xml:space="preserve">Una profuga a Berlino. Diario apr.- giu.1945, Einaudi, Torino 2004 </w:t>
      </w:r>
    </w:p>
    <w:p w:rsidR="00544949" w:rsidRPr="00544949" w:rsidRDefault="00672C55" w:rsidP="00B72269">
      <w:pPr>
        <w:numPr>
          <w:ilvl w:val="0"/>
          <w:numId w:val="40"/>
        </w:numPr>
        <w:tabs>
          <w:tab w:val="left" w:pos="1985"/>
        </w:tabs>
        <w:spacing w:after="120" w:line="366" w:lineRule="auto"/>
        <w:ind w:left="1985" w:right="707" w:hanging="709"/>
        <w:rPr>
          <w:lang w:val="de-DE"/>
        </w:rPr>
      </w:pPr>
      <w:r w:rsidRPr="000E485B">
        <w:rPr>
          <w:sz w:val="24"/>
          <w:lang w:val="de-DE"/>
        </w:rPr>
        <w:t xml:space="preserve">Vergewaltigung in Dresden nach 1945, in Dresdner Hefte, n. 16/1998 </w:t>
      </w:r>
    </w:p>
    <w:p w:rsidR="00544949" w:rsidRDefault="00544949">
      <w:pPr>
        <w:spacing w:after="160" w:line="259" w:lineRule="auto"/>
        <w:ind w:left="0" w:right="0" w:firstLine="0"/>
        <w:jc w:val="left"/>
        <w:rPr>
          <w:b/>
          <w:sz w:val="24"/>
          <w:lang w:val="de-DE"/>
        </w:rPr>
      </w:pPr>
      <w:r>
        <w:rPr>
          <w:b/>
          <w:sz w:val="24"/>
          <w:lang w:val="de-DE"/>
        </w:rPr>
        <w:br w:type="page"/>
      </w:r>
    </w:p>
    <w:p w:rsidR="00611878" w:rsidRPr="000E485B" w:rsidRDefault="00672C55" w:rsidP="00544949">
      <w:pPr>
        <w:spacing w:after="354" w:line="366" w:lineRule="auto"/>
        <w:ind w:left="1276" w:right="707" w:firstLine="0"/>
        <w:rPr>
          <w:lang w:val="de-DE"/>
        </w:rPr>
      </w:pPr>
      <w:r w:rsidRPr="000E485B">
        <w:rPr>
          <w:b/>
          <w:sz w:val="24"/>
          <w:lang w:val="de-DE"/>
        </w:rPr>
        <w:lastRenderedPageBreak/>
        <w:t xml:space="preserve">Sitografia </w:t>
      </w:r>
    </w:p>
    <w:p w:rsidR="00611878" w:rsidRDefault="00791545" w:rsidP="004B3A00">
      <w:pPr>
        <w:numPr>
          <w:ilvl w:val="1"/>
          <w:numId w:val="40"/>
        </w:numPr>
        <w:spacing w:after="448" w:line="278" w:lineRule="auto"/>
        <w:ind w:right="0" w:hanging="360"/>
        <w:jc w:val="left"/>
      </w:pPr>
      <w:hyperlink r:id="rId70">
        <w:r w:rsidR="00672C55">
          <w:rPr>
            <w:color w:val="0000FF"/>
            <w:sz w:val="24"/>
            <w:u w:val="single" w:color="0000FF"/>
          </w:rPr>
          <w:t>http://www.bancadellamemoria.it</w:t>
        </w:r>
      </w:hyperlink>
      <w:hyperlink r:id="rId71">
        <w:r w:rsidR="00672C55">
          <w:rPr>
            <w:sz w:val="24"/>
          </w:rPr>
          <w:t xml:space="preserve"> </w:t>
        </w:r>
      </w:hyperlink>
    </w:p>
    <w:p w:rsidR="00611878" w:rsidRDefault="00791545" w:rsidP="004B3A00">
      <w:pPr>
        <w:numPr>
          <w:ilvl w:val="1"/>
          <w:numId w:val="40"/>
        </w:numPr>
        <w:spacing w:after="448" w:line="278" w:lineRule="auto"/>
        <w:ind w:right="0" w:hanging="360"/>
        <w:jc w:val="left"/>
      </w:pPr>
      <w:hyperlink r:id="rId72">
        <w:r w:rsidR="00672C55">
          <w:rPr>
            <w:color w:val="0000FF"/>
            <w:sz w:val="24"/>
            <w:u w:val="single" w:color="0000FF"/>
          </w:rPr>
          <w:t>http://www.memoro.de</w:t>
        </w:r>
      </w:hyperlink>
      <w:hyperlink r:id="rId73">
        <w:r w:rsidR="00672C55">
          <w:rPr>
            <w:sz w:val="24"/>
          </w:rPr>
          <w:t xml:space="preserve"> </w:t>
        </w:r>
      </w:hyperlink>
      <w:r w:rsidR="00672C55">
        <w:rPr>
          <w:sz w:val="24"/>
        </w:rPr>
        <w:t xml:space="preserve"> </w:t>
      </w:r>
    </w:p>
    <w:p w:rsidR="00611878" w:rsidRDefault="00791545" w:rsidP="004B3A00">
      <w:pPr>
        <w:numPr>
          <w:ilvl w:val="1"/>
          <w:numId w:val="40"/>
        </w:numPr>
        <w:spacing w:after="448" w:line="278" w:lineRule="auto"/>
        <w:ind w:right="0" w:hanging="360"/>
        <w:jc w:val="left"/>
      </w:pPr>
      <w:hyperlink r:id="rId74">
        <w:r w:rsidR="00672C55">
          <w:rPr>
            <w:color w:val="0000FF"/>
            <w:sz w:val="24"/>
            <w:u w:val="single" w:color="0000FF"/>
          </w:rPr>
          <w:t>http://www.zukunft</w:t>
        </w:r>
      </w:hyperlink>
      <w:hyperlink r:id="rId75">
        <w:r w:rsidR="00672C55">
          <w:rPr>
            <w:color w:val="0000FF"/>
            <w:sz w:val="24"/>
            <w:u w:val="single" w:color="0000FF"/>
          </w:rPr>
          <w:t>-</w:t>
        </w:r>
      </w:hyperlink>
      <w:hyperlink r:id="rId76">
        <w:r w:rsidR="00672C55">
          <w:rPr>
            <w:color w:val="0000FF"/>
            <w:sz w:val="24"/>
            <w:u w:val="single" w:color="0000FF"/>
          </w:rPr>
          <w:t>braucht</w:t>
        </w:r>
      </w:hyperlink>
      <w:hyperlink r:id="rId77">
        <w:r w:rsidR="00672C55">
          <w:rPr>
            <w:color w:val="0000FF"/>
            <w:sz w:val="24"/>
            <w:u w:val="single" w:color="0000FF"/>
          </w:rPr>
          <w:t>-</w:t>
        </w:r>
      </w:hyperlink>
      <w:hyperlink r:id="rId78">
        <w:r w:rsidR="00672C55">
          <w:rPr>
            <w:color w:val="0000FF"/>
            <w:sz w:val="24"/>
            <w:u w:val="single" w:color="0000FF"/>
          </w:rPr>
          <w:t>erinnerung.de</w:t>
        </w:r>
      </w:hyperlink>
      <w:hyperlink r:id="rId79">
        <w:r w:rsidR="00672C55">
          <w:rPr>
            <w:sz w:val="24"/>
          </w:rPr>
          <w:t xml:space="preserve"> </w:t>
        </w:r>
      </w:hyperlink>
      <w:r w:rsidR="00672C55">
        <w:rPr>
          <w:sz w:val="24"/>
        </w:rPr>
        <w:t xml:space="preserve"> </w:t>
      </w:r>
    </w:p>
    <w:p w:rsidR="00611878" w:rsidRDefault="00791545" w:rsidP="004B3A00">
      <w:pPr>
        <w:numPr>
          <w:ilvl w:val="1"/>
          <w:numId w:val="40"/>
        </w:numPr>
        <w:spacing w:after="448" w:line="278" w:lineRule="auto"/>
        <w:ind w:right="0" w:hanging="360"/>
        <w:jc w:val="left"/>
      </w:pPr>
      <w:hyperlink r:id="rId80">
        <w:r w:rsidR="00672C55">
          <w:rPr>
            <w:color w:val="0000FF"/>
            <w:sz w:val="24"/>
            <w:u w:val="single" w:color="0000FF"/>
          </w:rPr>
          <w:t>http://wikimedia.de/wiki/Hauptseite</w:t>
        </w:r>
      </w:hyperlink>
      <w:hyperlink r:id="rId81">
        <w:r w:rsidR="00672C55">
          <w:rPr>
            <w:sz w:val="24"/>
          </w:rPr>
          <w:t xml:space="preserve"> </w:t>
        </w:r>
      </w:hyperlink>
      <w:r w:rsidR="00672C55">
        <w:rPr>
          <w:sz w:val="24"/>
        </w:rPr>
        <w:t xml:space="preserve"> </w:t>
      </w:r>
    </w:p>
    <w:p w:rsidR="00611878" w:rsidRDefault="00791545" w:rsidP="004B3A00">
      <w:pPr>
        <w:numPr>
          <w:ilvl w:val="1"/>
          <w:numId w:val="40"/>
        </w:numPr>
        <w:spacing w:after="401" w:line="278" w:lineRule="auto"/>
        <w:ind w:right="0" w:hanging="360"/>
        <w:jc w:val="left"/>
      </w:pPr>
      <w:hyperlink r:id="rId82">
        <w:r w:rsidR="00672C55">
          <w:rPr>
            <w:color w:val="0000FF"/>
            <w:sz w:val="24"/>
            <w:u w:val="single" w:color="0000FF"/>
          </w:rPr>
          <w:t>http://www.wochenschau</w:t>
        </w:r>
      </w:hyperlink>
      <w:hyperlink r:id="rId83">
        <w:r w:rsidR="00672C55">
          <w:rPr>
            <w:color w:val="0000FF"/>
            <w:sz w:val="24"/>
            <w:u w:val="single" w:color="0000FF"/>
          </w:rPr>
          <w:t>-</w:t>
        </w:r>
      </w:hyperlink>
      <w:hyperlink r:id="rId84">
        <w:r w:rsidR="00672C55">
          <w:rPr>
            <w:color w:val="0000FF"/>
            <w:sz w:val="24"/>
            <w:u w:val="single" w:color="0000FF"/>
          </w:rPr>
          <w:t>archiv.de/</w:t>
        </w:r>
      </w:hyperlink>
      <w:hyperlink r:id="rId85">
        <w:r w:rsidR="00672C55">
          <w:rPr>
            <w:color w:val="17365D"/>
            <w:sz w:val="24"/>
          </w:rPr>
          <w:t xml:space="preserve"> </w:t>
        </w:r>
      </w:hyperlink>
    </w:p>
    <w:p w:rsidR="00B72269" w:rsidRDefault="00B72269">
      <w:pPr>
        <w:spacing w:after="471" w:line="259" w:lineRule="auto"/>
        <w:ind w:left="1702" w:right="0" w:firstLine="0"/>
        <w:jc w:val="left"/>
        <w:rPr>
          <w:sz w:val="24"/>
        </w:rPr>
      </w:pPr>
    </w:p>
    <w:p w:rsidR="00611878" w:rsidRDefault="00672C55">
      <w:pPr>
        <w:spacing w:after="471" w:line="259" w:lineRule="auto"/>
        <w:ind w:left="1702" w:right="0" w:firstLine="0"/>
        <w:jc w:val="left"/>
      </w:pPr>
      <w:r>
        <w:rPr>
          <w:sz w:val="24"/>
        </w:rPr>
        <w:t xml:space="preserve"> </w:t>
      </w:r>
    </w:p>
    <w:p w:rsidR="00611878" w:rsidRDefault="00672C55" w:rsidP="00544949">
      <w:pPr>
        <w:pStyle w:val="Titolo2"/>
        <w:spacing w:after="409" w:line="265" w:lineRule="auto"/>
        <w:ind w:left="1276"/>
      </w:pPr>
      <w:r>
        <w:rPr>
          <w:sz w:val="24"/>
        </w:rPr>
        <w:t>Video</w:t>
      </w:r>
    </w:p>
    <w:p w:rsidR="00611878" w:rsidRPr="000E485B" w:rsidRDefault="00672C55" w:rsidP="004B3A00">
      <w:pPr>
        <w:numPr>
          <w:ilvl w:val="0"/>
          <w:numId w:val="41"/>
        </w:numPr>
        <w:spacing w:after="361" w:line="366" w:lineRule="auto"/>
        <w:ind w:right="707" w:hanging="360"/>
        <w:jc w:val="left"/>
        <w:rPr>
          <w:lang w:val="de-DE"/>
        </w:rPr>
      </w:pPr>
      <w:r w:rsidRPr="000E485B">
        <w:rPr>
          <w:sz w:val="24"/>
          <w:lang w:val="de-DE"/>
        </w:rPr>
        <w:t xml:space="preserve">Documentario „Liebe im Vernichtungskrieg“ von Müller </w:t>
      </w:r>
    </w:p>
    <w:p w:rsidR="00611878" w:rsidRPr="000E485B" w:rsidRDefault="00672C55" w:rsidP="004B3A00">
      <w:pPr>
        <w:numPr>
          <w:ilvl w:val="0"/>
          <w:numId w:val="41"/>
        </w:numPr>
        <w:spacing w:after="360" w:line="366" w:lineRule="auto"/>
        <w:ind w:right="707" w:hanging="360"/>
        <w:jc w:val="left"/>
        <w:rPr>
          <w:lang w:val="de-DE"/>
        </w:rPr>
      </w:pPr>
      <w:r w:rsidRPr="000E485B">
        <w:rPr>
          <w:sz w:val="24"/>
          <w:lang w:val="de-DE"/>
        </w:rPr>
        <w:t xml:space="preserve">Film „Anonyma. Eine Frau in Berlin“ von Max Ferberbock </w:t>
      </w:r>
    </w:p>
    <w:p w:rsidR="00611878" w:rsidRPr="000E485B" w:rsidRDefault="00791545" w:rsidP="004B3A00">
      <w:pPr>
        <w:numPr>
          <w:ilvl w:val="0"/>
          <w:numId w:val="41"/>
        </w:numPr>
        <w:spacing w:after="448" w:line="278" w:lineRule="auto"/>
        <w:ind w:right="707" w:hanging="360"/>
        <w:jc w:val="left"/>
        <w:rPr>
          <w:lang w:val="de-DE"/>
        </w:rPr>
      </w:pPr>
      <w:hyperlink r:id="rId86">
        <w:r w:rsidR="00672C55" w:rsidRPr="000E485B">
          <w:rPr>
            <w:color w:val="0000FF"/>
            <w:sz w:val="24"/>
            <w:u w:val="single" w:color="0000FF"/>
            <w:lang w:val="de-DE"/>
          </w:rPr>
          <w:t>http://www.youtube.com/watch?v=1x7t5hJeq0U</w:t>
        </w:r>
      </w:hyperlink>
      <w:hyperlink r:id="rId87">
        <w:r w:rsidR="00672C55" w:rsidRPr="000E485B">
          <w:rPr>
            <w:sz w:val="24"/>
            <w:lang w:val="de-DE"/>
          </w:rPr>
          <w:t xml:space="preserve"> </w:t>
        </w:r>
      </w:hyperlink>
    </w:p>
    <w:p w:rsidR="00611878" w:rsidRPr="000E485B" w:rsidRDefault="00791545" w:rsidP="004B3A00">
      <w:pPr>
        <w:numPr>
          <w:ilvl w:val="0"/>
          <w:numId w:val="41"/>
        </w:numPr>
        <w:spacing w:after="401" w:line="278" w:lineRule="auto"/>
        <w:ind w:right="707" w:hanging="360"/>
        <w:jc w:val="left"/>
        <w:rPr>
          <w:lang w:val="de-DE"/>
        </w:rPr>
      </w:pPr>
      <w:hyperlink r:id="rId88">
        <w:r w:rsidR="00672C55" w:rsidRPr="000E485B">
          <w:rPr>
            <w:color w:val="0000FF"/>
            <w:sz w:val="24"/>
            <w:u w:val="single" w:color="0000FF"/>
            <w:lang w:val="de-DE"/>
          </w:rPr>
          <w:t>http://www.youtube.com/watch?v=hlHz9L2WMKA</w:t>
        </w:r>
      </w:hyperlink>
      <w:hyperlink r:id="rId89">
        <w:r w:rsidR="00672C55" w:rsidRPr="000E485B">
          <w:rPr>
            <w:sz w:val="24"/>
            <w:lang w:val="de-DE"/>
          </w:rPr>
          <w:t xml:space="preserve"> </w:t>
        </w:r>
      </w:hyperlink>
      <w:r w:rsidR="00672C55" w:rsidRPr="000E485B">
        <w:rPr>
          <w:sz w:val="24"/>
          <w:lang w:val="de-DE"/>
        </w:rPr>
        <w:t xml:space="preserve"> </w:t>
      </w:r>
    </w:p>
    <w:p w:rsidR="00611878" w:rsidRPr="000E485B" w:rsidRDefault="00672C55" w:rsidP="00B72269">
      <w:pPr>
        <w:spacing w:after="391" w:line="259" w:lineRule="auto"/>
        <w:ind w:left="1702" w:right="0" w:firstLine="0"/>
        <w:jc w:val="left"/>
        <w:rPr>
          <w:lang w:val="de-DE"/>
        </w:rPr>
      </w:pPr>
      <w:r w:rsidRPr="000E485B">
        <w:rPr>
          <w:sz w:val="24"/>
          <w:lang w:val="de-DE"/>
        </w:rPr>
        <w:t xml:space="preserve"> </w:t>
      </w:r>
    </w:p>
    <w:sectPr w:rsidR="00611878" w:rsidRPr="000E485B">
      <w:footerReference w:type="even" r:id="rId90"/>
      <w:footerReference w:type="default" r:id="rId91"/>
      <w:footerReference w:type="first" r:id="rId92"/>
      <w:pgSz w:w="11906" w:h="16838"/>
      <w:pgMar w:top="1418" w:right="846" w:bottom="343" w:left="566" w:header="720"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0E4B" w:rsidRDefault="00B00E4B">
      <w:pPr>
        <w:spacing w:after="0" w:line="240" w:lineRule="auto"/>
      </w:pPr>
      <w:r>
        <w:separator/>
      </w:r>
    </w:p>
  </w:endnote>
  <w:endnote w:type="continuationSeparator" w:id="0">
    <w:p w:rsidR="00B00E4B" w:rsidRDefault="00B00E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A53" w:rsidRDefault="00593A53">
    <w:pPr>
      <w:spacing w:after="0" w:line="259" w:lineRule="auto"/>
      <w:ind w:left="0" w:right="288" w:firstLine="0"/>
      <w:jc w:val="right"/>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rsidR="00593A53" w:rsidRDefault="00593A53">
    <w:pPr>
      <w:spacing w:after="0" w:line="259" w:lineRule="auto"/>
      <w:ind w:left="0" w:right="0" w:firstLine="0"/>
      <w:jc w:val="left"/>
    </w:pPr>
    <w:r>
      <w:rPr>
        <w:rFonts w:ascii="Calibri" w:eastAsia="Calibri" w:hAnsi="Calibri" w:cs="Calibri"/>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A53" w:rsidRDefault="00593A53">
    <w:pPr>
      <w:spacing w:after="0" w:line="259" w:lineRule="auto"/>
      <w:ind w:left="0" w:right="288" w:firstLine="0"/>
      <w:jc w:val="right"/>
    </w:pPr>
    <w:r>
      <w:fldChar w:fldCharType="begin"/>
    </w:r>
    <w:r>
      <w:instrText xml:space="preserve"> PAGE   \* MERGEFORMAT </w:instrText>
    </w:r>
    <w:r>
      <w:fldChar w:fldCharType="separate"/>
    </w:r>
    <w:r w:rsidR="00DE767E" w:rsidRPr="00DE767E">
      <w:rPr>
        <w:noProof/>
        <w:sz w:val="24"/>
      </w:rPr>
      <w:t>243</w:t>
    </w:r>
    <w:r>
      <w:rPr>
        <w:sz w:val="24"/>
      </w:rPr>
      <w:fldChar w:fldCharType="end"/>
    </w:r>
    <w:r>
      <w:rPr>
        <w:sz w:val="24"/>
      </w:rPr>
      <w:t xml:space="preserve"> </w:t>
    </w:r>
  </w:p>
  <w:p w:rsidR="00593A53" w:rsidRDefault="00593A53">
    <w:pPr>
      <w:spacing w:after="0" w:line="259" w:lineRule="auto"/>
      <w:ind w:left="0" w:right="0" w:firstLine="0"/>
      <w:jc w:val="left"/>
    </w:pPr>
    <w:r>
      <w:rPr>
        <w:rFonts w:ascii="Calibri" w:eastAsia="Calibri" w:hAnsi="Calibri" w:cs="Calibri"/>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A53" w:rsidRDefault="00593A53">
    <w:pPr>
      <w:spacing w:after="0" w:line="259" w:lineRule="auto"/>
      <w:ind w:left="0" w:right="288" w:firstLine="0"/>
      <w:jc w:val="right"/>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rsidR="00593A53" w:rsidRDefault="00593A53">
    <w:pPr>
      <w:spacing w:after="0" w:line="259" w:lineRule="auto"/>
      <w:ind w:left="0" w:right="0" w:firstLine="0"/>
      <w:jc w:val="left"/>
    </w:pPr>
    <w:r>
      <w:rPr>
        <w:rFonts w:ascii="Calibri" w:eastAsia="Calibri" w:hAnsi="Calibri" w:cs="Calibri"/>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0E4B" w:rsidRDefault="00B00E4B">
      <w:pPr>
        <w:spacing w:after="99" w:line="259" w:lineRule="auto"/>
        <w:ind w:left="566" w:right="0" w:firstLine="0"/>
        <w:jc w:val="left"/>
      </w:pPr>
      <w:r>
        <w:separator/>
      </w:r>
    </w:p>
  </w:footnote>
  <w:footnote w:type="continuationSeparator" w:id="0">
    <w:p w:rsidR="00B00E4B" w:rsidRDefault="00B00E4B">
      <w:pPr>
        <w:spacing w:after="99" w:line="259" w:lineRule="auto"/>
        <w:ind w:left="566" w:right="0" w:firstLine="0"/>
        <w:jc w:val="left"/>
      </w:pPr>
      <w:r>
        <w:continuationSeparator/>
      </w:r>
    </w:p>
  </w:footnote>
  <w:footnote w:id="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t>
      </w:r>
      <w:r w:rsidRPr="002B0DBD">
        <w:rPr>
          <w:i/>
          <w:sz w:val="20"/>
          <w:szCs w:val="20"/>
        </w:rPr>
        <w:t xml:space="preserve">Ovidio, “L’arte di amare”, BUR, Milano 1998, pp. 24-25 </w:t>
      </w:r>
      <w:r w:rsidRPr="002B0DBD">
        <w:rPr>
          <w:rFonts w:eastAsia="Calibri"/>
          <w:sz w:val="20"/>
          <w:szCs w:val="20"/>
        </w:rPr>
        <w:t xml:space="preserve"> </w:t>
      </w:r>
    </w:p>
  </w:footnote>
  <w:footnote w:id="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t>
      </w:r>
      <w:r w:rsidRPr="002B0DBD">
        <w:rPr>
          <w:rFonts w:eastAsia="Calibri"/>
          <w:sz w:val="20"/>
          <w:szCs w:val="20"/>
        </w:rPr>
        <w:t xml:space="preserve">K. Guenivert, “Stupri di guerra”, Luca Sosella ed., Roma 2002, pp. 28-29  </w:t>
      </w:r>
    </w:p>
  </w:footnote>
  <w:footnote w:id="3">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t>
      </w:r>
      <w:r w:rsidRPr="002B0DBD">
        <w:rPr>
          <w:i/>
          <w:sz w:val="20"/>
          <w:szCs w:val="20"/>
        </w:rPr>
        <w:t>“Lo stupro come arma di guerra”</w:t>
      </w:r>
      <w:r w:rsidRPr="002B0DBD">
        <w:rPr>
          <w:sz w:val="20"/>
          <w:szCs w:val="20"/>
        </w:rPr>
        <w:t xml:space="preserve">, Lettera firmata da un gruppo di donne per la conferenza degli USA del marzo ’93 – Zagabria, 18 marzo 1993 – Donne contro la guerra, Il Pioppo, Palermo 1996  </w:t>
      </w:r>
    </w:p>
  </w:footnote>
  <w:footnote w:id="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M. Banti, </w:t>
      </w:r>
      <w:r w:rsidRPr="002B0DBD">
        <w:rPr>
          <w:i/>
          <w:sz w:val="20"/>
          <w:szCs w:val="20"/>
        </w:rPr>
        <w:t xml:space="preserve">“L’onore della Nazione”, </w:t>
      </w:r>
      <w:r w:rsidRPr="002B0DBD">
        <w:rPr>
          <w:sz w:val="20"/>
          <w:szCs w:val="20"/>
        </w:rPr>
        <w:t xml:space="preserve">Einaudi, Torino 2005 pp. 241-260  </w:t>
      </w:r>
    </w:p>
  </w:footnote>
  <w:footnote w:id="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Conclusione di G. Pagi Palombo contenuta in I. Aikpitanyi, </w:t>
      </w:r>
      <w:r w:rsidRPr="002B0DBD">
        <w:rPr>
          <w:i/>
          <w:sz w:val="20"/>
          <w:szCs w:val="20"/>
        </w:rPr>
        <w:t>“500 storie vere sulla tratta delle ragazze africane in Italia”,</w:t>
      </w:r>
      <w:r w:rsidRPr="002B0DBD">
        <w:rPr>
          <w:sz w:val="20"/>
          <w:szCs w:val="20"/>
        </w:rPr>
        <w:t xml:space="preserve"> Ediesse, Roma 2011 </w:t>
      </w:r>
    </w:p>
  </w:footnote>
  <w:footnote w:id="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K. Guenivert, cit., p.56 </w:t>
      </w:r>
    </w:p>
  </w:footnote>
  <w:footnote w:id="7">
    <w:p w:rsidR="00593A53" w:rsidRPr="002B0DBD" w:rsidRDefault="00593A53" w:rsidP="001318A0">
      <w:pPr>
        <w:pStyle w:val="footnotedescription"/>
        <w:spacing w:line="240" w:lineRule="auto"/>
        <w:ind w:left="567" w:right="714"/>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“An die Wissenschaftlische Kommission/der Vertreibung/ Bonn Huserstr. 30/ Der Bericht […] mit dem </w:t>
      </w:r>
    </w:p>
    <w:p w:rsidR="00593A53" w:rsidRPr="002B0DBD" w:rsidRDefault="00593A53" w:rsidP="00791545">
      <w:pPr>
        <w:pStyle w:val="footnotedescription"/>
        <w:spacing w:after="120" w:line="240" w:lineRule="auto"/>
        <w:ind w:left="566" w:right="713"/>
        <w:jc w:val="both"/>
        <w:rPr>
          <w:sz w:val="20"/>
          <w:szCs w:val="20"/>
          <w:lang w:val="de-DE"/>
        </w:rPr>
      </w:pPr>
      <w:r w:rsidRPr="002B0DBD">
        <w:rPr>
          <w:i/>
          <w:sz w:val="20"/>
          <w:szCs w:val="20"/>
          <w:lang w:val="de-DE"/>
        </w:rPr>
        <w:t>Datum vom 17 August 1955 ist von mir verfaßt und schildert wahrheitsgetreu von mir selbst erlebte Erergnisse./ Es darf mit meinem Namen veröffentlicht werden“</w:t>
      </w:r>
      <w:r w:rsidRPr="002B0DBD">
        <w:rPr>
          <w:sz w:val="20"/>
          <w:szCs w:val="20"/>
          <w:lang w:val="de-DE"/>
        </w:rPr>
        <w:t xml:space="preserve"> BA – Bayreuth, Ost-Dok. 2/284a    </w:t>
      </w:r>
    </w:p>
  </w:footnote>
  <w:footnote w:id="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Miotto, Pensiero e linguaggio, pp. 71-72</w:t>
      </w:r>
      <w:r w:rsidRPr="002B0DBD">
        <w:rPr>
          <w:rFonts w:eastAsia="Calibri"/>
          <w:sz w:val="20"/>
          <w:szCs w:val="20"/>
        </w:rPr>
        <w:t xml:space="preserve"> </w:t>
      </w:r>
    </w:p>
  </w:footnote>
  <w:footnote w:id="9">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lang w:val="de-DE"/>
        </w:rPr>
        <w:t xml:space="preserve"> Memoria di Dorothea M., Ost Dok 2/68, WestPreussen, Reichskreise, Kreis Elbing, pp. 380383. </w:t>
      </w:r>
      <w:r w:rsidRPr="002B0DBD">
        <w:rPr>
          <w:sz w:val="20"/>
          <w:szCs w:val="20"/>
        </w:rPr>
        <w:t xml:space="preserve">Riportata integralmente in traduzione italiana in M. Ermacora </w:t>
      </w:r>
      <w:r w:rsidRPr="002B0DBD">
        <w:rPr>
          <w:i/>
          <w:sz w:val="20"/>
          <w:szCs w:val="20"/>
        </w:rPr>
        <w:t>Dorothea e le altre</w:t>
      </w:r>
      <w:r w:rsidRPr="002B0DBD">
        <w:rPr>
          <w:sz w:val="20"/>
          <w:szCs w:val="20"/>
        </w:rPr>
        <w:t xml:space="preserve">, Dep. N. 10/2009  </w:t>
      </w:r>
    </w:p>
  </w:footnote>
  <w:footnote w:id="1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Bravo </w:t>
      </w:r>
      <w:r w:rsidRPr="002B0DBD">
        <w:rPr>
          <w:i/>
          <w:sz w:val="20"/>
          <w:szCs w:val="20"/>
        </w:rPr>
        <w:t xml:space="preserve">Donne e uomini nelle guerre mondiali, </w:t>
      </w:r>
      <w:r w:rsidRPr="002B0DBD">
        <w:rPr>
          <w:sz w:val="20"/>
          <w:szCs w:val="20"/>
        </w:rPr>
        <w:t xml:space="preserve">Laterza, Bari 1991, Introduzione. </w:t>
      </w:r>
    </w:p>
  </w:footnote>
  <w:footnote w:id="1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Ponzani, cit., p. 202  </w:t>
      </w:r>
    </w:p>
  </w:footnote>
  <w:footnote w:id="12">
    <w:p w:rsidR="00593A53" w:rsidRPr="002B0DBD" w:rsidRDefault="00593A53" w:rsidP="00791545">
      <w:pPr>
        <w:pStyle w:val="Testonotaapidipagina"/>
        <w:spacing w:after="120"/>
        <w:ind w:left="566" w:right="713" w:firstLine="0"/>
      </w:pPr>
      <w:r w:rsidRPr="002B0DBD">
        <w:rPr>
          <w:rStyle w:val="Rimandonotaapidipagina"/>
        </w:rPr>
        <w:footnoteRef/>
      </w:r>
      <w:r w:rsidRPr="002B0DBD">
        <w:t xml:space="preserve"> B. Alakus, K. Kniefacz, R. Vorberg, </w:t>
      </w:r>
      <w:r w:rsidRPr="002B0DBD">
        <w:rPr>
          <w:i/>
        </w:rPr>
        <w:t>I bordelli di Himmler,</w:t>
      </w:r>
      <w:r w:rsidRPr="002B0DBD">
        <w:t xml:space="preserve"> Mimesis, Milano – Udine 2011, cap. 1  </w:t>
      </w:r>
    </w:p>
  </w:footnote>
  <w:footnote w:id="13">
    <w:p w:rsidR="00593A53" w:rsidRPr="002B0DBD" w:rsidRDefault="00593A53" w:rsidP="00791545">
      <w:pPr>
        <w:spacing w:after="120" w:line="240" w:lineRule="auto"/>
        <w:ind w:left="566" w:right="713" w:firstLine="0"/>
        <w:jc w:val="left"/>
        <w:rPr>
          <w:sz w:val="20"/>
          <w:szCs w:val="20"/>
        </w:rPr>
      </w:pPr>
      <w:r w:rsidRPr="002B0DBD">
        <w:rPr>
          <w:rStyle w:val="Rimandonotaapidipagina"/>
          <w:sz w:val="20"/>
          <w:szCs w:val="20"/>
        </w:rPr>
        <w:footnoteRef/>
      </w:r>
      <w:r w:rsidRPr="002B0DBD">
        <w:rPr>
          <w:sz w:val="20"/>
          <w:szCs w:val="20"/>
        </w:rPr>
        <w:t xml:space="preserve"> </w:t>
      </w:r>
      <w:r w:rsidRPr="002B0DBD">
        <w:rPr>
          <w:rFonts w:eastAsia="Calibri"/>
          <w:strike/>
          <w:sz w:val="20"/>
          <w:szCs w:val="20"/>
        </w:rPr>
        <w:t xml:space="preserve">                             </w:t>
      </w:r>
      <w:r w:rsidRPr="002B0DBD">
        <w:rPr>
          <w:rFonts w:eastAsia="Calibri"/>
          <w:sz w:val="20"/>
          <w:szCs w:val="20"/>
        </w:rPr>
        <w:t xml:space="preserve">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Ueber welchen Heimatkreis, Heimatgemeinde/Ort berichten Sie?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Eindringen des Feindes: an welchem Tage bus welcher  Richtung, mit welchen Verbanden drang der Feind zum ersten Mal in Ihren Heimatkreis ein?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Verteidigung una Kaempfe: Wurde um Ihren Heimatkreis und Ihre Heimatgemeinde/Ort gekempft? Welche deutschen  Truppen (Inf. Art. Panzer, Luftw.Volkssturm, H. J.) verteidigten sie? Stiessen die sowj. Truppen ohne Wiederstand zu finden schnell durch Ihren Kreis? </w:t>
      </w:r>
    </w:p>
    <w:p w:rsidR="00593A53" w:rsidRPr="002B0DBD" w:rsidRDefault="00593A53" w:rsidP="00791545">
      <w:pPr>
        <w:numPr>
          <w:ilvl w:val="0"/>
          <w:numId w:val="4"/>
        </w:numPr>
        <w:spacing w:after="120" w:line="240" w:lineRule="auto"/>
        <w:ind w:left="1418" w:right="713" w:hanging="567"/>
        <w:rPr>
          <w:sz w:val="20"/>
          <w:szCs w:val="20"/>
        </w:rPr>
      </w:pPr>
      <w:r w:rsidRPr="002B0DBD">
        <w:rPr>
          <w:sz w:val="20"/>
          <w:szCs w:val="20"/>
          <w:lang w:val="de-DE"/>
        </w:rPr>
        <w:t xml:space="preserve">Besetzung: Wann wurde ihre Heimatsgemeinde/Ort von sowj. </w:t>
      </w:r>
      <w:r w:rsidRPr="002B0DBD">
        <w:rPr>
          <w:sz w:val="20"/>
          <w:szCs w:val="20"/>
        </w:rPr>
        <w:t xml:space="preserve">Truppen besetzt?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Zerstoerungen:  Welche Gehoefte, Gebande Ihren Heimatsgemeinde/Ort sind zerstoert?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Raeumungen Wann und von wem wurde die Raeumung Ihrer Heimatgemeinde/Ort angeordnet, wurde sie planmaessig durchgefuehrt, oder wurde die Bevoelkerung ohne rechtzeitige Warnung von den Soviet ueberrollt?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Fluchtweg: Wann und in welcher Weise wurde Ihre Heimatsgemeinde/Ort  geräumt, wohin wurde die Bevölkerung gelenkt? Durch welche Ort fuehrte der Fluchtweg? Wieviel Personen bleiben in der Heimat zurück, wieviel konnten sich nach Westen in Sicherheit bringen? Wieviel Personen kamen auf der Flucht? Der in der Heimat ums Lebens?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Fremde Trecks: Wurden in Ihrer Heimatgemeinde/Ort Trecks  bus anderen Kreisen/Gemeinen vom Feinde ueberrollt? Woher stammten sie, wo bleiben sie, welche Verluste hatten sie? </w:t>
      </w:r>
    </w:p>
    <w:p w:rsidR="00593A53" w:rsidRPr="001318A0" w:rsidRDefault="00593A53" w:rsidP="00791545">
      <w:pPr>
        <w:numPr>
          <w:ilvl w:val="0"/>
          <w:numId w:val="4"/>
        </w:numPr>
        <w:spacing w:after="120" w:line="240" w:lineRule="auto"/>
        <w:ind w:left="1418" w:right="713" w:hanging="567"/>
        <w:rPr>
          <w:sz w:val="20"/>
          <w:szCs w:val="20"/>
          <w:lang w:val="en-US"/>
        </w:rPr>
      </w:pPr>
      <w:r w:rsidRPr="002B0DBD">
        <w:rPr>
          <w:sz w:val="20"/>
          <w:szCs w:val="20"/>
          <w:lang w:val="de-DE"/>
        </w:rPr>
        <w:t xml:space="preserve">Polnische Verwaltung: wann wurde die Verwaltung Ihrer Heimatgemeinde/Ort den Polen uebergeben? </w:t>
      </w:r>
      <w:r w:rsidRPr="001318A0">
        <w:rPr>
          <w:sz w:val="20"/>
          <w:szCs w:val="20"/>
          <w:lang w:val="en-US"/>
        </w:rPr>
        <w:t xml:space="preserve">Wie wirkte sich diese Aenderung aus? </w:t>
      </w:r>
    </w:p>
    <w:p w:rsidR="00593A53" w:rsidRPr="002B0DBD" w:rsidRDefault="00593A53" w:rsidP="00791545">
      <w:pPr>
        <w:numPr>
          <w:ilvl w:val="0"/>
          <w:numId w:val="4"/>
        </w:numPr>
        <w:spacing w:after="120" w:line="240" w:lineRule="auto"/>
        <w:ind w:left="1418" w:right="713" w:hanging="567"/>
        <w:rPr>
          <w:sz w:val="20"/>
          <w:szCs w:val="20"/>
        </w:rPr>
      </w:pPr>
      <w:r w:rsidRPr="002B0DBD">
        <w:rPr>
          <w:sz w:val="20"/>
          <w:szCs w:val="20"/>
          <w:lang w:val="de-DE"/>
        </w:rPr>
        <w:t xml:space="preserve">Schwere Verbrechen: Sind in Ihrer Heimatsgemeinde/Ort oder in Ihrem Kreise besonders schwere Verbrechen der Sowjets oder Polen (z. B. Massenerscheinung) gescnahen? </w:t>
      </w:r>
      <w:r w:rsidRPr="002B0DBD">
        <w:rPr>
          <w:sz w:val="20"/>
          <w:szCs w:val="20"/>
        </w:rPr>
        <w:t xml:space="preserve">Wann, wo und welcher Art? (Ahschrift von Augenzeugen). </w:t>
      </w:r>
    </w:p>
    <w:p w:rsidR="00593A53" w:rsidRPr="002B0DBD" w:rsidRDefault="00593A53" w:rsidP="00791545">
      <w:pPr>
        <w:numPr>
          <w:ilvl w:val="0"/>
          <w:numId w:val="4"/>
        </w:numPr>
        <w:spacing w:after="120" w:line="240" w:lineRule="auto"/>
        <w:ind w:left="1418" w:right="713" w:hanging="567"/>
        <w:rPr>
          <w:sz w:val="20"/>
          <w:szCs w:val="20"/>
        </w:rPr>
      </w:pPr>
      <w:r w:rsidRPr="002B0DBD">
        <w:rPr>
          <w:sz w:val="20"/>
          <w:szCs w:val="20"/>
          <w:lang w:val="de-DE"/>
        </w:rPr>
        <w:t xml:space="preserve">Lager: Wann, wo und durch wem wurden in Ihrem Heimatkreis? Wielange bestanden diese, welche bestehen heute noch? </w:t>
      </w:r>
      <w:r w:rsidRPr="002B0DBD">
        <w:rPr>
          <w:sz w:val="20"/>
          <w:szCs w:val="20"/>
        </w:rPr>
        <w:t xml:space="preserve">Koennen sie Angaben ueber die Belegung machen? </w:t>
      </w:r>
    </w:p>
    <w:p w:rsidR="00593A53" w:rsidRPr="002B0DBD" w:rsidRDefault="00593A53" w:rsidP="00791545">
      <w:pPr>
        <w:numPr>
          <w:ilvl w:val="0"/>
          <w:numId w:val="4"/>
        </w:numPr>
        <w:spacing w:after="120" w:line="240" w:lineRule="auto"/>
        <w:ind w:left="1418" w:right="713" w:hanging="567"/>
        <w:rPr>
          <w:sz w:val="20"/>
          <w:szCs w:val="20"/>
          <w:lang w:val="de-DE"/>
        </w:rPr>
      </w:pPr>
      <w:r w:rsidRPr="002B0DBD">
        <w:rPr>
          <w:sz w:val="20"/>
          <w:szCs w:val="20"/>
          <w:lang w:val="de-DE"/>
        </w:rPr>
        <w:t xml:space="preserve">Bekanntmachungen: Besitzen Bekanntmachungen oder Aufrufe der sowjetischen oder polnischen Truppen oder Behoerden? Koennen Sie evtl. den Text oder den genauen Inhalt solcher Bekanntmachungen wiedergeben? </w:t>
      </w:r>
    </w:p>
    <w:p w:rsidR="00593A53" w:rsidRPr="002B0DBD" w:rsidRDefault="00593A53" w:rsidP="00791545">
      <w:pPr>
        <w:numPr>
          <w:ilvl w:val="0"/>
          <w:numId w:val="4"/>
        </w:numPr>
        <w:spacing w:after="120" w:line="240" w:lineRule="auto"/>
        <w:ind w:left="1418" w:right="713" w:hanging="567"/>
        <w:rPr>
          <w:sz w:val="20"/>
          <w:szCs w:val="20"/>
        </w:rPr>
      </w:pPr>
      <w:r w:rsidRPr="00791545">
        <w:rPr>
          <w:sz w:val="20"/>
          <w:szCs w:val="20"/>
          <w:lang w:val="de-DE"/>
        </w:rPr>
        <w:t xml:space="preserve">Berichtsammlugen: sind ueber die Ereignisse in Ihrem Kreise, Heimatsgemeinde und Ort Tatsachenberichte, Briefe, Bilddokumente usw. gesammelt, oder zusammenstellungen weber die Verluste angefertigt worden? Der besitzt solches Material? (Ahschrift) Erscheinen fuer Ihren Kreis  Heimatberife? </w:t>
      </w:r>
      <w:r w:rsidRPr="002B0DBD">
        <w:rPr>
          <w:sz w:val="20"/>
          <w:szCs w:val="20"/>
        </w:rPr>
        <w:t xml:space="preserve">(Herausgeber) </w:t>
      </w:r>
    </w:p>
  </w:footnote>
  <w:footnote w:id="1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Ermacora, </w:t>
      </w:r>
      <w:r w:rsidRPr="002B0DBD">
        <w:rPr>
          <w:i/>
          <w:sz w:val="20"/>
          <w:szCs w:val="20"/>
        </w:rPr>
        <w:t xml:space="preserve">Dorothea e le altre, </w:t>
      </w:r>
      <w:r w:rsidRPr="002B0DBD">
        <w:rPr>
          <w:sz w:val="20"/>
          <w:szCs w:val="20"/>
        </w:rPr>
        <w:t xml:space="preserve">Dep. 10/2009  </w:t>
      </w:r>
    </w:p>
  </w:footnote>
  <w:footnote w:id="15">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Ibidem, </w:t>
      </w:r>
      <w:r w:rsidRPr="002B0DBD">
        <w:rPr>
          <w:i/>
          <w:sz w:val="20"/>
          <w:szCs w:val="20"/>
          <w:lang w:val="de-DE"/>
        </w:rPr>
        <w:t xml:space="preserve"> </w:t>
      </w:r>
      <w:r w:rsidRPr="002B0DBD">
        <w:rPr>
          <w:sz w:val="20"/>
          <w:szCs w:val="20"/>
          <w:lang w:val="de-DE"/>
        </w:rPr>
        <w:t xml:space="preserve">pp.217-218 </w:t>
      </w:r>
    </w:p>
  </w:footnote>
  <w:footnote w:id="1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Ibid.,</w:t>
      </w:r>
      <w:r w:rsidRPr="002B0DBD">
        <w:rPr>
          <w:i/>
          <w:sz w:val="20"/>
          <w:szCs w:val="20"/>
          <w:lang w:val="de-DE"/>
        </w:rPr>
        <w:t xml:space="preserve">, </w:t>
      </w:r>
      <w:r w:rsidRPr="002B0DBD">
        <w:rPr>
          <w:sz w:val="20"/>
          <w:szCs w:val="20"/>
          <w:lang w:val="de-DE"/>
        </w:rPr>
        <w:t xml:space="preserve"> pp. 220-224  </w:t>
      </w:r>
    </w:p>
  </w:footnote>
  <w:footnote w:id="17">
    <w:p w:rsidR="00593A53" w:rsidRPr="002B0DBD" w:rsidRDefault="00593A53" w:rsidP="00791545">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w:t>
      </w:r>
      <w:r w:rsidRPr="002B0DBD">
        <w:rPr>
          <w:i/>
          <w:sz w:val="20"/>
          <w:szCs w:val="20"/>
          <w:lang w:val="de-DE"/>
        </w:rPr>
        <w:t>Frau Amanda J. (38 j) wurde1945 von den Sowjets so schwer misshandelt und vergewaltigt, dass sie einige Tage später an den Folgen verstar,“</w:t>
      </w:r>
      <w:r w:rsidRPr="002B0DBD">
        <w:rPr>
          <w:sz w:val="20"/>
          <w:szCs w:val="20"/>
          <w:lang w:val="de-DE"/>
        </w:rPr>
        <w:t xml:space="preserve"> BA - Bayreuth Ost-Dok. </w:t>
      </w:r>
      <w:r w:rsidRPr="002B0DBD">
        <w:rPr>
          <w:sz w:val="20"/>
          <w:szCs w:val="20"/>
        </w:rPr>
        <w:t xml:space="preserve">2/109   </w:t>
      </w:r>
    </w:p>
  </w:footnote>
  <w:footnote w:id="1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Mazower, </w:t>
      </w:r>
      <w:r w:rsidRPr="002B0DBD">
        <w:rPr>
          <w:i/>
          <w:sz w:val="20"/>
          <w:szCs w:val="20"/>
        </w:rPr>
        <w:t>Le ombre sull’Europa</w:t>
      </w:r>
      <w:r w:rsidRPr="002B0DBD">
        <w:rPr>
          <w:sz w:val="20"/>
          <w:szCs w:val="20"/>
        </w:rPr>
        <w:t xml:space="preserve">, Garzanti, cap. 7  </w:t>
      </w:r>
    </w:p>
  </w:footnote>
  <w:footnote w:id="19">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G. Knopp, </w:t>
      </w:r>
      <w:r w:rsidRPr="002B0DBD">
        <w:rPr>
          <w:i/>
          <w:sz w:val="20"/>
          <w:szCs w:val="20"/>
        </w:rPr>
        <w:t>Tedeschi in fuga</w:t>
      </w:r>
      <w:r w:rsidRPr="002B0DBD">
        <w:rPr>
          <w:sz w:val="20"/>
          <w:szCs w:val="20"/>
        </w:rPr>
        <w:t xml:space="preserve">, p. 266  </w:t>
      </w:r>
    </w:p>
  </w:footnote>
  <w:footnote w:id="2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Ibidem, p. 262  </w:t>
      </w:r>
    </w:p>
  </w:footnote>
  <w:footnote w:id="21">
    <w:p w:rsidR="00593A53" w:rsidRPr="002B0DBD" w:rsidRDefault="00593A53" w:rsidP="00791545">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O. Berggol’c, </w:t>
      </w:r>
      <w:r w:rsidRPr="002B0DBD">
        <w:rPr>
          <w:i/>
          <w:sz w:val="20"/>
          <w:szCs w:val="20"/>
        </w:rPr>
        <w:t>Diario proibito – la verità nascosta sull’assedio di Leningrado</w:t>
      </w:r>
      <w:r w:rsidRPr="002B0DBD">
        <w:rPr>
          <w:sz w:val="20"/>
          <w:szCs w:val="20"/>
        </w:rPr>
        <w:t xml:space="preserve">, Marsilio – Gli specchi, Venezia 2013, p. 50 e pp. 71-72  </w:t>
      </w:r>
    </w:p>
  </w:footnote>
  <w:footnote w:id="22">
    <w:p w:rsidR="00593A53" w:rsidRPr="002B0DBD" w:rsidRDefault="00593A53" w:rsidP="00791545">
      <w:pPr>
        <w:pStyle w:val="Testonotaapidipagina"/>
        <w:spacing w:after="120"/>
        <w:ind w:left="566" w:right="713" w:firstLine="0"/>
        <w:rPr>
          <w:lang w:val="de-DE"/>
        </w:rPr>
      </w:pPr>
      <w:r w:rsidRPr="002B0DBD">
        <w:rPr>
          <w:rStyle w:val="Rimandonotaapidipagina"/>
        </w:rPr>
        <w:footnoteRef/>
      </w:r>
      <w:r w:rsidRPr="002B0DBD">
        <w:rPr>
          <w:lang w:val="de-DE"/>
        </w:rPr>
        <w:t xml:space="preserve"> </w:t>
      </w:r>
      <w:r w:rsidRPr="002B0DBD">
        <w:rPr>
          <w:vertAlign w:val="superscript"/>
          <w:lang w:val="de-DE"/>
        </w:rPr>
        <w:t>22</w:t>
      </w:r>
      <w:r w:rsidRPr="002B0DBD">
        <w:rPr>
          <w:lang w:val="de-DE"/>
        </w:rPr>
        <w:t xml:space="preserve"> Ibid., pp. 261-262</w:t>
      </w:r>
    </w:p>
  </w:footnote>
  <w:footnote w:id="23">
    <w:p w:rsidR="00593A53" w:rsidRPr="002B0DBD" w:rsidRDefault="00593A53" w:rsidP="00791545">
      <w:pPr>
        <w:spacing w:after="120" w:line="240" w:lineRule="auto"/>
        <w:ind w:left="566" w:right="713" w:firstLine="0"/>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Am Sonntag 4. März, wurde mittags der Beschuß schwächer. Unsere SS, welche zuletzt im Lucknitzer </w:t>
      </w:r>
    </w:p>
    <w:p w:rsidR="00593A53" w:rsidRPr="002B0DBD" w:rsidRDefault="00593A53" w:rsidP="00791545">
      <w:pPr>
        <w:spacing w:after="120" w:line="240" w:lineRule="auto"/>
        <w:ind w:left="566" w:right="713" w:firstLine="0"/>
        <w:rPr>
          <w:sz w:val="20"/>
          <w:szCs w:val="20"/>
          <w:lang w:val="de-DE"/>
        </w:rPr>
      </w:pPr>
      <w:r w:rsidRPr="002B0DBD">
        <w:rPr>
          <w:i/>
          <w:sz w:val="20"/>
          <w:szCs w:val="20"/>
          <w:lang w:val="de-DE"/>
        </w:rPr>
        <w:t xml:space="preserve">Busch gekämpft hatte, hatte sich zurückgezogen und die Rote Armee die Stadt (Bärwalde) besetzt. […]. Wir begaben uns auch alle heraus und bekamen nach dem üblichen Ruf „Urri, Urri,“ Befehl, uns aufzustellen und zum Kommandanten zu gehen […]. Der eine gab uns aus seiner Flasche gleich Wodka, jeder mußte zwei Glas trinken. Dann bekam jeder ein Stück Wurst, und wir aßen, obwohl wir keinen </w:t>
      </w:r>
    </w:p>
    <w:p w:rsidR="00593A53" w:rsidRPr="002B0DBD" w:rsidRDefault="00593A53" w:rsidP="00791545">
      <w:pPr>
        <w:spacing w:after="120" w:line="240" w:lineRule="auto"/>
        <w:ind w:left="566" w:right="713" w:firstLine="0"/>
        <w:rPr>
          <w:sz w:val="20"/>
          <w:szCs w:val="20"/>
          <w:lang w:val="de-DE"/>
        </w:rPr>
      </w:pPr>
      <w:r w:rsidRPr="002B0DBD">
        <w:rPr>
          <w:i/>
          <w:sz w:val="20"/>
          <w:szCs w:val="20"/>
          <w:lang w:val="de-DE"/>
        </w:rPr>
        <w:t xml:space="preserve">Appetit hatten. Wir freuten uns, daß sie so freundlich waren, und ahnten nicht das Ende. […]. </w:t>
      </w:r>
    </w:p>
    <w:p w:rsidR="00593A53" w:rsidRPr="002B0DBD" w:rsidRDefault="00593A53" w:rsidP="00791545">
      <w:pPr>
        <w:spacing w:after="120" w:line="240" w:lineRule="auto"/>
        <w:ind w:left="566" w:right="713" w:firstLine="0"/>
        <w:rPr>
          <w:sz w:val="20"/>
          <w:szCs w:val="20"/>
          <w:lang w:val="de-DE"/>
        </w:rPr>
      </w:pPr>
      <w:r w:rsidRPr="002B0DBD">
        <w:rPr>
          <w:i/>
          <w:sz w:val="20"/>
          <w:szCs w:val="20"/>
          <w:lang w:val="de-DE"/>
        </w:rPr>
        <w:t xml:space="preserve">Darauf ging der ein fort, der andere stellte sich vor unserer Haus und rief den fortwährend vorbeikommenden russischen Truppen zu, worauf mehrmals Horden von 7-10 Mann kamen, und meine Schwester wurde auf einer Seite meiner Wohnung im Beisein ihrer 7jährige Tochter, ich auf der anderen Kinder und meines Mannes, welchem man eine brennente Kerze in die Hand gedrückt hatte, unter viel Weinen und Schreien vergewaltigt. </w:t>
      </w:r>
    </w:p>
    <w:p w:rsidR="00593A53" w:rsidRPr="002B0DBD" w:rsidRDefault="00593A53" w:rsidP="00791545">
      <w:pPr>
        <w:spacing w:after="120" w:line="240" w:lineRule="auto"/>
        <w:ind w:left="566" w:right="713" w:firstLine="0"/>
        <w:rPr>
          <w:sz w:val="20"/>
          <w:szCs w:val="20"/>
          <w:lang w:val="de-DE"/>
        </w:rPr>
      </w:pPr>
      <w:r w:rsidRPr="002B0DBD">
        <w:rPr>
          <w:i/>
          <w:sz w:val="20"/>
          <w:szCs w:val="20"/>
          <w:lang w:val="de-DE"/>
        </w:rPr>
        <w:t xml:space="preserve">Die Bestien standen bei uns an. […]. </w:t>
      </w:r>
    </w:p>
    <w:p w:rsidR="00593A53" w:rsidRPr="002B0DBD" w:rsidRDefault="00593A53" w:rsidP="00791545">
      <w:pPr>
        <w:spacing w:after="120" w:line="240" w:lineRule="auto"/>
        <w:ind w:left="566" w:right="713" w:firstLine="0"/>
        <w:rPr>
          <w:sz w:val="20"/>
          <w:szCs w:val="20"/>
          <w:lang w:val="de-DE"/>
        </w:rPr>
      </w:pPr>
      <w:r w:rsidRPr="002B0DBD">
        <w:rPr>
          <w:i/>
          <w:sz w:val="20"/>
          <w:szCs w:val="20"/>
          <w:lang w:val="de-DE"/>
        </w:rPr>
        <w:t xml:space="preserve">Mein Mann sagte: „Ich kann euch nicht helfen, ihr steht, wir sind Horden aber keinen Soldaten in die Hände gefallen, sie sind sinnlos getrunken“. […].Wir wurden alle gehängt mit Ausnahme der beiden Kleinen, die hat man mit dem Strick erdrosselt. Später sagten mir alle, die bei Hackbarths im Keller in der Polzinersraße saßen, daß man unser unnatürliches Schreien weit gehört, auch im Keller gehört hat, aber niemand hatte Mut zum Kommen, jeder kämpfte zur selben Zeit selbst um sein Leben. Obwohl ich auf dem Boden bei meinen Angehörigen war, wußte ich doch nicht, welches Schicksal sie hatten; wenn ich auch ahnte, was geschehen war Genaues wußte ich nicht. Denn mich selbst hatte man auf den Boden geworfen, auf den Kopf geschlagen und vergewaltigt, danach gehängt. Ich war sofort besinnungslos.” A. M. de Zayas, Anmerkungen zur Vertreibung der Deutschen aus dem Osten – Dritte, verbesserte Auflage, Verlag W. Kohlhammer, Stoccarda 1987, pp. 81 e segg. </w:t>
      </w:r>
    </w:p>
  </w:footnote>
  <w:footnote w:id="24">
    <w:p w:rsidR="00593A53" w:rsidRPr="002B0DBD" w:rsidRDefault="00593A53" w:rsidP="00791545">
      <w:pPr>
        <w:spacing w:after="120" w:line="240" w:lineRule="auto"/>
        <w:ind w:left="566" w:right="713" w:firstLine="0"/>
        <w:jc w:val="left"/>
        <w:rPr>
          <w:sz w:val="20"/>
          <w:szCs w:val="20"/>
          <w:lang w:val="de-DE"/>
        </w:rPr>
      </w:pPr>
      <w:r w:rsidRPr="002B0DBD">
        <w:rPr>
          <w:rStyle w:val="Rimandonotaapidipagina"/>
          <w:sz w:val="20"/>
          <w:szCs w:val="20"/>
        </w:rPr>
        <w:footnoteRef/>
      </w:r>
      <w:r w:rsidRPr="002B0DBD">
        <w:rPr>
          <w:sz w:val="20"/>
          <w:szCs w:val="20"/>
          <w:lang w:val="de-DE"/>
        </w:rPr>
        <w:t xml:space="preserve"> Ibidem </w:t>
      </w:r>
    </w:p>
  </w:footnote>
  <w:footnote w:id="25">
    <w:p w:rsidR="00593A53" w:rsidRPr="002B0DBD" w:rsidRDefault="00593A53" w:rsidP="001318A0">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„Wahrlich gründlich, wahrlich weise  Zahlen wir dem Feind jetzt heim: Alles brennt! Und die Quartiere? </w:t>
      </w:r>
    </w:p>
    <w:p w:rsidR="00593A53" w:rsidRPr="002B0DBD" w:rsidRDefault="00593A53" w:rsidP="001318A0">
      <w:pPr>
        <w:spacing w:after="0" w:line="240" w:lineRule="auto"/>
        <w:ind w:left="567" w:right="714" w:firstLine="0"/>
        <w:jc w:val="left"/>
        <w:rPr>
          <w:sz w:val="20"/>
          <w:szCs w:val="20"/>
          <w:lang w:val="de-DE"/>
        </w:rPr>
      </w:pPr>
      <w:r w:rsidRPr="002B0DBD">
        <w:rPr>
          <w:i/>
          <w:sz w:val="20"/>
          <w:szCs w:val="20"/>
          <w:lang w:val="de-DE"/>
        </w:rPr>
        <w:t xml:space="preserve">Legen uns wohl in den Schnee? Na, und wenn schon! In der Patsche, sitzen wir doch nicht umsonst: Glühte je in solcher Röte  Irgendwo ein Horizont?  </w:t>
      </w:r>
    </w:p>
    <w:p w:rsidR="00593A53" w:rsidRPr="002B0DBD" w:rsidRDefault="00593A53" w:rsidP="001318A0">
      <w:pPr>
        <w:spacing w:after="0" w:line="240" w:lineRule="auto"/>
        <w:ind w:left="567" w:right="714" w:firstLine="0"/>
        <w:jc w:val="left"/>
        <w:rPr>
          <w:sz w:val="20"/>
          <w:szCs w:val="20"/>
          <w:lang w:val="de-DE"/>
        </w:rPr>
      </w:pPr>
      <w:r w:rsidRPr="002B0DBD">
        <w:rPr>
          <w:i/>
          <w:sz w:val="20"/>
          <w:szCs w:val="20"/>
          <w:lang w:val="de-DE"/>
        </w:rPr>
        <w:t xml:space="preserve">Was Jahrhunderte geschaffen, brennt hier nieder, sinkt zu Schutt. </w:t>
      </w:r>
    </w:p>
    <w:p w:rsidR="00593A53" w:rsidRPr="002B0DBD" w:rsidRDefault="00593A53" w:rsidP="001318A0">
      <w:pPr>
        <w:spacing w:after="0" w:line="240" w:lineRule="auto"/>
        <w:ind w:left="567" w:right="714" w:firstLine="0"/>
        <w:jc w:val="left"/>
        <w:rPr>
          <w:sz w:val="20"/>
          <w:szCs w:val="20"/>
          <w:lang w:val="de-DE"/>
        </w:rPr>
      </w:pPr>
      <w:r w:rsidRPr="002B0DBD">
        <w:rPr>
          <w:i/>
          <w:sz w:val="20"/>
          <w:szCs w:val="20"/>
          <w:lang w:val="de-DE"/>
        </w:rPr>
        <w:t xml:space="preserve">Flammen plätschern, Flammen peitschen </w:t>
      </w:r>
    </w:p>
    <w:p w:rsidR="00593A53" w:rsidRPr="002B0DBD" w:rsidRDefault="00593A53" w:rsidP="001318A0">
      <w:pPr>
        <w:spacing w:after="0" w:line="240" w:lineRule="auto"/>
        <w:ind w:left="567" w:right="714" w:firstLine="0"/>
        <w:jc w:val="left"/>
        <w:rPr>
          <w:sz w:val="20"/>
          <w:szCs w:val="20"/>
          <w:lang w:val="de-DE"/>
        </w:rPr>
      </w:pPr>
      <w:r w:rsidRPr="002B0DBD">
        <w:rPr>
          <w:i/>
          <w:sz w:val="20"/>
          <w:szCs w:val="20"/>
          <w:lang w:val="de-DE"/>
        </w:rPr>
        <w:t xml:space="preserve">Über meinen Kopf hinweg… </w:t>
      </w:r>
    </w:p>
    <w:p w:rsidR="00593A53" w:rsidRPr="002B0DBD" w:rsidRDefault="00593A53" w:rsidP="001318A0">
      <w:pPr>
        <w:spacing w:after="0" w:line="240" w:lineRule="auto"/>
        <w:ind w:left="567" w:right="714" w:firstLine="0"/>
        <w:jc w:val="left"/>
        <w:rPr>
          <w:sz w:val="20"/>
          <w:szCs w:val="20"/>
          <w:lang w:val="de-DE"/>
        </w:rPr>
      </w:pPr>
      <w:r w:rsidRPr="002B0DBD">
        <w:rPr>
          <w:i/>
          <w:sz w:val="20"/>
          <w:szCs w:val="20"/>
          <w:lang w:val="de-DE"/>
        </w:rPr>
        <w:t xml:space="preserve">…zwischendurch die Frau erschossen, Teppich rot mit Blut bespritzt, und den kranken Mann im Bette gleich in einem auskuriert. </w:t>
      </w:r>
    </w:p>
    <w:p w:rsidR="00593A53" w:rsidRPr="002B0DBD" w:rsidRDefault="00593A53" w:rsidP="001318A0">
      <w:pPr>
        <w:spacing w:after="0" w:line="240" w:lineRule="auto"/>
        <w:ind w:left="567" w:right="714" w:firstLine="0"/>
        <w:jc w:val="left"/>
        <w:rPr>
          <w:sz w:val="20"/>
          <w:szCs w:val="20"/>
          <w:lang w:val="de-DE"/>
        </w:rPr>
      </w:pPr>
      <w:r w:rsidRPr="002B0DBD">
        <w:rPr>
          <w:i/>
          <w:sz w:val="20"/>
          <w:szCs w:val="20"/>
          <w:lang w:val="de-DE"/>
        </w:rPr>
        <w:t xml:space="preserve">[…].“ </w:t>
      </w:r>
    </w:p>
    <w:p w:rsidR="00593A53" w:rsidRPr="002B0DBD" w:rsidRDefault="00593A53" w:rsidP="00791545">
      <w:pPr>
        <w:spacing w:after="120" w:line="240" w:lineRule="auto"/>
        <w:ind w:left="566" w:right="713" w:firstLine="0"/>
        <w:rPr>
          <w:sz w:val="20"/>
          <w:szCs w:val="20"/>
          <w:lang w:val="de-DE"/>
        </w:rPr>
      </w:pPr>
      <w:r w:rsidRPr="002B0DBD">
        <w:rPr>
          <w:sz w:val="20"/>
          <w:szCs w:val="20"/>
          <w:lang w:val="de-DE"/>
        </w:rPr>
        <w:t xml:space="preserve">Da “Notti Prussiane” di A. Solzenicin, in A. M. de Zayas, Anmerkungen zur Vertreibung der Deutschen aus dem Osten – Dritte, verbesserte Auflage, Verlag W. Kohlhammer, Stoccarda 1987, pp. 78-79 </w:t>
      </w:r>
    </w:p>
  </w:footnote>
  <w:footnote w:id="26">
    <w:p w:rsidR="00593A53" w:rsidRPr="002B0DBD" w:rsidRDefault="00593A53" w:rsidP="00791545">
      <w:pPr>
        <w:spacing w:after="120" w:line="240" w:lineRule="auto"/>
        <w:ind w:left="566" w:right="713" w:firstLine="0"/>
        <w:rPr>
          <w:sz w:val="20"/>
          <w:szCs w:val="20"/>
        </w:rPr>
      </w:pPr>
      <w:r w:rsidRPr="002B0DBD">
        <w:rPr>
          <w:rStyle w:val="Rimandonotaapidipagina"/>
          <w:sz w:val="20"/>
          <w:szCs w:val="20"/>
        </w:rPr>
        <w:footnoteRef/>
      </w:r>
      <w:r w:rsidRPr="002B0DBD">
        <w:rPr>
          <w:sz w:val="20"/>
          <w:szCs w:val="20"/>
        </w:rPr>
        <w:t xml:space="preserve"> M. Bloch, </w:t>
      </w:r>
      <w:r w:rsidRPr="002B0DBD">
        <w:rPr>
          <w:i/>
          <w:sz w:val="20"/>
          <w:szCs w:val="20"/>
        </w:rPr>
        <w:t>La guerra delle false notizie</w:t>
      </w:r>
      <w:r w:rsidRPr="002B0DBD">
        <w:rPr>
          <w:sz w:val="20"/>
          <w:szCs w:val="20"/>
        </w:rPr>
        <w:t xml:space="preserve">, Donizelli, Roma 1994, pp. 83-84 </w:t>
      </w:r>
    </w:p>
  </w:footnote>
  <w:footnote w:id="27">
    <w:p w:rsidR="00593A53" w:rsidRPr="002B0DBD" w:rsidRDefault="00593A53" w:rsidP="00791545">
      <w:pPr>
        <w:pStyle w:val="Testonotaapidipagina"/>
        <w:spacing w:after="120"/>
        <w:ind w:left="566" w:right="713" w:firstLine="0"/>
      </w:pPr>
      <w:r w:rsidRPr="002B0DBD">
        <w:rPr>
          <w:rStyle w:val="Rimandonotaapidipagina"/>
        </w:rPr>
        <w:footnoteRef/>
      </w:r>
      <w:r w:rsidRPr="002B0DBD">
        <w:t xml:space="preserve">N. Chomsky, </w:t>
      </w:r>
      <w:r w:rsidRPr="002B0DBD">
        <w:rPr>
          <w:i/>
        </w:rPr>
        <w:t>Il potere dei media</w:t>
      </w:r>
      <w:r w:rsidRPr="002B0DBD">
        <w:t xml:space="preserve">, Vallecchi Ed., Firenze 1994, p. 104  </w:t>
      </w:r>
    </w:p>
  </w:footnote>
  <w:footnote w:id="28">
    <w:p w:rsidR="00593A53" w:rsidRPr="002B0DBD" w:rsidRDefault="00593A53" w:rsidP="001318A0">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„In den letzten Tagen des Jahres 1945 zogen die letzte deutschen Truppen durch meine Heimatsdorf Wattanau, denen die Amerikaner auf dem Fasse folgten. Die Granaten der Amerikanischen Artillerie schlugen am Hofe [unlesbar] Besitzes in den Nebengebinden ein die vollständig vormachtet wurden. […]. Komm hatten die Amerikaner den Art verlassen, sagen tschechische Partisanen in der Mühle ein wird trieben uns, etwa 20 Personen am den Keller auf den Hof der Mühle. […]. </w:t>
      </w:r>
    </w:p>
    <w:p w:rsidR="00593A53" w:rsidRPr="002B0DBD" w:rsidRDefault="00593A53" w:rsidP="001318A0">
      <w:pPr>
        <w:spacing w:after="0" w:line="240" w:lineRule="auto"/>
        <w:ind w:left="567" w:right="714" w:firstLine="0"/>
        <w:jc w:val="left"/>
        <w:rPr>
          <w:sz w:val="20"/>
          <w:szCs w:val="20"/>
          <w:lang w:val="de-DE"/>
        </w:rPr>
      </w:pPr>
      <w:r w:rsidRPr="002B0DBD">
        <w:rPr>
          <w:sz w:val="20"/>
          <w:szCs w:val="20"/>
          <w:lang w:val="de-DE"/>
        </w:rPr>
        <w:t xml:space="preserve">Der tschechische Partisan befahl, den langen u. feinsten gang um [unlesbar] etwa 30 Schritte zu laufen wobei er mir bei jeder Schritt mit der Faust einen Hieb in den Rücken versetzte. […]. </w:t>
      </w:r>
    </w:p>
    <w:p w:rsidR="00593A53" w:rsidRPr="002B0DBD" w:rsidRDefault="00593A53" w:rsidP="001318A0">
      <w:pPr>
        <w:spacing w:after="0" w:line="240" w:lineRule="auto"/>
        <w:ind w:left="567" w:right="714" w:firstLine="0"/>
        <w:jc w:val="left"/>
        <w:rPr>
          <w:sz w:val="20"/>
          <w:szCs w:val="20"/>
          <w:lang w:val="de-DE"/>
        </w:rPr>
      </w:pPr>
      <w:r w:rsidRPr="002B0DBD">
        <w:rPr>
          <w:sz w:val="20"/>
          <w:szCs w:val="20"/>
          <w:lang w:val="de-DE"/>
        </w:rPr>
        <w:t xml:space="preserve">Am Abend deselben Tages mussten wir dann vor den Gefängnis antreten und wurden von Partisanen nach jans ins Internierungslager Milatov gebracht. </w:t>
      </w:r>
    </w:p>
    <w:p w:rsidR="00593A53" w:rsidRPr="002B0DBD" w:rsidRDefault="00593A53" w:rsidP="00791545">
      <w:pPr>
        <w:spacing w:after="120" w:line="240" w:lineRule="auto"/>
        <w:ind w:left="566" w:right="713" w:firstLine="0"/>
        <w:rPr>
          <w:sz w:val="20"/>
          <w:szCs w:val="20"/>
          <w:lang w:val="de-DE"/>
        </w:rPr>
      </w:pPr>
      <w:r w:rsidRPr="002B0DBD">
        <w:rPr>
          <w:sz w:val="20"/>
          <w:szCs w:val="20"/>
          <w:lang w:val="de-DE"/>
        </w:rPr>
        <w:t>In einer Baracke waren wir 75 Frauen mitgebracht. 14 Tage wurde ich mit den anderen Teil bei Banen</w:t>
      </w:r>
      <w:r w:rsidRPr="00791545">
        <w:rPr>
          <w:sz w:val="20"/>
          <w:szCs w:val="20"/>
          <w:lang w:val="de-DE"/>
        </w:rPr>
        <w:t xml:space="preserve">, Amerikanern oder in der Stadt privat in den verschiedensten Arbeiten verwendet“, BA – Bayreuth, Ost-Dok. </w:t>
      </w:r>
      <w:r w:rsidRPr="00791545">
        <w:rPr>
          <w:sz w:val="20"/>
          <w:szCs w:val="20"/>
          <w:lang w:val="en-US"/>
        </w:rPr>
        <w:t>2/243</w:t>
      </w:r>
      <w:r w:rsidRPr="00791545">
        <w:rPr>
          <w:rFonts w:eastAsia="Calibri"/>
          <w:sz w:val="20"/>
          <w:szCs w:val="20"/>
          <w:lang w:val="en-US"/>
        </w:rPr>
        <w:t xml:space="preserve"> </w:t>
      </w:r>
    </w:p>
  </w:footnote>
  <w:footnote w:id="29">
    <w:p w:rsidR="00593A53" w:rsidRPr="002B0DBD" w:rsidRDefault="00593A53" w:rsidP="001318A0">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„Entsprechend spielte das Politische auch in Alltag der Soldaten in der Wehrmacht nur eine untergeordnete Rolle. Sowohl in persönlichen Miteinander innerhalb der Einheiten als auch im praktischen Dienstbetrieb kamen weltanschauliche Frage kaum zum Tragen, der 24-jährige U-Boot-Maat Friedrich Mast etwas erklärte in Fort Hunt, dass „die deutsche Soldat „eben“ kein Politiker „sei dass er“ überhaupt nie was Politik zu tun gehabt „habe und dass auch im Dienst […] überhaupt nicht von Politik gesprochen worden sei. </w:t>
      </w:r>
      <w:r w:rsidRPr="002B0DBD">
        <w:rPr>
          <w:sz w:val="20"/>
          <w:szCs w:val="20"/>
          <w:lang w:val="de-DE"/>
        </w:rPr>
        <w:t xml:space="preserve"> </w:t>
      </w:r>
    </w:p>
    <w:p w:rsidR="00593A53" w:rsidRPr="002B0DBD" w:rsidRDefault="00593A53" w:rsidP="00057428">
      <w:pPr>
        <w:pStyle w:val="footnotedescription"/>
        <w:spacing w:after="120" w:line="240" w:lineRule="auto"/>
        <w:ind w:left="566" w:right="713"/>
        <w:jc w:val="both"/>
        <w:rPr>
          <w:sz w:val="20"/>
          <w:szCs w:val="20"/>
          <w:lang w:val="de-DE"/>
        </w:rPr>
      </w:pPr>
      <w:r w:rsidRPr="002B0DBD">
        <w:rPr>
          <w:sz w:val="20"/>
          <w:szCs w:val="20"/>
          <w:lang w:val="de-DE"/>
        </w:rPr>
        <w:t xml:space="preserve">F. Römer, </w:t>
      </w:r>
      <w:r w:rsidRPr="002B0DBD">
        <w:rPr>
          <w:i/>
          <w:sz w:val="20"/>
          <w:szCs w:val="20"/>
          <w:lang w:val="de-DE"/>
        </w:rPr>
        <w:t>Kameraden – die Wehrmacht von innen</w:t>
      </w:r>
      <w:r w:rsidRPr="002B0DBD">
        <w:rPr>
          <w:sz w:val="20"/>
          <w:szCs w:val="20"/>
          <w:lang w:val="de-DE"/>
        </w:rPr>
        <w:t xml:space="preserve">, Piper München Zürich, Monaco di Baviera 2012, pp. 68-69 </w:t>
      </w:r>
      <w:r w:rsidRPr="002B0DBD">
        <w:rPr>
          <w:rFonts w:eastAsia="Calibri"/>
          <w:sz w:val="20"/>
          <w:szCs w:val="20"/>
          <w:lang w:val="de-DE"/>
        </w:rPr>
        <w:t xml:space="preserve"> </w:t>
      </w:r>
    </w:p>
  </w:footnote>
  <w:footnote w:id="30">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Die Dap/Nsdap übernahm von Thule-Gesellschaft auch inszenatorische Versatzstücke und Insignien wie das Hackenkreuz oder die Heil-Anrede. Motto der Gruppierung war „Gedenke, daß Du ein Deutscher bist! Halte dein Blut rein!“</w:t>
      </w:r>
      <w:r w:rsidRPr="002B0DBD">
        <w:rPr>
          <w:sz w:val="20"/>
          <w:szCs w:val="20"/>
          <w:lang w:val="de-DE"/>
        </w:rPr>
        <w:t xml:space="preserve"> Baumann, Heusler, Kinder für den Führer – Der Lebensborn in München, Franz Schiermeier Verlag, Monaco 2013, p. 28 </w:t>
      </w:r>
    </w:p>
  </w:footnote>
  <w:footnote w:id="31">
    <w:p w:rsidR="00593A53" w:rsidRPr="002B0DBD" w:rsidRDefault="00593A53" w:rsidP="001318A0">
      <w:pPr>
        <w:spacing w:after="0" w:line="240" w:lineRule="auto"/>
        <w:ind w:left="567" w:right="714" w:firstLine="0"/>
        <w:rPr>
          <w:sz w:val="20"/>
          <w:szCs w:val="20"/>
          <w:lang w:val="de-DE"/>
        </w:rPr>
      </w:pPr>
      <w:r w:rsidRPr="002B0DBD">
        <w:rPr>
          <w:sz w:val="20"/>
          <w:szCs w:val="20"/>
          <w:vertAlign w:val="superscript"/>
          <w:lang w:val="de-DE"/>
        </w:rPr>
        <w:t>31</w:t>
      </w:r>
      <w:r w:rsidRPr="002B0DBD">
        <w:rPr>
          <w:i/>
          <w:sz w:val="20"/>
          <w:szCs w:val="20"/>
          <w:lang w:val="de-DE"/>
        </w:rPr>
        <w:t xml:space="preserve"> „Am 9. November ds. Js. wechsele ich meine jetzt innehabende Wohnung […]. </w:t>
      </w:r>
    </w:p>
    <w:p w:rsidR="00593A53" w:rsidRPr="002B0DBD" w:rsidRDefault="00593A53" w:rsidP="001318A0">
      <w:pPr>
        <w:spacing w:after="0" w:line="240" w:lineRule="auto"/>
        <w:ind w:left="567" w:right="714" w:firstLine="0"/>
        <w:rPr>
          <w:sz w:val="20"/>
          <w:szCs w:val="20"/>
          <w:lang w:val="de-DE"/>
        </w:rPr>
      </w:pPr>
      <w:r w:rsidRPr="002B0DBD">
        <w:rPr>
          <w:i/>
          <w:sz w:val="20"/>
          <w:szCs w:val="20"/>
          <w:lang w:val="de-DE"/>
        </w:rPr>
        <w:t xml:space="preserve">Meine siebenjährige Tochter K. L. besucht gegenwärtig die 26. Volksschule. Die Ummeldung müsste bezirkmässig nach der 32. Volksschule, Yorkstr. 2/4 erfolgen. </w:t>
      </w:r>
    </w:p>
    <w:p w:rsidR="00593A53" w:rsidRPr="002B0DBD" w:rsidRDefault="00593A53" w:rsidP="001318A0">
      <w:pPr>
        <w:spacing w:after="0" w:line="240" w:lineRule="auto"/>
        <w:ind w:left="567" w:right="714" w:firstLine="0"/>
        <w:rPr>
          <w:sz w:val="20"/>
          <w:szCs w:val="20"/>
          <w:lang w:val="de-DE"/>
        </w:rPr>
      </w:pPr>
      <w:r w:rsidRPr="002B0DBD">
        <w:rPr>
          <w:i/>
          <w:sz w:val="20"/>
          <w:szCs w:val="20"/>
          <w:lang w:val="de-DE"/>
        </w:rPr>
        <w:t xml:space="preserve">Das mit Juden bekanntlich reich besiedelte Nordstrassenviertel dürfte für die ebengennante Schule ebenfalls zuständig sein. Als völkisch denkender Mensch wiederstrebt es meiner Gesinnung mein Kind etwa mit fremdrassigen zusammenzuführen. </w:t>
      </w:r>
    </w:p>
    <w:p w:rsidR="00593A53" w:rsidRPr="002B0DBD" w:rsidRDefault="00593A53" w:rsidP="00057428">
      <w:pPr>
        <w:spacing w:after="120" w:line="240" w:lineRule="auto"/>
        <w:ind w:left="566" w:right="713" w:firstLine="0"/>
        <w:rPr>
          <w:lang w:val="de-DE"/>
        </w:rPr>
      </w:pPr>
      <w:r w:rsidRPr="002B0DBD">
        <w:rPr>
          <w:i/>
          <w:sz w:val="20"/>
          <w:szCs w:val="20"/>
          <w:lang w:val="de-DE"/>
        </w:rPr>
        <w:t>Deswegen bitte ich höflichst, mir zu gestatten, zum Besuche des Unterrichtes die 37. Volksschule Hallischerstr. 60 als für mich zustand zu bewilligen.”</w:t>
      </w:r>
      <w:r w:rsidRPr="002B0DBD">
        <w:rPr>
          <w:sz w:val="20"/>
          <w:szCs w:val="20"/>
          <w:lang w:val="de-DE"/>
        </w:rPr>
        <w:t xml:space="preserve">, StaL, SchuA 514 </w:t>
      </w:r>
    </w:p>
  </w:footnote>
  <w:footnote w:id="3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Cfr. DEP  n. 5-6/2006 A. Lotto </w:t>
      </w:r>
      <w:r w:rsidRPr="002B0DBD">
        <w:rPr>
          <w:i/>
          <w:sz w:val="20"/>
          <w:szCs w:val="20"/>
        </w:rPr>
        <w:t>Le leggi di Norimberga</w:t>
      </w:r>
      <w:r w:rsidRPr="002B0DBD">
        <w:rPr>
          <w:sz w:val="20"/>
          <w:szCs w:val="20"/>
        </w:rPr>
        <w:t xml:space="preserve">, p. 199 e segg. </w:t>
      </w:r>
      <w:r w:rsidRPr="002B0DBD">
        <w:rPr>
          <w:rFonts w:eastAsia="Calibri"/>
          <w:sz w:val="20"/>
          <w:szCs w:val="20"/>
        </w:rPr>
        <w:t xml:space="preserve"> </w:t>
      </w:r>
    </w:p>
  </w:footnote>
  <w:footnote w:id="33">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Diario di G. Ciano, Bur, Milano 2005, p. 173 e p. 212 </w:t>
      </w:r>
      <w:r w:rsidRPr="002B0DBD">
        <w:rPr>
          <w:rFonts w:eastAsia="Calibri"/>
          <w:sz w:val="20"/>
          <w:szCs w:val="20"/>
        </w:rPr>
        <w:t xml:space="preserve"> </w:t>
      </w:r>
    </w:p>
  </w:footnote>
  <w:footnote w:id="3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ACS – Roma CPC n. busta 3068 rif. f. 140719   </w:t>
      </w:r>
    </w:p>
  </w:footnote>
  <w:footnote w:id="3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G. Galli, “Hitler e la cultura occulta”, Bur, Milano 2013, pp. 90-91  </w:t>
      </w:r>
    </w:p>
  </w:footnote>
  <w:footnote w:id="36">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Arendt, “Le origini del totalitarismo”, Einaudi, Torino 2004, pp. 237-238</w:t>
      </w:r>
      <w:r w:rsidRPr="002B0DBD">
        <w:rPr>
          <w:rFonts w:eastAsia="Calibri"/>
          <w:sz w:val="20"/>
          <w:szCs w:val="20"/>
        </w:rPr>
        <w:t xml:space="preserve"> </w:t>
      </w:r>
    </w:p>
  </w:footnote>
  <w:footnote w:id="3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Dato fornito da J. Fest in </w:t>
      </w:r>
      <w:r w:rsidRPr="002B0DBD">
        <w:rPr>
          <w:i/>
          <w:sz w:val="20"/>
          <w:szCs w:val="20"/>
        </w:rPr>
        <w:t>“Obiettivo Hitler – La resistenza al nazismo e l’attentato del 20 luglio 1944</w:t>
      </w:r>
      <w:r w:rsidRPr="002B0DBD">
        <w:rPr>
          <w:sz w:val="20"/>
          <w:szCs w:val="20"/>
        </w:rPr>
        <w:t xml:space="preserve">”, Garzanti, Milano 2006. </w:t>
      </w:r>
    </w:p>
  </w:footnote>
  <w:footnote w:id="3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J. Fest, </w:t>
      </w:r>
      <w:r w:rsidRPr="002B0DBD">
        <w:rPr>
          <w:i/>
          <w:sz w:val="20"/>
          <w:szCs w:val="20"/>
        </w:rPr>
        <w:t>Il volto del Terzo Reich – Profilo degli uomini chiave della Germania nazista</w:t>
      </w:r>
      <w:r>
        <w:rPr>
          <w:sz w:val="20"/>
          <w:szCs w:val="20"/>
        </w:rPr>
        <w:t>, Mursia, Milano 2001, p.</w:t>
      </w:r>
      <w:r w:rsidRPr="002B0DBD">
        <w:rPr>
          <w:sz w:val="20"/>
          <w:szCs w:val="20"/>
        </w:rPr>
        <w:t xml:space="preserve">422  </w:t>
      </w:r>
    </w:p>
  </w:footnote>
  <w:footnote w:id="39">
    <w:p w:rsidR="00593A53" w:rsidRPr="002B0DBD" w:rsidRDefault="00593A53" w:rsidP="00057428">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Ich setze voraus, daß ein Mann von 25 bis 26 Jahren, der Arbeit hat, auch heiraten kann. Von dieser Annahme ausgehend habe ich festgelegt, daß ein SS-Mann oder SS-Führer mit 25 Jahren verheiratet ist, oder falls er es nicht ist mit 26  Jahren 1% mit 27 Jahren 2% usw. seines Einkommens der Einrichtung „Lebensborn“ zur Verfugung stellt ein Gruppenführer z.B. der nur ein Kind hat, muß sogar 7 bis 8% seines Nettogehaltes geben. </w:t>
      </w:r>
      <w:r w:rsidRPr="002B0DBD">
        <w:rPr>
          <w:sz w:val="20"/>
          <w:szCs w:val="20"/>
        </w:rPr>
        <w:t xml:space="preserve">Bormann, </w:t>
      </w:r>
      <w:r w:rsidRPr="002B0DBD">
        <w:rPr>
          <w:i/>
          <w:sz w:val="20"/>
          <w:szCs w:val="20"/>
        </w:rPr>
        <w:t xml:space="preserve">ibid. p. 70 </w:t>
      </w:r>
      <w:r w:rsidRPr="002B0DBD">
        <w:rPr>
          <w:rFonts w:eastAsia="Calibri"/>
          <w:i/>
          <w:sz w:val="20"/>
          <w:szCs w:val="20"/>
        </w:rPr>
        <w:t xml:space="preserve"> </w:t>
      </w:r>
    </w:p>
  </w:footnote>
  <w:footnote w:id="4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Bormann, ibid., p. 72 </w:t>
      </w:r>
    </w:p>
  </w:footnote>
  <w:footnote w:id="4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ACS – dall’articolo “Biologia e Razza” di G. Landra contenuto in </w:t>
      </w:r>
      <w:r w:rsidRPr="002B0DBD">
        <w:rPr>
          <w:i/>
          <w:sz w:val="20"/>
          <w:szCs w:val="20"/>
        </w:rPr>
        <w:t xml:space="preserve">La Difesa della Razza, b. 258  </w:t>
      </w:r>
    </w:p>
  </w:footnote>
  <w:footnote w:id="42">
    <w:p w:rsidR="00593A53" w:rsidRPr="002B0DBD" w:rsidRDefault="00593A53" w:rsidP="001318A0">
      <w:pPr>
        <w:pStyle w:val="Testonotaapidipagina"/>
        <w:ind w:left="567" w:right="714" w:firstLine="0"/>
        <w:rPr>
          <w:i/>
          <w:lang w:val="de-DE"/>
        </w:rPr>
      </w:pPr>
      <w:r w:rsidRPr="002B0DBD">
        <w:rPr>
          <w:rStyle w:val="Rimandonotaapidipagina"/>
        </w:rPr>
        <w:footnoteRef/>
      </w:r>
      <w:r w:rsidRPr="002B0DBD">
        <w:rPr>
          <w:lang w:val="de-DE"/>
        </w:rPr>
        <w:t xml:space="preserve"> </w:t>
      </w:r>
      <w:r w:rsidRPr="002B0DBD">
        <w:rPr>
          <w:i/>
          <w:lang w:val="de-DE"/>
        </w:rPr>
        <w:t>„Liebe Brack,</w:t>
      </w:r>
    </w:p>
    <w:p w:rsidR="00593A53" w:rsidRPr="002B0DBD" w:rsidRDefault="00593A53" w:rsidP="008B5661">
      <w:pPr>
        <w:pStyle w:val="Testonotaapidipagina"/>
        <w:ind w:left="567" w:right="714" w:firstLine="0"/>
        <w:rPr>
          <w:i/>
        </w:rPr>
      </w:pPr>
      <w:r w:rsidRPr="002B0DBD">
        <w:rPr>
          <w:i/>
          <w:lang w:val="de-DE"/>
        </w:rPr>
        <w:t xml:space="preserve">ich komme erst heute dazu, Ihnen den Empfang Ihres Briefes von 23.6. zu bestetizen. Ich habe ein Absolute Interesse, dass die Sterilisierung durch Roantronahle mindestens in einem Lager einmal in einer Versuchsreihe erprobt wird. </w:t>
      </w:r>
      <w:r w:rsidRPr="002B0DBD">
        <w:rPr>
          <w:i/>
        </w:rPr>
        <w:t>[…]</w:t>
      </w:r>
    </w:p>
    <w:p w:rsidR="00593A53" w:rsidRPr="002B0DBD" w:rsidRDefault="00593A53" w:rsidP="008B5661">
      <w:pPr>
        <w:pStyle w:val="Testonotaapidipagina"/>
        <w:ind w:left="567" w:right="714" w:firstLine="0"/>
        <w:rPr>
          <w:i/>
        </w:rPr>
      </w:pPr>
      <w:r w:rsidRPr="002B0DBD">
        <w:rPr>
          <w:i/>
        </w:rPr>
        <w:t>Heil Hitler</w:t>
      </w:r>
    </w:p>
    <w:p w:rsidR="00593A53" w:rsidRPr="002B0DBD" w:rsidRDefault="00593A53" w:rsidP="00791545">
      <w:pPr>
        <w:pStyle w:val="Testonotaapidipagina"/>
        <w:spacing w:after="120"/>
        <w:ind w:left="566" w:right="713" w:firstLine="0"/>
        <w:rPr>
          <w:lang w:val="de-DE"/>
        </w:rPr>
      </w:pPr>
      <w:r w:rsidRPr="002B0DBD">
        <w:rPr>
          <w:i/>
        </w:rPr>
        <w:t>Gesetz. H. Himmler“</w:t>
      </w:r>
      <w:r w:rsidRPr="002B0DBD">
        <w:t xml:space="preserve"> Museo di Auschwitz-Birkenau</w:t>
      </w:r>
    </w:p>
  </w:footnote>
  <w:footnote w:id="43">
    <w:p w:rsidR="00593A53" w:rsidRPr="00057428" w:rsidRDefault="00593A53" w:rsidP="00791545">
      <w:pPr>
        <w:pStyle w:val="Testonotaapidipagina"/>
        <w:spacing w:after="120"/>
        <w:ind w:left="566" w:right="713" w:firstLine="0"/>
        <w:rPr>
          <w:sz w:val="2"/>
          <w:szCs w:val="2"/>
        </w:rPr>
      </w:pPr>
    </w:p>
  </w:footnote>
  <w:footnote w:id="4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ACS – Roma, CSIR, processo n° 25 data 10 dicembre 1941 – XX</w:t>
      </w:r>
      <w:r w:rsidRPr="002B0DBD">
        <w:rPr>
          <w:rFonts w:eastAsia="Calibri"/>
          <w:sz w:val="20"/>
          <w:szCs w:val="20"/>
        </w:rPr>
        <w:t xml:space="preserve">   </w:t>
      </w:r>
    </w:p>
  </w:footnote>
  <w:footnote w:id="4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ACS – Roma, CSIR processo n° 54 del 22 gennaio 1942 – XX   </w:t>
      </w:r>
    </w:p>
  </w:footnote>
  <w:footnote w:id="46">
    <w:p w:rsidR="00593A53" w:rsidRPr="002B0DBD" w:rsidRDefault="00593A53" w:rsidP="008B5661">
      <w:pPr>
        <w:pStyle w:val="footnotedescription"/>
        <w:spacing w:line="240" w:lineRule="auto"/>
        <w:ind w:left="567" w:right="714"/>
        <w:jc w:val="both"/>
        <w:rPr>
          <w:sz w:val="20"/>
          <w:szCs w:val="20"/>
        </w:rPr>
      </w:pPr>
      <w:r w:rsidRPr="002B0DBD">
        <w:rPr>
          <w:rStyle w:val="footnotemark"/>
          <w:sz w:val="20"/>
          <w:szCs w:val="20"/>
        </w:rPr>
        <w:footnoteRef/>
      </w:r>
      <w:r w:rsidRPr="002B0DBD">
        <w:rPr>
          <w:sz w:val="20"/>
          <w:szCs w:val="20"/>
        </w:rPr>
        <w:t xml:space="preserve"> L. Vaglica, </w:t>
      </w:r>
      <w:r w:rsidRPr="002B0DBD">
        <w:rPr>
          <w:i/>
          <w:sz w:val="20"/>
          <w:szCs w:val="20"/>
        </w:rPr>
        <w:t xml:space="preserve">I prigionieri di guerra italiani in URSS – Tra propaganda e rieducazione politica </w:t>
      </w:r>
    </w:p>
    <w:p w:rsidR="00593A53" w:rsidRPr="002B0DBD" w:rsidRDefault="00593A53" w:rsidP="00791545">
      <w:pPr>
        <w:pStyle w:val="footnotedescription"/>
        <w:spacing w:after="120" w:line="240" w:lineRule="auto"/>
        <w:ind w:left="566" w:right="713"/>
        <w:rPr>
          <w:sz w:val="20"/>
          <w:szCs w:val="20"/>
        </w:rPr>
      </w:pPr>
      <w:r w:rsidRPr="002B0DBD">
        <w:rPr>
          <w:i/>
          <w:sz w:val="20"/>
          <w:szCs w:val="20"/>
        </w:rPr>
        <w:t>“L’Alba” 1943-1946</w:t>
      </w:r>
      <w:r w:rsidRPr="002B0DBD">
        <w:rPr>
          <w:sz w:val="20"/>
          <w:szCs w:val="20"/>
        </w:rPr>
        <w:t xml:space="preserve">, Prospettiva Editrice Roma, p. 308  </w:t>
      </w:r>
    </w:p>
  </w:footnote>
  <w:footnote w:id="4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ACS – Roma CSIR Vol. 2 sentenza redatta a Stalino il 21 maggio 1942  </w:t>
      </w:r>
    </w:p>
  </w:footnote>
  <w:footnote w:id="4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Ponzani, </w:t>
      </w:r>
      <w:r w:rsidRPr="002B0DBD">
        <w:rPr>
          <w:i/>
          <w:sz w:val="20"/>
          <w:szCs w:val="20"/>
        </w:rPr>
        <w:t>Guerra alle donne</w:t>
      </w:r>
      <w:r w:rsidRPr="002B0DBD">
        <w:rPr>
          <w:sz w:val="20"/>
          <w:szCs w:val="20"/>
        </w:rPr>
        <w:t xml:space="preserve">, p. 202 </w:t>
      </w:r>
      <w:r w:rsidRPr="002B0DBD">
        <w:rPr>
          <w:rFonts w:eastAsia="Calibri"/>
          <w:sz w:val="20"/>
          <w:szCs w:val="20"/>
        </w:rPr>
        <w:t xml:space="preserve"> </w:t>
      </w:r>
    </w:p>
  </w:footnote>
  <w:footnote w:id="49">
    <w:p w:rsidR="00593A53" w:rsidRPr="002B0DBD" w:rsidRDefault="00593A53" w:rsidP="00791545">
      <w:pPr>
        <w:pStyle w:val="footnotedescription"/>
        <w:spacing w:after="120" w:line="240" w:lineRule="auto"/>
        <w:ind w:left="566" w:right="713"/>
        <w:rPr>
          <w:sz w:val="20"/>
          <w:szCs w:val="20"/>
          <w:lang w:val="fr-FR"/>
        </w:rPr>
      </w:pPr>
      <w:r w:rsidRPr="002B0DBD">
        <w:rPr>
          <w:rStyle w:val="footnotemark"/>
          <w:sz w:val="20"/>
          <w:szCs w:val="20"/>
        </w:rPr>
        <w:footnoteRef/>
      </w:r>
      <w:r w:rsidRPr="002B0DBD">
        <w:rPr>
          <w:sz w:val="20"/>
          <w:szCs w:val="20"/>
          <w:lang w:val="fr-FR"/>
        </w:rPr>
        <w:t xml:space="preserve"> Coquery-Vidrovitch, ibid., pp. 75 e segg.  </w:t>
      </w:r>
    </w:p>
  </w:footnote>
  <w:footnote w:id="5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lang w:val="fr-FR"/>
        </w:rPr>
        <w:t xml:space="preserve"> Noirs et Hotentots […] sont infereiuers [aux Blanches] […] et purtant je ne sous-estime pas ces pires ennemis [les Juifs] que nous avons à combattre. </w:t>
      </w:r>
      <w:r w:rsidRPr="002B0DBD">
        <w:rPr>
          <w:sz w:val="20"/>
          <w:szCs w:val="20"/>
        </w:rPr>
        <w:t xml:space="preserve">Coquery-Vidrovitch, ibid., p. 77 </w:t>
      </w:r>
      <w:r w:rsidRPr="002B0DBD">
        <w:rPr>
          <w:rFonts w:eastAsia="Calibri"/>
          <w:sz w:val="20"/>
          <w:szCs w:val="20"/>
        </w:rPr>
        <w:t xml:space="preserve"> </w:t>
      </w:r>
    </w:p>
  </w:footnote>
  <w:footnote w:id="51">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rPr>
        <w:t xml:space="preserve"> L. Beccaria Rolfi, B. Maida, </w:t>
      </w:r>
      <w:r w:rsidRPr="002B0DBD">
        <w:rPr>
          <w:i/>
          <w:sz w:val="20"/>
          <w:szCs w:val="20"/>
        </w:rPr>
        <w:t>Il futuro spezzato: i nazisti contro i bambini</w:t>
      </w:r>
      <w:r w:rsidRPr="002B0DBD">
        <w:rPr>
          <w:sz w:val="20"/>
          <w:szCs w:val="20"/>
        </w:rPr>
        <w:t xml:space="preserve">, Ed. </w:t>
      </w:r>
      <w:r w:rsidRPr="002B0DBD">
        <w:rPr>
          <w:sz w:val="20"/>
          <w:szCs w:val="20"/>
          <w:lang w:val="de-DE"/>
        </w:rPr>
        <w:t xml:space="preserve">La Giuntina, Firenze 1997, p. 128  </w:t>
      </w:r>
    </w:p>
  </w:footnote>
  <w:footnote w:id="52">
    <w:p w:rsidR="00593A53" w:rsidRPr="002B0DBD" w:rsidRDefault="00593A53" w:rsidP="008B5661">
      <w:pPr>
        <w:spacing w:after="0" w:line="240" w:lineRule="auto"/>
        <w:ind w:left="567" w:right="714" w:firstLine="0"/>
        <w:rPr>
          <w:sz w:val="20"/>
          <w:szCs w:val="20"/>
          <w:lang w:val="en-GB"/>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„In 1905, the Berliner Gesellschaft fuer Rassenhygene was founded. </w:t>
      </w:r>
      <w:r w:rsidRPr="002B0DBD">
        <w:rPr>
          <w:i/>
          <w:sz w:val="20"/>
          <w:szCs w:val="20"/>
          <w:lang w:val="en-GB"/>
        </w:rPr>
        <w:t xml:space="preserve">This was reconstituted into the deutsche fuer Rassehygenie in 1910. By 1930, there were over 1,000 members in 16 local groups, with four groups in Austria. At the international hygiene exhibition in Dresden, the racial hygienists Max von Gruber and Ernst Ruedin presented arguments in the catalogue and the main exhibition. The aphorism was degeneration: Inherited degeneracy endangers the civilised nations. “All the nations are burdened with an extremely high number of those that are sub/standard, weak, of poor health and crippled”. They demanded that the state was to make a through enhancement of the people s health in order to eliminate the unfit from the society. They requested the “eradication”, “weeding out”, and “elimination” of those suffering from sexual transmitted diseases or tuberculosis, the mentally disabled, “asocial elements” and criminals to give the nation’s body the chance to regain its health. </w:t>
      </w:r>
    </w:p>
    <w:p w:rsidR="00593A53" w:rsidRPr="00791545" w:rsidRDefault="00593A53" w:rsidP="00057428">
      <w:pPr>
        <w:spacing w:after="120" w:line="240" w:lineRule="auto"/>
        <w:ind w:left="566" w:right="713" w:firstLine="0"/>
        <w:rPr>
          <w:sz w:val="20"/>
          <w:szCs w:val="20"/>
          <w:lang w:val="en-US"/>
        </w:rPr>
      </w:pPr>
      <w:r w:rsidRPr="002B0DBD">
        <w:rPr>
          <w:i/>
          <w:sz w:val="20"/>
          <w:szCs w:val="20"/>
          <w:lang w:val="en-GB"/>
        </w:rPr>
        <w:t xml:space="preserve">      The debate about declining birth rates in German Empire reinforced the arguments of racial hygienicists. The fear of extermination of Germans or the increase of the unprivileged, lower classes with a high birth rate stimulated the debate on eradication of the “inferior”. Knowledge from biology and genetics were functionalised and placed in the “service” of racial hygiene.” </w:t>
      </w:r>
      <w:r w:rsidRPr="00791545">
        <w:rPr>
          <w:sz w:val="20"/>
          <w:szCs w:val="20"/>
          <w:lang w:val="en-US"/>
        </w:rPr>
        <w:t xml:space="preserve">L. Bauer, </w:t>
      </w:r>
      <w:r w:rsidRPr="00791545">
        <w:rPr>
          <w:i/>
          <w:sz w:val="20"/>
          <w:szCs w:val="20"/>
          <w:lang w:val="en-US"/>
        </w:rPr>
        <w:t>Transferred to Hadamar</w:t>
      </w:r>
      <w:r w:rsidRPr="00791545">
        <w:rPr>
          <w:sz w:val="20"/>
          <w:szCs w:val="20"/>
          <w:lang w:val="en-US"/>
        </w:rPr>
        <w:t xml:space="preserve">, Uta George (Ed.) Kassel 2005, p. 15 </w:t>
      </w:r>
    </w:p>
  </w:footnote>
  <w:footnote w:id="53">
    <w:p w:rsidR="00593A53" w:rsidRPr="002B0DBD" w:rsidRDefault="00593A53" w:rsidP="00791545">
      <w:pPr>
        <w:numPr>
          <w:ilvl w:val="0"/>
          <w:numId w:val="7"/>
        </w:numPr>
        <w:spacing w:after="120" w:line="240" w:lineRule="auto"/>
        <w:ind w:left="566" w:right="713" w:firstLine="0"/>
      </w:pPr>
      <w:r w:rsidRPr="002B0DBD">
        <w:rPr>
          <w:sz w:val="20"/>
          <w:szCs w:val="20"/>
        </w:rPr>
        <w:t xml:space="preserve">R.J. Lifton, </w:t>
      </w:r>
      <w:r w:rsidRPr="00057428">
        <w:rPr>
          <w:i/>
          <w:sz w:val="20"/>
          <w:szCs w:val="20"/>
        </w:rPr>
        <w:t>I medici nazisti</w:t>
      </w:r>
      <w:r w:rsidRPr="002B0DBD">
        <w:rPr>
          <w:sz w:val="20"/>
          <w:szCs w:val="20"/>
        </w:rPr>
        <w:t xml:space="preserve">, Bur, Milano 2002, p. 75 </w:t>
      </w:r>
    </w:p>
  </w:footnote>
  <w:footnote w:id="54">
    <w:p w:rsidR="00593A53" w:rsidRPr="002B0DBD" w:rsidRDefault="00593A53" w:rsidP="00057428">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w:t>
      </w:r>
      <w:r w:rsidRPr="00057428">
        <w:rPr>
          <w:rStyle w:val="Rimandonotaapidipagina"/>
          <w:color w:val="FFFFFF" w:themeColor="background1"/>
          <w:sz w:val="2"/>
          <w:szCs w:val="2"/>
        </w:rPr>
        <w:footnoteRef/>
      </w:r>
      <w:r w:rsidRPr="002B0DBD">
        <w:rPr>
          <w:sz w:val="20"/>
          <w:szCs w:val="20"/>
          <w:lang w:val="de-DE"/>
        </w:rPr>
        <w:t xml:space="preserve"> Die Idiotin K. M. geb. 8. Juli 1922 in Oberreute, Gd. Jmmenried, Kr. Wangen, ist seit 3. September 1928 hier untergebracht. Seit einiger Zeit treten bei M. Erregungszustände auf in denen sie gegen ihre umgebung gewalttätig wird, nach andern Kindern schlägt und beisst. Auch Angriffe auf Erwachsene hat M. schon unternommen. Sie bildet eine Gefahr für ihre Umgebung und kann in heisiger Anstalt, wo es an den notwendigen Absonderungsmöglichkeiten fehlt, nicht mehr länger behalten werden. Ihre Aufnahme in einer geschlossenen Irrenanstalt ist notwendig. BA – Berlin Lichterfelde, R 179/24270, p. 24 </w:t>
      </w:r>
    </w:p>
  </w:footnote>
  <w:footnote w:id="5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Dall’articolo </w:t>
      </w:r>
      <w:r w:rsidRPr="002B0DBD">
        <w:rPr>
          <w:i/>
          <w:sz w:val="20"/>
          <w:szCs w:val="20"/>
        </w:rPr>
        <w:t xml:space="preserve">Difendiamo nella maternità le qualità della </w:t>
      </w:r>
      <w:r w:rsidRPr="002B0DBD">
        <w:rPr>
          <w:sz w:val="20"/>
          <w:szCs w:val="20"/>
        </w:rPr>
        <w:t xml:space="preserve">razza di G. Landra ACS – Roma, </w:t>
      </w:r>
      <w:r w:rsidRPr="002B0DBD">
        <w:rPr>
          <w:i/>
          <w:sz w:val="20"/>
          <w:szCs w:val="20"/>
        </w:rPr>
        <w:t xml:space="preserve">La Difesa della Razza n. 10 </w:t>
      </w:r>
      <w:r w:rsidRPr="002B0DBD">
        <w:rPr>
          <w:sz w:val="20"/>
          <w:szCs w:val="20"/>
        </w:rPr>
        <w:t xml:space="preserve">  </w:t>
      </w:r>
    </w:p>
  </w:footnote>
  <w:footnote w:id="5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BA – Berlin Lichterfelde, R 179/30005, p. 13 </w:t>
      </w:r>
      <w:r w:rsidRPr="002B0DBD">
        <w:rPr>
          <w:rFonts w:eastAsia="Calibri"/>
          <w:sz w:val="20"/>
          <w:szCs w:val="20"/>
          <w:lang w:val="de-DE"/>
        </w:rPr>
        <w:t xml:space="preserve"> </w:t>
      </w:r>
    </w:p>
  </w:footnote>
  <w:footnote w:id="57">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Ref. Kennt Pat. Seit 15 Jahren. Früher Kopfschmerzen im Hinterkopf, Blutarmut, 2 Kinder, Geburten normal,  Kinder sind gesund, lernen gut, sind nervös, zappelig. Keine Missfälle Inf. Ven. Nrgstiv.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Pat. Immer munterm auffällig, hat sich leicht aufgeregt. Ehe war glücklich. Im Oktober war Geburstagfeier ihrer Mutter, bleib 4 Wochen in Würtenberg. Dann in Heilbronn ein früheres Verhältnis wieder getroffen, hat sich drüber aufgeregt. Hat sich mit ihrem Schicksal nicht abfinden, die andern Geschwister hätten es besser wie sie. Keine Suizidabsichchten, hört seit ihrer Rückkehr Ende November Leute sprechenlachte vor sich hin, weinte nachts, war oft in Gedanken versunken, sprach dann unsinniges zeug es waren, obwohl sie ihn vor eine Sunde noch lebend gesehen habe. 15.XII. in der  Nacht sehr unruhig, sucht Schutz bei Ehemann habe gezittertu. geschrien.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16. XII. wieder in der Nacht sehr unruhig hat laut geschriien und um sich geschlagen. Periode sei immer sehr unregelmäßig, sie leide an Kopfschmerzen dabei. Praemenstrueil verstimmt.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Familie: Mutter 80 Jahre alt, gesund, Geschwister gesund. Vater früh gestorben Potator.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Suizide, Anfälle, Geistenkrankenheiten, Linkshänderin der Familie sind dem Ref. nicht bekennt. Schon 1935 im Oktober in Waldenburg auffällig gewesen. Hätte laut geschriien, einförmige, Bewegungen, die Leute herbeigerufen die Geschenke gezeigt, irr gesprochen! Ist allein gereist. Ganz planlos, sie sei jetzt aufgeklärt im III. Reich.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Familie: ein Kind ist nervös, hat Zucken und………..im Gesicht.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Liegt mit geschlossene Augen im Bett, die Lage und Haltung ist eine natürliche. Der Gesichtausdruck ist angestrengt-änstlich mit Stirnfalten. Die Atmung ist laut und tief.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Auf Fragen gibt sie keine Antwort. Nur bisweilen stöhnt sie. Beim Versuch, sie aufzuricaten, ist sie etwas  wiederstrebend, lässt sich aber doch aus dem Bett haben.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Liegt hier im Untersuchungszimmer in derselben Haltung mit schnaufender Atmung. Die Augen sind geschlossen, der Kopf zur Wand gerichtet. Plötzlich und ganz unmotiviert lacht sie auf, schüttelt dabei den Kopf, sihet Ref. an. Die Hände legt sie gefaltet auf die Bettdecke, Klatscht auch einmal in die Hände. Verhält sich denn wieder ruhig. Hört auf ihren Namen, nickt mit dem Kopf.  Eine Erklärung für ihr eigenartiges Verhalten gibt sie nicht. Schüttelt dabei den Kopf.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Wieder plötzlicher Umschwund, wird ganz lebhaft, erzählt ununterbrochenvon alten Erlebnissen, überstürzt sich geradezu dabei. </w:t>
      </w:r>
    </w:p>
    <w:p w:rsidR="00593A53" w:rsidRPr="00791545" w:rsidRDefault="00593A53" w:rsidP="00057428">
      <w:pPr>
        <w:spacing w:after="120" w:line="240" w:lineRule="auto"/>
        <w:ind w:left="566" w:right="713" w:firstLine="0"/>
        <w:rPr>
          <w:lang w:val="de-DE"/>
        </w:rPr>
      </w:pPr>
      <w:r w:rsidRPr="002B0DBD">
        <w:rPr>
          <w:sz w:val="20"/>
          <w:szCs w:val="20"/>
          <w:lang w:val="de-DE"/>
        </w:rPr>
        <w:t xml:space="preserve">Kommt jeder Aufforderung nach. Ist ganz geordnet. (äusserlich) Aber schon nach ein paar Minuten wieder Umschwung in mehr wiederstrebende Haltung mit lokalen negativistischen Strebungen. </w:t>
      </w:r>
      <w:r w:rsidRPr="00791545">
        <w:rPr>
          <w:sz w:val="20"/>
          <w:szCs w:val="20"/>
          <w:lang w:val="de-DE"/>
        </w:rPr>
        <w:t xml:space="preserve">(Augenzukneifen, faust machen) BA – Berlin Licterfelde 179/24253 pp. 8-9 </w:t>
      </w:r>
    </w:p>
  </w:footnote>
  <w:footnote w:id="58">
    <w:p w:rsidR="00593A53" w:rsidRPr="002B0DBD" w:rsidRDefault="00593A53" w:rsidP="008B5661">
      <w:pPr>
        <w:spacing w:after="0" w:line="240" w:lineRule="auto"/>
        <w:ind w:left="567" w:right="714" w:firstLine="0"/>
        <w:rPr>
          <w:sz w:val="20"/>
          <w:szCs w:val="20"/>
          <w:lang w:val="de-DE"/>
        </w:rPr>
      </w:pPr>
      <w:r w:rsidRPr="002B0DBD">
        <w:rPr>
          <w:sz w:val="20"/>
          <w:szCs w:val="20"/>
          <w:vertAlign w:val="superscript"/>
          <w:lang w:val="de-DE"/>
        </w:rPr>
        <w:t>58</w:t>
      </w:r>
      <w:r w:rsidRPr="002B0DBD">
        <w:rPr>
          <w:sz w:val="20"/>
          <w:szCs w:val="20"/>
          <w:lang w:val="de-DE"/>
        </w:rPr>
        <w:t xml:space="preserve"> 1 Bruder der Mutter der Pa. erhängte sich mit 59 J. im Uebringen keine Fälle von psychischen Abnormitäten, keine Fälle von Erbkrankenheiten in der Familie bekannt.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Als Kind englische Krankheit gehabt, mit 17 Jharen Gehirnautentzündung, sonst nie ernstlich krank gewesen. In der Schule immer sehr schlecht gelernt. Nach der Schulzeit in der elterlichen [unlesbar] gearbeitet, zeitweise auch in Stellung gewesen. 2 voreheliche  Kinder, von denen jedes eines besonderen Vater gehabt habe. Eines dieser Kinder starb früh, eines wurde von der Mutter aufgezogen.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1930 Heirat mit K. K.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Ausser dieser Ehe 3 Kinder (Mädchen): 1930, 31, und 35. Schon von Jugend auf nei zu einer rechten Arbeit zu brauchen gewesen (nach Aussage der Mutter). In der Ehe vollends ganz verloddert.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Vernachlässigte ihre hausfraulichen und Mutterpflichten in der schlimmsten Weise. Für die Kinder musste Fürsorgenerziehung angeordnet werden. K. selbst wurde 1937 wegen angeberenen Schwachsinns </w:t>
      </w:r>
      <w:r w:rsidRPr="002B0DBD">
        <w:rPr>
          <w:sz w:val="20"/>
          <w:szCs w:val="20"/>
          <w:u w:val="single" w:color="000000"/>
          <w:lang w:val="de-DE"/>
        </w:rPr>
        <w:t>unfruchtbar gemacht.</w:t>
      </w:r>
      <w:r w:rsidRPr="002B0DBD">
        <w:rPr>
          <w:sz w:val="20"/>
          <w:szCs w:val="20"/>
          <w:lang w:val="de-DE"/>
        </w:rPr>
        <w:t xml:space="preserve"> Schon seit 1936 Sterilisierung fielen solche in vermehrtem Masse auf. Sie glaubte vergiftet zu werden, hörte Stimmen, die ihr drohten. Da sie im Oktober 1937 ihr Kind umbringen wollte danach in die Nervenklink Tübingen verbracht (am 4. 11. 1937). Am 24 XI. 37 wurde sie von dort gegen schweren Revers auf Drängen des Ehemanns nach Hause entlassen. […].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Sie wolle jetzt heim, sie sei gesund, sie könne schaffen, man habe sie angeschwindelz gesagt, sie käme an den Bodensee zur Erholung. </w:t>
      </w:r>
    </w:p>
    <w:p w:rsidR="00593A53" w:rsidRPr="00791545" w:rsidRDefault="00593A53" w:rsidP="00057428">
      <w:pPr>
        <w:spacing w:after="120" w:line="240" w:lineRule="auto"/>
        <w:ind w:left="566" w:right="713" w:firstLine="0"/>
        <w:rPr>
          <w:lang w:val="de-DE"/>
        </w:rPr>
      </w:pPr>
      <w:r w:rsidRPr="002B0DBD">
        <w:rPr>
          <w:sz w:val="20"/>
          <w:szCs w:val="20"/>
          <w:lang w:val="de-DE"/>
        </w:rPr>
        <w:t xml:space="preserve">Es sei nicht wahr, dass sie ihr Kind habe umbringen wollen. Sie habe für ihre Kinder immer gut gesorgt, sie seien gut genährt gewesen […].1.8.40 Blöde Kranke , sie immer schimpft, nichts arbeitet, in Allem besorgt werden muss. </w:t>
      </w:r>
      <w:r w:rsidRPr="00791545">
        <w:rPr>
          <w:sz w:val="20"/>
          <w:szCs w:val="20"/>
          <w:lang w:val="de-DE"/>
        </w:rPr>
        <w:t xml:space="preserve">BA – Berlin Lichterfelde, R 179/24281 </w:t>
      </w:r>
    </w:p>
  </w:footnote>
  <w:footnote w:id="59">
    <w:p w:rsidR="00593A53" w:rsidRPr="002B0DBD" w:rsidRDefault="00593A53" w:rsidP="00057428">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4.6.36 Gesichtserysipel Temp. 39,1° die Nase verschwollen 10 ccm Prontosil i.v. kommt in ein Einzelzimmer </w:t>
      </w:r>
    </w:p>
    <w:p w:rsidR="00593A53" w:rsidRPr="002B0DBD" w:rsidRDefault="00593A53" w:rsidP="00057428">
      <w:pPr>
        <w:spacing w:after="0" w:line="240" w:lineRule="auto"/>
        <w:ind w:left="567" w:right="714" w:firstLine="0"/>
        <w:rPr>
          <w:sz w:val="20"/>
          <w:szCs w:val="20"/>
          <w:lang w:val="de-DE"/>
        </w:rPr>
      </w:pPr>
      <w:r w:rsidRPr="002B0DBD">
        <w:rPr>
          <w:sz w:val="20"/>
          <w:szCs w:val="20"/>
          <w:lang w:val="de-DE"/>
        </w:rPr>
        <w:t xml:space="preserve">5.6. Wietergreifen des Erysipel auf die rechte Wange. Blasenbildung 10 ccm Prontosil i.v. </w:t>
      </w:r>
    </w:p>
    <w:p w:rsidR="00593A53" w:rsidRPr="002B0DBD" w:rsidRDefault="00593A53" w:rsidP="00057428">
      <w:pPr>
        <w:spacing w:after="0" w:line="240" w:lineRule="auto"/>
        <w:ind w:left="567" w:right="714" w:firstLine="0"/>
        <w:jc w:val="left"/>
        <w:rPr>
          <w:sz w:val="20"/>
          <w:szCs w:val="20"/>
          <w:lang w:val="de-DE"/>
        </w:rPr>
      </w:pPr>
      <w:r w:rsidRPr="002B0DBD">
        <w:rPr>
          <w:sz w:val="20"/>
          <w:szCs w:val="20"/>
          <w:lang w:val="de-DE"/>
        </w:rPr>
        <w:t xml:space="preserve">Die Kranke ist ausserordentlich ruhig, zugänglich , lässt sich geduldigt verbinden, als sei psychose völlig geschwunden. […]. </w:t>
      </w:r>
    </w:p>
    <w:p w:rsidR="00593A53" w:rsidRPr="002B0DBD" w:rsidRDefault="00593A53" w:rsidP="00057428">
      <w:pPr>
        <w:spacing w:after="0" w:line="240" w:lineRule="auto"/>
        <w:ind w:left="567" w:right="714" w:firstLine="0"/>
        <w:rPr>
          <w:sz w:val="20"/>
          <w:szCs w:val="20"/>
          <w:lang w:val="de-DE"/>
        </w:rPr>
      </w:pPr>
      <w:r w:rsidRPr="002B0DBD">
        <w:rPr>
          <w:sz w:val="20"/>
          <w:szCs w:val="20"/>
          <w:lang w:val="de-DE"/>
        </w:rPr>
        <w:t xml:space="preserve">14.6.36 Weiter normale Temperaturen, ruhiges Verhalten. </w:t>
      </w:r>
    </w:p>
    <w:p w:rsidR="00593A53" w:rsidRPr="002B0DBD" w:rsidRDefault="00593A53" w:rsidP="00057428">
      <w:pPr>
        <w:spacing w:after="0" w:line="240" w:lineRule="auto"/>
        <w:ind w:left="567" w:right="714" w:firstLine="0"/>
        <w:rPr>
          <w:sz w:val="20"/>
          <w:szCs w:val="20"/>
          <w:lang w:val="de-DE"/>
        </w:rPr>
      </w:pPr>
      <w:r w:rsidRPr="002B0DBD">
        <w:rPr>
          <w:sz w:val="20"/>
          <w:szCs w:val="20"/>
          <w:lang w:val="de-DE"/>
        </w:rPr>
        <w:t xml:space="preserve">In ihen Reden ziemlich geordnet , ist aber wieder leicht ablehnend, Fühlt sich beeinflusst, hört Stimmen. </w:t>
      </w:r>
    </w:p>
    <w:p w:rsidR="00593A53" w:rsidRPr="002B0DBD" w:rsidRDefault="00593A53" w:rsidP="00057428">
      <w:pPr>
        <w:spacing w:after="120" w:line="240" w:lineRule="auto"/>
        <w:ind w:left="566" w:right="713" w:firstLine="0"/>
        <w:rPr>
          <w:lang w:val="de-DE"/>
        </w:rPr>
      </w:pPr>
      <w:r w:rsidRPr="002B0DBD">
        <w:rPr>
          <w:sz w:val="20"/>
          <w:szCs w:val="20"/>
          <w:lang w:val="de-DE"/>
        </w:rPr>
        <w:t xml:space="preserve">BA – Berlin Licterfelde R 179/24253 p. 11 </w:t>
      </w:r>
    </w:p>
  </w:footnote>
  <w:footnote w:id="60">
    <w:p w:rsidR="00593A53" w:rsidRPr="002B0DBD" w:rsidRDefault="00593A53" w:rsidP="00057428">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Die körperliche Untersuchung ergab ausser lebhaften Sehnenreflexen keine Anhaltspunkte für eine körperliche Erkrankung. […]. </w:t>
      </w:r>
    </w:p>
    <w:p w:rsidR="00593A53" w:rsidRPr="002B0DBD" w:rsidRDefault="00593A53" w:rsidP="00057428">
      <w:pPr>
        <w:spacing w:after="0" w:line="240" w:lineRule="auto"/>
        <w:ind w:left="567" w:right="714" w:firstLine="0"/>
        <w:rPr>
          <w:sz w:val="20"/>
          <w:szCs w:val="20"/>
          <w:lang w:val="de-DE"/>
        </w:rPr>
      </w:pPr>
      <w:r w:rsidRPr="002B0DBD">
        <w:rPr>
          <w:sz w:val="20"/>
          <w:szCs w:val="20"/>
          <w:lang w:val="de-DE"/>
        </w:rPr>
        <w:t xml:space="preserve">Sondert sich von den anderen Patienten etwas ab.Führt sich auf der Station geordnet auf Verlangsamt, will beachtet werden. […]. </w:t>
      </w:r>
    </w:p>
    <w:p w:rsidR="00593A53" w:rsidRPr="002B0DBD" w:rsidRDefault="00593A53" w:rsidP="00057428">
      <w:pPr>
        <w:spacing w:after="0" w:line="240" w:lineRule="auto"/>
        <w:ind w:left="567" w:right="714" w:firstLine="0"/>
        <w:rPr>
          <w:sz w:val="20"/>
          <w:szCs w:val="20"/>
          <w:lang w:val="de-DE"/>
        </w:rPr>
      </w:pPr>
      <w:r w:rsidRPr="002B0DBD">
        <w:rPr>
          <w:sz w:val="20"/>
          <w:szCs w:val="20"/>
          <w:lang w:val="de-DE"/>
        </w:rPr>
        <w:t xml:space="preserve">Musste wegens Erregungszustandes nach Abtg. D. verlegt werden. Verweigerte die Medizin, schimpfte auf die Anstalt und hetzte andere Patienten auf. Verweigerte die Nahrungsaufnahme. Kam deshalb auf Abtg. J. Erkrankte  hier mit 40 Fieber, bekam Durchfall. Nach einigen Tagen Besserung eines Befindungs. […]. </w:t>
      </w:r>
    </w:p>
    <w:p w:rsidR="00593A53" w:rsidRPr="002B0DBD" w:rsidRDefault="00593A53" w:rsidP="00057428">
      <w:pPr>
        <w:spacing w:after="0" w:line="240" w:lineRule="auto"/>
        <w:ind w:left="567" w:right="714" w:firstLine="0"/>
        <w:rPr>
          <w:sz w:val="20"/>
          <w:szCs w:val="20"/>
          <w:lang w:val="de-DE"/>
        </w:rPr>
      </w:pPr>
      <w:r w:rsidRPr="002B0DBD">
        <w:rPr>
          <w:sz w:val="20"/>
          <w:szCs w:val="20"/>
          <w:lang w:val="de-DE"/>
        </w:rPr>
        <w:t xml:space="preserve">Kam wegen eines Verwirrtheitszustandes nach Abtg. J. in vergangenen Monat 87 Anfälle, meistens  lichter Art. Sehr zufrieden, dauernd  am nörgeln. Verschluckte eine Sicherheitsnadel und eine Heftklammer, beide gingen auf natürlichem Wege ab.Er behauptetenoch eine Füllfederhalten verschluckt zuhaben, was er jedoch nach einigen Tagen Wiederrief. Versuchte nochmals einen Löffelstiel zu verschlucken. Wollte hiermit seine Verlegung Abtg. Berzwingen. […]. </w:t>
      </w:r>
    </w:p>
    <w:p w:rsidR="00593A53" w:rsidRPr="002B0DBD" w:rsidRDefault="00593A53" w:rsidP="00057428">
      <w:pPr>
        <w:spacing w:after="120" w:line="240" w:lineRule="auto"/>
        <w:ind w:left="566" w:right="713" w:firstLine="0"/>
        <w:rPr>
          <w:lang w:val="de-DE"/>
        </w:rPr>
      </w:pPr>
      <w:r w:rsidRPr="002B0DBD">
        <w:rPr>
          <w:sz w:val="20"/>
          <w:szCs w:val="20"/>
          <w:lang w:val="de-DE"/>
        </w:rPr>
        <w:t xml:space="preserve">N. wird heutein die Anstalt zurückverlegt. Es wurde im Krankenhaus eine Röntgendurchleuchtung gemacht, die im absteigenden Dickdarm einen etwa 20 cm langen und etwa besenstieldicken Fremfkörper erkennen liess , der nicht entfernt werden konnte. N. muss sich diesen Fremdkörper vor längerer Zeit einmal in Mastdarm geschoben haben. </w:t>
      </w:r>
      <w:r w:rsidRPr="002B0DBD">
        <w:rPr>
          <w:sz w:val="20"/>
          <w:szCs w:val="20"/>
        </w:rPr>
        <w:t xml:space="preserve">BA – Berlin Lichterfelde R 179/24296 p. 11 </w:t>
      </w:r>
    </w:p>
  </w:footnote>
  <w:footnote w:id="6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S. Falasca, </w:t>
      </w:r>
      <w:r w:rsidRPr="002B0DBD">
        <w:rPr>
          <w:i/>
          <w:sz w:val="20"/>
          <w:szCs w:val="20"/>
        </w:rPr>
        <w:t>Un vescovo contro Hitler – Von Galen, Pio XII e la resistenza al nazismo</w:t>
      </w:r>
      <w:r w:rsidRPr="002B0DBD">
        <w:rPr>
          <w:sz w:val="20"/>
          <w:szCs w:val="20"/>
        </w:rPr>
        <w:t xml:space="preserve">, Editore San Paolo, Cinisello Balsamo (Mi) 2006, pp. 209-218  </w:t>
      </w:r>
    </w:p>
  </w:footnote>
  <w:footnote w:id="6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Cfr. M. G. Soriano, </w:t>
      </w:r>
      <w:r w:rsidRPr="002B0DBD">
        <w:rPr>
          <w:i/>
          <w:sz w:val="20"/>
          <w:szCs w:val="20"/>
        </w:rPr>
        <w:t>Donne prigioniere in Germania 1934</w:t>
      </w:r>
      <w:r w:rsidRPr="002B0DBD">
        <w:rPr>
          <w:sz w:val="20"/>
          <w:szCs w:val="20"/>
        </w:rPr>
        <w:t xml:space="preserve">, in Dep n. 18-19/2012 pp. 222-223 </w:t>
      </w:r>
    </w:p>
  </w:footnote>
  <w:footnote w:id="63">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 „[…] seit Februar 1943 im Besitze eines für meine Spezial-Untersuchungen einzig und allein vollwertigen Röngten-Apparates. Trotz der kurzen Zeitspanne von eigentlich, Ihnen Reichsführer folgendes mitzuteilen: </w:t>
      </w:r>
    </w:p>
    <w:p w:rsidR="00593A53" w:rsidRPr="00057428" w:rsidRDefault="00593A53" w:rsidP="00057428">
      <w:pPr>
        <w:spacing w:after="0" w:line="240" w:lineRule="auto"/>
        <w:ind w:left="566" w:right="714" w:firstLine="0"/>
        <w:rPr>
          <w:sz w:val="20"/>
          <w:szCs w:val="20"/>
          <w:lang w:val="en-US"/>
        </w:rPr>
      </w:pPr>
      <w:r w:rsidRPr="002B0DBD">
        <w:rPr>
          <w:i/>
          <w:sz w:val="20"/>
          <w:szCs w:val="20"/>
          <w:lang w:val="de-DE"/>
        </w:rPr>
        <w:t xml:space="preserve">Die von mir erdachte Methode, ohne Operation eine Sterilisierung des weiblich  Organismus zu erzielen, ist so gut wie fertig ausgearbeitet. Sie erfolgt durch eine einige Einspritzung vom Eingang der Gebärmutter her und kann bei der üblichen jeden Arzt bekannten gynäkologischen Untersuchung vorgenommen werden. – Wenn ich sage, die Methode ist </w:t>
      </w:r>
      <w:r w:rsidRPr="00057428">
        <w:rPr>
          <w:i/>
          <w:sz w:val="20"/>
          <w:szCs w:val="20"/>
          <w:lang w:val="en-US"/>
        </w:rPr>
        <w:t xml:space="preserve">„so gut wie fertig“ </w:t>
      </w:r>
    </w:p>
    <w:p w:rsidR="00593A53" w:rsidRPr="002B0DBD" w:rsidRDefault="00593A53" w:rsidP="00057428">
      <w:pPr>
        <w:numPr>
          <w:ilvl w:val="0"/>
          <w:numId w:val="9"/>
        </w:numPr>
        <w:spacing w:after="0" w:line="240" w:lineRule="auto"/>
        <w:ind w:left="993" w:right="714" w:firstLine="0"/>
        <w:rPr>
          <w:sz w:val="20"/>
          <w:szCs w:val="20"/>
          <w:lang w:val="de-DE"/>
        </w:rPr>
      </w:pPr>
      <w:r w:rsidRPr="002B0DBD">
        <w:rPr>
          <w:i/>
          <w:sz w:val="20"/>
          <w:szCs w:val="20"/>
          <w:lang w:val="de-DE"/>
        </w:rPr>
        <w:t xml:space="preserve">Noch zu erarbeiten sind lediglich ihre Verfeinerungen. </w:t>
      </w:r>
    </w:p>
    <w:p w:rsidR="00593A53" w:rsidRPr="002B0DBD" w:rsidRDefault="00593A53" w:rsidP="00057428">
      <w:pPr>
        <w:numPr>
          <w:ilvl w:val="0"/>
          <w:numId w:val="9"/>
        </w:numPr>
        <w:spacing w:after="0" w:line="240" w:lineRule="auto"/>
        <w:ind w:left="993" w:right="714" w:firstLine="0"/>
        <w:rPr>
          <w:sz w:val="20"/>
          <w:szCs w:val="20"/>
          <w:lang w:val="de-DE"/>
        </w:rPr>
      </w:pPr>
      <w:r w:rsidRPr="002B0DBD">
        <w:rPr>
          <w:i/>
          <w:sz w:val="20"/>
          <w:szCs w:val="20"/>
          <w:lang w:val="de-DE"/>
        </w:rPr>
        <w:t xml:space="preserve">Sie könnte bereits heute bei unseren üblichen eugenetischen Sterilisierung abstelle der Operation </w:t>
      </w:r>
    </w:p>
    <w:p w:rsidR="00593A53" w:rsidRPr="002B0DBD" w:rsidRDefault="00593A53" w:rsidP="00057428">
      <w:pPr>
        <w:spacing w:after="120" w:line="240" w:lineRule="auto"/>
        <w:ind w:left="1418" w:right="713" w:firstLine="0"/>
        <w:rPr>
          <w:lang w:val="de-DE"/>
        </w:rPr>
      </w:pPr>
      <w:r w:rsidRPr="002B0DBD">
        <w:rPr>
          <w:i/>
          <w:sz w:val="20"/>
          <w:szCs w:val="20"/>
          <w:lang w:val="de-DE"/>
        </w:rPr>
        <w:t xml:space="preserve">regelrecht Anwendung finden diese ersetzen.“, </w:t>
      </w:r>
      <w:r w:rsidRPr="002B0DBD">
        <w:rPr>
          <w:sz w:val="20"/>
          <w:szCs w:val="20"/>
          <w:lang w:val="de-DE"/>
        </w:rPr>
        <w:t>Auschwitz Museum</w:t>
      </w:r>
      <w:r w:rsidRPr="002B0DBD">
        <w:rPr>
          <w:i/>
          <w:sz w:val="20"/>
          <w:szCs w:val="20"/>
          <w:lang w:val="de-DE"/>
        </w:rPr>
        <w:t xml:space="preserve">  </w:t>
      </w:r>
    </w:p>
  </w:footnote>
  <w:footnote w:id="64">
    <w:p w:rsidR="00593A53" w:rsidRPr="002B0DBD" w:rsidRDefault="00593A53" w:rsidP="00057428">
      <w:pPr>
        <w:spacing w:after="0" w:line="240" w:lineRule="auto"/>
        <w:ind w:left="566" w:right="714" w:firstLine="0"/>
        <w:rPr>
          <w:sz w:val="20"/>
          <w:szCs w:val="20"/>
          <w:lang w:val="de-DE"/>
        </w:rPr>
      </w:pPr>
      <w:r w:rsidRPr="002B0DBD">
        <w:rPr>
          <w:rStyle w:val="Rimandonotaapidipagina"/>
          <w:sz w:val="20"/>
          <w:szCs w:val="20"/>
        </w:rPr>
        <w:footnoteRef/>
      </w:r>
      <w:r w:rsidRPr="00057428">
        <w:rPr>
          <w:sz w:val="20"/>
          <w:szCs w:val="20"/>
          <w:lang w:val="en-US"/>
        </w:rPr>
        <w:t xml:space="preserve"> </w:t>
      </w:r>
      <w:r w:rsidRPr="002B0DBD">
        <w:rPr>
          <w:sz w:val="20"/>
          <w:szCs w:val="20"/>
          <w:lang w:val="de-DE"/>
        </w:rPr>
        <w:t xml:space="preserve">Die Kosten für die erforderlich gewesene Röngtonaufnahme des rechten Oberarmes des Genannten werden nachträglich genehmigt. </w:t>
      </w:r>
    </w:p>
    <w:p w:rsidR="00593A53" w:rsidRPr="002B0DBD" w:rsidRDefault="00593A53" w:rsidP="00057428">
      <w:pPr>
        <w:spacing w:after="0" w:line="240" w:lineRule="auto"/>
        <w:ind w:left="566" w:right="714" w:firstLine="0"/>
        <w:rPr>
          <w:sz w:val="20"/>
          <w:szCs w:val="20"/>
          <w:lang w:val="de-DE"/>
        </w:rPr>
      </w:pPr>
      <w:r w:rsidRPr="002B0DBD">
        <w:rPr>
          <w:sz w:val="20"/>
          <w:szCs w:val="20"/>
          <w:lang w:val="de-DE"/>
        </w:rPr>
        <w:t xml:space="preserve">Ich bitte, die entstandenen Kosten dem Kreiswohlfahrtsamt in Wetzlar unmittelbar in Rechnung zu stellen. </w:t>
      </w:r>
    </w:p>
    <w:p w:rsidR="00593A53" w:rsidRPr="002B0DBD" w:rsidRDefault="00593A53" w:rsidP="00057428">
      <w:pPr>
        <w:spacing w:after="120" w:line="240" w:lineRule="auto"/>
        <w:ind w:left="566" w:right="713" w:firstLine="0"/>
      </w:pPr>
      <w:r w:rsidRPr="002B0DBD">
        <w:rPr>
          <w:sz w:val="20"/>
          <w:szCs w:val="20"/>
        </w:rPr>
        <w:t xml:space="preserve">BA – Berlin Lichterfelde, R 179/24318 </w:t>
      </w:r>
    </w:p>
  </w:footnote>
  <w:footnote w:id="65">
    <w:p w:rsidR="00593A53" w:rsidRPr="002B0DBD" w:rsidRDefault="00593A53" w:rsidP="00057428">
      <w:pPr>
        <w:spacing w:after="0" w:line="240" w:lineRule="auto"/>
        <w:ind w:left="576" w:right="714" w:firstLine="0"/>
        <w:rPr>
          <w:sz w:val="20"/>
          <w:szCs w:val="20"/>
          <w:lang w:val="de-DE"/>
        </w:rPr>
      </w:pPr>
      <w:r w:rsidRPr="002B0DBD">
        <w:rPr>
          <w:rStyle w:val="Rimandonotaapidipagina"/>
          <w:sz w:val="20"/>
          <w:szCs w:val="20"/>
        </w:rPr>
        <w:footnoteRef/>
      </w:r>
      <w:r w:rsidRPr="002B0DBD">
        <w:rPr>
          <w:sz w:val="20"/>
          <w:szCs w:val="20"/>
          <w:lang w:val="de-DE"/>
        </w:rPr>
        <w:t xml:space="preserve"> Zum Schreiben vom 1. Oktober d. Js. Aktenz. Nr. B. 185 betr. Den Geisteskranken W. B. in Soltau, Celler Str. </w:t>
      </w:r>
    </w:p>
    <w:p w:rsidR="00593A53" w:rsidRPr="002B0DBD" w:rsidRDefault="00593A53" w:rsidP="00057428">
      <w:pPr>
        <w:spacing w:after="0" w:line="240" w:lineRule="auto"/>
        <w:ind w:left="566" w:right="714" w:firstLine="0"/>
        <w:rPr>
          <w:sz w:val="20"/>
          <w:szCs w:val="20"/>
          <w:lang w:val="de-DE"/>
        </w:rPr>
      </w:pPr>
      <w:r w:rsidRPr="002B0DBD">
        <w:rPr>
          <w:sz w:val="20"/>
          <w:szCs w:val="20"/>
          <w:lang w:val="de-DE"/>
        </w:rPr>
        <w:t xml:space="preserve">Der Vater des Geisteskranken hat sich verpflichtet, sämtliche durch die Unterbringung in der Verpflichtungserklärung füge ich bei. </w:t>
      </w:r>
    </w:p>
    <w:p w:rsidR="00593A53" w:rsidRPr="002B0DBD" w:rsidRDefault="00593A53" w:rsidP="00057428">
      <w:pPr>
        <w:spacing w:after="120" w:line="240" w:lineRule="auto"/>
        <w:ind w:left="566" w:right="713" w:firstLine="0"/>
        <w:rPr>
          <w:lang w:val="de-DE"/>
        </w:rPr>
      </w:pPr>
      <w:r w:rsidRPr="002B0DBD">
        <w:rPr>
          <w:sz w:val="20"/>
          <w:szCs w:val="20"/>
          <w:lang w:val="de-DE"/>
        </w:rPr>
        <w:t xml:space="preserve">Ich bitte, wenn möglich, die Kosten von B. der Einfachheit halber unmittelbar einzuzihen. BA – Berlin Lichterfelde, R 179/24323 </w:t>
      </w:r>
    </w:p>
  </w:footnote>
  <w:footnote w:id="6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V. Spitz, </w:t>
      </w:r>
      <w:r w:rsidRPr="002B0DBD">
        <w:rPr>
          <w:i/>
          <w:sz w:val="20"/>
          <w:szCs w:val="20"/>
          <w:lang w:val="de-DE"/>
        </w:rPr>
        <w:t>La stenografa</w:t>
      </w:r>
      <w:r w:rsidRPr="002B0DBD">
        <w:rPr>
          <w:sz w:val="20"/>
          <w:szCs w:val="20"/>
          <w:lang w:val="de-DE"/>
        </w:rPr>
        <w:t>, Piemme, Milano 2015</w:t>
      </w:r>
      <w:r w:rsidRPr="002B0DBD">
        <w:rPr>
          <w:rFonts w:eastAsia="Calibri"/>
          <w:sz w:val="20"/>
          <w:szCs w:val="20"/>
          <w:lang w:val="de-DE"/>
        </w:rPr>
        <w:t xml:space="preserve"> </w:t>
      </w:r>
    </w:p>
  </w:footnote>
  <w:footnote w:id="67">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sz w:val="20"/>
          <w:szCs w:val="20"/>
          <w:u w:val="single" w:color="000000"/>
          <w:lang w:val="de-DE"/>
        </w:rPr>
        <w:t>AUTO-ANAMNESE :</w:t>
      </w:r>
      <w:r w:rsidRPr="002B0DBD">
        <w:rPr>
          <w:sz w:val="20"/>
          <w:szCs w:val="20"/>
          <w:lang w:val="de-DE"/>
        </w:rPr>
        <w:t xml:space="preserve">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Vater war Betriebsbeamter bei der Stadt, im Februar 1930 im Alter von 65 Jahren an doppels. Pneumonie gestorben. Sei sonnig – heitere Natur gewesen, kam leicht in Wut, die aber rasch wieder verfolgen sei. Gut und charaktervoll.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Mutter lebt, leidet seit 20 Jahren an Gallenstein, jetzt 51 Jahre, energische Natur, etwas derb. Neigung zum Herrschen. (stimmt obj. nicht).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1 Schwester der Patientin, 22 Jahre, Sekretärin bei Prof. T., in Chirurgischer Klinik, war früher Sekretärin in andern städtlichen Büros. Sei ruhig – besonnen.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Erzählt spontan: Sie sei mit dem Vater mitgestorben. Ihre Glieder seinen kalt gewesen. Sei apatisch gewesen. In jeder gewegung des Vaters habe sie sich als sein lieblisches Kind erkannt. „Ich starb gewissermassen mit ab.“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Sie leben doch jetzt?</w:t>
      </w:r>
      <w:r w:rsidRPr="002B0DBD">
        <w:rPr>
          <w:sz w:val="20"/>
          <w:szCs w:val="20"/>
          <w:lang w:val="de-DE"/>
        </w:rPr>
        <w:t xml:space="preserve"> / Ja, „Das Blut drängte mir so zum Herzen, dass ich ganz ohne Gefühl war. Ich lebe schon seit dem Tage, wo er gestorben ist, wieder.“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Vor dem Tod des Vaters auch Körperempfundugen gehabt?</w:t>
      </w:r>
      <w:r w:rsidRPr="002B0DBD">
        <w:rPr>
          <w:sz w:val="20"/>
          <w:szCs w:val="20"/>
          <w:lang w:val="de-DE"/>
        </w:rPr>
        <w:t xml:space="preserve">/ Nein, neimals. </w:t>
      </w:r>
      <w:r w:rsidRPr="002B0DBD">
        <w:rPr>
          <w:sz w:val="20"/>
          <w:szCs w:val="20"/>
          <w:u w:val="single" w:color="000000"/>
          <w:lang w:val="de-DE"/>
        </w:rPr>
        <w:t>Selbst:</w:t>
      </w:r>
      <w:r w:rsidRPr="002B0DBD">
        <w:rPr>
          <w:sz w:val="20"/>
          <w:szCs w:val="20"/>
          <w:lang w:val="de-DE"/>
        </w:rPr>
        <w:t xml:space="preserve">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1900 in Bockenheim geboren. Hatte Keuchhusten, Masenn, Diphterie. Danach 4 Wochen „Die Sprache verloren“, bei ganz heiser gewesen.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Braucht erst Volks dann Mittelschule, mittelmässiggelernt, sie sitzen geblieben. Dann 2 Jahre Handelsschule.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u w:val="single" w:color="000000"/>
          <w:lang w:val="de-DE"/>
        </w:rPr>
        <w:t>Persönlichkeit :</w:t>
      </w:r>
      <w:r w:rsidRPr="002B0DBD">
        <w:rPr>
          <w:sz w:val="20"/>
          <w:szCs w:val="20"/>
          <w:lang w:val="de-DE"/>
        </w:rPr>
        <w:t xml:space="preserve"> </w:t>
      </w:r>
    </w:p>
    <w:p w:rsidR="00593A53" w:rsidRPr="002B0DBD" w:rsidRDefault="00593A53" w:rsidP="00057428">
      <w:pPr>
        <w:spacing w:after="120" w:line="240" w:lineRule="auto"/>
        <w:ind w:left="566" w:right="713" w:firstLine="0"/>
        <w:rPr>
          <w:lang w:val="de-DE"/>
        </w:rPr>
      </w:pPr>
      <w:r w:rsidRPr="002B0DBD">
        <w:rPr>
          <w:sz w:val="20"/>
          <w:szCs w:val="20"/>
          <w:lang w:val="de-DE"/>
        </w:rPr>
        <w:t xml:space="preserve">Immer leberslustiges Mädchen, als Kind sehr aufgeweckt, musste alles wissen, konnte nicht genug fragen. War immer „phantasievoll“. Viel Erzählungen und Erlebnisse konfabuliert. […]. BA – Berlin Lichterfelde, R 179/24180 p. 69 </w:t>
      </w:r>
    </w:p>
  </w:footnote>
  <w:footnote w:id="68">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Bei erste Visite liegt Patientin sich räkelnd zu Bett, lacht Referenten erstaunt an, wickelt sich dann aus den Kissen. Runzelt öfters die stirn.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Im Untersuchungzimmer macht sie erst mit etwas wortreicher Sprache geordnete anamnestische Angabe, um aber bei der ersten Gelegenheit auf ihre krankenhafte Erlebnisse einzugehen. Spricht sehr gern von ihnen, zeigt starke affektive Beteiligung bei Bericht über ihre halluz. – paran. Erlebnisse. drückt sich sprachlich sehr klar darin aus, weiss ihre Worte gut zu setzten, zwischen durch kommen aber immer doch einzelne schiefe Ausdrücke, die als Paralogien imponieren könnten.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u w:val="single" w:color="000000"/>
          <w:lang w:val="de-DE"/>
        </w:rPr>
        <w:t>Körperliche:</w:t>
      </w:r>
      <w:r w:rsidRPr="002B0DBD">
        <w:rPr>
          <w:sz w:val="20"/>
          <w:szCs w:val="20"/>
          <w:lang w:val="de-DE"/>
        </w:rPr>
        <w:t xml:space="preserve"> </w:t>
      </w:r>
    </w:p>
    <w:p w:rsidR="00593A53" w:rsidRPr="002B0DBD" w:rsidRDefault="00593A53" w:rsidP="00057428">
      <w:pPr>
        <w:spacing w:after="120" w:line="240" w:lineRule="auto"/>
        <w:ind w:left="566" w:right="713" w:firstLine="0"/>
        <w:rPr>
          <w:lang w:val="de-DE"/>
        </w:rPr>
      </w:pPr>
      <w:r w:rsidRPr="002B0DBD">
        <w:rPr>
          <w:sz w:val="20"/>
          <w:szCs w:val="20"/>
          <w:lang w:val="de-DE"/>
        </w:rPr>
        <w:t xml:space="preserve">Übermittelgross, blond, kräftig, gut ernährt. BA – Berlin Lichterfelde, R 179/24180 p. 70 </w:t>
      </w:r>
    </w:p>
  </w:footnote>
  <w:footnote w:id="69">
    <w:p w:rsidR="00593A53" w:rsidRPr="002B0DBD" w:rsidRDefault="00593A53" w:rsidP="00057428">
      <w:pPr>
        <w:spacing w:after="120" w:line="240" w:lineRule="auto"/>
        <w:ind w:left="566" w:right="713" w:firstLine="0"/>
        <w:jc w:val="left"/>
      </w:pPr>
      <w:r w:rsidRPr="002B0DBD">
        <w:rPr>
          <w:rStyle w:val="Rimandonotaapidipagina"/>
          <w:sz w:val="20"/>
          <w:szCs w:val="20"/>
        </w:rPr>
        <w:footnoteRef/>
      </w:r>
      <w:r w:rsidRPr="002B0DBD">
        <w:rPr>
          <w:sz w:val="20"/>
          <w:szCs w:val="20"/>
          <w:lang w:val="de-DE"/>
        </w:rPr>
        <w:t xml:space="preserve"> Come risulta dal documento R 179/24225/10 p. 2, dove tra le altre annotazioni si legge: „In der Volksschule hat die zu Begutschtende schlecht gelernt und ist „ein oder zweimal“ sitzen geblieben. Nach der Schulentlassung war sie als Arbeiterin in Fabriken tätig bis zu ihrer Verheiratung.“ </w:t>
      </w:r>
      <w:r w:rsidRPr="002B0DBD">
        <w:rPr>
          <w:sz w:val="20"/>
          <w:szCs w:val="20"/>
        </w:rPr>
        <w:t xml:space="preserve">(ha frequentato con pessimo rendimento la scuola fino all’attestato, ma è stata bocciata una o due volte. Al termine degli studi è andata a lavorare in fabrica fino a quando non si è sposata.    </w:t>
      </w:r>
    </w:p>
  </w:footnote>
  <w:footnote w:id="70">
    <w:p w:rsidR="00593A53" w:rsidRPr="002B0DBD" w:rsidRDefault="00593A53" w:rsidP="008B5661">
      <w:pPr>
        <w:pStyle w:val="footnotedescription"/>
        <w:spacing w:line="240" w:lineRule="auto"/>
        <w:ind w:left="567" w:right="714"/>
        <w:rPr>
          <w:sz w:val="20"/>
          <w:szCs w:val="20"/>
          <w:lang w:val="de-DE"/>
        </w:rPr>
      </w:pPr>
      <w:r w:rsidRPr="002B0DBD">
        <w:rPr>
          <w:rStyle w:val="footnotemark"/>
          <w:sz w:val="20"/>
          <w:szCs w:val="20"/>
        </w:rPr>
        <w:footnoteRef/>
      </w:r>
      <w:r w:rsidRPr="002B0DBD">
        <w:rPr>
          <w:sz w:val="20"/>
          <w:szCs w:val="20"/>
          <w:lang w:val="de-DE"/>
        </w:rPr>
        <w:t xml:space="preserve"> „Schimpfte am Morgen sich am 13.8.1941 kurze Zeit, sagte, sie wolle es am Gericht melden, dass sie in der Anstalt schwere Medizin bekäme, sie sei davon so benommen und könne nicht mehr laufen, ihr Schwager sei Apotheker, der müsste mal untersuchen, was sie hier für Gift bekäme. Das Gefängnis wäre dann allen sicher.“ Ein Tag später verstarb Frau D.“ Platz, Todesurteil per Meldebogen – Ärztlicher </w:t>
      </w:r>
    </w:p>
    <w:p w:rsidR="00593A53" w:rsidRPr="002B0DBD" w:rsidRDefault="00593A53" w:rsidP="00057428">
      <w:pPr>
        <w:pStyle w:val="footnotedescription"/>
        <w:spacing w:after="120" w:line="240" w:lineRule="auto"/>
        <w:ind w:left="566" w:right="713"/>
        <w:jc w:val="both"/>
        <w:rPr>
          <w:sz w:val="20"/>
          <w:szCs w:val="20"/>
          <w:lang w:val="de-DE"/>
        </w:rPr>
      </w:pPr>
      <w:r w:rsidRPr="002B0DBD">
        <w:rPr>
          <w:sz w:val="20"/>
          <w:szCs w:val="20"/>
          <w:lang w:val="de-DE"/>
        </w:rPr>
        <w:t xml:space="preserve">Krankenmord im Ns-Staat Beiträge zur „Aktion T4“, Stiftung Neue Synagoge Berlin Centrum Judaicum, Berlino 2006, p. 32  </w:t>
      </w:r>
    </w:p>
  </w:footnote>
  <w:footnote w:id="71">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„Ärzte waren Hitlers Helfer, 44,8% der deutschen Ärzte waren zum Ende der NS-Zeit Mitglieder der NSDAP, regionale Unterschiede weisen auf einen noch höheren Anteil, beispielweise im Rheinland mit 56,0%. Auch die Rolle Karl Bonhoeffers als psychiatrischen Sachverständiger mit Richterfunktion beim Erbgesundheitsobergericht wurde von einer Arbeitsgruppe von Mitarbeiterinnen und Mitarbeiter der Klinik zur Erforschung medizinischer Verbrechen in der NS-Zeit in den früheren Wittenauer Heilstätten kritisch hinterfragt. […]. </w:t>
      </w:r>
    </w:p>
    <w:p w:rsidR="00593A53" w:rsidRPr="002B0DBD" w:rsidRDefault="00593A53" w:rsidP="00057428">
      <w:pPr>
        <w:pStyle w:val="footnotedescription"/>
        <w:spacing w:after="120" w:line="240" w:lineRule="auto"/>
        <w:ind w:left="566" w:right="713"/>
        <w:jc w:val="both"/>
        <w:rPr>
          <w:sz w:val="20"/>
          <w:szCs w:val="20"/>
          <w:lang w:val="de-DE"/>
        </w:rPr>
      </w:pPr>
      <w:r w:rsidRPr="002B0DBD">
        <w:rPr>
          <w:sz w:val="20"/>
          <w:szCs w:val="20"/>
          <w:lang w:val="de-DE"/>
        </w:rPr>
        <w:t xml:space="preserve">Am 25.3.1964 sagte Hebold in seiner Vernehmung als Beschuldigter aus, dass er im März oder April 1940 durch Einschreibebrief eine Einladung zu eine Besprechung in die damalige Reichkanzlei erhalten habe. Zu dieser Besprechung seien ca. 15 bis 20 Ärzte, alles Psychiater, gekommen, es habe sich u.a. auch die vertrauliche Besprechung gehandelt, bei der sich u.a. auch die Reichleiter Bouhler und Bormann, sowie ein Doktor Häfelmann und Professor Nitsche vorgestellt hätten.“  Platz, Todesurteil per Meldebogen – Ärztlicher Krankenmord im Ns-Staat Beiträge zur „Aktion T4“, Stiftung Neue Synagoge Berlin Centrum Judaicum, Berlino 2006, pp. 22-23  </w:t>
      </w:r>
    </w:p>
  </w:footnote>
  <w:footnote w:id="72">
    <w:p w:rsidR="00593A53" w:rsidRPr="002B0DBD" w:rsidRDefault="00593A53" w:rsidP="00057428">
      <w:pPr>
        <w:spacing w:after="120" w:line="240" w:lineRule="auto"/>
        <w:ind w:left="566" w:right="713" w:firstLine="0"/>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„Frauen hatten also bei einem etwa gleich Anteil an den Insassen von Heil – und Pflegeanstalten ein erhöherem Risiko, zur Tötung ausgewählt zu werden. Eine mögliche Erklärung hierfür ist, daß Männer in größerem Maße in den für die Aufrechterhaltung des Anstaltsbetriebs erforderlich Arbeitsbereichen eingesetzt waren“  </w:t>
      </w:r>
      <w:r w:rsidRPr="002B0DBD">
        <w:rPr>
          <w:sz w:val="20"/>
          <w:szCs w:val="20"/>
          <w:lang w:val="de-DE"/>
        </w:rPr>
        <w:t xml:space="preserve">Platz, Todesurteil per Meldebogen – Ärztlicher Krankenmord im Ns-Staat Beiträge zur „Aktion T4“, Stiftung Neue Synagoge Berlin Centrum Judaicum, Berlino 2006, pp. 51-52 </w:t>
      </w:r>
      <w:r w:rsidRPr="002B0DBD">
        <w:rPr>
          <w:i/>
          <w:sz w:val="20"/>
          <w:szCs w:val="20"/>
          <w:lang w:val="de-DE"/>
        </w:rPr>
        <w:t xml:space="preserve"> </w:t>
      </w:r>
    </w:p>
  </w:footnote>
  <w:footnote w:id="73">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„Von Hitler persönlich im Mai 1933 reichsweit für „alle Fragen Volkswohlfahrt und Fürsorge“ zuständig erklärt, entwickelte sich der zwei Jahre zuvor gegründete Breliner Verein unter der Leitung von Erich Hilgenfeld mit rund 17 Millionen Mitgliedern zur zweigrößten NS-Organisation nach der Deutschen Arbeitsfront (DAF). […]. Die enteigneten Besitzungen der 1933 zwangsaufgelösten Verbände „Rote Hilfe“, „Internationale Arbeiterhilfe“ und „Arbeitswohlfahrt“ bildeten den Grundstock für eine expandierende Infrastruktur an Kindergärten, Erholungsheimen und anderen Wohlfahrtseinrichtungen, die auch auf kosten von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 xml:space="preserve">Caritas und Innern Mission immer weiter ausgebaut wurde. […]. </w:t>
      </w:r>
    </w:p>
    <w:p w:rsidR="00593A53" w:rsidRPr="002B0DBD" w:rsidRDefault="00593A53" w:rsidP="00057428">
      <w:pPr>
        <w:spacing w:after="120" w:line="240" w:lineRule="auto"/>
        <w:ind w:left="566" w:right="713" w:firstLine="0"/>
        <w:rPr>
          <w:lang w:val="de-DE"/>
        </w:rPr>
      </w:pPr>
      <w:r w:rsidRPr="002B0DBD">
        <w:rPr>
          <w:i/>
          <w:sz w:val="20"/>
          <w:szCs w:val="20"/>
          <w:lang w:val="de-DE"/>
        </w:rPr>
        <w:t xml:space="preserve">Seine Kernaufgabe sah der nationalistische Wohlfahrtverband aber in der Fürsorge für Kinder und Jugendliche sowie in der Unterstützung von Müttern – vorausgesetzt es handelte sich um „erbgesunden“ und „rassisch erwünschten“ Nachwuchs. Als Rahmenorganisation für diese Tätigkeitsfelder rief die NSV das Hilfswerk Mutter und Kind ins Leben. Dieses unterstütze Mutter mit Kleidung, Nahrungsmittel, und anderen Sachleistungen, aber auch durch Beratung einer Reichsadoptionsstelle zog die NSV zudem Adoptionswesen zunehmend an sich. Die „erbbiologische“ Ausrichtung der nationalsozialistischen Verbandes wird in diesem Bereich besonders deutlich: „die Reichsadoptionsstelle in der NSV schlägt nur gesunde Kinder zur Adoption vor Sie richtet ihr Augenmerk darüber hinaus auf die Erbgesundheit des Kindes“, </w:t>
      </w:r>
      <w:r w:rsidRPr="002B0DBD">
        <w:rPr>
          <w:sz w:val="20"/>
          <w:szCs w:val="20"/>
          <w:lang w:val="de-DE"/>
        </w:rPr>
        <w:t xml:space="preserve">Baumann, Heusler, Kinder für den Führer – Der Lebensborn in München Franz Schiermeier Verlag, Monaco 2013, pp. 49-50 </w:t>
      </w:r>
    </w:p>
  </w:footnote>
  <w:footnote w:id="74">
    <w:p w:rsidR="00593A53" w:rsidRPr="002B0DBD" w:rsidRDefault="00593A53" w:rsidP="00057428">
      <w:pPr>
        <w:spacing w:after="120" w:line="240" w:lineRule="auto"/>
        <w:ind w:left="566" w:right="713" w:firstLine="0"/>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„Frauen, die sich mit Soldaten der feindlichen Armee einlassen, waren immer und überall Schikanen ausgesetzt. Das galt für die Länder, die während des zweiten Weltkriegs von der deutschen Wehrmacht überfallen und besetzt wurden ebenso wie für das von den USA besetzte Japan, für Korea, und später Vietnam. Da sich die Deutschen und Amerikaner im Krieg mit diesen Ländern befanden, mag es verständlich, ja zwingend erscheinen, daß die Bevölkerung Frauen ablehnte, die mit den Feinden Kontakte unterhielten und ihnen nicht nur nicht das Gefühl geben, unerwünscht zu sein, sondern ihnen überdies das Leben angenehmer“ </w:t>
      </w:r>
      <w:r w:rsidRPr="002B0DBD">
        <w:rPr>
          <w:sz w:val="20"/>
          <w:szCs w:val="20"/>
          <w:lang w:val="de-DE"/>
        </w:rPr>
        <w:t xml:space="preserve">Frauen – die verheiraten wie die unverheiraten – sind den männlichen Familienangehörigen Rechenschaft darüber schuldig, mit wem sie Umgang haben, die sie dürfen der Familie keine </w:t>
      </w:r>
    </w:p>
  </w:footnote>
  <w:footnote w:id="75">
    <w:p w:rsidR="00593A53" w:rsidRPr="002B0DBD" w:rsidRDefault="00593A53" w:rsidP="00057428">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Drolshagen, </w:t>
      </w:r>
      <w:r w:rsidRPr="002B0DBD">
        <w:rPr>
          <w:i/>
          <w:sz w:val="20"/>
          <w:szCs w:val="20"/>
          <w:lang w:val="de-DE"/>
        </w:rPr>
        <w:t>Nicht ungeschoren davonkommen – Die geliebten der Wehrmachtssoldaten im besetzten Europa</w:t>
      </w:r>
      <w:r w:rsidRPr="002B0DBD">
        <w:rPr>
          <w:sz w:val="20"/>
          <w:szCs w:val="20"/>
          <w:lang w:val="de-DE"/>
        </w:rPr>
        <w:t xml:space="preserve">, Propyläen Taschenbuch, Amburgo 2000, p. 56  </w:t>
      </w:r>
    </w:p>
  </w:footnote>
  <w:footnote w:id="76">
    <w:p w:rsidR="00593A53" w:rsidRPr="002B0DBD" w:rsidRDefault="00593A53" w:rsidP="00057428">
      <w:pPr>
        <w:spacing w:after="120" w:line="240" w:lineRule="auto"/>
        <w:ind w:left="566" w:right="713" w:firstLine="0"/>
      </w:pPr>
      <w:r w:rsidRPr="002B0DBD">
        <w:rPr>
          <w:rStyle w:val="Rimandonotaapidipagina"/>
          <w:sz w:val="20"/>
          <w:szCs w:val="20"/>
        </w:rPr>
        <w:footnoteRef/>
      </w:r>
      <w:r w:rsidRPr="002B0DBD">
        <w:rPr>
          <w:sz w:val="20"/>
          <w:szCs w:val="20"/>
        </w:rPr>
        <w:t xml:space="preserve"> P. Schneider, </w:t>
      </w:r>
      <w:r w:rsidRPr="002B0DBD">
        <w:rPr>
          <w:i/>
          <w:sz w:val="20"/>
          <w:szCs w:val="20"/>
        </w:rPr>
        <w:t>Papà</w:t>
      </w:r>
      <w:r w:rsidRPr="002B0DBD">
        <w:rPr>
          <w:sz w:val="20"/>
          <w:szCs w:val="20"/>
        </w:rPr>
        <w:t xml:space="preserve">, Edizioni e/o, Roma 2002, pp. 81 e segg. </w:t>
      </w:r>
    </w:p>
  </w:footnote>
  <w:footnote w:id="7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Nyiszli, </w:t>
      </w:r>
      <w:r w:rsidRPr="002B0DBD">
        <w:rPr>
          <w:i/>
          <w:sz w:val="20"/>
          <w:szCs w:val="20"/>
        </w:rPr>
        <w:t xml:space="preserve">Medico ad Auschwitz, </w:t>
      </w:r>
      <w:r w:rsidRPr="002B0DBD">
        <w:rPr>
          <w:sz w:val="20"/>
          <w:szCs w:val="20"/>
        </w:rPr>
        <w:t xml:space="preserve">Casa Editrice Sugar, Milano-Varese 1962 </w:t>
      </w:r>
    </w:p>
  </w:footnote>
  <w:footnote w:id="7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Schneider, </w:t>
      </w:r>
      <w:r w:rsidRPr="002B0DBD">
        <w:rPr>
          <w:i/>
          <w:sz w:val="20"/>
          <w:szCs w:val="20"/>
        </w:rPr>
        <w:t>Lasciami andare, madre</w:t>
      </w:r>
      <w:r w:rsidRPr="002B0DBD">
        <w:rPr>
          <w:sz w:val="20"/>
          <w:szCs w:val="20"/>
        </w:rPr>
        <w:t xml:space="preserve">, Adelphi, Milano 2001 pp. 61 e segg.  </w:t>
      </w:r>
    </w:p>
  </w:footnote>
  <w:footnote w:id="79">
    <w:p w:rsidR="00593A53" w:rsidRPr="002B0DBD" w:rsidRDefault="00593A53" w:rsidP="008B5661">
      <w:pPr>
        <w:spacing w:after="0" w:line="240" w:lineRule="auto"/>
        <w:ind w:left="567" w:right="714" w:firstLine="0"/>
        <w:jc w:val="left"/>
        <w:rPr>
          <w:sz w:val="20"/>
          <w:szCs w:val="20"/>
          <w:lang w:val="de-DE"/>
        </w:rPr>
      </w:pPr>
      <w:r w:rsidRPr="002B0DBD">
        <w:rPr>
          <w:rStyle w:val="footnotemark"/>
          <w:sz w:val="20"/>
          <w:szCs w:val="20"/>
        </w:rPr>
        <w:footnoteRef/>
      </w:r>
      <w:r w:rsidRPr="002B0DBD">
        <w:rPr>
          <w:sz w:val="20"/>
          <w:szCs w:val="20"/>
          <w:lang w:val="de-DE"/>
        </w:rPr>
        <w:t xml:space="preserve"> Müller-Hill stellte eine Zusammenhang zwischen den bereits bekannten Menschenexperimenten Mengeles und den bis dahin in diesen Kontext überbrusichtigen Forschungen von dessen akademischem Lehrer Verschuer her und rekunstruierte für das Gesamprojekt ein Versuchsschema, dem zufolge Mengele gezielt „Zigeuner“ – Zwillinge sowie aschkenasische und sephardische Juden mit Tuberkulose oder auch mit Flecktyphus infeziert habe (was beides in diesem Lager das sichere Todesurteil bedeutete), um ihnen dann Blut zu entnehmen und es nach Berlin-Dahlem zu senden. Dort hätte man zunächst am Tiermodel die Methode etabliert und habe nun geplant, diese auf die menschlichen Seren anzuwenden. Ziel sei es gewesen, die unterschiedlich starken Abderhaldenschen Abwehrreaktionen des Blutserums der verschiedenen Versuchtpersonen zu beobachten, wobei man vermutet habe, daß die gegen Tuberkulose wiederstandsfähigeren osteuropäischen Juden mehr oder aktivere Abwehr-Enzyme gegen die Proteine der Tuberkolose-Erreger besäßen. Diese spezifischen Abwehr-Enzyme habe man später eventuell anreichern und isolieren wollen, um mit ihnen eine Tuberkulose auf molekularer Basis durchführen zu können.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 Weiterhin ist belegt, daß Mengele Zwielinge absichtlich mit Typhus-Erregern infizierte, um die körperlichen Reaktionen zu beachten, und sie kurz danach  mit Giftgas ermorden ließ. […]. </w:t>
      </w:r>
    </w:p>
    <w:p w:rsidR="00593A53" w:rsidRPr="002B0DBD" w:rsidRDefault="00593A53" w:rsidP="00057428">
      <w:pPr>
        <w:spacing w:after="120" w:line="240" w:lineRule="auto"/>
        <w:ind w:left="566" w:right="713" w:firstLine="0"/>
        <w:rPr>
          <w:sz w:val="20"/>
          <w:szCs w:val="20"/>
          <w:lang w:val="de-DE"/>
        </w:rPr>
      </w:pPr>
      <w:r w:rsidRPr="002B0DBD">
        <w:rPr>
          <w:sz w:val="20"/>
          <w:szCs w:val="20"/>
          <w:lang w:val="de-DE"/>
        </w:rPr>
        <w:t xml:space="preserve">Der von Müller-Hill rekonstruierte Zusammenhang zwischen Mengeles Eperimenten und Verschuers Forschungen wird zudem durch die Chronologie plausibel: Mengel trat seinen Dienst in Auschwitz am 30. Mai 1943 an. Ungefähr zur selben Zeit beantragte Verschuer – diesen Rückschluß zieht Müller-Hill aus dem Bewilligungsdatum und der damals üblichen Bearbeitungsdauer bei der DFG – Forschungbehilfen für die Projekte „Speziefische Eiweißkorper“ und „Tuberkulose“. Die Bewilligung beider Vorhaben erfolgte laut Müller Hill am 18. August 1943 A. Trunk, </w:t>
      </w:r>
      <w:r w:rsidRPr="002B0DBD">
        <w:rPr>
          <w:i/>
          <w:sz w:val="20"/>
          <w:szCs w:val="20"/>
          <w:lang w:val="de-DE"/>
        </w:rPr>
        <w:t>Zweihundert Blutbroben aus Auschwitz, eine Forschungvorhabe zwischen Antropologie und Biochemie (1943-1945)</w:t>
      </w:r>
      <w:r w:rsidRPr="002B0DBD">
        <w:rPr>
          <w:sz w:val="20"/>
          <w:szCs w:val="20"/>
          <w:lang w:val="de-DE"/>
        </w:rPr>
        <w:t xml:space="preserve">, Max Planck – Gesellschaft zur Forderung der Wissenschaften e. V., p. 29  </w:t>
      </w:r>
    </w:p>
  </w:footnote>
  <w:footnote w:id="80">
    <w:p w:rsidR="00593A53" w:rsidRPr="002B0DBD" w:rsidRDefault="00593A53" w:rsidP="00057428">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Trunk, </w:t>
      </w:r>
      <w:r w:rsidRPr="002B0DBD">
        <w:rPr>
          <w:i/>
          <w:sz w:val="20"/>
          <w:szCs w:val="20"/>
          <w:lang w:val="de-DE"/>
        </w:rPr>
        <w:t>Zweihundert Blutbroben aus Auschwitz, eine Forschungvorhabe zwischen Antropologie und Biochemie (1943-1945)</w:t>
      </w:r>
      <w:r w:rsidRPr="002B0DBD">
        <w:rPr>
          <w:sz w:val="20"/>
          <w:szCs w:val="20"/>
          <w:lang w:val="de-DE"/>
        </w:rPr>
        <w:t xml:space="preserve">, Max Planck – Gesellschaft zur Forderung der Wissenschaften e. V., p. 30 </w:t>
      </w:r>
    </w:p>
  </w:footnote>
  <w:footnote w:id="81">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In den Ostfeiern 1933 suchte Haupt nach „alten Kämpfern“, denen er die Führung „nationalpolitischer Erziehungsstätten“ übertragen könnte. Die unklaren Vorstellungen über diese „Stätten“ machten es nötig, den Anstaltsleitern weitgehende Vollmachten einzuräumen. Nach dem Führerprinzip  waren sie verantwortlich für die Erziehung der Schuler und die Verwaltung der Schule. Die Unterrichtsleiter (im Rang eines Oberstudienrats) waren für die eigentlichen Unterricht im Schulbetrieb verantwortlich. Junge Assessoren, die meisten  durch die Regierung Brünnings arbeitslos geworden, zogen zusammen mit dem neuen Typus des Wehrsportlehrers in die umgewandelten Kadetten –Anstalten ein. Die Erzieher bekamen nur noch jeweils 20 Schuler zugeteilt, die Kapazität der ersten drei Anstalten wurde aber von 640 auf 830 </w:t>
      </w:r>
    </w:p>
    <w:p w:rsidR="00593A53" w:rsidRPr="002B0DBD" w:rsidRDefault="00593A53" w:rsidP="008B5661">
      <w:pPr>
        <w:spacing w:after="0" w:line="240" w:lineRule="auto"/>
        <w:ind w:left="567" w:right="714" w:firstLine="0"/>
        <w:jc w:val="left"/>
        <w:rPr>
          <w:sz w:val="20"/>
          <w:szCs w:val="20"/>
          <w:lang w:val="de-DE"/>
        </w:rPr>
      </w:pPr>
      <w:r w:rsidRPr="002B0DBD">
        <w:rPr>
          <w:sz w:val="20"/>
          <w:szCs w:val="20"/>
          <w:lang w:val="de-DE"/>
        </w:rPr>
        <w:t xml:space="preserve">Internatsplätze erweitert. […]. </w:t>
      </w:r>
    </w:p>
    <w:p w:rsidR="00593A53" w:rsidRPr="002B0DBD" w:rsidRDefault="00593A53" w:rsidP="00057428">
      <w:pPr>
        <w:spacing w:after="120" w:line="240" w:lineRule="auto"/>
        <w:ind w:left="566" w:right="713" w:firstLine="0"/>
        <w:rPr>
          <w:lang w:val="de-DE"/>
        </w:rPr>
      </w:pPr>
      <w:r w:rsidRPr="002B0DBD">
        <w:rPr>
          <w:sz w:val="20"/>
          <w:szCs w:val="20"/>
          <w:lang w:val="de-DE"/>
        </w:rPr>
        <w:t xml:space="preserve">Der Perfektionismus wie höchste körperliche Leistungsfähigkeit, Tatkraft und Ausdauer, schnelle Auffassungsgabe, klares Denken und eine besondere Fähigkeit, sich zu konzentrieren, sollte später zu einem Kernproblem der NPEA werden, den dies führte bei den Schülern noch zu einer oberflächlichen Betrachtung der gestellten Probleme und einem Bedeutungsverlust des Erziehungsanspruchs m Internat. Die Umwandlung der Staatlichen Bildungsanstalten (Stabilas) in NPEA erfaßte zunächst nur den Dienst außerhalb des Schulunterrichts. S. Baumeister, </w:t>
      </w:r>
      <w:r w:rsidRPr="002B0DBD">
        <w:rPr>
          <w:i/>
          <w:sz w:val="20"/>
          <w:szCs w:val="20"/>
          <w:lang w:val="de-DE"/>
        </w:rPr>
        <w:t xml:space="preserve">NS-Führungskader-Rekrutierung und Ausbildung bis zum Begin des Zweiten Weltkrieg“, </w:t>
      </w:r>
      <w:r w:rsidRPr="002B0DBD">
        <w:rPr>
          <w:sz w:val="20"/>
          <w:szCs w:val="20"/>
          <w:lang w:val="de-DE"/>
        </w:rPr>
        <w:t xml:space="preserve">Hartung – Gorre Verlag, Costanza 1997, p. 24 </w:t>
      </w:r>
    </w:p>
  </w:footnote>
  <w:footnote w:id="82">
    <w:p w:rsidR="00593A53" w:rsidRPr="002B0DBD" w:rsidRDefault="00593A53" w:rsidP="00057428">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„Wir haben unzählige Schulen, Nationalpolitische Erziehungsanstalten und Adolf Hitler-Schulen usw. in diese Schulen holen wir die talentierten Kinder herein, die Kinder unserer breiten Masse, Arbeitersöhne, Bauersöhne, deren Eltern es niemals bezahlen könnten, daß ihre Kinder ein höheres Studium mitmachen. Die kommen hier allmählich herein und werden hier weitergebildet, und sie werden später einmal in den Staat hineingeführt, kommen in die Ordensburgen und in die Partei. Sie werden einmal die höchsten Stellen einnehmen, wir haben hier große Möglichkeiten, diesen Staat so ganz von unten her aufzubauen. Das ist unter Ziel, und das ist auch – das kann ich Ihnen sagen, meine Volksgenossen – unsere ganze Lebensfreude. Es ist etwas Herrliches, für ein solches Ideal kämpfen zu können. Es ist so wunderbar, daß wir uns sagen dürfen: Wir haben ein fast phantastisch anmutendes Ziel, uns schwebt ein Staat vor, bei dem Zukunft jede stelle vom fähigsten Sohn unseres Volkes besetzt sein soll, ganz gleichgültig, wo er herkommt. Ein Staat, in dem die Geburt gar nichts ist und Leistung und Können alles!“, </w:t>
      </w:r>
      <w:r w:rsidRPr="002B0DBD">
        <w:rPr>
          <w:sz w:val="20"/>
          <w:szCs w:val="20"/>
          <w:lang w:val="de-DE"/>
        </w:rPr>
        <w:t xml:space="preserve">Moser, </w:t>
      </w:r>
      <w:r w:rsidRPr="002B0DBD">
        <w:rPr>
          <w:i/>
          <w:sz w:val="20"/>
          <w:szCs w:val="20"/>
          <w:lang w:val="de-DE"/>
        </w:rPr>
        <w:t>Die Napola Reichenau – Von der Heil- und Pfleganstalt zur nationalistischen Eliteerziehung (1941-1945)</w:t>
      </w:r>
      <w:r w:rsidRPr="002B0DBD">
        <w:rPr>
          <w:sz w:val="20"/>
          <w:szCs w:val="20"/>
          <w:lang w:val="de-DE"/>
        </w:rPr>
        <w:t xml:space="preserve">, Schriftliche des Arbeitskreises für Regionalgeschichte Bodensee e. V., Costanza 1997, p. 5  </w:t>
      </w:r>
    </w:p>
  </w:footnote>
  <w:footnote w:id="83">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„Für ein normalsatz von 1200 RM in Jahr zahlten die Rottweil Schüler im Schnitt 510 RM. Nur 6 Schüler zahlten voll, 10 zwischen 1000 und 1200 RM, 12 zwischen 750 und 1000 RM, 62 zwischen 510 und 750 RM 48 zwischen 300 und 510 RM, 15 unter 300 RM und vier hatten einen Freiplatz. Die Eltern der Schüler hatten die folgende Berufe: 33 Beamte, 32 Kaufleute, 19 Lehrer, 11 Handwerk, 7 Landwirte, 5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 xml:space="preserve">Ingenieure, 4 Ärzte, 3 Förster, 2 im Reichsarbeitsdienst, 1 Berufsberater, 2 Gastwirte, 3 Fabrikanten, 2 </w:t>
      </w:r>
    </w:p>
    <w:p w:rsidR="00593A53" w:rsidRPr="002B0DBD" w:rsidRDefault="00593A53" w:rsidP="00057428">
      <w:pPr>
        <w:spacing w:after="120" w:line="240" w:lineRule="auto"/>
        <w:ind w:left="566" w:right="713" w:firstLine="0"/>
        <w:jc w:val="left"/>
        <w:rPr>
          <w:lang w:val="de-DE"/>
        </w:rPr>
      </w:pPr>
      <w:r w:rsidRPr="002B0DBD">
        <w:rPr>
          <w:i/>
          <w:sz w:val="20"/>
          <w:szCs w:val="20"/>
          <w:lang w:val="de-DE"/>
        </w:rPr>
        <w:t>Architekten, 1 Notar, und 1 Apotheker.“</w:t>
      </w:r>
      <w:r w:rsidRPr="002B0DBD">
        <w:rPr>
          <w:sz w:val="20"/>
          <w:szCs w:val="20"/>
          <w:lang w:val="de-DE"/>
        </w:rPr>
        <w:t xml:space="preserve"> Moser, </w:t>
      </w:r>
      <w:r w:rsidRPr="002B0DBD">
        <w:rPr>
          <w:i/>
          <w:sz w:val="20"/>
          <w:szCs w:val="20"/>
          <w:lang w:val="de-DE"/>
        </w:rPr>
        <w:t>Die Napola Reichenau – Von der Heil- und Pfleganstalt zur nationalistischen Eliteerziehung (1941-1945)</w:t>
      </w:r>
      <w:r w:rsidRPr="002B0DBD">
        <w:rPr>
          <w:sz w:val="20"/>
          <w:szCs w:val="20"/>
          <w:lang w:val="de-DE"/>
        </w:rPr>
        <w:t xml:space="preserve">, Schriftliche des Arbeitskreises für Regionalgeschichte Bodensee e. V., Costanza 1997, p. 38 </w:t>
      </w:r>
    </w:p>
  </w:footnote>
  <w:footnote w:id="84">
    <w:p w:rsidR="00593A53" w:rsidRPr="002B0DBD" w:rsidRDefault="00593A53" w:rsidP="00057428">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Die Anwendung der Vorschriften des Gesetzes gegen die Neubildung von Parteien scheitert daran, daß die vorgenannten Jugendlichen sich weder einem führenden Willen gegenübersahen, dem sie sich hätten unterordnen irgendwelchen innere Bindungen eingehen wollten, noch mit ihrem Zusammenschluß politische Ziele ersterbten. Es konnte nicht festgestellt werden, daß die Jugendlichen auf das innere und äußere Geschehen im Volke durch ihren Zusammenhalt einwirken wollten […].</w:t>
      </w:r>
      <w:r w:rsidRPr="002B0DBD">
        <w:rPr>
          <w:sz w:val="20"/>
          <w:szCs w:val="20"/>
          <w:lang w:val="de-DE"/>
        </w:rPr>
        <w:t xml:space="preserve">“  StaL - LG/SG, n. 632 f. 17   </w:t>
      </w:r>
    </w:p>
  </w:footnote>
  <w:footnote w:id="85">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StaL – Bibl. 5352 – 5353 </w:t>
      </w:r>
    </w:p>
  </w:footnote>
  <w:footnote w:id="86">
    <w:p w:rsidR="00593A53" w:rsidRPr="00791545" w:rsidRDefault="00593A53" w:rsidP="00057428">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A. Kenkmann, “Wilde Jugend: Lebenswelt großstädtischer Jugendlicher zwischen Weltwirtschaftskrise, Nationalsozialismus und Währungsreform“, Taschenbuch, Essen 1996, pp. </w:t>
      </w:r>
      <w:r w:rsidRPr="00791545">
        <w:rPr>
          <w:sz w:val="20"/>
          <w:szCs w:val="20"/>
          <w:lang w:val="de-DE"/>
        </w:rPr>
        <w:t>128-130</w:t>
      </w:r>
      <w:r w:rsidRPr="00791545">
        <w:rPr>
          <w:rFonts w:eastAsia="Calibri"/>
          <w:sz w:val="20"/>
          <w:szCs w:val="20"/>
          <w:lang w:val="de-DE"/>
        </w:rPr>
        <w:t xml:space="preserve"> </w:t>
      </w:r>
    </w:p>
  </w:footnote>
  <w:footnote w:id="87">
    <w:p w:rsidR="00593A53" w:rsidRPr="002B0DBD" w:rsidRDefault="00593A53" w:rsidP="008B5661">
      <w:pPr>
        <w:pStyle w:val="footnotedescription"/>
        <w:spacing w:line="240" w:lineRule="auto"/>
        <w:ind w:left="567" w:right="714"/>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„Liebe Lisa, </w:t>
      </w:r>
    </w:p>
    <w:p w:rsidR="00593A53" w:rsidRPr="002B0DBD" w:rsidRDefault="00593A53" w:rsidP="00057428">
      <w:pPr>
        <w:pStyle w:val="footnotedescription"/>
        <w:spacing w:after="120" w:line="240" w:lineRule="auto"/>
        <w:ind w:left="566" w:right="713"/>
        <w:jc w:val="both"/>
        <w:rPr>
          <w:sz w:val="20"/>
          <w:szCs w:val="20"/>
        </w:rPr>
      </w:pPr>
      <w:r w:rsidRPr="002B0DBD">
        <w:rPr>
          <w:i/>
          <w:sz w:val="20"/>
          <w:szCs w:val="20"/>
          <w:lang w:val="de-DE"/>
        </w:rPr>
        <w:t xml:space="preserve"> ich lasse mir gerade das Florellenquintett vom Grammophon vorspielen am liebsten möchte ich das selbst eine Forelle sein, wenn ich mir das Andantino anhöre. Man kann ja nicht anders als sich freuen und lachen, so wenig man unbedeckten oder traurigen Herzens Frühlingswolken am Himmel und die vom Wind bewegten  knospenden in der glänzenden jungen Sonne sich wiegen sehen kann. O, ich freue mich wieder so sehr auf den Frühling. </w:t>
      </w:r>
      <w:r w:rsidRPr="002B0DBD">
        <w:rPr>
          <w:i/>
          <w:sz w:val="20"/>
          <w:szCs w:val="20"/>
        </w:rPr>
        <w:t xml:space="preserve">[…] deine Sophie” </w:t>
      </w:r>
      <w:r w:rsidRPr="002B0DBD">
        <w:rPr>
          <w:rFonts w:eastAsia="Calibri"/>
          <w:sz w:val="20"/>
          <w:szCs w:val="20"/>
        </w:rPr>
        <w:t xml:space="preserve"> </w:t>
      </w:r>
    </w:p>
  </w:footnote>
  <w:footnote w:id="8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G. Grass, </w:t>
      </w:r>
      <w:r w:rsidRPr="002B0DBD">
        <w:rPr>
          <w:i/>
          <w:sz w:val="20"/>
          <w:szCs w:val="20"/>
        </w:rPr>
        <w:t>Sbucciando la cipolla</w:t>
      </w:r>
      <w:r w:rsidRPr="002B0DBD">
        <w:rPr>
          <w:sz w:val="20"/>
          <w:szCs w:val="20"/>
        </w:rPr>
        <w:t xml:space="preserve">, Einaudi, Torino 2012, p. 110 </w:t>
      </w:r>
    </w:p>
  </w:footnote>
  <w:footnote w:id="89">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  Am 14. Juli 1944 wurden Männer aus dem Kreis Angerapp zusammen mit Männern aus den Kreisen Angergur g und Rastenburg zum Stellungsbau an der Reichsgrenze im Raum östlich von Heydekrug (Mamelland) einberufe n und in folgenden Wochen dort eingesetzt. Anfang September wurde die Angerapp-Stellung  die sich an den Ang erapp- Fluß stütze, in Form von zwei Panzergräben und Schützen – und Bunkerstellungen ausgebaut.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 xml:space="preserve">Vorsorgliche Räumungsmaßnehmen erfolgten nicht.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 xml:space="preserve">Im Oktober wurden die volkssturmpflichtigen Männer im Kreisgebiet selbt oder aus dem Kreis Pr. Holland zum V olkssturm einberufen, der im Kreisgebiet stationiert wurde. Bei den Kämpfen in Oktober kam der Vokssturm nich t zum Kampfeinsatz, in Januar wurden die Angerapper Einheiten im Raum Tapiau-Labiau an der Deime-Stellung zur Verteidigung eingesetzt. […].   </w:t>
      </w:r>
    </w:p>
    <w:p w:rsidR="00593A53" w:rsidRPr="00791545" w:rsidRDefault="00593A53" w:rsidP="00041184">
      <w:pPr>
        <w:spacing w:after="120" w:line="240" w:lineRule="auto"/>
        <w:ind w:left="566" w:right="713" w:firstLine="0"/>
        <w:rPr>
          <w:lang w:val="en-US"/>
        </w:rPr>
      </w:pPr>
      <w:r w:rsidRPr="002B0DBD">
        <w:rPr>
          <w:i/>
          <w:sz w:val="20"/>
          <w:szCs w:val="20"/>
          <w:lang w:val="de-DE"/>
        </w:rPr>
        <w:t xml:space="preserve">Durch den sowjetischen Vorstoß in den Raum Großwaltersdorf-Nemmersdorf (Kr. Gumbinnen) wurde in der Nacht vom 20. Zum 21. Oktober 1944 auch das nordöstliche Gebiet das Kreises Angerapp durch sowjetische Panzerspitzen erreicht, […].Über die Angrapp drangen im Kriegsgebiet keine Feindkräfte vor. Durch deutsche Gegenangriffe  25.10. war das Kriegsgebiet wieder feindfrei. </w:t>
      </w:r>
      <w:r w:rsidRPr="002B0DBD">
        <w:rPr>
          <w:sz w:val="20"/>
          <w:szCs w:val="20"/>
          <w:lang w:val="de-DE"/>
        </w:rPr>
        <w:t xml:space="preserve">BA – Bayreuth, Ost -Dok 1/1 Film 1 p. 8 </w:t>
      </w:r>
    </w:p>
  </w:footnote>
  <w:footnote w:id="9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G. Grass, </w:t>
      </w:r>
      <w:r w:rsidRPr="002B0DBD">
        <w:rPr>
          <w:i/>
          <w:sz w:val="20"/>
          <w:szCs w:val="20"/>
        </w:rPr>
        <w:t xml:space="preserve">Il mio secolo – cento racconti, </w:t>
      </w:r>
      <w:r w:rsidRPr="002B0DBD">
        <w:rPr>
          <w:sz w:val="20"/>
          <w:szCs w:val="20"/>
        </w:rPr>
        <w:t xml:space="preserve">Einaudi, Torino 1999, p. 125 </w:t>
      </w:r>
      <w:r w:rsidRPr="002B0DBD">
        <w:rPr>
          <w:rFonts w:eastAsia="Calibri"/>
          <w:sz w:val="20"/>
          <w:szCs w:val="20"/>
        </w:rPr>
        <w:t xml:space="preserve"> </w:t>
      </w:r>
    </w:p>
  </w:footnote>
  <w:footnote w:id="91">
    <w:p w:rsidR="00593A53" w:rsidRPr="002B0DBD" w:rsidRDefault="00593A53" w:rsidP="00041184">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BA – Bayreuth Ost-Dok 1/1 testimonianze datate Amburgo 5 gennaio 1953 e Amburgo 9 gennaio 1953 </w:t>
      </w:r>
    </w:p>
  </w:footnote>
  <w:footnote w:id="9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P. Desbois, “Fucilateli tutti! – la prima fase della Shoah raccontata dai testimo</w:t>
      </w:r>
      <w:r>
        <w:rPr>
          <w:sz w:val="20"/>
          <w:szCs w:val="20"/>
        </w:rPr>
        <w:t>ni”, Marsilio, Venezia 2007, p.</w:t>
      </w:r>
      <w:r w:rsidRPr="002B0DBD">
        <w:rPr>
          <w:sz w:val="20"/>
          <w:szCs w:val="20"/>
        </w:rPr>
        <w:t xml:space="preserve">173   </w:t>
      </w:r>
    </w:p>
  </w:footnote>
  <w:footnote w:id="93">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P. Desbois, cit. pp. 212-213  </w:t>
      </w:r>
    </w:p>
  </w:footnote>
  <w:footnote w:id="94">
    <w:p w:rsidR="00593A53" w:rsidRPr="002B0DBD" w:rsidRDefault="00593A53" w:rsidP="00041184">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„Im den Bunker hockten also vier ältere Männer (Hobeck, Meczulat, Kaminski, Klaus, Verwante von Kaminski) zwei jüngere Frauen Gerda Meczulat, die junge Frau Kaminski) sowie vier Kinder (Enkelki nder Kaminski). Ingesamt warten mindestens 14 Menschen auf das Ungewisse.”</w:t>
      </w:r>
      <w:r w:rsidRPr="002B0DBD">
        <w:rPr>
          <w:rFonts w:eastAsia="Calibri"/>
          <w:i/>
          <w:sz w:val="20"/>
          <w:szCs w:val="20"/>
          <w:lang w:val="de-DE"/>
        </w:rPr>
        <w:t xml:space="preserve"> </w:t>
      </w:r>
      <w:r w:rsidRPr="002B0DBD">
        <w:rPr>
          <w:rFonts w:eastAsia="Calibri"/>
          <w:sz w:val="20"/>
          <w:szCs w:val="20"/>
          <w:lang w:val="de-DE"/>
        </w:rPr>
        <w:t xml:space="preserve">B. Fisch, </w:t>
      </w:r>
      <w:r w:rsidRPr="002B0DBD">
        <w:rPr>
          <w:rFonts w:eastAsia="Calibri"/>
          <w:i/>
          <w:sz w:val="20"/>
          <w:szCs w:val="20"/>
          <w:lang w:val="de-DE"/>
        </w:rPr>
        <w:t>Nemmersdorf</w:t>
      </w:r>
      <w:r w:rsidRPr="002B0DBD">
        <w:rPr>
          <w:rFonts w:eastAsia="Calibri"/>
          <w:sz w:val="20"/>
          <w:szCs w:val="20"/>
          <w:lang w:val="de-DE"/>
        </w:rPr>
        <w:t>, p. 117</w:t>
      </w:r>
      <w:r w:rsidRPr="002B0DBD">
        <w:rPr>
          <w:sz w:val="20"/>
          <w:szCs w:val="20"/>
          <w:lang w:val="de-DE"/>
        </w:rPr>
        <w:t xml:space="preserve">  </w:t>
      </w:r>
    </w:p>
  </w:footnote>
  <w:footnote w:id="95">
    <w:p w:rsidR="00593A53" w:rsidRPr="002B0DBD" w:rsidRDefault="00593A53" w:rsidP="00041184">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„Mein Vater, der etwas russisch verstand, versuchte noch zu erklären, daß wir als Zivilisten nichts getan hätten und er uns gehen lassen sollte. Mit „Pascholl“ wurden wir ins Freie geschickt. Mein Vater meinte wir könnten vielleicht nach Hause gehen..“ Ibidem., p. 118  </w:t>
      </w:r>
    </w:p>
  </w:footnote>
  <w:footnote w:id="9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G. Knopp, cit. p.43  </w:t>
      </w:r>
    </w:p>
  </w:footnote>
  <w:footnote w:id="97">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Grauenhafte Bestialitäten der Bolschewisten südliche Gumbinnen  </w:t>
      </w:r>
    </w:p>
  </w:footnote>
  <w:footnote w:id="98">
    <w:p w:rsidR="00593A53" w:rsidRPr="002B0DBD" w:rsidRDefault="00593A53" w:rsidP="00041184">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„S</w:t>
      </w:r>
      <w:r w:rsidRPr="002B0DBD">
        <w:rPr>
          <w:sz w:val="20"/>
          <w:szCs w:val="20"/>
          <w:lang w:val="de-DE"/>
        </w:rPr>
        <w:t xml:space="preserve">ondern sie fanden ermordete, geschändete deutsche Zivilisten, vor allem aber wieder – wie immer dort wo Bolschewismus  Platzt greift – geschändete, grausam vergewaltigte und niedergemachte deutsche Frauen.“ </w:t>
      </w:r>
    </w:p>
  </w:footnote>
  <w:footnote w:id="99">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„Wer nicht flüchten konnte, liegt tot.“ –  </w:t>
      </w:r>
    </w:p>
  </w:footnote>
  <w:footnote w:id="100">
    <w:p w:rsidR="00593A53" w:rsidRPr="002B0DBD" w:rsidRDefault="00593A53" w:rsidP="00041184">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„Sie wurden als Bestätigung des...dem Volk Gesagten empfunden und steigern den Widerstandswillen. Unter den Frauen würden...Angstgefühle ausgelöst</w:t>
      </w:r>
      <w:r w:rsidRPr="002B0DBD">
        <w:rPr>
          <w:b/>
          <w:sz w:val="20"/>
          <w:szCs w:val="20"/>
          <w:lang w:val="de-DE"/>
        </w:rPr>
        <w:t xml:space="preserve"> v</w:t>
      </w:r>
      <w:r w:rsidRPr="002B0DBD">
        <w:rPr>
          <w:sz w:val="20"/>
          <w:szCs w:val="20"/>
          <w:lang w:val="de-DE"/>
        </w:rPr>
        <w:t>on einzelne Volksgenossen würden diese Meldungen...als Proanda gewertet</w:t>
      </w:r>
      <w:r w:rsidRPr="002B0DBD">
        <w:rPr>
          <w:b/>
          <w:sz w:val="20"/>
          <w:szCs w:val="20"/>
          <w:lang w:val="de-DE"/>
        </w:rPr>
        <w:t xml:space="preserve"> d</w:t>
      </w:r>
      <w:r w:rsidRPr="002B0DBD">
        <w:rPr>
          <w:sz w:val="20"/>
          <w:szCs w:val="20"/>
          <w:lang w:val="de-DE"/>
        </w:rPr>
        <w:t>ie Meldungen hätten allerdings eine starke Diskussion in der Bevölkerung über die Frage ausgelöst, warum die Zivilbevölkerung...nicht zurückgeführt worden sei. Entweder übertreibe unsere Propaganda, oder die führende Stellen hätten sich eine große Verantwortungslosigkeit zuschulden kommen lassen</w:t>
      </w:r>
      <w:r w:rsidRPr="002B0DBD">
        <w:rPr>
          <w:b/>
          <w:sz w:val="20"/>
          <w:szCs w:val="20"/>
          <w:lang w:val="de-DE"/>
        </w:rPr>
        <w:t xml:space="preserve"> </w:t>
      </w:r>
      <w:r w:rsidRPr="002B0DBD">
        <w:rPr>
          <w:sz w:val="20"/>
          <w:szCs w:val="20"/>
          <w:lang w:val="de-DE"/>
        </w:rPr>
        <w:t xml:space="preserve">Ostpreußen berichtet, dass es sich gut bewährt habe, die ersten Meldungen nicht“ B. Fisch, </w:t>
      </w:r>
      <w:r w:rsidRPr="002B0DBD">
        <w:rPr>
          <w:i/>
          <w:sz w:val="20"/>
          <w:szCs w:val="20"/>
          <w:lang w:val="de-DE"/>
        </w:rPr>
        <w:t>cit</w:t>
      </w:r>
      <w:r w:rsidRPr="002B0DBD">
        <w:rPr>
          <w:sz w:val="20"/>
          <w:szCs w:val="20"/>
          <w:lang w:val="de-DE"/>
        </w:rPr>
        <w:t xml:space="preserve">., p. 45  </w:t>
      </w:r>
    </w:p>
  </w:footnote>
  <w:footnote w:id="101">
    <w:p w:rsidR="00593A53" w:rsidRPr="002B0DBD" w:rsidRDefault="00593A53" w:rsidP="00041184">
      <w:pPr>
        <w:spacing w:after="120" w:line="240" w:lineRule="auto"/>
        <w:ind w:left="566" w:right="713" w:firstLine="0"/>
        <w:jc w:val="left"/>
        <w:rPr>
          <w:sz w:val="20"/>
          <w:szCs w:val="20"/>
          <w:lang w:val="de-DE"/>
        </w:rPr>
      </w:pPr>
      <w:r w:rsidRPr="002B0DBD">
        <w:rPr>
          <w:rStyle w:val="Rimandonotaapidipagina"/>
          <w:sz w:val="20"/>
          <w:szCs w:val="20"/>
        </w:rPr>
        <w:footnoteRef/>
      </w:r>
      <w:r w:rsidRPr="002B0DBD">
        <w:rPr>
          <w:sz w:val="20"/>
          <w:szCs w:val="20"/>
          <w:lang w:val="de-DE"/>
        </w:rPr>
        <w:t xml:space="preserve">  „Auf Grund der ständig zunehmenden Schwierigkeiten im Fernsprech-Ferndienst hat sich das Reichspostministerium entschliessen müssen, die Gesprächszeit für die einzelnen Gesprächsarten Gespräesarten einheitlich festzulegen. </w:t>
      </w:r>
    </w:p>
    <w:p w:rsidR="00593A53" w:rsidRPr="002B0DBD" w:rsidRDefault="00593A53" w:rsidP="00791545">
      <w:pPr>
        <w:spacing w:after="120" w:line="240" w:lineRule="auto"/>
        <w:ind w:left="566" w:right="713" w:firstLine="0"/>
        <w:rPr>
          <w:sz w:val="20"/>
          <w:szCs w:val="20"/>
          <w:lang w:val="de-DE"/>
        </w:rPr>
      </w:pPr>
      <w:r w:rsidRPr="002B0DBD">
        <w:rPr>
          <w:sz w:val="20"/>
          <w:szCs w:val="20"/>
          <w:lang w:val="de-DE"/>
        </w:rPr>
        <w:t xml:space="preserve">Für den Befehlsbetriebs Reichsführer-SS ist die Gesprächszeitbegrenzung für folgende Gesprächsarten beachtlich: </w:t>
      </w:r>
    </w:p>
    <w:p w:rsidR="00593A53" w:rsidRPr="002B0DBD" w:rsidRDefault="00593A53" w:rsidP="00041184">
      <w:pPr>
        <w:pStyle w:val="Titolo4"/>
        <w:spacing w:after="120" w:line="240" w:lineRule="auto"/>
        <w:ind w:left="566" w:right="713" w:firstLine="142"/>
        <w:rPr>
          <w:sz w:val="20"/>
          <w:szCs w:val="20"/>
        </w:rPr>
      </w:pPr>
      <w:r w:rsidRPr="002B0DBD">
        <w:rPr>
          <w:sz w:val="20"/>
          <w:szCs w:val="20"/>
          <w:u w:val="none"/>
        </w:rPr>
        <w:t>1.)</w:t>
      </w:r>
      <w:r w:rsidRPr="002B0DBD">
        <w:rPr>
          <w:rFonts w:eastAsia="Arial"/>
          <w:sz w:val="20"/>
          <w:szCs w:val="20"/>
          <w:u w:val="none"/>
        </w:rPr>
        <w:t xml:space="preserve"> </w:t>
      </w:r>
      <w:r w:rsidRPr="002B0DBD">
        <w:rPr>
          <w:sz w:val="20"/>
          <w:szCs w:val="20"/>
        </w:rPr>
        <w:t>Ohne Zeitbeschränkung</w:t>
      </w:r>
      <w:r w:rsidRPr="002B0DBD">
        <w:rPr>
          <w:sz w:val="20"/>
          <w:szCs w:val="20"/>
          <w:u w:val="none"/>
        </w:rPr>
        <w:t xml:space="preserve">  </w:t>
      </w:r>
    </w:p>
    <w:p w:rsidR="00593A53" w:rsidRPr="002B0DBD" w:rsidRDefault="00593A53" w:rsidP="00041184">
      <w:pPr>
        <w:numPr>
          <w:ilvl w:val="0"/>
          <w:numId w:val="15"/>
        </w:numPr>
        <w:spacing w:after="120" w:line="240" w:lineRule="auto"/>
        <w:ind w:left="1418" w:right="713" w:hanging="284"/>
        <w:rPr>
          <w:sz w:val="20"/>
          <w:szCs w:val="20"/>
          <w:lang w:val="de-DE"/>
        </w:rPr>
      </w:pPr>
      <w:r w:rsidRPr="002B0DBD">
        <w:rPr>
          <w:sz w:val="20"/>
          <w:szCs w:val="20"/>
          <w:lang w:val="de-DE"/>
        </w:rPr>
        <w:t xml:space="preserve">Gespräche des Führers ; des Reichsmareschalls ; des Reichsführers-SS ; des </w:t>
      </w:r>
    </w:p>
    <w:p w:rsidR="00593A53" w:rsidRPr="002B0DBD" w:rsidRDefault="00593A53" w:rsidP="00041184">
      <w:pPr>
        <w:spacing w:after="120" w:line="240" w:lineRule="auto"/>
        <w:ind w:left="1418" w:right="713" w:hanging="284"/>
        <w:rPr>
          <w:sz w:val="20"/>
          <w:szCs w:val="20"/>
        </w:rPr>
      </w:pPr>
      <w:r w:rsidRPr="002B0DBD">
        <w:rPr>
          <w:sz w:val="20"/>
          <w:szCs w:val="20"/>
        </w:rPr>
        <w:t xml:space="preserve">Reichsaussersministers, </w:t>
      </w:r>
    </w:p>
    <w:p w:rsidR="00593A53" w:rsidRPr="002B0DBD" w:rsidRDefault="00593A53" w:rsidP="00041184">
      <w:pPr>
        <w:numPr>
          <w:ilvl w:val="0"/>
          <w:numId w:val="15"/>
        </w:numPr>
        <w:spacing w:after="120" w:line="240" w:lineRule="auto"/>
        <w:ind w:left="1418" w:right="713" w:hanging="284"/>
        <w:rPr>
          <w:sz w:val="20"/>
          <w:szCs w:val="20"/>
          <w:lang w:val="de-DE"/>
        </w:rPr>
      </w:pPr>
      <w:r w:rsidRPr="002B0DBD">
        <w:rPr>
          <w:sz w:val="20"/>
          <w:szCs w:val="20"/>
          <w:lang w:val="de-DE"/>
        </w:rPr>
        <w:t xml:space="preserve">Alle Auslandsgespräche , (mithin Auslandsblitzgespräche, dringende Auslandsgespräche,  gewöhnliche, Ausländergespräche). </w:t>
      </w:r>
    </w:p>
    <w:p w:rsidR="00593A53" w:rsidRPr="002B0DBD" w:rsidRDefault="00593A53" w:rsidP="00041184">
      <w:pPr>
        <w:spacing w:after="120" w:line="240" w:lineRule="auto"/>
        <w:ind w:left="566" w:right="713" w:firstLine="142"/>
        <w:jc w:val="left"/>
        <w:rPr>
          <w:sz w:val="20"/>
          <w:szCs w:val="20"/>
          <w:lang w:val="de-DE"/>
        </w:rPr>
      </w:pPr>
      <w:r w:rsidRPr="002B0DBD">
        <w:rPr>
          <w:sz w:val="20"/>
          <w:szCs w:val="20"/>
          <w:lang w:val="de-DE"/>
        </w:rPr>
        <w:t>2.)</w:t>
      </w:r>
      <w:r w:rsidRPr="002B0DBD">
        <w:rPr>
          <w:rFonts w:eastAsia="Arial"/>
          <w:sz w:val="20"/>
          <w:szCs w:val="20"/>
          <w:lang w:val="de-DE"/>
        </w:rPr>
        <w:t xml:space="preserve"> </w:t>
      </w:r>
      <w:r w:rsidRPr="002B0DBD">
        <w:rPr>
          <w:sz w:val="20"/>
          <w:szCs w:val="20"/>
          <w:u w:val="single" w:color="000000"/>
          <w:lang w:val="de-DE"/>
        </w:rPr>
        <w:t>Auf 10 Minuten zu beschränken sind:</w:t>
      </w:r>
      <w:r w:rsidRPr="002B0DBD">
        <w:rPr>
          <w:sz w:val="20"/>
          <w:szCs w:val="20"/>
          <w:lang w:val="de-DE"/>
        </w:rPr>
        <w:t xml:space="preserve"> </w:t>
      </w:r>
    </w:p>
    <w:p w:rsidR="00593A53" w:rsidRPr="002B0DBD" w:rsidRDefault="00593A53" w:rsidP="00791545">
      <w:pPr>
        <w:spacing w:after="120" w:line="240" w:lineRule="auto"/>
        <w:ind w:left="566" w:right="713" w:firstLine="0"/>
        <w:rPr>
          <w:sz w:val="20"/>
          <w:szCs w:val="20"/>
          <w:lang w:val="de-DE"/>
        </w:rPr>
      </w:pPr>
      <w:r w:rsidRPr="002B0DBD">
        <w:rPr>
          <w:sz w:val="20"/>
          <w:szCs w:val="20"/>
          <w:lang w:val="de-DE"/>
        </w:rPr>
        <w:t xml:space="preserve">Ausnahmsondergespräche dringende Sondergespräche und Sondergespräche; Benachrichtung über die Gesprächsbeendiung erfolgt nach Ablauf von 9 Minuten. </w:t>
      </w:r>
    </w:p>
    <w:p w:rsidR="00593A53" w:rsidRPr="002B0DBD" w:rsidRDefault="00593A53" w:rsidP="00041184">
      <w:pPr>
        <w:spacing w:after="120" w:line="240" w:lineRule="auto"/>
        <w:ind w:left="566" w:right="713" w:firstLine="142"/>
        <w:jc w:val="left"/>
        <w:rPr>
          <w:sz w:val="20"/>
          <w:szCs w:val="20"/>
          <w:lang w:val="de-DE"/>
        </w:rPr>
      </w:pPr>
      <w:r w:rsidRPr="002B0DBD">
        <w:rPr>
          <w:sz w:val="20"/>
          <w:szCs w:val="20"/>
          <w:lang w:val="de-DE"/>
        </w:rPr>
        <w:t>3.)</w:t>
      </w:r>
      <w:r w:rsidRPr="002B0DBD">
        <w:rPr>
          <w:rFonts w:eastAsia="Arial"/>
          <w:sz w:val="20"/>
          <w:szCs w:val="20"/>
          <w:lang w:val="de-DE"/>
        </w:rPr>
        <w:t xml:space="preserve"> </w:t>
      </w:r>
      <w:r w:rsidRPr="002B0DBD">
        <w:rPr>
          <w:sz w:val="20"/>
          <w:szCs w:val="20"/>
          <w:u w:val="single" w:color="000000"/>
          <w:lang w:val="de-DE"/>
        </w:rPr>
        <w:t>Auf 6 Minuten zu beschränken sind:</w:t>
      </w:r>
      <w:r w:rsidRPr="002B0DBD">
        <w:rPr>
          <w:sz w:val="20"/>
          <w:szCs w:val="20"/>
          <w:lang w:val="de-DE"/>
        </w:rPr>
        <w:t xml:space="preserve"> </w:t>
      </w:r>
    </w:p>
    <w:p w:rsidR="00593A53" w:rsidRPr="002B0DBD" w:rsidRDefault="00593A53" w:rsidP="00041184">
      <w:pPr>
        <w:numPr>
          <w:ilvl w:val="0"/>
          <w:numId w:val="16"/>
        </w:numPr>
        <w:spacing w:after="120" w:line="240" w:lineRule="auto"/>
        <w:ind w:left="1418" w:right="713" w:hanging="284"/>
        <w:rPr>
          <w:sz w:val="20"/>
          <w:szCs w:val="20"/>
        </w:rPr>
      </w:pPr>
      <w:r w:rsidRPr="002B0DBD">
        <w:rPr>
          <w:sz w:val="20"/>
          <w:szCs w:val="20"/>
        </w:rPr>
        <w:t xml:space="preserve">Kennziffergespräche  </w:t>
      </w:r>
    </w:p>
    <w:p w:rsidR="00593A53" w:rsidRPr="002B0DBD" w:rsidRDefault="00593A53" w:rsidP="00041184">
      <w:pPr>
        <w:numPr>
          <w:ilvl w:val="0"/>
          <w:numId w:val="16"/>
        </w:numPr>
        <w:spacing w:after="120" w:line="240" w:lineRule="auto"/>
        <w:ind w:left="1418" w:right="713" w:hanging="284"/>
        <w:rPr>
          <w:sz w:val="20"/>
          <w:szCs w:val="20"/>
        </w:rPr>
      </w:pPr>
      <w:r w:rsidRPr="002B0DBD">
        <w:rPr>
          <w:sz w:val="20"/>
          <w:szCs w:val="20"/>
        </w:rPr>
        <w:t xml:space="preserve">Kwl-Gespräche  </w:t>
      </w:r>
    </w:p>
    <w:p w:rsidR="00593A53" w:rsidRPr="002B0DBD" w:rsidRDefault="00593A53" w:rsidP="00041184">
      <w:pPr>
        <w:numPr>
          <w:ilvl w:val="0"/>
          <w:numId w:val="16"/>
        </w:numPr>
        <w:spacing w:after="120" w:line="240" w:lineRule="auto"/>
        <w:ind w:left="1418" w:right="713" w:hanging="284"/>
        <w:rPr>
          <w:sz w:val="20"/>
          <w:szCs w:val="20"/>
        </w:rPr>
      </w:pPr>
      <w:r w:rsidRPr="002B0DBD">
        <w:rPr>
          <w:sz w:val="20"/>
          <w:szCs w:val="20"/>
        </w:rPr>
        <w:t xml:space="preserve">Dringende Staatsgespräche ohne Kennziffer. </w:t>
      </w:r>
    </w:p>
    <w:p w:rsidR="00593A53" w:rsidRPr="002B0DBD" w:rsidRDefault="00593A53" w:rsidP="00041184">
      <w:pPr>
        <w:spacing w:after="120" w:line="240" w:lineRule="auto"/>
        <w:ind w:left="566" w:right="713" w:firstLine="142"/>
        <w:rPr>
          <w:sz w:val="20"/>
          <w:szCs w:val="20"/>
          <w:lang w:val="de-DE"/>
        </w:rPr>
      </w:pPr>
      <w:r w:rsidRPr="002B0DBD">
        <w:rPr>
          <w:sz w:val="20"/>
          <w:szCs w:val="20"/>
          <w:lang w:val="de-DE"/>
        </w:rPr>
        <w:t>4.)</w:t>
      </w:r>
      <w:r w:rsidRPr="002B0DBD">
        <w:rPr>
          <w:rFonts w:eastAsia="Arial"/>
          <w:sz w:val="20"/>
          <w:szCs w:val="20"/>
          <w:lang w:val="de-DE"/>
        </w:rPr>
        <w:t xml:space="preserve"> </w:t>
      </w:r>
      <w:r w:rsidRPr="002B0DBD">
        <w:rPr>
          <w:sz w:val="20"/>
          <w:szCs w:val="20"/>
          <w:lang w:val="de-DE"/>
        </w:rPr>
        <w:t xml:space="preserve">Auf 3 Minuten zu beschränken sind: </w:t>
      </w:r>
    </w:p>
    <w:p w:rsidR="00593A53" w:rsidRPr="002B0DBD" w:rsidRDefault="00593A53" w:rsidP="00041184">
      <w:pPr>
        <w:numPr>
          <w:ilvl w:val="0"/>
          <w:numId w:val="17"/>
        </w:numPr>
        <w:spacing w:after="120" w:line="240" w:lineRule="auto"/>
        <w:ind w:left="1134" w:right="713" w:firstLine="0"/>
        <w:rPr>
          <w:sz w:val="20"/>
          <w:szCs w:val="20"/>
        </w:rPr>
      </w:pPr>
      <w:r w:rsidRPr="002B0DBD">
        <w:rPr>
          <w:sz w:val="20"/>
          <w:szCs w:val="20"/>
        </w:rPr>
        <w:t xml:space="preserve">Drigende Gespräche  </w:t>
      </w:r>
    </w:p>
    <w:p w:rsidR="00593A53" w:rsidRPr="002B0DBD" w:rsidRDefault="00593A53" w:rsidP="00041184">
      <w:pPr>
        <w:numPr>
          <w:ilvl w:val="0"/>
          <w:numId w:val="17"/>
        </w:numPr>
        <w:spacing w:after="120" w:line="240" w:lineRule="auto"/>
        <w:ind w:left="1134" w:right="713" w:firstLine="0"/>
        <w:rPr>
          <w:sz w:val="20"/>
          <w:szCs w:val="20"/>
        </w:rPr>
      </w:pPr>
      <w:r w:rsidRPr="002B0DBD">
        <w:rPr>
          <w:sz w:val="20"/>
          <w:szCs w:val="20"/>
        </w:rPr>
        <w:t xml:space="preserve">Gewöhnliche Gespräche. </w:t>
      </w:r>
    </w:p>
    <w:p w:rsidR="00593A53" w:rsidRPr="00791545" w:rsidRDefault="00593A53" w:rsidP="00041184">
      <w:pPr>
        <w:spacing w:after="120" w:line="240" w:lineRule="auto"/>
        <w:ind w:left="566" w:right="713" w:firstLine="0"/>
        <w:rPr>
          <w:lang w:val="en-US"/>
        </w:rPr>
      </w:pPr>
      <w:r w:rsidRPr="002B0DBD">
        <w:rPr>
          <w:sz w:val="20"/>
          <w:szCs w:val="20"/>
          <w:lang w:val="de-DE"/>
        </w:rPr>
        <w:t xml:space="preserve">Es ist gebeten allen in Betracht kommanden Stellen von dieser Massnahme Kenntnis zu geben, damit die Gesprächsstoff so gliedern können, dass er in der vorgeschriebenen Zeit erschöpft werden kann.“ </w:t>
      </w:r>
      <w:r w:rsidRPr="00791545">
        <w:rPr>
          <w:sz w:val="20"/>
          <w:szCs w:val="20"/>
          <w:lang w:val="en-US"/>
        </w:rPr>
        <w:t>BA – Berlin R 59 f. 65</w:t>
      </w:r>
      <w:r w:rsidRPr="00791545">
        <w:rPr>
          <w:rFonts w:eastAsia="Calibri"/>
          <w:sz w:val="20"/>
          <w:szCs w:val="20"/>
          <w:lang w:val="en-US"/>
        </w:rPr>
        <w:t xml:space="preserve"> </w:t>
      </w:r>
    </w:p>
  </w:footnote>
  <w:footnote w:id="102">
    <w:p w:rsidR="00593A53" w:rsidRPr="002B0DBD" w:rsidRDefault="00593A53" w:rsidP="00041184">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„10 Kilometer südlich Gumbinnen, in einem Gehöft 15 ermordete Zivilisten , die zum Teil in ein er niedergebrannten Scheune verkohlt  aufgefunden wurden. Ein älterer Mann wurde mit Nagelungsw unden an den Hände entdeckt – er war an einer Tür gekreuzigt worden. Zwei Frauen wurden vergewal tigt mit Stich – und Schußwun den tot aufgefunden.“</w:t>
      </w:r>
      <w:r w:rsidRPr="002B0DBD">
        <w:rPr>
          <w:sz w:val="20"/>
          <w:szCs w:val="20"/>
          <w:vertAlign w:val="superscript"/>
          <w:lang w:val="de-DE"/>
        </w:rPr>
        <w:t xml:space="preserve"> </w:t>
      </w:r>
      <w:r w:rsidRPr="002B0DBD">
        <w:rPr>
          <w:sz w:val="20"/>
          <w:szCs w:val="20"/>
          <w:lang w:val="de-DE"/>
        </w:rPr>
        <w:t xml:space="preserve">R. Grenz, </w:t>
      </w:r>
      <w:r w:rsidRPr="002B0DBD">
        <w:rPr>
          <w:i/>
          <w:sz w:val="20"/>
          <w:szCs w:val="20"/>
          <w:lang w:val="de-DE"/>
        </w:rPr>
        <w:t>„Stadt und Kreis Gumbinnen“</w:t>
      </w:r>
      <w:r w:rsidRPr="002B0DBD">
        <w:rPr>
          <w:sz w:val="20"/>
          <w:szCs w:val="20"/>
          <w:lang w:val="de-DE"/>
        </w:rPr>
        <w:t xml:space="preserve">, Kreisgemeinschaft Gumbinnen 1971, p. 632 </w:t>
      </w:r>
    </w:p>
  </w:footnote>
  <w:footnote w:id="103">
    <w:p w:rsidR="00593A53" w:rsidRPr="002B0DBD" w:rsidRDefault="00593A53" w:rsidP="00041184">
      <w:pPr>
        <w:spacing w:after="120" w:line="240" w:lineRule="auto"/>
        <w:ind w:left="566" w:right="713" w:firstLine="0"/>
      </w:pPr>
      <w:r w:rsidRPr="002B0DBD">
        <w:rPr>
          <w:rStyle w:val="Rimandonotaapidipagina"/>
          <w:sz w:val="20"/>
          <w:szCs w:val="20"/>
        </w:rPr>
        <w:footnoteRef/>
      </w:r>
      <w:r w:rsidRPr="002B0DBD">
        <w:rPr>
          <w:sz w:val="20"/>
          <w:szCs w:val="20"/>
        </w:rPr>
        <w:t xml:space="preserve"> S. Pivato “I comunisti mangiavano i bambini – Storia di una legenda”, Il Mulino, Bologna 2013, p. 41 </w:t>
      </w:r>
    </w:p>
  </w:footnote>
  <w:footnote w:id="104">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H. Schneider, </w:t>
      </w:r>
      <w:r w:rsidRPr="002B0DBD">
        <w:rPr>
          <w:i/>
          <w:sz w:val="20"/>
          <w:szCs w:val="20"/>
          <w:lang w:val="de-DE"/>
        </w:rPr>
        <w:t>L’usignolo dei Linke</w:t>
      </w:r>
      <w:r w:rsidRPr="002B0DBD">
        <w:rPr>
          <w:sz w:val="20"/>
          <w:szCs w:val="20"/>
          <w:lang w:val="de-DE"/>
        </w:rPr>
        <w:t>, Adelphi, Milano 2004, pp. 103-104</w:t>
      </w:r>
      <w:r w:rsidRPr="002B0DBD">
        <w:rPr>
          <w:rFonts w:eastAsia="Calibri"/>
          <w:sz w:val="20"/>
          <w:szCs w:val="20"/>
          <w:lang w:val="de-DE"/>
        </w:rPr>
        <w:t xml:space="preserve"> </w:t>
      </w:r>
    </w:p>
  </w:footnote>
  <w:footnote w:id="105">
    <w:p w:rsidR="00593A53" w:rsidRPr="002B0DBD" w:rsidRDefault="00593A53" w:rsidP="00041184">
      <w:pPr>
        <w:pStyle w:val="footnotedescription"/>
        <w:spacing w:after="120" w:line="240" w:lineRule="auto"/>
        <w:ind w:left="566" w:right="713"/>
        <w:jc w:val="both"/>
        <w:rPr>
          <w:sz w:val="20"/>
          <w:szCs w:val="20"/>
          <w:lang w:val="en-GB"/>
        </w:rPr>
      </w:pPr>
      <w:r w:rsidRPr="002B0DBD">
        <w:rPr>
          <w:rStyle w:val="footnotemark"/>
          <w:sz w:val="20"/>
          <w:szCs w:val="20"/>
        </w:rPr>
        <w:footnoteRef/>
      </w:r>
      <w:r w:rsidRPr="002B0DBD">
        <w:rPr>
          <w:sz w:val="20"/>
          <w:szCs w:val="20"/>
          <w:lang w:val="en-GB"/>
        </w:rPr>
        <w:t xml:space="preserve"> </w:t>
      </w:r>
      <w:r w:rsidRPr="002B0DBD">
        <w:rPr>
          <w:i/>
          <w:sz w:val="20"/>
          <w:szCs w:val="20"/>
          <w:lang w:val="en-GB"/>
        </w:rPr>
        <w:t>“When in October, 1944, Russian units… broke trough German defences and advanced as far as Nemmersdorf, they tortured civilians in many villages south Gumbinnen, nailed some on barn doors and shot many others. A large number of women were raped. The Russian soldiers also shot some fifty French prisoners of war. They affected villages were reoccupied by German forces within forty-eight hours.”</w:t>
      </w:r>
      <w:r w:rsidRPr="002B0DBD">
        <w:rPr>
          <w:sz w:val="20"/>
          <w:szCs w:val="20"/>
          <w:lang w:val="en-GB"/>
        </w:rPr>
        <w:t xml:space="preserve">    </w:t>
      </w:r>
    </w:p>
  </w:footnote>
  <w:footnote w:id="106">
    <w:p w:rsidR="00593A53" w:rsidRPr="002B0DBD" w:rsidRDefault="00593A53" w:rsidP="00041184">
      <w:pPr>
        <w:pStyle w:val="footnotedescription"/>
        <w:spacing w:after="120" w:line="240" w:lineRule="auto"/>
        <w:ind w:left="566" w:right="713"/>
        <w:jc w:val="both"/>
        <w:rPr>
          <w:sz w:val="20"/>
          <w:szCs w:val="20"/>
          <w:lang w:val="en-GB"/>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„Über die Angerapp drangen im Kreisgebiet keine Feindkräftevor. Durch deutsche Gegenangriffe seit dem 23. Oktober wurde die sowjetischen Spitzen zurückgeworfen und seit dem 25. </w:t>
      </w:r>
      <w:r w:rsidRPr="002B0DBD">
        <w:rPr>
          <w:i/>
          <w:sz w:val="20"/>
          <w:szCs w:val="20"/>
          <w:lang w:val="en-GB"/>
        </w:rPr>
        <w:t>10. war das Kreisgebiet wieder Feindfrei”.</w:t>
      </w:r>
      <w:r w:rsidRPr="002B0DBD">
        <w:rPr>
          <w:sz w:val="20"/>
          <w:szCs w:val="20"/>
          <w:lang w:val="en-GB"/>
        </w:rPr>
        <w:t xml:space="preserve"> BA – Bayreuth Ost Dok. 1 </w:t>
      </w:r>
    </w:p>
  </w:footnote>
  <w:footnote w:id="107">
    <w:p w:rsidR="00593A53" w:rsidRPr="002B0DBD" w:rsidRDefault="00593A53" w:rsidP="00041184">
      <w:pPr>
        <w:pStyle w:val="footnotedescription"/>
        <w:spacing w:after="120" w:line="240" w:lineRule="auto"/>
        <w:ind w:left="566" w:right="713"/>
        <w:jc w:val="both"/>
        <w:rPr>
          <w:sz w:val="20"/>
          <w:szCs w:val="20"/>
          <w:lang w:val="en-GB"/>
        </w:rPr>
      </w:pPr>
      <w:r w:rsidRPr="002B0DBD">
        <w:rPr>
          <w:rStyle w:val="footnotemark"/>
          <w:sz w:val="20"/>
          <w:szCs w:val="20"/>
        </w:rPr>
        <w:footnoteRef/>
      </w:r>
      <w:r w:rsidRPr="002B0DBD">
        <w:rPr>
          <w:sz w:val="20"/>
          <w:szCs w:val="20"/>
          <w:lang w:val="en-GB"/>
        </w:rPr>
        <w:t xml:space="preserve"> </w:t>
      </w:r>
      <w:r w:rsidRPr="002B0DBD">
        <w:rPr>
          <w:i/>
          <w:sz w:val="20"/>
          <w:szCs w:val="20"/>
          <w:lang w:val="en-GB"/>
        </w:rPr>
        <w:t>“His genuine horror at the countless war-crimes committed by the then retreating Wehrmacht and this first hand knowledge of its criminality during the advances and occupation of 1941 and 1942 combined to elevate his hatred to a fever pitch and had the effect of concentrating all his energies and attention upon one single concern – the need for “sacred” vengeance and retribution against the German nation. That concern was henceforth to be central to his writings as the war drew to a close.”</w:t>
      </w:r>
      <w:r w:rsidRPr="002B0DBD">
        <w:rPr>
          <w:sz w:val="20"/>
          <w:szCs w:val="20"/>
          <w:lang w:val="en-GB"/>
        </w:rPr>
        <w:t xml:space="preserve"> J. L. Laychuk, </w:t>
      </w:r>
      <w:r w:rsidRPr="002B0DBD">
        <w:rPr>
          <w:i/>
          <w:sz w:val="20"/>
          <w:szCs w:val="20"/>
          <w:lang w:val="en-GB"/>
        </w:rPr>
        <w:t>Ilya Ehrenburg. An idealist in an age of Realism</w:t>
      </w:r>
      <w:r w:rsidRPr="002B0DBD">
        <w:rPr>
          <w:sz w:val="20"/>
          <w:szCs w:val="20"/>
          <w:lang w:val="en-GB"/>
        </w:rPr>
        <w:t xml:space="preserve">, Peter Lang Publishers, Berna 1991, pp. 208-209  </w:t>
      </w:r>
    </w:p>
  </w:footnote>
  <w:footnote w:id="108">
    <w:p w:rsidR="00593A53" w:rsidRPr="00791545"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791545">
        <w:rPr>
          <w:sz w:val="20"/>
          <w:szCs w:val="20"/>
        </w:rPr>
        <w:t xml:space="preserve"> N. Labanca, C. Zandra, </w:t>
      </w:r>
      <w:r w:rsidRPr="00791545">
        <w:rPr>
          <w:i/>
          <w:sz w:val="20"/>
          <w:szCs w:val="20"/>
        </w:rPr>
        <w:t xml:space="preserve">Costruire un nemico“ </w:t>
      </w:r>
      <w:r w:rsidRPr="00791545">
        <w:rPr>
          <w:sz w:val="20"/>
          <w:szCs w:val="20"/>
        </w:rPr>
        <w:t>Unicopli Editore, Milano 2011</w:t>
      </w:r>
      <w:r w:rsidRPr="00791545">
        <w:rPr>
          <w:sz w:val="20"/>
          <w:szCs w:val="20"/>
          <w:u w:val="single" w:color="000000"/>
        </w:rPr>
        <w:t>, pp. 94 e segg.</w:t>
      </w:r>
      <w:r w:rsidRPr="00791545">
        <w:rPr>
          <w:i/>
          <w:sz w:val="20"/>
          <w:szCs w:val="20"/>
        </w:rPr>
        <w:t xml:space="preserve">   </w:t>
      </w:r>
    </w:p>
  </w:footnote>
  <w:footnote w:id="109">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M. Flores, cit., pp. 128-129  </w:t>
      </w:r>
    </w:p>
  </w:footnote>
  <w:footnote w:id="110">
    <w:p w:rsidR="00593A53" w:rsidRPr="00791545" w:rsidRDefault="00593A53" w:rsidP="003D3728">
      <w:pPr>
        <w:tabs>
          <w:tab w:val="left" w:pos="1276"/>
          <w:tab w:val="left" w:pos="1701"/>
        </w:tabs>
        <w:spacing w:after="120" w:line="240" w:lineRule="auto"/>
        <w:ind w:left="566" w:right="713" w:firstLine="0"/>
        <w:rPr>
          <w:sz w:val="20"/>
          <w:szCs w:val="20"/>
          <w:lang w:val="en-US"/>
        </w:rPr>
      </w:pPr>
      <w:r w:rsidRPr="002B0DBD">
        <w:rPr>
          <w:rStyle w:val="Rimandonotaapidipagina"/>
          <w:sz w:val="20"/>
          <w:szCs w:val="20"/>
        </w:rPr>
        <w:footnoteRef/>
      </w:r>
      <w:r w:rsidRPr="002B0DBD">
        <w:rPr>
          <w:sz w:val="20"/>
          <w:szCs w:val="20"/>
          <w:lang w:val="en-GB"/>
        </w:rPr>
        <w:t xml:space="preserve"> </w:t>
      </w:r>
      <w:r w:rsidRPr="00791545">
        <w:rPr>
          <w:sz w:val="20"/>
          <w:szCs w:val="20"/>
          <w:lang w:val="en-US"/>
        </w:rPr>
        <w:t xml:space="preserve"> „</w:t>
      </w:r>
      <w:r>
        <w:rPr>
          <w:sz w:val="20"/>
          <w:szCs w:val="20"/>
          <w:lang w:val="en-US"/>
        </w:rPr>
        <w:tab/>
      </w:r>
      <w:r w:rsidRPr="00791545">
        <w:rPr>
          <w:sz w:val="20"/>
          <w:szCs w:val="20"/>
          <w:lang w:val="en-US"/>
        </w:rPr>
        <w:t xml:space="preserve">1. </w:t>
      </w:r>
      <w:r>
        <w:rPr>
          <w:sz w:val="20"/>
          <w:szCs w:val="20"/>
          <w:lang w:val="en-US"/>
        </w:rPr>
        <w:tab/>
      </w:r>
      <w:r w:rsidRPr="00791545">
        <w:rPr>
          <w:sz w:val="20"/>
          <w:szCs w:val="20"/>
          <w:lang w:val="en-US"/>
        </w:rPr>
        <w:t xml:space="preserve">Balbersten, Kreis Gumbinnen </w:t>
      </w:r>
    </w:p>
    <w:p w:rsidR="00593A53" w:rsidRPr="002B0DBD" w:rsidRDefault="00593A53" w:rsidP="003D3728">
      <w:pPr>
        <w:numPr>
          <w:ilvl w:val="0"/>
          <w:numId w:val="20"/>
        </w:numPr>
        <w:tabs>
          <w:tab w:val="left" w:pos="1701"/>
        </w:tabs>
        <w:spacing w:after="120" w:line="240" w:lineRule="auto"/>
        <w:ind w:left="1701" w:right="713" w:hanging="425"/>
        <w:rPr>
          <w:sz w:val="20"/>
          <w:szCs w:val="20"/>
          <w:lang w:val="de-DE"/>
        </w:rPr>
      </w:pPr>
      <w:r w:rsidRPr="002B0DBD">
        <w:rPr>
          <w:sz w:val="20"/>
          <w:szCs w:val="20"/>
          <w:lang w:val="de-DE"/>
        </w:rPr>
        <w:t xml:space="preserve">19. Oktober 1944 aus Richtung Walterkehmen, Stallupönen, Goldap, Panzerverbände. </w:t>
      </w:r>
    </w:p>
    <w:p w:rsidR="00593A53" w:rsidRPr="002B0DBD" w:rsidRDefault="00593A53" w:rsidP="003D3728">
      <w:pPr>
        <w:numPr>
          <w:ilvl w:val="0"/>
          <w:numId w:val="20"/>
        </w:numPr>
        <w:tabs>
          <w:tab w:val="left" w:pos="1701"/>
        </w:tabs>
        <w:spacing w:after="120" w:line="240" w:lineRule="auto"/>
        <w:ind w:left="1701" w:right="713" w:hanging="425"/>
        <w:rPr>
          <w:sz w:val="20"/>
          <w:szCs w:val="20"/>
          <w:lang w:val="de-DE"/>
        </w:rPr>
      </w:pPr>
      <w:r w:rsidRPr="002B0DBD">
        <w:rPr>
          <w:sz w:val="20"/>
          <w:szCs w:val="20"/>
          <w:lang w:val="de-DE"/>
        </w:rPr>
        <w:t xml:space="preserve">Der Feind stieß bis Nemmersdorf vor: [unlesbar] aufgehalten und nach dem Raum Walterkehmen zurückgeschlagen. </w:t>
      </w:r>
    </w:p>
    <w:p w:rsidR="00593A53" w:rsidRPr="003D3728" w:rsidRDefault="00593A53" w:rsidP="003D3728">
      <w:pPr>
        <w:numPr>
          <w:ilvl w:val="0"/>
          <w:numId w:val="20"/>
        </w:numPr>
        <w:tabs>
          <w:tab w:val="left" w:pos="1701"/>
        </w:tabs>
        <w:spacing w:after="120" w:line="240" w:lineRule="auto"/>
        <w:ind w:left="1701" w:right="713" w:hanging="425"/>
        <w:rPr>
          <w:sz w:val="20"/>
          <w:szCs w:val="20"/>
        </w:rPr>
      </w:pPr>
      <w:r w:rsidRPr="003D3728">
        <w:rPr>
          <w:sz w:val="20"/>
          <w:szCs w:val="20"/>
          <w:lang w:val="de-DE"/>
        </w:rPr>
        <w:t xml:space="preserve">Der Russe besetzte den Ort dann so um den 19. Januar 1945 endgültig. Der Raum wurde von der </w:t>
      </w:r>
      <w:r w:rsidRPr="003D3728">
        <w:rPr>
          <w:sz w:val="20"/>
          <w:szCs w:val="20"/>
        </w:rPr>
        <w:t xml:space="preserve">Hermann Göring-Division verteidigt. </w:t>
      </w:r>
    </w:p>
    <w:p w:rsidR="00593A53" w:rsidRPr="002B0DBD" w:rsidRDefault="00593A53" w:rsidP="003D3728">
      <w:pPr>
        <w:numPr>
          <w:ilvl w:val="0"/>
          <w:numId w:val="20"/>
        </w:numPr>
        <w:tabs>
          <w:tab w:val="left" w:pos="1701"/>
        </w:tabs>
        <w:spacing w:after="120" w:line="240" w:lineRule="auto"/>
        <w:ind w:left="1701" w:right="713" w:hanging="425"/>
        <w:rPr>
          <w:sz w:val="20"/>
          <w:szCs w:val="20"/>
          <w:lang w:val="de-DE"/>
        </w:rPr>
      </w:pPr>
      <w:r w:rsidRPr="002B0DBD">
        <w:rPr>
          <w:sz w:val="20"/>
          <w:szCs w:val="20"/>
          <w:lang w:val="de-DE"/>
        </w:rPr>
        <w:t xml:space="preserve">Das Gehöft Meinekat brante am 20. Oktober vollständig nieder. Die Scheune des Gehöfts Adomeit brannte durch Unvorsichtlichkeit deutscher Soldaten im November/Dezember ab. Die übringen Gebäude und Gehöfte sollen nach den Aussagen des Viehhändlers Stein. </w:t>
      </w:r>
    </w:p>
    <w:p w:rsidR="00593A53" w:rsidRPr="002B0DBD" w:rsidRDefault="00593A53" w:rsidP="003D3728">
      <w:pPr>
        <w:numPr>
          <w:ilvl w:val="0"/>
          <w:numId w:val="20"/>
        </w:numPr>
        <w:tabs>
          <w:tab w:val="left" w:pos="1701"/>
        </w:tabs>
        <w:spacing w:after="120" w:line="240" w:lineRule="auto"/>
        <w:ind w:left="1701" w:right="713" w:hanging="425"/>
        <w:rPr>
          <w:sz w:val="20"/>
          <w:szCs w:val="20"/>
          <w:lang w:val="de-DE"/>
        </w:rPr>
      </w:pPr>
      <w:r w:rsidRPr="002B0DBD">
        <w:rPr>
          <w:sz w:val="20"/>
          <w:szCs w:val="20"/>
          <w:lang w:val="de-DE"/>
        </w:rPr>
        <w:t xml:space="preserve">Eine Räumung wurde nicht angeordnet. Ein Teil der Einwohner wurde überrollt (Oktober 1944). </w:t>
      </w:r>
    </w:p>
    <w:p w:rsidR="00593A53" w:rsidRPr="003D3728" w:rsidRDefault="00593A53" w:rsidP="003D3728">
      <w:pPr>
        <w:pStyle w:val="Paragrafoelenco"/>
        <w:numPr>
          <w:ilvl w:val="0"/>
          <w:numId w:val="21"/>
        </w:numPr>
        <w:spacing w:after="120" w:line="240" w:lineRule="auto"/>
        <w:ind w:left="1701" w:right="713" w:hanging="425"/>
        <w:rPr>
          <w:sz w:val="20"/>
          <w:szCs w:val="20"/>
          <w:lang w:val="de-DE"/>
        </w:rPr>
      </w:pPr>
      <w:r w:rsidRPr="003D3728">
        <w:rPr>
          <w:sz w:val="20"/>
          <w:szCs w:val="20"/>
          <w:lang w:val="de-DE"/>
        </w:rPr>
        <w:t xml:space="preserve">In der Nacht vom 20. zum 21. Oktober 1944 durch Pferdewagen und zu Fuß. Richtung Nemmersdorf  und Kieselkehmen, Sodehen Gardauen. Die überrollten Personen konnten sich nach Zurückeroberung des Ortes in Sicherheit bringen. Die Familie Alfred Paretten aus Gumbinnen, die bei dem Bauern Gossing zuletzt wohnte, wurde mit 2 kleinen Kinder in Nemmersdorf am 21. Oktober 1944 von den Russen erschossen. Fräulein Hildegard Bieber starb nach Verschleppung aus dem Kreise Osterode in Rußland. </w:t>
      </w:r>
    </w:p>
    <w:p w:rsidR="00593A53" w:rsidRPr="002B0DBD" w:rsidRDefault="00593A53" w:rsidP="003D3728">
      <w:pPr>
        <w:numPr>
          <w:ilvl w:val="0"/>
          <w:numId w:val="21"/>
        </w:numPr>
        <w:spacing w:after="120" w:line="240" w:lineRule="auto"/>
        <w:ind w:left="1701" w:right="713" w:hanging="425"/>
        <w:jc w:val="left"/>
        <w:rPr>
          <w:sz w:val="20"/>
          <w:szCs w:val="20"/>
        </w:rPr>
      </w:pPr>
      <w:r w:rsidRPr="002B0DBD">
        <w:rPr>
          <w:sz w:val="20"/>
          <w:szCs w:val="20"/>
        </w:rPr>
        <w:t xml:space="preserve">Keine </w:t>
      </w:r>
    </w:p>
    <w:p w:rsidR="00593A53" w:rsidRPr="002B0DBD" w:rsidRDefault="00593A53" w:rsidP="003D3728">
      <w:pPr>
        <w:numPr>
          <w:ilvl w:val="0"/>
          <w:numId w:val="21"/>
        </w:numPr>
        <w:spacing w:after="120" w:line="240" w:lineRule="auto"/>
        <w:ind w:left="1701" w:right="713" w:hanging="425"/>
        <w:jc w:val="left"/>
        <w:rPr>
          <w:sz w:val="20"/>
          <w:szCs w:val="20"/>
        </w:rPr>
      </w:pPr>
      <w:r w:rsidRPr="002B0DBD">
        <w:rPr>
          <w:sz w:val="20"/>
          <w:szCs w:val="20"/>
        </w:rPr>
        <w:t xml:space="preserve">Russische Gebiet </w:t>
      </w:r>
    </w:p>
    <w:p w:rsidR="00593A53" w:rsidRPr="002B0DBD" w:rsidRDefault="00593A53" w:rsidP="003D3728">
      <w:pPr>
        <w:numPr>
          <w:ilvl w:val="0"/>
          <w:numId w:val="21"/>
        </w:numPr>
        <w:spacing w:after="120" w:line="240" w:lineRule="auto"/>
        <w:ind w:left="1701" w:right="713" w:hanging="425"/>
        <w:jc w:val="left"/>
        <w:rPr>
          <w:sz w:val="20"/>
          <w:szCs w:val="20"/>
          <w:lang w:val="de-DE"/>
        </w:rPr>
      </w:pPr>
      <w:r w:rsidRPr="002B0DBD">
        <w:rPr>
          <w:sz w:val="20"/>
          <w:szCs w:val="20"/>
          <w:lang w:val="de-DE"/>
        </w:rPr>
        <w:t xml:space="preserve">In die Nemmersdorfe die bekannten. Im Ort Gendarmerie-meister Schmiedt aus Schublaukenund Eheleute Warter aus Gumbinnen erschossen. </w:t>
      </w:r>
    </w:p>
    <w:p w:rsidR="00593A53" w:rsidRPr="002B0DBD" w:rsidRDefault="00593A53" w:rsidP="003D3728">
      <w:pPr>
        <w:numPr>
          <w:ilvl w:val="0"/>
          <w:numId w:val="21"/>
        </w:numPr>
        <w:spacing w:after="120" w:line="240" w:lineRule="auto"/>
        <w:ind w:left="1701" w:right="713" w:hanging="425"/>
        <w:jc w:val="left"/>
        <w:rPr>
          <w:sz w:val="20"/>
          <w:szCs w:val="20"/>
          <w:lang w:val="de-DE"/>
        </w:rPr>
      </w:pPr>
      <w:r w:rsidRPr="002B0DBD">
        <w:rPr>
          <w:sz w:val="20"/>
          <w:szCs w:val="20"/>
          <w:lang w:val="de-DE"/>
        </w:rPr>
        <w:t xml:space="preserve">Arbeitslager waren in Nemmersdorf, Staneitschen, Brakupönen. </w:t>
      </w:r>
    </w:p>
    <w:p w:rsidR="00593A53" w:rsidRPr="002B0DBD" w:rsidRDefault="00593A53" w:rsidP="003D3728">
      <w:pPr>
        <w:numPr>
          <w:ilvl w:val="0"/>
          <w:numId w:val="21"/>
        </w:numPr>
        <w:spacing w:after="120" w:line="240" w:lineRule="auto"/>
        <w:ind w:left="1701" w:right="713" w:hanging="425"/>
        <w:jc w:val="left"/>
        <w:rPr>
          <w:sz w:val="20"/>
          <w:szCs w:val="20"/>
        </w:rPr>
      </w:pPr>
      <w:r w:rsidRPr="002B0DBD">
        <w:rPr>
          <w:sz w:val="20"/>
          <w:szCs w:val="20"/>
        </w:rPr>
        <w:t xml:space="preserve">Nein </w:t>
      </w:r>
    </w:p>
    <w:p w:rsidR="00593A53" w:rsidRPr="002B0DBD" w:rsidRDefault="00593A53" w:rsidP="003D3728">
      <w:pPr>
        <w:numPr>
          <w:ilvl w:val="0"/>
          <w:numId w:val="21"/>
        </w:numPr>
        <w:spacing w:after="120" w:line="240" w:lineRule="auto"/>
        <w:ind w:left="1701" w:right="713" w:hanging="425"/>
        <w:jc w:val="left"/>
        <w:rPr>
          <w:sz w:val="20"/>
          <w:szCs w:val="20"/>
          <w:lang w:val="de-DE"/>
        </w:rPr>
      </w:pPr>
      <w:r w:rsidRPr="002B0DBD">
        <w:rPr>
          <w:sz w:val="20"/>
          <w:szCs w:val="20"/>
          <w:lang w:val="de-DE"/>
        </w:rPr>
        <w:t xml:space="preserve">Nemmersdorf. Heimatbriefe von Pfarrer Moritz, Gumbinnen.    </w:t>
      </w:r>
    </w:p>
    <w:p w:rsidR="00593A53" w:rsidRPr="002B0DBD" w:rsidRDefault="00593A53" w:rsidP="003D3728">
      <w:pPr>
        <w:spacing w:after="120" w:line="240" w:lineRule="auto"/>
        <w:ind w:left="566" w:right="713" w:firstLine="0"/>
        <w:rPr>
          <w:lang w:val="de-DE"/>
        </w:rPr>
      </w:pPr>
      <w:r w:rsidRPr="002B0DBD">
        <w:rPr>
          <w:sz w:val="20"/>
          <w:szCs w:val="20"/>
          <w:lang w:val="de-DE"/>
        </w:rPr>
        <w:t xml:space="preserve">“ BA – Bayreuth Ost-Dok 1/19 Gum. 12/2206 </w:t>
      </w:r>
    </w:p>
  </w:footnote>
  <w:footnote w:id="111">
    <w:p w:rsidR="00593A53" w:rsidRPr="002B0DBD" w:rsidRDefault="00593A53" w:rsidP="008B5661">
      <w:pPr>
        <w:pStyle w:val="footnotedescription"/>
        <w:spacing w:line="240" w:lineRule="auto"/>
        <w:ind w:left="567" w:right="714"/>
        <w:rPr>
          <w:sz w:val="20"/>
          <w:szCs w:val="20"/>
          <w:lang w:val="en-GB"/>
        </w:rPr>
      </w:pPr>
      <w:r w:rsidRPr="002B0DBD">
        <w:rPr>
          <w:rStyle w:val="footnotemark"/>
          <w:sz w:val="20"/>
          <w:szCs w:val="20"/>
        </w:rPr>
        <w:footnoteRef/>
      </w:r>
      <w:r w:rsidRPr="002B0DBD">
        <w:rPr>
          <w:sz w:val="20"/>
          <w:szCs w:val="20"/>
          <w:lang w:val="en-GB"/>
        </w:rPr>
        <w:t xml:space="preserve"> </w:t>
      </w:r>
      <w:r w:rsidRPr="002B0DBD">
        <w:rPr>
          <w:i/>
          <w:sz w:val="20"/>
          <w:szCs w:val="20"/>
          <w:lang w:val="en-GB"/>
        </w:rPr>
        <w:t xml:space="preserve">“Massacre, rape and plunder contributed to the very marked decline in discipline that was evident in the last ten days of the January, when the Russians moved into Germany territory.  […]. </w:t>
      </w:r>
    </w:p>
    <w:p w:rsidR="00593A53" w:rsidRPr="002B0DBD" w:rsidRDefault="00593A53" w:rsidP="003D3728">
      <w:pPr>
        <w:pStyle w:val="footnotedescription"/>
        <w:spacing w:after="120" w:line="240" w:lineRule="auto"/>
        <w:ind w:left="566" w:right="713"/>
        <w:jc w:val="both"/>
        <w:rPr>
          <w:sz w:val="20"/>
          <w:szCs w:val="20"/>
          <w:lang w:val="en-GB"/>
        </w:rPr>
      </w:pPr>
      <w:r w:rsidRPr="002B0DBD">
        <w:rPr>
          <w:i/>
          <w:sz w:val="20"/>
          <w:szCs w:val="20"/>
          <w:lang w:val="en-GB"/>
        </w:rPr>
        <w:t xml:space="preserve">The Russian barbarities were also important because they stiffened the German resistance and contributed to the survival of the Reich until the early summer 1945. The Russian way with German civilians first became known after the Germans recaptured the town of Nemmersdorf in East Prussia, which was the scene of a wholesale massacre of population in October 1944. This experience was relived on every theatre of the eastern Front, and on every occasion it provoked in the German troops an intense desire of revenge.” </w:t>
      </w:r>
      <w:r w:rsidRPr="002B0DBD">
        <w:rPr>
          <w:sz w:val="20"/>
          <w:szCs w:val="20"/>
          <w:lang w:val="en-GB"/>
        </w:rPr>
        <w:t xml:space="preserve">Duffy, </w:t>
      </w:r>
      <w:r w:rsidRPr="002B0DBD">
        <w:rPr>
          <w:i/>
          <w:sz w:val="20"/>
          <w:szCs w:val="20"/>
          <w:lang w:val="en-GB"/>
        </w:rPr>
        <w:t>Red Storm on the Reich – The Soviet March on Germany, 1945</w:t>
      </w:r>
      <w:r w:rsidRPr="002B0DBD">
        <w:rPr>
          <w:sz w:val="20"/>
          <w:szCs w:val="20"/>
          <w:lang w:val="en-GB"/>
        </w:rPr>
        <w:t xml:space="preserve">, Routledge London, Londra 1991, p. 275-276 </w:t>
      </w:r>
      <w:r w:rsidRPr="002B0DBD">
        <w:rPr>
          <w:rFonts w:eastAsia="Calibri"/>
          <w:sz w:val="20"/>
          <w:szCs w:val="20"/>
          <w:lang w:val="en-GB"/>
        </w:rPr>
        <w:t xml:space="preserve"> </w:t>
      </w:r>
    </w:p>
  </w:footnote>
  <w:footnote w:id="112">
    <w:p w:rsidR="00593A53" w:rsidRPr="002B0DBD" w:rsidRDefault="00593A53" w:rsidP="003D3728">
      <w:pPr>
        <w:pStyle w:val="footnotedescription"/>
        <w:tabs>
          <w:tab w:val="center" w:pos="3997"/>
        </w:tabs>
        <w:spacing w:after="120" w:line="240" w:lineRule="auto"/>
        <w:ind w:left="566" w:right="713"/>
        <w:rPr>
          <w:sz w:val="20"/>
          <w:szCs w:val="20"/>
        </w:rPr>
      </w:pPr>
      <w:r w:rsidRPr="002B0DBD">
        <w:rPr>
          <w:rStyle w:val="footnotemark"/>
          <w:sz w:val="20"/>
          <w:szCs w:val="20"/>
        </w:rPr>
        <w:footnoteRef/>
      </w:r>
      <w:r w:rsidRPr="002B0DBD">
        <w:rPr>
          <w:sz w:val="20"/>
          <w:szCs w:val="20"/>
        </w:rPr>
        <w:t xml:space="preserve"> E. De Angelis, </w:t>
      </w:r>
      <w:r w:rsidRPr="002B0DBD">
        <w:rPr>
          <w:i/>
          <w:sz w:val="20"/>
          <w:szCs w:val="20"/>
        </w:rPr>
        <w:t xml:space="preserve">Guerra e mass media, </w:t>
      </w:r>
      <w:r w:rsidRPr="002B0DBD">
        <w:rPr>
          <w:sz w:val="20"/>
          <w:szCs w:val="20"/>
        </w:rPr>
        <w:t xml:space="preserve">Le Bussole Carocci, Milano 2007  </w:t>
      </w:r>
    </w:p>
  </w:footnote>
  <w:footnote w:id="113">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Saggio di G. Cerchia, </w:t>
      </w:r>
      <w:r w:rsidRPr="002B0DBD">
        <w:rPr>
          <w:i/>
          <w:sz w:val="20"/>
          <w:szCs w:val="20"/>
        </w:rPr>
        <w:t xml:space="preserve">La guerra delle immagini. Propaganda di celluloide a confronto, nel fuoco del secondo conflitto mondiale, </w:t>
      </w:r>
      <w:r w:rsidRPr="002B0DBD">
        <w:rPr>
          <w:sz w:val="20"/>
          <w:szCs w:val="20"/>
        </w:rPr>
        <w:t xml:space="preserve">in P. Craveri, G. Quagliariello, </w:t>
      </w:r>
      <w:r w:rsidRPr="002B0DBD">
        <w:rPr>
          <w:i/>
          <w:sz w:val="20"/>
          <w:szCs w:val="20"/>
        </w:rPr>
        <w:t>La Se</w:t>
      </w:r>
      <w:r>
        <w:rPr>
          <w:i/>
          <w:sz w:val="20"/>
          <w:szCs w:val="20"/>
        </w:rPr>
        <w:t xml:space="preserve">conda Guerra Mondiale e la sua </w:t>
      </w:r>
      <w:r w:rsidRPr="002B0DBD">
        <w:rPr>
          <w:i/>
          <w:sz w:val="20"/>
          <w:szCs w:val="20"/>
        </w:rPr>
        <w:t xml:space="preserve">memoria, </w:t>
      </w:r>
      <w:r w:rsidRPr="002B0DBD">
        <w:rPr>
          <w:sz w:val="20"/>
          <w:szCs w:val="20"/>
        </w:rPr>
        <w:t>Rubbettino 2006, p. 64</w:t>
      </w:r>
      <w:r w:rsidRPr="002B0DBD">
        <w:rPr>
          <w:rFonts w:eastAsia="Calibri"/>
          <w:i/>
          <w:sz w:val="20"/>
          <w:szCs w:val="20"/>
        </w:rPr>
        <w:t xml:space="preserve"> </w:t>
      </w:r>
      <w:r w:rsidRPr="002B0DBD">
        <w:rPr>
          <w:rFonts w:eastAsia="Calibri"/>
          <w:sz w:val="20"/>
          <w:szCs w:val="20"/>
        </w:rPr>
        <w:t xml:space="preserve">  </w:t>
      </w:r>
      <w:r w:rsidRPr="002B0DBD">
        <w:rPr>
          <w:sz w:val="20"/>
          <w:szCs w:val="20"/>
        </w:rPr>
        <w:t xml:space="preserve"> </w:t>
      </w:r>
    </w:p>
  </w:footnote>
  <w:footnote w:id="11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I. Kershaw, </w:t>
      </w:r>
      <w:r w:rsidRPr="002B0DBD">
        <w:rPr>
          <w:i/>
          <w:sz w:val="20"/>
          <w:szCs w:val="20"/>
        </w:rPr>
        <w:t>La fine del Terzo Reich, Germania 1944-1945</w:t>
      </w:r>
      <w:r w:rsidRPr="002B0DBD">
        <w:rPr>
          <w:sz w:val="20"/>
          <w:szCs w:val="20"/>
        </w:rPr>
        <w:t xml:space="preserve">, Milano, Bompiani 2013  </w:t>
      </w:r>
    </w:p>
  </w:footnote>
  <w:footnote w:id="11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Ermacora, S. Tiepolato, cit., p. 55  </w:t>
      </w:r>
    </w:p>
  </w:footnote>
  <w:footnote w:id="116">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Arendt, </w:t>
      </w:r>
      <w:r w:rsidRPr="002B0DBD">
        <w:rPr>
          <w:i/>
          <w:sz w:val="20"/>
          <w:szCs w:val="20"/>
        </w:rPr>
        <w:t>Le origini del totalitarismo</w:t>
      </w:r>
      <w:r w:rsidRPr="002B0DBD">
        <w:rPr>
          <w:sz w:val="20"/>
          <w:szCs w:val="20"/>
        </w:rPr>
        <w:t xml:space="preserve">, Einaudi, Milano 2004, p. 470-471  </w:t>
      </w:r>
    </w:p>
  </w:footnote>
  <w:footnote w:id="117">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H. Arendt, Ibidem, p. 474 </w:t>
      </w:r>
    </w:p>
  </w:footnote>
  <w:footnote w:id="118">
    <w:p w:rsidR="00593A53" w:rsidRPr="002B0DBD" w:rsidRDefault="00593A53" w:rsidP="003D3728">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Ibidem, p. 240 </w:t>
      </w:r>
    </w:p>
  </w:footnote>
  <w:footnote w:id="119">
    <w:p w:rsidR="00593A53" w:rsidRPr="002B0DBD" w:rsidRDefault="00593A53" w:rsidP="003D3728">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„Notiz für Fräulein Pape, Presse – und Propagandaamt, Ihrem Wunsche entsprechend wurde von mir Material über die Jugenderziehung in Rußland und England angefordert. Das Material über die Sowjetunion erhalte ich in wenige Tagen. Das Englandreferat des Propagandaministeriums teilt mit, daß geeignetes Material zur Einsichtnahme in der Abteilung Ausland, Friedrichstr. 194, Zimmer 236, bei Herrn H. zur Verfugung steht. Ich bitte, sich unter Bezugnahme auf mein Schreiben nach dort an Herrn Handwerck zu wenden“ BA – Berlin Lichterfelde, R 55/619 p. 148 </w:t>
      </w:r>
    </w:p>
  </w:footnote>
  <w:footnote w:id="120">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w:t>
      </w:r>
      <w:r w:rsidRPr="002B0DBD">
        <w:rPr>
          <w:sz w:val="20"/>
          <w:szCs w:val="20"/>
          <w:lang w:val="de-DE"/>
        </w:rPr>
        <w:t>Tötet, tötet! Es gibt nichts, was an den Deutschen unschuldig ist, die Lebenden nicht und die Ungeborenen nicht! Folgt der Weisung des Genossen Stalin und zerstampft für immer das faschistische Tier in seiner Höhle. Brecht mit Gewalt den Rassehochmut der germanischen Frauen. Nehmt sie als rechtmäßige Beute. Tötet, ihr tapferen, vorwärtsstürmenden Rotarmisten</w:t>
      </w:r>
      <w:r w:rsidRPr="002B0DBD">
        <w:rPr>
          <w:i/>
          <w:sz w:val="20"/>
          <w:szCs w:val="20"/>
          <w:lang w:val="de-DE"/>
        </w:rPr>
        <w:t>“</w:t>
      </w:r>
      <w:r w:rsidRPr="002B0DBD">
        <w:rPr>
          <w:sz w:val="20"/>
          <w:szCs w:val="20"/>
          <w:lang w:val="de-DE"/>
        </w:rPr>
        <w:t xml:space="preserve">, in „Der Spiegel“, n. 63/1962, </w:t>
      </w:r>
      <w:r w:rsidRPr="002B0DBD">
        <w:rPr>
          <w:i/>
          <w:sz w:val="20"/>
          <w:szCs w:val="20"/>
          <w:lang w:val="de-DE"/>
        </w:rPr>
        <w:t xml:space="preserve">Tötet, tötet, tötet </w:t>
      </w:r>
      <w:r w:rsidRPr="002B0DBD">
        <w:rPr>
          <w:sz w:val="20"/>
          <w:szCs w:val="20"/>
          <w:lang w:val="de-DE"/>
        </w:rPr>
        <w:t xml:space="preserve"> </w:t>
      </w:r>
    </w:p>
  </w:footnote>
  <w:footnote w:id="121">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rFonts w:eastAsia="Calibri"/>
          <w:sz w:val="20"/>
          <w:szCs w:val="20"/>
          <w:lang w:val="de-DE"/>
        </w:rPr>
        <w:t>„</w:t>
      </w:r>
      <w:r w:rsidRPr="002B0DBD">
        <w:rPr>
          <w:i/>
          <w:sz w:val="20"/>
          <w:szCs w:val="20"/>
          <w:lang w:val="de-DE"/>
        </w:rPr>
        <w:t xml:space="preserve">Tendenz: Gesteigerte Sehnsucht nach Frau und Kind soll den Sowjetsoldaten veranlassen, dem Schlagwort „Organisiert den Marsch nach Hause zu folgen“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 xml:space="preserve">Vorderseite: Skizze mit Inschrift: „Vati, wann kommst du endlich nach Hause. Wir warten auf dich!“ </w:t>
      </w:r>
    </w:p>
    <w:p w:rsidR="00593A53" w:rsidRPr="002B0DBD" w:rsidRDefault="00593A53" w:rsidP="008B5661">
      <w:pPr>
        <w:spacing w:after="0" w:line="240" w:lineRule="auto"/>
        <w:ind w:left="567" w:right="714" w:firstLine="0"/>
        <w:jc w:val="left"/>
        <w:rPr>
          <w:sz w:val="20"/>
          <w:szCs w:val="20"/>
          <w:lang w:val="de-DE"/>
        </w:rPr>
      </w:pPr>
      <w:r w:rsidRPr="002B0DBD">
        <w:rPr>
          <w:i/>
          <w:sz w:val="20"/>
          <w:szCs w:val="20"/>
          <w:lang w:val="de-DE"/>
        </w:rPr>
        <w:t xml:space="preserve">Rückseite: „Wann kommst du endlich nach Hause?“ </w:t>
      </w:r>
    </w:p>
    <w:p w:rsidR="00593A53" w:rsidRPr="002B0DBD" w:rsidRDefault="00593A53" w:rsidP="003D3728">
      <w:pPr>
        <w:spacing w:after="120" w:line="240" w:lineRule="auto"/>
        <w:ind w:left="566" w:right="713" w:firstLine="0"/>
        <w:rPr>
          <w:lang w:val="de-DE"/>
        </w:rPr>
      </w:pPr>
      <w:r w:rsidRPr="002B0DBD">
        <w:rPr>
          <w:i/>
          <w:sz w:val="20"/>
          <w:szCs w:val="20"/>
          <w:lang w:val="de-DE"/>
        </w:rPr>
        <w:t xml:space="preserve">So fragen Millionen Frauen und Kinder in quälender Ungewißheit, über dein und ihr Schicksal. „Komm schnell nach Hause zu Frau und Kind steht dir offen. Wenn einer nach Hause geht, greift ihn das NKWD ihnen nichts anzuhaben. Organisier den Marsch oder geh zu den Deutschen über!“ </w:t>
      </w:r>
      <w:r w:rsidRPr="002B0DBD">
        <w:rPr>
          <w:sz w:val="20"/>
          <w:szCs w:val="20"/>
          <w:lang w:val="de-DE"/>
        </w:rPr>
        <w:t>Volantino 501/RA/IX.42, BA – Berlino fondo R90 numero di archivio 155</w:t>
      </w:r>
      <w:r w:rsidRPr="002B0DBD">
        <w:rPr>
          <w:i/>
          <w:sz w:val="20"/>
          <w:szCs w:val="20"/>
          <w:lang w:val="de-DE"/>
        </w:rPr>
        <w:t xml:space="preserve">     </w:t>
      </w:r>
    </w:p>
  </w:footnote>
  <w:footnote w:id="122">
    <w:p w:rsidR="00593A53" w:rsidRPr="002B0DBD" w:rsidRDefault="00593A53" w:rsidP="003D3728">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Anruf an die unterdrückten slawischen Völker. Am 10.-11. August fand in Moskau eine slawische Kundgebung statt an der Vertreter der [segue l’elenco dei popoli sottomessi] […] Unsere alten slawischen Lande für immer an sich zu reißen, sie den deutschen Junkerbaronen, dem Adel Italiens und Ungarns auszuliefern, die Slawen für ewig zu Sklaven zu machen – das ist der blutrünstige Plan der Nazifaschismus</w:t>
      </w:r>
      <w:r w:rsidRPr="002B0DBD">
        <w:rPr>
          <w:b/>
          <w:sz w:val="20"/>
          <w:szCs w:val="20"/>
          <w:lang w:val="de-DE"/>
        </w:rPr>
        <w:t xml:space="preserve">“ </w:t>
      </w:r>
      <w:r w:rsidRPr="002B0DBD">
        <w:rPr>
          <w:sz w:val="20"/>
          <w:szCs w:val="20"/>
          <w:lang w:val="de-DE"/>
        </w:rPr>
        <w:t>BA – Berlin NS 6, 475, F. 1</w:t>
      </w:r>
      <w:r w:rsidRPr="002B0DBD">
        <w:rPr>
          <w:b/>
          <w:sz w:val="20"/>
          <w:szCs w:val="20"/>
          <w:lang w:val="de-DE"/>
        </w:rPr>
        <w:t xml:space="preserve"> </w:t>
      </w:r>
      <w:r w:rsidRPr="002B0DBD">
        <w:rPr>
          <w:sz w:val="20"/>
          <w:szCs w:val="20"/>
          <w:lang w:val="de-DE"/>
        </w:rPr>
        <w:t xml:space="preserve">Tutti i testi di propaganda sovietica qui riportati sono conservati in lingua tedesca nel Bundesarchiv di Berlino. </w:t>
      </w:r>
    </w:p>
  </w:footnote>
  <w:footnote w:id="123">
    <w:p w:rsidR="00593A53" w:rsidRPr="002B0DBD" w:rsidRDefault="00593A53" w:rsidP="003D3728">
      <w:pPr>
        <w:spacing w:after="120" w:line="240" w:lineRule="auto"/>
        <w:ind w:left="566" w:right="713" w:firstLine="0"/>
        <w:jc w:val="left"/>
      </w:pPr>
      <w:r w:rsidRPr="002B0DBD">
        <w:rPr>
          <w:rStyle w:val="Rimandonotaapidipagina"/>
          <w:sz w:val="20"/>
          <w:szCs w:val="20"/>
        </w:rPr>
        <w:footnoteRef/>
      </w:r>
      <w:r w:rsidRPr="002B0DBD">
        <w:rPr>
          <w:sz w:val="20"/>
          <w:szCs w:val="20"/>
          <w:lang w:val="de-DE"/>
        </w:rPr>
        <w:t xml:space="preserve"> „ponury cień Stalina pada rowniez na Ciebie. zatem wybieraj zywotne haslo, ktore brzmi "do domu!" [...] do pierwszego napotkanego posterunku niemieckiego odezwij sie haslem twej wolnosci „Do domu!” </w:t>
      </w:r>
      <w:r w:rsidRPr="002B0DBD">
        <w:rPr>
          <w:sz w:val="20"/>
          <w:szCs w:val="20"/>
        </w:rPr>
        <w:t xml:space="preserve">” BA – Berlino NS 19, 2450 F1 </w:t>
      </w:r>
    </w:p>
  </w:footnote>
  <w:footnote w:id="124">
    <w:p w:rsidR="00593A53" w:rsidRPr="002B0DBD" w:rsidRDefault="00593A53" w:rsidP="003D3728">
      <w:pPr>
        <w:spacing w:after="120" w:line="240" w:lineRule="auto"/>
        <w:ind w:left="566" w:right="713" w:firstLine="0"/>
        <w:jc w:val="left"/>
      </w:pPr>
      <w:r w:rsidRPr="002B0DBD">
        <w:rPr>
          <w:rStyle w:val="Rimandonotaapidipagina"/>
          <w:sz w:val="20"/>
          <w:szCs w:val="20"/>
        </w:rPr>
        <w:footnoteRef/>
      </w:r>
      <w:r w:rsidRPr="002B0DBD">
        <w:rPr>
          <w:sz w:val="20"/>
          <w:szCs w:val="20"/>
        </w:rPr>
        <w:t xml:space="preserve">ACS – Roma, CPC b. 33 f. 51518 </w:t>
      </w:r>
    </w:p>
  </w:footnote>
  <w:footnote w:id="12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ACS – Roma CPC b. 80 f. 109535  </w:t>
      </w:r>
    </w:p>
  </w:footnote>
  <w:footnote w:id="126">
    <w:p w:rsidR="00593A53" w:rsidRPr="002B0DBD" w:rsidRDefault="00593A53" w:rsidP="00791545">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a) zachowanie sie mniejszosci niemieckiej w czasie dzialan wojennych i okupacji   b) polityka okupacyjna III Rzeszy, in A. Brozek, J. Kokot, </w:t>
      </w:r>
      <w:r w:rsidRPr="002B0DBD">
        <w:rPr>
          <w:i/>
          <w:sz w:val="20"/>
          <w:szCs w:val="20"/>
        </w:rPr>
        <w:t>Integracja przesiedleńców w Niemczech po II wojnie światowej</w:t>
      </w:r>
      <w:r w:rsidRPr="002B0DBD">
        <w:rPr>
          <w:sz w:val="20"/>
          <w:szCs w:val="20"/>
        </w:rPr>
        <w:t xml:space="preserve">, Ossolinum, Wroclaw 1966, p. 26 </w:t>
      </w:r>
    </w:p>
  </w:footnote>
  <w:footnote w:id="127">
    <w:p w:rsidR="00593A53" w:rsidRPr="002B0DBD" w:rsidRDefault="00593A53" w:rsidP="008B5661">
      <w:pPr>
        <w:pStyle w:val="footnotedescription"/>
        <w:spacing w:line="240" w:lineRule="auto"/>
        <w:ind w:left="567" w:right="714"/>
        <w:rPr>
          <w:sz w:val="20"/>
          <w:szCs w:val="20"/>
          <w:lang w:val="de-DE"/>
        </w:rPr>
      </w:pPr>
      <w:r w:rsidRPr="002B0DBD">
        <w:rPr>
          <w:rStyle w:val="footnotemark"/>
          <w:sz w:val="20"/>
          <w:szCs w:val="20"/>
        </w:rPr>
        <w:footnoteRef/>
      </w:r>
      <w:r w:rsidRPr="002B0DBD">
        <w:rPr>
          <w:sz w:val="20"/>
          <w:szCs w:val="20"/>
          <w:lang w:val="de-DE"/>
        </w:rPr>
        <w:t xml:space="preserve"> Brot und Kartoffeln brauchen sie für den Krieg gegen unsere Väter, Männer und Bruder und  Söhne. </w:t>
      </w:r>
    </w:p>
    <w:p w:rsidR="00593A53" w:rsidRPr="002B0DBD" w:rsidRDefault="00593A53" w:rsidP="00791545">
      <w:pPr>
        <w:pStyle w:val="footnotedescription"/>
        <w:spacing w:after="120" w:line="240" w:lineRule="auto"/>
        <w:ind w:left="566" w:right="713"/>
        <w:rPr>
          <w:sz w:val="20"/>
          <w:szCs w:val="20"/>
          <w:lang w:val="de-DE"/>
        </w:rPr>
      </w:pPr>
      <w:r w:rsidRPr="002B0DBD">
        <w:rPr>
          <w:sz w:val="20"/>
          <w:szCs w:val="20"/>
          <w:lang w:val="de-DE"/>
        </w:rPr>
        <w:t xml:space="preserve">[…]  Wenn das Sowjetregime da ist, ist auch Brot da. BA – Berlino, NS 6  475 F. 1  </w:t>
      </w:r>
    </w:p>
  </w:footnote>
  <w:footnote w:id="128">
    <w:p w:rsidR="00593A53" w:rsidRPr="002B0DBD" w:rsidRDefault="00593A53" w:rsidP="008B5661">
      <w:pPr>
        <w:pStyle w:val="footnotedescription"/>
        <w:spacing w:line="240" w:lineRule="auto"/>
        <w:ind w:left="567" w:right="714"/>
        <w:rPr>
          <w:sz w:val="20"/>
          <w:szCs w:val="20"/>
          <w:lang w:val="de-DE"/>
        </w:rPr>
      </w:pPr>
      <w:r w:rsidRPr="002B0DBD">
        <w:rPr>
          <w:rStyle w:val="footnotemark"/>
          <w:sz w:val="20"/>
          <w:szCs w:val="20"/>
        </w:rPr>
        <w:footnoteRef/>
      </w:r>
      <w:r w:rsidRPr="002B0DBD">
        <w:rPr>
          <w:sz w:val="20"/>
          <w:szCs w:val="20"/>
          <w:lang w:val="de-DE"/>
        </w:rPr>
        <w:t xml:space="preserve"> Brüder und Schwester! Die Faschistischen Banden des Menschenfressers Hitler haben einen Teil unteres heimatlichen Bodens besetzt. […]. Die deutschen faschistischen wollen uns unterjochen, uns zu </w:t>
      </w:r>
    </w:p>
    <w:p w:rsidR="00593A53" w:rsidRPr="002B0DBD" w:rsidRDefault="00593A53" w:rsidP="003D3728">
      <w:pPr>
        <w:pStyle w:val="footnotedescription"/>
        <w:spacing w:after="120" w:line="240" w:lineRule="auto"/>
        <w:ind w:left="566" w:right="713"/>
        <w:jc w:val="both"/>
        <w:rPr>
          <w:sz w:val="20"/>
          <w:szCs w:val="20"/>
          <w:lang w:val="de-DE"/>
        </w:rPr>
      </w:pPr>
      <w:r w:rsidRPr="002B0DBD">
        <w:rPr>
          <w:sz w:val="20"/>
          <w:szCs w:val="20"/>
          <w:lang w:val="de-DE"/>
        </w:rPr>
        <w:t xml:space="preserve">Sklaven der deutschen Fürsten und Barone machen. […]. Die Rote Armee kommt uns zu Hilfe. Sie bringt uns Befreiung.“, BA – Berlino, NS 6  475 F. 1    </w:t>
      </w:r>
    </w:p>
  </w:footnote>
  <w:footnote w:id="129">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Niedersen U., </w:t>
      </w:r>
      <w:r w:rsidRPr="002B0DBD">
        <w:rPr>
          <w:i/>
          <w:sz w:val="20"/>
          <w:szCs w:val="20"/>
          <w:lang w:val="de-DE"/>
        </w:rPr>
        <w:t>Soldaten an der Elbe</w:t>
      </w:r>
      <w:r w:rsidRPr="002B0DBD">
        <w:rPr>
          <w:sz w:val="20"/>
          <w:szCs w:val="20"/>
          <w:lang w:val="de-DE"/>
        </w:rPr>
        <w:t xml:space="preserve">, LSB, Dresda 2009, p.24 </w:t>
      </w:r>
    </w:p>
  </w:footnote>
  <w:footnote w:id="130">
    <w:p w:rsidR="00593A53" w:rsidRPr="002B0DBD" w:rsidRDefault="00593A53" w:rsidP="008B5661">
      <w:pPr>
        <w:spacing w:after="0" w:line="240" w:lineRule="auto"/>
        <w:ind w:left="567" w:right="714" w:firstLine="0"/>
        <w:jc w:val="left"/>
        <w:rPr>
          <w:sz w:val="20"/>
          <w:szCs w:val="20"/>
          <w:lang w:val="de-DE"/>
        </w:rPr>
      </w:pPr>
      <w:r w:rsidRPr="002B0DBD">
        <w:rPr>
          <w:rStyle w:val="Rimandonotaapidipagina"/>
          <w:sz w:val="20"/>
          <w:szCs w:val="20"/>
        </w:rPr>
        <w:footnoteRef/>
      </w:r>
      <w:r w:rsidRPr="002B0DBD">
        <w:rPr>
          <w:i/>
          <w:sz w:val="20"/>
          <w:szCs w:val="20"/>
          <w:lang w:val="de-DE"/>
        </w:rPr>
        <w:t xml:space="preserve">„Komm zu uns! Deutscher Kamerad! Man fütterte Dich mit hohlen Redensarten wie „deutscher </w:t>
      </w:r>
    </w:p>
    <w:p w:rsidR="00593A53" w:rsidRPr="002B0DBD" w:rsidRDefault="00593A53" w:rsidP="003D3728">
      <w:pPr>
        <w:spacing w:after="120" w:line="240" w:lineRule="auto"/>
        <w:ind w:left="566" w:right="713" w:firstLine="0"/>
        <w:rPr>
          <w:lang w:val="de-DE"/>
        </w:rPr>
      </w:pPr>
      <w:r w:rsidRPr="002B0DBD">
        <w:rPr>
          <w:i/>
          <w:sz w:val="20"/>
          <w:szCs w:val="20"/>
          <w:lang w:val="de-DE"/>
        </w:rPr>
        <w:t xml:space="preserve">Lebensraum“, „Wir sind die Herrenrasse“, „blindes Vortrauen“ und ähnliche Phrasen. […]. </w:t>
      </w:r>
      <w:r w:rsidRPr="002B0DBD">
        <w:rPr>
          <w:i/>
          <w:sz w:val="20"/>
          <w:szCs w:val="20"/>
          <w:u w:val="single" w:color="000000"/>
          <w:lang w:val="de-DE"/>
        </w:rPr>
        <w:t>Was hast</w:t>
      </w:r>
      <w:r w:rsidRPr="002B0DBD">
        <w:rPr>
          <w:i/>
          <w:sz w:val="20"/>
          <w:szCs w:val="20"/>
          <w:lang w:val="de-DE"/>
        </w:rPr>
        <w:t xml:space="preserve"> </w:t>
      </w:r>
      <w:r w:rsidRPr="002B0DBD">
        <w:rPr>
          <w:i/>
          <w:sz w:val="20"/>
          <w:szCs w:val="20"/>
          <w:u w:val="single" w:color="000000"/>
          <w:lang w:val="de-DE"/>
        </w:rPr>
        <w:t>du von all diesen Phrasen anderes zu erwarten als den Tod?</w:t>
      </w:r>
      <w:r w:rsidRPr="002B0DBD">
        <w:rPr>
          <w:i/>
          <w:sz w:val="20"/>
          <w:szCs w:val="20"/>
          <w:lang w:val="de-DE"/>
        </w:rPr>
        <w:t xml:space="preserve"> Wofür willst du Dein Leben verlieren in Krieg  gegen den russische Volk, das Dir freundlischaftlich genannt, das nie die Absicht hatte Deutschland zu überfallen? […].  Deine Heimat und Deine Familie brauchen dich lebend und nicht tot! Willst Du deine Heimat wiedersehen, so rette Dein Leben? Komm zu uns! Du bist nicht der erste! Schon haben Tausende von Euch den Weg nach Rußland gefunden. Sie haben es gut bei uns. Die meisten von Ihnen sind Arbeiter und Bauer wie wir selber. […] Wir garantieren Dir Dein Leben. Wir garantieren Dir , daß du nach Kriegsende wohlbehalten heimatkehrst.“</w:t>
      </w:r>
      <w:r w:rsidRPr="002B0DBD">
        <w:rPr>
          <w:sz w:val="20"/>
          <w:szCs w:val="20"/>
          <w:lang w:val="de-DE"/>
        </w:rPr>
        <w:t xml:space="preserve">   </w:t>
      </w:r>
      <w:r w:rsidRPr="00791545">
        <w:rPr>
          <w:sz w:val="20"/>
          <w:szCs w:val="20"/>
          <w:lang w:val="en-US"/>
        </w:rPr>
        <w:t xml:space="preserve">BA – Berlino, NS 6 475 F 1  </w:t>
      </w:r>
      <w:r w:rsidRPr="002B0DBD">
        <w:rPr>
          <w:lang w:val="de-DE"/>
        </w:rPr>
        <w:t xml:space="preserve"> </w:t>
      </w:r>
    </w:p>
  </w:footnote>
  <w:footnote w:id="131">
    <w:p w:rsidR="00593A53" w:rsidRPr="00791545" w:rsidRDefault="00593A53" w:rsidP="00791545">
      <w:pPr>
        <w:pStyle w:val="footnotedescription"/>
        <w:spacing w:after="120" w:line="240" w:lineRule="auto"/>
        <w:ind w:left="566" w:right="713"/>
        <w:rPr>
          <w:sz w:val="20"/>
          <w:szCs w:val="20"/>
          <w:lang w:val="en-US"/>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Dem deutschen Volke muß erklärt werden, warum der Weg der Imperialistischen Eroberung, der Versklavung anderer Volker, der Herrschaft der Herrenrasse der Nazibonzen und Rüstungsplutokraten zur Katastrophe Deutschlands führen mußte. Die geschichtliche Entscheidung ist gefallen. Nur auf dem Wege der endgültigen Vernichtung der Hitlerherrschaft, nur im Kampfe um ein demokratisches Deutschland und für die Freundschaft  mit den anderen Völkern kann Deutschland gerettet werden.“ </w:t>
      </w:r>
      <w:r w:rsidRPr="002B0DBD">
        <w:rPr>
          <w:sz w:val="20"/>
          <w:szCs w:val="20"/>
          <w:lang w:val="de-DE"/>
        </w:rPr>
        <w:t xml:space="preserve"> </w:t>
      </w:r>
      <w:r w:rsidRPr="00791545">
        <w:rPr>
          <w:sz w:val="20"/>
          <w:szCs w:val="20"/>
          <w:lang w:val="en-US"/>
        </w:rPr>
        <w:t xml:space="preserve">BA – Berlino, NY 4036 A. N. 544     </w:t>
      </w:r>
      <w:r w:rsidRPr="00791545">
        <w:rPr>
          <w:rFonts w:eastAsia="Calibri"/>
          <w:sz w:val="20"/>
          <w:szCs w:val="20"/>
          <w:lang w:val="en-US"/>
        </w:rPr>
        <w:t xml:space="preserve"> </w:t>
      </w:r>
    </w:p>
  </w:footnote>
  <w:footnote w:id="132">
    <w:p w:rsidR="00593A53" w:rsidRPr="003D3728" w:rsidRDefault="00593A53" w:rsidP="008B5661">
      <w:pPr>
        <w:pStyle w:val="Titolo4"/>
        <w:tabs>
          <w:tab w:val="left" w:pos="993"/>
          <w:tab w:val="left" w:pos="1418"/>
        </w:tabs>
        <w:spacing w:after="0" w:line="240" w:lineRule="auto"/>
        <w:ind w:left="1418" w:right="714" w:hanging="851"/>
        <w:rPr>
          <w:sz w:val="20"/>
          <w:szCs w:val="20"/>
          <w:u w:val="none"/>
          <w:lang w:val="de-DE"/>
        </w:rPr>
      </w:pPr>
      <w:r w:rsidRPr="002B0DBD">
        <w:rPr>
          <w:rStyle w:val="Rimandonotaapidipagina"/>
          <w:sz w:val="20"/>
          <w:szCs w:val="20"/>
        </w:rPr>
        <w:footnoteRef/>
      </w:r>
      <w:r w:rsidRPr="002B0DBD">
        <w:rPr>
          <w:sz w:val="20"/>
          <w:szCs w:val="20"/>
          <w:lang w:val="de-DE"/>
        </w:rPr>
        <w:t xml:space="preserve"> </w:t>
      </w:r>
      <w:r w:rsidRPr="002B0DBD">
        <w:rPr>
          <w:rFonts w:eastAsia="Calibri"/>
          <w:sz w:val="20"/>
          <w:szCs w:val="20"/>
          <w:u w:val="none"/>
          <w:lang w:val="de-DE"/>
        </w:rPr>
        <w:t xml:space="preserve"> </w:t>
      </w:r>
      <w:r>
        <w:rPr>
          <w:rFonts w:eastAsia="Calibri"/>
          <w:sz w:val="20"/>
          <w:szCs w:val="20"/>
          <w:u w:val="none"/>
          <w:lang w:val="de-DE"/>
        </w:rPr>
        <w:tab/>
      </w:r>
      <w:r w:rsidRPr="002B0DBD">
        <w:rPr>
          <w:sz w:val="20"/>
          <w:szCs w:val="20"/>
          <w:u w:val="none"/>
          <w:lang w:val="de-DE"/>
        </w:rPr>
        <w:t>1</w:t>
      </w:r>
      <w:r w:rsidRPr="003D3728">
        <w:rPr>
          <w:sz w:val="20"/>
          <w:szCs w:val="20"/>
          <w:u w:val="none"/>
          <w:lang w:val="de-DE"/>
        </w:rPr>
        <w:t xml:space="preserve">. </w:t>
      </w:r>
      <w:r w:rsidRPr="003D3728">
        <w:rPr>
          <w:sz w:val="20"/>
          <w:szCs w:val="20"/>
          <w:u w:val="none"/>
          <w:lang w:val="de-DE"/>
        </w:rPr>
        <w:tab/>
      </w:r>
      <w:r w:rsidRPr="002B0DBD">
        <w:rPr>
          <w:sz w:val="20"/>
          <w:szCs w:val="20"/>
          <w:lang w:val="de-DE"/>
        </w:rPr>
        <w:t>Die Weiterführung des militärischen Kampfes ist ein Verbrechen gegen die eigene</w:t>
      </w:r>
      <w:r w:rsidRPr="002B0DBD">
        <w:rPr>
          <w:sz w:val="20"/>
          <w:szCs w:val="20"/>
          <w:u w:val="none"/>
          <w:lang w:val="de-DE"/>
        </w:rPr>
        <w:t xml:space="preserve"> </w:t>
      </w:r>
      <w:r w:rsidRPr="002B0DBD">
        <w:rPr>
          <w:sz w:val="20"/>
          <w:szCs w:val="20"/>
          <w:lang w:val="de-DE"/>
        </w:rPr>
        <w:t>Nation</w:t>
      </w:r>
      <w:r w:rsidRPr="002B0DBD">
        <w:rPr>
          <w:sz w:val="20"/>
          <w:szCs w:val="20"/>
          <w:u w:val="none"/>
          <w:lang w:val="de-DE"/>
        </w:rPr>
        <w:t xml:space="preserve"> </w:t>
      </w:r>
      <w:r>
        <w:rPr>
          <w:sz w:val="20"/>
          <w:szCs w:val="20"/>
          <w:u w:val="none"/>
          <w:lang w:val="de-DE"/>
        </w:rPr>
        <w:t xml:space="preserve"> </w:t>
      </w:r>
      <w:r w:rsidRPr="003D3728">
        <w:rPr>
          <w:sz w:val="20"/>
          <w:szCs w:val="20"/>
          <w:u w:val="none"/>
          <w:lang w:val="de-DE"/>
        </w:rPr>
        <w:t xml:space="preserve">Kein Opfer kann an der Wiederlage der deutschen Armee und an der Vernichtung des Hitlersysteme etwas andern. Die militärische, ökonomische und politische Überlegenheit der Sowjetunion über Hitlerdeutschland wird von Monat zu Monat stärker. Dazu kommt der größere militärische Einsatz der Verbündeten im Westen. </w:t>
      </w:r>
    </w:p>
    <w:p w:rsidR="00593A53" w:rsidRPr="002B0DBD" w:rsidRDefault="00593A53" w:rsidP="008B5661">
      <w:pPr>
        <w:keepNext/>
        <w:keepLines/>
        <w:tabs>
          <w:tab w:val="left" w:pos="993"/>
          <w:tab w:val="left" w:pos="1418"/>
        </w:tabs>
        <w:spacing w:after="0" w:line="240" w:lineRule="auto"/>
        <w:ind w:left="1418" w:right="714" w:hanging="851"/>
        <w:jc w:val="left"/>
        <w:outlineLvl w:val="3"/>
        <w:rPr>
          <w:sz w:val="20"/>
          <w:szCs w:val="20"/>
          <w:lang w:val="de-DE"/>
        </w:rPr>
      </w:pPr>
      <w:r>
        <w:rPr>
          <w:sz w:val="20"/>
          <w:szCs w:val="20"/>
          <w:lang w:val="de-DE"/>
        </w:rPr>
        <w:tab/>
      </w:r>
      <w:r>
        <w:rPr>
          <w:sz w:val="20"/>
          <w:szCs w:val="20"/>
          <w:lang w:val="de-DE"/>
        </w:rPr>
        <w:tab/>
      </w:r>
      <w:r w:rsidRPr="002B0DBD">
        <w:rPr>
          <w:sz w:val="20"/>
          <w:szCs w:val="20"/>
          <w:lang w:val="de-DE"/>
        </w:rPr>
        <w:t xml:space="preserve">Die Kämpfe der letzten Woche haben bewiessen [bewussten?], daß die Sowjetunion in der gleichen Zeit eine mehrfach stärkere Tank und Luftwaffe schaffen konnte als Deutschland. Während die Rote Armee ihre Sommeroffensive nacheinander en verschiedenen Frontabschnitten führte, erfolgte jetzt im Winter die Generaloffensive an der ganzen Front von Budapest bis Mamel. […]. </w:t>
      </w:r>
    </w:p>
    <w:p w:rsidR="00593A53" w:rsidRPr="002B0DBD" w:rsidRDefault="00593A53" w:rsidP="003D3728">
      <w:pPr>
        <w:tabs>
          <w:tab w:val="left" w:pos="993"/>
          <w:tab w:val="left" w:pos="1418"/>
        </w:tabs>
        <w:spacing w:after="120" w:line="240" w:lineRule="auto"/>
        <w:ind w:left="1418" w:right="713" w:hanging="851"/>
        <w:rPr>
          <w:sz w:val="20"/>
          <w:szCs w:val="20"/>
          <w:lang w:val="de-DE"/>
        </w:rPr>
      </w:pPr>
      <w:r>
        <w:rPr>
          <w:sz w:val="20"/>
          <w:szCs w:val="20"/>
          <w:lang w:val="de-DE"/>
        </w:rPr>
        <w:tab/>
      </w:r>
      <w:r>
        <w:rPr>
          <w:sz w:val="20"/>
          <w:szCs w:val="20"/>
          <w:lang w:val="de-DE"/>
        </w:rPr>
        <w:tab/>
      </w:r>
      <w:r w:rsidRPr="002B0DBD">
        <w:rPr>
          <w:sz w:val="20"/>
          <w:szCs w:val="20"/>
          <w:lang w:val="de-DE"/>
        </w:rPr>
        <w:t xml:space="preserve">Das größte verbrechen der Naziführer gegen das deutsche Volk besteht darin, daß sie den verlorenen Krieg in den deutschen Städten und Dörfern weiterführen. […].Während die Nazipartei vor 1933 der große Betrug gelungen war, vielen Deutschen glauben zu machen, Hitler wolle Deutschland aus der Kriege herausführen, ist jetzt offen sichtbar, daß die Hitlerregierung Deutschland in die Krise und Katastrophe geführt hat, den deutschen Namen mit Schade bedeckt, die Heimat zerstört und auch die Zukunft der Nation aufs Spiel setzt. </w:t>
      </w:r>
    </w:p>
    <w:p w:rsidR="00593A53" w:rsidRPr="002B0DBD" w:rsidRDefault="00593A53" w:rsidP="003D3728">
      <w:pPr>
        <w:numPr>
          <w:ilvl w:val="0"/>
          <w:numId w:val="22"/>
        </w:numPr>
        <w:tabs>
          <w:tab w:val="left" w:pos="993"/>
          <w:tab w:val="left" w:pos="1418"/>
        </w:tabs>
        <w:spacing w:after="120" w:line="240" w:lineRule="auto"/>
        <w:ind w:left="1418" w:right="713" w:hanging="425"/>
        <w:jc w:val="left"/>
        <w:rPr>
          <w:sz w:val="20"/>
          <w:szCs w:val="20"/>
          <w:lang w:val="de-DE"/>
        </w:rPr>
      </w:pPr>
      <w:r w:rsidRPr="002B0DBD">
        <w:rPr>
          <w:sz w:val="20"/>
          <w:szCs w:val="20"/>
          <w:u w:val="single" w:color="000000"/>
          <w:lang w:val="de-DE"/>
        </w:rPr>
        <w:t>Der Kampf der Rote Armee hilft Deutschland von der Hitlerbande befreien</w:t>
      </w:r>
      <w:r w:rsidRPr="002B0DBD">
        <w:rPr>
          <w:sz w:val="20"/>
          <w:szCs w:val="20"/>
          <w:lang w:val="de-DE"/>
        </w:rPr>
        <w:t xml:space="preserve">Hitler und niemand anders hat durch seine Politik des Rassenhasses und der Versklavung und Ausraubung anderer Völker Deutschland isoliert und in die Sackgasse geführt. </w:t>
      </w:r>
    </w:p>
    <w:p w:rsidR="00593A53" w:rsidRPr="002B0DBD" w:rsidRDefault="00593A53" w:rsidP="008B5661">
      <w:pPr>
        <w:numPr>
          <w:ilvl w:val="0"/>
          <w:numId w:val="22"/>
        </w:numPr>
        <w:tabs>
          <w:tab w:val="left" w:pos="993"/>
          <w:tab w:val="left" w:pos="1418"/>
        </w:tabs>
        <w:spacing w:after="0" w:line="240" w:lineRule="auto"/>
        <w:ind w:left="1417" w:right="714" w:hanging="425"/>
        <w:jc w:val="left"/>
        <w:rPr>
          <w:sz w:val="20"/>
          <w:szCs w:val="20"/>
          <w:lang w:val="de-DE"/>
        </w:rPr>
      </w:pPr>
      <w:r w:rsidRPr="002B0DBD">
        <w:rPr>
          <w:sz w:val="20"/>
          <w:szCs w:val="20"/>
          <w:u w:val="single" w:color="000000"/>
          <w:lang w:val="de-DE"/>
        </w:rPr>
        <w:t>Schaffung der Kampfeinheit aller Hitlergegner zur Richtung der Nation</w:t>
      </w:r>
      <w:r w:rsidRPr="002B0DBD">
        <w:rPr>
          <w:sz w:val="20"/>
          <w:szCs w:val="20"/>
          <w:lang w:val="de-DE"/>
        </w:rPr>
        <w:t xml:space="preserve">. </w:t>
      </w:r>
    </w:p>
    <w:p w:rsidR="00593A53" w:rsidRPr="002B0DBD" w:rsidRDefault="00593A53" w:rsidP="003D3728">
      <w:pPr>
        <w:tabs>
          <w:tab w:val="left" w:pos="993"/>
          <w:tab w:val="left" w:pos="1418"/>
        </w:tabs>
        <w:spacing w:after="120" w:line="240" w:lineRule="auto"/>
        <w:ind w:left="1418" w:right="713" w:hanging="851"/>
        <w:rPr>
          <w:sz w:val="20"/>
          <w:szCs w:val="20"/>
          <w:lang w:val="de-DE"/>
        </w:rPr>
      </w:pPr>
      <w:r>
        <w:rPr>
          <w:sz w:val="20"/>
          <w:szCs w:val="20"/>
          <w:lang w:val="de-DE"/>
        </w:rPr>
        <w:tab/>
      </w:r>
      <w:r>
        <w:rPr>
          <w:sz w:val="20"/>
          <w:szCs w:val="20"/>
          <w:lang w:val="de-DE"/>
        </w:rPr>
        <w:tab/>
      </w:r>
      <w:r w:rsidRPr="002B0DBD">
        <w:rPr>
          <w:sz w:val="20"/>
          <w:szCs w:val="20"/>
          <w:lang w:val="de-DE"/>
        </w:rPr>
        <w:t xml:space="preserve">Die Bewegung „Freies Deutschland“ muß zur Kampfbewegung aller antifaschistischen demokratischen Kräfte in Deutschland werden, die in den Truppenteilen, Betrieben und Städten ihre Basis hat, und die später zu einer breiten demokratischen Organisation entwickeln wird. </w:t>
      </w:r>
    </w:p>
    <w:p w:rsidR="00593A53" w:rsidRPr="002B0DBD" w:rsidRDefault="00593A53" w:rsidP="008B5661">
      <w:pPr>
        <w:pStyle w:val="Titolo4"/>
        <w:keepNext w:val="0"/>
        <w:keepLines w:val="0"/>
        <w:tabs>
          <w:tab w:val="left" w:pos="993"/>
          <w:tab w:val="left" w:pos="1418"/>
        </w:tabs>
        <w:spacing w:after="0" w:line="240" w:lineRule="auto"/>
        <w:ind w:left="1417" w:right="714" w:hanging="425"/>
        <w:rPr>
          <w:sz w:val="20"/>
          <w:szCs w:val="20"/>
          <w:lang w:val="de-DE"/>
        </w:rPr>
      </w:pPr>
      <w:r>
        <w:rPr>
          <w:sz w:val="20"/>
          <w:szCs w:val="20"/>
          <w:u w:val="none"/>
          <w:lang w:val="de-DE"/>
        </w:rPr>
        <w:tab/>
      </w:r>
      <w:r w:rsidRPr="002B0DBD">
        <w:rPr>
          <w:sz w:val="20"/>
          <w:szCs w:val="20"/>
          <w:u w:val="none"/>
          <w:lang w:val="de-DE"/>
        </w:rPr>
        <w:t>4.</w:t>
      </w:r>
      <w:r>
        <w:rPr>
          <w:sz w:val="20"/>
          <w:szCs w:val="20"/>
          <w:u w:val="none"/>
          <w:lang w:val="de-DE"/>
        </w:rPr>
        <w:tab/>
      </w:r>
      <w:r w:rsidRPr="002B0DBD">
        <w:rPr>
          <w:rFonts w:eastAsia="Arial"/>
          <w:sz w:val="20"/>
          <w:szCs w:val="20"/>
          <w:u w:val="none"/>
          <w:lang w:val="de-DE"/>
        </w:rPr>
        <w:t xml:space="preserve"> </w:t>
      </w:r>
      <w:r w:rsidRPr="002B0DBD">
        <w:rPr>
          <w:sz w:val="20"/>
          <w:szCs w:val="20"/>
          <w:lang w:val="de-DE"/>
        </w:rPr>
        <w:t>Die Volks Ausschüsse und Kampfgruppe als Organisatoren und der Volksaufstände</w:t>
      </w:r>
      <w:r w:rsidRPr="002B0DBD">
        <w:rPr>
          <w:sz w:val="20"/>
          <w:szCs w:val="20"/>
          <w:u w:val="none"/>
          <w:lang w:val="de-DE"/>
        </w:rPr>
        <w:t xml:space="preserve"> </w:t>
      </w:r>
      <w:r w:rsidRPr="002B0DBD">
        <w:rPr>
          <w:sz w:val="20"/>
          <w:szCs w:val="20"/>
          <w:lang w:val="de-DE"/>
        </w:rPr>
        <w:t>gegen die Naziherrschaft</w:t>
      </w:r>
      <w:r w:rsidRPr="002B0DBD">
        <w:rPr>
          <w:sz w:val="20"/>
          <w:szCs w:val="20"/>
          <w:u w:val="none"/>
          <w:lang w:val="de-DE"/>
        </w:rPr>
        <w:t xml:space="preserve"> </w:t>
      </w:r>
      <w:r w:rsidRPr="002B0DBD">
        <w:rPr>
          <w:sz w:val="20"/>
          <w:szCs w:val="20"/>
          <w:lang w:val="de-DE"/>
        </w:rPr>
        <w:t>[…]</w:t>
      </w:r>
      <w:r w:rsidRPr="002B0DBD">
        <w:rPr>
          <w:sz w:val="20"/>
          <w:szCs w:val="20"/>
          <w:u w:val="none"/>
          <w:lang w:val="de-DE"/>
        </w:rPr>
        <w:t xml:space="preserve">  </w:t>
      </w:r>
    </w:p>
    <w:p w:rsidR="00593A53" w:rsidRPr="002B0DBD" w:rsidRDefault="00593A53" w:rsidP="008B5661">
      <w:pPr>
        <w:tabs>
          <w:tab w:val="left" w:pos="993"/>
          <w:tab w:val="left" w:pos="1418"/>
        </w:tabs>
        <w:spacing w:after="0" w:line="240" w:lineRule="auto"/>
        <w:ind w:left="1417" w:right="714" w:hanging="425"/>
        <w:jc w:val="left"/>
        <w:rPr>
          <w:sz w:val="20"/>
          <w:szCs w:val="20"/>
          <w:lang w:val="de-DE"/>
        </w:rPr>
      </w:pPr>
      <w:r>
        <w:rPr>
          <w:sz w:val="20"/>
          <w:szCs w:val="20"/>
          <w:lang w:val="de-DE"/>
        </w:rPr>
        <w:tab/>
      </w:r>
      <w:r>
        <w:rPr>
          <w:sz w:val="20"/>
          <w:szCs w:val="20"/>
          <w:lang w:val="de-DE"/>
        </w:rPr>
        <w:tab/>
      </w:r>
      <w:r w:rsidRPr="002B0DBD">
        <w:rPr>
          <w:sz w:val="20"/>
          <w:szCs w:val="20"/>
          <w:lang w:val="de-DE"/>
        </w:rPr>
        <w:t xml:space="preserve">Alle Waffen gegen Hitler! […]. </w:t>
      </w:r>
    </w:p>
    <w:p w:rsidR="00593A53" w:rsidRPr="002B0DBD" w:rsidRDefault="00593A53" w:rsidP="008B5661">
      <w:pPr>
        <w:tabs>
          <w:tab w:val="left" w:pos="993"/>
          <w:tab w:val="left" w:pos="1418"/>
        </w:tabs>
        <w:spacing w:after="0" w:line="240" w:lineRule="auto"/>
        <w:ind w:left="1417" w:right="714" w:hanging="425"/>
        <w:jc w:val="left"/>
        <w:rPr>
          <w:sz w:val="20"/>
          <w:szCs w:val="20"/>
          <w:lang w:val="de-DE"/>
        </w:rPr>
      </w:pPr>
      <w:r>
        <w:rPr>
          <w:sz w:val="20"/>
          <w:szCs w:val="20"/>
          <w:lang w:val="de-DE"/>
        </w:rPr>
        <w:tab/>
      </w:r>
      <w:r>
        <w:rPr>
          <w:sz w:val="20"/>
          <w:szCs w:val="20"/>
          <w:lang w:val="de-DE"/>
        </w:rPr>
        <w:tab/>
      </w:r>
      <w:r w:rsidRPr="002B0DBD">
        <w:rPr>
          <w:sz w:val="20"/>
          <w:szCs w:val="20"/>
          <w:lang w:val="de-DE"/>
        </w:rPr>
        <w:t xml:space="preserve">Frauen! Jedes Opfer verlängert nur den Hitlerkrieg. […]. Was ihr heute weggebt, fehlt Euch morgen, wenn es keinen Hitler mehr gibt. </w:t>
      </w:r>
    </w:p>
    <w:p w:rsidR="00593A53" w:rsidRPr="002B0DBD" w:rsidRDefault="00593A53" w:rsidP="003D3728">
      <w:pPr>
        <w:tabs>
          <w:tab w:val="left" w:pos="993"/>
          <w:tab w:val="left" w:pos="1418"/>
        </w:tabs>
        <w:spacing w:after="120" w:line="240" w:lineRule="auto"/>
        <w:ind w:left="1418" w:right="713" w:hanging="851"/>
        <w:rPr>
          <w:sz w:val="20"/>
          <w:szCs w:val="20"/>
          <w:lang w:val="de-DE"/>
        </w:rPr>
      </w:pPr>
      <w:r>
        <w:rPr>
          <w:sz w:val="20"/>
          <w:szCs w:val="20"/>
          <w:lang w:val="de-DE"/>
        </w:rPr>
        <w:tab/>
      </w:r>
      <w:r>
        <w:rPr>
          <w:sz w:val="20"/>
          <w:szCs w:val="20"/>
          <w:lang w:val="de-DE"/>
        </w:rPr>
        <w:tab/>
      </w:r>
      <w:r w:rsidRPr="002B0DBD">
        <w:rPr>
          <w:sz w:val="20"/>
          <w:szCs w:val="20"/>
          <w:lang w:val="de-DE"/>
        </w:rPr>
        <w:t xml:space="preserve">Bauern und Bauerinnen […]. Versteckt soviel Lebensmittel wie ihr nur könnt. Denkt daran! Mit den Nazibonzen ist es bald zu Ende, aber ihr wollt weiterleben.    </w:t>
      </w:r>
    </w:p>
    <w:p w:rsidR="00593A53" w:rsidRPr="002B0DBD" w:rsidRDefault="00593A53" w:rsidP="008B5661">
      <w:pPr>
        <w:pStyle w:val="Titolo4"/>
        <w:keepNext w:val="0"/>
        <w:keepLines w:val="0"/>
        <w:tabs>
          <w:tab w:val="left" w:pos="993"/>
          <w:tab w:val="left" w:pos="1418"/>
        </w:tabs>
        <w:spacing w:after="0" w:line="240" w:lineRule="auto"/>
        <w:ind w:left="1417" w:right="714" w:hanging="425"/>
        <w:rPr>
          <w:sz w:val="20"/>
          <w:szCs w:val="20"/>
          <w:lang w:val="de-DE"/>
        </w:rPr>
      </w:pPr>
      <w:r>
        <w:rPr>
          <w:sz w:val="20"/>
          <w:szCs w:val="20"/>
          <w:u w:val="none"/>
          <w:lang w:val="de-DE"/>
        </w:rPr>
        <w:tab/>
      </w:r>
      <w:r w:rsidRPr="002B0DBD">
        <w:rPr>
          <w:sz w:val="20"/>
          <w:szCs w:val="20"/>
          <w:u w:val="none"/>
          <w:lang w:val="de-DE"/>
        </w:rPr>
        <w:t>5.</w:t>
      </w:r>
      <w:r w:rsidRPr="002B0DBD">
        <w:rPr>
          <w:rFonts w:eastAsia="Arial"/>
          <w:sz w:val="20"/>
          <w:szCs w:val="20"/>
          <w:u w:val="none"/>
          <w:lang w:val="de-DE"/>
        </w:rPr>
        <w:t xml:space="preserve"> </w:t>
      </w:r>
      <w:r>
        <w:rPr>
          <w:rFonts w:eastAsia="Arial"/>
          <w:sz w:val="20"/>
          <w:szCs w:val="20"/>
          <w:u w:val="none"/>
          <w:lang w:val="de-DE"/>
        </w:rPr>
        <w:tab/>
      </w:r>
      <w:r w:rsidRPr="002B0DBD">
        <w:rPr>
          <w:sz w:val="20"/>
          <w:szCs w:val="20"/>
          <w:lang w:val="de-DE"/>
        </w:rPr>
        <w:t>Die Aufgabe der Kampfgruppen in den Städten und der Freischärler in den</w:t>
      </w:r>
      <w:r w:rsidRPr="002B0DBD">
        <w:rPr>
          <w:sz w:val="20"/>
          <w:szCs w:val="20"/>
          <w:u w:val="none"/>
          <w:lang w:val="de-DE"/>
        </w:rPr>
        <w:t xml:space="preserve"> </w:t>
      </w:r>
      <w:r w:rsidRPr="002B0DBD">
        <w:rPr>
          <w:sz w:val="20"/>
          <w:szCs w:val="20"/>
          <w:lang w:val="de-DE"/>
        </w:rPr>
        <w:t>Landgebieten</w:t>
      </w:r>
      <w:r w:rsidRPr="002B0DBD">
        <w:rPr>
          <w:sz w:val="20"/>
          <w:szCs w:val="20"/>
          <w:u w:val="none"/>
          <w:lang w:val="de-DE"/>
        </w:rPr>
        <w:t xml:space="preserve"> </w:t>
      </w:r>
    </w:p>
    <w:p w:rsidR="00593A53" w:rsidRPr="002B0DBD" w:rsidRDefault="00593A53" w:rsidP="008B5661">
      <w:pPr>
        <w:tabs>
          <w:tab w:val="left" w:pos="993"/>
        </w:tabs>
        <w:spacing w:after="0" w:line="240" w:lineRule="auto"/>
        <w:ind w:left="1417" w:right="714" w:hanging="425"/>
        <w:jc w:val="left"/>
        <w:rPr>
          <w:sz w:val="20"/>
          <w:szCs w:val="20"/>
          <w:lang w:val="de-DE"/>
        </w:rPr>
      </w:pPr>
      <w:r>
        <w:rPr>
          <w:sz w:val="20"/>
          <w:szCs w:val="20"/>
          <w:lang w:val="de-DE"/>
        </w:rPr>
        <w:t xml:space="preserve">    </w:t>
      </w:r>
      <w:r>
        <w:rPr>
          <w:sz w:val="20"/>
          <w:szCs w:val="20"/>
          <w:lang w:val="de-DE"/>
        </w:rPr>
        <w:tab/>
      </w:r>
      <w:r w:rsidRPr="002B0DBD">
        <w:rPr>
          <w:sz w:val="20"/>
          <w:szCs w:val="20"/>
          <w:lang w:val="de-DE"/>
        </w:rPr>
        <w:t xml:space="preserve">Die Kampfgruppe und Freischärlegruppe haben politische wie militärische Aufgaben. Durh ihre </w:t>
      </w:r>
    </w:p>
    <w:p w:rsidR="00593A53" w:rsidRPr="002B0DBD" w:rsidRDefault="00593A53" w:rsidP="003D3728">
      <w:pPr>
        <w:tabs>
          <w:tab w:val="left" w:pos="993"/>
          <w:tab w:val="left" w:pos="1418"/>
        </w:tabs>
        <w:spacing w:after="120" w:line="240" w:lineRule="auto"/>
        <w:ind w:left="1418" w:right="713" w:hanging="851"/>
        <w:rPr>
          <w:sz w:val="20"/>
          <w:szCs w:val="20"/>
          <w:lang w:val="de-DE"/>
        </w:rPr>
      </w:pPr>
      <w:r>
        <w:rPr>
          <w:sz w:val="20"/>
          <w:szCs w:val="20"/>
          <w:lang w:val="de-DE"/>
        </w:rPr>
        <w:tab/>
      </w:r>
      <w:r>
        <w:rPr>
          <w:sz w:val="20"/>
          <w:szCs w:val="20"/>
          <w:lang w:val="de-DE"/>
        </w:rPr>
        <w:tab/>
      </w:r>
      <w:r w:rsidRPr="002B0DBD">
        <w:rPr>
          <w:sz w:val="20"/>
          <w:szCs w:val="20"/>
          <w:lang w:val="de-DE"/>
        </w:rPr>
        <w:t xml:space="preserve">Propaganda und Taten mußen sie als die Kämpfer für ein neues freies Deutschland die Sympathie der Bevölkerung gewinnen </w:t>
      </w:r>
    </w:p>
    <w:p w:rsidR="00593A53" w:rsidRPr="002B0DBD" w:rsidRDefault="00593A53" w:rsidP="003D3728">
      <w:pPr>
        <w:pStyle w:val="Titolo4"/>
        <w:tabs>
          <w:tab w:val="left" w:pos="993"/>
          <w:tab w:val="left" w:pos="1418"/>
        </w:tabs>
        <w:spacing w:after="120" w:line="240" w:lineRule="auto"/>
        <w:ind w:left="1418" w:right="713" w:hanging="851"/>
        <w:rPr>
          <w:lang w:val="de-DE"/>
        </w:rPr>
      </w:pPr>
      <w:r>
        <w:rPr>
          <w:sz w:val="20"/>
          <w:szCs w:val="20"/>
          <w:u w:val="none"/>
          <w:lang w:val="de-DE"/>
        </w:rPr>
        <w:tab/>
      </w:r>
      <w:r w:rsidRPr="002B0DBD">
        <w:rPr>
          <w:sz w:val="20"/>
          <w:szCs w:val="20"/>
          <w:u w:val="none"/>
          <w:lang w:val="de-DE"/>
        </w:rPr>
        <w:t>6.</w:t>
      </w:r>
      <w:r w:rsidRPr="002B0DBD">
        <w:rPr>
          <w:rFonts w:eastAsia="Arial"/>
          <w:sz w:val="20"/>
          <w:szCs w:val="20"/>
          <w:u w:val="none"/>
          <w:lang w:val="de-DE"/>
        </w:rPr>
        <w:t xml:space="preserve"> </w:t>
      </w:r>
      <w:r>
        <w:rPr>
          <w:rFonts w:eastAsia="Arial"/>
          <w:sz w:val="20"/>
          <w:szCs w:val="20"/>
          <w:u w:val="none"/>
          <w:lang w:val="de-DE"/>
        </w:rPr>
        <w:tab/>
      </w:r>
      <w:r w:rsidRPr="002B0DBD">
        <w:rPr>
          <w:sz w:val="20"/>
          <w:szCs w:val="20"/>
          <w:lang w:val="de-DE"/>
        </w:rPr>
        <w:t>Die Organisierung von Volksaufstanden Teilaufstanden in Stäten und Gebieten</w:t>
      </w:r>
      <w:r w:rsidRPr="002B0DBD">
        <w:rPr>
          <w:sz w:val="20"/>
          <w:szCs w:val="20"/>
          <w:u w:val="none"/>
          <w:lang w:val="de-DE"/>
        </w:rPr>
        <w:t xml:space="preserve">  </w:t>
      </w:r>
    </w:p>
  </w:footnote>
  <w:footnote w:id="133">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Seite 1.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Schlagziele: „Der neue Betrug. Stalin versucht, die Kirche zu seine Richtung einzuschalten. </w:t>
      </w:r>
    </w:p>
    <w:p w:rsidR="00593A53" w:rsidRPr="002B0DBD" w:rsidRDefault="00593A53" w:rsidP="003D3728">
      <w:pPr>
        <w:numPr>
          <w:ilvl w:val="0"/>
          <w:numId w:val="23"/>
        </w:numPr>
        <w:tabs>
          <w:tab w:val="left" w:pos="1418"/>
        </w:tabs>
        <w:spacing w:after="120" w:line="240" w:lineRule="auto"/>
        <w:ind w:left="1418" w:right="713" w:hanging="284"/>
        <w:rPr>
          <w:sz w:val="20"/>
          <w:szCs w:val="20"/>
          <w:lang w:val="de-DE"/>
        </w:rPr>
      </w:pPr>
      <w:r w:rsidRPr="002B0DBD">
        <w:rPr>
          <w:sz w:val="20"/>
          <w:szCs w:val="20"/>
          <w:lang w:val="de-DE"/>
        </w:rPr>
        <w:t xml:space="preserve">Leitartikel: „Der von Gott Auserwählte…“ Stalin hat als letzten Triumpf die Kirche ausgespielt. Ein Vierteljahrhundert, wurde die Kirche verfolgt“ und Jarowlaskj-Gubelmann durfte seine Gottlosenpropaganda betreiben. Unter den Schlägen der deutschen Wehrmacht ist dieses Kartenhaus zusammengestürzt. Mit Hilfe des NKWD, wird der Kirchenverfolger Stalin nunmehr in den „Gottgesalbten“ verwandelt. Ist dieses nicht ein Zeichen der Hilflosigkeit? Am 9. November hat die Presse die Glückwunsche der Metropoliten Sergius und Nikolaus veröffentlicht, in welchen Stalin als der „von Gott gewählte Führer“ bezeichnet wird. Stalins Ende ist unabwendbar, und auch diese Tarnung wird ihm nicht helfen. </w:t>
      </w:r>
    </w:p>
    <w:p w:rsidR="00593A53" w:rsidRPr="002B0DBD" w:rsidRDefault="00593A53" w:rsidP="003D3728">
      <w:pPr>
        <w:numPr>
          <w:ilvl w:val="0"/>
          <w:numId w:val="23"/>
        </w:numPr>
        <w:tabs>
          <w:tab w:val="left" w:pos="1418"/>
        </w:tabs>
        <w:spacing w:after="120" w:line="240" w:lineRule="auto"/>
        <w:ind w:left="1418" w:right="713" w:hanging="284"/>
        <w:rPr>
          <w:sz w:val="20"/>
          <w:szCs w:val="20"/>
          <w:lang w:val="de-DE"/>
        </w:rPr>
      </w:pPr>
      <w:r w:rsidRPr="002B0DBD">
        <w:rPr>
          <w:sz w:val="20"/>
          <w:szCs w:val="20"/>
          <w:lang w:val="de-DE"/>
        </w:rPr>
        <w:t xml:space="preserve">Darunter: „Da wahre Lage an den Fronten“ (Kurze Übersicht) </w:t>
      </w:r>
    </w:p>
    <w:p w:rsidR="00593A53" w:rsidRPr="002B0DBD" w:rsidRDefault="00593A53" w:rsidP="003D3728">
      <w:pPr>
        <w:numPr>
          <w:ilvl w:val="0"/>
          <w:numId w:val="23"/>
        </w:numPr>
        <w:tabs>
          <w:tab w:val="left" w:pos="1418"/>
        </w:tabs>
        <w:spacing w:after="120" w:line="240" w:lineRule="auto"/>
        <w:ind w:left="1418" w:right="713" w:hanging="284"/>
        <w:rPr>
          <w:sz w:val="20"/>
          <w:szCs w:val="20"/>
          <w:lang w:val="de-DE"/>
        </w:rPr>
      </w:pPr>
      <w:r w:rsidRPr="002B0DBD">
        <w:rPr>
          <w:sz w:val="20"/>
          <w:szCs w:val="20"/>
          <w:lang w:val="de-DE"/>
        </w:rPr>
        <w:t xml:space="preserve">Karikatur: Lenin – Die Religion ist das Opium fürs Volk </w:t>
      </w:r>
    </w:p>
    <w:p w:rsidR="00593A53" w:rsidRPr="002B0DBD" w:rsidRDefault="00593A53" w:rsidP="003D3728">
      <w:pPr>
        <w:tabs>
          <w:tab w:val="center" w:pos="1277"/>
          <w:tab w:val="left" w:pos="1418"/>
          <w:tab w:val="center" w:pos="4868"/>
        </w:tabs>
        <w:spacing w:after="120" w:line="240" w:lineRule="auto"/>
        <w:ind w:left="1418" w:right="713" w:hanging="284"/>
        <w:jc w:val="left"/>
        <w:rPr>
          <w:sz w:val="20"/>
          <w:szCs w:val="20"/>
          <w:lang w:val="de-DE"/>
        </w:rPr>
      </w:pPr>
      <w:r w:rsidRPr="002B0DBD">
        <w:rPr>
          <w:rFonts w:eastAsia="Calibri"/>
          <w:sz w:val="20"/>
          <w:szCs w:val="20"/>
          <w:lang w:val="de-DE"/>
        </w:rPr>
        <w:tab/>
      </w:r>
      <w:r w:rsidRPr="002B0DBD">
        <w:rPr>
          <w:sz w:val="20"/>
          <w:szCs w:val="20"/>
          <w:lang w:val="de-DE"/>
        </w:rPr>
        <w:t xml:space="preserve">  </w:t>
      </w:r>
      <w:r w:rsidRPr="002B0DBD">
        <w:rPr>
          <w:sz w:val="20"/>
          <w:szCs w:val="20"/>
          <w:lang w:val="de-DE"/>
        </w:rPr>
        <w:tab/>
        <w:t xml:space="preserve">       Stalin – als Kreuzritter: was ist tut man nicht in der Not… </w:t>
      </w:r>
    </w:p>
    <w:p w:rsidR="00593A53" w:rsidRPr="002B0DBD" w:rsidRDefault="00593A53" w:rsidP="003D3728">
      <w:pPr>
        <w:tabs>
          <w:tab w:val="left" w:pos="1418"/>
        </w:tabs>
        <w:spacing w:after="120" w:line="240" w:lineRule="auto"/>
        <w:ind w:left="1418" w:right="713" w:hanging="284"/>
        <w:rPr>
          <w:sz w:val="20"/>
          <w:szCs w:val="20"/>
          <w:lang w:val="de-DE"/>
        </w:rPr>
      </w:pPr>
      <w:r w:rsidRPr="002B0DBD">
        <w:rPr>
          <w:sz w:val="20"/>
          <w:szCs w:val="20"/>
          <w:lang w:val="de-DE"/>
        </w:rPr>
        <w:t>4.</w:t>
      </w:r>
      <w:r>
        <w:rPr>
          <w:sz w:val="20"/>
          <w:szCs w:val="20"/>
          <w:lang w:val="de-DE"/>
        </w:rPr>
        <w:tab/>
      </w:r>
      <w:r w:rsidRPr="002B0DBD">
        <w:rPr>
          <w:sz w:val="20"/>
          <w:szCs w:val="20"/>
          <w:lang w:val="de-DE"/>
        </w:rPr>
        <w:t xml:space="preserve">Darunter: „Mit der Thora in den Hände.“ Zum Jahrestag der Revolution sind die verschiedensten Glückwünsche im Kremi eingelaufen. […]. Der Jude bittet aufrichtig um den Sieg der Rote Armee, weil dieselbe schließlich ihr Blut für die jüdischen Interessen vergießt. Jeder Russe sollte sich diese bedeutsame Dokument einprägen. (Das Dokument wird auszugsweise wiedergegeben.) </w:t>
      </w:r>
    </w:p>
    <w:p w:rsidR="00593A53" w:rsidRPr="002B0DBD" w:rsidRDefault="00593A53" w:rsidP="003D3728">
      <w:pPr>
        <w:tabs>
          <w:tab w:val="left" w:pos="1418"/>
        </w:tabs>
        <w:spacing w:after="120" w:line="240" w:lineRule="auto"/>
        <w:ind w:left="0" w:right="713" w:firstLine="0"/>
        <w:jc w:val="left"/>
        <w:rPr>
          <w:sz w:val="20"/>
          <w:szCs w:val="20"/>
          <w:lang w:val="de-DE"/>
        </w:rPr>
      </w:pPr>
      <w:r>
        <w:rPr>
          <w:sz w:val="20"/>
          <w:szCs w:val="20"/>
          <w:lang w:val="de-DE"/>
        </w:rPr>
        <w:t xml:space="preserve">                 </w:t>
      </w:r>
      <w:r w:rsidRPr="002B0DBD">
        <w:rPr>
          <w:sz w:val="20"/>
          <w:szCs w:val="20"/>
          <w:lang w:val="de-DE"/>
        </w:rPr>
        <w:t>Seite 2.</w:t>
      </w:r>
      <w:r w:rsidRPr="002B0DBD">
        <w:rPr>
          <w:rFonts w:eastAsia="Calibri"/>
          <w:strike/>
          <w:sz w:val="20"/>
          <w:szCs w:val="20"/>
          <w:lang w:val="de-DE"/>
        </w:rPr>
        <w:t xml:space="preserve">                                              </w:t>
      </w:r>
      <w:r w:rsidRPr="002B0DBD">
        <w:rPr>
          <w:rFonts w:eastAsia="Calibri"/>
          <w:sz w:val="20"/>
          <w:szCs w:val="20"/>
          <w:lang w:val="de-DE"/>
        </w:rPr>
        <w:t xml:space="preserve"> </w:t>
      </w:r>
    </w:p>
    <w:p w:rsidR="00593A53" w:rsidRPr="002B0DBD" w:rsidRDefault="00593A53" w:rsidP="003D3728">
      <w:pPr>
        <w:tabs>
          <w:tab w:val="left" w:pos="1418"/>
        </w:tabs>
        <w:spacing w:after="120" w:line="240" w:lineRule="auto"/>
        <w:ind w:left="1418" w:right="713" w:hanging="284"/>
        <w:rPr>
          <w:sz w:val="20"/>
          <w:szCs w:val="20"/>
          <w:lang w:val="de-DE"/>
        </w:rPr>
      </w:pPr>
      <w:r w:rsidRPr="002B0DBD">
        <w:rPr>
          <w:sz w:val="20"/>
          <w:szCs w:val="20"/>
          <w:lang w:val="de-DE"/>
        </w:rPr>
        <w:t>1.</w:t>
      </w:r>
      <w:r>
        <w:rPr>
          <w:sz w:val="20"/>
          <w:szCs w:val="20"/>
          <w:lang w:val="de-DE"/>
        </w:rPr>
        <w:tab/>
      </w:r>
      <w:r w:rsidRPr="002B0DBD">
        <w:rPr>
          <w:sz w:val="20"/>
          <w:szCs w:val="20"/>
          <w:lang w:val="de-DE"/>
        </w:rPr>
        <w:t xml:space="preserve">Bild: Antibolschewistische Kosaken </w:t>
      </w:r>
    </w:p>
    <w:p w:rsidR="00593A53" w:rsidRPr="002B0DBD" w:rsidRDefault="00593A53" w:rsidP="003D3728">
      <w:pPr>
        <w:tabs>
          <w:tab w:val="left" w:pos="1418"/>
        </w:tabs>
        <w:spacing w:after="120" w:line="240" w:lineRule="auto"/>
        <w:ind w:left="1418" w:right="713" w:hanging="284"/>
        <w:rPr>
          <w:sz w:val="20"/>
          <w:szCs w:val="20"/>
          <w:lang w:val="de-DE"/>
        </w:rPr>
      </w:pPr>
      <w:r w:rsidRPr="002B0DBD">
        <w:rPr>
          <w:sz w:val="20"/>
          <w:szCs w:val="20"/>
          <w:lang w:val="de-DE"/>
        </w:rPr>
        <w:t>2.</w:t>
      </w:r>
      <w:r>
        <w:rPr>
          <w:sz w:val="20"/>
          <w:szCs w:val="20"/>
          <w:lang w:val="de-DE"/>
        </w:rPr>
        <w:tab/>
      </w:r>
      <w:r w:rsidRPr="002B0DBD">
        <w:rPr>
          <w:sz w:val="20"/>
          <w:szCs w:val="20"/>
          <w:lang w:val="de-DE"/>
        </w:rPr>
        <w:t xml:space="preserve">Darunter: Die Kosaken kämpfen für ihre Heimat. Die Anzahl der freiwilligen Kosaken, welche zusammen mit der deutschen Wehrmacht gegen den verhaßten Bolschewismus, das Kolchossystem, den Terror usw., kämpfen, wächst Tag zu Tag. Es kommt die Stunde, da auch die Bolschewisten den mächtige Schlag der antibolschewistischen Kosaken verspüren werden. </w:t>
      </w:r>
    </w:p>
    <w:p w:rsidR="00593A53" w:rsidRPr="002B0DBD" w:rsidRDefault="00593A53" w:rsidP="003D3728">
      <w:pPr>
        <w:tabs>
          <w:tab w:val="left" w:pos="1418"/>
        </w:tabs>
        <w:spacing w:after="120" w:line="240" w:lineRule="auto"/>
        <w:ind w:left="1418" w:right="713" w:hanging="284"/>
        <w:rPr>
          <w:sz w:val="20"/>
          <w:szCs w:val="20"/>
          <w:lang w:val="de-DE"/>
        </w:rPr>
      </w:pPr>
      <w:r w:rsidRPr="002B0DBD">
        <w:rPr>
          <w:sz w:val="20"/>
          <w:szCs w:val="20"/>
          <w:lang w:val="de-DE"/>
        </w:rPr>
        <w:t>3.</w:t>
      </w:r>
      <w:r>
        <w:rPr>
          <w:sz w:val="20"/>
          <w:szCs w:val="20"/>
          <w:lang w:val="de-DE"/>
        </w:rPr>
        <w:tab/>
      </w:r>
      <w:r w:rsidRPr="002B0DBD">
        <w:rPr>
          <w:sz w:val="20"/>
          <w:szCs w:val="20"/>
          <w:lang w:val="de-DE"/>
        </w:rPr>
        <w:t xml:space="preserve">Daneben: England, wie es wirklich ist. Lenin hat bereits die Engländer die blutdurstigsten unter den Imperialisten bezeichnet. 47 Millionen Engländer versklaven Buren, Irländer, Inder, usw. Auf jeden Engländer entfallen 10 Sklaven. England hat seine Kriege immer durch andere geführt, und während diese verbluteten, hat es sich seine Kolonien bereichert. […]. 4.Darunter: […]. „Fort mit dem zwangsweisen Arbeitssatz“. 3.Seite </w:t>
      </w:r>
    </w:p>
    <w:p w:rsidR="00593A53" w:rsidRPr="002B0DBD" w:rsidRDefault="00593A53" w:rsidP="003D3728">
      <w:pPr>
        <w:tabs>
          <w:tab w:val="left" w:pos="1418"/>
        </w:tabs>
        <w:spacing w:after="120" w:line="240" w:lineRule="auto"/>
        <w:ind w:left="1418" w:right="713" w:hanging="284"/>
        <w:rPr>
          <w:sz w:val="20"/>
          <w:szCs w:val="20"/>
          <w:lang w:val="de-DE"/>
        </w:rPr>
      </w:pPr>
      <w:r w:rsidRPr="002B0DBD">
        <w:rPr>
          <w:sz w:val="20"/>
          <w:szCs w:val="20"/>
          <w:lang w:val="de-DE"/>
        </w:rPr>
        <w:t xml:space="preserve">Neues Leben erwacht. </w:t>
      </w:r>
    </w:p>
    <w:p w:rsidR="00593A53" w:rsidRPr="002B0DBD" w:rsidRDefault="00593A53" w:rsidP="003D3728">
      <w:pPr>
        <w:tabs>
          <w:tab w:val="left" w:pos="1418"/>
        </w:tabs>
        <w:spacing w:after="120" w:line="240" w:lineRule="auto"/>
        <w:ind w:left="1418" w:right="713" w:hanging="284"/>
        <w:rPr>
          <w:sz w:val="20"/>
          <w:szCs w:val="20"/>
          <w:lang w:val="de-DE"/>
        </w:rPr>
      </w:pPr>
      <w:r w:rsidRPr="002B0DBD">
        <w:rPr>
          <w:sz w:val="20"/>
          <w:szCs w:val="20"/>
          <w:lang w:val="de-DE"/>
        </w:rPr>
        <w:t>1.</w:t>
      </w:r>
      <w:r>
        <w:rPr>
          <w:sz w:val="20"/>
          <w:szCs w:val="20"/>
          <w:lang w:val="de-DE"/>
        </w:rPr>
        <w:tab/>
      </w:r>
      <w:r w:rsidRPr="002B0DBD">
        <w:rPr>
          <w:sz w:val="20"/>
          <w:szCs w:val="20"/>
          <w:lang w:val="de-DE"/>
        </w:rPr>
        <w:t xml:space="preserve">In den befriedene Städte. Berichte aus Plakau, Orel und Kursk über die geilestete Wiederaufbauarbeit; städtische Selbstverwaltungen und private Initiative sowie die Unterstützung der deutschen Behörden haben viel zum Wiederaufbau beigetragen. Auch die Vorbereitungen für den Winter sind überall zufriedenstallend beendet worden. </w:t>
      </w:r>
    </w:p>
    <w:p w:rsidR="00593A53" w:rsidRPr="002B0DBD" w:rsidRDefault="00593A53" w:rsidP="003D3728">
      <w:pPr>
        <w:spacing w:after="120" w:line="240" w:lineRule="auto"/>
        <w:ind w:left="566" w:right="713" w:firstLine="0"/>
      </w:pPr>
      <w:r w:rsidRPr="002B0DBD">
        <w:rPr>
          <w:sz w:val="20"/>
          <w:szCs w:val="20"/>
        </w:rPr>
        <w:t xml:space="preserve">[…] BA – Berlin f. R90 </w:t>
      </w:r>
    </w:p>
  </w:footnote>
  <w:footnote w:id="13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Adamovic, D. Granin, </w:t>
      </w:r>
      <w:r w:rsidRPr="002B0DBD">
        <w:rPr>
          <w:i/>
          <w:sz w:val="20"/>
          <w:szCs w:val="20"/>
        </w:rPr>
        <w:t>Le voci dell’assedio – Leningrado 1941-1943</w:t>
      </w:r>
      <w:r w:rsidRPr="002B0DBD">
        <w:rPr>
          <w:sz w:val="20"/>
          <w:szCs w:val="20"/>
        </w:rPr>
        <w:t xml:space="preserve">, Mursia, Milano 1992, p. 338  </w:t>
      </w:r>
    </w:p>
  </w:footnote>
  <w:footnote w:id="13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E. Salisbury, </w:t>
      </w:r>
      <w:r w:rsidRPr="002B0DBD">
        <w:rPr>
          <w:i/>
          <w:sz w:val="20"/>
          <w:szCs w:val="20"/>
        </w:rPr>
        <w:t xml:space="preserve">I 900 giorni – L’assedio di Leningrado, </w:t>
      </w:r>
      <w:r w:rsidRPr="002B0DBD">
        <w:rPr>
          <w:sz w:val="20"/>
          <w:szCs w:val="20"/>
        </w:rPr>
        <w:t xml:space="preserve">Bompiani, Milano 1969, pp. 480 e segg.  </w:t>
      </w:r>
    </w:p>
  </w:footnote>
  <w:footnote w:id="136">
    <w:p w:rsidR="00593A53" w:rsidRPr="002B0DBD" w:rsidRDefault="00593A53" w:rsidP="008B5661">
      <w:pPr>
        <w:pStyle w:val="Titolo4"/>
        <w:keepNext w:val="0"/>
        <w:keepLines w:val="0"/>
        <w:spacing w:after="0" w:line="240" w:lineRule="auto"/>
        <w:ind w:left="567" w:right="714" w:firstLine="0"/>
        <w:jc w:val="both"/>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sz w:val="20"/>
          <w:szCs w:val="20"/>
          <w:u w:val="none"/>
          <w:lang w:val="de-DE"/>
        </w:rPr>
        <w:t xml:space="preserve">1. </w:t>
      </w:r>
      <w:r w:rsidRPr="002B0DBD">
        <w:rPr>
          <w:sz w:val="20"/>
          <w:szCs w:val="20"/>
          <w:lang w:val="de-DE"/>
        </w:rPr>
        <w:t>Ernhärungspolitik</w:t>
      </w:r>
      <w:r w:rsidRPr="002B0DBD">
        <w:rPr>
          <w:sz w:val="20"/>
          <w:szCs w:val="20"/>
          <w:u w:val="none"/>
          <w:lang w:val="de-DE"/>
        </w:rPr>
        <w:t xml:space="preserve"> </w:t>
      </w:r>
      <w:r w:rsidRPr="002B0DBD">
        <w:rPr>
          <w:sz w:val="20"/>
          <w:szCs w:val="20"/>
          <w:lang w:val="de-DE"/>
        </w:rPr>
        <w:t xml:space="preserv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Anläßlich der Berliner Tagung der Gauleiter habe ich als Leiter der statistischen Stelle des REM an dder Beschaffung von Unterlagen über die Ernährungslage mitgearbeitet. Diese ist trotz der kommenden Einschrünkung immer noch so günstig, daß eine offene Darlegung geeignet ist, unser Selbstgefühl zu heben. Das Bild verbessert sich, wenn wir die uns hoch [unlesbar] (Po-Ebene,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Holland, Norwegen) straff bewirtschafften könnten. Eine Denkenschift, die ich im Auftrage des Aufwärtiges Antes über die Bewirtschaftung der besstsen Gebiete derseit anfertige, bestätigt, daß unsere Nachgiebigkeit gegen die französische Regierung uns und den Franzosen einen Mangel vortänchte der garnicht bestand und der ganz allgemein die besetze Gebiete zu unseren Nachteil psychologisch belastete.  </w:t>
      </w:r>
    </w:p>
    <w:p w:rsidR="00593A53" w:rsidRPr="002B0DBD" w:rsidRDefault="00593A53" w:rsidP="008B5661">
      <w:pPr>
        <w:pStyle w:val="Titolo4"/>
        <w:keepNext w:val="0"/>
        <w:keepLines w:val="0"/>
        <w:spacing w:after="0" w:line="240" w:lineRule="auto"/>
        <w:ind w:left="567" w:right="714" w:firstLine="0"/>
        <w:jc w:val="both"/>
        <w:rPr>
          <w:sz w:val="20"/>
          <w:szCs w:val="20"/>
          <w:lang w:val="de-DE"/>
        </w:rPr>
      </w:pPr>
      <w:r w:rsidRPr="002B0DBD">
        <w:rPr>
          <w:sz w:val="20"/>
          <w:szCs w:val="20"/>
          <w:u w:val="none"/>
          <w:lang w:val="de-DE"/>
        </w:rPr>
        <w:t>1.</w:t>
      </w:r>
      <w:r w:rsidRPr="002B0DBD">
        <w:rPr>
          <w:rFonts w:eastAsia="Arial"/>
          <w:sz w:val="20"/>
          <w:szCs w:val="20"/>
          <w:u w:val="none"/>
          <w:lang w:val="de-DE"/>
        </w:rPr>
        <w:t xml:space="preserve"> </w:t>
      </w:r>
      <w:r w:rsidRPr="002B0DBD">
        <w:rPr>
          <w:sz w:val="20"/>
          <w:szCs w:val="20"/>
          <w:lang w:val="de-DE"/>
        </w:rPr>
        <w:t>Heeresberichte</w:t>
      </w:r>
      <w:r w:rsidRPr="002B0DBD">
        <w:rPr>
          <w:sz w:val="20"/>
          <w:szCs w:val="20"/>
          <w:u w:val="none"/>
          <w:lang w:val="de-DE"/>
        </w:rPr>
        <w:t xml:space="preserve"> </w:t>
      </w:r>
      <w:r w:rsidRPr="002B0DBD">
        <w:rPr>
          <w:sz w:val="20"/>
          <w:szCs w:val="20"/>
          <w:lang w:val="de-DE"/>
        </w:rPr>
        <w:t xml:space="preserv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Seit El-Alamein wiederholt sich fest ohne Unterbrechung die Betonung der „Überlegenheit“ unserer Feinde. Dies hat sich nicht bewährt, denn seit eben diesen Tage geht es es rühewärts. Der Austrunk kantrastiert mit den Selbstbewußtein bewärter Frontsoldaten und mit dem Ergebnis […].  </w:t>
      </w:r>
    </w:p>
    <w:p w:rsidR="00593A53" w:rsidRPr="002B0DBD" w:rsidRDefault="00593A53" w:rsidP="008B5661">
      <w:pPr>
        <w:pStyle w:val="Titolo4"/>
        <w:keepNext w:val="0"/>
        <w:keepLines w:val="0"/>
        <w:spacing w:after="0" w:line="240" w:lineRule="auto"/>
        <w:ind w:left="567" w:right="714" w:firstLine="0"/>
        <w:jc w:val="both"/>
        <w:rPr>
          <w:sz w:val="20"/>
          <w:szCs w:val="20"/>
          <w:lang w:val="de-DE"/>
        </w:rPr>
      </w:pPr>
      <w:r w:rsidRPr="002B0DBD">
        <w:rPr>
          <w:sz w:val="20"/>
          <w:szCs w:val="20"/>
          <w:lang w:val="de-DE"/>
        </w:rPr>
        <w:t>3.Propagandatönung</w:t>
      </w:r>
      <w:r w:rsidRPr="002B0DBD">
        <w:rPr>
          <w:sz w:val="20"/>
          <w:szCs w:val="20"/>
          <w:u w:val="none"/>
          <w:lang w:val="de-DE"/>
        </w:rPr>
        <w:t xml:space="preserve"> </w:t>
      </w:r>
    </w:p>
    <w:p w:rsidR="00593A53" w:rsidRPr="002B0DBD" w:rsidRDefault="00593A53" w:rsidP="00791545">
      <w:pPr>
        <w:spacing w:after="120" w:line="240" w:lineRule="auto"/>
        <w:ind w:left="566" w:right="713" w:firstLine="0"/>
        <w:rPr>
          <w:sz w:val="20"/>
          <w:szCs w:val="20"/>
          <w:lang w:val="de-DE"/>
        </w:rPr>
      </w:pPr>
      <w:r w:rsidRPr="002B0DBD">
        <w:rPr>
          <w:sz w:val="20"/>
          <w:szCs w:val="20"/>
          <w:lang w:val="de-DE"/>
        </w:rPr>
        <w:t xml:space="preserve">In der Tagespresse überwiegt antürgemäß das sanguinische Temperament. Der lange Aufstieg ließ es zur Gewohnheit werden. In den Phasen des Abstiegs brauchen wir Choleriker mit selbstbewußter nervenstarker Verbissenheit. Dieser im „Reich“ durchgehaltene Still sollte sich der Tagespresse mitteilen.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Die Folgen einer deutschen Niederlage sind erschöpfend und überzeugend dargelegt. Ein Zuviel wirkt lähmend. Die Darlagung der Folgen eines deutschen Sieges würde eine positiv suggestive Wirkung auslösen.    </w:t>
      </w:r>
    </w:p>
    <w:p w:rsidR="00593A53" w:rsidRPr="002B0DBD" w:rsidRDefault="00593A53" w:rsidP="008B5661">
      <w:pPr>
        <w:pStyle w:val="Titolo4"/>
        <w:keepNext w:val="0"/>
        <w:keepLines w:val="0"/>
        <w:spacing w:after="0" w:line="240" w:lineRule="auto"/>
        <w:ind w:left="567" w:right="714" w:firstLine="0"/>
        <w:jc w:val="both"/>
        <w:rPr>
          <w:sz w:val="20"/>
          <w:szCs w:val="20"/>
          <w:lang w:val="de-DE"/>
        </w:rPr>
      </w:pPr>
      <w:r w:rsidRPr="002B0DBD">
        <w:rPr>
          <w:sz w:val="20"/>
          <w:szCs w:val="20"/>
          <w:lang w:val="de-DE"/>
        </w:rPr>
        <w:t>4.Glaube gegen wissen</w:t>
      </w:r>
      <w:r w:rsidRPr="002B0DBD">
        <w:rPr>
          <w:sz w:val="20"/>
          <w:szCs w:val="20"/>
          <w:u w:val="none"/>
          <w:lang w:val="de-DE"/>
        </w:rPr>
        <w:t xml:space="preserve"> </w:t>
      </w:r>
      <w:r w:rsidRPr="002B0DBD">
        <w:rPr>
          <w:sz w:val="20"/>
          <w:szCs w:val="20"/>
          <w:lang w:val="de-DE"/>
        </w:rPr>
        <w:t xml:space="preserv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Die Mathematik ist die Wissenschaft vom unendlich Kleinen (Differential). Der Glaube ist das Wissen um das unendlich Große. Wo die Mathematik (Mengenlehre) sich mit dem unendlich Großen befaßte, landete sie bei Paradoxen. Den Glaubenschwachen würde eine Stütze dieser Art gute Dienste leisten. Möglicherweise führt diese Erkenntnis zu einer geistigen Überwindung des Judentums.  </w:t>
      </w:r>
    </w:p>
    <w:p w:rsidR="00593A53" w:rsidRPr="002B0DBD" w:rsidRDefault="00593A53" w:rsidP="008B5661">
      <w:pPr>
        <w:pStyle w:val="Titolo4"/>
        <w:keepNext w:val="0"/>
        <w:keepLines w:val="0"/>
        <w:spacing w:after="0" w:line="240" w:lineRule="auto"/>
        <w:ind w:left="567" w:right="714" w:firstLine="0"/>
        <w:jc w:val="both"/>
        <w:rPr>
          <w:sz w:val="20"/>
          <w:szCs w:val="20"/>
          <w:lang w:val="de-DE"/>
        </w:rPr>
      </w:pPr>
      <w:r w:rsidRPr="002B0DBD">
        <w:rPr>
          <w:sz w:val="20"/>
          <w:szCs w:val="20"/>
          <w:lang w:val="de-DE"/>
        </w:rPr>
        <w:t>5.Freiwillige Sprengkommandos in der Reichshauptstadt</w:t>
      </w:r>
      <w:r w:rsidRPr="002B0DBD">
        <w:rPr>
          <w:sz w:val="20"/>
          <w:szCs w:val="20"/>
          <w:u w:val="none"/>
          <w:lang w:val="de-DE"/>
        </w:rPr>
        <w:t xml:space="preserve"> </w:t>
      </w:r>
      <w:r w:rsidRPr="002B0DBD">
        <w:rPr>
          <w:sz w:val="20"/>
          <w:szCs w:val="20"/>
          <w:lang w:val="de-DE"/>
        </w:rPr>
        <w:t xml:space="preserv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Blindgänger sind für die dem Luftterror entronnene Bevölkerung ein neuer Terror. Diese können durch freiwillige Sprangkommando sofort unschädlich gemacht werden. An Meldungen zu dieser Arbeit wird es nicht fehlen. Ich habe einen Ausbildungskurs absolviert und melde mich als Nr. 1. Es ist verfehlt, wenn für solche Ehrendienste Zuchthäusler eingesetzt werden.  </w:t>
      </w:r>
    </w:p>
    <w:p w:rsidR="00593A53" w:rsidRPr="002B0DBD" w:rsidRDefault="00593A53" w:rsidP="008B5661">
      <w:pPr>
        <w:pStyle w:val="Titolo4"/>
        <w:keepNext w:val="0"/>
        <w:keepLines w:val="0"/>
        <w:spacing w:after="0" w:line="240" w:lineRule="auto"/>
        <w:ind w:left="567" w:right="714" w:firstLine="0"/>
        <w:jc w:val="both"/>
        <w:rPr>
          <w:sz w:val="20"/>
          <w:szCs w:val="20"/>
          <w:lang w:val="de-DE"/>
        </w:rPr>
      </w:pPr>
      <w:r w:rsidRPr="002B0DBD">
        <w:rPr>
          <w:sz w:val="20"/>
          <w:szCs w:val="20"/>
          <w:lang w:val="de-DE"/>
        </w:rPr>
        <w:t>6.Alte opfern, junge leben lassen</w:t>
      </w:r>
      <w:r w:rsidRPr="002B0DBD">
        <w:rPr>
          <w:sz w:val="20"/>
          <w:szCs w:val="20"/>
          <w:u w:val="none"/>
          <w:lang w:val="de-DE"/>
        </w:rPr>
        <w:t xml:space="preserve"> </w:t>
      </w:r>
      <w:r w:rsidRPr="002B0DBD">
        <w:rPr>
          <w:sz w:val="20"/>
          <w:szCs w:val="20"/>
          <w:lang w:val="de-DE"/>
        </w:rPr>
        <w:t xml:space="preserve"> </w:t>
      </w:r>
    </w:p>
    <w:p w:rsidR="00593A53" w:rsidRPr="002B0DBD" w:rsidRDefault="00593A53" w:rsidP="008B5661">
      <w:pPr>
        <w:spacing w:after="0" w:line="240" w:lineRule="auto"/>
        <w:ind w:left="567" w:right="714" w:firstLine="0"/>
      </w:pPr>
      <w:r w:rsidRPr="002B0DBD">
        <w:rPr>
          <w:sz w:val="20"/>
          <w:szCs w:val="20"/>
          <w:lang w:val="de-DE"/>
        </w:rPr>
        <w:t xml:space="preserve">Bei Einstellung zum Waffwndienstwird nur noch dem Alter gesehen, nicht nach der Tauglichkeit. Es ist unvernüftig, die Jugend zu opfern solange altes, gedientes, felddiensttaugliches Materal, das an die Front drängt, zur Verfügung seht. Stecken sie uns Alte in Bewährungsbataillons. Volksverräter verdienendiese Bevölkerung wirklich nicht.“ </w:t>
      </w:r>
      <w:r w:rsidRPr="002B0DBD">
        <w:rPr>
          <w:sz w:val="20"/>
          <w:szCs w:val="20"/>
        </w:rPr>
        <w:t xml:space="preserve">BA – Berlin Lichterfeld, R55/619 p. 164 </w:t>
      </w:r>
    </w:p>
  </w:footnote>
  <w:footnote w:id="13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Cfr. B. Bianchi Londra, 1943. La propaganda pacifista contro i bombardamenti di massa DEP n. 1314/2010 </w:t>
      </w:r>
      <w:r w:rsidRPr="002B0DBD">
        <w:rPr>
          <w:rFonts w:eastAsia="Calibri"/>
          <w:sz w:val="20"/>
          <w:szCs w:val="20"/>
        </w:rPr>
        <w:t xml:space="preserve"> </w:t>
      </w:r>
    </w:p>
  </w:footnote>
  <w:footnote w:id="13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J. Friedrich, </w:t>
      </w:r>
      <w:r w:rsidRPr="002B0DBD">
        <w:rPr>
          <w:i/>
          <w:sz w:val="20"/>
          <w:szCs w:val="20"/>
        </w:rPr>
        <w:t>La Germania bombardata, la popolazione tedesca sotto gli attacchi alleati 1940-1945</w:t>
      </w:r>
      <w:r w:rsidRPr="002B0DBD">
        <w:rPr>
          <w:sz w:val="20"/>
          <w:szCs w:val="20"/>
        </w:rPr>
        <w:t xml:space="preserve">, Mondadori, Milano 2005, pp. 490 e segg. </w:t>
      </w:r>
      <w:r w:rsidRPr="002B0DBD">
        <w:rPr>
          <w:rFonts w:eastAsia="Calibri"/>
          <w:sz w:val="20"/>
          <w:szCs w:val="20"/>
        </w:rPr>
        <w:t xml:space="preserve"> </w:t>
      </w:r>
    </w:p>
  </w:footnote>
  <w:footnote w:id="139">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S. Tiepolato, “...und nun waren wir auch Verbannte. Warum? Weshalb?” Deportate prussiane in Russia 1914-1918, Dep n. 1/2004 p. 66 </w:t>
      </w:r>
      <w:r w:rsidRPr="002B0DBD">
        <w:rPr>
          <w:rFonts w:eastAsia="Calibri"/>
          <w:sz w:val="20"/>
          <w:szCs w:val="20"/>
          <w:lang w:val="de-DE"/>
        </w:rPr>
        <w:t xml:space="preserve"> </w:t>
      </w:r>
    </w:p>
  </w:footnote>
  <w:footnote w:id="140">
    <w:p w:rsidR="00593A53" w:rsidRPr="002B0DBD" w:rsidRDefault="00593A53" w:rsidP="003D3728">
      <w:pPr>
        <w:pStyle w:val="footnotedescription"/>
        <w:tabs>
          <w:tab w:val="center" w:pos="4615"/>
        </w:tabs>
        <w:spacing w:after="120" w:line="240" w:lineRule="auto"/>
        <w:ind w:left="566" w:right="713"/>
        <w:rPr>
          <w:sz w:val="20"/>
          <w:szCs w:val="20"/>
        </w:rPr>
      </w:pPr>
      <w:r w:rsidRPr="002B0DBD">
        <w:rPr>
          <w:rStyle w:val="footnotemark"/>
          <w:sz w:val="20"/>
          <w:szCs w:val="20"/>
        </w:rPr>
        <w:footnoteRef/>
      </w:r>
      <w:r w:rsidRPr="002B0DBD">
        <w:rPr>
          <w:sz w:val="20"/>
          <w:szCs w:val="20"/>
        </w:rPr>
        <w:t xml:space="preserve"> G. Grass, </w:t>
      </w:r>
      <w:r w:rsidRPr="002B0DBD">
        <w:rPr>
          <w:i/>
          <w:sz w:val="20"/>
          <w:szCs w:val="20"/>
        </w:rPr>
        <w:t>Discorso di un senza patria</w:t>
      </w:r>
      <w:r w:rsidRPr="002B0DBD">
        <w:rPr>
          <w:sz w:val="20"/>
          <w:szCs w:val="20"/>
        </w:rPr>
        <w:t xml:space="preserve">, Leonardo Editore, Milano 1990, pp. 126-127  </w:t>
      </w:r>
    </w:p>
  </w:footnote>
  <w:footnote w:id="141">
    <w:p w:rsidR="00593A53" w:rsidRPr="002B0DBD" w:rsidRDefault="00593A53" w:rsidP="003D3728">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K. Lowe, </w:t>
      </w:r>
      <w:r w:rsidRPr="002B0DBD">
        <w:rPr>
          <w:i/>
          <w:sz w:val="20"/>
          <w:szCs w:val="20"/>
        </w:rPr>
        <w:t>Il continente selvaggio, l’Europa alla fine della Seconda Guerra Mondiale</w:t>
      </w:r>
      <w:r w:rsidRPr="002B0DBD">
        <w:rPr>
          <w:sz w:val="20"/>
          <w:szCs w:val="20"/>
        </w:rPr>
        <w:t xml:space="preserve">, Roma-Bari Laterza 2013, pp. 56-63  </w:t>
      </w:r>
    </w:p>
  </w:footnote>
  <w:footnote w:id="14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t>
      </w:r>
      <w:r w:rsidRPr="002B0DBD">
        <w:rPr>
          <w:i/>
          <w:sz w:val="20"/>
          <w:szCs w:val="20"/>
        </w:rPr>
        <w:t xml:space="preserve">Le atrocità polacche contro la minoranza tedesca in Polonia, </w:t>
      </w:r>
      <w:r w:rsidRPr="002B0DBD">
        <w:rPr>
          <w:sz w:val="20"/>
          <w:szCs w:val="20"/>
        </w:rPr>
        <w:t xml:space="preserve">Volk und Reich, Berlino 1940  </w:t>
      </w:r>
    </w:p>
  </w:footnote>
  <w:footnote w:id="143">
    <w:p w:rsidR="00593A53" w:rsidRPr="002B0DBD" w:rsidRDefault="00593A53" w:rsidP="003D3728">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en-GB"/>
        </w:rPr>
        <w:t xml:space="preserve"> Racialism, ideology and nationalism combined to make Hitler’s war aims very wide-ranging indeed when he went to war with the Soviet Union in June 1941, for the Nazis intended to drive more than 30 millions Russians into Siberia and open the four Reichkommissariaten of the Baltic Coast (Ostland), Muscovy, the Ukraine and the Caucasus to German colonisation. West of the Urals the surviving Russians were to be reduced to slaves and vassals, and their children were to be given only as much education as fitted them for their menial tasks.  The German forces began to massacre civilians as soon as they crossed the border, and the work of the SS-Einsatzgruppen in the captured areas, together with casual slaughters by the other forces,  already accounted for hundreds of thousands of deaths even before the industrialised murder of the Holocaust opened in 1942. </w:t>
      </w:r>
      <w:r w:rsidRPr="002B0DBD">
        <w:rPr>
          <w:sz w:val="20"/>
          <w:szCs w:val="20"/>
          <w:lang w:val="de-DE"/>
        </w:rPr>
        <w:t xml:space="preserve">Duffy, Ibid., p. 273  </w:t>
      </w:r>
      <w:r w:rsidRPr="002B0DBD">
        <w:rPr>
          <w:rFonts w:eastAsia="Calibri"/>
          <w:sz w:val="20"/>
          <w:szCs w:val="20"/>
          <w:lang w:val="de-DE"/>
        </w:rPr>
        <w:t xml:space="preserve"> </w:t>
      </w:r>
    </w:p>
  </w:footnote>
  <w:footnote w:id="144">
    <w:p w:rsidR="00593A53" w:rsidRPr="002B0DBD" w:rsidRDefault="00593A53" w:rsidP="008B5661">
      <w:pPr>
        <w:spacing w:after="0" w:line="240" w:lineRule="auto"/>
        <w:ind w:left="567" w:right="714" w:firstLine="0"/>
        <w:rPr>
          <w:sz w:val="20"/>
          <w:szCs w:val="20"/>
          <w:lang w:val="de-DE"/>
        </w:rPr>
      </w:pPr>
      <w:r w:rsidRPr="002B0DBD">
        <w:rPr>
          <w:rStyle w:val="footnotemark"/>
          <w:sz w:val="20"/>
          <w:szCs w:val="20"/>
        </w:rPr>
        <w:footnoteRef/>
      </w:r>
      <w:r w:rsidRPr="002B0DBD">
        <w:rPr>
          <w:sz w:val="20"/>
          <w:szCs w:val="20"/>
          <w:lang w:val="de-DE"/>
        </w:rPr>
        <w:t xml:space="preserve"> „In der Vereinsregistersache  Reichssiedlungsverband der christl. Flüchtlingsfürsorge und Socialhilfe [Sozialhilfe] für geschädigte, entwur zelte und erwerbslose Auslands-und Kolonialdeutsche, teilt mir daß Verfahren aus § 73 BGB noch schwebt.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Eine Anhörung der Oberingenieurs Pollnau über die beabsichtige Entziehung der Rechtsfähigkeit konnte noch nicht herbeigeführt werden, da die an Pollnau unter der Anschrift Haolzmarktstr. 50 dazugestellte Mitteilung den Adressanten nicht erreicht hat.“  LA – Berlin, A Pr. Br. Rep. 030-04 Nr 552, p. 26</w:t>
      </w:r>
      <w:r w:rsidRPr="002B0DBD">
        <w:rPr>
          <w:rFonts w:eastAsia="Calibri"/>
          <w:sz w:val="20"/>
          <w:szCs w:val="20"/>
          <w:lang w:val="de-DE"/>
        </w:rPr>
        <w:t xml:space="preserve"> </w:t>
      </w:r>
      <w:r w:rsidRPr="002B0DBD">
        <w:rPr>
          <w:sz w:val="20"/>
          <w:szCs w:val="20"/>
          <w:lang w:val="de-DE"/>
        </w:rPr>
        <w:t xml:space="preserv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„Nachdem die Gebiete des Reichskommissariats Ostland durch das Vordringen der Russen immer mehr geräumt werden mussten, habe ich Anfang Juli Befehl gegeben, die Familienangehörigen der in der Zivilverwaltung Tätigen ins Reich zu verbringen. So hat auch meine Familie am 6. Juli das Ostland verlassen. Nach einer dreijährigen Tätigkeit im Ostland und einem ebenso langen Aufenthalt der Familie daselbst hat sich natürlich sehr viel persönliches Eigentum aller Art angesammelt, das dann bei der Räumung ins Reich verbracht werden musste. So wurde durch meinen damaligen Adjutanten Jauchen im Benehmen mit der Landesleitung Ostland ein Waggon bestellt, auf dem persönliches gut von Beamten und Angestellten verladen und ins Reich verbracht wurde. Zu den darüber gemachten, meine eigene Person betreffenden Angaben bemerke ich folgende: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Der Waggon ist nicht an ein Landgut adressiert gewesen, sondern ist auf dem Bahnhof Preetz in Holstein entladen worden. Von hier wurden die Gepäckstücke an heute den Landeskassenleiter Jauchen, der damals bei mir Adjutantendienste machte und das Verpacken und Verladen beaufsichtigte, dienstlich vernommen und nach dem Inhalt der mir gehörigen Kisten befragt. Derselbe erklärt mir gehörigen Spirituosen nicht verladen worden. Auch dem Pg. Jauchen ist nicht bekannt, ob etwa andere Personen in ihrem Gepäck Spirituosen verpackt hatten. Die mir gehörigen Kisten enthielten ausschliesslich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Privatgut. Die Teppiche sind Reicheigentum und von mir sichergestellt. Hierzu füge ich Abschrift eines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Schreibens an das Ostministerium bei. Die aufgeführten Fahrräder waren Eigentum von Dienststelleangehörigen.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  Im übrigen ist es unverständlich, wie der Angeber Pietschmann festgestellt haben will, was einmal die hebe Kisten und zum anderen die in diesen verpackten Flaschen für einen Inhalt gehabt haben? […].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Auch den Parteigenossen Ellerbrook, der bei der Landesleitung Ostland tätig war, habe ich heute dienstlich vernommen. Derselbe wohnte ich mit seiner Frau und 8 Kindern ebenfalls in Riga. Er erklärt mir, dass es sich nicht um Kisten, sondern um Kolli mit Privatgut  gehandelt habe. Er hatte sich aber auch 17 Kisten Hausrat, Kleider, Wäsche, Geschirr, usw. aus dem Reich kommen lassen. Er erklärt  eidesstattlich, dass er nicht ausgeführt habe.  </w:t>
      </w:r>
    </w:p>
    <w:p w:rsidR="00593A53" w:rsidRPr="002B0DBD" w:rsidRDefault="00593A53" w:rsidP="003D3728">
      <w:pPr>
        <w:spacing w:after="120" w:line="240" w:lineRule="auto"/>
        <w:ind w:left="566" w:right="713" w:firstLine="0"/>
        <w:rPr>
          <w:sz w:val="20"/>
          <w:szCs w:val="20"/>
          <w:lang w:val="de-DE"/>
        </w:rPr>
      </w:pPr>
      <w:r w:rsidRPr="002B0DBD">
        <w:rPr>
          <w:sz w:val="20"/>
          <w:szCs w:val="20"/>
          <w:lang w:val="de-DE"/>
        </w:rPr>
        <w:t>Damit sind die ganze Angaben als unwahr wiederlegt. Bei dem Denunzianten handelt es sich um einem Menschen, der nach Angabe von Jauchen und Ellerbrook erst am 1. Juli 1944 zum Landesleitung Ostland gekommen ist. Nach ihrer Schilderung handelt es sich um einen geschwätzigen, undurchsichtigen und wenig zuverlässigen Mann, dem nunmehr das Handwerk gelegt werden müsste. Die Angeberei ist in den letzten Monaten geradezu krankhaft geworden, man muss jetzt dazu übergehen, Angeber und Verbreiter, unwahrer G</w:t>
      </w:r>
      <w:r>
        <w:rPr>
          <w:sz w:val="20"/>
          <w:szCs w:val="20"/>
          <w:lang w:val="de-DE"/>
        </w:rPr>
        <w:t xml:space="preserve">erüchte scharf zu bestrafen, da </w:t>
      </w:r>
      <w:r w:rsidRPr="002B0DBD">
        <w:rPr>
          <w:sz w:val="20"/>
          <w:szCs w:val="20"/>
          <w:lang w:val="de-DE"/>
        </w:rPr>
        <w:t xml:space="preserve">sonst einem Denunziantentum Tür und Tor geöffnet wird, das grösste Gefahren heraufbeschwört. “, BA – Berlin Lichterfelde, Bestandssignatur R 90 Archivnummer 14. </w:t>
      </w:r>
    </w:p>
  </w:footnote>
  <w:footnote w:id="145">
    <w:p w:rsidR="00593A53" w:rsidRPr="002B0DBD" w:rsidRDefault="00593A53" w:rsidP="00791545">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„Am 16. Januar 1945 ist es soweit. […]. „Der Herr Generalgouverneur verläßt mit einer Wagenkolonne bei herrlichstem Winterwetter und strahlendem Sonnenschein die Burg zu Krakau.“ Was würde ich drum geben, mit jenen Polen zu sprechen, die nach Deiner Abfahrt als erste auf deine Burg gingen. Wie brennend interessiert mich, wie das aussah in Deinen Räumen, wie du sie hinterlassen hast, wer der „einwandfreie Pole“ war, dem Du den Burgschlüssel übergeben hast, was fanden sie an Briefen, Akten vor, an Bildern, Uniformen, hast Du ungewaschene Wäsche zurückgelassen, hast Du das Waschbecken noch von Zahnputzresten gesäubert, hast Du am letzten Morgen noch Mal ein Bad gehalten “  Si fa riferimento al controverso caso del libro N. Frank, </w:t>
      </w:r>
      <w:r w:rsidRPr="002B0DBD">
        <w:rPr>
          <w:i/>
          <w:sz w:val="20"/>
          <w:szCs w:val="20"/>
          <w:lang w:val="de-DE"/>
        </w:rPr>
        <w:t xml:space="preserve">„Der Vater. </w:t>
      </w:r>
      <w:r w:rsidRPr="002B0DBD">
        <w:rPr>
          <w:i/>
          <w:sz w:val="20"/>
          <w:szCs w:val="20"/>
        </w:rPr>
        <w:t>Eine Abrechnung“</w:t>
      </w:r>
      <w:r w:rsidRPr="002B0DBD">
        <w:rPr>
          <w:sz w:val="20"/>
          <w:szCs w:val="20"/>
        </w:rPr>
        <w:t xml:space="preserve">, Goldmann, Monaco 2005, che in Germania suscitò sdegno per il tono aggressivo ed inquisitorio nei confronti del padre. Niklas, nel suo j’accuse, rivolge spesso domande retoriche al padre, impiccato a Norimberga  nel 1946, imputandogli di non essersi opposto al regime di cui lui stesso era parte integrante.   </w:t>
      </w:r>
    </w:p>
  </w:footnote>
  <w:footnote w:id="14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Memoria di Waltraud Strauch, Ost-Dok 2/11, Gerdauen, Kreis Gerdauen/Ostpreussen, pp. 490-493, in M. Ermacora Dep n. 10/2009  </w:t>
      </w:r>
    </w:p>
  </w:footnote>
  <w:footnote w:id="14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Ermacora, </w:t>
      </w:r>
      <w:r w:rsidRPr="002B0DBD">
        <w:rPr>
          <w:i/>
          <w:sz w:val="20"/>
          <w:szCs w:val="20"/>
        </w:rPr>
        <w:t>Charlotte Dolling. La mia fuga dalla Pomerania Orientale</w:t>
      </w:r>
      <w:r w:rsidRPr="002B0DBD">
        <w:rPr>
          <w:sz w:val="20"/>
          <w:szCs w:val="20"/>
        </w:rPr>
        <w:t>,</w:t>
      </w:r>
      <w:r w:rsidRPr="002B0DBD">
        <w:rPr>
          <w:i/>
          <w:sz w:val="20"/>
          <w:szCs w:val="20"/>
        </w:rPr>
        <w:t xml:space="preserve"> </w:t>
      </w:r>
      <w:r w:rsidRPr="002B0DBD">
        <w:rPr>
          <w:sz w:val="20"/>
          <w:szCs w:val="20"/>
        </w:rPr>
        <w:t xml:space="preserve">in DEP n. 15/2011 </w:t>
      </w:r>
    </w:p>
  </w:footnote>
  <w:footnote w:id="148">
    <w:p w:rsidR="00593A53" w:rsidRPr="002B0DBD" w:rsidRDefault="00593A53" w:rsidP="008B5661">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Er erklärte, daß die Leningrader Bucht durch die deutsche Kriegsmarine vollständig kontrolliert werde. Die Gustlof habe aus der Fahrt nach Westen weder mit feindlichen Schiffen noch mit U-Booten zu rechnen. Mit Luftangriffen müsse dagegen gerechnet werden. Aus diesem Grunde solle das Schiff vor Auslaufen noch einige Fliegerabwehrgeschütze erhalten. Die Fahrt solle deswegen auch erst gegen Abend getreten werden. Deutsche Luftsicherung sei für den folgenden Tag gewährleistet. Die Gustlof war mit technischem Personal einigermaßen gut versehen. Der Leitende Ingenieur Franz Löbel hatte die Maschinen bereits am 27. Januar betriebsklar gemeldet. Kabinen, Säle, Schwimbad und zum Teil Vorplätze waren mit Verwundeten und Flüchtlingen belegt. Eine Sorge der Schiffsführung war die Stabilität der großen Schiffes und die Versorgung der Menschen an Bord mit Schwimwesten und genügend Retungsmitteln. Von den 22 Rettungsbooten der Gustlof hingen nur noch 12 in den Davits. Durch die Vermittlung der Kriegsmarinedienststelle Danzig-Langfuhr wurden schnellstens zusätzlich </w:t>
      </w:r>
    </w:p>
    <w:p w:rsidR="00593A53" w:rsidRPr="002B0DBD" w:rsidRDefault="00593A53" w:rsidP="00791545">
      <w:pPr>
        <w:pStyle w:val="footnotedescription"/>
        <w:spacing w:after="120" w:line="240" w:lineRule="auto"/>
        <w:ind w:left="566" w:right="713"/>
        <w:jc w:val="both"/>
        <w:rPr>
          <w:sz w:val="20"/>
          <w:szCs w:val="20"/>
          <w:lang w:val="de-DE"/>
        </w:rPr>
      </w:pPr>
      <w:r w:rsidRPr="002B0DBD">
        <w:rPr>
          <w:sz w:val="20"/>
          <w:szCs w:val="20"/>
          <w:lang w:val="de-DE"/>
        </w:rPr>
        <w:t xml:space="preserve">Rettungsmittel für 5000 Menschen an Bord beschafft. Es wurden 20 Kriegsmarineboote auf dem Sonnendeck festgezurrt und eine ausreichende Zahl von Marinerettungsflößen aufgestapelt. Häufig wiederholte Durchsagen der Schiffsführung machten die Passagiere mit dem richtigen Verhaten im Gefahrenfall vertraut. Sicherungs- und Schottenübungen wurden durchgeführt. Die Schiffsführung bestellte am 29. Januar 4 Marineschlepper und einen Lotsen für die Bugsierung aus dem Hafen. A. De Zayas, op. Cit., pp. 96-97 </w:t>
      </w:r>
    </w:p>
  </w:footnote>
  <w:footnote w:id="149">
    <w:p w:rsidR="00593A53" w:rsidRPr="002B0DBD" w:rsidRDefault="00593A53" w:rsidP="00791545">
      <w:pPr>
        <w:spacing w:after="120" w:line="240" w:lineRule="auto"/>
        <w:ind w:left="566" w:right="713" w:firstLine="0"/>
        <w:rPr>
          <w:sz w:val="20"/>
          <w:szCs w:val="20"/>
          <w:lang w:val="de-DE"/>
        </w:rPr>
      </w:pPr>
      <w:r w:rsidRPr="002B0DBD">
        <w:rPr>
          <w:rStyle w:val="Rimandonotaapidipagina"/>
          <w:sz w:val="20"/>
          <w:szCs w:val="20"/>
        </w:rPr>
        <w:footnoteRef/>
      </w:r>
      <w:r w:rsidRPr="002B0DBD">
        <w:rPr>
          <w:sz w:val="20"/>
          <w:szCs w:val="20"/>
          <w:lang w:val="de-DE"/>
        </w:rPr>
        <w:t xml:space="preserve">  Viele Volksgenossen haben in den letzten Wochen im Innern des Reiches Schutz gesucht: Arbeiter, Angestellte und Beamte haben ihren Arbeitsplatz, Soldaten die Verbindung zu ihren Dienstellen oder Truppenteilen durch Feindeinwirkung verloren. Um sie alle sofort wieder aktiv in den Abwehrkampf unseres Volkes einzureihen, wird folgendes angeordnet: </w:t>
      </w:r>
    </w:p>
    <w:p w:rsidR="00593A53" w:rsidRPr="002B0DBD" w:rsidRDefault="00593A53" w:rsidP="006F011E">
      <w:pPr>
        <w:tabs>
          <w:tab w:val="left" w:pos="993"/>
        </w:tabs>
        <w:spacing w:after="120" w:line="240" w:lineRule="auto"/>
        <w:ind w:left="993" w:right="713" w:hanging="284"/>
        <w:rPr>
          <w:sz w:val="20"/>
          <w:szCs w:val="20"/>
          <w:lang w:val="de-DE"/>
        </w:rPr>
      </w:pPr>
      <w:r w:rsidRPr="002B0DBD">
        <w:rPr>
          <w:sz w:val="20"/>
          <w:szCs w:val="20"/>
          <w:lang w:val="de-DE"/>
        </w:rPr>
        <w:t>1.</w:t>
      </w:r>
      <w:r>
        <w:rPr>
          <w:sz w:val="20"/>
          <w:szCs w:val="20"/>
          <w:lang w:val="de-DE"/>
        </w:rPr>
        <w:tab/>
      </w:r>
      <w:r w:rsidRPr="002B0DBD">
        <w:rPr>
          <w:sz w:val="20"/>
          <w:szCs w:val="20"/>
          <w:lang w:val="de-DE"/>
        </w:rPr>
        <w:t xml:space="preserve">Urlaub, außer im Falle der Erkrankung, wird zunächst nur noch für Tapferkeitstaten gewährt. </w:t>
      </w:r>
    </w:p>
    <w:p w:rsidR="00593A53" w:rsidRPr="002B0DBD" w:rsidRDefault="00593A53" w:rsidP="006F011E">
      <w:pPr>
        <w:tabs>
          <w:tab w:val="left" w:pos="993"/>
        </w:tabs>
        <w:spacing w:after="120" w:line="240" w:lineRule="auto"/>
        <w:ind w:left="993" w:right="713" w:hanging="284"/>
        <w:rPr>
          <w:sz w:val="20"/>
          <w:szCs w:val="20"/>
          <w:lang w:val="de-DE"/>
        </w:rPr>
      </w:pPr>
      <w:r w:rsidRPr="002B0DBD">
        <w:rPr>
          <w:sz w:val="20"/>
          <w:szCs w:val="20"/>
          <w:lang w:val="de-DE"/>
        </w:rPr>
        <w:t>2.</w:t>
      </w:r>
      <w:r>
        <w:rPr>
          <w:sz w:val="20"/>
          <w:szCs w:val="20"/>
          <w:lang w:val="de-DE"/>
        </w:rPr>
        <w:tab/>
      </w:r>
      <w:r w:rsidRPr="002B0DBD">
        <w:rPr>
          <w:sz w:val="20"/>
          <w:szCs w:val="20"/>
          <w:lang w:val="de-DE"/>
        </w:rPr>
        <w:t xml:space="preserve">Die uk-Stellung aller Männer aus feindbesetzen Gebieten ist infällig. </w:t>
      </w:r>
    </w:p>
    <w:p w:rsidR="00593A53" w:rsidRPr="002B0DBD" w:rsidRDefault="00593A53" w:rsidP="006F011E">
      <w:pPr>
        <w:tabs>
          <w:tab w:val="left" w:pos="993"/>
        </w:tabs>
        <w:spacing w:after="120" w:line="240" w:lineRule="auto"/>
        <w:ind w:left="993" w:right="713" w:hanging="284"/>
        <w:rPr>
          <w:sz w:val="20"/>
          <w:szCs w:val="20"/>
          <w:lang w:val="de-DE"/>
        </w:rPr>
      </w:pPr>
      <w:r w:rsidRPr="002B0DBD">
        <w:rPr>
          <w:sz w:val="20"/>
          <w:szCs w:val="20"/>
          <w:lang w:val="de-DE"/>
        </w:rPr>
        <w:t>3.</w:t>
      </w:r>
      <w:r>
        <w:rPr>
          <w:sz w:val="20"/>
          <w:szCs w:val="20"/>
          <w:lang w:val="de-DE"/>
        </w:rPr>
        <w:tab/>
      </w:r>
      <w:r w:rsidRPr="002B0DBD">
        <w:rPr>
          <w:sz w:val="20"/>
          <w:szCs w:val="20"/>
          <w:lang w:val="de-DE"/>
        </w:rPr>
        <w:t xml:space="preserve">Alle Wehrmachsangehörigen, die sich nicht bei ihren Dienstellen oder Truppenteilen befinden , einschließlich der Beurlaubten und auf Kommando entsandten Soldaten, haben unaufgefordert sich sofort nach den für die Wehrmacht geltenden Bestimmungen bei den zuständigen Stellen (Standortältesten, Kommandantur, Ortpolizeibehörde oder Frontleitstelle) zu melden. </w:t>
      </w:r>
    </w:p>
    <w:p w:rsidR="00593A53" w:rsidRPr="002B0DBD" w:rsidRDefault="00593A53" w:rsidP="006F011E">
      <w:pPr>
        <w:tabs>
          <w:tab w:val="left" w:pos="993"/>
        </w:tabs>
        <w:spacing w:after="120" w:line="240" w:lineRule="auto"/>
        <w:ind w:left="993" w:right="713" w:hanging="284"/>
        <w:rPr>
          <w:sz w:val="20"/>
          <w:szCs w:val="20"/>
          <w:lang w:val="de-DE"/>
        </w:rPr>
      </w:pPr>
      <w:r w:rsidRPr="002B0DBD">
        <w:rPr>
          <w:sz w:val="20"/>
          <w:szCs w:val="20"/>
          <w:lang w:val="de-DE"/>
        </w:rPr>
        <w:t>4.</w:t>
      </w:r>
      <w:r>
        <w:rPr>
          <w:sz w:val="20"/>
          <w:szCs w:val="20"/>
          <w:lang w:val="de-DE"/>
        </w:rPr>
        <w:tab/>
      </w:r>
      <w:r w:rsidRPr="002B0DBD">
        <w:rPr>
          <w:sz w:val="20"/>
          <w:szCs w:val="20"/>
          <w:lang w:val="de-DE"/>
        </w:rPr>
        <w:t xml:space="preserve">Alle anderen Personen, die seit dem 1. Januar 1945 ihren Wohnung verlassen haben, müssen unaufgefordert sofort nach Einweisung in eine Unterkunft im neuen Aufenthaltsort folgende Meldepflichten erfüllen: </w:t>
      </w:r>
    </w:p>
    <w:p w:rsidR="00593A53" w:rsidRPr="002B0DBD" w:rsidRDefault="00593A53" w:rsidP="006F011E">
      <w:pPr>
        <w:numPr>
          <w:ilvl w:val="0"/>
          <w:numId w:val="25"/>
        </w:numPr>
        <w:tabs>
          <w:tab w:val="left" w:pos="993"/>
        </w:tabs>
        <w:spacing w:after="120" w:line="240" w:lineRule="auto"/>
        <w:ind w:left="993" w:right="713" w:hanging="284"/>
        <w:rPr>
          <w:sz w:val="20"/>
          <w:szCs w:val="20"/>
          <w:lang w:val="de-DE"/>
        </w:rPr>
      </w:pPr>
      <w:r w:rsidRPr="002B0DBD">
        <w:rPr>
          <w:sz w:val="20"/>
          <w:szCs w:val="20"/>
          <w:lang w:val="de-DE"/>
        </w:rPr>
        <w:t xml:space="preserve">Alle Volksgenosse haben sich ber der für ihren neuen Aufenthaltsort zustandigen polizeilichen Meldestelle zu melden. </w:t>
      </w:r>
    </w:p>
    <w:p w:rsidR="00593A53" w:rsidRPr="002B0DBD" w:rsidRDefault="00593A53" w:rsidP="006F011E">
      <w:pPr>
        <w:numPr>
          <w:ilvl w:val="0"/>
          <w:numId w:val="25"/>
        </w:numPr>
        <w:tabs>
          <w:tab w:val="left" w:pos="993"/>
        </w:tabs>
        <w:spacing w:after="120" w:line="240" w:lineRule="auto"/>
        <w:ind w:left="993" w:right="713" w:hanging="284"/>
        <w:rPr>
          <w:sz w:val="20"/>
          <w:szCs w:val="20"/>
          <w:lang w:val="de-DE"/>
        </w:rPr>
      </w:pPr>
      <w:r w:rsidRPr="002B0DBD">
        <w:rPr>
          <w:sz w:val="20"/>
          <w:szCs w:val="20"/>
          <w:lang w:val="de-DE"/>
        </w:rPr>
        <w:t xml:space="preserve">Alle nichteingezogenen Männer der Jährgänge 1884-1929 haben sich außerdem bei dem für ihren neuen Aufenthaltsort zustägiwen Wehrmeldeamt oder Wehrbezirkommando unter Vorlage ihrer Militärpapiere zu melden. </w:t>
      </w:r>
    </w:p>
    <w:p w:rsidR="00593A53" w:rsidRPr="002B0DBD" w:rsidRDefault="00593A53" w:rsidP="006F011E">
      <w:pPr>
        <w:numPr>
          <w:ilvl w:val="0"/>
          <w:numId w:val="25"/>
        </w:numPr>
        <w:tabs>
          <w:tab w:val="left" w:pos="993"/>
        </w:tabs>
        <w:spacing w:after="120" w:line="240" w:lineRule="auto"/>
        <w:ind w:left="993" w:right="713" w:hanging="284"/>
        <w:rPr>
          <w:sz w:val="20"/>
          <w:szCs w:val="20"/>
          <w:lang w:val="de-DE"/>
        </w:rPr>
      </w:pPr>
      <w:r w:rsidRPr="002B0DBD">
        <w:rPr>
          <w:sz w:val="20"/>
          <w:szCs w:val="20"/>
          <w:lang w:val="de-DE"/>
        </w:rPr>
        <w:t xml:space="preserve">Angehörige des öffentlichen Dienstes haben sich außerdem zu melden: </w:t>
      </w:r>
    </w:p>
    <w:p w:rsidR="00593A53" w:rsidRPr="002B0DBD" w:rsidRDefault="00593A53" w:rsidP="006F011E">
      <w:pPr>
        <w:numPr>
          <w:ilvl w:val="0"/>
          <w:numId w:val="26"/>
        </w:numPr>
        <w:tabs>
          <w:tab w:val="left" w:pos="993"/>
        </w:tabs>
        <w:spacing w:after="120" w:line="240" w:lineRule="auto"/>
        <w:ind w:left="993" w:right="713" w:hanging="284"/>
        <w:rPr>
          <w:sz w:val="20"/>
          <w:szCs w:val="20"/>
          <w:lang w:val="de-DE"/>
        </w:rPr>
      </w:pPr>
      <w:r w:rsidRPr="002B0DBD">
        <w:rPr>
          <w:sz w:val="20"/>
          <w:szCs w:val="20"/>
          <w:lang w:val="de-DE"/>
        </w:rPr>
        <w:t xml:space="preserve">Soweit ihnen vor dem Abrücken von ihren Dienstellen eine bestimmte Behörde als Meldestelle aufgegeben worden ist, bei Gieser; </w:t>
      </w:r>
    </w:p>
    <w:p w:rsidR="00593A53" w:rsidRPr="006F011E" w:rsidRDefault="00593A53" w:rsidP="006F011E">
      <w:pPr>
        <w:numPr>
          <w:ilvl w:val="0"/>
          <w:numId w:val="26"/>
        </w:numPr>
        <w:tabs>
          <w:tab w:val="left" w:pos="993"/>
        </w:tabs>
        <w:spacing w:after="120" w:line="240" w:lineRule="auto"/>
        <w:ind w:left="993" w:right="713" w:hanging="284"/>
        <w:rPr>
          <w:sz w:val="20"/>
          <w:szCs w:val="20"/>
          <w:lang w:val="en-US"/>
        </w:rPr>
      </w:pPr>
      <w:r w:rsidRPr="006F011E">
        <w:rPr>
          <w:sz w:val="20"/>
          <w:szCs w:val="20"/>
          <w:lang w:val="de-DE"/>
        </w:rPr>
        <w:t xml:space="preserve">wenn eine solche Meldestelle nicht bestimmt worden ist, bei der nächsten Behörde ihres </w:t>
      </w:r>
      <w:r w:rsidRPr="006F011E">
        <w:rPr>
          <w:sz w:val="20"/>
          <w:szCs w:val="20"/>
          <w:lang w:val="en-US"/>
        </w:rPr>
        <w:t xml:space="preserve">Geschäftsbereichs; </w:t>
      </w:r>
    </w:p>
    <w:p w:rsidR="00593A53" w:rsidRPr="002B0DBD" w:rsidRDefault="00593A53" w:rsidP="006F011E">
      <w:pPr>
        <w:numPr>
          <w:ilvl w:val="0"/>
          <w:numId w:val="26"/>
        </w:numPr>
        <w:tabs>
          <w:tab w:val="left" w:pos="993"/>
        </w:tabs>
        <w:spacing w:after="120" w:line="240" w:lineRule="auto"/>
        <w:ind w:left="993" w:right="713" w:hanging="284"/>
        <w:rPr>
          <w:sz w:val="20"/>
          <w:szCs w:val="20"/>
          <w:lang w:val="de-DE"/>
        </w:rPr>
      </w:pPr>
      <w:r w:rsidRPr="002B0DBD">
        <w:rPr>
          <w:sz w:val="20"/>
          <w:szCs w:val="20"/>
          <w:lang w:val="de-DE"/>
        </w:rPr>
        <w:t xml:space="preserve">im Zweifwlsfalle bei dem nächsten Landrat oder Oberburgermeister, der ihre Meldung an die zuständige Behörde weiterleitet. </w:t>
      </w:r>
    </w:p>
    <w:p w:rsidR="00593A53" w:rsidRPr="002B0DBD" w:rsidRDefault="00593A53" w:rsidP="006F011E">
      <w:pPr>
        <w:tabs>
          <w:tab w:val="left" w:pos="993"/>
        </w:tabs>
        <w:spacing w:after="120" w:line="240" w:lineRule="auto"/>
        <w:ind w:left="993" w:right="713" w:hanging="284"/>
        <w:rPr>
          <w:sz w:val="20"/>
          <w:szCs w:val="20"/>
          <w:lang w:val="de-DE"/>
        </w:rPr>
      </w:pPr>
      <w:r w:rsidRPr="002B0DBD">
        <w:rPr>
          <w:sz w:val="20"/>
          <w:szCs w:val="20"/>
          <w:lang w:val="de-DE"/>
        </w:rPr>
        <w:t xml:space="preserve">D) </w:t>
      </w:r>
      <w:r>
        <w:rPr>
          <w:sz w:val="20"/>
          <w:szCs w:val="20"/>
          <w:lang w:val="de-DE"/>
        </w:rPr>
        <w:tab/>
      </w:r>
      <w:r w:rsidRPr="002B0DBD">
        <w:rPr>
          <w:sz w:val="20"/>
          <w:szCs w:val="20"/>
          <w:lang w:val="de-DE"/>
        </w:rPr>
        <w:t xml:space="preserve">Politische Leiter nd Gliederungsführer haben sich außerdem bei der für ihren neuen Aufenthaltsort zuständigen Kreisleitung zu melden. </w:t>
      </w:r>
    </w:p>
    <w:p w:rsidR="00593A53" w:rsidRPr="002B0DBD" w:rsidRDefault="00593A53" w:rsidP="006F011E">
      <w:pPr>
        <w:numPr>
          <w:ilvl w:val="0"/>
          <w:numId w:val="27"/>
        </w:numPr>
        <w:tabs>
          <w:tab w:val="left" w:pos="993"/>
        </w:tabs>
        <w:spacing w:after="120" w:line="240" w:lineRule="auto"/>
        <w:ind w:left="993" w:right="713" w:hanging="284"/>
        <w:rPr>
          <w:sz w:val="20"/>
          <w:szCs w:val="20"/>
          <w:lang w:val="de-DE"/>
        </w:rPr>
      </w:pPr>
      <w:r w:rsidRPr="002B0DBD">
        <w:rPr>
          <w:sz w:val="20"/>
          <w:szCs w:val="20"/>
          <w:lang w:val="de-DE"/>
        </w:rPr>
        <w:t xml:space="preserve">Die Meldepflichtigen erhalten Bezüge aus öffentlichen Kassen nur nach Erfüllung der Meldepflicht. Die Ernährungsämter, Versorgungsbehörden usw. sind angewissen, nur Nachweis der Meldungen Lebensmittelkarten auszuhändigen und Zahlungen zu leisten. </w:t>
      </w:r>
    </w:p>
    <w:p w:rsidR="00593A53" w:rsidRPr="002B0DBD" w:rsidRDefault="00593A53" w:rsidP="006F011E">
      <w:pPr>
        <w:numPr>
          <w:ilvl w:val="0"/>
          <w:numId w:val="27"/>
        </w:numPr>
        <w:tabs>
          <w:tab w:val="left" w:pos="993"/>
        </w:tabs>
        <w:spacing w:after="120" w:line="240" w:lineRule="auto"/>
        <w:ind w:left="993" w:right="713" w:hanging="284"/>
        <w:rPr>
          <w:sz w:val="20"/>
          <w:szCs w:val="20"/>
          <w:lang w:val="de-DE"/>
        </w:rPr>
      </w:pPr>
      <w:r w:rsidRPr="002B0DBD">
        <w:rPr>
          <w:sz w:val="20"/>
          <w:szCs w:val="20"/>
          <w:lang w:val="de-DE"/>
        </w:rPr>
        <w:t xml:space="preserve">Jeder, der einen Meldepflichtigen beherbergt, hat sich durch Vorlage der abgestempelten Meldepapiere nachweisen zu lassen, daß die Meldepflicht erfüllt ist. Wird diese Nachweis nicht unverzüglich geführt, so hat Beherberger sofort bei der polizeilichen Meldebehörde Meldung zu erstatten. </w:t>
      </w:r>
    </w:p>
    <w:p w:rsidR="00593A53" w:rsidRPr="002B0DBD" w:rsidRDefault="00593A53" w:rsidP="006F011E">
      <w:pPr>
        <w:numPr>
          <w:ilvl w:val="0"/>
          <w:numId w:val="27"/>
        </w:numPr>
        <w:tabs>
          <w:tab w:val="left" w:pos="993"/>
        </w:tabs>
        <w:spacing w:after="120" w:line="240" w:lineRule="auto"/>
        <w:ind w:left="993" w:right="713" w:hanging="284"/>
        <w:rPr>
          <w:sz w:val="20"/>
          <w:szCs w:val="20"/>
          <w:lang w:val="de-DE"/>
        </w:rPr>
      </w:pPr>
      <w:r w:rsidRPr="002B0DBD">
        <w:rPr>
          <w:sz w:val="20"/>
          <w:szCs w:val="20"/>
          <w:lang w:val="de-DE"/>
        </w:rPr>
        <w:t xml:space="preserve">Wer von Personen weiß, die verdächtig sind, sich der Wehr- und Arbeitspflicht zu entziehen, muß sofort bei der nächsten Polizeibehörde Anzeige erstatten. </w:t>
      </w:r>
    </w:p>
    <w:p w:rsidR="00593A53" w:rsidRPr="002B0DBD" w:rsidRDefault="00593A53" w:rsidP="006F011E">
      <w:pPr>
        <w:spacing w:after="120" w:line="240" w:lineRule="auto"/>
        <w:ind w:left="709" w:right="713" w:firstLine="0"/>
        <w:rPr>
          <w:lang w:val="de-DE"/>
        </w:rPr>
      </w:pPr>
      <w:r w:rsidRPr="002B0DBD">
        <w:rPr>
          <w:sz w:val="20"/>
          <w:szCs w:val="20"/>
          <w:lang w:val="de-DE"/>
        </w:rPr>
        <w:t>Die Verletzung der Meldepflicht ist strafbar. Es ist selbstverständlich, daß alle pflichtbewusten Volksgenossen dieser unverzüglich nachkommen. Wer aber die Meldung unterläßt, um sich seiner Wehr- oder Arbeitspflicht zu entziehen, wird als Diserteur berachtet und als solcher behandelt. Bestraft wird nicht nur der Schuldige, sondern auch jeder, der ihm in irgendeiner Weise Vorschub leistet. BA – Berlin Licterfelde, R 55/619, pp. 188-19</w:t>
      </w:r>
      <w:r w:rsidRPr="002B0DBD">
        <w:rPr>
          <w:rFonts w:eastAsia="Calibri"/>
          <w:sz w:val="20"/>
          <w:szCs w:val="20"/>
          <w:lang w:val="de-DE"/>
        </w:rPr>
        <w:t xml:space="preserve">0 </w:t>
      </w:r>
    </w:p>
  </w:footnote>
  <w:footnote w:id="150">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„Der Beauftragte der ungarischen Regierung für Flüchtlingen hat mir die in der Anlage abschriflich beigefügte Aufstellung übermittelt. </w:t>
      </w:r>
    </w:p>
    <w:p w:rsidR="00593A53" w:rsidRPr="002B0DBD" w:rsidRDefault="00593A53" w:rsidP="006F011E">
      <w:pPr>
        <w:spacing w:after="120" w:line="240" w:lineRule="auto"/>
        <w:ind w:left="566" w:right="713" w:firstLine="0"/>
        <w:rPr>
          <w:lang w:val="de-DE"/>
        </w:rPr>
      </w:pPr>
      <w:r w:rsidRPr="002B0DBD">
        <w:rPr>
          <w:sz w:val="20"/>
          <w:szCs w:val="20"/>
          <w:lang w:val="de-DE"/>
        </w:rPr>
        <w:t xml:space="preserve">Sie enthält Vorwaltungsfragen der einzelnen ungarischen Ressorts, die einer Klärung bedürfen. Mit des Auswärtigen Amt habe ich vereinbart, daß in Kurze zu einer Besprechung der beteiligten Ressorts eingeladen wird, in der die einzelnen Fragen zu erörtern und die Art der Verhandlungsführung festzulegen wäre. Bis zu diesem Zeitpunkt bitte ich, vor Verhandlungen mit ungarischen Stellen über einzelne Frage abzusehen.“ BA – Berlin fondo R 21/272 </w:t>
      </w:r>
      <w:r w:rsidRPr="002B0DBD">
        <w:rPr>
          <w:i/>
          <w:sz w:val="20"/>
          <w:szCs w:val="20"/>
          <w:lang w:val="de-DE"/>
        </w:rPr>
        <w:t xml:space="preserve">Fremde Volksgruppen innerhalb des Reichs und deren Schulwesen. Allgemeines und Madjaren 1940-1945, </w:t>
      </w:r>
      <w:r w:rsidRPr="002B0DBD">
        <w:rPr>
          <w:sz w:val="20"/>
          <w:szCs w:val="20"/>
          <w:lang w:val="de-DE"/>
        </w:rPr>
        <w:t>p. 37</w:t>
      </w:r>
      <w:r w:rsidRPr="002B0DBD">
        <w:rPr>
          <w:rFonts w:eastAsia="Calibri"/>
          <w:i/>
          <w:sz w:val="20"/>
          <w:szCs w:val="20"/>
          <w:lang w:val="de-DE"/>
        </w:rPr>
        <w:t xml:space="preserve">  </w:t>
      </w:r>
    </w:p>
  </w:footnote>
  <w:footnote w:id="151">
    <w:p w:rsidR="00593A53" w:rsidRPr="002B0DBD" w:rsidRDefault="00593A53" w:rsidP="006F011E">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w:t>
      </w:r>
      <w:r w:rsidRPr="002B0DBD">
        <w:rPr>
          <w:rFonts w:eastAsia="Calibri"/>
          <w:sz w:val="20"/>
          <w:szCs w:val="20"/>
          <w:lang w:val="de-DE"/>
        </w:rPr>
        <w:t xml:space="preserve">LA – Berlin A Rep. 005-007 Nr. 867 </w:t>
      </w:r>
    </w:p>
  </w:footnote>
  <w:footnote w:id="152">
    <w:p w:rsidR="00593A53" w:rsidRPr="00791545"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 xml:space="preserve">„Nach dem Einmarsch der Russen am 11. Februar 1945 hatten sich die Deutschen von Bieliz nach diesen Volkslisten zu melden, d.h. etwa 90% der registrierten Einwohnerschaft. Dabei lag für Frauen die Grenze der Meldepflicht bei 15 bezw. </w:t>
      </w:r>
      <w:r w:rsidRPr="00791545">
        <w:rPr>
          <w:i/>
          <w:sz w:val="20"/>
          <w:szCs w:val="20"/>
          <w:lang w:val="de-DE"/>
        </w:rPr>
        <w:t xml:space="preserve">55 Jahren. </w:t>
      </w:r>
    </w:p>
    <w:p w:rsidR="00593A53" w:rsidRPr="002B0DBD" w:rsidRDefault="00593A53" w:rsidP="008B5661">
      <w:pPr>
        <w:spacing w:after="0" w:line="240" w:lineRule="auto"/>
        <w:ind w:left="567" w:right="714" w:firstLine="0"/>
        <w:rPr>
          <w:sz w:val="20"/>
          <w:szCs w:val="20"/>
          <w:lang w:val="de-DE"/>
        </w:rPr>
      </w:pPr>
      <w:r w:rsidRPr="002B0DBD">
        <w:rPr>
          <w:i/>
          <w:sz w:val="20"/>
          <w:szCs w:val="20"/>
          <w:lang w:val="de-DE"/>
        </w:rPr>
        <w:t>Diejenige Frauen und Männer, die Volkslisten 2 und 3 angehörten, wurden sofort vollständig zurückgehalten, die Angehörigen Liste 3 teilweise. […]. Aber schon am 19.2.45 kamen  sie in Gefängnisse. […]. Zwei Tage später wurden sie weiter-befordert nach Sanok in Polen, wo der Trasport nach Russland zusammengestellt wurde. […].</w:t>
      </w:r>
      <w:r w:rsidRPr="002B0DBD">
        <w:rPr>
          <w:sz w:val="20"/>
          <w:szCs w:val="20"/>
          <w:lang w:val="de-DE"/>
        </w:rPr>
        <w:t xml:space="preserve"> </w:t>
      </w:r>
    </w:p>
    <w:p w:rsidR="00593A53" w:rsidRPr="002B0DBD" w:rsidRDefault="00593A53" w:rsidP="008B5661">
      <w:pPr>
        <w:spacing w:after="0" w:line="240" w:lineRule="auto"/>
        <w:ind w:left="567" w:right="714" w:firstLine="0"/>
        <w:rPr>
          <w:sz w:val="20"/>
          <w:szCs w:val="20"/>
          <w:lang w:val="de-DE"/>
        </w:rPr>
      </w:pPr>
      <w:r w:rsidRPr="002B0DBD">
        <w:rPr>
          <w:i/>
          <w:sz w:val="20"/>
          <w:szCs w:val="20"/>
          <w:lang w:val="de-DE"/>
        </w:rPr>
        <w:t xml:space="preserve">Anfang April 1945 kam die Heimatkehrerin mit einem Trasport von 1100 Frauen und Männer nach Prokopeck in Südsibirien, 30 Stalinsk, wo sie am 4.5.45 eintrafen. Während die Transportes sind relativ mehr Männer als Frauen verstorben. Wie die Internierten nach Beendigung der Fahrt erführen, wurden die Toten auf den Tender der Lokomotive gelegt und verheizt. </w:t>
      </w:r>
    </w:p>
    <w:p w:rsidR="00593A53" w:rsidRPr="002B0DBD" w:rsidRDefault="00593A53" w:rsidP="008B5661">
      <w:pPr>
        <w:spacing w:after="0" w:line="240" w:lineRule="auto"/>
        <w:ind w:left="567" w:right="714" w:firstLine="0"/>
        <w:rPr>
          <w:sz w:val="20"/>
          <w:szCs w:val="20"/>
          <w:lang w:val="de-DE"/>
        </w:rPr>
      </w:pPr>
      <w:r w:rsidRPr="002B0DBD">
        <w:rPr>
          <w:i/>
          <w:sz w:val="20"/>
          <w:szCs w:val="20"/>
          <w:lang w:val="de-DE"/>
        </w:rPr>
        <w:t xml:space="preserve">Etwa. 600 Frauen und 200 Männer aus dem Transport kamen in das Berglager Trasnogorka in Prokopek. Über den Verbleib der restlichen internierten des Transportes weiß die heim herehrin nichts. Die Gefangene wurden in Erdbunkern untergebracht. Die Verpflegung war sehr Mangelhaft. Ärztliche Betreuung fehlte. Außerdem waren weder Medikamente noch Versbandmaterial vorhanden. </w:t>
      </w:r>
    </w:p>
    <w:p w:rsidR="00593A53" w:rsidRPr="002B0DBD" w:rsidRDefault="00593A53" w:rsidP="006F011E">
      <w:pPr>
        <w:spacing w:after="120" w:line="240" w:lineRule="auto"/>
        <w:ind w:left="566" w:right="713" w:firstLine="0"/>
        <w:rPr>
          <w:lang w:val="de-DE"/>
        </w:rPr>
      </w:pPr>
      <w:r w:rsidRPr="00791545">
        <w:rPr>
          <w:i/>
          <w:sz w:val="20"/>
          <w:szCs w:val="20"/>
          <w:lang w:val="en-US"/>
        </w:rPr>
        <w:t>“</w:t>
      </w:r>
      <w:r w:rsidRPr="00791545">
        <w:rPr>
          <w:sz w:val="20"/>
          <w:szCs w:val="20"/>
          <w:lang w:val="en-US"/>
        </w:rPr>
        <w:t xml:space="preserve"> BA – Bayreuth Ost-Dok. 2/216</w:t>
      </w:r>
      <w:r w:rsidRPr="00791545">
        <w:rPr>
          <w:i/>
          <w:sz w:val="20"/>
          <w:szCs w:val="20"/>
          <w:lang w:val="en-US"/>
        </w:rPr>
        <w:t xml:space="preserve"> </w:t>
      </w:r>
    </w:p>
  </w:footnote>
  <w:footnote w:id="153">
    <w:p w:rsidR="00593A53" w:rsidRPr="002B0DBD" w:rsidRDefault="00593A53" w:rsidP="006F011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„Vier russische G.P.U. – Leute drangen u. a. auch in die Wohnung der Frau S. ein, bedrohten sie mit vorgehaltener Pistole und machten Anstalten, die jüngsten Tötcher, welche Frau S. auf den Armen hielt zu erschiessen. […]. Als der Pole die Oberhoheit in diesem Gebiet übernahm , mußte diese jüngste Tochter, welche der polnischen Sprache nicht mächtig war, bei Hausdurchsuchung von der Mutter unter dem Sofa versteckt werden, damit durch ihre deutsche Sprache sich nicht gefährdete. Es waren jedesmal furchtbare Minuten , welche diese Frau durchmanchen mußte, denn ständig war die Angst vor Entdeckung groß.  “ BA – Bayreuth Ost-Dok. 2/222   </w:t>
      </w:r>
    </w:p>
  </w:footnote>
  <w:footnote w:id="154">
    <w:p w:rsidR="00593A53" w:rsidRPr="002B0DBD" w:rsidRDefault="00593A53" w:rsidP="006F011E">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„Frau F., deren Mann bei der SS gewesen war, wurde wehrhafte, ausgezogen, mehr fach vergewaltigt und so lange und misshandelt, bis sie bewusstlos war. […]. Da ich und damit auch meine Familie in Lindau nicht mehr sicher in Lindau waren,  floh ich über die Tschechische Grenze nach Freuzendorf.“, BA – Bayreuth, Ost-Dok. </w:t>
      </w:r>
      <w:r w:rsidRPr="002B0DBD">
        <w:rPr>
          <w:sz w:val="20"/>
          <w:szCs w:val="20"/>
        </w:rPr>
        <w:t xml:space="preserve">2/225    </w:t>
      </w:r>
    </w:p>
  </w:footnote>
  <w:footnote w:id="15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Testimonianza di C. riportata da M. Ermacora in Dep 10/2009 pp. 217-220 </w:t>
      </w:r>
    </w:p>
  </w:footnote>
  <w:footnote w:id="156">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„Beim Beginn der Einschlissung von Neisse verliess ich am 17. 3. 1945 mit unserem 12 j. Jungen die Stadt und kam bis nach Budweis. Dank meiner polnisch-tschechische Sprachkenntnisse habe ich den Umsturz mit allen Grauenhaftigkeiten verhältnismässig gut überstanden. […]. Frauen und Mädchen wurden Angesichts ihrer Männer und Väter, die man am Bäume band, vergewaltigt.  Anfang Juli 1945 kamen wir in Kattowitz an. Selbst jetzt noch fingen die Sowjets von der Strasse weg Mädchen und Frauen und verschleppen die um Hilfe vergeblich schreienden.“   BA – Bayreuth Ost – Dok. 2/227  </w:t>
      </w:r>
    </w:p>
  </w:footnote>
  <w:footnote w:id="157">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„Ende Mai auf der Rückfahrt von Stralsund nach Schönlanke wollte ein russischer Soldat in Kalies meine Tochter auf dem Bahnhof vergewaltigen. Als ich meine Tochter begleiten wollte, da sie sich fürchtete, mit dem Russen mitzugehen, wollte  er mich mit seiner Pistole erschießen. Als ein Posten kam, schlug er nicht mit der Pistole über den Oberarm und ließ uns beide frei“. BA – Bayreuth Ost-Dok. </w:t>
      </w:r>
    </w:p>
  </w:footnote>
  <w:footnote w:id="158">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BA – Bayreuth Ost. Dok 1/141 </w:t>
      </w:r>
    </w:p>
  </w:footnote>
  <w:footnote w:id="159">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„Es war am 27. März 1945 im Laufe des Vormittags drangen die ersten Russen (Offiziere) in den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Hochbunker […] meine Frau, meine Tochter und mich vollständig aus, sämtliche Westgegenstände </w:t>
      </w:r>
    </w:p>
    <w:p w:rsidR="00593A53" w:rsidRPr="002B0DBD" w:rsidRDefault="00593A53" w:rsidP="006F011E">
      <w:pPr>
        <w:spacing w:after="120" w:line="240" w:lineRule="auto"/>
        <w:ind w:left="566" w:right="713" w:firstLine="0"/>
        <w:rPr>
          <w:lang w:val="de-DE"/>
        </w:rPr>
      </w:pPr>
      <w:r w:rsidRPr="002B0DBD">
        <w:rPr>
          <w:sz w:val="20"/>
          <w:szCs w:val="20"/>
          <w:lang w:val="de-DE"/>
        </w:rPr>
        <w:t xml:space="preserve">(Gold, Silber, Brillanten) wurden uns, unter Bedrohung er, schossen zu werden, abgenommen von den Russen. […]. Ihr Armee befehl lautete: Vierzehn Tage lang zu Rauben, Morden, Plundern und Vergewaltigen. Meine 25 jährige Tochter A. nehhe als Fernschreiberin beim stelle. Generalkommando in Danzig tätig war und seit uns Eltern geflüchtet war, wurde vergewaltigt an diesen Folgen ist sie gestorben.“ BA – Bayreuth Ost-Dok. 2/72 </w:t>
      </w:r>
    </w:p>
  </w:footnote>
  <w:footnote w:id="160">
    <w:p w:rsidR="00593A53" w:rsidRPr="002B0DBD" w:rsidRDefault="00593A53" w:rsidP="006F011E">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 „Urri Urri“ rief er. Ich lief hin und holte ihm die Taschenuhr meines Mannes, er zog ab. […]. Am Nachmittag hatten die Russen schon die besten Hausen besetzt und viele Familien auf der Strasse gesetzt. Wir hatten auch 2 Familien auf, dazu hatten wir noch 3 ausgebombte Familien mit je 2 Kindern bei uns zu wohnen. Es waren alles 3 jüngere Frauen und die Vergewaltigung ging am laufende Band. […] wir hatten eine todkranke Frau im Zimmer. Ein Russe kam herin, er suchte eine Frau. […]. Auch die andere Frauen stelltend sich schlafend. […]. Er kam zu mir und sagte: ich sollte mitkommen, ja sagte ich, aber mein Mann auch. Er führte uns an unsere Schlafzimmertür, welche verschlossen war. „Aufmachen!“ Da lag unsere jüngste Tochter im Bett und schlief. Er zeigte auf sie. Da griff ich das Kind und lief weg. Er folgte mir auf dem Fusse. Nahm die eine Frau unter die Arme und schleppte sie ins schlafzimmer. Um 3 Uhr in der Nacht kam die Frau in ganz aufgelösten Zustand wieder. Sie hatte in der Mitte von 2 Russen liegen müssen, von welchen sie abwechselnd gebraucht worden war, die Russen waren eingeschlafen und sie war dann ausgerückt.“ BA – Bayreuth, Ost-Dok. 2/136 </w:t>
      </w:r>
    </w:p>
  </w:footnote>
  <w:footnote w:id="161">
    <w:p w:rsidR="00593A53" w:rsidRPr="00791545" w:rsidRDefault="00593A53" w:rsidP="006F011E">
      <w:pPr>
        <w:spacing w:after="120" w:line="240" w:lineRule="auto"/>
        <w:ind w:left="566" w:right="713" w:firstLine="0"/>
        <w:rPr>
          <w:lang w:val="en-US"/>
        </w:rPr>
      </w:pPr>
      <w:r w:rsidRPr="002B0DBD">
        <w:rPr>
          <w:rStyle w:val="Rimandonotaapidipagina"/>
          <w:sz w:val="20"/>
          <w:szCs w:val="20"/>
        </w:rPr>
        <w:footnoteRef/>
      </w:r>
      <w:r w:rsidRPr="002B0DBD">
        <w:rPr>
          <w:sz w:val="20"/>
          <w:szCs w:val="20"/>
          <w:lang w:val="de-DE"/>
        </w:rPr>
        <w:t xml:space="preserve"> „Frau A. J. (38 J.) wurde 1945 von den Sowjets so schwer misshandelt und vergewaltigt, dass sie einige Tage später an den Folgen verstarb. […] Der Gastwirt B. aus Jeziorska, Kreis Turek wurde beim Einmarsch der Sowjets von Polen erschlagen.“ </w:t>
      </w:r>
      <w:r w:rsidRPr="00791545">
        <w:rPr>
          <w:sz w:val="20"/>
          <w:szCs w:val="20"/>
          <w:lang w:val="en-US"/>
        </w:rPr>
        <w:t xml:space="preserve">BA – Bayreuth Ost-Dok. 2/109 </w:t>
      </w:r>
    </w:p>
  </w:footnote>
  <w:footnote w:id="162">
    <w:p w:rsidR="00593A53" w:rsidRPr="002B0DBD" w:rsidRDefault="00593A53" w:rsidP="006F011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„Am 20. Januar 1945 vormittags kam der Befehl zum Flüchten und schon nachmittags wurde abgefahren. Meine Eltern, (mein Vater 74 Jahre) die durch mich darauf aufmerksam gemacht wurden, dass wir den Krieg verlieren, konnten nicht so eilig den Hof verlassen  und packten gründlich. Als sie am nächsten Tag dann endlich alles aufgeladen hatten, war es zu spät. Dazu kam, dass die Polen immer wieder sagten: „Warum wollen Sie flüchten, sie haben doch niemanden etwas getan, waren nicht Pg. und haben vielen Polen geholfen. […] Ein vernünftiger, bekannter Pole brachte meine Eltern noch mit anderen Deutschen in einer Dachkammer unter. […]. Die Russen kamen jede Nacht und vergewaltigten die Frauen. […] Obwohl sie nicht in der Partei waren, wurde ihnen ein grosses Hakenkreuz auf den Rück gemalt. Sie durften nicht auf dem Bürgersteig gehen. Wenn Vater die polnische Militz nicht ordentlich grüsste, wurde er geschlagen. Mein Vater ging eines Tages  von Hunger getrieben in unseren Heimatsort um sich vojn dort nach etwas Mehl zu erbetteln. Dort stürtzen sich eineige Polen auf ihn und frugen ihn vor 1939die beiden Polen, 1 km von unserem Dorf an der Strasse Schubin – Znin erschossen hätte. […]. Meine Schwester gelang es denn in Oktober 1948 raus zu kommen. Was sie gesehen und zu berichten weiss, ist grauenhaft. Es ist wohl besser, man schweigt darüber, denn ein zivilisierter Mensch, der es nicht selbst erlebt hat, wurde es doch nicht glauben“   BA – Bayreuth Ost-Dok. 2/73       </w:t>
      </w:r>
    </w:p>
  </w:footnote>
  <w:footnote w:id="163">
    <w:p w:rsidR="00593A53" w:rsidRPr="002B0DBD" w:rsidRDefault="00593A53" w:rsidP="006F011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„Von unserer Wohnung aus konnten wir sehen, wie mehr und mehr Soldaten über die Chaussee fortzogen […]. Das ängstigte Ruth Irmgard […]. Neben den beruhigenden Worten hatte es aber auch stets grausige Warnungen vor den „russischen Barbaren“ gegeben. „Wir waren auf das an ihre Soldaten verteilt hätten, auf denen stand, die deutschen Frauen sind Freiwild“</w:t>
      </w:r>
      <w:r w:rsidRPr="002B0DBD">
        <w:rPr>
          <w:sz w:val="20"/>
          <w:szCs w:val="20"/>
          <w:lang w:val="de-DE"/>
        </w:rPr>
        <w:t xml:space="preserve"> I. Jacobs, </w:t>
      </w:r>
      <w:r w:rsidRPr="002B0DBD">
        <w:rPr>
          <w:i/>
          <w:sz w:val="20"/>
          <w:szCs w:val="20"/>
          <w:lang w:val="de-DE"/>
        </w:rPr>
        <w:t>Freiwild</w:t>
      </w:r>
      <w:r w:rsidRPr="002B0DBD">
        <w:rPr>
          <w:sz w:val="20"/>
          <w:szCs w:val="20"/>
          <w:lang w:val="de-DE"/>
        </w:rPr>
        <w:t xml:space="preserve">, List Taschenbuch Berlin 2008, pp. 55-56   </w:t>
      </w:r>
    </w:p>
  </w:footnote>
  <w:footnote w:id="16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Si fa riferimento alla Ost-Dok. 2 Film 16 S. 48   </w:t>
      </w:r>
    </w:p>
  </w:footnote>
  <w:footnote w:id="16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Picone Chiodo, </w:t>
      </w:r>
      <w:r w:rsidRPr="002B0DBD">
        <w:rPr>
          <w:i/>
          <w:sz w:val="20"/>
          <w:szCs w:val="20"/>
        </w:rPr>
        <w:t>E malediranno l’ora in cui partirono,</w:t>
      </w:r>
      <w:r w:rsidRPr="002B0DBD">
        <w:rPr>
          <w:sz w:val="20"/>
          <w:szCs w:val="20"/>
        </w:rPr>
        <w:t xml:space="preserve"> Mursia, Milano 1987 </w:t>
      </w:r>
    </w:p>
  </w:footnote>
  <w:footnote w:id="166">
    <w:p w:rsidR="00593A53" w:rsidRPr="002B0DBD" w:rsidRDefault="00593A53" w:rsidP="006F011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Der zweite Weltkrieg stellte aber in dieser Hinsicht einen besonders traurigen Rekord auf, als hier die Vergewaltigung der deutbesonders traurigen Rekord auf, als hier die Vergewaltigungen der deutschen Zivilbevölkerung durch Soldaten der Roten Armee zu einem bis dahin nicht gekannten Massenphänomen wurde. Welche Grunde im einzelnen hier eine Rolle spielten, ist bis heute nicht bekannt. Die ostdeutschen Gebiet waren der erste Teil des verhaßten Feindeslandes, der von Rotarmisten betreten wurde, und an den ersten Deutschen , deren man habhaft wurde, entlud sich der aufgestaute Haß aus deutschem Besatzungsregime und dem in Rußlandkrieg von beiden Seiten praktizierten Prinzip der verbrannten Erde d.h. der Vernichtung von Siedlungen und Infrastruktur beim Rückzug. Sicherlich wurde die Zügellosigkeit der Sowjetsoldaten auch durch entsprechende Propaganda wie die Aufrufe Ehrenburgs und die fehlenden Sanktionen seitens ihrer Vorgesetzen gefördert, aber alleine dies reicht zur Erklärung nicht aus. In vielen Teilen der eroberten ostdeutschen Gebiete gab es praktisch Frau oder Mädchen aus der einheimischen Bevölkerung, gleich welchen Alters, die nicht Opfer einer oder mehrerer Vergewaltigungen wurden, teilweise mit Todesfolge.Rogall, ibid. pp. 73-74   </w:t>
      </w:r>
    </w:p>
  </w:footnote>
  <w:footnote w:id="167">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t>
      </w:r>
      <w:hyperlink r:id="rId1">
        <w:r w:rsidRPr="002B0DBD">
          <w:rPr>
            <w:sz w:val="20"/>
            <w:szCs w:val="20"/>
            <w:u w:val="single" w:color="000000"/>
            <w:lang w:val="de-DE"/>
          </w:rPr>
          <w:t>http://www.memoro.org/it/Violenza</w:t>
        </w:r>
      </w:hyperlink>
      <w:hyperlink r:id="rId2">
        <w:r w:rsidRPr="002B0DBD">
          <w:rPr>
            <w:sz w:val="20"/>
            <w:szCs w:val="20"/>
            <w:u w:val="single" w:color="000000"/>
            <w:lang w:val="de-DE"/>
          </w:rPr>
          <w:t>-</w:t>
        </w:r>
      </w:hyperlink>
      <w:hyperlink r:id="rId3">
        <w:r w:rsidRPr="002B0DBD">
          <w:rPr>
            <w:sz w:val="20"/>
            <w:szCs w:val="20"/>
            <w:u w:val="single" w:color="000000"/>
            <w:lang w:val="de-DE"/>
          </w:rPr>
          <w:t>sulle</w:t>
        </w:r>
      </w:hyperlink>
      <w:hyperlink r:id="rId4">
        <w:r w:rsidRPr="002B0DBD">
          <w:rPr>
            <w:sz w:val="20"/>
            <w:szCs w:val="20"/>
            <w:u w:val="single" w:color="000000"/>
            <w:lang w:val="de-DE"/>
          </w:rPr>
          <w:t>-</w:t>
        </w:r>
      </w:hyperlink>
      <w:hyperlink r:id="rId5">
        <w:r w:rsidRPr="002B0DBD">
          <w:rPr>
            <w:sz w:val="20"/>
            <w:szCs w:val="20"/>
            <w:u w:val="single" w:color="000000"/>
            <w:lang w:val="de-DE"/>
          </w:rPr>
          <w:t>donne_3688.html</w:t>
        </w:r>
      </w:hyperlink>
      <w:hyperlink r:id="rId6">
        <w:r w:rsidRPr="002B0DBD">
          <w:rPr>
            <w:sz w:val="20"/>
            <w:szCs w:val="20"/>
            <w:lang w:val="de-DE"/>
          </w:rPr>
          <w:t xml:space="preserve"> </w:t>
        </w:r>
      </w:hyperlink>
      <w:r w:rsidRPr="002B0DBD">
        <w:rPr>
          <w:sz w:val="20"/>
          <w:szCs w:val="20"/>
          <w:lang w:val="de-DE"/>
        </w:rPr>
        <w:t xml:space="preserve"> </w:t>
      </w:r>
    </w:p>
  </w:footnote>
  <w:footnote w:id="168">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Knopp, op. cit. p. 305  </w:t>
      </w:r>
    </w:p>
  </w:footnote>
  <w:footnote w:id="169">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Duffy, ibid., pp. 282-283 </w:t>
      </w:r>
      <w:r w:rsidRPr="002B0DBD">
        <w:rPr>
          <w:rFonts w:eastAsia="Calibri"/>
          <w:sz w:val="20"/>
          <w:szCs w:val="20"/>
          <w:lang w:val="en-GB"/>
        </w:rPr>
        <w:t xml:space="preserve"> </w:t>
      </w:r>
    </w:p>
  </w:footnote>
  <w:footnote w:id="170">
    <w:p w:rsidR="00593A53" w:rsidRPr="002B0DBD" w:rsidRDefault="00593A53" w:rsidP="006F011E">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Ibidem, p. 290 </w:t>
      </w:r>
    </w:p>
  </w:footnote>
  <w:footnote w:id="171">
    <w:p w:rsidR="00593A53" w:rsidRPr="002B0DBD" w:rsidRDefault="00593A53" w:rsidP="006F011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„Fünf Männer darunter auch mein Mann (G. G.) im Blut überströmt, den Kopf zertrümmert (das auch der Todesschein bestätigt). […] Am nächsten Tag kamen sie wiederum, raubten von den Toten Männer Schuhe, Uhr, Ringe usw.“ Ost-Dok. 2/294a fol. 40-41      </w:t>
      </w:r>
    </w:p>
  </w:footnote>
  <w:footnote w:id="172">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„Oben genannte I. D., geb. W., geboren am 20.9.1906 in wiesa Kreis Brüx, Sudeten, erklärt hiermit an Eides statt: Im Jahre 1945 wohnte ich mit meiner Familie (mein Mann A. D. war noch bei der Wehrmacht) in Karbitz […]. Am 4. Juli wurde um 7 Uhr früh in Karbitz, meinem Wohnort, (die der tschechische Sprache nicht mächtig waren, konnten daher nichts davon verstehen) ausgetrommelt: sämtliche Deutsche müssen morgens 8 Uhr  also in einer Stunde, in der Priesternerstrasse gestellt sein.“ BA – Bayreuth Ost-Dok.2/294a. </w:t>
      </w:r>
    </w:p>
  </w:footnote>
  <w:footnote w:id="173">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„Am 30. April 1945 wurde ich von den Tschechen aus meiner Wohnung in Brünn geholt und ohne, daß ich mir etwas mitnehmen durfte, auf die Straße gejagt. Am Abend um ½ 7 Uhr holte ich ein betrunkener tschechische Polizei und schaffte mich mit einigen anderen Frauen, die er zusammenraffte, in ein Lager nach Brünn-Hussowitz. Im Lager waren wir bis 30. Mai 46. Wir erhalten nur eine Wassersuppe und ein kleines Stück Brot täglich. Die alten Leute, welche ebenfalls im Lager waren, starben an Entkräftung. In der Nacht wurden wir von den Tschechen in Reih und Glied  gestellt. Es kamen russische Soldaten, welche sich die Frauen, die Ihnen  passten bezeichnen, heraus holten und mit Autos wegfuhren. Wenige Frauen, die wiederum zurückgebracht wurden, befanden sich in einem furchtbare zustand und erklärten, daß was man mit ihnen gemacht habe, sei derart  schrecklich, daß sie niemals mehr ihren Kindern  und ihren Männer in die Augen schauen können. Viele Frauen begangen Selbstmord, zahlreihe mußten  wir mit Gewalt daran hindern. Viele Frauen sind überhaupt nicht mehr zurückgekommen.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Am 30. Mai 1945 um ½ 8 Uhr abends, mußten wir alle antreten, durften nichts mitnehmen  und wurden unter dem Vorwand, daß wir auf 3 Tage Arbeit gehen, in Marsch gesetzt. Aus allen Straßen Brünne strömten ähnliche Züge herbei und stauten sich in der Richtung Wienerstraße. Es waren Zehntausende von Menschen und war durchwegs Frauen mit Kindern, alte Leute und arbeitsunfähige Personen wie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Krüppeln usw.  die arbeitsfähigen Männer und Frauen bleiben zurück und wurden in </w:t>
      </w:r>
    </w:p>
    <w:p w:rsidR="00593A53" w:rsidRPr="00791545" w:rsidRDefault="00593A53" w:rsidP="006F011E">
      <w:pPr>
        <w:spacing w:after="120" w:line="240" w:lineRule="auto"/>
        <w:ind w:left="566" w:right="713" w:firstLine="0"/>
        <w:rPr>
          <w:lang w:val="en-US"/>
        </w:rPr>
      </w:pPr>
      <w:r w:rsidRPr="002B0DBD">
        <w:rPr>
          <w:sz w:val="20"/>
          <w:szCs w:val="20"/>
          <w:lang w:val="de-DE"/>
        </w:rPr>
        <w:t xml:space="preserve">Konzentrationslager gesperrt.    […]. In Porlitz, wo wir am 31. Mai abends ankamen, wurden wir in die Scheunen der Zuckerfabrik getrieben, wo wir auf dem nassen Erdboden vor Erschöpfung hinfielen. Dort wurden wir von tschechische Partisanen durchsucht und alles was ihnen paßte, wurde abgenommen. In der Nacht kamen wiederum Russen mit Tschechen und holten sich Frauen heraus. Auch Kinder von 13 Jahren waren darunter. Diese kamen nicht mehr zurück.“ </w:t>
      </w:r>
      <w:r w:rsidRPr="00791545">
        <w:rPr>
          <w:sz w:val="20"/>
          <w:szCs w:val="20"/>
          <w:lang w:val="en-US"/>
        </w:rPr>
        <w:t xml:space="preserve">Ost-Dok. 2/296 </w:t>
      </w:r>
    </w:p>
  </w:footnote>
  <w:footnote w:id="174">
    <w:p w:rsidR="00593A53" w:rsidRPr="00791545" w:rsidRDefault="00593A53" w:rsidP="006F011E">
      <w:pPr>
        <w:spacing w:after="120" w:line="240" w:lineRule="auto"/>
        <w:ind w:left="566" w:right="713" w:firstLine="0"/>
        <w:jc w:val="left"/>
        <w:rPr>
          <w:lang w:val="en-US"/>
        </w:rPr>
      </w:pPr>
      <w:r w:rsidRPr="002B0DBD">
        <w:rPr>
          <w:rStyle w:val="Rimandonotaapidipagina"/>
          <w:sz w:val="20"/>
          <w:szCs w:val="20"/>
        </w:rPr>
        <w:footnoteRef/>
      </w:r>
      <w:r w:rsidRPr="00791545">
        <w:rPr>
          <w:sz w:val="20"/>
          <w:szCs w:val="20"/>
          <w:lang w:val="en-US"/>
        </w:rPr>
        <w:t xml:space="preserve"> </w:t>
      </w:r>
      <w:r w:rsidRPr="002B0DBD">
        <w:rPr>
          <w:sz w:val="20"/>
          <w:szCs w:val="20"/>
          <w:lang w:val="de-DE"/>
        </w:rPr>
        <w:t xml:space="preserve">„Hilde und Maria G. wurden wohl manche Nacht 10-15 mal  herausgeholt. Frau B., Frau L., ein junges Mädchen, das zu uns geflüchtet war, kaum 15 Jahre alt, haben die Kerle nackt ausgesogen aus den Kopf gestellt, die Beine auseinander [?] danach 3 mal vergewaltigt.“ </w:t>
      </w:r>
      <w:r w:rsidRPr="00791545">
        <w:rPr>
          <w:sz w:val="20"/>
          <w:szCs w:val="20"/>
          <w:lang w:val="en-US"/>
        </w:rPr>
        <w:t xml:space="preserve">BA – Bayreuth Ost. Dok. 2/223 </w:t>
      </w:r>
    </w:p>
  </w:footnote>
  <w:footnote w:id="175">
    <w:p w:rsidR="00593A53" w:rsidRPr="00791545" w:rsidRDefault="00593A53" w:rsidP="006F011E">
      <w:pPr>
        <w:spacing w:after="120" w:line="240" w:lineRule="auto"/>
        <w:ind w:left="566" w:right="713" w:firstLine="0"/>
        <w:jc w:val="left"/>
        <w:rPr>
          <w:lang w:val="en-US"/>
        </w:rPr>
      </w:pPr>
      <w:r w:rsidRPr="002B0DBD">
        <w:rPr>
          <w:rStyle w:val="Rimandonotaapidipagina"/>
          <w:sz w:val="20"/>
          <w:szCs w:val="20"/>
        </w:rPr>
        <w:footnoteRef/>
      </w:r>
      <w:r w:rsidRPr="00791545">
        <w:rPr>
          <w:sz w:val="20"/>
          <w:szCs w:val="20"/>
          <w:lang w:val="en-US"/>
        </w:rPr>
        <w:t xml:space="preserve"> </w:t>
      </w:r>
      <w:r w:rsidRPr="002B0DBD">
        <w:rPr>
          <w:sz w:val="20"/>
          <w:szCs w:val="20"/>
          <w:lang w:val="de-DE"/>
        </w:rPr>
        <w:t xml:space="preserve">„Kurz darauf drang schon ein chechischen Partisan mit entsichertem Gewehr in unsere Wohnung ein, und fragte ob ich ein deutscher bin. Als ich „Ja“ sagte, rief er „Hände hoch“ u. wies mich aus dem Haus. So geschah ich in jedem Haus u. sämtliche Männer vom Kind bis zum Greis, würden in kürzester Zeit am Dorfplatz zusammen getrieben. Dort müssen wir warten bis Mittags.  […]. Dieselbe Nacht würde diese eine Frau vom tschechischen Wachposten mit vorgehalten Pistole vergewaltigt.“  </w:t>
      </w:r>
      <w:r w:rsidRPr="00791545">
        <w:rPr>
          <w:sz w:val="20"/>
          <w:szCs w:val="20"/>
          <w:lang w:val="en-US"/>
        </w:rPr>
        <w:t xml:space="preserve">BA – Bayreuth Ost-Dok. 2/242 </w:t>
      </w:r>
    </w:p>
  </w:footnote>
  <w:footnote w:id="176">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In Porlitz, wo wir am 31. Mai Abends ankamen, wurden wir in die Scheunen der Zuckerfabrik getrieben, wo wir auf dem nassen Erdboden vor Erschöpfung hinfielen. Dort wurden wir von tschechischen Partisanen durchsucht und alles, was ihnen paßte, wurde abgenommen. In der Nacht kamen wiederum Russen mit Tschechen und holten sich Frauen heraus. Auch Kinder von 13 Jahren waren darunter. Diese kamen nich mehr zurück.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Am nächsten Tag früh trieben sie uns wiederum ohne, daß wir zu essen bekommen hätte, ja ohne, daß wir trinken durften, mit Peitschenhieben wiederum weitergetrieben. Wiederum waren die Straßengräbe mit Leichen und Sterbenden von Kolonnen, die vor uns zogen, überfüllt. Wir wurden ständig mit Peitschen und Knüppeln geprügelt und wer aus unseren Reihen zusammenbracht wurde mit Tritten in den Straßengraben befördert. So ging es bis Nikolsburg. Dort wurden alle nochmals untersucht, es wurde restlos alles bis zum Taschentuch alles weggenommen, Ausweispapiere zerrisen. Jeder bekam noch einen Peitschenhieb ins Gesicht und wurde über die österreichische Grenze gejagt.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Das große Sterben der Erschöpften begann über der Grenze, wo die vielen Zehntausende von Menschen auf den Wiesen und Feldern lagen, ohne Nahrung, zum Großteil mit mangelhafter Bekleidung halb erfroren durch die Nachtfröste. Typhus und Ruhr brach aus und Zehntausende starben. Ich selbst kam bis Wien, wo ich zusammenbrach. In Wien hatte ich das Glück nicht im der russische Zone zu sein und wurde am 9. September 1946 einem Ausgewissentransport nach Bayern beigestellt und bin heute in Bogen angekommen. </w:t>
      </w:r>
    </w:p>
    <w:p w:rsidR="00593A53" w:rsidRPr="002B0DBD" w:rsidRDefault="00593A53" w:rsidP="006F011E">
      <w:pPr>
        <w:spacing w:after="120" w:line="240" w:lineRule="auto"/>
        <w:ind w:left="566" w:right="713" w:firstLine="0"/>
        <w:rPr>
          <w:lang w:val="de-DE"/>
        </w:rPr>
      </w:pPr>
      <w:r w:rsidRPr="002B0DBD">
        <w:rPr>
          <w:sz w:val="20"/>
          <w:szCs w:val="20"/>
          <w:lang w:val="de-DE"/>
        </w:rPr>
        <w:t xml:space="preserve">Ich bin bereit, die Wahrheit meiner Aussagen jederzeit zu beschwören. BA – Bayreuth, Ost Dok. 2, Bandzählwerk 0039 Filmzählwerk 0042 </w:t>
      </w:r>
    </w:p>
  </w:footnote>
  <w:footnote w:id="177">
    <w:p w:rsidR="00593A53" w:rsidRPr="002B0DBD" w:rsidRDefault="00593A53" w:rsidP="008B5661">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Am 8. 5. 45 kam ich in Olmütz als Volkssturmand in russ. Kriegsgefangenschaft. Nach 8 Wochen übergaben die Russen alle Volkssturmmänner den Tschechen, wir kamen in Olmütz – Hodolin in das Lager und mussten dort alle anfallenden Aufraumungsarbeiten verreichten. Wir wurden fast täglich beim Ausmarsch oder Antreten und auch während der Arbeit von dem Bewachungspersonal (alles ehemalige Partisanen) geschlagen und beschimpft. Im Lager wurden wir dann täglich verhört. Bei den Verhören wurde gefoltert und gesclagen bis schliesslich der Betreffende bewusstlos wurde und sogar versarb. Ich habe selbst 4-mal solche Opfer begraben müssen. In vielen Fällen lebten sie sogar noch. Sie mussten aber verschart werden. In dem Lager Olmützwurden auch sehr viele Frauen festgehalten. Diese wurden ebenfalls misshandelt und sehr oft von den Tschechen den Russen zugeführt. Sie wurden dann von den Russen geschändet. </w:t>
      </w:r>
    </w:p>
    <w:p w:rsidR="00593A53" w:rsidRPr="002B0DBD" w:rsidRDefault="00593A53" w:rsidP="008B5661">
      <w:pPr>
        <w:spacing w:after="0" w:line="240" w:lineRule="auto"/>
        <w:ind w:left="567" w:right="714" w:firstLine="0"/>
        <w:rPr>
          <w:sz w:val="20"/>
          <w:szCs w:val="20"/>
          <w:lang w:val="de-DE"/>
        </w:rPr>
      </w:pPr>
      <w:r w:rsidRPr="002B0DBD">
        <w:rPr>
          <w:sz w:val="20"/>
          <w:szCs w:val="20"/>
          <w:lang w:val="de-DE"/>
        </w:rPr>
        <w:t xml:space="preserve">Ich befand mich bis Feb. 1946 in Olmütz. Während dieser Zeit wurden die Deutschen tääglich misshandelt und geschlagen. Mir selbst wurde durch einen Faustschlag ins Gesicht die Zahneprothese gebrochen. Dann kam ich nach Brünn. Hier war die Behandlung etwas besser. Der Hass hatte sich  im Algemeinen etwas gelegt. </w:t>
      </w:r>
    </w:p>
    <w:p w:rsidR="00593A53" w:rsidRPr="002B0DBD" w:rsidRDefault="00593A53" w:rsidP="006F011E">
      <w:pPr>
        <w:spacing w:after="120" w:line="240" w:lineRule="auto"/>
        <w:ind w:left="566" w:right="713" w:firstLine="0"/>
        <w:rPr>
          <w:lang w:val="de-DE"/>
        </w:rPr>
      </w:pPr>
      <w:r w:rsidRPr="002B0DBD">
        <w:rPr>
          <w:sz w:val="20"/>
          <w:szCs w:val="20"/>
          <w:lang w:val="de-DE"/>
        </w:rPr>
        <w:t xml:space="preserve">Es gelang mir mit Hilfe eines mir bekannten Tschechen von dort zu fliehen.BA – Bayreuth, Ost Dok. 2/296b p. 119 </w:t>
      </w:r>
    </w:p>
  </w:footnote>
  <w:footnote w:id="178">
    <w:p w:rsidR="00593A53" w:rsidRPr="002B0DBD" w:rsidRDefault="00593A53" w:rsidP="006F011E">
      <w:pPr>
        <w:pStyle w:val="footnotedescription"/>
        <w:tabs>
          <w:tab w:val="center" w:pos="2237"/>
        </w:tabs>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Cfr. A. Rognoni in DEP 9/2008  </w:t>
      </w:r>
    </w:p>
  </w:footnote>
  <w:footnote w:id="179">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Rognoni in DEP 9/2008, pp. 89-90  </w:t>
      </w:r>
    </w:p>
  </w:footnote>
  <w:footnote w:id="180">
    <w:p w:rsidR="00593A53" w:rsidRDefault="00593A53" w:rsidP="00264D17">
      <w:pPr>
        <w:spacing w:after="3" w:line="265" w:lineRule="auto"/>
        <w:ind w:left="10" w:right="704"/>
      </w:pPr>
      <w:r>
        <w:rPr>
          <w:sz w:val="20"/>
          <w:szCs w:val="20"/>
        </w:rPr>
        <w:t xml:space="preserve">           </w:t>
      </w:r>
      <w:r w:rsidRPr="00D249D7">
        <w:rPr>
          <w:rStyle w:val="Rimandonotaapidipagina"/>
          <w:sz w:val="20"/>
          <w:szCs w:val="20"/>
        </w:rPr>
        <w:footnoteRef/>
      </w:r>
      <w:r w:rsidRPr="00D249D7">
        <w:rPr>
          <w:sz w:val="20"/>
          <w:szCs w:val="20"/>
        </w:rPr>
        <w:t xml:space="preserve"> Traduzione del documento da E. Magnanimi, I diritti civili nell’URSS, 1917-1936, DEP 5-6/2006 pp. 277-278</w:t>
      </w:r>
      <w:r w:rsidRPr="00D249D7">
        <w:rPr>
          <w:rFonts w:ascii="Calibri" w:eastAsia="Calibri" w:hAnsi="Calibri" w:cs="Calibri"/>
          <w:sz w:val="20"/>
          <w:szCs w:val="20"/>
        </w:rPr>
        <w:t xml:space="preserve">   </w:t>
      </w:r>
    </w:p>
  </w:footnote>
  <w:footnote w:id="18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Documento tradotto integralmente da G. Londero e riportato da M. Ermacora </w:t>
      </w:r>
      <w:r w:rsidRPr="002B0DBD">
        <w:rPr>
          <w:i/>
          <w:sz w:val="20"/>
          <w:szCs w:val="20"/>
        </w:rPr>
        <w:t>Ritornata dalla Russia</w:t>
      </w:r>
      <w:r w:rsidRPr="002B0DBD">
        <w:rPr>
          <w:sz w:val="20"/>
          <w:szCs w:val="20"/>
        </w:rPr>
        <w:t xml:space="preserve">, DEP 9/2008 pp. 196 e segg.  </w:t>
      </w:r>
    </w:p>
  </w:footnote>
  <w:footnote w:id="182">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„Es war uns nur erlaubt, einen Koffer mitzunehmen, und meine Mutter entscheid sich für den mit Lebensmittel, weil sie im 1. Weltkrieg auch schon eine Flucht erlebt hatte, und was ich mitnahm, waren mein Schultornister und einige persönliche Dinge, wie eine Puppe, etwas Spielzeug, was man auf dem </w:t>
      </w:r>
    </w:p>
  </w:footnote>
  <w:footnote w:id="183">
    <w:p w:rsidR="00593A53" w:rsidRPr="002B0DBD"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„Lieber Onkel und Tante! Bevor das alte Jahr zu Ende geht, möchte ich nicht versäumen euch recht herzliche Weihnachtsgrüße und die besten Wünsche zum baldigen Jahreswechsel zu senden. Ich will damit die Verbindung aufnehmen, die nun eigentlich schon ziehlich lange fällig ist; nachdem Ihr schon schon eine ganze Weile aus Böhmen  heraus seid. […].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Ich beginne mit dem 4.5.1945. Nachdem am 29.4. unser einziger mühsam von mir aufgetriebener LKW Verlagerungsgut und etwa 10 Personen abgefahren war, wurde es sehr ruhig im Insitut. Weitere </w:t>
      </w:r>
    </w:p>
    <w:p w:rsidR="00593A53" w:rsidRPr="002B0DBD" w:rsidRDefault="00593A53" w:rsidP="004F667C">
      <w:pPr>
        <w:spacing w:after="120" w:line="240" w:lineRule="auto"/>
        <w:ind w:left="566" w:right="713" w:firstLine="0"/>
        <w:rPr>
          <w:lang w:val="de-DE"/>
        </w:rPr>
      </w:pPr>
      <w:r w:rsidRPr="002B0DBD">
        <w:rPr>
          <w:sz w:val="20"/>
          <w:szCs w:val="20"/>
          <w:lang w:val="de-DE"/>
        </w:rPr>
        <w:t xml:space="preserve">Lastwagen waren nicht mehr zu requirieren und so beschloß”, BA – Bayreuth, Ost-Dok. 2/290 </w:t>
      </w:r>
    </w:p>
  </w:footnote>
  <w:footnote w:id="184">
    <w:p w:rsidR="00593A53" w:rsidRPr="002B0DBD" w:rsidRDefault="00593A53" w:rsidP="004F667C">
      <w:pPr>
        <w:spacing w:after="120" w:line="240" w:lineRule="auto"/>
        <w:ind w:left="566" w:right="713" w:firstLine="0"/>
        <w:rPr>
          <w:lang w:val="de-DE"/>
        </w:rPr>
      </w:pPr>
      <w:r w:rsidRPr="002B0DBD">
        <w:rPr>
          <w:rStyle w:val="Rimandonotaapidipagina"/>
          <w:sz w:val="20"/>
          <w:szCs w:val="20"/>
        </w:rPr>
        <w:footnoteRef/>
      </w:r>
      <w:r w:rsidRPr="00791545">
        <w:rPr>
          <w:sz w:val="20"/>
          <w:szCs w:val="20"/>
          <w:lang w:val="en-US"/>
        </w:rPr>
        <w:t xml:space="preserve">Ibidem, p. 268 </w:t>
      </w:r>
    </w:p>
  </w:footnote>
  <w:footnote w:id="185">
    <w:p w:rsidR="00593A53" w:rsidRPr="002B0DBD"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w:t>
      </w:r>
      <w:r w:rsidRPr="002B0DBD">
        <w:rPr>
          <w:rFonts w:eastAsia="Calibri"/>
          <w:strike/>
          <w:sz w:val="20"/>
          <w:szCs w:val="20"/>
          <w:lang w:val="de-DE"/>
        </w:rPr>
        <w:t xml:space="preserve"> </w:t>
      </w:r>
      <w:r w:rsidRPr="002B0DBD">
        <w:rPr>
          <w:sz w:val="20"/>
          <w:szCs w:val="20"/>
          <w:lang w:val="de-DE"/>
        </w:rPr>
        <w:t xml:space="preserve">Zu Hause und doch nicht zu Haus‘ –  Die Russen kommen jede Nacht –  Lieber Gott ich bitte Dich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Schenke mir Schlaf und 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Beschämt, erniedrigt und geschunden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Erheb ich mich wieder mit neuen Wunden. –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Ist man als Frau nur zetreten – geknechtet? Fragt denn niemand nach einem Rechte?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Ist dies unser Leben, dies uns´re Pein´? Nur für Männer Lust da zu sein?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Sind wir nur für dies da?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Ich stand doch mit Peter am Traualtar… 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Ich hab´ doch die Kinder – wir alle gleich. Wir haben uns´re Männer, wenn auch nicht hier…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Vergessen…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Ich bitte Dich Gott, schenk mir Schlaf und Vergessen  </w:t>
      </w:r>
    </w:p>
    <w:p w:rsidR="00593A53" w:rsidRPr="002B0DBD" w:rsidRDefault="00593A53" w:rsidP="004F667C">
      <w:pPr>
        <w:spacing w:after="120" w:line="240" w:lineRule="auto"/>
        <w:ind w:left="566" w:right="713" w:firstLine="0"/>
        <w:rPr>
          <w:lang w:val="de-DE"/>
        </w:rPr>
      </w:pPr>
      <w:r w:rsidRPr="002B0DBD">
        <w:rPr>
          <w:sz w:val="20"/>
          <w:szCs w:val="20"/>
          <w:lang w:val="de-DE"/>
        </w:rPr>
        <w:t xml:space="preserve">Und wollest mein Leben nicht hiernach bemessen… De Zayas, Anmerkengungen, op. cit. p. 93  </w:t>
      </w:r>
    </w:p>
  </w:footnote>
  <w:footnote w:id="186">
    <w:p w:rsidR="00593A53" w:rsidRPr="002B0DBD" w:rsidRDefault="00593A53" w:rsidP="004F667C">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„Etwa 600 Frauen und 200 Männer aus dem Transport kamen in das Berglager Kransnogorka in Prokopeck. […]. Die Gefangenen wurden in Erdbunker untergebracht. Die Verpflegung war sehr mangelhaft. Ärztliche Betreuung fehlte. Ausserdem waren weder Medikamente noch Verbandsmaterial vorhanden. Die Folge war, dass sehr viele starben, besonders nachdem noch eine Typhusepidemie ausgebrochen war. Die Toten wurden des Nachts aus dem Lager hinausgefahren.“ BA – Bayreuth OstDok. 2/216  </w:t>
      </w:r>
    </w:p>
  </w:footnote>
  <w:footnote w:id="187">
    <w:p w:rsidR="00593A53" w:rsidRPr="002B0DBD" w:rsidRDefault="00593A53" w:rsidP="004F667C">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„Am 17.1.1946 floh dann Frau S. mit ihren Kindern durch  polnisches Verwaltungsgebiet und gelangte nach Meus b/Görliz, einem Grenzort. Hier wurden alle Deutschen von den Polen in einem Wohnblock zusammengefasst, welcher die Beziehung „Deutsches Haus“ erhielt. In diesem Ort würde wütete die Miliz besonders grausam. Im ganzen verblieben Sk.´s  3 Monate dort, da sie nicht über die Grenze kamen. Ein 17 jähriges Mädchen wurde des öfteren aus diesem Wohnblock von der Miliz geholt, geschlagen, misshandelt und mehr mal vergewaltigt. Der ganze Körper dieses Mädels wies keine heile Stelle mehr auf, alles war förmlich schwarz geschlagen […]. Ein anderes Mädel setze sich bei einer Vergewaltigung derart zur daß der betr. </w:t>
      </w:r>
      <w:r w:rsidRPr="00791545">
        <w:rPr>
          <w:sz w:val="20"/>
          <w:szCs w:val="20"/>
          <w:lang w:val="de-DE"/>
        </w:rPr>
        <w:t xml:space="preserve">Milizsoldat ziemlich zugerichtet wurde.“ </w:t>
      </w:r>
      <w:r w:rsidRPr="002B0DBD">
        <w:rPr>
          <w:sz w:val="20"/>
          <w:szCs w:val="20"/>
        </w:rPr>
        <w:t xml:space="preserve">BA – Bayreuth Ost-Dok. 2/222  </w:t>
      </w:r>
    </w:p>
  </w:footnote>
  <w:footnote w:id="188">
    <w:p w:rsidR="00593A53" w:rsidRPr="002B0DBD" w:rsidRDefault="00593A53" w:rsidP="004F667C">
      <w:pPr>
        <w:spacing w:after="120" w:line="240" w:lineRule="auto"/>
        <w:ind w:left="566" w:right="713" w:firstLine="0"/>
      </w:pPr>
      <w:r w:rsidRPr="002B0DBD">
        <w:rPr>
          <w:rStyle w:val="Rimandonotaapidipagina"/>
          <w:sz w:val="20"/>
          <w:szCs w:val="20"/>
        </w:rPr>
        <w:footnoteRef/>
      </w:r>
      <w:r w:rsidRPr="002B0DBD">
        <w:rPr>
          <w:sz w:val="20"/>
          <w:szCs w:val="20"/>
        </w:rPr>
        <w:t xml:space="preserve"> M. Ermacora, S. Tiepolato, </w:t>
      </w:r>
      <w:r w:rsidRPr="002B0DBD">
        <w:rPr>
          <w:i/>
          <w:sz w:val="20"/>
          <w:szCs w:val="20"/>
        </w:rPr>
        <w:t>Donne in fuga</w:t>
      </w:r>
      <w:r w:rsidRPr="002B0DBD">
        <w:rPr>
          <w:sz w:val="20"/>
          <w:szCs w:val="20"/>
        </w:rPr>
        <w:t xml:space="preserve">, Dep. N. 10, Università Ca’ Foscari – Venezia 2009, p. 52 </w:t>
      </w:r>
    </w:p>
  </w:footnote>
  <w:footnote w:id="189">
    <w:p w:rsidR="00593A53" w:rsidRPr="00791545" w:rsidRDefault="00593A53" w:rsidP="00D249D7">
      <w:pPr>
        <w:spacing w:after="0" w:line="240" w:lineRule="auto"/>
        <w:ind w:left="567" w:right="714" w:firstLine="0"/>
        <w:rPr>
          <w:sz w:val="20"/>
          <w:szCs w:val="20"/>
          <w:lang w:val="en-US"/>
        </w:rPr>
      </w:pPr>
      <w:r w:rsidRPr="002B0DBD">
        <w:rPr>
          <w:rStyle w:val="Rimandonotaapidipagina"/>
          <w:sz w:val="20"/>
          <w:szCs w:val="20"/>
        </w:rPr>
        <w:footnoteRef/>
      </w:r>
      <w:r w:rsidRPr="002B0DBD">
        <w:rPr>
          <w:sz w:val="20"/>
          <w:szCs w:val="20"/>
          <w:lang w:val="de-DE"/>
        </w:rPr>
        <w:t xml:space="preserve"> Ich flüchtete mit meiner Frau und meinen drei Tötchern am 20. 1. 1945 aus Birnbaum und kam unangefochten bis in die gefend von Perleberg.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Hier erlebten wir die Ankunft der Sowjets im Mai. Flüchtlinge, die sie schon vorher erlebt hatten, rieten uns als Hauptsächlichstes unsere Töchter hinter der Tapetentür unseres Föüchtlingszimmers, uns wurde alles geraubt, aber unsre Töchter wurden glücklicherweise nicht entdeckt. </w:t>
      </w:r>
    </w:p>
    <w:p w:rsidR="00593A53" w:rsidRPr="00791545" w:rsidRDefault="00593A53" w:rsidP="004F667C">
      <w:pPr>
        <w:spacing w:after="120" w:line="240" w:lineRule="auto"/>
        <w:ind w:left="566" w:right="713" w:firstLine="0"/>
        <w:rPr>
          <w:lang w:val="en-US"/>
        </w:rPr>
      </w:pPr>
      <w:r w:rsidRPr="002B0DBD">
        <w:rPr>
          <w:sz w:val="20"/>
          <w:szCs w:val="20"/>
          <w:lang w:val="de-DE"/>
        </w:rPr>
        <w:t xml:space="preserve">Leider verlockte dies Versteck zu verlassen. Sie wurde sofort von den Sowjets erwischt  und schwer vergewaltigt. </w:t>
      </w:r>
      <w:r w:rsidRPr="00791545">
        <w:rPr>
          <w:sz w:val="20"/>
          <w:szCs w:val="20"/>
          <w:lang w:val="en-US"/>
        </w:rPr>
        <w:t xml:space="preserve">BA – Bayreuth, Ost-Dok. 2/74a </w:t>
      </w:r>
    </w:p>
  </w:footnote>
  <w:footnote w:id="190">
    <w:p w:rsidR="00593A53" w:rsidRPr="002B0DBD" w:rsidRDefault="00593A53" w:rsidP="004F667C">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„Dieses Mädchen heißt Renate Reddig und wurde am 4. Januar 1941 geboren. Es hat braune Augen und blondes Haar. Renate stammt wahrscheinlich aus Heilsberg in Ostpreußen.  […]. Wer kann Auskunft geben oder hat irgendwelche Vermutungen?“</w:t>
      </w:r>
      <w:r w:rsidRPr="002B0DBD">
        <w:rPr>
          <w:i/>
          <w:sz w:val="20"/>
          <w:szCs w:val="20"/>
          <w:lang w:val="de-DE"/>
        </w:rPr>
        <w:t xml:space="preserve"> , </w:t>
      </w:r>
      <w:r w:rsidRPr="002B0DBD">
        <w:rPr>
          <w:sz w:val="20"/>
          <w:szCs w:val="20"/>
          <w:lang w:val="de-DE"/>
        </w:rPr>
        <w:t xml:space="preserve">R. Kabur, A. Zühlke, </w:t>
      </w:r>
      <w:r w:rsidRPr="002B0DBD">
        <w:rPr>
          <w:i/>
          <w:sz w:val="20"/>
          <w:szCs w:val="20"/>
          <w:lang w:val="de-DE"/>
        </w:rPr>
        <w:t>Von Ostpreußen in die Lünenberger Heide: Vertreibung und Eingliederung 1945-1953</w:t>
      </w:r>
      <w:r w:rsidRPr="002B0DBD">
        <w:rPr>
          <w:sz w:val="20"/>
          <w:szCs w:val="20"/>
          <w:lang w:val="de-DE"/>
        </w:rPr>
        <w:t xml:space="preserve">, Lüneburg 1995, p. 22 </w:t>
      </w:r>
    </w:p>
  </w:footnote>
  <w:footnote w:id="191">
    <w:p w:rsidR="00593A53" w:rsidRPr="002B0DBD" w:rsidRDefault="00593A53" w:rsidP="004F667C">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„Das Mädchen, dessen Nachname unbekannt ist und dessen Geburtsjahr auf geschätzt wird, wurde am 8. 2. 1945 in einem Haus in Heilsberg (Ostpreußen) aufgefunden. Die Mutter ist an diesem Tage verstorben“, ibidem</w:t>
      </w:r>
      <w:r w:rsidRPr="002B0DBD">
        <w:rPr>
          <w:i/>
          <w:sz w:val="20"/>
          <w:szCs w:val="20"/>
          <w:lang w:val="de-DE"/>
        </w:rPr>
        <w:t xml:space="preserve"> </w:t>
      </w:r>
    </w:p>
  </w:footnote>
  <w:footnote w:id="19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 L. Stein, </w:t>
      </w:r>
      <w:r w:rsidRPr="002B0DBD">
        <w:rPr>
          <w:i/>
          <w:sz w:val="20"/>
          <w:szCs w:val="20"/>
        </w:rPr>
        <w:t xml:space="preserve">La tradizionale politica della Francia e l’avvenire europeo, </w:t>
      </w:r>
      <w:r w:rsidRPr="002B0DBD">
        <w:rPr>
          <w:sz w:val="20"/>
          <w:szCs w:val="20"/>
        </w:rPr>
        <w:t xml:space="preserve">Maglione e Strini Ed., Roma, 1923, pp. 65-66  </w:t>
      </w:r>
    </w:p>
  </w:footnote>
  <w:footnote w:id="193">
    <w:p w:rsidR="00593A53" w:rsidRPr="002B0DBD" w:rsidRDefault="00593A53" w:rsidP="004F667C">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“Wir wollen unser Heimat zurück!“ </w:t>
      </w:r>
    </w:p>
  </w:footnote>
  <w:footnote w:id="194">
    <w:p w:rsidR="00593A53" w:rsidRPr="002B0DBD" w:rsidRDefault="00593A53" w:rsidP="004F667C">
      <w:pPr>
        <w:spacing w:after="120" w:line="240" w:lineRule="auto"/>
        <w:ind w:left="566" w:right="713" w:firstLine="0"/>
      </w:pPr>
      <w:r w:rsidRPr="002B0DBD">
        <w:rPr>
          <w:rStyle w:val="Rimandonotaapidipagina"/>
          <w:sz w:val="20"/>
          <w:szCs w:val="20"/>
        </w:rPr>
        <w:footnoteRef/>
      </w:r>
      <w:r w:rsidRPr="002B0DBD">
        <w:rPr>
          <w:sz w:val="20"/>
          <w:szCs w:val="20"/>
        </w:rPr>
        <w:t xml:space="preserve"> Dall’intervista realizzata a O. G. in data 21/7/2015  </w:t>
      </w:r>
    </w:p>
  </w:footnote>
  <w:footnote w:id="195">
    <w:p w:rsidR="00593A53" w:rsidRPr="00791545"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Das neue Alarmsignal “Akute Luftgefahr“ ist teilweise noch nicht richtig verstanden worden. „Fliegeralarm“ wird, soweit rechtzeitige Auslösung wegen der Frontnähe noch möglich ist, nach wie zeuge eingefolgen und deshalb mit Bombenabwurfen zu rechnen ist.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Eine Gewissheit, dass der alarmierte Ort das </w:t>
      </w:r>
      <w:r w:rsidRPr="002B0DBD">
        <w:rPr>
          <w:sz w:val="20"/>
          <w:szCs w:val="20"/>
          <w:u w:val="single" w:color="000000"/>
          <w:lang w:val="de-DE"/>
        </w:rPr>
        <w:t>Ziel</w:t>
      </w:r>
      <w:r w:rsidRPr="002B0DBD">
        <w:rPr>
          <w:sz w:val="20"/>
          <w:szCs w:val="20"/>
          <w:lang w:val="de-DE"/>
        </w:rPr>
        <w:t xml:space="preserve"> des Angriffes sein noch nicht gegeben, da die feindlichen Flugzeuge abdrehen oder vorbeifliegen können. Wirtsschaft und Verkehr gehen daher – soweit zur Versorgung der Bevölkerung notwendig – weiter, jedoch soll jeder das, war er in den LS-Raum mitnehmen will, griffbereit legen, um jederzeit unverzuglich Deckung aufsuchen zu können. Tritt eine akute, unmittelbar bevorstehende Gefahr ein, so wird dies </w:t>
      </w:r>
      <w:r w:rsidRPr="002B0DBD">
        <w:rPr>
          <w:sz w:val="20"/>
          <w:szCs w:val="20"/>
          <w:u w:val="single" w:color="000000"/>
          <w:lang w:val="de-DE"/>
        </w:rPr>
        <w:t xml:space="preserve">wenige Minuten voher </w:t>
      </w:r>
      <w:r w:rsidRPr="002B0DBD">
        <w:rPr>
          <w:sz w:val="20"/>
          <w:szCs w:val="20"/>
          <w:lang w:val="de-DE"/>
        </w:rPr>
        <w:t xml:space="preserve">durch das Alarmsignal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„Akute Luftgefahr“ – zwei kurze Heultöne besonders angekundigt. Beim Ertönen dieses Signales ist daher keine Zeit mehr Vorbereitungen, zum zusammenpacken, Anziehen usw. wie beim Ertönen des Fliegeralarmzeichens. Jetzt muss jeder schnellstens in Deckung gehen.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Das Alarmzeichen „Akute Luftgefahr“ bedeute also eine Steigerung des Signals „Fliegersalarm“ […].Schnelligkeit ist dann höchstes Gebot.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Wenn sonit „Fliegeralarm“ gegeben ist, so muss jeder alles so vorbereiten, als ob er schon den LS-Raum aufsuchen wollte: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die Hausfrau stellt ihren Koffer schon an die Tür, kocht und wäscht aber weiter, </w:t>
      </w:r>
    </w:p>
    <w:p w:rsidR="00593A53" w:rsidRPr="002B0DBD" w:rsidRDefault="00593A53" w:rsidP="004F667C">
      <w:pPr>
        <w:spacing w:after="120" w:line="240" w:lineRule="auto"/>
        <w:ind w:left="566" w:right="713" w:firstLine="0"/>
        <w:rPr>
          <w:lang w:val="de-DE"/>
        </w:rPr>
      </w:pPr>
      <w:r w:rsidRPr="002B0DBD">
        <w:rPr>
          <w:sz w:val="20"/>
          <w:szCs w:val="20"/>
          <w:lang w:val="de-DE"/>
        </w:rPr>
        <w:t xml:space="preserve">der Geschäftmann verkauft weiter, unterrichtet aber seine Kundschaft über die Lage der unliegenden Schützräume.BA – Berlin Lichterfelde, R 55/619 p.205 </w:t>
      </w:r>
    </w:p>
  </w:footnote>
  <w:footnote w:id="196">
    <w:p w:rsidR="00593A53" w:rsidRPr="002B0DBD"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Bei dem Frühalarm am 11.10., 3.50 Uhr in Berlin ist bei der Drahtfunkansage aufgefallen, daß die erste Meldung überhaupt nicht mehr durchgegeben wurde. Ich selbst wartete über 10 Minuten auf eine Meldung, die dann aber nur mitteilte, daß die Spitze den Raum Magdeburg erreicht hätte. Alle Volksgenossen warteten aber auf die erste Meldung, welche Verbände und welche Anzahl von Waschinen ein eflogen sind.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Echwäre m. E. gut, wenn Sie verlassen könnten, daß in Zukunft besonders bei Alarmen, die in den </w:t>
      </w:r>
    </w:p>
    <w:p w:rsidR="00593A53" w:rsidRPr="002B0DBD" w:rsidRDefault="00593A53" w:rsidP="004F667C">
      <w:pPr>
        <w:spacing w:after="120" w:line="240" w:lineRule="auto"/>
        <w:ind w:left="566" w:right="713" w:firstLine="0"/>
        <w:rPr>
          <w:lang w:val="de-DE"/>
        </w:rPr>
      </w:pPr>
      <w:r w:rsidRPr="002B0DBD">
        <w:rPr>
          <w:sz w:val="20"/>
          <w:szCs w:val="20"/>
          <w:lang w:val="de-DE"/>
        </w:rPr>
        <w:t xml:space="preserve">Nachtstunden kommen, die erste Meldung mehrmals wiederholt wird. BA – Berlin Licterfelde, R 55/619 </w:t>
      </w:r>
    </w:p>
  </w:footnote>
  <w:footnote w:id="197">
    <w:p w:rsidR="00593A53" w:rsidRPr="002B0DBD" w:rsidRDefault="00593A53" w:rsidP="00791545">
      <w:pPr>
        <w:pStyle w:val="Testonotaapidipagina"/>
        <w:spacing w:after="120"/>
        <w:ind w:left="566" w:right="713" w:firstLine="0"/>
        <w:rPr>
          <w:lang w:val="de-DE"/>
        </w:rPr>
      </w:pPr>
      <w:r w:rsidRPr="002B0DBD">
        <w:rPr>
          <w:rStyle w:val="Rimandonotaapidipagina"/>
        </w:rPr>
        <w:footnoteRef/>
      </w:r>
      <w:r w:rsidRPr="002B0DBD">
        <w:rPr>
          <w:lang w:val="de-DE"/>
        </w:rPr>
        <w:t xml:space="preserve"> </w:t>
      </w:r>
      <w:r w:rsidRPr="00791545">
        <w:rPr>
          <w:lang w:val="en-US"/>
        </w:rPr>
        <w:t>G. Junge, p. 182</w:t>
      </w:r>
    </w:p>
  </w:footnote>
  <w:footnote w:id="198">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t>
      </w:r>
      <w:hyperlink r:id="rId7">
        <w:r w:rsidRPr="002B0DBD">
          <w:rPr>
            <w:sz w:val="20"/>
            <w:szCs w:val="20"/>
            <w:u w:val="single" w:color="000000"/>
            <w:lang w:val="de-DE"/>
          </w:rPr>
          <w:t>http://www.parkinson.it/morbo</w:t>
        </w:r>
      </w:hyperlink>
      <w:hyperlink r:id="rId8">
        <w:r w:rsidRPr="002B0DBD">
          <w:rPr>
            <w:sz w:val="20"/>
            <w:szCs w:val="20"/>
            <w:u w:val="single" w:color="000000"/>
            <w:lang w:val="de-DE"/>
          </w:rPr>
          <w:t>-</w:t>
        </w:r>
      </w:hyperlink>
      <w:hyperlink r:id="rId9">
        <w:r w:rsidRPr="002B0DBD">
          <w:rPr>
            <w:sz w:val="20"/>
            <w:szCs w:val="20"/>
            <w:u w:val="single" w:color="000000"/>
            <w:lang w:val="de-DE"/>
          </w:rPr>
          <w:t>di</w:t>
        </w:r>
      </w:hyperlink>
      <w:hyperlink r:id="rId10">
        <w:r w:rsidRPr="002B0DBD">
          <w:rPr>
            <w:sz w:val="20"/>
            <w:szCs w:val="20"/>
            <w:u w:val="single" w:color="000000"/>
            <w:lang w:val="de-DE"/>
          </w:rPr>
          <w:t>-</w:t>
        </w:r>
      </w:hyperlink>
      <w:hyperlink r:id="rId11">
        <w:r w:rsidRPr="002B0DBD">
          <w:rPr>
            <w:sz w:val="20"/>
            <w:szCs w:val="20"/>
            <w:u w:val="single" w:color="000000"/>
            <w:lang w:val="de-DE"/>
          </w:rPr>
          <w:t>parkinson.html</w:t>
        </w:r>
      </w:hyperlink>
      <w:hyperlink r:id="rId12">
        <w:r w:rsidRPr="002B0DBD">
          <w:rPr>
            <w:sz w:val="20"/>
            <w:szCs w:val="20"/>
            <w:lang w:val="de-DE"/>
          </w:rPr>
          <w:t xml:space="preserve"> </w:t>
        </w:r>
      </w:hyperlink>
      <w:r w:rsidRPr="002B0DBD">
        <w:rPr>
          <w:sz w:val="20"/>
          <w:szCs w:val="20"/>
          <w:lang w:val="de-DE"/>
        </w:rPr>
        <w:t xml:space="preserve">  </w:t>
      </w:r>
    </w:p>
  </w:footnote>
  <w:footnote w:id="199">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Schneider, </w:t>
      </w:r>
      <w:r w:rsidRPr="002B0DBD">
        <w:rPr>
          <w:i/>
          <w:sz w:val="20"/>
          <w:szCs w:val="20"/>
        </w:rPr>
        <w:t>Il rogo di Berlino</w:t>
      </w:r>
      <w:r w:rsidRPr="002B0DBD">
        <w:rPr>
          <w:sz w:val="20"/>
          <w:szCs w:val="20"/>
        </w:rPr>
        <w:t xml:space="preserve">, p. 50  </w:t>
      </w:r>
    </w:p>
  </w:footnote>
  <w:footnote w:id="20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Beevor, </w:t>
      </w:r>
      <w:r w:rsidRPr="002B0DBD">
        <w:rPr>
          <w:i/>
          <w:sz w:val="20"/>
          <w:szCs w:val="20"/>
        </w:rPr>
        <w:t>Berlino 1945, la caduta</w:t>
      </w:r>
      <w:r w:rsidRPr="002B0DBD">
        <w:rPr>
          <w:sz w:val="20"/>
          <w:szCs w:val="20"/>
        </w:rPr>
        <w:t xml:space="preserve">, Rizzoli, Milano 2008, p. 215  </w:t>
      </w:r>
    </w:p>
  </w:footnote>
  <w:footnote w:id="201">
    <w:p w:rsidR="00593A53" w:rsidRPr="002B0DBD" w:rsidRDefault="00593A53" w:rsidP="004F667C">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Die Angeschuldigte S. war während des Krieges Oberlautnant der Feuerschutzpolizei. Er ist alter Parteigenosse der NSDAP., Inhaber des goldenen Parteiabzeichne und verdankt der Partei, seinen ganzen Aufstieg. Am 16. April 1945 erhielt er den Befehl, mit zwei Züge seiner Kompanieden Feuerschutz der Stadt Magdeburg zu übernehmen. Die Stadt lag in diesen Tagen unter dem Artilleriebeschuß der heranrückenden Amerikaner. Am 17. April 1945, zwischen 17,00 und 18,00 Uhr waren die amerikanischen Truppen bereits in einige Vorstadtteile eingerückt, als S. seine Mannschaften auf der Hauptfeuerwache Kölnerstraße zusammen rufen ließ und zur Bildung einer Kampfgruppe aufforderte. BA- Berlin Lichterfelde, DP 1, AS, 797, P-1 Ministerium der Justiz, processo del 20 Novembre 1946.   </w:t>
      </w:r>
    </w:p>
  </w:footnote>
  <w:footnote w:id="202">
    <w:p w:rsidR="00593A53" w:rsidRPr="002B0DBD" w:rsidRDefault="00593A53" w:rsidP="004F667C">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„Seit Januar 1930 hat er der Nazi-Partei, von 1929-1933, auch der SA angehört; er war Träger des sogenannten goldenen Parteiabzeichens. Mit dem Nazi-parteibetrieb will er nicht zu tun gehabt, sondern sich ausschließlich seinem Beruf gewidmet haben; er habe jedoch infolge der geschickten Propaganda des Nazismus bis zuletzt an dessen Sache geglaubt.“ BA – Berlin Lichterfelde, DP 1, AS, 797, P-1 Ministerium der Justiz, processo del 2 luglio 1948  </w:t>
      </w:r>
    </w:p>
  </w:footnote>
  <w:footnote w:id="203">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H. R. Trevor-Roper, </w:t>
      </w:r>
      <w:r w:rsidRPr="002B0DBD">
        <w:rPr>
          <w:i/>
          <w:sz w:val="20"/>
          <w:szCs w:val="20"/>
          <w:lang w:val="en-GB"/>
        </w:rPr>
        <w:t>The last days of Hitler”</w:t>
      </w:r>
      <w:r w:rsidRPr="002B0DBD">
        <w:rPr>
          <w:sz w:val="20"/>
          <w:szCs w:val="20"/>
          <w:lang w:val="en-GB"/>
        </w:rPr>
        <w:t xml:space="preserve">, Pan Books, Londra 1962, pp. 148-154  </w:t>
      </w:r>
    </w:p>
  </w:footnote>
  <w:footnote w:id="204">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A. Beevor, </w:t>
      </w:r>
      <w:r w:rsidRPr="002B0DBD">
        <w:rPr>
          <w:i/>
          <w:sz w:val="20"/>
          <w:szCs w:val="20"/>
          <w:lang w:val="en-GB"/>
        </w:rPr>
        <w:t xml:space="preserve">cit., p. 210 </w:t>
      </w:r>
      <w:r w:rsidRPr="002B0DBD">
        <w:rPr>
          <w:sz w:val="20"/>
          <w:szCs w:val="20"/>
          <w:lang w:val="en-GB"/>
        </w:rPr>
        <w:t xml:space="preserve">  </w:t>
      </w:r>
    </w:p>
  </w:footnote>
  <w:footnote w:id="205">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H. R. Trevor-Roper, </w:t>
      </w:r>
      <w:r w:rsidRPr="002B0DBD">
        <w:rPr>
          <w:i/>
          <w:sz w:val="20"/>
          <w:szCs w:val="20"/>
          <w:lang w:val="en-GB"/>
        </w:rPr>
        <w:t>cit.</w:t>
      </w:r>
      <w:r w:rsidRPr="002B0DBD">
        <w:rPr>
          <w:sz w:val="20"/>
          <w:szCs w:val="20"/>
          <w:lang w:val="en-GB"/>
        </w:rPr>
        <w:t xml:space="preserve">, p. 54 e segg.  </w:t>
      </w:r>
    </w:p>
  </w:footnote>
  <w:footnote w:id="206">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Duffy, Ibidem p. 297  </w:t>
      </w:r>
    </w:p>
  </w:footnote>
  <w:footnote w:id="20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Schneider, </w:t>
      </w:r>
      <w:r w:rsidRPr="002B0DBD">
        <w:rPr>
          <w:i/>
          <w:sz w:val="20"/>
          <w:szCs w:val="20"/>
        </w:rPr>
        <w:t xml:space="preserve">Io piccola ospite del Führer, </w:t>
      </w:r>
      <w:r w:rsidRPr="002B0DBD">
        <w:rPr>
          <w:sz w:val="20"/>
          <w:szCs w:val="20"/>
        </w:rPr>
        <w:t xml:space="preserve">Einaudi, Torino 2006 pp. 20 e segg.  </w:t>
      </w:r>
      <w:r w:rsidRPr="002B0DBD">
        <w:rPr>
          <w:rFonts w:eastAsia="Calibri"/>
          <w:sz w:val="20"/>
          <w:szCs w:val="20"/>
        </w:rPr>
        <w:t xml:space="preserve"> </w:t>
      </w:r>
    </w:p>
  </w:footnote>
  <w:footnote w:id="20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N. Stargardt, </w:t>
      </w:r>
      <w:r w:rsidRPr="002B0DBD">
        <w:rPr>
          <w:i/>
          <w:sz w:val="20"/>
          <w:szCs w:val="20"/>
        </w:rPr>
        <w:t xml:space="preserve">La guerra dei bambini, </w:t>
      </w:r>
      <w:r w:rsidRPr="002B0DBD">
        <w:rPr>
          <w:sz w:val="20"/>
          <w:szCs w:val="20"/>
        </w:rPr>
        <w:t xml:space="preserve"> Milano, Mondadori 2005, p. 344-345  </w:t>
      </w:r>
    </w:p>
  </w:footnote>
  <w:footnote w:id="209">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Schneider, </w:t>
      </w:r>
      <w:r w:rsidRPr="002B0DBD">
        <w:rPr>
          <w:i/>
          <w:sz w:val="20"/>
          <w:szCs w:val="20"/>
        </w:rPr>
        <w:t xml:space="preserve">Io piccola ospite del Führer, </w:t>
      </w:r>
      <w:r w:rsidRPr="002B0DBD">
        <w:rPr>
          <w:sz w:val="20"/>
          <w:szCs w:val="20"/>
        </w:rPr>
        <w:t xml:space="preserve">Einaudi, Torino 2006, p. 40  </w:t>
      </w:r>
    </w:p>
  </w:footnote>
  <w:footnote w:id="21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Schneider, </w:t>
      </w:r>
      <w:r w:rsidRPr="002B0DBD">
        <w:rPr>
          <w:i/>
          <w:sz w:val="20"/>
          <w:szCs w:val="20"/>
        </w:rPr>
        <w:t xml:space="preserve">Il rogo di Berlino, </w:t>
      </w:r>
      <w:r w:rsidRPr="002B0DBD">
        <w:rPr>
          <w:sz w:val="20"/>
          <w:szCs w:val="20"/>
        </w:rPr>
        <w:t xml:space="preserve">Milano, Adelphi, 1998,  pp. 147-148 e 150-153  </w:t>
      </w:r>
    </w:p>
  </w:footnote>
  <w:footnote w:id="211">
    <w:p w:rsidR="00593A53" w:rsidRPr="002B0DBD" w:rsidRDefault="00593A53" w:rsidP="004F667C">
      <w:pPr>
        <w:spacing w:after="120" w:line="240" w:lineRule="auto"/>
        <w:ind w:left="566" w:right="713" w:firstLine="0"/>
        <w:rPr>
          <w:lang w:val="en-GB"/>
        </w:rPr>
      </w:pPr>
      <w:r w:rsidRPr="002B0DBD">
        <w:rPr>
          <w:rStyle w:val="Rimandonotaapidipagina"/>
          <w:sz w:val="20"/>
          <w:szCs w:val="20"/>
        </w:rPr>
        <w:footnoteRef/>
      </w:r>
      <w:r w:rsidRPr="002B0DBD">
        <w:rPr>
          <w:sz w:val="20"/>
          <w:szCs w:val="20"/>
          <w:lang w:val="en-GB"/>
        </w:rPr>
        <w:t xml:space="preserve">C. Goeschel </w:t>
      </w:r>
      <w:r w:rsidRPr="002B0DBD">
        <w:rPr>
          <w:i/>
          <w:sz w:val="20"/>
          <w:szCs w:val="20"/>
          <w:lang w:val="en-GB"/>
        </w:rPr>
        <w:t>Suicide in Nazi Germany</w:t>
      </w:r>
      <w:r w:rsidRPr="002B0DBD">
        <w:rPr>
          <w:sz w:val="20"/>
          <w:szCs w:val="20"/>
          <w:lang w:val="en-GB"/>
        </w:rPr>
        <w:t xml:space="preserve">, Oxford University press, New York 2009, 119 e segg. </w:t>
      </w:r>
      <w:r w:rsidRPr="002B0DBD">
        <w:rPr>
          <w:lang w:val="en-GB"/>
        </w:rPr>
        <w:t xml:space="preserve"> </w:t>
      </w:r>
    </w:p>
  </w:footnote>
  <w:footnote w:id="212">
    <w:p w:rsidR="00593A53" w:rsidRPr="002B0DBD" w:rsidRDefault="00593A53" w:rsidP="004F667C">
      <w:pPr>
        <w:spacing w:after="120" w:line="240" w:lineRule="auto"/>
        <w:ind w:left="566" w:right="713" w:firstLine="0"/>
        <w:jc w:val="left"/>
        <w:rPr>
          <w:lang w:val="en-GB"/>
        </w:rPr>
      </w:pPr>
      <w:r w:rsidRPr="002B0DBD">
        <w:rPr>
          <w:rStyle w:val="Rimandonotaapidipagina"/>
          <w:sz w:val="20"/>
          <w:szCs w:val="20"/>
        </w:rPr>
        <w:footnoteRef/>
      </w:r>
      <w:r w:rsidRPr="002B0DBD">
        <w:rPr>
          <w:sz w:val="20"/>
          <w:szCs w:val="20"/>
          <w:lang w:val="en-GB"/>
        </w:rPr>
        <w:t xml:space="preserve"> The war against the Soviet Union, planned from the outset as a war of extermination, also witnessed a new dynamic of radical Nazi policies against those considered politically or racially undesirable C. Goeschel, ibid. p.122 </w:t>
      </w:r>
    </w:p>
  </w:footnote>
  <w:footnote w:id="213">
    <w:p w:rsidR="00593A53" w:rsidRPr="002B0DBD" w:rsidRDefault="00593A53" w:rsidP="00D249D7">
      <w:pPr>
        <w:spacing w:after="0" w:line="240" w:lineRule="auto"/>
        <w:ind w:left="567" w:right="714" w:firstLine="0"/>
        <w:rPr>
          <w:sz w:val="20"/>
          <w:szCs w:val="20"/>
          <w:lang w:val="en-GB"/>
        </w:rPr>
      </w:pPr>
      <w:r w:rsidRPr="002B0DBD">
        <w:rPr>
          <w:rStyle w:val="Rimandonotaapidipagina"/>
          <w:sz w:val="20"/>
          <w:szCs w:val="20"/>
        </w:rPr>
        <w:footnoteRef/>
      </w:r>
      <w:r w:rsidRPr="002B0DBD">
        <w:rPr>
          <w:sz w:val="20"/>
          <w:szCs w:val="20"/>
          <w:lang w:val="de-DE"/>
        </w:rPr>
        <w:t xml:space="preserve"> „Die Stenotypistin M. G. C. M. geborene M. […] ist am 22. April 1945 um 16 Uhr  in Berlin-Buchholz, vor dem Hause  […] verstorben. </w:t>
      </w:r>
      <w:r w:rsidRPr="00791545">
        <w:rPr>
          <w:sz w:val="20"/>
          <w:szCs w:val="20"/>
          <w:lang w:val="en-US"/>
        </w:rPr>
        <w:t xml:space="preserve">[…].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Die verstorbene war verheiratet mit dem Werkzeugmacher B. A. L. J. M. […].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Eingetragen auf mündliche Anzeige der Kürschnersmamsell E. R., wohnhaft in Berlin Buchholz, […]. </w:t>
      </w:r>
    </w:p>
    <w:p w:rsidR="00593A53" w:rsidRPr="002B0DBD" w:rsidRDefault="00593A53" w:rsidP="004F667C">
      <w:pPr>
        <w:spacing w:after="120" w:line="240" w:lineRule="auto"/>
        <w:ind w:left="566" w:right="713" w:firstLine="0"/>
        <w:rPr>
          <w:lang w:val="de-DE"/>
        </w:rPr>
      </w:pPr>
      <w:r w:rsidRPr="002B0DBD">
        <w:rPr>
          <w:sz w:val="20"/>
          <w:szCs w:val="20"/>
          <w:lang w:val="de-DE"/>
        </w:rPr>
        <w:t xml:space="preserve">Die Anzeigende wies sich durch Personalausweis n. … der Deutschen Reichsbahn aus. Sie erklärte, von dem Sterbefall aus eigener Wissenschaft unerreichtet zu sein.  </w:t>
      </w:r>
    </w:p>
  </w:footnote>
  <w:footnote w:id="214">
    <w:p w:rsidR="00593A53" w:rsidRPr="002B0DBD"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 </w:t>
      </w:r>
    </w:p>
    <w:p w:rsidR="00593A53" w:rsidRPr="00791545" w:rsidRDefault="00593A53" w:rsidP="00D249D7">
      <w:pPr>
        <w:spacing w:after="0" w:line="240" w:lineRule="auto"/>
        <w:ind w:left="567" w:right="714" w:firstLine="0"/>
        <w:rPr>
          <w:sz w:val="20"/>
          <w:szCs w:val="20"/>
          <w:lang w:val="en-US"/>
        </w:rPr>
      </w:pPr>
      <w:r w:rsidRPr="002B0DBD">
        <w:rPr>
          <w:sz w:val="20"/>
          <w:szCs w:val="20"/>
          <w:lang w:val="de-DE"/>
        </w:rPr>
        <w:t xml:space="preserve">Todesursache: Selbstmord durch Vergiftung“ LA – Berlin C Sterbebuch Standesamt BerlinBuchholz 1945 Bd. </w:t>
      </w:r>
      <w:r w:rsidRPr="00791545">
        <w:rPr>
          <w:sz w:val="20"/>
          <w:szCs w:val="20"/>
          <w:lang w:val="en-US"/>
        </w:rPr>
        <w:t xml:space="preserve">I Nr. 1 bis 572, n. 2 </w:t>
      </w:r>
    </w:p>
    <w:p w:rsidR="00593A53" w:rsidRPr="00791545" w:rsidRDefault="00593A53" w:rsidP="00D249D7">
      <w:pPr>
        <w:spacing w:after="0" w:line="240" w:lineRule="auto"/>
        <w:ind w:left="567" w:right="714" w:firstLine="0"/>
        <w:rPr>
          <w:sz w:val="20"/>
          <w:szCs w:val="20"/>
          <w:lang w:val="en-US"/>
        </w:rPr>
      </w:pPr>
      <w:r w:rsidRPr="002B0DBD">
        <w:rPr>
          <w:sz w:val="20"/>
          <w:szCs w:val="20"/>
          <w:lang w:val="de-DE"/>
        </w:rPr>
        <w:t xml:space="preserve">[…] ist am 21. April 1945 um 22 Uhr – Minuten in Berlin Buchholz verstorben.  </w:t>
      </w:r>
    </w:p>
    <w:p w:rsidR="00593A53" w:rsidRPr="00791545" w:rsidRDefault="00593A53" w:rsidP="00D249D7">
      <w:pPr>
        <w:spacing w:after="0" w:line="240" w:lineRule="auto"/>
        <w:ind w:left="567" w:right="714" w:firstLine="0"/>
        <w:rPr>
          <w:sz w:val="20"/>
          <w:szCs w:val="20"/>
          <w:lang w:val="en-US"/>
        </w:rPr>
      </w:pPr>
      <w:r w:rsidRPr="00791545">
        <w:rPr>
          <w:sz w:val="20"/>
          <w:szCs w:val="20"/>
          <w:lang w:val="en-US"/>
        </w:rPr>
        <w:t xml:space="preserve">[…].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Die Anzeigende wies sich durch Personalausweis aus. Sie erklärte, von dem Sterbefall aus eigener Wissenschaft unterrichtet zu sein.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Todesursache: Selbstmord durch Schlaftablette LA – Berlin C Sterbebuch Standesamt BerlinBuchholz 1945 Bd. I Nr. 1 bis 572, n. 43  </w:t>
      </w:r>
    </w:p>
    <w:p w:rsidR="00593A53" w:rsidRPr="00791545" w:rsidRDefault="00593A53" w:rsidP="004F667C">
      <w:pPr>
        <w:spacing w:after="120" w:line="240" w:lineRule="auto"/>
        <w:ind w:left="566" w:right="713" w:firstLine="0"/>
        <w:rPr>
          <w:lang w:val="en-US"/>
        </w:rPr>
      </w:pPr>
      <w:r w:rsidRPr="002B0DBD">
        <w:rPr>
          <w:sz w:val="20"/>
          <w:szCs w:val="20"/>
          <w:lang w:val="de-DE"/>
        </w:rPr>
        <w:t xml:space="preserve">Todesursache: Selbstmord durch Ertrinken im Löschteich LA – Berlin C Sterbebuch Standesamt Berlin-Buchholz 1945 Bd. </w:t>
      </w:r>
      <w:r w:rsidRPr="00791545">
        <w:rPr>
          <w:sz w:val="20"/>
          <w:szCs w:val="20"/>
          <w:lang w:val="en-US"/>
        </w:rPr>
        <w:t xml:space="preserve">I Nr. 1 bis 572, n. 46 </w:t>
      </w:r>
    </w:p>
  </w:footnote>
  <w:footnote w:id="215">
    <w:p w:rsidR="00593A53" w:rsidRPr="00791545" w:rsidRDefault="00593A53" w:rsidP="00D249D7">
      <w:pPr>
        <w:spacing w:after="0" w:line="240" w:lineRule="auto"/>
        <w:ind w:left="567" w:right="714" w:firstLine="0"/>
        <w:rPr>
          <w:sz w:val="20"/>
          <w:szCs w:val="20"/>
          <w:lang w:val="en-US"/>
        </w:rPr>
      </w:pPr>
      <w:r w:rsidRPr="002B0DBD">
        <w:rPr>
          <w:rStyle w:val="Rimandonotaapidipagina"/>
          <w:sz w:val="20"/>
          <w:szCs w:val="20"/>
        </w:rPr>
        <w:footnoteRef/>
      </w:r>
      <w:r w:rsidRPr="002B0DBD">
        <w:rPr>
          <w:sz w:val="20"/>
          <w:szCs w:val="20"/>
          <w:lang w:val="de-DE"/>
        </w:rPr>
        <w:t xml:space="preserve"> Todesursache: Selbstmord durch Öffnung der Pulsader. LA – Berlin C Sterbebuch Standesamt Berlin-Buchholz 1945 Bd. </w:t>
      </w:r>
      <w:r w:rsidRPr="00791545">
        <w:rPr>
          <w:sz w:val="20"/>
          <w:szCs w:val="20"/>
          <w:lang w:val="en-US"/>
        </w:rPr>
        <w:t xml:space="preserve">I Nr. 1 bis 572, n. 16 </w:t>
      </w:r>
    </w:p>
    <w:p w:rsidR="00593A53" w:rsidRPr="002B0DBD" w:rsidRDefault="00593A53" w:rsidP="004F667C">
      <w:pPr>
        <w:spacing w:after="120" w:line="240" w:lineRule="auto"/>
        <w:ind w:left="566" w:right="713" w:firstLine="0"/>
        <w:rPr>
          <w:lang w:val="de-DE"/>
        </w:rPr>
      </w:pPr>
      <w:r w:rsidRPr="002B0DBD">
        <w:rPr>
          <w:sz w:val="20"/>
          <w:szCs w:val="20"/>
          <w:lang w:val="de-DE"/>
        </w:rPr>
        <w:t xml:space="preserve">[…] ist am 22. April 1945, Todesstunde unbekannt.  </w:t>
      </w:r>
    </w:p>
  </w:footnote>
  <w:footnote w:id="216">
    <w:p w:rsidR="00593A53" w:rsidRPr="002B0DBD" w:rsidRDefault="00593A53" w:rsidP="004F667C">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rPr>
        <w:t xml:space="preserve"> Dal registro di un solo quartiere, Berlin-Buchholz, considerando solo il periodo 21-30 aprile 1945 sono segnati, oltre quelli menzionati nel testo anche LA – Berlin C Sterbebuch Standesamt Berlin-Buchholz 1945 Bd. </w:t>
      </w:r>
      <w:r w:rsidRPr="002B0DBD">
        <w:rPr>
          <w:sz w:val="20"/>
          <w:szCs w:val="20"/>
          <w:lang w:val="de-DE"/>
        </w:rPr>
        <w:t xml:space="preserve">I Nr. 1 bis 572, nn. 48, 49, 52, 53, 62, 73, 85, 86, 89, 103, 114, 131, 137, 161, 163, 186, 191, 192. </w:t>
      </w:r>
      <w:r w:rsidRPr="002B0DBD">
        <w:rPr>
          <w:rFonts w:eastAsia="Calibri"/>
          <w:sz w:val="20"/>
          <w:szCs w:val="20"/>
          <w:lang w:val="de-DE"/>
        </w:rPr>
        <w:t xml:space="preserve"> </w:t>
      </w:r>
    </w:p>
  </w:footnote>
  <w:footnote w:id="217">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„Das Kind H. H. K. P. […] ist am 22. April 1945, Todesstunde unbekannt, in Berlin-Buchholz in obiger Wohnung verstorben. Der Verstorbene war geboren am 23. April 1943 […]. </w:t>
      </w:r>
    </w:p>
    <w:p w:rsidR="00593A53" w:rsidRPr="002B0DBD" w:rsidRDefault="00593A53" w:rsidP="00791545">
      <w:pPr>
        <w:pStyle w:val="footnotedescription"/>
        <w:spacing w:after="120" w:line="240" w:lineRule="auto"/>
        <w:ind w:left="566" w:right="713"/>
        <w:rPr>
          <w:sz w:val="20"/>
          <w:szCs w:val="20"/>
          <w:lang w:val="de-DE"/>
        </w:rPr>
      </w:pPr>
      <w:r w:rsidRPr="002B0DBD">
        <w:rPr>
          <w:sz w:val="20"/>
          <w:szCs w:val="20"/>
          <w:lang w:val="de-DE"/>
        </w:rPr>
        <w:t xml:space="preserve">Todesursache: Tod durch Öffnung der Pulsadern“ LA – Berlin C Sterbebuch Standesamt Berlin-Buchholz </w:t>
      </w:r>
    </w:p>
  </w:footnote>
  <w:footnote w:id="218">
    <w:p w:rsidR="00593A53" w:rsidRPr="002B0DBD" w:rsidRDefault="00593A53" w:rsidP="004F667C">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rPr>
        <w:t xml:space="preserve"> Bd. I Nr. 1 bis 572, n. 123. Un altro caso di bambino, nato l’11 maggio 1940 e ucciso sempre con la stessa modalità il 22 aprile 1945 si trova nel n. 122. </w:t>
      </w:r>
      <w:r w:rsidRPr="002B0DBD">
        <w:rPr>
          <w:sz w:val="20"/>
          <w:szCs w:val="20"/>
          <w:lang w:val="de-DE"/>
        </w:rPr>
        <w:t xml:space="preserve">Altri casi registrati nn. 127, 128, 164, 190. </w:t>
      </w:r>
      <w:r w:rsidRPr="002B0DBD">
        <w:rPr>
          <w:rFonts w:eastAsia="Calibri"/>
          <w:sz w:val="20"/>
          <w:szCs w:val="20"/>
          <w:lang w:val="de-DE"/>
        </w:rPr>
        <w:t xml:space="preserve"> </w:t>
      </w:r>
    </w:p>
  </w:footnote>
  <w:footnote w:id="219">
    <w:p w:rsidR="00593A53" w:rsidRPr="002B0DBD" w:rsidRDefault="00593A53" w:rsidP="004F667C">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„Am 3. Mai 1945 befand ich in meiner Berlinerwohnung. An diesem Tage gegen 10 Uhr […] kamen drei russische Soldaten zu mir in der Keller. Ich würde von zwei Soldaten angepackt, in einem dunklen Raum geworfen und hier von jedem Soldaten einmal vergewaltigt.“ LA - Berlin C Rep. 303-309 Nr. 284  </w:t>
      </w:r>
    </w:p>
  </w:footnote>
  <w:footnote w:id="220">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„In der Nacht zum 6. 5. 1945, morgens 2. 30 Uhr, sind drei russische Soldaten durch das Parterrefenster der Wohnung von  eingebrochen.[…] kamen bis zum 2. Stock wo 2 junge Frauen mit einem Säuglinge schliefen. 2 Soldaten setzen sich dann bei den Frauen  und Frau  beide 24 Jahre alt […]. Als die Fr.  ihre Mutter rief und den dritten Soldaten […] mußte sie in eine andere Stube mit diesem, wo er sie mit dem Machinengeweher zurückhielt. […]. Die anderen beiden Soldaten vergewaltigten inzwischen die anderen beiden jungen Frauen. Kurz nach ¼ 4 Uhr morgens verließen sie die Wohnung.“ LA – Berlin Sta. – Ort. Nr. 2819  </w:t>
      </w:r>
    </w:p>
  </w:footnote>
  <w:footnote w:id="221">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H. Schneider, op. cit., p. 172  </w:t>
      </w:r>
    </w:p>
  </w:footnote>
  <w:footnote w:id="222">
    <w:p w:rsidR="00593A53" w:rsidRPr="00791545"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791545">
        <w:rPr>
          <w:sz w:val="20"/>
          <w:szCs w:val="20"/>
          <w:lang w:val="de-DE"/>
        </w:rPr>
        <w:t xml:space="preserve"> A. Beevor, Ibidem, p. 435 </w:t>
      </w:r>
      <w:r w:rsidRPr="00791545">
        <w:rPr>
          <w:rFonts w:eastAsia="Calibri"/>
          <w:sz w:val="20"/>
          <w:szCs w:val="20"/>
          <w:lang w:val="de-DE"/>
        </w:rPr>
        <w:t xml:space="preserve"> </w:t>
      </w:r>
    </w:p>
  </w:footnote>
  <w:footnote w:id="223">
    <w:p w:rsidR="00593A53" w:rsidRPr="002B0DBD" w:rsidRDefault="00593A53" w:rsidP="00D6505E">
      <w:pPr>
        <w:pStyle w:val="footnotedescription"/>
        <w:spacing w:after="120" w:line="240" w:lineRule="auto"/>
        <w:ind w:left="566" w:right="713"/>
        <w:jc w:val="both"/>
        <w:rPr>
          <w:sz w:val="20"/>
          <w:szCs w:val="20"/>
          <w:lang w:val="en-GB"/>
        </w:rPr>
      </w:pPr>
      <w:r w:rsidRPr="002B0DBD">
        <w:rPr>
          <w:rStyle w:val="footnotemark"/>
          <w:sz w:val="20"/>
          <w:szCs w:val="20"/>
        </w:rPr>
        <w:footnoteRef/>
      </w:r>
      <w:r w:rsidRPr="002B0DBD">
        <w:rPr>
          <w:sz w:val="20"/>
          <w:szCs w:val="20"/>
          <w:lang w:val="en-GB"/>
        </w:rPr>
        <w:t xml:space="preserve"> “To impulse to imagine traditional gender roles into combat situations and to prevent female combatants from dying like combatants was typical of the emotionally and destabilizing male experience of the Soviet trenches where men met a young woman. Not a product of deep reflection, the compulsive protection in the midst of combat was demonstration of deeply internalized structures of conventional gendered segregations of war that banned women from combat. Difficult to discard but clearly disrupted, the expectations of soldierly identities to be male led men not only to imagine protection scenarios but also to confess their psychological pain at seeing young women in combat and ask and beg them to “please, go back!” to the medical corps or the home front.” A. Krylova, </w:t>
      </w:r>
      <w:r w:rsidRPr="002B0DBD">
        <w:rPr>
          <w:i/>
          <w:sz w:val="20"/>
          <w:szCs w:val="20"/>
          <w:lang w:val="en-GB"/>
        </w:rPr>
        <w:t>Soviet Women in combat – A History on the Eastern Front</w:t>
      </w:r>
      <w:r w:rsidRPr="002B0DBD">
        <w:rPr>
          <w:sz w:val="20"/>
          <w:szCs w:val="20"/>
          <w:lang w:val="en-GB"/>
        </w:rPr>
        <w:t xml:space="preserve">, Cambridge University Press, New York 2010, p. 195 </w:t>
      </w:r>
      <w:r w:rsidRPr="002B0DBD">
        <w:rPr>
          <w:rFonts w:eastAsia="Calibri"/>
          <w:sz w:val="20"/>
          <w:szCs w:val="20"/>
          <w:lang w:val="en-GB"/>
        </w:rPr>
        <w:t xml:space="preserve"> </w:t>
      </w:r>
    </w:p>
  </w:footnote>
  <w:footnote w:id="224">
    <w:p w:rsidR="00593A53" w:rsidRPr="002B0DBD" w:rsidRDefault="00593A53" w:rsidP="00D6505E">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„In der Nacht vom 13. Zum 14. 10. 1945 gegen ½ 2 Uhr morgens kam ein bisher unbekannter Soldat auf das Grundstück Sandauerstraße [gelöscht] und klopfte an die Tür der 70 Jahre alten Frau [gelöscht] als diese Tür öffnete, drang der Soldat sofort ein und bedrohte die alte Frau mit einem Stock. […] Der Soldat ließ darauf von der alten Frau ab und lief nach oben. Hier versuchte er sofort unter Anwendung von Gewalt die zu vergewaltigen. […] Ein englische Baskenmütze ist in der Wohnung zurückgelassen worden, doch sieht dies mehr nach Absicht aus, da ein richtiger Engländer zweifelsohne seine Mütze geholt hätte.“  </w:t>
      </w:r>
      <w:r w:rsidRPr="002B0DBD">
        <w:rPr>
          <w:sz w:val="20"/>
          <w:szCs w:val="20"/>
        </w:rPr>
        <w:t xml:space="preserve">LA – Sta. – Ort Nr. 2095   </w:t>
      </w:r>
    </w:p>
  </w:footnote>
  <w:footnote w:id="22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H. Schneider, op. cit.,</w:t>
      </w:r>
      <w:r w:rsidRPr="002B0DBD">
        <w:rPr>
          <w:i/>
          <w:sz w:val="20"/>
          <w:szCs w:val="20"/>
        </w:rPr>
        <w:t xml:space="preserve"> </w:t>
      </w:r>
      <w:r w:rsidRPr="002B0DBD">
        <w:rPr>
          <w:sz w:val="20"/>
          <w:szCs w:val="20"/>
        </w:rPr>
        <w:t xml:space="preserve">p.160  </w:t>
      </w:r>
    </w:p>
  </w:footnote>
  <w:footnote w:id="226">
    <w:p w:rsidR="00593A53" w:rsidRPr="002B0DBD" w:rsidRDefault="00593A53" w:rsidP="00791545">
      <w:pPr>
        <w:spacing w:after="120" w:line="240" w:lineRule="auto"/>
        <w:ind w:left="566" w:right="713" w:firstLine="0"/>
        <w:rPr>
          <w:sz w:val="20"/>
          <w:szCs w:val="20"/>
          <w:lang w:val="de-DE"/>
        </w:rPr>
      </w:pPr>
      <w:r w:rsidRPr="002B0DBD">
        <w:rPr>
          <w:rStyle w:val="footnotemark"/>
          <w:sz w:val="20"/>
          <w:szCs w:val="20"/>
        </w:rPr>
        <w:footnoteRef/>
      </w:r>
      <w:r w:rsidRPr="002B0DBD">
        <w:rPr>
          <w:sz w:val="20"/>
          <w:szCs w:val="20"/>
        </w:rPr>
        <w:t xml:space="preserve"> La stessa autrice ha forti resistenze nel credere ai dati che le vengono riferiti a proposito delle donne violentate 24 volte poiché aggiunge il commento tra parentesi </w:t>
      </w:r>
      <w:r w:rsidRPr="002B0DBD">
        <w:rPr>
          <w:i/>
          <w:sz w:val="20"/>
          <w:szCs w:val="20"/>
        </w:rPr>
        <w:t>Wer zählte da mit?</w:t>
      </w:r>
      <w:r w:rsidRPr="002B0DBD">
        <w:rPr>
          <w:sz w:val="20"/>
          <w:szCs w:val="20"/>
        </w:rPr>
        <w:t xml:space="preserve"> (chi le ha contate?), esprimendo successivamente preoccupazione per le donne e i bambini indifesi che vagano sulle strade della capitale e che sono i primi ad essere esposti ai desideri del nemico rosso. </w:t>
      </w:r>
      <w:r w:rsidRPr="002B0DBD">
        <w:rPr>
          <w:sz w:val="20"/>
          <w:szCs w:val="20"/>
          <w:lang w:val="de-DE"/>
        </w:rPr>
        <w:t xml:space="preserve">Anonyma, </w:t>
      </w:r>
      <w:r w:rsidRPr="002B0DBD">
        <w:rPr>
          <w:i/>
          <w:sz w:val="20"/>
          <w:szCs w:val="20"/>
          <w:lang w:val="de-DE"/>
        </w:rPr>
        <w:t xml:space="preserve">Eine Frau in Berlin: Tagebuch-Aufzeichnungen vom 20. April 1945 bis 22. </w:t>
      </w:r>
      <w:r w:rsidRPr="00791545">
        <w:rPr>
          <w:i/>
          <w:sz w:val="20"/>
          <w:szCs w:val="20"/>
          <w:lang w:val="en-US"/>
        </w:rPr>
        <w:t>Juni 1945</w:t>
      </w:r>
      <w:r w:rsidRPr="00791545">
        <w:rPr>
          <w:sz w:val="20"/>
          <w:szCs w:val="20"/>
          <w:lang w:val="en-US"/>
        </w:rPr>
        <w:t xml:space="preserve">, Frankfurt am Main, BTB 2005, p. 13 </w:t>
      </w:r>
    </w:p>
  </w:footnote>
  <w:footnote w:id="227">
    <w:p w:rsidR="00593A53" w:rsidRPr="002B0DBD" w:rsidRDefault="00593A53" w:rsidP="00D6505E">
      <w:pPr>
        <w:spacing w:after="120" w:line="240" w:lineRule="auto"/>
        <w:ind w:left="566" w:right="713" w:firstLine="0"/>
        <w:jc w:val="left"/>
        <w:rPr>
          <w:lang w:val="de-DE"/>
        </w:rPr>
      </w:pPr>
      <w:r w:rsidRPr="002B0DBD">
        <w:rPr>
          <w:rStyle w:val="Rimandonotaapidipagina"/>
          <w:sz w:val="20"/>
          <w:szCs w:val="20"/>
        </w:rPr>
        <w:footnoteRef/>
      </w:r>
      <w:r w:rsidRPr="002B0DBD">
        <w:rPr>
          <w:sz w:val="20"/>
          <w:szCs w:val="20"/>
          <w:lang w:val="de-DE"/>
        </w:rPr>
        <w:t xml:space="preserve"> </w:t>
      </w:r>
      <w:r w:rsidRPr="002B0DBD">
        <w:rPr>
          <w:i/>
          <w:sz w:val="20"/>
          <w:szCs w:val="20"/>
          <w:lang w:val="de-DE"/>
        </w:rPr>
        <w:t>“</w:t>
      </w:r>
      <w:r w:rsidRPr="002B0DBD">
        <w:rPr>
          <w:sz w:val="20"/>
          <w:szCs w:val="20"/>
          <w:lang w:val="de-DE"/>
        </w:rPr>
        <w:t>In Richtung Berliner Straße sah man Rauch und Flammen</w:t>
      </w:r>
      <w:r w:rsidRPr="002B0DBD">
        <w:rPr>
          <w:i/>
          <w:sz w:val="20"/>
          <w:szCs w:val="20"/>
          <w:lang w:val="de-DE"/>
        </w:rPr>
        <w:t xml:space="preserve">“, </w:t>
      </w:r>
      <w:r w:rsidRPr="002B0DBD">
        <w:rPr>
          <w:sz w:val="20"/>
          <w:szCs w:val="20"/>
          <w:lang w:val="de-DE"/>
        </w:rPr>
        <w:t xml:space="preserve">ibidem p. 42 </w:t>
      </w:r>
    </w:p>
  </w:footnote>
  <w:footnote w:id="228">
    <w:p w:rsidR="00593A53" w:rsidRPr="002B0DBD" w:rsidRDefault="00593A53" w:rsidP="00D6505E">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„Es begann mit Stille. […]. Ich lange konnte nicht einschlafen, probierte in Gedanken mein Russisch aus, […]. Heute hab ich zum ersten Mal dem Kellervolk kurz gesagt, daß ich etwas Russisch kann; […]. Mein Russisch ist simpel, ist reine Gebrauchtsprache, immerhin kann ich zahlen, kann ein Datum benennen und die Buchstaben lesen. […]. Ich schlief bis gegen 5 Uhr früh. Hörte dann im Vorraum jemand herumgeistern. Es war die Buchhändlerin, sie kam von draußen, faßte mich bei der Hand, flüsterte: „Sie sind da.“. „Wer? Die Russen?“ […] „Ja. Soeben sind sie bei Meyer durchs Fenster eingestiegen.“ </w:t>
      </w:r>
      <w:r w:rsidRPr="00791545">
        <w:rPr>
          <w:sz w:val="20"/>
          <w:szCs w:val="20"/>
          <w:lang w:val="en-US"/>
        </w:rPr>
        <w:t xml:space="preserve">Ibid., p. 53 </w:t>
      </w:r>
    </w:p>
  </w:footnote>
  <w:footnote w:id="229">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„Sie haben keinen besonderen Ehrenkodex und schon gar keine andere Haltung gegenüber den Frauen. Die abendländischen Traditionen von Ritterlichkeit und Galanterie haben Rußland gar nicht gestreift.“Ibid., p. 80  </w:t>
      </w:r>
    </w:p>
  </w:footnote>
  <w:footnote w:id="230">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„Es ist bloß Petka“, Ibid., p. 69  </w:t>
      </w:r>
    </w:p>
  </w:footnote>
  <w:footnote w:id="231">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rPr>
        <w:t xml:space="preserve"> Il film del 2008 ispirato da questo diario tenta di dare voce e colore alla sua storia. Il film mette in evidenza come, all’indomani della sottomissione fisica e passivamente consenziente di Anonyma ai Russi, la vita degli abitanti della cantina migliori repentinamente, ricevendo beni alimentari di cui tutti avevano dimenticato l’esistenza. Le espressioni di tutti mutano in sorrisi e allegria, mentre la giovane Anonyma rimane malinconicamente sullo sfondo. L’obiettivo del film è quello di mostrare un lato dimenticato dai vincitori, dai liberatori, troppo concentrati ad autocelebrarsi e a sottolineare gli abomini nazisti per ricordarsi delle violenze commesse. È interessante, inoltre, notare il commento con il quale un utente bulgaro di Youtube accompagna il video del film da lui caricato. Egli, infatti, incita i visitatori a porre l’attenzione sulla brutalità dei crimini dei russi, dei sedicenti “liberatori”. Gli ex sudditi dell’Urss non hanno un buon ricordo del controllo sovietico. </w:t>
      </w:r>
      <w:r w:rsidRPr="002B0DBD">
        <w:rPr>
          <w:sz w:val="20"/>
          <w:szCs w:val="20"/>
          <w:lang w:val="de-DE"/>
        </w:rPr>
        <w:t xml:space="preserve">Cfr. </w:t>
      </w:r>
      <w:r w:rsidRPr="002B0DBD">
        <w:rPr>
          <w:color w:val="0563C1"/>
          <w:sz w:val="20"/>
          <w:szCs w:val="20"/>
          <w:u w:val="single" w:color="0563C1"/>
          <w:lang w:val="de-DE"/>
        </w:rPr>
        <w:t>http://www. Youtube. com/ watch?v=</w:t>
      </w:r>
      <w:r w:rsidRPr="002B0DBD">
        <w:rPr>
          <w:color w:val="0563C1"/>
          <w:sz w:val="20"/>
          <w:szCs w:val="20"/>
          <w:lang w:val="de-DE"/>
        </w:rPr>
        <w:t xml:space="preserve"> </w:t>
      </w:r>
      <w:r w:rsidRPr="002B0DBD">
        <w:rPr>
          <w:color w:val="0563C1"/>
          <w:sz w:val="20"/>
          <w:szCs w:val="20"/>
          <w:u w:val="single" w:color="0563C1"/>
          <w:lang w:val="de-DE"/>
        </w:rPr>
        <w:t>hlHz9L2WMKA</w:t>
      </w:r>
      <w:r w:rsidRPr="002B0DBD">
        <w:rPr>
          <w:color w:val="0563C1"/>
          <w:sz w:val="20"/>
          <w:szCs w:val="20"/>
          <w:lang w:val="de-DE"/>
        </w:rPr>
        <w:t xml:space="preserve"> </w:t>
      </w:r>
      <w:r w:rsidRPr="002B0DBD">
        <w:rPr>
          <w:sz w:val="20"/>
          <w:szCs w:val="20"/>
          <w:lang w:val="de-DE"/>
        </w:rPr>
        <w:t xml:space="preserve"> </w:t>
      </w:r>
    </w:p>
  </w:footnote>
  <w:footnote w:id="232">
    <w:p w:rsidR="00593A53" w:rsidRPr="002B0DBD" w:rsidRDefault="00593A53" w:rsidP="00D6505E">
      <w:pPr>
        <w:pStyle w:val="footnotedescription"/>
        <w:tabs>
          <w:tab w:val="center" w:pos="5184"/>
        </w:tabs>
        <w:spacing w:after="120" w:line="240" w:lineRule="auto"/>
        <w:ind w:left="566" w:right="713"/>
        <w:rPr>
          <w:sz w:val="20"/>
          <w:szCs w:val="20"/>
        </w:rPr>
      </w:pPr>
      <w:r w:rsidRPr="002B0DBD">
        <w:rPr>
          <w:rStyle w:val="footnotemark"/>
          <w:sz w:val="20"/>
          <w:szCs w:val="20"/>
        </w:rPr>
        <w:footnoteRef/>
      </w:r>
      <w:r w:rsidRPr="002B0DBD">
        <w:rPr>
          <w:sz w:val="20"/>
          <w:szCs w:val="20"/>
          <w:lang w:val="de-DE"/>
        </w:rPr>
        <w:t xml:space="preserve"> G. Londero,  Anonyma - Eine Frau in Berlin. </w:t>
      </w:r>
      <w:r w:rsidRPr="002B0DBD">
        <w:rPr>
          <w:sz w:val="20"/>
          <w:szCs w:val="20"/>
        </w:rPr>
        <w:t>Il dibattito in Germania sul film di</w:t>
      </w:r>
      <w:r>
        <w:rPr>
          <w:sz w:val="20"/>
          <w:szCs w:val="20"/>
        </w:rPr>
        <w:t xml:space="preserve"> Max Färberböck  </w:t>
      </w:r>
      <w:r w:rsidRPr="002B0DBD">
        <w:rPr>
          <w:sz w:val="20"/>
          <w:szCs w:val="20"/>
        </w:rPr>
        <w:t xml:space="preserve">(2008)  </w:t>
      </w:r>
    </w:p>
  </w:footnote>
  <w:footnote w:id="233">
    <w:p w:rsidR="00593A53" w:rsidRPr="002B0DBD" w:rsidRDefault="00593A53" w:rsidP="00D6505E">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vedi M. Mazower, </w:t>
      </w:r>
      <w:r w:rsidRPr="002B0DBD">
        <w:rPr>
          <w:i/>
          <w:sz w:val="20"/>
          <w:szCs w:val="20"/>
        </w:rPr>
        <w:t>Le ombre dell’Europa, democrazie e totalitarismi nel XX secolo</w:t>
      </w:r>
      <w:r w:rsidRPr="002B0DBD">
        <w:rPr>
          <w:sz w:val="20"/>
          <w:szCs w:val="20"/>
        </w:rPr>
        <w:t xml:space="preserve">, Milano, Garzanti 1998, p. 213 e segg. </w:t>
      </w:r>
    </w:p>
  </w:footnote>
  <w:footnote w:id="234">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rPr>
        <w:t xml:space="preserve"> </w:t>
      </w:r>
      <w:r w:rsidRPr="002B0DBD">
        <w:rPr>
          <w:i/>
          <w:sz w:val="20"/>
          <w:szCs w:val="20"/>
        </w:rPr>
        <w:t>Lo stupro come arma di guerra.</w:t>
      </w:r>
      <w:r w:rsidRPr="002B0DBD">
        <w:rPr>
          <w:sz w:val="20"/>
          <w:szCs w:val="20"/>
        </w:rPr>
        <w:t xml:space="preserve"> Lettera firmata da un gruppo di donne per la Conferenza tenuta negli Usa nel marzo 1993, scritta a Zagabria il 18 marzo 1993, cit. in appendice in </w:t>
      </w:r>
      <w:r w:rsidRPr="002B0DBD">
        <w:rPr>
          <w:i/>
          <w:sz w:val="20"/>
          <w:szCs w:val="20"/>
        </w:rPr>
        <w:t>“Donne contro la guerra”</w:t>
      </w:r>
      <w:r w:rsidRPr="002B0DBD">
        <w:rPr>
          <w:sz w:val="20"/>
          <w:szCs w:val="20"/>
        </w:rPr>
        <w:t xml:space="preserve">, ed. </w:t>
      </w:r>
      <w:r w:rsidRPr="002B0DBD">
        <w:rPr>
          <w:sz w:val="20"/>
          <w:szCs w:val="20"/>
          <w:lang w:val="de-DE"/>
        </w:rPr>
        <w:t xml:space="preserve">Il Pioppo, Palermo 1996  </w:t>
      </w:r>
    </w:p>
  </w:footnote>
  <w:footnote w:id="235">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N. Stargardt, </w:t>
      </w:r>
      <w:r w:rsidRPr="002B0DBD">
        <w:rPr>
          <w:i/>
          <w:sz w:val="20"/>
          <w:szCs w:val="20"/>
          <w:lang w:val="de-DE"/>
        </w:rPr>
        <w:t>cit.</w:t>
      </w:r>
      <w:r w:rsidRPr="002B0DBD">
        <w:rPr>
          <w:sz w:val="20"/>
          <w:szCs w:val="20"/>
          <w:lang w:val="de-DE"/>
        </w:rPr>
        <w:t xml:space="preserve">, p. 245  </w:t>
      </w:r>
    </w:p>
  </w:footnote>
  <w:footnote w:id="236">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“Berlin 11. 10. 1945 / Ich, die Ehefrau H. P., geb. T., geboren am 7.7.1924 zu Duisburg, Wohnhaft Berlin-Britz, Parchimer Allee 37, erkläre an Eidesstatt, daß ich am Freitag, dem 20. Juli 1945, auf der Strecke von Berlin nach Seddin von einem Angehörigen der Rote Armee vergewaltigt wurden bin“. Rep. 213 Nr. 114  </w:t>
      </w:r>
    </w:p>
  </w:footnote>
  <w:footnote w:id="237">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„Am 28. Juli 1945 fuhr ich nach Naun, um meine nach dort verlagerten Sachen abzuholen. Auf der Chaussee überfielen mich zwei Russen und einer davon vergewaltigte mich. Herr Dr. T. hat lt. Bescheinigung eine Schwangerschaft im dritten Monat festgestellt. Ich bitte um die Genehmigung, dass mir das Kind abgenommen wird.“ LA – Berlin B Rep. 214 Nr. 94   </w:t>
      </w:r>
    </w:p>
  </w:footnote>
  <w:footnote w:id="238">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LA – Berlin 214 n. 94 f. 462  </w:t>
      </w:r>
    </w:p>
  </w:footnote>
  <w:footnote w:id="239">
    <w:p w:rsidR="00593A53" w:rsidRPr="00791545" w:rsidRDefault="00593A53" w:rsidP="00D6505E">
      <w:pPr>
        <w:pStyle w:val="footnotedescription"/>
        <w:spacing w:after="120" w:line="240" w:lineRule="auto"/>
        <w:ind w:left="566" w:right="713"/>
        <w:jc w:val="both"/>
        <w:rPr>
          <w:sz w:val="20"/>
          <w:szCs w:val="20"/>
          <w:lang w:val="en-US"/>
        </w:rPr>
      </w:pPr>
      <w:r w:rsidRPr="002B0DBD">
        <w:rPr>
          <w:rStyle w:val="footnotemark"/>
          <w:sz w:val="20"/>
          <w:szCs w:val="20"/>
        </w:rPr>
        <w:footnoteRef/>
      </w:r>
      <w:r w:rsidRPr="002B0DBD">
        <w:rPr>
          <w:sz w:val="20"/>
          <w:szCs w:val="20"/>
          <w:lang w:val="de-DE"/>
        </w:rPr>
        <w:t xml:space="preserve"> „Am 11. August 1945 Vormittags gegen 11 Uhr, fuhre ich mit meinem Fahrrad nach Königswusterhansen. […] wurde ich von 2 russischen Soldaten, die bewaffen waren, angehalten. Einer der zweite Russe leinzukam, mich festhielt […]. Ich wurde dann von beiden Russen vergewaltigt.“ </w:t>
      </w:r>
      <w:r w:rsidRPr="00791545">
        <w:rPr>
          <w:sz w:val="20"/>
          <w:szCs w:val="20"/>
          <w:lang w:val="en-US"/>
        </w:rPr>
        <w:t>LA – 3 Rep. 214 Nr. 94 Nr. 412</w:t>
      </w:r>
    </w:p>
  </w:footnote>
  <w:footnote w:id="240">
    <w:p w:rsidR="00593A53" w:rsidRPr="002B0DBD" w:rsidRDefault="00593A53" w:rsidP="00791545">
      <w:pPr>
        <w:pStyle w:val="Testonotaapidipagina"/>
        <w:spacing w:after="120"/>
        <w:ind w:left="566" w:right="713" w:firstLine="0"/>
        <w:rPr>
          <w:lang w:val="de-DE"/>
        </w:rPr>
      </w:pPr>
      <w:r w:rsidRPr="002B0DBD">
        <w:rPr>
          <w:rStyle w:val="Rimandonotaapidipagina"/>
        </w:rPr>
        <w:footnoteRef/>
      </w:r>
      <w:r w:rsidRPr="002B0DBD">
        <w:rPr>
          <w:lang w:val="de-DE"/>
        </w:rPr>
        <w:t xml:space="preserve"> „Ich erkläre hiermit an Eidesstatt, dass ich im Juni von drei Russen vergewaltigt werden bin Berlin – Neukölln den 9.10.1945“  LA – 3 Rep. 214</w:t>
      </w:r>
    </w:p>
  </w:footnote>
  <w:footnote w:id="241">
    <w:p w:rsidR="00593A53" w:rsidRPr="002B0DBD"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Am nächsten Tage, als A. auf dem Wege zur Berufsschule war, wurde sie am Ausgang des UBahnhofes Herrmannplatz von russischen Soldaten angehalten und zum Mitkommen gezwungen. Am Alexanderplatz musste sie im Beleisein des Russen einen Frisör aufsuchen, der ihre dunkelblonden Haare rot färben liess. Zum Abend wurde sie in einem Lastkraftwagen nach ausserhalb gefahren. […]Russen wollte mein Fahrrad nehmen […]. Plötzlich forderte mich der eine Russe mehr Waffenbedrohung auf, ihm in den Walden zu folgen, wo er versuchte mich zu vergewaltigen. Ich wehrte mich sehr, bis der </w:t>
      </w:r>
    </w:p>
    <w:p w:rsidR="00593A53" w:rsidRPr="002B0DBD" w:rsidRDefault="00593A53" w:rsidP="00D6505E">
      <w:pPr>
        <w:spacing w:after="120" w:line="240" w:lineRule="auto"/>
        <w:ind w:left="566" w:right="713" w:firstLine="0"/>
      </w:pPr>
      <w:r w:rsidRPr="002B0DBD">
        <w:rPr>
          <w:sz w:val="20"/>
          <w:szCs w:val="20"/>
          <w:lang w:val="de-DE"/>
        </w:rPr>
        <w:t xml:space="preserve">In einem Gebäude, das ihrer Meinung nach ein Bunker sein könnte, wurde sie eingeliefert. Sie fand dort bereits ca. 20 Mädchen vor. Die Mädel wurden dort tagsüber festgehalten und jede Abend erschienen die Russen und vergewaltigten sämtliche Mädchen mehrere Male. […] In der Nacht vom 5.2.1946 ergriff A. die Flucht, indem sie aus dem Fenster kletterte. Die Russen sollen an diesem Abend sehr betrunken gewesen sein.“ </w:t>
      </w:r>
      <w:r w:rsidRPr="002B0DBD">
        <w:rPr>
          <w:sz w:val="20"/>
          <w:szCs w:val="20"/>
        </w:rPr>
        <w:t xml:space="preserve">LA – Berlin 3 Rep. 213 Nr. 114 B. 3004      </w:t>
      </w:r>
    </w:p>
  </w:footnote>
  <w:footnote w:id="24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Cfr. E. Galli della Loggia “Una guerra femminile? Ipotesi sul mutamento dell’ideologia e dell’immaginario occientali tra il 1939 e il 1945”, in A. Bravo, ibidem, pp. 3 e segg. </w:t>
      </w:r>
      <w:r w:rsidRPr="002B0DBD">
        <w:rPr>
          <w:rFonts w:eastAsia="Calibri"/>
          <w:sz w:val="20"/>
          <w:szCs w:val="20"/>
        </w:rPr>
        <w:t xml:space="preserve"> </w:t>
      </w:r>
    </w:p>
  </w:footnote>
  <w:footnote w:id="243">
    <w:p w:rsidR="00593A53" w:rsidRPr="002B0DBD" w:rsidRDefault="00593A53" w:rsidP="00791545">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E. Schloss, “Sopravvissuta ad Auschwitz – La vera e drammatica storia della sorella di Anne Frank”,   Newton Compton Editori, Roma 2013, pp. 144-145 </w:t>
      </w:r>
    </w:p>
  </w:footnote>
  <w:footnote w:id="244">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 Bellamy, </w:t>
      </w:r>
      <w:r w:rsidRPr="002B0DBD">
        <w:rPr>
          <w:i/>
          <w:sz w:val="20"/>
          <w:szCs w:val="20"/>
        </w:rPr>
        <w:t>Guerra assoluta, la Russia sovietica nella Seconda Guerra Mondiale”</w:t>
      </w:r>
      <w:r w:rsidRPr="002B0DBD">
        <w:rPr>
          <w:sz w:val="20"/>
          <w:szCs w:val="20"/>
        </w:rPr>
        <w:t>, Torino, Einaudi 2010 p. 362</w:t>
      </w:r>
      <w:r w:rsidRPr="002B0DBD">
        <w:rPr>
          <w:sz w:val="20"/>
          <w:szCs w:val="20"/>
          <w:vertAlign w:val="superscript"/>
        </w:rPr>
        <w:t xml:space="preserve"> </w:t>
      </w:r>
      <w:r w:rsidRPr="002B0DBD">
        <w:rPr>
          <w:sz w:val="20"/>
          <w:szCs w:val="20"/>
        </w:rPr>
        <w:t xml:space="preserve">  </w:t>
      </w:r>
    </w:p>
  </w:footnote>
  <w:footnote w:id="245">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„Falls Frauen von Angehörigen der Roten Armee belästigt werden oder wenn Angehörige der Roten Armee ohne Ausweis in Wohnungen eindringen, ist sofort Kommandantur Berlin-Steglitz, Lepsiusstraße, Meldung zu erstatten.“ LA Berlin Ort Nr. 2857  </w:t>
      </w:r>
    </w:p>
  </w:footnote>
  <w:footnote w:id="246">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 Wir haben vier Jahre Krieg hinter uns, und Urlaub hat es bei uns nicht gegeben. Den Männern wurde als Siegstrophäe, die deutsche Frau versprochen.“, L. Biallas, </w:t>
      </w:r>
      <w:r w:rsidRPr="002B0DBD">
        <w:rPr>
          <w:i/>
          <w:sz w:val="20"/>
          <w:szCs w:val="20"/>
          <w:lang w:val="de-DE"/>
        </w:rPr>
        <w:t>Komm, Frau, raboti. Flucht und Vertreibung 1945-1946</w:t>
      </w:r>
      <w:r w:rsidRPr="002B0DBD">
        <w:rPr>
          <w:sz w:val="20"/>
          <w:szCs w:val="20"/>
          <w:lang w:val="de-DE"/>
        </w:rPr>
        <w:t xml:space="preserve">, Colonia, Hundt Druck GmbH 2004, p. 21  </w:t>
      </w:r>
    </w:p>
  </w:footnote>
  <w:footnote w:id="247">
    <w:p w:rsidR="00593A53" w:rsidRPr="002B0DBD" w:rsidRDefault="00593A53" w:rsidP="00791545">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„28.000 Wohnung sind zerstört. Alle beschädigt gelten es. 7-8.000 Wohnungen. Von diesen sind rd. 1.750 bereits wieder bewohnbar gemacht worden, 5.700 sind noch bewohnbar zu machen. In beiden Fällen wird anzunehmen sein, daß zur Bewohnbarmachung nur ein relativ geringer Aufwand nötig ist, der indessen doch über das hinausgeht, was zur sogenannten „Wiederfestmachung“ getan wird; andererseits darf man eine als bewohnbar gemacht bezeichnete Wohnung keineswegs dem gleichsetzen, was man früher Renovierung nannte. Schliesslich werden rd. 35.000 Wohnungen als bewohnbar bezeichnet – deswegen weil sie tatsächlich bewohnt sind. </w:t>
      </w:r>
      <w:r w:rsidRPr="002B0DBD">
        <w:rPr>
          <w:i/>
          <w:sz w:val="20"/>
          <w:szCs w:val="20"/>
        </w:rPr>
        <w:t>[…].”</w:t>
      </w:r>
      <w:r w:rsidRPr="002B0DBD">
        <w:rPr>
          <w:sz w:val="20"/>
          <w:szCs w:val="20"/>
        </w:rPr>
        <w:t xml:space="preserve"> LA – Berlino, Rep. 209, Acc. 698, Nr. </w:t>
      </w:r>
    </w:p>
  </w:footnote>
  <w:footnote w:id="248">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 ff. 1-2 </w:t>
      </w:r>
      <w:r w:rsidRPr="002B0DBD">
        <w:rPr>
          <w:rFonts w:eastAsia="Calibri"/>
          <w:sz w:val="20"/>
          <w:szCs w:val="20"/>
        </w:rPr>
        <w:t xml:space="preserve"> </w:t>
      </w:r>
    </w:p>
  </w:footnote>
  <w:footnote w:id="249">
    <w:p w:rsidR="00593A53" w:rsidRPr="002B0DBD" w:rsidRDefault="00593A53" w:rsidP="00D6505E">
      <w:pPr>
        <w:spacing w:after="120" w:line="240" w:lineRule="auto"/>
        <w:ind w:left="566" w:right="713" w:firstLine="0"/>
      </w:pPr>
      <w:r w:rsidRPr="002B0DBD">
        <w:rPr>
          <w:rStyle w:val="Rimandonotaapidipagina"/>
          <w:sz w:val="20"/>
          <w:szCs w:val="20"/>
        </w:rPr>
        <w:footnoteRef/>
      </w:r>
      <w:r w:rsidRPr="002B0DBD">
        <w:rPr>
          <w:sz w:val="20"/>
          <w:szCs w:val="20"/>
        </w:rPr>
        <w:t xml:space="preserve"> G. Grass, il mio secolo, cit., pp. 130-131 </w:t>
      </w:r>
    </w:p>
  </w:footnote>
  <w:footnote w:id="25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A. M. Banti, </w:t>
      </w:r>
      <w:r w:rsidRPr="002B0DBD">
        <w:rPr>
          <w:i/>
          <w:sz w:val="20"/>
          <w:szCs w:val="20"/>
        </w:rPr>
        <w:t>L´onore della Nazione,</w:t>
      </w:r>
      <w:r w:rsidRPr="002B0DBD">
        <w:rPr>
          <w:sz w:val="20"/>
          <w:szCs w:val="20"/>
        </w:rPr>
        <w:t xml:space="preserve"> Torino, Einaudi 2005, p. 362  </w:t>
      </w:r>
    </w:p>
  </w:footnote>
  <w:footnote w:id="251">
    <w:p w:rsidR="00593A53" w:rsidRPr="002B0DBD" w:rsidRDefault="00593A53" w:rsidP="00D6505E">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Cfr. E. Fattorini, </w:t>
      </w:r>
      <w:r w:rsidRPr="002B0DBD">
        <w:rPr>
          <w:i/>
          <w:sz w:val="20"/>
          <w:szCs w:val="20"/>
        </w:rPr>
        <w:t>Il colpo di grazia sessuale. La violenza delle truppe nere in Renania negli anni venti</w:t>
      </w:r>
      <w:r w:rsidRPr="002B0DBD">
        <w:rPr>
          <w:sz w:val="20"/>
          <w:szCs w:val="20"/>
        </w:rPr>
        <w:t xml:space="preserve">, in A. Bravo, </w:t>
      </w:r>
      <w:r w:rsidRPr="002B0DBD">
        <w:rPr>
          <w:i/>
          <w:sz w:val="20"/>
          <w:szCs w:val="20"/>
        </w:rPr>
        <w:t xml:space="preserve">Donne e uomini nelle guerre mondiali,  </w:t>
      </w:r>
      <w:r w:rsidRPr="002B0DBD">
        <w:rPr>
          <w:sz w:val="20"/>
          <w:szCs w:val="20"/>
        </w:rPr>
        <w:t xml:space="preserve">Roma-Bari, Laterza 1991, p. 40  </w:t>
      </w:r>
    </w:p>
  </w:footnote>
  <w:footnote w:id="252">
    <w:p w:rsidR="00593A53" w:rsidRPr="002B0DBD" w:rsidRDefault="00593A53" w:rsidP="00791545">
      <w:pPr>
        <w:pStyle w:val="footnotedescription"/>
        <w:spacing w:after="120" w:line="240" w:lineRule="auto"/>
        <w:ind w:left="566" w:right="713"/>
        <w:rPr>
          <w:sz w:val="20"/>
          <w:szCs w:val="20"/>
          <w:lang w:val="fr-FR"/>
        </w:rPr>
      </w:pPr>
      <w:r w:rsidRPr="002B0DBD">
        <w:rPr>
          <w:rStyle w:val="footnotemark"/>
          <w:sz w:val="20"/>
          <w:szCs w:val="20"/>
        </w:rPr>
        <w:footnoteRef/>
      </w:r>
      <w:r w:rsidRPr="002B0DBD">
        <w:rPr>
          <w:sz w:val="20"/>
          <w:szCs w:val="20"/>
          <w:lang w:val="fr-FR"/>
        </w:rPr>
        <w:t xml:space="preserve"> Cfr. E. Fattorini, pp. 47-48  </w:t>
      </w:r>
    </w:p>
  </w:footnote>
  <w:footnote w:id="253">
    <w:p w:rsidR="00593A53" w:rsidRPr="002B0DBD" w:rsidRDefault="00593A53" w:rsidP="00D6505E">
      <w:pPr>
        <w:pStyle w:val="footnotedescription"/>
        <w:spacing w:after="120" w:line="240" w:lineRule="auto"/>
        <w:ind w:left="566" w:right="713"/>
        <w:jc w:val="both"/>
        <w:rPr>
          <w:sz w:val="20"/>
          <w:szCs w:val="20"/>
          <w:lang w:val="fr-FR"/>
        </w:rPr>
      </w:pPr>
      <w:r w:rsidRPr="002B0DBD">
        <w:rPr>
          <w:rStyle w:val="footnotemark"/>
          <w:sz w:val="20"/>
          <w:szCs w:val="20"/>
        </w:rPr>
        <w:footnoteRef/>
      </w:r>
      <w:r w:rsidRPr="002B0DBD">
        <w:rPr>
          <w:sz w:val="20"/>
          <w:szCs w:val="20"/>
          <w:lang w:val="fr-FR"/>
        </w:rPr>
        <w:t xml:space="preserve"> Ci-joint  l’adresse de A. A. né le 14 mars 1920 et appartenant à votre communauté. La police constata aussitôt que le jeune homme agé de 17 ans, ne vivait plus à Kandel, mais qu’il travaillait comme stewart sur un steamer hollandais basé dans le port de Duisburg. La Gestapo de Duisburg, immediatement contactée, retrouva sa trace à bord du steamer Eagle qui naviguait vers Ludwigshafen. C’est donc la Gestapo de cette  ville qui reçu l’ordre d’arreter pour l’amener à l’hopital de Cologne. Deux agents SS l’attendaient à l’arrivé du bateau à 23H15. Le motif d’arrestation donné au capitain fut « haut trahison ». Le garçon fut conduit dans la nuit à Cologne. Le Chirurgien-chief de l’hopital protestant de la ville, le professeur Nieden, il y attendait déjà. Le patient fut aussitôt préparé pour l’intervention, dont le medicin rédigea le rapport. “la blessure a cicatrisé en six jours sans complications. L’operation a considérée comme reussi à 100%. Le patien a quitté l’hopital en bonne condition. Coquery-Vidrovitch, pp. 88-89 </w:t>
      </w:r>
      <w:r w:rsidRPr="002B0DBD">
        <w:rPr>
          <w:i/>
          <w:sz w:val="20"/>
          <w:szCs w:val="20"/>
          <w:lang w:val="fr-FR"/>
        </w:rPr>
        <w:t xml:space="preserve"> </w:t>
      </w:r>
    </w:p>
  </w:footnote>
  <w:footnote w:id="254">
    <w:p w:rsidR="00593A53" w:rsidRPr="002B0DBD" w:rsidRDefault="00593A53" w:rsidP="00D249D7">
      <w:pPr>
        <w:pStyle w:val="footnotedescription"/>
        <w:spacing w:line="240" w:lineRule="auto"/>
        <w:ind w:left="567" w:right="714"/>
        <w:jc w:val="both"/>
        <w:rPr>
          <w:sz w:val="20"/>
          <w:szCs w:val="20"/>
          <w:lang w:val="fr-FR"/>
        </w:rPr>
      </w:pPr>
      <w:r w:rsidRPr="002B0DBD">
        <w:rPr>
          <w:rStyle w:val="footnotemark"/>
          <w:sz w:val="20"/>
          <w:szCs w:val="20"/>
        </w:rPr>
        <w:footnoteRef/>
      </w:r>
      <w:r w:rsidRPr="002B0DBD">
        <w:rPr>
          <w:sz w:val="20"/>
          <w:szCs w:val="20"/>
          <w:lang w:val="fr-FR"/>
        </w:rPr>
        <w:t xml:space="preserve"> </w:t>
      </w:r>
      <w:r w:rsidRPr="002B0DBD">
        <w:rPr>
          <w:i/>
          <w:sz w:val="20"/>
          <w:szCs w:val="20"/>
          <w:lang w:val="fr-FR"/>
        </w:rPr>
        <w:t xml:space="preserve">« Le Rhénan n’aime certes pas le Prussien, fonctionnaire avide et désagréables, installé dans ce Pays aimable, avec son souci de la stricte discipline et son esprit d’autorité. </w:t>
      </w:r>
    </w:p>
    <w:p w:rsidR="00593A53" w:rsidRPr="002B0DBD" w:rsidRDefault="00593A53" w:rsidP="00D249D7">
      <w:pPr>
        <w:pStyle w:val="footnotedescription"/>
        <w:spacing w:line="240" w:lineRule="auto"/>
        <w:ind w:left="567" w:right="714"/>
        <w:jc w:val="both"/>
        <w:rPr>
          <w:sz w:val="20"/>
          <w:szCs w:val="20"/>
          <w:lang w:val="fr-FR"/>
        </w:rPr>
      </w:pPr>
      <w:r w:rsidRPr="002B0DBD">
        <w:rPr>
          <w:i/>
          <w:sz w:val="20"/>
          <w:szCs w:val="20"/>
          <w:lang w:val="fr-FR"/>
        </w:rPr>
        <w:t xml:space="preserve">Il y a une psychologie rhénane assez complexe et pourtant facile à démêlé: ces marche ont été le gage de toutes les victoires, la rançon de toute les défaites, des hommes d’armes ont lourdement foulé leur sol. Les troupes de Louis XIV, de Louis XV, de Napoléon s’y sont succédé et ont été remplacées par celles du Grand Frédéric ou de Blucher. Géographiquement, intellectuellement, leur pole est à l’ouest. Des actes de force, les grands désastres de la fin de l’Empire, les ont jetés politiquement dans le système prussien.  </w:t>
      </w:r>
    </w:p>
    <w:p w:rsidR="00593A53" w:rsidRPr="002B0DBD" w:rsidRDefault="00593A53" w:rsidP="00D249D7">
      <w:pPr>
        <w:pStyle w:val="footnotedescription"/>
        <w:spacing w:line="240" w:lineRule="auto"/>
        <w:ind w:left="567" w:right="714"/>
        <w:jc w:val="both"/>
        <w:rPr>
          <w:i/>
          <w:sz w:val="20"/>
          <w:szCs w:val="20"/>
          <w:lang w:val="de-DE"/>
        </w:rPr>
      </w:pPr>
      <w:r w:rsidRPr="002B0DBD">
        <w:rPr>
          <w:i/>
          <w:sz w:val="20"/>
          <w:szCs w:val="20"/>
          <w:lang w:val="de-DE"/>
        </w:rPr>
        <w:t>[…].</w:t>
      </w:r>
    </w:p>
    <w:p w:rsidR="00593A53" w:rsidRPr="002B0DBD" w:rsidRDefault="00593A53" w:rsidP="00D249D7">
      <w:pPr>
        <w:spacing w:after="0" w:line="240" w:lineRule="auto"/>
        <w:ind w:left="567" w:right="714" w:firstLine="0"/>
        <w:rPr>
          <w:sz w:val="20"/>
          <w:szCs w:val="20"/>
          <w:lang w:val="fr-FR"/>
        </w:rPr>
      </w:pPr>
      <w:r w:rsidRPr="002B0DBD">
        <w:rPr>
          <w:i/>
          <w:sz w:val="20"/>
          <w:szCs w:val="20"/>
          <w:lang w:val="fr-FR"/>
        </w:rPr>
        <w:t xml:space="preserve">La grande catastrophe de 1918 est venue. La Rhénanie dans les premiers mois de 1919, a attendu des modifications à son statut national. Elle a cru à l’annexion à la France, ou à l’autonomie, et si la prémière de ces éventualités soulevait, sinon des résistances – les populations rhénanes sont assez malléables pour accepter la décision de la force – du moins des inquiétudes, la seconde paraissait, </w:t>
      </w:r>
    </w:p>
    <w:p w:rsidR="00593A53" w:rsidRPr="002B0DBD" w:rsidRDefault="00593A53" w:rsidP="00D249D7">
      <w:pPr>
        <w:spacing w:after="0" w:line="240" w:lineRule="auto"/>
        <w:ind w:left="567" w:right="714" w:firstLine="0"/>
        <w:rPr>
          <w:sz w:val="20"/>
          <w:szCs w:val="20"/>
          <w:lang w:val="fr-FR"/>
        </w:rPr>
      </w:pPr>
      <w:r w:rsidRPr="002B0DBD">
        <w:rPr>
          <w:i/>
          <w:sz w:val="20"/>
          <w:szCs w:val="20"/>
          <w:lang w:val="fr-FR"/>
        </w:rPr>
        <w:t xml:space="preserve">dans l’ensemble, désirée. La paix de Versailles a abouti à une troisième solution : l’occupation interalliée pour 5, 10 ou 15 ans, mais le maintiens de la Rhénanie dans l’unité Allemande. Tout au plus, sur la trame solide de l’organisation administrative du Reich, a-t-on surajouté quelque organisme interalliés ; le fonctionnaire prussien est demeuré, et avec lui, la perspective d’un avenir que rien ne différencie du passé. […]. </w:t>
      </w:r>
    </w:p>
    <w:p w:rsidR="00593A53" w:rsidRPr="002B0DBD" w:rsidRDefault="00593A53" w:rsidP="00D6505E">
      <w:pPr>
        <w:spacing w:after="120" w:line="240" w:lineRule="auto"/>
        <w:ind w:left="566" w:right="713" w:firstLine="0"/>
        <w:rPr>
          <w:sz w:val="20"/>
          <w:szCs w:val="20"/>
        </w:rPr>
      </w:pPr>
      <w:r w:rsidRPr="002B0DBD">
        <w:rPr>
          <w:i/>
          <w:sz w:val="20"/>
          <w:szCs w:val="20"/>
          <w:lang w:val="fr-FR"/>
        </w:rPr>
        <w:t xml:space="preserve"> Toute politique française en Rhénanie est toutefois subordonné à une condition première, le maintien prolongé de  notre armée du Rhin dans les territoires occupés. Sens cette assurance, cette politique est fatalement précaire. Les  populations, nous l’avons vu, ne veulent pas se compromettre pour une cause dont la faiblesse apparait, parce qu’elle  est limité dans le temps – et limitée à date fixe – et incertaine  – dans ses moyens d’action. »  </w:t>
      </w:r>
      <w:r w:rsidRPr="002B0DBD">
        <w:rPr>
          <w:sz w:val="20"/>
          <w:szCs w:val="20"/>
        </w:rPr>
        <w:t xml:space="preserve">Dal  </w:t>
      </w:r>
      <w:r w:rsidRPr="002B0DBD">
        <w:rPr>
          <w:i/>
          <w:sz w:val="20"/>
          <w:szCs w:val="20"/>
        </w:rPr>
        <w:t xml:space="preserve">Piano francese di  una poco larvata annessione della Renania e del bacino della Saar, </w:t>
      </w:r>
      <w:r w:rsidRPr="002B0DBD">
        <w:rPr>
          <w:sz w:val="20"/>
          <w:szCs w:val="20"/>
        </w:rPr>
        <w:t xml:space="preserve">contenuto in W. C. L. Stein </w:t>
      </w:r>
      <w:r w:rsidRPr="002B0DBD">
        <w:rPr>
          <w:i/>
          <w:sz w:val="20"/>
          <w:szCs w:val="20"/>
        </w:rPr>
        <w:t>La  tradizionale politica della Francia e l’Avvenire Europeo</w:t>
      </w:r>
      <w:r w:rsidRPr="002B0DBD">
        <w:rPr>
          <w:sz w:val="20"/>
          <w:szCs w:val="20"/>
        </w:rPr>
        <w:t xml:space="preserve">, Maglione e Strini, Roma 1923, pp. 90 e segg. </w:t>
      </w:r>
      <w:r w:rsidRPr="002B0DBD">
        <w:rPr>
          <w:i/>
          <w:sz w:val="20"/>
          <w:szCs w:val="20"/>
        </w:rPr>
        <w:t xml:space="preserve"> </w:t>
      </w:r>
    </w:p>
  </w:footnote>
  <w:footnote w:id="255">
    <w:p w:rsidR="00593A53" w:rsidRPr="002B0DBD" w:rsidRDefault="00593A53" w:rsidP="00D6505E">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Ibidem, p. 29 </w:t>
      </w:r>
      <w:r w:rsidRPr="002B0DBD">
        <w:rPr>
          <w:lang w:val="de-DE"/>
        </w:rPr>
        <w:t xml:space="preserve"> </w:t>
      </w:r>
    </w:p>
  </w:footnote>
  <w:footnote w:id="256">
    <w:p w:rsidR="00593A53" w:rsidRPr="002B0DBD" w:rsidRDefault="00593A53" w:rsidP="00D6505E">
      <w:pPr>
        <w:spacing w:after="120" w:line="240" w:lineRule="auto"/>
        <w:ind w:left="566" w:right="713" w:firstLine="0"/>
        <w:jc w:val="left"/>
      </w:pPr>
      <w:r w:rsidRPr="002B0DBD">
        <w:rPr>
          <w:rStyle w:val="Rimandonotaapidipagina"/>
          <w:sz w:val="20"/>
          <w:szCs w:val="20"/>
        </w:rPr>
        <w:footnoteRef/>
      </w:r>
      <w:r w:rsidRPr="002B0DBD">
        <w:rPr>
          <w:sz w:val="20"/>
          <w:szCs w:val="20"/>
        </w:rPr>
        <w:t xml:space="preserve"> Albrecht-Carrié, Ibid., pp. 110 e segg. </w:t>
      </w:r>
    </w:p>
  </w:footnote>
  <w:footnote w:id="257">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„Für diesen doch recht massive Einsatz von Kolonialtruppen im Rehinland scheint es mehrere Gründe gegeben zu haben. Während der Zeit der Friedensverhandlungen mag die Furcht vor einem erneuten Aufflammen des Krieges eine rasche Repatriierung der Kolonialtruppen für unklug erscheinen lassen haben, uns zu schien opportuner, die Afrikaner in Deutschland statt in Frankreich zu stationieren, zumal dadurch weisse Soldaten demobilisiert werden konnten, deren der Arbeitskraft man für den Wiederaufbau des Mutterlandes dringend benötigte. Zweifellos spielte aber auch ein psychologische Moment eine gewisse Rolle: Durch die Stationierung nichtweisser Besatzungstruppen sollte den Deutschen das Ausmass ihrer Niederlage besonders drastisch vor Augen geführt werden“ </w:t>
      </w:r>
      <w:r w:rsidRPr="002B0DBD">
        <w:rPr>
          <w:sz w:val="20"/>
          <w:szCs w:val="20"/>
          <w:lang w:val="de-DE"/>
        </w:rPr>
        <w:t xml:space="preserve">Koller, Von Wilden aller Rassen niedergemetzelt, Franz Steiner Verlag, Stoccarda 2001, p. 203  </w:t>
      </w:r>
    </w:p>
  </w:footnote>
  <w:footnote w:id="258">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Koller, Von Wilden aller Rassen niedergemetzelt, Franz Steiner Verlag, Stoccarda 2001, p. 204  </w:t>
      </w:r>
    </w:p>
  </w:footnote>
  <w:footnote w:id="259">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lang w:val="de-DE"/>
        </w:rPr>
        <w:t xml:space="preserve"> </w:t>
      </w:r>
      <w:r w:rsidRPr="002B0DBD">
        <w:rPr>
          <w:i/>
          <w:sz w:val="20"/>
          <w:szCs w:val="20"/>
          <w:lang w:val="de-DE"/>
        </w:rPr>
        <w:t>„Die Maßregeln gegen den Sklavenhandel bezwecken den internationalen rechtlichen Schutz der persönlichen Freiheit. Ihnen liegt die Rechtsüberzeugung zugrunde, daß innerhalb dem Macht – und Herrschaftsbereich zivilisierter Staaten zugänglich Gebieten eine Degradation von an sich  freien Menschen zu Sklaven, d.h. zu Rechtsobjekten, zur Ware  sittlich lässig ist.“</w:t>
      </w:r>
      <w:r w:rsidRPr="002B0DBD">
        <w:rPr>
          <w:sz w:val="20"/>
          <w:szCs w:val="20"/>
          <w:lang w:val="de-DE"/>
        </w:rPr>
        <w:t xml:space="preserve"> </w:t>
      </w:r>
      <w:r w:rsidRPr="002B0DBD">
        <w:rPr>
          <w:sz w:val="20"/>
          <w:szCs w:val="20"/>
        </w:rPr>
        <w:t xml:space="preserve">Die Rechtsstellung der Besetzung Rehinland, V. Kohlhammer Stuttgard, 1923, p. 82  </w:t>
      </w:r>
    </w:p>
  </w:footnote>
  <w:footnote w:id="26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Diacronie Studi di Storia Contemporanea, N. 14 | 2|2013  Processo penale, politica, opinione pubblica (secoli XVIII-XX)  </w:t>
      </w:r>
    </w:p>
  </w:footnote>
  <w:footnote w:id="26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Discorso del Presidente Hindenburg, riportato tradotti in italiano nell’articolo </w:t>
      </w:r>
      <w:r w:rsidRPr="002B0DBD">
        <w:rPr>
          <w:i/>
          <w:sz w:val="20"/>
          <w:szCs w:val="20"/>
        </w:rPr>
        <w:t>Deliranti accoglienze a Hindenburg nella Renania liberata</w:t>
      </w:r>
      <w:r w:rsidRPr="002B0DBD">
        <w:rPr>
          <w:sz w:val="20"/>
          <w:szCs w:val="20"/>
        </w:rPr>
        <w:t xml:space="preserve"> de </w:t>
      </w:r>
      <w:r w:rsidRPr="002B0DBD">
        <w:rPr>
          <w:i/>
          <w:sz w:val="20"/>
          <w:szCs w:val="20"/>
        </w:rPr>
        <w:t>La Tribuna</w:t>
      </w:r>
      <w:r w:rsidRPr="002B0DBD">
        <w:rPr>
          <w:sz w:val="20"/>
          <w:szCs w:val="20"/>
        </w:rPr>
        <w:t xml:space="preserve"> del 22 luglio 1930    </w:t>
      </w:r>
    </w:p>
  </w:footnote>
  <w:footnote w:id="262">
    <w:p w:rsidR="00593A53" w:rsidRPr="00D6505E"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w:t>
      </w:r>
      <w:r w:rsidRPr="00D6505E">
        <w:rPr>
          <w:sz w:val="20"/>
          <w:szCs w:val="20"/>
          <w:lang w:val="de-DE"/>
        </w:rPr>
        <w:t xml:space="preserve">Wie standen die Dinge Ende November 1923? […]. </w:t>
      </w:r>
    </w:p>
    <w:p w:rsidR="00593A53" w:rsidRPr="002B0DBD" w:rsidRDefault="00593A53" w:rsidP="00D249D7">
      <w:pPr>
        <w:pStyle w:val="footnotedescription"/>
        <w:spacing w:line="240" w:lineRule="auto"/>
        <w:ind w:left="567" w:right="714"/>
        <w:jc w:val="both"/>
        <w:rPr>
          <w:sz w:val="20"/>
          <w:szCs w:val="20"/>
          <w:lang w:val="de-DE"/>
        </w:rPr>
      </w:pPr>
      <w:r w:rsidRPr="00D6505E">
        <w:rPr>
          <w:sz w:val="20"/>
          <w:szCs w:val="20"/>
          <w:lang w:val="de-DE"/>
        </w:rPr>
        <w:t>Reichsfinanzminister Dr. Luther als Mitglied des Kabinetts Stresemann am 22. November 1923 im Reichstag heilt. Er führte damals folgendes</w:t>
      </w:r>
      <w:r w:rsidRPr="002B0DBD">
        <w:rPr>
          <w:sz w:val="20"/>
          <w:szCs w:val="20"/>
          <w:lang w:val="de-DE"/>
        </w:rPr>
        <w:t xml:space="preserve"> aus:</w:t>
      </w:r>
    </w:p>
    <w:p w:rsidR="00593A53" w:rsidRPr="002B0DBD" w:rsidRDefault="00593A53" w:rsidP="00D6505E">
      <w:pPr>
        <w:spacing w:after="120" w:line="240" w:lineRule="auto"/>
        <w:ind w:left="566" w:right="713" w:firstLine="0"/>
        <w:rPr>
          <w:sz w:val="20"/>
          <w:szCs w:val="20"/>
          <w:lang w:val="de-DE"/>
        </w:rPr>
      </w:pPr>
      <w:r w:rsidRPr="002B0DBD">
        <w:rPr>
          <w:sz w:val="20"/>
          <w:szCs w:val="20"/>
          <w:lang w:val="de-DE"/>
        </w:rPr>
        <w:t xml:space="preserve">„Es kann gar keinem Zweifel unterliegen, daß das deutsches Volk in seiner Gesamtheit noch keine hinreichende Vorstellung davon hat, wie hart Druck der Not heute auf unserem Staatswesen und auf unsere Volke liegt. Es ist vielleicht nicht bequem, mit anzuhören, wie es heute tatsächlich mit unseren Finanzen steht. Unzählige Lieblingswünsche, die das Volk in allen seinen Teilen seit Jahren gehegt hat, sind nicht mehr zu erfüllen. Die Zeit ist vorbei, wo man mit einem allgemeinen Anerkenntnis durchkommen konnte: es steht schlecht um die Finanzen, aber dies und jenes muß doch gemacht werden Schöny, </w:t>
      </w:r>
      <w:r w:rsidRPr="002B0DBD">
        <w:rPr>
          <w:i/>
          <w:sz w:val="20"/>
          <w:szCs w:val="20"/>
          <w:lang w:val="de-DE"/>
        </w:rPr>
        <w:t>Die Rettung vor der Katastrophe – die Politik des Kabinetts Marx unter dem Ermächtigungsgesetz und ihre Erfolge</w:t>
      </w:r>
      <w:r w:rsidRPr="002B0DBD">
        <w:rPr>
          <w:sz w:val="20"/>
          <w:szCs w:val="20"/>
          <w:lang w:val="de-DE"/>
        </w:rPr>
        <w:t xml:space="preserve">, Verlag der Germania A.-G., Berlino 1924 p.5  </w:t>
      </w:r>
    </w:p>
  </w:footnote>
  <w:footnote w:id="263">
    <w:p w:rsidR="00593A53" w:rsidRPr="00D6505E" w:rsidRDefault="00593A53" w:rsidP="00D6505E">
      <w:pPr>
        <w:spacing w:after="120" w:line="240" w:lineRule="auto"/>
        <w:ind w:left="566" w:right="713" w:firstLine="0"/>
        <w:jc w:val="left"/>
        <w:rPr>
          <w:sz w:val="20"/>
          <w:szCs w:val="20"/>
          <w:lang w:val="en-US"/>
        </w:rPr>
      </w:pPr>
      <w:r w:rsidRPr="002B0DBD">
        <w:rPr>
          <w:rStyle w:val="Rimandonotaapidipagina"/>
          <w:sz w:val="20"/>
          <w:szCs w:val="20"/>
        </w:rPr>
        <w:footnoteRef/>
      </w:r>
      <w:r w:rsidRPr="00D6505E">
        <w:rPr>
          <w:sz w:val="20"/>
          <w:szCs w:val="20"/>
          <w:lang w:val="en-US"/>
        </w:rPr>
        <w:t xml:space="preserve"> M. Flores, cit., p. 51</w:t>
      </w:r>
    </w:p>
  </w:footnote>
  <w:footnote w:id="264">
    <w:p w:rsidR="00593A53" w:rsidRPr="002B0DBD" w:rsidRDefault="00593A53" w:rsidP="00D6505E">
      <w:pPr>
        <w:spacing w:after="120" w:line="240" w:lineRule="auto"/>
        <w:ind w:left="566" w:right="713" w:firstLine="0"/>
        <w:rPr>
          <w:lang w:val="fr-FR"/>
        </w:rPr>
      </w:pPr>
      <w:r w:rsidRPr="002B0DBD">
        <w:rPr>
          <w:rStyle w:val="Rimandonotaapidipagina"/>
          <w:sz w:val="20"/>
          <w:szCs w:val="20"/>
        </w:rPr>
        <w:footnoteRef/>
      </w:r>
      <w:r w:rsidRPr="002B0DBD">
        <w:rPr>
          <w:sz w:val="20"/>
          <w:szCs w:val="20"/>
          <w:lang w:val="fr-FR"/>
        </w:rPr>
        <w:t xml:space="preserve"> S. Audoin-Rouzeau, L’enfant de l’ennemi, Parigi, Aubier 1995, pp. 33-36 </w:t>
      </w:r>
    </w:p>
  </w:footnote>
  <w:footnote w:id="265">
    <w:p w:rsidR="00593A53" w:rsidRPr="002B0DBD" w:rsidRDefault="00593A53" w:rsidP="00D6505E">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Intervento dell’on. </w:t>
      </w:r>
      <w:r w:rsidRPr="002B0DBD">
        <w:rPr>
          <w:sz w:val="20"/>
          <w:szCs w:val="20"/>
        </w:rPr>
        <w:t>F. Maffi,  ASC- Roma, Atti Parlamentari XXV Legislatura, 1</w:t>
      </w:r>
      <w:r w:rsidRPr="002B0DBD">
        <w:rPr>
          <w:sz w:val="20"/>
          <w:szCs w:val="20"/>
          <w:vertAlign w:val="superscript"/>
        </w:rPr>
        <w:t>a</w:t>
      </w:r>
      <w:r w:rsidRPr="002B0DBD">
        <w:rPr>
          <w:sz w:val="20"/>
          <w:szCs w:val="20"/>
        </w:rPr>
        <w:t xml:space="preserve"> sessione, Seduta LI – 8 luglio 1920  </w:t>
      </w:r>
      <w:r w:rsidRPr="002B0DBD">
        <w:rPr>
          <w:rFonts w:eastAsia="Calibri"/>
          <w:sz w:val="20"/>
          <w:szCs w:val="20"/>
        </w:rPr>
        <w:t xml:space="preserve"> </w:t>
      </w:r>
    </w:p>
  </w:footnote>
  <w:footnote w:id="266">
    <w:p w:rsidR="00593A53" w:rsidRPr="002B0DBD" w:rsidRDefault="00593A53" w:rsidP="00D6505E">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Cit. A. Rocco in G. Galeotti, </w:t>
      </w:r>
      <w:r w:rsidRPr="002B0DBD">
        <w:rPr>
          <w:i/>
          <w:sz w:val="20"/>
          <w:szCs w:val="20"/>
        </w:rPr>
        <w:t xml:space="preserve">Storia dell’aborto, i molti protagonisti e interessi di una lunga vicenda, </w:t>
      </w:r>
      <w:r w:rsidRPr="002B0DBD">
        <w:rPr>
          <w:sz w:val="20"/>
          <w:szCs w:val="20"/>
        </w:rPr>
        <w:t xml:space="preserve">Bologna, Il Mulino 2003, p. 83  </w:t>
      </w:r>
    </w:p>
  </w:footnote>
  <w:footnote w:id="267">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Dal saggio di B. Kasten „Untersuchung und Abtreibung während der NS-Zeit in Leipzig“, contenuto in S. Schötz, </w:t>
      </w:r>
      <w:r w:rsidRPr="002B0DBD">
        <w:rPr>
          <w:i/>
          <w:sz w:val="20"/>
          <w:szCs w:val="20"/>
          <w:lang w:val="de-DE"/>
        </w:rPr>
        <w:t>Frauen Alltag in Leipzig</w:t>
      </w:r>
      <w:r w:rsidRPr="002B0DBD">
        <w:rPr>
          <w:sz w:val="20"/>
          <w:szCs w:val="20"/>
          <w:lang w:val="de-DE"/>
        </w:rPr>
        <w:t xml:space="preserve">, Bohlau, Köln, Weimar, Wien, Böhlau, 1997, p. 271 </w:t>
      </w:r>
      <w:r w:rsidRPr="002B0DBD">
        <w:rPr>
          <w:rFonts w:eastAsia="Calibri"/>
          <w:sz w:val="20"/>
          <w:szCs w:val="20"/>
          <w:lang w:val="de-DE"/>
        </w:rPr>
        <w:t xml:space="preserve">  </w:t>
      </w:r>
    </w:p>
  </w:footnote>
  <w:footnote w:id="268">
    <w:p w:rsidR="00593A53" w:rsidRPr="002B0DBD" w:rsidRDefault="00593A53" w:rsidP="00D6505E">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„die männerbeherrschte, den starken Mann verherrlichende Naziwelt wankt – und mit ihr der Mythos „Mann“. In früheren  Kriegen konnten die Männer darauf pochen, daß ihnen das Privileg des Töten und Getötetwerdens fürs Vaterland zustand.“</w:t>
      </w:r>
      <w:r w:rsidRPr="002B0DBD">
        <w:rPr>
          <w:sz w:val="20"/>
          <w:szCs w:val="20"/>
          <w:lang w:val="de-DE"/>
        </w:rPr>
        <w:t xml:space="preserve"> Anonyma, op. cit, p. 51    </w:t>
      </w:r>
    </w:p>
  </w:footnote>
  <w:footnote w:id="269">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Ich bin da im Dritten Monat schwanger gewesen. Schwängerer war mein Ehemann, der immer zu Hause ist. Mit anderen Männern habe ich keinen Geschlechtsverkehr gehabt,  STaL AGL 1401 f. 5 RS </w:t>
      </w:r>
      <w:r w:rsidRPr="002B0DBD">
        <w:rPr>
          <w:rFonts w:eastAsia="Calibri"/>
          <w:sz w:val="20"/>
          <w:szCs w:val="20"/>
          <w:lang w:val="de-DE"/>
        </w:rPr>
        <w:t xml:space="preserve"> </w:t>
      </w:r>
    </w:p>
  </w:footnote>
  <w:footnote w:id="270">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S. Schumann, </w:t>
      </w:r>
      <w:r w:rsidRPr="002B0DBD">
        <w:rPr>
          <w:i/>
          <w:sz w:val="20"/>
          <w:szCs w:val="20"/>
          <w:lang w:val="de-DE"/>
        </w:rPr>
        <w:t>„Die Frau aus dem Erwerbsleben wieder herausnehmen“</w:t>
      </w:r>
      <w:r w:rsidRPr="002B0DBD">
        <w:rPr>
          <w:sz w:val="20"/>
          <w:szCs w:val="20"/>
          <w:lang w:val="de-DE"/>
        </w:rPr>
        <w:t xml:space="preserve">, H. Arendt Institut, Dresda 2000, p. 10  </w:t>
      </w:r>
    </w:p>
  </w:footnote>
  <w:footnote w:id="271">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Dal saggio di Schoppmann in G. Grau, Homosexualität in der NS-Zeit Dokumente einer </w:t>
      </w:r>
    </w:p>
    <w:p w:rsidR="00593A53" w:rsidRPr="002B0DBD" w:rsidRDefault="00593A53" w:rsidP="00020B2D">
      <w:pPr>
        <w:pStyle w:val="footnotedescription"/>
        <w:spacing w:after="120" w:line="240" w:lineRule="auto"/>
        <w:ind w:left="566" w:right="713"/>
        <w:rPr>
          <w:sz w:val="20"/>
          <w:szCs w:val="20"/>
          <w:lang w:val="de-DE"/>
        </w:rPr>
      </w:pPr>
      <w:r w:rsidRPr="002B0DBD">
        <w:rPr>
          <w:sz w:val="20"/>
          <w:szCs w:val="20"/>
          <w:lang w:val="de-DE"/>
        </w:rPr>
        <w:t xml:space="preserve">Diskriminierung und Verfolgung, FischenvTaschenbuch Verlag, Francoforte sul Meno, 1993 </w:t>
      </w:r>
    </w:p>
  </w:footnote>
  <w:footnote w:id="272">
    <w:p w:rsidR="00593A53" w:rsidRPr="00791545" w:rsidRDefault="00593A53" w:rsidP="00020B2D">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w:t>
      </w:r>
      <w:r w:rsidRPr="002B0DBD">
        <w:rPr>
          <w:sz w:val="20"/>
          <w:szCs w:val="20"/>
          <w:lang w:val="de-DE"/>
        </w:rPr>
        <w:t>wie der Glaube, so der Mensch</w:t>
      </w:r>
      <w:r w:rsidRPr="002B0DBD">
        <w:rPr>
          <w:i/>
          <w:sz w:val="20"/>
          <w:szCs w:val="20"/>
          <w:lang w:val="de-DE"/>
        </w:rPr>
        <w:t xml:space="preserve">“, </w:t>
      </w:r>
      <w:r w:rsidRPr="002B0DBD">
        <w:rPr>
          <w:sz w:val="20"/>
          <w:szCs w:val="20"/>
          <w:lang w:val="de-DE"/>
        </w:rPr>
        <w:t xml:space="preserve">A. Rosenberg, </w:t>
      </w:r>
      <w:r w:rsidRPr="002B0DBD">
        <w:rPr>
          <w:i/>
          <w:sz w:val="20"/>
          <w:szCs w:val="20"/>
          <w:lang w:val="de-DE"/>
        </w:rPr>
        <w:t xml:space="preserve">Der Mythos des 20. </w:t>
      </w:r>
      <w:r w:rsidRPr="00791545">
        <w:rPr>
          <w:i/>
          <w:sz w:val="20"/>
          <w:szCs w:val="20"/>
          <w:lang w:val="de-DE"/>
        </w:rPr>
        <w:t>Jahrhundert,</w:t>
      </w:r>
      <w:r w:rsidRPr="00791545">
        <w:rPr>
          <w:sz w:val="20"/>
          <w:szCs w:val="20"/>
          <w:lang w:val="de-DE"/>
        </w:rPr>
        <w:t xml:space="preserve"> München, Hocheneichen Verlag, 1930  </w:t>
      </w:r>
    </w:p>
  </w:footnote>
  <w:footnote w:id="273">
    <w:p w:rsidR="00593A53" w:rsidRPr="002B0DBD" w:rsidRDefault="00593A53" w:rsidP="00020B2D">
      <w:pPr>
        <w:pStyle w:val="footnotedescription"/>
        <w:spacing w:after="120" w:line="240" w:lineRule="auto"/>
        <w:ind w:left="566" w:right="713"/>
        <w:jc w:val="both"/>
        <w:rPr>
          <w:sz w:val="20"/>
          <w:szCs w:val="20"/>
          <w:lang w:val="en-GB"/>
        </w:rPr>
      </w:pPr>
      <w:r w:rsidRPr="002B0DBD">
        <w:rPr>
          <w:rStyle w:val="footnotemark"/>
          <w:sz w:val="20"/>
          <w:szCs w:val="20"/>
        </w:rPr>
        <w:footnoteRef/>
      </w:r>
      <w:r w:rsidRPr="002B0DBD">
        <w:rPr>
          <w:sz w:val="20"/>
          <w:szCs w:val="20"/>
          <w:lang w:val="en-GB"/>
        </w:rPr>
        <w:t xml:space="preserve"> Cfr. P. Weitsman </w:t>
      </w:r>
      <w:r w:rsidRPr="002B0DBD">
        <w:rPr>
          <w:i/>
          <w:sz w:val="20"/>
          <w:szCs w:val="20"/>
          <w:lang w:val="en-GB"/>
        </w:rPr>
        <w:t>Children born of war and the politics of identity</w:t>
      </w:r>
      <w:r w:rsidRPr="002B0DBD">
        <w:rPr>
          <w:sz w:val="20"/>
          <w:szCs w:val="20"/>
          <w:lang w:val="en-GB"/>
        </w:rPr>
        <w:t xml:space="preserve">: “For nazi-germany the smallest drop of what was deemed impure blood tainted an individual whose identity thus derived exclusively from that taint”, citato in Charpenter C., </w:t>
      </w:r>
      <w:r w:rsidRPr="002B0DBD">
        <w:rPr>
          <w:i/>
          <w:sz w:val="20"/>
          <w:szCs w:val="20"/>
          <w:lang w:val="en-GB"/>
        </w:rPr>
        <w:t>Born of war</w:t>
      </w:r>
      <w:r w:rsidRPr="002B0DBD">
        <w:rPr>
          <w:sz w:val="20"/>
          <w:szCs w:val="20"/>
          <w:lang w:val="en-GB"/>
        </w:rPr>
        <w:t xml:space="preserve">, p. 123  </w:t>
      </w:r>
    </w:p>
  </w:footnote>
  <w:footnote w:id="274">
    <w:p w:rsidR="00593A53" w:rsidRPr="002B0DBD" w:rsidRDefault="00593A53" w:rsidP="00D249D7">
      <w:pPr>
        <w:pStyle w:val="footnotedescription"/>
        <w:spacing w:line="240" w:lineRule="auto"/>
        <w:ind w:left="567" w:right="714"/>
        <w:jc w:val="both"/>
        <w:rPr>
          <w:sz w:val="20"/>
          <w:szCs w:val="20"/>
        </w:rPr>
      </w:pPr>
      <w:r w:rsidRPr="002B0DBD">
        <w:rPr>
          <w:rStyle w:val="footnotemark"/>
          <w:sz w:val="20"/>
          <w:szCs w:val="20"/>
        </w:rPr>
        <w:footnoteRef/>
      </w:r>
      <w:r w:rsidRPr="002B0DBD">
        <w:rPr>
          <w:sz w:val="20"/>
          <w:szCs w:val="20"/>
        </w:rPr>
        <w:t xml:space="preserve"> Si fa qui riferimento ad un foglio datato 5 agosto 1944 a firma di H. Himmler nel quale venivano riconosciuti i seguenti criteri per la concessione della cittadinanza tedesca: 1) chi ha prestato il Reichsarbeitsdienst, 2) chi è cittadino delle terre del Reich, 3) chi ha almeno 2 nonni tedeschi. A questi parametri ne viene aggiunto un terzo a firma Stuckart: 4) se nonostante l’assenza di nonni tedeschi si può dimostrare un’origine tedesca (</w:t>
      </w:r>
      <w:r w:rsidRPr="002B0DBD">
        <w:rPr>
          <w:i/>
          <w:sz w:val="20"/>
          <w:szCs w:val="20"/>
        </w:rPr>
        <w:t>deutsche Stimmung)</w:t>
      </w:r>
      <w:r w:rsidRPr="002B0DBD">
        <w:rPr>
          <w:sz w:val="20"/>
          <w:szCs w:val="20"/>
        </w:rPr>
        <w:t xml:space="preserve">. ACS – Archivi diversi recuperati alla fine della </w:t>
      </w:r>
    </w:p>
    <w:p w:rsidR="00593A53" w:rsidRPr="002B0DBD" w:rsidRDefault="00593A53" w:rsidP="00791545">
      <w:pPr>
        <w:pStyle w:val="footnotedescription"/>
        <w:spacing w:after="120" w:line="240" w:lineRule="auto"/>
        <w:ind w:left="566" w:right="713"/>
        <w:rPr>
          <w:sz w:val="20"/>
          <w:szCs w:val="20"/>
        </w:rPr>
      </w:pPr>
      <w:r w:rsidRPr="002B0DBD">
        <w:rPr>
          <w:sz w:val="20"/>
          <w:szCs w:val="20"/>
        </w:rPr>
        <w:t xml:space="preserve">Seconda Guerra Mondiale, Comandi di polizia e militari tedeschi in Italia, b. 7 f. 14 p. 261  </w:t>
      </w:r>
    </w:p>
  </w:footnote>
  <w:footnote w:id="275">
    <w:p w:rsidR="00593A53" w:rsidRPr="002B0DBD" w:rsidRDefault="00593A53" w:rsidP="00020B2D">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rPr>
        <w:t xml:space="preserve"> Si fa riferimento ad un documento della Prefettura Repubblicana di Treviso del 15 gennaio 1945 XXIII con oggetto “Abusi a danno di italiane da parte di fuori legge e stranieri”, nel quale il Prefetto Gen. Bellini indica le linee guida per la concessione della possibilità di abortire gravando sul fondo per i servizi sanitari dipendenti dallo Stato di guerra. Il più importante di questi punti è sicuramente quello alla lettera “c” che recita: “che la vittima faccia espressa richiesta di essere sottoposta ad aborto per motivi di onore”.  Questo principio sarà anche il cardine delle richieste di aborto nella Berlino del 1945 anche se non ci sono documenti simili a quello italiano che confermino l’istituzione di una procedura standard. </w:t>
      </w:r>
      <w:r w:rsidRPr="002B0DBD">
        <w:rPr>
          <w:sz w:val="20"/>
          <w:szCs w:val="20"/>
          <w:lang w:val="de-DE"/>
        </w:rPr>
        <w:t xml:space="preserve">INSMLI – Milano – fondo Corpo Volontario della Libertà, b. 160, fasc. 497 </w:t>
      </w:r>
      <w:r w:rsidRPr="002B0DBD">
        <w:rPr>
          <w:i/>
          <w:sz w:val="20"/>
          <w:szCs w:val="20"/>
          <w:lang w:val="de-DE"/>
        </w:rPr>
        <w:t xml:space="preserve"> </w:t>
      </w:r>
    </w:p>
  </w:footnote>
  <w:footnote w:id="27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„Ich versichere hiermit an Eide statt, daß ich im August 1945 vergewaltigt wurde bitte um Unterbrechung der Schwangerschaft“, </w:t>
      </w:r>
      <w:r w:rsidRPr="002B0DBD">
        <w:rPr>
          <w:sz w:val="20"/>
          <w:szCs w:val="20"/>
          <w:lang w:val="de-DE"/>
        </w:rPr>
        <w:t xml:space="preserve">LA – Berlin REP 214 ACC.2740 Nr. 94  </w:t>
      </w:r>
    </w:p>
  </w:footnote>
  <w:footnote w:id="277">
    <w:p w:rsidR="00593A53" w:rsidRPr="002B0DBD" w:rsidRDefault="00593A53" w:rsidP="00020B2D">
      <w:pPr>
        <w:spacing w:after="120" w:line="240" w:lineRule="auto"/>
        <w:ind w:left="566" w:right="713" w:firstLine="0"/>
        <w:rPr>
          <w:lang w:val="de-DE"/>
        </w:rPr>
      </w:pPr>
      <w:r w:rsidRPr="002B0DBD">
        <w:rPr>
          <w:rStyle w:val="Rimandonotaapidipagina"/>
          <w:sz w:val="20"/>
          <w:szCs w:val="20"/>
        </w:rPr>
        <w:footnoteRef/>
      </w:r>
      <w:r w:rsidRPr="002B0DBD">
        <w:rPr>
          <w:sz w:val="20"/>
          <w:szCs w:val="20"/>
          <w:lang w:val="de-DE"/>
        </w:rPr>
        <w:t xml:space="preserve"> „Hiermit versichere ich an Eidestatt, dass ich beim Einzug der roten Armee von einem Russen vergewaltigt worden bin. Ich befinde mich im 3. Monat der Schwangerschaft und bitte höflichst, meine Schwangerschaft zu unterbrechen.“ LA – Berlin REP 214 ACC.2740 </w:t>
      </w:r>
    </w:p>
  </w:footnote>
  <w:footnote w:id="278">
    <w:p w:rsidR="00593A53" w:rsidRPr="002B0DBD" w:rsidRDefault="00593A53" w:rsidP="00D249D7">
      <w:pPr>
        <w:spacing w:after="0" w:line="240" w:lineRule="auto"/>
        <w:ind w:left="567" w:right="714" w:firstLine="0"/>
        <w:rPr>
          <w:sz w:val="20"/>
          <w:szCs w:val="20"/>
          <w:lang w:val="de-DE"/>
        </w:rPr>
      </w:pPr>
      <w:r w:rsidRPr="002B0DBD">
        <w:rPr>
          <w:rStyle w:val="Rimandonotaapidipagina"/>
          <w:sz w:val="20"/>
          <w:szCs w:val="20"/>
        </w:rPr>
        <w:footnoteRef/>
      </w:r>
      <w:r w:rsidRPr="002B0DBD">
        <w:rPr>
          <w:sz w:val="20"/>
          <w:szCs w:val="20"/>
          <w:lang w:val="de-DE"/>
        </w:rPr>
        <w:t xml:space="preserve"> Ich gebe dem Städtischen Gesundheitsamt nachstehend Folgendes bekannt: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Ich war seit 1.1.45 im Lazarett 138, Mariendorfer Weg beschäftigt. Nachdem die Russen unser Gebiet dort besetzt hatten, blieben wir als Lazarett noch bis zum 10.5.45 (Himmelfahrtstag) und wurden nach Hertzberge, Berlin Lichtenberg verfrachtet. Alles was ich z.Zt. noch dort befandmusste mit. </w:t>
      </w:r>
    </w:p>
    <w:p w:rsidR="00593A53" w:rsidRPr="002B0DBD" w:rsidRDefault="00593A53" w:rsidP="00D249D7">
      <w:pPr>
        <w:spacing w:after="0" w:line="240" w:lineRule="auto"/>
        <w:ind w:left="567" w:right="714" w:firstLine="0"/>
        <w:rPr>
          <w:sz w:val="20"/>
          <w:szCs w:val="20"/>
          <w:lang w:val="de-DE"/>
        </w:rPr>
      </w:pPr>
      <w:r w:rsidRPr="002B0DBD">
        <w:rPr>
          <w:sz w:val="20"/>
          <w:szCs w:val="20"/>
          <w:lang w:val="de-DE"/>
        </w:rPr>
        <w:t xml:space="preserve">Am 29. April d.Js. hatte ich Urlaub erhalten, um mal nach Hause zu gehen und dort nach dem Rechten zu sehen. Unterwegs wurde ich leider angehalten und musste mit 2 Russen mit. </w:t>
      </w:r>
    </w:p>
    <w:p w:rsidR="00593A53" w:rsidRPr="002B0DBD" w:rsidRDefault="00593A53" w:rsidP="00791545">
      <w:pPr>
        <w:spacing w:after="120" w:line="240" w:lineRule="auto"/>
        <w:ind w:left="566" w:right="713" w:firstLine="0"/>
        <w:rPr>
          <w:sz w:val="20"/>
          <w:szCs w:val="20"/>
          <w:lang w:val="de-DE"/>
        </w:rPr>
      </w:pPr>
      <w:r w:rsidRPr="002B0DBD">
        <w:rPr>
          <w:sz w:val="20"/>
          <w:szCs w:val="20"/>
          <w:lang w:val="de-DE"/>
        </w:rPr>
        <w:t xml:space="preserve">Als ich dann mit in Hertzberge war, passierte mir dies ungefähr Mitte Mai nocheinmal. Sie nahmen keine Rücksicht und man hatte ganz einfach zu gehorchen, da man sonst mit dem Tode bezw. mit dem Revolver bedroht wurde. Die Aengste und die Schrecken, die man durchgemacht hat, werden Sie sich ja vorstellen können Wir wurden damals von unseren dortigen Aerzten untersucht, ob wir uns angesteckt hatten, es war negativ. Eine Schwangerschaft konnte bei mir damals noch nicht festgesellt werden, erst jetzt merkte ich, dass es andem sein müsste und liess mich daraufhin untersuchen. </w:t>
      </w:r>
    </w:p>
    <w:p w:rsidR="00593A53" w:rsidRPr="002B0DBD" w:rsidRDefault="00593A53" w:rsidP="00020B2D">
      <w:pPr>
        <w:spacing w:after="120" w:line="240" w:lineRule="auto"/>
        <w:ind w:left="566" w:right="713" w:firstLine="0"/>
        <w:rPr>
          <w:lang w:val="de-DE"/>
        </w:rPr>
      </w:pPr>
      <w:r w:rsidRPr="002B0DBD">
        <w:rPr>
          <w:sz w:val="20"/>
          <w:szCs w:val="20"/>
          <w:lang w:val="de-DE"/>
        </w:rPr>
        <w:t xml:space="preserve">Die Ergebnisse liegen bei. Ich stelle daher Antrag auf Schwangerschaftsunterbrechung und bitte Genehmigung derselben. LA – Berlin B Rep. 214 Nr. 94 </w:t>
      </w:r>
    </w:p>
  </w:footnote>
  <w:footnote w:id="279">
    <w:p w:rsidR="00593A53" w:rsidRPr="002B0DBD" w:rsidRDefault="00593A53" w:rsidP="00020B2D">
      <w:pPr>
        <w:spacing w:after="120" w:line="240" w:lineRule="auto"/>
        <w:ind w:left="566" w:right="713" w:firstLine="0"/>
        <w:jc w:val="left"/>
      </w:pPr>
      <w:r w:rsidRPr="002B0DBD">
        <w:rPr>
          <w:rStyle w:val="Rimandonotaapidipagina"/>
          <w:sz w:val="20"/>
          <w:szCs w:val="20"/>
        </w:rPr>
        <w:footnoteRef/>
      </w:r>
      <w:r w:rsidRPr="002B0DBD">
        <w:rPr>
          <w:sz w:val="20"/>
          <w:szCs w:val="20"/>
        </w:rPr>
        <w:t xml:space="preserve"> LA – Berlin Sta. – Ort. Nr. 2110 </w:t>
      </w:r>
    </w:p>
  </w:footnote>
  <w:footnote w:id="280">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Cfr. B. Kasten, p. 289, 290  </w:t>
      </w:r>
    </w:p>
  </w:footnote>
  <w:footnote w:id="281">
    <w:p w:rsidR="00593A53" w:rsidRPr="002B0DBD" w:rsidRDefault="00593A53" w:rsidP="00020B2D">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L’affermazione è fatta sulla base delle dichiarazioni contenute nel LA – Berlin 3 Rep. 213 N°94 e B. Rep. 213 N° 114  </w:t>
      </w:r>
    </w:p>
  </w:footnote>
  <w:footnote w:id="282">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„Ich erkläre in Eidesstatt, daß ich am 12. Juli 1945 von einem russischen Soldaten auf dem Flughafen Staken vergewaltigt worden bin. Ich wurde noch mit andere Mädchen auftragt die Zimmerin dem dortigen Gebäude zu reimgin. Dabei schlossten uns mit der Pistole, sodaß wir uns nicht zur Wehr setzen konnten. </w:t>
      </w:r>
    </w:p>
    <w:p w:rsidR="00593A53" w:rsidRPr="002B0DBD" w:rsidRDefault="00593A53" w:rsidP="00791545">
      <w:pPr>
        <w:pStyle w:val="footnotedescription"/>
        <w:spacing w:after="120" w:line="240" w:lineRule="auto"/>
        <w:ind w:left="566" w:right="713"/>
        <w:rPr>
          <w:sz w:val="20"/>
          <w:szCs w:val="20"/>
        </w:rPr>
      </w:pPr>
      <w:r w:rsidRPr="002B0DBD">
        <w:rPr>
          <w:i/>
          <w:sz w:val="20"/>
          <w:szCs w:val="20"/>
          <w:lang w:val="de-DE"/>
        </w:rPr>
        <w:t>Ich bitte um Unterbrechung der Schwangerschaft.“</w:t>
      </w:r>
      <w:r w:rsidRPr="002B0DBD">
        <w:rPr>
          <w:sz w:val="20"/>
          <w:szCs w:val="20"/>
          <w:lang w:val="de-DE"/>
        </w:rPr>
        <w:t xml:space="preserve">  </w:t>
      </w:r>
      <w:r w:rsidRPr="002B0DBD">
        <w:rPr>
          <w:sz w:val="20"/>
          <w:szCs w:val="20"/>
        </w:rPr>
        <w:t xml:space="preserve">LA – Berlin Rep. 214 Acc. 2740 nr 94, f. non numerato  </w:t>
      </w:r>
    </w:p>
  </w:footnote>
  <w:footnote w:id="283">
    <w:p w:rsidR="00593A53" w:rsidRPr="002B0DBD" w:rsidRDefault="00593A53" w:rsidP="00020B2D">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„Anfang Juni d. J. wurde ich von einem Russen mit vorgehalten Pistole vergewaltigt  und befinde mich jetzt im 3. Schwangerschaftsmonat. Ich bitte die Unterbrechung der Schwangerschaft und erkläre an Eides Statt, dass die von mir gemachten Angabe der Wahrheit entsprechen.“ </w:t>
      </w:r>
      <w:r w:rsidRPr="002B0DBD">
        <w:rPr>
          <w:sz w:val="20"/>
          <w:szCs w:val="20"/>
        </w:rPr>
        <w:t>LA – Berlin Rep. 214 Acc. 2740 nr 94, f. non numerato</w:t>
      </w:r>
      <w:r w:rsidRPr="002B0DBD">
        <w:rPr>
          <w:rFonts w:eastAsia="Calibri"/>
          <w:sz w:val="20"/>
          <w:szCs w:val="20"/>
        </w:rPr>
        <w:t xml:space="preserve"> </w:t>
      </w:r>
      <w:r w:rsidRPr="002B0DBD">
        <w:rPr>
          <w:sz w:val="20"/>
          <w:szCs w:val="20"/>
        </w:rPr>
        <w:t xml:space="preserve"> </w:t>
      </w:r>
    </w:p>
  </w:footnote>
  <w:footnote w:id="284">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rPr>
        <w:t xml:space="preserve"> </w:t>
      </w:r>
      <w:r w:rsidRPr="002B0DBD">
        <w:rPr>
          <w:i/>
          <w:sz w:val="20"/>
          <w:szCs w:val="20"/>
        </w:rPr>
        <w:t xml:space="preserve">„ Berlin, den 18. </w:t>
      </w:r>
      <w:r w:rsidRPr="002B0DBD">
        <w:rPr>
          <w:i/>
          <w:sz w:val="20"/>
          <w:szCs w:val="20"/>
          <w:lang w:val="de-DE"/>
        </w:rPr>
        <w:t>9. 1945 / ich erkläre hiermit Eidesstattlich, das ich im Juli 1945 in Stettin, von Russen vergewaltigt bin. Mein Mann befindet sich, seit 3 Jahren in Amerikanischer Gefangenschaft, ich habe ein Kind, es ist mir unmöglich, vom Russen auszutragen. Ich bitte Sie doch mir zu helfen./ Lebensmittelkarten besitze ich nicht. / Im worraus meinen besten Dank. / Frau B. B.“</w:t>
      </w:r>
      <w:r w:rsidRPr="002B0DBD">
        <w:rPr>
          <w:sz w:val="20"/>
          <w:szCs w:val="20"/>
          <w:lang w:val="de-DE"/>
        </w:rPr>
        <w:t>, LA – 3 Rep. 214 Nr. 94</w:t>
      </w:r>
      <w:r w:rsidRPr="002B0DBD">
        <w:rPr>
          <w:i/>
          <w:sz w:val="20"/>
          <w:szCs w:val="20"/>
          <w:lang w:val="de-DE"/>
        </w:rPr>
        <w:t xml:space="preserve">       </w:t>
      </w:r>
      <w:r w:rsidRPr="002B0DBD">
        <w:rPr>
          <w:sz w:val="20"/>
          <w:szCs w:val="20"/>
          <w:lang w:val="de-DE"/>
        </w:rPr>
        <w:t xml:space="preserve"> </w:t>
      </w:r>
    </w:p>
  </w:footnote>
  <w:footnote w:id="285">
    <w:p w:rsidR="00593A53" w:rsidRPr="002B0DBD" w:rsidRDefault="00593A53" w:rsidP="00020B2D">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Dati riportati nella rilevazione della popolazione del 12 agosto 1945, LA – Berlin C Rep. 106 n. 52 </w:t>
      </w:r>
    </w:p>
  </w:footnote>
  <w:footnote w:id="286">
    <w:p w:rsidR="00593A53" w:rsidRPr="002B0DBD" w:rsidRDefault="00593A53" w:rsidP="00020B2D">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Dall’articolo </w:t>
      </w:r>
      <w:r w:rsidRPr="002B0DBD">
        <w:rPr>
          <w:i/>
          <w:sz w:val="20"/>
          <w:szCs w:val="20"/>
        </w:rPr>
        <w:t xml:space="preserve">Il Messianismo </w:t>
      </w:r>
      <w:r w:rsidRPr="002B0DBD">
        <w:rPr>
          <w:sz w:val="20"/>
          <w:szCs w:val="20"/>
        </w:rPr>
        <w:t xml:space="preserve">Russo, di A. Tosti, Biblioteca ACS Roma – </w:t>
      </w:r>
      <w:r w:rsidRPr="002B0DBD">
        <w:rPr>
          <w:i/>
          <w:sz w:val="20"/>
          <w:szCs w:val="20"/>
        </w:rPr>
        <w:t xml:space="preserve">La difesa della Razza </w:t>
      </w:r>
      <w:r w:rsidRPr="002B0DBD">
        <w:rPr>
          <w:rFonts w:eastAsia="Calibri"/>
          <w:sz w:val="20"/>
          <w:szCs w:val="20"/>
        </w:rPr>
        <w:t xml:space="preserve"> </w:t>
      </w:r>
    </w:p>
  </w:footnote>
  <w:footnote w:id="287">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Dall’articolo </w:t>
      </w:r>
      <w:r w:rsidRPr="002B0DBD">
        <w:rPr>
          <w:i/>
          <w:sz w:val="20"/>
          <w:szCs w:val="20"/>
        </w:rPr>
        <w:t xml:space="preserve">Eugenetica razziale e matrimoni misti </w:t>
      </w:r>
      <w:r w:rsidRPr="002B0DBD">
        <w:rPr>
          <w:sz w:val="20"/>
          <w:szCs w:val="20"/>
        </w:rPr>
        <w:t xml:space="preserve">di Edmondo Vercellesi, ACS – Roma </w:t>
      </w:r>
      <w:r w:rsidRPr="002B0DBD">
        <w:rPr>
          <w:i/>
          <w:sz w:val="20"/>
          <w:szCs w:val="20"/>
        </w:rPr>
        <w:t xml:space="preserve">La difesa della Razza n° 10 </w:t>
      </w:r>
      <w:r w:rsidRPr="002B0DBD">
        <w:rPr>
          <w:rFonts w:eastAsia="Calibri"/>
          <w:i/>
          <w:sz w:val="20"/>
          <w:szCs w:val="20"/>
        </w:rPr>
        <w:t xml:space="preserve"> </w:t>
      </w:r>
    </w:p>
  </w:footnote>
  <w:footnote w:id="288">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LA Berlin – F. Rep. 280 LAZ – Sammlung 1801 - 2200   </w:t>
      </w:r>
    </w:p>
  </w:footnote>
  <w:footnote w:id="289">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„Herr Dr. Brandt! </w:t>
      </w:r>
    </w:p>
    <w:p w:rsidR="00593A53" w:rsidRPr="002B0DBD" w:rsidRDefault="00593A53" w:rsidP="00020B2D">
      <w:pPr>
        <w:pStyle w:val="footnotedescription"/>
        <w:spacing w:after="120" w:line="240" w:lineRule="auto"/>
        <w:ind w:left="566" w:right="713"/>
        <w:jc w:val="both"/>
        <w:rPr>
          <w:sz w:val="20"/>
          <w:szCs w:val="20"/>
          <w:lang w:val="de-DE"/>
        </w:rPr>
      </w:pPr>
      <w:r w:rsidRPr="002B0DBD">
        <w:rPr>
          <w:sz w:val="20"/>
          <w:szCs w:val="20"/>
          <w:lang w:val="de-DE"/>
        </w:rPr>
        <w:t>War in Dauadelbrüun Krs. Igsrottau evakuiert, wo sich schon seit den 9. Febr. 45 deichen Vergewaltigungen durch Russen ausgezehrt war, die jedoch ohne Folgen durch einen Russen statt, danach ich leider schwanger würde. Ich [unlesbar] daher sehr darum bitten, mich von dieser Schwangerschaft zu befreien. Dabei die ärztliche Bescheinigung.! LA – Berlin Rep. 214 Acc. 2740, f.241</w:t>
      </w:r>
      <w:r w:rsidRPr="002B0DBD">
        <w:rPr>
          <w:rFonts w:eastAsia="Calibri"/>
          <w:sz w:val="20"/>
          <w:szCs w:val="20"/>
          <w:lang w:val="de-DE"/>
        </w:rPr>
        <w:t xml:space="preserve"> </w:t>
      </w:r>
      <w:r w:rsidRPr="002B0DBD">
        <w:rPr>
          <w:sz w:val="20"/>
          <w:szCs w:val="20"/>
          <w:lang w:val="de-DE"/>
        </w:rPr>
        <w:t xml:space="preserve"> </w:t>
      </w:r>
    </w:p>
  </w:footnote>
  <w:footnote w:id="290">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 Berlin – Neukölln den 12. 9. 1945 / Eidesstattliche Versicherung! / Hierdurch erkläre ich an Eidesstatt, daß ich seit dem 18. Februar 1945 mehre Male von Russen vergewaltigt worden bin. Als Folgedavon befinde ich mich jetzt im 7. Monat der Schwangerschaft. Nun bitte ich hiermit dringend um Unterbrechung dieser mir mit Gewalt aufgezwungen Schwangerschaft. Leider ist es mir nicht mehr möglich Zeigen herbei zu schaffen, da ich mich im Februar 1945 in einem kleinen Dorf bei Russen an der Oder befand. / I.S.“, LA Berlin – 3 Rep. 314 Nr. 94 B. 365  </w:t>
      </w:r>
    </w:p>
  </w:footnote>
  <w:footnote w:id="291">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M. Ponzani, </w:t>
      </w:r>
      <w:r w:rsidRPr="002B0DBD">
        <w:rPr>
          <w:i/>
          <w:sz w:val="20"/>
          <w:szCs w:val="20"/>
        </w:rPr>
        <w:t>Guerra alle donne,</w:t>
      </w:r>
      <w:r w:rsidRPr="002B0DBD">
        <w:rPr>
          <w:sz w:val="20"/>
          <w:szCs w:val="20"/>
        </w:rPr>
        <w:t xml:space="preserve"> Torino, Einaudi 2012, p. 205  </w:t>
      </w:r>
    </w:p>
  </w:footnote>
  <w:footnote w:id="292">
    <w:p w:rsidR="00593A53" w:rsidRPr="002B0DBD" w:rsidRDefault="00593A53" w:rsidP="00020B2D">
      <w:pPr>
        <w:pStyle w:val="footnotedescription"/>
        <w:spacing w:after="120" w:line="240" w:lineRule="auto"/>
        <w:ind w:left="566" w:right="713"/>
        <w:jc w:val="both"/>
        <w:rPr>
          <w:sz w:val="20"/>
          <w:szCs w:val="20"/>
        </w:rPr>
      </w:pPr>
      <w:r w:rsidRPr="002B0DBD">
        <w:rPr>
          <w:rStyle w:val="footnotemark"/>
          <w:sz w:val="20"/>
          <w:szCs w:val="20"/>
        </w:rPr>
        <w:footnoteRef/>
      </w:r>
      <w:r w:rsidRPr="002B0DBD">
        <w:rPr>
          <w:sz w:val="20"/>
          <w:szCs w:val="20"/>
        </w:rPr>
        <w:t xml:space="preserve"> Per gli stupri in tempo di pace vedi T. Brechmann, </w:t>
      </w:r>
      <w:r w:rsidRPr="002B0DBD">
        <w:rPr>
          <w:i/>
          <w:sz w:val="20"/>
          <w:szCs w:val="20"/>
        </w:rPr>
        <w:t>Jede dritte Frau“,</w:t>
      </w:r>
      <w:r w:rsidRPr="002B0DBD">
        <w:rPr>
          <w:sz w:val="20"/>
          <w:szCs w:val="20"/>
        </w:rPr>
        <w:t xml:space="preserve"> Rororo, Amburgo   1981, pp. 1825 e A. Sebold, </w:t>
      </w:r>
      <w:r w:rsidRPr="002B0DBD">
        <w:rPr>
          <w:i/>
          <w:sz w:val="20"/>
          <w:szCs w:val="20"/>
        </w:rPr>
        <w:t>Lucky</w:t>
      </w:r>
      <w:r w:rsidRPr="002B0DBD">
        <w:rPr>
          <w:sz w:val="20"/>
          <w:szCs w:val="20"/>
        </w:rPr>
        <w:t xml:space="preserve">, Roma, e/o 1999: “Davanti agli occhi avevo le sue cosce che dalle ginocchia si allargavano verso l’alto, i muscoli pieni e i peli neri, e il suo uccello flaccido./Lui mi afferrò la testa. “Prendilo in bocca e succhia”disse./ “come una cannuccia?” dissi./ “See, come una cannuccia”.   </w:t>
      </w:r>
    </w:p>
  </w:footnote>
  <w:footnote w:id="293">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Chang. I., </w:t>
      </w:r>
      <w:r w:rsidRPr="002B0DBD">
        <w:rPr>
          <w:i/>
          <w:sz w:val="20"/>
          <w:szCs w:val="20"/>
        </w:rPr>
        <w:t>Lo stupro di Nanchino. L’olocausto dimenticato della II guerra mondiale,</w:t>
      </w:r>
      <w:r w:rsidRPr="002B0DBD">
        <w:rPr>
          <w:sz w:val="20"/>
          <w:szCs w:val="20"/>
        </w:rPr>
        <w:t xml:space="preserve"> Corbaccio, Milano </w:t>
      </w:r>
    </w:p>
  </w:footnote>
  <w:footnote w:id="294">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w:t>
      </w:r>
      <w:r w:rsidRPr="002B0DBD">
        <w:rPr>
          <w:color w:val="252525"/>
          <w:sz w:val="20"/>
          <w:szCs w:val="20"/>
          <w:lang w:val="de-DE"/>
        </w:rPr>
        <w:t xml:space="preserve">A. Schildt, </w:t>
      </w:r>
      <w:r w:rsidRPr="002B0DBD">
        <w:rPr>
          <w:i/>
          <w:color w:val="252525"/>
          <w:sz w:val="20"/>
          <w:szCs w:val="20"/>
          <w:lang w:val="de-DE"/>
        </w:rPr>
        <w:t>Deutsche Geschichte im 20. Jahrhundert: ein Lexikon</w:t>
      </w:r>
      <w:r w:rsidRPr="002B0DBD">
        <w:rPr>
          <w:color w:val="252525"/>
          <w:sz w:val="20"/>
          <w:szCs w:val="20"/>
          <w:lang w:val="de-DE"/>
        </w:rPr>
        <w:t xml:space="preserve">, C.H.Beck, 2005, p.159 </w:t>
      </w:r>
      <w:r w:rsidRPr="002B0DBD">
        <w:rPr>
          <w:sz w:val="20"/>
          <w:szCs w:val="20"/>
          <w:lang w:val="de-DE"/>
        </w:rPr>
        <w:t xml:space="preserve"> </w:t>
      </w:r>
    </w:p>
  </w:footnote>
  <w:footnote w:id="29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N. V. Rianovsky, </w:t>
      </w:r>
      <w:r w:rsidRPr="002B0DBD">
        <w:rPr>
          <w:i/>
          <w:sz w:val="20"/>
          <w:szCs w:val="20"/>
        </w:rPr>
        <w:t>Storia della Russia – dalle origini ai nostri giorni</w:t>
      </w:r>
      <w:r w:rsidRPr="002B0DBD">
        <w:rPr>
          <w:sz w:val="20"/>
          <w:szCs w:val="20"/>
        </w:rPr>
        <w:t>, Bompiani, Milano 2015, p. 524</w:t>
      </w:r>
      <w:r w:rsidRPr="002B0DBD">
        <w:rPr>
          <w:i/>
          <w:sz w:val="20"/>
          <w:szCs w:val="20"/>
        </w:rPr>
        <w:t xml:space="preserve">  </w:t>
      </w:r>
    </w:p>
  </w:footnote>
  <w:footnote w:id="296">
    <w:p w:rsidR="00593A53" w:rsidRPr="002B0DBD" w:rsidRDefault="00593A53" w:rsidP="00791545">
      <w:pPr>
        <w:pStyle w:val="footnotedescription"/>
        <w:spacing w:after="120" w:line="240" w:lineRule="auto"/>
        <w:ind w:left="566" w:right="713"/>
        <w:rPr>
          <w:sz w:val="20"/>
          <w:szCs w:val="20"/>
          <w:lang w:val="de-DE"/>
        </w:rPr>
      </w:pPr>
      <w:r w:rsidRPr="002B0DBD">
        <w:rPr>
          <w:rStyle w:val="footnotemark"/>
          <w:sz w:val="20"/>
          <w:szCs w:val="20"/>
        </w:rPr>
        <w:footnoteRef/>
      </w:r>
      <w:r w:rsidRPr="002B0DBD">
        <w:rPr>
          <w:sz w:val="20"/>
          <w:szCs w:val="20"/>
          <w:lang w:val="de-DE"/>
        </w:rPr>
        <w:t xml:space="preserve"> G. Knopp., </w:t>
      </w:r>
      <w:r w:rsidRPr="002B0DBD">
        <w:rPr>
          <w:i/>
          <w:sz w:val="20"/>
          <w:szCs w:val="20"/>
          <w:lang w:val="de-DE"/>
        </w:rPr>
        <w:t xml:space="preserve">cit. </w:t>
      </w:r>
      <w:r w:rsidRPr="002B0DBD">
        <w:rPr>
          <w:sz w:val="20"/>
          <w:szCs w:val="20"/>
          <w:lang w:val="de-DE"/>
        </w:rPr>
        <w:t xml:space="preserve">pp. 137-138  </w:t>
      </w:r>
    </w:p>
  </w:footnote>
  <w:footnote w:id="297">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Die Panzer eines Sowjetkorps </w:t>
      </w:r>
    </w:p>
    <w:p w:rsidR="00593A53" w:rsidRPr="002B0DBD" w:rsidRDefault="00593A53" w:rsidP="00D249D7">
      <w:pPr>
        <w:pStyle w:val="footnotedescription"/>
        <w:spacing w:line="240" w:lineRule="auto"/>
        <w:ind w:left="567" w:right="714"/>
        <w:jc w:val="both"/>
        <w:rPr>
          <w:sz w:val="20"/>
          <w:szCs w:val="20"/>
          <w:lang w:val="de-DE"/>
        </w:rPr>
      </w:pPr>
      <w:r w:rsidRPr="002B0DBD">
        <w:rPr>
          <w:sz w:val="20"/>
          <w:szCs w:val="20"/>
          <w:lang w:val="de-DE"/>
        </w:rPr>
        <w:t xml:space="preserve">Wie stark ist eigentlich eine Sowjetdivision? Oder ein Panzerkorps? Gerade in diesen Tagen, wenn der Wehrmachtbericht gelegentlich die Anzahl der gegen Deutschland anrennenden Divisionen bekannt gab, ist die Frage aufgetaucht. Wenn man die Stärke der deutschen Divisionen zugrunde legte, ergaben sich oft enorme Zahlen. </w:t>
      </w:r>
    </w:p>
    <w:p w:rsidR="00593A53" w:rsidRPr="002B0DBD" w:rsidRDefault="00593A53" w:rsidP="00791545">
      <w:pPr>
        <w:pStyle w:val="footnotedescription"/>
        <w:spacing w:after="120" w:line="240" w:lineRule="auto"/>
        <w:ind w:left="566" w:right="713"/>
        <w:jc w:val="both"/>
        <w:rPr>
          <w:sz w:val="20"/>
          <w:szCs w:val="20"/>
          <w:lang w:val="de-DE"/>
        </w:rPr>
      </w:pPr>
      <w:r w:rsidRPr="002B0DBD">
        <w:rPr>
          <w:sz w:val="20"/>
          <w:szCs w:val="20"/>
          <w:lang w:val="de-DE"/>
        </w:rPr>
        <w:t>Im großen und ganzen kann man ungefähr so rechnen, daß ein Sowjetverband entspricht. Eine Sowjetarmee entspricht also einem deutschen Korps, ein Sowjetkorps etwa einer deutsche Division. Die bolschewistischen Schützendivisionen sind im algemeinen mit einer Stärke von 5.000 bis 6.000 Männer anzusetzen. Die Kampfstärke der sowjetischen Panzerkorps wird mit 140 bis 150 Panzer beziffert, die sich auf vier Panzerbrigaden verteilen. BA – Berlin Lichterfelde, R 55/619, p. 185</w:t>
      </w:r>
      <w:r w:rsidRPr="002B0DBD">
        <w:rPr>
          <w:rFonts w:eastAsia="Calibri"/>
          <w:sz w:val="20"/>
          <w:szCs w:val="20"/>
          <w:lang w:val="de-DE"/>
        </w:rPr>
        <w:t xml:space="preserve"> </w:t>
      </w:r>
    </w:p>
  </w:footnote>
  <w:footnote w:id="298">
    <w:p w:rsidR="00593A53" w:rsidRPr="002B0DBD" w:rsidRDefault="00593A53" w:rsidP="00791545">
      <w:pPr>
        <w:pStyle w:val="footnotedescription"/>
        <w:spacing w:after="120" w:line="240" w:lineRule="auto"/>
        <w:ind w:left="566" w:right="713"/>
        <w:jc w:val="both"/>
        <w:rPr>
          <w:sz w:val="20"/>
          <w:szCs w:val="20"/>
          <w:lang w:val="de-DE"/>
        </w:rPr>
      </w:pPr>
      <w:r w:rsidRPr="002B0DBD">
        <w:rPr>
          <w:rStyle w:val="footnotemark"/>
          <w:sz w:val="20"/>
          <w:szCs w:val="20"/>
        </w:rPr>
        <w:footnoteRef/>
      </w:r>
      <w:r w:rsidRPr="002B0DBD">
        <w:rPr>
          <w:sz w:val="20"/>
          <w:szCs w:val="20"/>
          <w:lang w:val="de-DE"/>
        </w:rPr>
        <w:t xml:space="preserve"> J. Rogall,  </w:t>
      </w:r>
      <w:r w:rsidRPr="002B0DBD">
        <w:rPr>
          <w:i/>
          <w:sz w:val="20"/>
          <w:szCs w:val="20"/>
          <w:lang w:val="de-DE"/>
        </w:rPr>
        <w:t>Leben nach dem Weltuntergang, die deutsche im polnischer Staat 1945-1989</w:t>
      </w:r>
      <w:r w:rsidRPr="002B0DBD">
        <w:rPr>
          <w:sz w:val="20"/>
          <w:szCs w:val="20"/>
          <w:lang w:val="de-DE"/>
        </w:rPr>
        <w:t xml:space="preserve">, Wv Wissenschaft, Münster 2008, p. 71 </w:t>
      </w:r>
    </w:p>
  </w:footnote>
  <w:footnote w:id="299">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Rif. Rogall, p. 72 </w:t>
      </w:r>
    </w:p>
  </w:footnote>
  <w:footnote w:id="300">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A. Beevor, cit. p. 310  </w:t>
      </w:r>
    </w:p>
  </w:footnote>
  <w:footnote w:id="301">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A. Beevor, </w:t>
      </w:r>
      <w:r w:rsidRPr="002B0DBD">
        <w:rPr>
          <w:i/>
          <w:sz w:val="20"/>
          <w:szCs w:val="20"/>
          <w:lang w:val="en-GB"/>
        </w:rPr>
        <w:t>cit.</w:t>
      </w:r>
      <w:r w:rsidRPr="002B0DBD">
        <w:rPr>
          <w:sz w:val="20"/>
          <w:szCs w:val="20"/>
          <w:lang w:val="en-GB"/>
        </w:rPr>
        <w:t xml:space="preserve"> p. 200  </w:t>
      </w:r>
    </w:p>
  </w:footnote>
  <w:footnote w:id="302">
    <w:p w:rsidR="00593A53" w:rsidRPr="002B0DBD" w:rsidRDefault="00593A53" w:rsidP="00791545">
      <w:pPr>
        <w:pStyle w:val="footnotedescription"/>
        <w:spacing w:after="120" w:line="240" w:lineRule="auto"/>
        <w:ind w:left="566" w:right="713"/>
        <w:rPr>
          <w:sz w:val="20"/>
          <w:szCs w:val="20"/>
          <w:lang w:val="en-GB"/>
        </w:rPr>
      </w:pPr>
      <w:r w:rsidRPr="002B0DBD">
        <w:rPr>
          <w:rStyle w:val="footnotemark"/>
          <w:sz w:val="20"/>
          <w:szCs w:val="20"/>
        </w:rPr>
        <w:footnoteRef/>
      </w:r>
      <w:r w:rsidRPr="002B0DBD">
        <w:rPr>
          <w:sz w:val="20"/>
          <w:szCs w:val="20"/>
          <w:lang w:val="en-GB"/>
        </w:rPr>
        <w:t xml:space="preserve"> Rogall, Ibid. p. 92 </w:t>
      </w:r>
      <w:r w:rsidRPr="002B0DBD">
        <w:rPr>
          <w:rFonts w:eastAsia="Calibri"/>
          <w:sz w:val="20"/>
          <w:szCs w:val="20"/>
          <w:lang w:val="en-GB"/>
        </w:rPr>
        <w:t xml:space="preserve"> </w:t>
      </w:r>
    </w:p>
  </w:footnote>
  <w:footnote w:id="303">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t>
      </w:r>
      <w:r w:rsidRPr="002B0DBD">
        <w:rPr>
          <w:i/>
          <w:sz w:val="20"/>
          <w:szCs w:val="20"/>
        </w:rPr>
        <w:t xml:space="preserve">Diari di guerra delle </w:t>
      </w:r>
      <w:r w:rsidRPr="002B0DBD">
        <w:rPr>
          <w:sz w:val="20"/>
          <w:szCs w:val="20"/>
        </w:rPr>
        <w:t xml:space="preserve">SS, PGreco, Milano 2014, p. 193 </w:t>
      </w:r>
    </w:p>
  </w:footnote>
  <w:footnote w:id="304">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i/>
          <w:sz w:val="20"/>
          <w:szCs w:val="20"/>
          <w:lang w:val="de-DE"/>
        </w:rPr>
        <w:t xml:space="preserve">“Was machen wir bloß mit den ganzen Mann? Die müssen wir jetzt erschießen, die halten sich nicht lang.“ Die Misshandlung und Ermordung von Gefangener ist ein geradezu klassisches Feld von extremer Gewalt in den militärischen Konflikten seit der Antike. Mit den Massenheeren der Moderne erreichte das Phänomen der Kriegsgefangenschaft […]. Sie sterben im Lagern für die die Wehrmacht verantwortlich was: 845.000 noch im Militärverwaltungsgebiet in der Nähe der Front, 1,2 Millionen im Lager der weiter hinten liegende Zivilverwaltungsgebiete, 500.000 im sogenannten </w:t>
      </w:r>
    </w:p>
    <w:p w:rsidR="00593A53" w:rsidRPr="002B0DBD" w:rsidRDefault="00593A53" w:rsidP="00020B2D">
      <w:pPr>
        <w:pStyle w:val="footnotedescription"/>
        <w:spacing w:after="120" w:line="240" w:lineRule="auto"/>
        <w:ind w:left="566" w:right="713"/>
        <w:jc w:val="both"/>
        <w:rPr>
          <w:sz w:val="20"/>
          <w:szCs w:val="20"/>
          <w:lang w:val="de-DE"/>
        </w:rPr>
      </w:pPr>
      <w:r w:rsidRPr="002B0DBD">
        <w:rPr>
          <w:i/>
          <w:sz w:val="20"/>
          <w:szCs w:val="20"/>
          <w:lang w:val="de-DE"/>
        </w:rPr>
        <w:t>Generalgouvernement und 360.000 bis 400.000in Lagern im Deutschen Reich.</w:t>
      </w:r>
      <w:r w:rsidRPr="002B0DBD">
        <w:rPr>
          <w:sz w:val="20"/>
          <w:szCs w:val="20"/>
          <w:lang w:val="de-DE"/>
        </w:rPr>
        <w:t xml:space="preserve"> S. Neitzel, H. Welzer, „Soldaten – Protokolle vom Kämpfen, Töten und Sterben“, S. Fischer Verlag, Francoforte sul Meno, p. 134 </w:t>
      </w:r>
      <w:r w:rsidRPr="002B0DBD">
        <w:rPr>
          <w:i/>
          <w:sz w:val="20"/>
          <w:szCs w:val="20"/>
          <w:lang w:val="de-DE"/>
        </w:rPr>
        <w:t xml:space="preserve"> </w:t>
      </w:r>
      <w:r w:rsidRPr="002B0DBD">
        <w:rPr>
          <w:sz w:val="20"/>
          <w:szCs w:val="20"/>
          <w:lang w:val="de-DE"/>
        </w:rPr>
        <w:t xml:space="preserve">   </w:t>
      </w:r>
    </w:p>
  </w:footnote>
  <w:footnote w:id="305">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G. Mayda, “I dossier segreti di Norimberga – Interrogatori e documenti del processo più celebre della storia”, Mursia, Milano 1997, p. 187 </w:t>
      </w:r>
      <w:r w:rsidRPr="002B0DBD">
        <w:rPr>
          <w:rFonts w:eastAsia="Calibri"/>
          <w:sz w:val="20"/>
          <w:szCs w:val="20"/>
        </w:rPr>
        <w:t xml:space="preserve"> </w:t>
      </w:r>
    </w:p>
  </w:footnote>
  <w:footnote w:id="306">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G. Mayda, cit., p. 190 </w:t>
      </w:r>
    </w:p>
  </w:footnote>
  <w:footnote w:id="307">
    <w:p w:rsidR="00593A53" w:rsidRPr="002B0DBD" w:rsidRDefault="00593A53" w:rsidP="00791545">
      <w:pPr>
        <w:pStyle w:val="footnotedescription"/>
        <w:tabs>
          <w:tab w:val="center" w:pos="1724"/>
        </w:tabs>
        <w:spacing w:after="120" w:line="240" w:lineRule="auto"/>
        <w:ind w:left="566" w:right="713"/>
        <w:rPr>
          <w:sz w:val="20"/>
          <w:szCs w:val="20"/>
        </w:rPr>
      </w:pPr>
      <w:r w:rsidRPr="002B0DBD">
        <w:rPr>
          <w:rStyle w:val="footnotemark"/>
          <w:sz w:val="20"/>
          <w:szCs w:val="20"/>
        </w:rPr>
        <w:footnoteRef/>
      </w:r>
      <w:r w:rsidRPr="002B0DBD">
        <w:rPr>
          <w:sz w:val="20"/>
          <w:szCs w:val="20"/>
        </w:rPr>
        <w:t xml:space="preserve"> W. Venhor, cit, p. 216</w:t>
      </w:r>
      <w:r w:rsidRPr="002B0DBD">
        <w:rPr>
          <w:rFonts w:eastAsia="Calibri"/>
          <w:sz w:val="20"/>
          <w:szCs w:val="20"/>
        </w:rPr>
        <w:t xml:space="preserve"> </w:t>
      </w:r>
    </w:p>
  </w:footnote>
  <w:footnote w:id="308">
    <w:p w:rsidR="00593A53" w:rsidRPr="002B0DBD" w:rsidRDefault="00593A53" w:rsidP="00020B2D">
      <w:pPr>
        <w:pStyle w:val="footnotedescription"/>
        <w:spacing w:after="120" w:line="240" w:lineRule="auto"/>
        <w:ind w:left="566" w:right="713"/>
        <w:jc w:val="both"/>
        <w:rPr>
          <w:sz w:val="20"/>
          <w:szCs w:val="20"/>
          <w:lang w:val="fr-FR"/>
        </w:rPr>
      </w:pPr>
      <w:r w:rsidRPr="002B0DBD">
        <w:rPr>
          <w:rStyle w:val="footnotemark"/>
          <w:sz w:val="20"/>
          <w:szCs w:val="20"/>
        </w:rPr>
        <w:footnoteRef/>
      </w:r>
      <w:r w:rsidRPr="002B0DBD">
        <w:rPr>
          <w:sz w:val="20"/>
          <w:szCs w:val="20"/>
          <w:lang w:val="fr-FR"/>
        </w:rPr>
        <w:t xml:space="preserve"> </w:t>
      </w:r>
      <w:r w:rsidRPr="002B0DBD">
        <w:rPr>
          <w:rFonts w:eastAsia="Calibri"/>
          <w:sz w:val="20"/>
          <w:szCs w:val="20"/>
          <w:lang w:val="fr-FR"/>
        </w:rPr>
        <w:t xml:space="preserve">« </w:t>
      </w:r>
      <w:r w:rsidRPr="002B0DBD">
        <w:rPr>
          <w:sz w:val="20"/>
          <w:szCs w:val="20"/>
          <w:lang w:val="fr-FR"/>
        </w:rPr>
        <w:t xml:space="preserve">J’étais present pendant l’excavation de ces fosses épouvantables et je peux temoigner de la réalité de l’homicide, comme aussi du fait qu’il a été executé svec un raffinement extreme dans le but d’infliger aux victimes les tourments les plus atroces. Ces 23.000 personnes ont d’abord été enfermées dans des baraquements sans lumiere et sens chauffage et, pendant deux semaines, dans le froid glacial du moi de décembre elles n’ont reçu aucune nourriture. Beaucoup ont perdu la raison. Puis par groupes de 500, elles ont du longement cheminer sur la route carrossable, jusqu’à un ravin sombre et encaissé, où elles ont été fusillées au bord d’une fosseencore pleine de cadavres non enterrés. Quand les soldats de l’Armée rouge ont remué avec leurs pelles ces cadavres livides et à moitié nus des femmes, d’enfants et de veillards aux visages corrodés, ils ont trouvé dans la terre noire des jouets, des ballons et des poupées. », M. Prazan, </w:t>
      </w:r>
      <w:r w:rsidRPr="002B0DBD">
        <w:rPr>
          <w:i/>
          <w:sz w:val="20"/>
          <w:szCs w:val="20"/>
          <w:lang w:val="fr-FR"/>
        </w:rPr>
        <w:t>Einsatzgruppe – sur les traces des commandos de la mort nazis</w:t>
      </w:r>
      <w:r w:rsidRPr="002B0DBD">
        <w:rPr>
          <w:sz w:val="20"/>
          <w:szCs w:val="20"/>
          <w:lang w:val="fr-FR"/>
        </w:rPr>
        <w:t xml:space="preserve">, ed. De Seuil, Parigi 2010 pp. 492-493 </w:t>
      </w:r>
      <w:r w:rsidRPr="002B0DBD">
        <w:rPr>
          <w:rFonts w:eastAsia="Calibri"/>
          <w:sz w:val="20"/>
          <w:szCs w:val="20"/>
          <w:lang w:val="fr-FR"/>
        </w:rPr>
        <w:t xml:space="preserve"> </w:t>
      </w:r>
    </w:p>
  </w:footnote>
  <w:footnote w:id="309">
    <w:p w:rsidR="00593A53" w:rsidRPr="002B0DBD" w:rsidRDefault="00593A53" w:rsidP="00791545">
      <w:pPr>
        <w:pStyle w:val="footnotedescription"/>
        <w:spacing w:after="120" w:line="240" w:lineRule="auto"/>
        <w:ind w:left="566" w:right="713"/>
        <w:jc w:val="both"/>
        <w:rPr>
          <w:sz w:val="20"/>
          <w:szCs w:val="20"/>
          <w:lang w:val="fr-FR"/>
        </w:rPr>
      </w:pPr>
      <w:r w:rsidRPr="002B0DBD">
        <w:rPr>
          <w:rStyle w:val="footnotemark"/>
          <w:sz w:val="20"/>
          <w:szCs w:val="20"/>
        </w:rPr>
        <w:footnoteRef/>
      </w:r>
      <w:r w:rsidRPr="002B0DBD">
        <w:rPr>
          <w:sz w:val="20"/>
          <w:szCs w:val="20"/>
          <w:lang w:val="fr-FR"/>
        </w:rPr>
        <w:t xml:space="preserve"> Il nous ont pas déshabillés parce-qu’il faisait déjà sombre. Ils nous ont amenés jusqu’au bord du ravin. On pouvait à peine tenir debout. Ils ont commencé à tirer. J’ai fermé les yeux, j’ai fermé les poings. J’ai tendu tous mes muscles et je me suis jetée dans la fosse. Il m’a assemblé que ma chute durait une éternité. Je suis tombée sur les corps. Certains n’étaient que blessées. Quelque temps après, la fuisillade s’est arretée et j’ai entendu les Allemands descendre dans le revin, et tirer sur tous ceux qui suffoquaient. Ils avaient des lamps torches pour reparerceux qui étaient encore vivants. Je suis restée allongée. Je me suis efforcée de ne pas bouger pour ne pas me faire reparer. J’ai pensé que ma fin était arrivée. J’ai attendu en silence. Ils ont commencé à recouvrir les corps avec de la terre. J’étais toute couverte de terre et j’avais l’impression d’etouffer. J’avais peur de bouger. Il ne me restait que quelques bouffées d’air à prendre avant de perdre le souffle. J’aurais préféré etre touée par balle plutôt que de mourir étouffée. J’ai commencé à bouger. Je ne savais pas qu’il faisait maintenent nuit noire, j’ai retrouvé le souffle et j’ai deblayé de la main gauche la terre qui était sur moi. Après avoir pris quelquess boufffée d’air, utilisant mes dernière forces, je suis sortie de sous la terre, qui était sur moi. Après avoir pris quelque bouffle d’air utilisant mes dernieres forces, je suis sortie de sous la terre. Il fesait nuit mais il était derangeux de se mouvoir car les Allemands éclaraient le fond du ravin duis la crete. Ils continuaient de tirer sur les blessés  et ils aurait pu me toucher. J’ai reussi à ramper jusqu’aux parois du ravin, et au prix d’un effort surhumain, j’ai reussi à me sortir de la., M. Prazan, Ibidem, pp. 496-497 </w:t>
      </w:r>
    </w:p>
  </w:footnote>
  <w:footnote w:id="310">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Cfr. M. Rolnikas, in L. Hollyday </w:t>
      </w:r>
      <w:r w:rsidRPr="002B0DBD">
        <w:rPr>
          <w:i/>
          <w:sz w:val="20"/>
          <w:szCs w:val="20"/>
        </w:rPr>
        <w:t>Ragazzi in Guerra e nell’Olocausto</w:t>
      </w:r>
      <w:r w:rsidRPr="002B0DBD">
        <w:rPr>
          <w:sz w:val="20"/>
          <w:szCs w:val="20"/>
        </w:rPr>
        <w:t xml:space="preserve">, Marco Tropea Editore, Milano 2008, pp. 159 e segg.  </w:t>
      </w:r>
    </w:p>
  </w:footnote>
  <w:footnote w:id="311">
    <w:p w:rsidR="00593A53" w:rsidRPr="002B0DBD" w:rsidRDefault="00593A53" w:rsidP="00D249D7">
      <w:pPr>
        <w:pStyle w:val="footnotedescription"/>
        <w:spacing w:line="240" w:lineRule="auto"/>
        <w:ind w:left="567" w:right="714"/>
        <w:jc w:val="both"/>
        <w:rPr>
          <w:sz w:val="20"/>
          <w:szCs w:val="20"/>
          <w:lang w:val="de-DE"/>
        </w:rPr>
      </w:pPr>
      <w:r w:rsidRPr="002B0DBD">
        <w:rPr>
          <w:rStyle w:val="footnotemark"/>
          <w:sz w:val="20"/>
          <w:szCs w:val="20"/>
        </w:rPr>
        <w:footnoteRef/>
      </w:r>
      <w:r w:rsidRPr="002B0DBD">
        <w:rPr>
          <w:sz w:val="20"/>
          <w:szCs w:val="20"/>
          <w:lang w:val="de-DE"/>
        </w:rPr>
        <w:t xml:space="preserve"> „</w:t>
      </w:r>
      <w:r w:rsidRPr="002B0DBD">
        <w:rPr>
          <w:b/>
          <w:sz w:val="20"/>
          <w:szCs w:val="20"/>
          <w:lang w:val="de-DE"/>
        </w:rPr>
        <w:t xml:space="preserve">25 Jahre Zuckhaus für Nazimörder </w:t>
      </w:r>
    </w:p>
    <w:p w:rsidR="00593A53" w:rsidRPr="002B0DBD" w:rsidRDefault="00593A53" w:rsidP="00D249D7">
      <w:pPr>
        <w:pStyle w:val="footnotedescription"/>
        <w:spacing w:line="240" w:lineRule="auto"/>
        <w:ind w:left="567" w:right="714"/>
        <w:jc w:val="both"/>
        <w:rPr>
          <w:sz w:val="20"/>
          <w:szCs w:val="20"/>
          <w:lang w:val="de-DE"/>
        </w:rPr>
      </w:pPr>
      <w:r w:rsidRPr="002B0DBD">
        <w:rPr>
          <w:sz w:val="20"/>
          <w:szCs w:val="20"/>
          <w:lang w:val="de-DE"/>
        </w:rPr>
        <w:t>Magdebourg (Eb) Vor der Großen Strafkammer hatte sich der ehemalinge Feuerwehrleutenent K. S. aus Magdeburg wegen Verbrechens gegen die Menschlichkeit zu verantworten.</w:t>
      </w:r>
      <w:r w:rsidRPr="002B0DBD">
        <w:rPr>
          <w:b/>
          <w:sz w:val="20"/>
          <w:szCs w:val="20"/>
          <w:lang w:val="de-DE"/>
        </w:rPr>
        <w:t xml:space="preserve"> </w:t>
      </w:r>
    </w:p>
    <w:p w:rsidR="00593A53" w:rsidRPr="002B0DBD" w:rsidRDefault="00593A53" w:rsidP="00791545">
      <w:pPr>
        <w:pStyle w:val="footnotedescription"/>
        <w:spacing w:after="120" w:line="240" w:lineRule="auto"/>
        <w:ind w:left="566" w:right="713"/>
        <w:jc w:val="both"/>
        <w:rPr>
          <w:sz w:val="20"/>
          <w:szCs w:val="20"/>
        </w:rPr>
      </w:pPr>
      <w:r w:rsidRPr="002B0DBD">
        <w:rPr>
          <w:sz w:val="20"/>
          <w:szCs w:val="20"/>
          <w:lang w:val="de-DE"/>
        </w:rPr>
        <w:t xml:space="preserve">Er hat noch kurz vor Kriegsende den Polizeimeister A. K., der sich gegen seine Befehle wandte, niedergeschossen. </w:t>
      </w:r>
      <w:r w:rsidRPr="002B0DBD">
        <w:rPr>
          <w:sz w:val="20"/>
          <w:szCs w:val="20"/>
        </w:rPr>
        <w:t>Die S. zu 25 Jahren Zuchthaus.” BA – DDR/1 p. 22</w:t>
      </w:r>
      <w:r w:rsidRPr="002B0DBD">
        <w:rPr>
          <w:rFonts w:eastAsia="Calibri"/>
          <w:sz w:val="20"/>
          <w:szCs w:val="20"/>
        </w:rPr>
        <w:t xml:space="preserve"> </w:t>
      </w:r>
    </w:p>
  </w:footnote>
  <w:footnote w:id="312">
    <w:p w:rsidR="00593A53" w:rsidRPr="002B0DBD" w:rsidRDefault="00593A53" w:rsidP="00791545">
      <w:pPr>
        <w:pStyle w:val="footnotedescription"/>
        <w:spacing w:after="120" w:line="240" w:lineRule="auto"/>
        <w:ind w:left="566" w:right="713"/>
        <w:rPr>
          <w:sz w:val="20"/>
          <w:szCs w:val="20"/>
        </w:rPr>
      </w:pPr>
      <w:r w:rsidRPr="002B0DBD">
        <w:rPr>
          <w:rStyle w:val="footnotemark"/>
          <w:sz w:val="20"/>
          <w:szCs w:val="20"/>
        </w:rPr>
        <w:footnoteRef/>
      </w:r>
      <w:r w:rsidRPr="002B0DBD">
        <w:rPr>
          <w:sz w:val="20"/>
          <w:szCs w:val="20"/>
        </w:rPr>
        <w:t xml:space="preserve"> </w:t>
      </w:r>
      <w:r w:rsidRPr="002B0DBD">
        <w:rPr>
          <w:i/>
          <w:sz w:val="20"/>
          <w:szCs w:val="20"/>
        </w:rPr>
        <w:t>Racconto contenuto in</w:t>
      </w:r>
      <w:r w:rsidRPr="002B0DBD">
        <w:rPr>
          <w:sz w:val="20"/>
          <w:szCs w:val="20"/>
        </w:rPr>
        <w:t xml:space="preserve"> M. Ponzani, </w:t>
      </w:r>
      <w:r w:rsidRPr="002B0DBD">
        <w:rPr>
          <w:i/>
          <w:sz w:val="20"/>
          <w:szCs w:val="20"/>
        </w:rPr>
        <w:t xml:space="preserve">Guerra alle donne – partigiane, vittime di stupro, “amanti del nemico” </w:t>
      </w:r>
      <w:r w:rsidRPr="002B0DBD">
        <w:rPr>
          <w:sz w:val="20"/>
          <w:szCs w:val="20"/>
        </w:rPr>
        <w:t xml:space="preserve">, Einaudi, Torino 2012, p. 227  </w:t>
      </w:r>
    </w:p>
  </w:footnote>
  <w:footnote w:id="313">
    <w:p w:rsidR="00593A53" w:rsidRDefault="00593A53" w:rsidP="00020B2D">
      <w:pPr>
        <w:pStyle w:val="footnotedescription"/>
        <w:spacing w:after="120" w:line="240" w:lineRule="auto"/>
        <w:ind w:left="566" w:right="713"/>
      </w:pPr>
      <w:r w:rsidRPr="002B0DBD">
        <w:rPr>
          <w:rStyle w:val="footnotemark"/>
          <w:sz w:val="20"/>
          <w:szCs w:val="20"/>
        </w:rPr>
        <w:footnoteRef/>
      </w:r>
      <w:r w:rsidRPr="002B0DBD">
        <w:rPr>
          <w:sz w:val="20"/>
          <w:szCs w:val="20"/>
        </w:rPr>
        <w:t xml:space="preserve"> Ibidem p. 235 </w:t>
      </w:r>
      <w:r>
        <w:t xml:space="preserve"> </w:t>
      </w:r>
    </w:p>
  </w:footnote>
  <w:footnote w:id="314">
    <w:p w:rsidR="00D77858" w:rsidRDefault="00D77858" w:rsidP="00D77858">
      <w:pPr>
        <w:spacing w:line="248" w:lineRule="auto"/>
        <w:ind w:left="561" w:right="700"/>
      </w:pPr>
      <w:r>
        <w:rPr>
          <w:rStyle w:val="Rimandonotaapidipagina"/>
        </w:rPr>
        <w:footnoteRef/>
      </w:r>
      <w:r>
        <w:t xml:space="preserve"> </w:t>
      </w:r>
      <w:r w:rsidRPr="00D77858">
        <w:rPr>
          <w:sz w:val="20"/>
          <w:szCs w:val="20"/>
        </w:rPr>
        <w:t>Testimonianza di Ludovica L. in G. Gribaudi</w:t>
      </w:r>
      <w:r w:rsidRPr="00D77858">
        <w:rPr>
          <w:i/>
          <w:sz w:val="20"/>
          <w:szCs w:val="20"/>
        </w:rPr>
        <w:t>, Guerra Totale – tra bombe alleate e violenze naziste Napoli</w:t>
      </w:r>
      <w:r>
        <w:rPr>
          <w:i/>
        </w:rPr>
        <w:t xml:space="preserve"> e il fronte meridionale 1940-1944</w:t>
      </w:r>
      <w:r>
        <w:t>, Bollate Beringhieri, Torino 2005, pp. 523-524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21C3E"/>
    <w:multiLevelType w:val="hybridMultilevel"/>
    <w:tmpl w:val="5CCEC0BC"/>
    <w:lvl w:ilvl="0" w:tplc="5F8CF7D0">
      <w:start w:val="124"/>
      <w:numFmt w:val="decimal"/>
      <w:lvlText w:val="%1."/>
      <w:lvlJc w:val="left"/>
      <w:pPr>
        <w:ind w:left="2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72A15FC">
      <w:start w:val="1"/>
      <w:numFmt w:val="decimal"/>
      <w:lvlText w:val="%2."/>
      <w:lvlJc w:val="left"/>
      <w:pPr>
        <w:ind w:left="1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78E155E">
      <w:start w:val="1"/>
      <w:numFmt w:val="lowerRoman"/>
      <w:lvlText w:val="%3"/>
      <w:lvlJc w:val="left"/>
      <w:pPr>
        <w:ind w:left="1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56F540">
      <w:start w:val="1"/>
      <w:numFmt w:val="decimal"/>
      <w:lvlText w:val="%4"/>
      <w:lvlJc w:val="left"/>
      <w:pPr>
        <w:ind w:left="25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222A60">
      <w:start w:val="1"/>
      <w:numFmt w:val="lowerLetter"/>
      <w:lvlText w:val="%5"/>
      <w:lvlJc w:val="left"/>
      <w:pPr>
        <w:ind w:left="3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380C0A">
      <w:start w:val="1"/>
      <w:numFmt w:val="lowerRoman"/>
      <w:lvlText w:val="%6"/>
      <w:lvlJc w:val="left"/>
      <w:pPr>
        <w:ind w:left="40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906360C">
      <w:start w:val="1"/>
      <w:numFmt w:val="decimal"/>
      <w:lvlText w:val="%7"/>
      <w:lvlJc w:val="left"/>
      <w:pPr>
        <w:ind w:left="47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8464DC">
      <w:start w:val="1"/>
      <w:numFmt w:val="lowerLetter"/>
      <w:lvlText w:val="%8"/>
      <w:lvlJc w:val="left"/>
      <w:pPr>
        <w:ind w:left="54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18C7496">
      <w:start w:val="1"/>
      <w:numFmt w:val="lowerRoman"/>
      <w:lvlText w:val="%9"/>
      <w:lvlJc w:val="left"/>
      <w:pPr>
        <w:ind w:left="61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03656E17"/>
    <w:multiLevelType w:val="hybridMultilevel"/>
    <w:tmpl w:val="49CC7CF4"/>
    <w:lvl w:ilvl="0" w:tplc="1DF8050E">
      <w:start w:val="1"/>
      <w:numFmt w:val="lowerLetter"/>
      <w:lvlText w:val="%1)"/>
      <w:lvlJc w:val="left"/>
      <w:pPr>
        <w:ind w:left="1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D12B9F2">
      <w:start w:val="1"/>
      <w:numFmt w:val="lowerLetter"/>
      <w:lvlText w:val="%2"/>
      <w:lvlJc w:val="left"/>
      <w:pPr>
        <w:ind w:left="2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B2C10B2">
      <w:start w:val="1"/>
      <w:numFmt w:val="lowerRoman"/>
      <w:lvlText w:val="%3"/>
      <w:lvlJc w:val="left"/>
      <w:pPr>
        <w:ind w:left="30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F90E03C">
      <w:start w:val="1"/>
      <w:numFmt w:val="decimal"/>
      <w:lvlText w:val="%4"/>
      <w:lvlJc w:val="left"/>
      <w:pPr>
        <w:ind w:left="37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04C4B88">
      <w:start w:val="1"/>
      <w:numFmt w:val="lowerLetter"/>
      <w:lvlText w:val="%5"/>
      <w:lvlJc w:val="left"/>
      <w:pPr>
        <w:ind w:left="44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7808C44">
      <w:start w:val="1"/>
      <w:numFmt w:val="lowerRoman"/>
      <w:lvlText w:val="%6"/>
      <w:lvlJc w:val="left"/>
      <w:pPr>
        <w:ind w:left="52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C607C5E">
      <w:start w:val="1"/>
      <w:numFmt w:val="decimal"/>
      <w:lvlText w:val="%7"/>
      <w:lvlJc w:val="left"/>
      <w:pPr>
        <w:ind w:left="59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B0E1CAA">
      <w:start w:val="1"/>
      <w:numFmt w:val="lowerLetter"/>
      <w:lvlText w:val="%8"/>
      <w:lvlJc w:val="left"/>
      <w:pPr>
        <w:ind w:left="66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B304E54">
      <w:start w:val="1"/>
      <w:numFmt w:val="lowerRoman"/>
      <w:lvlText w:val="%9"/>
      <w:lvlJc w:val="left"/>
      <w:pPr>
        <w:ind w:left="7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nsid w:val="03E7593F"/>
    <w:multiLevelType w:val="hybridMultilevel"/>
    <w:tmpl w:val="FBEEA49C"/>
    <w:lvl w:ilvl="0" w:tplc="954E6B6A">
      <w:start w:val="2"/>
      <w:numFmt w:val="decimal"/>
      <w:lvlText w:val="%1."/>
      <w:lvlJc w:val="left"/>
      <w:pPr>
        <w:ind w:left="23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3069926">
      <w:start w:val="1"/>
      <w:numFmt w:val="lowerLetter"/>
      <w:lvlText w:val="%2"/>
      <w:lvlJc w:val="left"/>
      <w:pPr>
        <w:ind w:left="29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E38CFE2">
      <w:start w:val="1"/>
      <w:numFmt w:val="lowerRoman"/>
      <w:lvlText w:val="%3"/>
      <w:lvlJc w:val="left"/>
      <w:pPr>
        <w:ind w:left="36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B707BB4">
      <w:start w:val="1"/>
      <w:numFmt w:val="decimal"/>
      <w:lvlText w:val="%4"/>
      <w:lvlJc w:val="left"/>
      <w:pPr>
        <w:ind w:left="43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6842550">
      <w:start w:val="1"/>
      <w:numFmt w:val="lowerLetter"/>
      <w:lvlText w:val="%5"/>
      <w:lvlJc w:val="left"/>
      <w:pPr>
        <w:ind w:left="51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66A08DA">
      <w:start w:val="1"/>
      <w:numFmt w:val="lowerRoman"/>
      <w:lvlText w:val="%6"/>
      <w:lvlJc w:val="left"/>
      <w:pPr>
        <w:ind w:left="58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FE01CD6">
      <w:start w:val="1"/>
      <w:numFmt w:val="decimal"/>
      <w:lvlText w:val="%7"/>
      <w:lvlJc w:val="left"/>
      <w:pPr>
        <w:ind w:left="65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474621E">
      <w:start w:val="1"/>
      <w:numFmt w:val="lowerLetter"/>
      <w:lvlText w:val="%8"/>
      <w:lvlJc w:val="left"/>
      <w:pPr>
        <w:ind w:left="72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926F702">
      <w:start w:val="1"/>
      <w:numFmt w:val="lowerRoman"/>
      <w:lvlText w:val="%9"/>
      <w:lvlJc w:val="left"/>
      <w:pPr>
        <w:ind w:left="79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nsid w:val="08D8692F"/>
    <w:multiLevelType w:val="hybridMultilevel"/>
    <w:tmpl w:val="EDEE5880"/>
    <w:lvl w:ilvl="0" w:tplc="BD0270D2">
      <w:start w:val="1"/>
      <w:numFmt w:val="lowerLetter"/>
      <w:lvlText w:val="%1)"/>
      <w:lvlJc w:val="left"/>
      <w:pPr>
        <w:ind w:left="16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6F03FDE">
      <w:start w:val="1"/>
      <w:numFmt w:val="lowerLetter"/>
      <w:lvlText w:val="%2"/>
      <w:lvlJc w:val="left"/>
      <w:pPr>
        <w:ind w:left="24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F16F3A8">
      <w:start w:val="1"/>
      <w:numFmt w:val="lowerRoman"/>
      <w:lvlText w:val="%3"/>
      <w:lvlJc w:val="left"/>
      <w:pPr>
        <w:ind w:left="32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230A9F4">
      <w:start w:val="1"/>
      <w:numFmt w:val="decimal"/>
      <w:lvlText w:val="%4"/>
      <w:lvlJc w:val="left"/>
      <w:pPr>
        <w:ind w:left="39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3B8A5F6">
      <w:start w:val="1"/>
      <w:numFmt w:val="lowerLetter"/>
      <w:lvlText w:val="%5"/>
      <w:lvlJc w:val="left"/>
      <w:pPr>
        <w:ind w:left="46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9101E18">
      <w:start w:val="1"/>
      <w:numFmt w:val="lowerRoman"/>
      <w:lvlText w:val="%6"/>
      <w:lvlJc w:val="left"/>
      <w:pPr>
        <w:ind w:left="53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FB0AAC4">
      <w:start w:val="1"/>
      <w:numFmt w:val="decimal"/>
      <w:lvlText w:val="%7"/>
      <w:lvlJc w:val="left"/>
      <w:pPr>
        <w:ind w:left="60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170BF6C">
      <w:start w:val="1"/>
      <w:numFmt w:val="lowerLetter"/>
      <w:lvlText w:val="%8"/>
      <w:lvlJc w:val="left"/>
      <w:pPr>
        <w:ind w:left="6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B38C302">
      <w:start w:val="1"/>
      <w:numFmt w:val="lowerRoman"/>
      <w:lvlText w:val="%9"/>
      <w:lvlJc w:val="left"/>
      <w:pPr>
        <w:ind w:left="75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nsid w:val="0BD51FF9"/>
    <w:multiLevelType w:val="hybridMultilevel"/>
    <w:tmpl w:val="9F04DE7E"/>
    <w:lvl w:ilvl="0" w:tplc="233ABD80">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628D1B6">
      <w:start w:val="12"/>
      <w:numFmt w:val="decimal"/>
      <w:lvlText w:val="%2."/>
      <w:lvlJc w:val="left"/>
      <w:pPr>
        <w:ind w:left="17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B726D7C">
      <w:start w:val="1"/>
      <w:numFmt w:val="lowerRoman"/>
      <w:lvlText w:val="%3"/>
      <w:lvlJc w:val="left"/>
      <w:pPr>
        <w:ind w:left="24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99622B4">
      <w:start w:val="1"/>
      <w:numFmt w:val="decimal"/>
      <w:lvlText w:val="%4"/>
      <w:lvlJc w:val="left"/>
      <w:pPr>
        <w:ind w:left="32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CCA5C9C">
      <w:start w:val="1"/>
      <w:numFmt w:val="lowerLetter"/>
      <w:lvlText w:val="%5"/>
      <w:lvlJc w:val="left"/>
      <w:pPr>
        <w:ind w:left="39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5E03CA2">
      <w:start w:val="1"/>
      <w:numFmt w:val="lowerRoman"/>
      <w:lvlText w:val="%6"/>
      <w:lvlJc w:val="left"/>
      <w:pPr>
        <w:ind w:left="46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8906720">
      <w:start w:val="1"/>
      <w:numFmt w:val="decimal"/>
      <w:lvlText w:val="%7"/>
      <w:lvlJc w:val="left"/>
      <w:pPr>
        <w:ind w:left="53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C7AF40E">
      <w:start w:val="1"/>
      <w:numFmt w:val="lowerLetter"/>
      <w:lvlText w:val="%8"/>
      <w:lvlJc w:val="left"/>
      <w:pPr>
        <w:ind w:left="60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0587142">
      <w:start w:val="1"/>
      <w:numFmt w:val="lowerRoman"/>
      <w:lvlText w:val="%9"/>
      <w:lvlJc w:val="left"/>
      <w:pPr>
        <w:ind w:left="6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nsid w:val="0DFC1FB0"/>
    <w:multiLevelType w:val="hybridMultilevel"/>
    <w:tmpl w:val="ADE6CFCC"/>
    <w:lvl w:ilvl="0" w:tplc="6CEE6C14">
      <w:start w:val="116"/>
      <w:numFmt w:val="decimal"/>
      <w:lvlText w:val="%1."/>
      <w:lvlJc w:val="left"/>
      <w:pPr>
        <w:ind w:left="2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0427D6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34ACA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95E872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DE4D9E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422B4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BA674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AB8E3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6DA11B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nsid w:val="1025193F"/>
    <w:multiLevelType w:val="hybridMultilevel"/>
    <w:tmpl w:val="544A28B0"/>
    <w:lvl w:ilvl="0" w:tplc="5530A66C">
      <w:start w:val="1"/>
      <w:numFmt w:val="lowerLetter"/>
      <w:lvlText w:val="%1)"/>
      <w:lvlJc w:val="left"/>
      <w:pPr>
        <w:ind w:left="1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906471A">
      <w:start w:val="1"/>
      <w:numFmt w:val="lowerLetter"/>
      <w:lvlText w:val="%2"/>
      <w:lvlJc w:val="left"/>
      <w:pPr>
        <w:ind w:left="2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E862098">
      <w:start w:val="1"/>
      <w:numFmt w:val="lowerRoman"/>
      <w:lvlText w:val="%3"/>
      <w:lvlJc w:val="left"/>
      <w:pPr>
        <w:ind w:left="30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A8A7552">
      <w:start w:val="1"/>
      <w:numFmt w:val="decimal"/>
      <w:lvlText w:val="%4"/>
      <w:lvlJc w:val="left"/>
      <w:pPr>
        <w:ind w:left="37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CF6684E">
      <w:start w:val="1"/>
      <w:numFmt w:val="lowerLetter"/>
      <w:lvlText w:val="%5"/>
      <w:lvlJc w:val="left"/>
      <w:pPr>
        <w:ind w:left="44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9E0C178">
      <w:start w:val="1"/>
      <w:numFmt w:val="lowerRoman"/>
      <w:lvlText w:val="%6"/>
      <w:lvlJc w:val="left"/>
      <w:pPr>
        <w:ind w:left="52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7C8F92A">
      <w:start w:val="1"/>
      <w:numFmt w:val="decimal"/>
      <w:lvlText w:val="%7"/>
      <w:lvlJc w:val="left"/>
      <w:pPr>
        <w:ind w:left="59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CE8861E">
      <w:start w:val="1"/>
      <w:numFmt w:val="lowerLetter"/>
      <w:lvlText w:val="%8"/>
      <w:lvlJc w:val="left"/>
      <w:pPr>
        <w:ind w:left="66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7FEE46E">
      <w:start w:val="1"/>
      <w:numFmt w:val="lowerRoman"/>
      <w:lvlText w:val="%9"/>
      <w:lvlJc w:val="left"/>
      <w:pPr>
        <w:ind w:left="7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nsid w:val="10F41EB2"/>
    <w:multiLevelType w:val="hybridMultilevel"/>
    <w:tmpl w:val="88905ECA"/>
    <w:lvl w:ilvl="0" w:tplc="046CE1AE">
      <w:start w:val="1"/>
      <w:numFmt w:val="decimal"/>
      <w:lvlText w:val="%1."/>
      <w:lvlJc w:val="left"/>
      <w:pPr>
        <w:ind w:left="1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CEC6C2A">
      <w:start w:val="1"/>
      <w:numFmt w:val="lowerLetter"/>
      <w:lvlText w:val="%2"/>
      <w:lvlJc w:val="left"/>
      <w:pPr>
        <w:ind w:left="18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E8C00A">
      <w:start w:val="1"/>
      <w:numFmt w:val="lowerRoman"/>
      <w:lvlText w:val="%3"/>
      <w:lvlJc w:val="left"/>
      <w:pPr>
        <w:ind w:left="25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44E1B56">
      <w:start w:val="1"/>
      <w:numFmt w:val="decimal"/>
      <w:lvlText w:val="%4"/>
      <w:lvlJc w:val="left"/>
      <w:pPr>
        <w:ind w:left="32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120500">
      <w:start w:val="1"/>
      <w:numFmt w:val="lowerLetter"/>
      <w:lvlText w:val="%5"/>
      <w:lvlJc w:val="left"/>
      <w:pPr>
        <w:ind w:left="40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A94BF1C">
      <w:start w:val="1"/>
      <w:numFmt w:val="lowerRoman"/>
      <w:lvlText w:val="%6"/>
      <w:lvlJc w:val="left"/>
      <w:pPr>
        <w:ind w:left="47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F064D6C">
      <w:start w:val="1"/>
      <w:numFmt w:val="decimal"/>
      <w:lvlText w:val="%7"/>
      <w:lvlJc w:val="left"/>
      <w:pPr>
        <w:ind w:left="54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D48A86">
      <w:start w:val="1"/>
      <w:numFmt w:val="lowerLetter"/>
      <w:lvlText w:val="%8"/>
      <w:lvlJc w:val="left"/>
      <w:pPr>
        <w:ind w:left="61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7F246D6">
      <w:start w:val="1"/>
      <w:numFmt w:val="lowerRoman"/>
      <w:lvlText w:val="%9"/>
      <w:lvlJc w:val="left"/>
      <w:pPr>
        <w:ind w:left="68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nsid w:val="141A6D9E"/>
    <w:multiLevelType w:val="hybridMultilevel"/>
    <w:tmpl w:val="7D7A2896"/>
    <w:lvl w:ilvl="0" w:tplc="B0146314">
      <w:start w:val="11"/>
      <w:numFmt w:val="decimal"/>
      <w:lvlText w:val="%1."/>
      <w:lvlJc w:val="left"/>
      <w:pPr>
        <w:ind w:left="2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A16312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3B2538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FDA13F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69A333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F9E8E1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702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90276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512D3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nsid w:val="15C54E78"/>
    <w:multiLevelType w:val="hybridMultilevel"/>
    <w:tmpl w:val="4BDE10E0"/>
    <w:lvl w:ilvl="0" w:tplc="E0C8DE76">
      <w:start w:val="1"/>
      <w:numFmt w:val="bullet"/>
      <w:lvlText w:val="-"/>
      <w:lvlJc w:val="left"/>
      <w:pPr>
        <w:ind w:left="12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22B1BE">
      <w:start w:val="2"/>
      <w:numFmt w:val="decimal"/>
      <w:lvlRestart w:val="0"/>
      <w:lvlText w:val="%2."/>
      <w:lvlJc w:val="left"/>
      <w:pPr>
        <w:ind w:left="1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616F580">
      <w:start w:val="1"/>
      <w:numFmt w:val="lowerRoman"/>
      <w:lvlText w:val="%3"/>
      <w:lvlJc w:val="left"/>
      <w:pPr>
        <w:ind w:left="2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4BA333C">
      <w:start w:val="1"/>
      <w:numFmt w:val="decimal"/>
      <w:lvlText w:val="%4"/>
      <w:lvlJc w:val="left"/>
      <w:pPr>
        <w:ind w:left="3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DE2C78">
      <w:start w:val="1"/>
      <w:numFmt w:val="lowerLetter"/>
      <w:lvlText w:val="%5"/>
      <w:lvlJc w:val="left"/>
      <w:pPr>
        <w:ind w:left="38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18EE19C">
      <w:start w:val="1"/>
      <w:numFmt w:val="lowerRoman"/>
      <w:lvlText w:val="%6"/>
      <w:lvlJc w:val="left"/>
      <w:pPr>
        <w:ind w:left="45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6A6AE6C">
      <w:start w:val="1"/>
      <w:numFmt w:val="decimal"/>
      <w:lvlText w:val="%7"/>
      <w:lvlJc w:val="left"/>
      <w:pPr>
        <w:ind w:left="53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BC0178E">
      <w:start w:val="1"/>
      <w:numFmt w:val="lowerLetter"/>
      <w:lvlText w:val="%8"/>
      <w:lvlJc w:val="left"/>
      <w:pPr>
        <w:ind w:left="60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BC87CA">
      <w:start w:val="1"/>
      <w:numFmt w:val="lowerRoman"/>
      <w:lvlText w:val="%9"/>
      <w:lvlJc w:val="left"/>
      <w:pPr>
        <w:ind w:left="67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nsid w:val="1629556B"/>
    <w:multiLevelType w:val="hybridMultilevel"/>
    <w:tmpl w:val="6E90EDC4"/>
    <w:lvl w:ilvl="0" w:tplc="1C786F7A">
      <w:start w:val="1"/>
      <w:numFmt w:val="decimal"/>
      <w:lvlText w:val="%1."/>
      <w:lvlJc w:val="left"/>
      <w:pPr>
        <w:ind w:left="16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4286644">
      <w:start w:val="1"/>
      <w:numFmt w:val="lowerLetter"/>
      <w:lvlText w:val="%2"/>
      <w:lvlJc w:val="left"/>
      <w:pPr>
        <w:ind w:left="24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70ED99A">
      <w:start w:val="1"/>
      <w:numFmt w:val="lowerRoman"/>
      <w:lvlText w:val="%3"/>
      <w:lvlJc w:val="left"/>
      <w:pPr>
        <w:ind w:left="32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7B6EDF8">
      <w:start w:val="1"/>
      <w:numFmt w:val="decimal"/>
      <w:lvlText w:val="%4"/>
      <w:lvlJc w:val="left"/>
      <w:pPr>
        <w:ind w:left="39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0D6191E">
      <w:start w:val="1"/>
      <w:numFmt w:val="lowerLetter"/>
      <w:lvlText w:val="%5"/>
      <w:lvlJc w:val="left"/>
      <w:pPr>
        <w:ind w:left="46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AE67434">
      <w:start w:val="1"/>
      <w:numFmt w:val="lowerRoman"/>
      <w:lvlText w:val="%6"/>
      <w:lvlJc w:val="left"/>
      <w:pPr>
        <w:ind w:left="53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732768E">
      <w:start w:val="1"/>
      <w:numFmt w:val="decimal"/>
      <w:lvlText w:val="%7"/>
      <w:lvlJc w:val="left"/>
      <w:pPr>
        <w:ind w:left="60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D823534">
      <w:start w:val="1"/>
      <w:numFmt w:val="lowerLetter"/>
      <w:lvlText w:val="%8"/>
      <w:lvlJc w:val="left"/>
      <w:pPr>
        <w:ind w:left="6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5862A84">
      <w:start w:val="1"/>
      <w:numFmt w:val="lowerRoman"/>
      <w:lvlText w:val="%9"/>
      <w:lvlJc w:val="left"/>
      <w:pPr>
        <w:ind w:left="75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1">
    <w:nsid w:val="1C0B79D5"/>
    <w:multiLevelType w:val="hybridMultilevel"/>
    <w:tmpl w:val="8A52EDAC"/>
    <w:lvl w:ilvl="0" w:tplc="9B964800">
      <w:start w:val="1"/>
      <w:numFmt w:val="lowerLetter"/>
      <w:lvlText w:val="%1)"/>
      <w:lvlJc w:val="left"/>
      <w:pPr>
        <w:ind w:left="8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E627CF8">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D4CF988">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50C0A8C">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8AAB312">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64C4D00">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A607DC0">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F92C348">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740CE12">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2">
    <w:nsid w:val="20075817"/>
    <w:multiLevelType w:val="hybridMultilevel"/>
    <w:tmpl w:val="76A66266"/>
    <w:lvl w:ilvl="0" w:tplc="3D9CDCE6">
      <w:start w:val="113"/>
      <w:numFmt w:val="decimal"/>
      <w:lvlText w:val="%1."/>
      <w:lvlJc w:val="left"/>
      <w:pPr>
        <w:ind w:left="16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9EE350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280D49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107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E2C3A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36E03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283A4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550AB7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E6F12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nsid w:val="20DC3D15"/>
    <w:multiLevelType w:val="hybridMultilevel"/>
    <w:tmpl w:val="1DD26C16"/>
    <w:lvl w:ilvl="0" w:tplc="F5046360">
      <w:start w:val="1"/>
      <w:numFmt w:val="lowerLetter"/>
      <w:lvlText w:val="%1)"/>
      <w:lvlJc w:val="left"/>
      <w:pPr>
        <w:ind w:left="1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1841CCE">
      <w:start w:val="1"/>
      <w:numFmt w:val="lowerLetter"/>
      <w:lvlText w:val="%2"/>
      <w:lvlJc w:val="left"/>
      <w:pPr>
        <w:ind w:left="2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056885C">
      <w:start w:val="1"/>
      <w:numFmt w:val="lowerRoman"/>
      <w:lvlText w:val="%3"/>
      <w:lvlJc w:val="left"/>
      <w:pPr>
        <w:ind w:left="30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73299F0">
      <w:start w:val="1"/>
      <w:numFmt w:val="decimal"/>
      <w:lvlText w:val="%4"/>
      <w:lvlJc w:val="left"/>
      <w:pPr>
        <w:ind w:left="37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CD05B76">
      <w:start w:val="1"/>
      <w:numFmt w:val="lowerLetter"/>
      <w:lvlText w:val="%5"/>
      <w:lvlJc w:val="left"/>
      <w:pPr>
        <w:ind w:left="44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A963574">
      <w:start w:val="1"/>
      <w:numFmt w:val="lowerRoman"/>
      <w:lvlText w:val="%6"/>
      <w:lvlJc w:val="left"/>
      <w:pPr>
        <w:ind w:left="52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36C1D88">
      <w:start w:val="1"/>
      <w:numFmt w:val="decimal"/>
      <w:lvlText w:val="%7"/>
      <w:lvlJc w:val="left"/>
      <w:pPr>
        <w:ind w:left="59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DF0694A">
      <w:start w:val="1"/>
      <w:numFmt w:val="lowerLetter"/>
      <w:lvlText w:val="%8"/>
      <w:lvlJc w:val="left"/>
      <w:pPr>
        <w:ind w:left="66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3F4945E">
      <w:start w:val="1"/>
      <w:numFmt w:val="lowerRoman"/>
      <w:lvlText w:val="%9"/>
      <w:lvlJc w:val="left"/>
      <w:pPr>
        <w:ind w:left="7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4">
    <w:nsid w:val="22E31671"/>
    <w:multiLevelType w:val="hybridMultilevel"/>
    <w:tmpl w:val="5E7C2944"/>
    <w:lvl w:ilvl="0" w:tplc="8F1CA044">
      <w:start w:val="5"/>
      <w:numFmt w:val="decimal"/>
      <w:lvlText w:val="%1."/>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F38D6DE">
      <w:start w:val="1"/>
      <w:numFmt w:val="lowerLetter"/>
      <w:lvlText w:val="%2"/>
      <w:lvlJc w:val="left"/>
      <w:pPr>
        <w:ind w:left="16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3E6D378">
      <w:start w:val="1"/>
      <w:numFmt w:val="lowerRoman"/>
      <w:lvlText w:val="%3"/>
      <w:lvlJc w:val="left"/>
      <w:pPr>
        <w:ind w:left="23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FF88AE2">
      <w:start w:val="1"/>
      <w:numFmt w:val="decimal"/>
      <w:lvlText w:val="%4"/>
      <w:lvlJc w:val="left"/>
      <w:pPr>
        <w:ind w:left="3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B744F08">
      <w:start w:val="1"/>
      <w:numFmt w:val="lowerLetter"/>
      <w:lvlText w:val="%5"/>
      <w:lvlJc w:val="left"/>
      <w:pPr>
        <w:ind w:left="3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5E8DBE2">
      <w:start w:val="1"/>
      <w:numFmt w:val="lowerRoman"/>
      <w:lvlText w:val="%6"/>
      <w:lvlJc w:val="left"/>
      <w:pPr>
        <w:ind w:left="4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2E6EA30">
      <w:start w:val="1"/>
      <w:numFmt w:val="decimal"/>
      <w:lvlText w:val="%7"/>
      <w:lvlJc w:val="left"/>
      <w:pPr>
        <w:ind w:left="5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9A8DDFE">
      <w:start w:val="1"/>
      <w:numFmt w:val="lowerLetter"/>
      <w:lvlText w:val="%8"/>
      <w:lvlJc w:val="left"/>
      <w:pPr>
        <w:ind w:left="5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F44B2B4">
      <w:start w:val="1"/>
      <w:numFmt w:val="lowerRoman"/>
      <w:lvlText w:val="%9"/>
      <w:lvlJc w:val="left"/>
      <w:pPr>
        <w:ind w:left="6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nsid w:val="24440E34"/>
    <w:multiLevelType w:val="hybridMultilevel"/>
    <w:tmpl w:val="0ACE03CC"/>
    <w:lvl w:ilvl="0" w:tplc="F42A7F76">
      <w:start w:val="1"/>
      <w:numFmt w:val="upperRoman"/>
      <w:lvlText w:val="%1"/>
      <w:lvlJc w:val="left"/>
      <w:pPr>
        <w:ind w:left="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1C92A2">
      <w:start w:val="1"/>
      <w:numFmt w:val="lowerLetter"/>
      <w:lvlText w:val="%2"/>
      <w:lvlJc w:val="left"/>
      <w:pPr>
        <w:ind w:left="2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9FC0614">
      <w:start w:val="1"/>
      <w:numFmt w:val="lowerRoman"/>
      <w:lvlText w:val="%3"/>
      <w:lvlJc w:val="left"/>
      <w:pPr>
        <w:ind w:left="2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EFACA0C">
      <w:start w:val="1"/>
      <w:numFmt w:val="decimal"/>
      <w:lvlText w:val="%4"/>
      <w:lvlJc w:val="left"/>
      <w:pPr>
        <w:ind w:left="3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9C8DF38">
      <w:start w:val="1"/>
      <w:numFmt w:val="lowerLetter"/>
      <w:lvlText w:val="%5"/>
      <w:lvlJc w:val="left"/>
      <w:pPr>
        <w:ind w:left="4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31EA1E8">
      <w:start w:val="1"/>
      <w:numFmt w:val="lowerRoman"/>
      <w:lvlText w:val="%6"/>
      <w:lvlJc w:val="left"/>
      <w:pPr>
        <w:ind w:left="4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A52BDBE">
      <w:start w:val="1"/>
      <w:numFmt w:val="decimal"/>
      <w:lvlText w:val="%7"/>
      <w:lvlJc w:val="left"/>
      <w:pPr>
        <w:ind w:left="5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F01D42">
      <w:start w:val="1"/>
      <w:numFmt w:val="lowerLetter"/>
      <w:lvlText w:val="%8"/>
      <w:lvlJc w:val="left"/>
      <w:pPr>
        <w:ind w:left="6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240C5F0">
      <w:start w:val="1"/>
      <w:numFmt w:val="lowerRoman"/>
      <w:lvlText w:val="%9"/>
      <w:lvlJc w:val="left"/>
      <w:pPr>
        <w:ind w:left="7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nsid w:val="24AD3E32"/>
    <w:multiLevelType w:val="hybridMultilevel"/>
    <w:tmpl w:val="9F9C8E8A"/>
    <w:lvl w:ilvl="0" w:tplc="BEE6FC36">
      <w:start w:val="1"/>
      <w:numFmt w:val="bullet"/>
      <w:lvlText w:val="-"/>
      <w:lvlJc w:val="left"/>
      <w:pPr>
        <w:ind w:left="14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CCA9822">
      <w:start w:val="1"/>
      <w:numFmt w:val="bullet"/>
      <w:lvlText w:val="o"/>
      <w:lvlJc w:val="left"/>
      <w:pPr>
        <w:ind w:left="21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2D601DC">
      <w:start w:val="1"/>
      <w:numFmt w:val="bullet"/>
      <w:lvlText w:val="▪"/>
      <w:lvlJc w:val="left"/>
      <w:pPr>
        <w:ind w:left="28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6EEDF0">
      <w:start w:val="1"/>
      <w:numFmt w:val="bullet"/>
      <w:lvlText w:val="•"/>
      <w:lvlJc w:val="left"/>
      <w:pPr>
        <w:ind w:left="35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3D69028">
      <w:start w:val="1"/>
      <w:numFmt w:val="bullet"/>
      <w:lvlText w:val="o"/>
      <w:lvlJc w:val="left"/>
      <w:pPr>
        <w:ind w:left="42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D3644E8">
      <w:start w:val="1"/>
      <w:numFmt w:val="bullet"/>
      <w:lvlText w:val="▪"/>
      <w:lvlJc w:val="left"/>
      <w:pPr>
        <w:ind w:left="50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D5A26B8">
      <w:start w:val="1"/>
      <w:numFmt w:val="bullet"/>
      <w:lvlText w:val="•"/>
      <w:lvlJc w:val="left"/>
      <w:pPr>
        <w:ind w:left="57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72EF60C">
      <w:start w:val="1"/>
      <w:numFmt w:val="bullet"/>
      <w:lvlText w:val="o"/>
      <w:lvlJc w:val="left"/>
      <w:pPr>
        <w:ind w:left="64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C826450">
      <w:start w:val="1"/>
      <w:numFmt w:val="bullet"/>
      <w:lvlText w:val="▪"/>
      <w:lvlJc w:val="left"/>
      <w:pPr>
        <w:ind w:left="71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7">
    <w:nsid w:val="264273BC"/>
    <w:multiLevelType w:val="hybridMultilevel"/>
    <w:tmpl w:val="AAECCAE2"/>
    <w:lvl w:ilvl="0" w:tplc="B83AF9EA">
      <w:start w:val="2"/>
      <w:numFmt w:val="upperRoman"/>
      <w:lvlText w:val="%1"/>
      <w:lvlJc w:val="left"/>
      <w:pPr>
        <w:ind w:left="13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B2019C8">
      <w:start w:val="1"/>
      <w:numFmt w:val="lowerLetter"/>
      <w:lvlText w:val="%2"/>
      <w:lvlJc w:val="left"/>
      <w:pPr>
        <w:ind w:left="2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3AEBC14">
      <w:start w:val="1"/>
      <w:numFmt w:val="lowerRoman"/>
      <w:lvlText w:val="%3"/>
      <w:lvlJc w:val="left"/>
      <w:pPr>
        <w:ind w:left="2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AA0DFE0">
      <w:start w:val="1"/>
      <w:numFmt w:val="decimal"/>
      <w:lvlText w:val="%4"/>
      <w:lvlJc w:val="left"/>
      <w:pPr>
        <w:ind w:left="35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3EAD4D8">
      <w:start w:val="1"/>
      <w:numFmt w:val="lowerLetter"/>
      <w:lvlText w:val="%5"/>
      <w:lvlJc w:val="left"/>
      <w:pPr>
        <w:ind w:left="42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6120A6E">
      <w:start w:val="1"/>
      <w:numFmt w:val="lowerRoman"/>
      <w:lvlText w:val="%6"/>
      <w:lvlJc w:val="left"/>
      <w:pPr>
        <w:ind w:left="49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770C052">
      <w:start w:val="1"/>
      <w:numFmt w:val="decimal"/>
      <w:lvlText w:val="%7"/>
      <w:lvlJc w:val="left"/>
      <w:pPr>
        <w:ind w:left="5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246A4F0">
      <w:start w:val="1"/>
      <w:numFmt w:val="lowerLetter"/>
      <w:lvlText w:val="%8"/>
      <w:lvlJc w:val="left"/>
      <w:pPr>
        <w:ind w:left="64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1464FEA">
      <w:start w:val="1"/>
      <w:numFmt w:val="lowerRoman"/>
      <w:lvlText w:val="%9"/>
      <w:lvlJc w:val="left"/>
      <w:pPr>
        <w:ind w:left="71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8">
    <w:nsid w:val="29902BC6"/>
    <w:multiLevelType w:val="hybridMultilevel"/>
    <w:tmpl w:val="2B0006C6"/>
    <w:lvl w:ilvl="0" w:tplc="1F5EC51C">
      <w:start w:val="1"/>
      <w:numFmt w:val="decimal"/>
      <w:lvlText w:val="%1)"/>
      <w:lvlJc w:val="left"/>
      <w:pPr>
        <w:ind w:left="1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2EA6802">
      <w:start w:val="1"/>
      <w:numFmt w:val="lowerLetter"/>
      <w:lvlText w:val="%2"/>
      <w:lvlJc w:val="left"/>
      <w:pPr>
        <w:ind w:left="2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CD6A998">
      <w:start w:val="1"/>
      <w:numFmt w:val="lowerRoman"/>
      <w:lvlText w:val="%3"/>
      <w:lvlJc w:val="left"/>
      <w:pPr>
        <w:ind w:left="2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F7EF700">
      <w:start w:val="1"/>
      <w:numFmt w:val="decimal"/>
      <w:lvlText w:val="%4"/>
      <w:lvlJc w:val="left"/>
      <w:pPr>
        <w:ind w:left="35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8C6E0A0">
      <w:start w:val="1"/>
      <w:numFmt w:val="lowerLetter"/>
      <w:lvlText w:val="%5"/>
      <w:lvlJc w:val="left"/>
      <w:pPr>
        <w:ind w:left="42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062D8F0">
      <w:start w:val="1"/>
      <w:numFmt w:val="lowerRoman"/>
      <w:lvlText w:val="%6"/>
      <w:lvlJc w:val="left"/>
      <w:pPr>
        <w:ind w:left="49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92252C2">
      <w:start w:val="1"/>
      <w:numFmt w:val="decimal"/>
      <w:lvlText w:val="%7"/>
      <w:lvlJc w:val="left"/>
      <w:pPr>
        <w:ind w:left="5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37684D8">
      <w:start w:val="1"/>
      <w:numFmt w:val="lowerLetter"/>
      <w:lvlText w:val="%8"/>
      <w:lvlJc w:val="left"/>
      <w:pPr>
        <w:ind w:left="64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270E8F8">
      <w:start w:val="1"/>
      <w:numFmt w:val="lowerRoman"/>
      <w:lvlText w:val="%9"/>
      <w:lvlJc w:val="left"/>
      <w:pPr>
        <w:ind w:left="71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nsid w:val="350E27FC"/>
    <w:multiLevelType w:val="hybridMultilevel"/>
    <w:tmpl w:val="3A16B724"/>
    <w:lvl w:ilvl="0" w:tplc="850224BE">
      <w:start w:val="1"/>
      <w:numFmt w:val="upperLetter"/>
      <w:lvlText w:val="%1)"/>
      <w:lvlJc w:val="left"/>
      <w:pPr>
        <w:ind w:left="8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250FACA">
      <w:start w:val="1"/>
      <w:numFmt w:val="lowerLetter"/>
      <w:lvlText w:val="%2"/>
      <w:lvlJc w:val="left"/>
      <w:pPr>
        <w:ind w:left="16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674DD74">
      <w:start w:val="1"/>
      <w:numFmt w:val="lowerRoman"/>
      <w:lvlText w:val="%3"/>
      <w:lvlJc w:val="left"/>
      <w:pPr>
        <w:ind w:left="23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E68B056">
      <w:start w:val="1"/>
      <w:numFmt w:val="decimal"/>
      <w:lvlText w:val="%4"/>
      <w:lvlJc w:val="left"/>
      <w:pPr>
        <w:ind w:left="3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5940440">
      <w:start w:val="1"/>
      <w:numFmt w:val="lowerLetter"/>
      <w:lvlText w:val="%5"/>
      <w:lvlJc w:val="left"/>
      <w:pPr>
        <w:ind w:left="3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EBE3C9A">
      <w:start w:val="1"/>
      <w:numFmt w:val="lowerRoman"/>
      <w:lvlText w:val="%6"/>
      <w:lvlJc w:val="left"/>
      <w:pPr>
        <w:ind w:left="4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9DA7A28">
      <w:start w:val="1"/>
      <w:numFmt w:val="decimal"/>
      <w:lvlText w:val="%7"/>
      <w:lvlJc w:val="left"/>
      <w:pPr>
        <w:ind w:left="5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3CA120A">
      <w:start w:val="1"/>
      <w:numFmt w:val="lowerLetter"/>
      <w:lvlText w:val="%8"/>
      <w:lvlJc w:val="left"/>
      <w:pPr>
        <w:ind w:left="5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05A13AE">
      <w:start w:val="1"/>
      <w:numFmt w:val="lowerRoman"/>
      <w:lvlText w:val="%9"/>
      <w:lvlJc w:val="left"/>
      <w:pPr>
        <w:ind w:left="6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0">
    <w:nsid w:val="383B7980"/>
    <w:multiLevelType w:val="hybridMultilevel"/>
    <w:tmpl w:val="D882ADCE"/>
    <w:lvl w:ilvl="0" w:tplc="56764DDE">
      <w:start w:val="8"/>
      <w:numFmt w:val="decimal"/>
      <w:lvlText w:val="%1."/>
      <w:lvlJc w:val="left"/>
      <w:pPr>
        <w:ind w:left="18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4CA209A">
      <w:start w:val="1"/>
      <w:numFmt w:val="lowerLetter"/>
      <w:lvlText w:val="%2"/>
      <w:lvlJc w:val="left"/>
      <w:pPr>
        <w:ind w:left="2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5AE293A">
      <w:start w:val="1"/>
      <w:numFmt w:val="lowerRoman"/>
      <w:lvlText w:val="%3"/>
      <w:lvlJc w:val="left"/>
      <w:pPr>
        <w:ind w:left="3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392F0C0">
      <w:start w:val="1"/>
      <w:numFmt w:val="decimal"/>
      <w:lvlText w:val="%4"/>
      <w:lvlJc w:val="left"/>
      <w:pPr>
        <w:ind w:left="3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56407E">
      <w:start w:val="1"/>
      <w:numFmt w:val="lowerLetter"/>
      <w:lvlText w:val="%5"/>
      <w:lvlJc w:val="left"/>
      <w:pPr>
        <w:ind w:left="4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5782E76">
      <w:start w:val="1"/>
      <w:numFmt w:val="lowerRoman"/>
      <w:lvlText w:val="%6"/>
      <w:lvlJc w:val="left"/>
      <w:pPr>
        <w:ind w:left="5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EFA3476">
      <w:start w:val="1"/>
      <w:numFmt w:val="decimal"/>
      <w:lvlText w:val="%7"/>
      <w:lvlJc w:val="left"/>
      <w:pPr>
        <w:ind w:left="61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B88A98">
      <w:start w:val="1"/>
      <w:numFmt w:val="lowerLetter"/>
      <w:lvlText w:val="%8"/>
      <w:lvlJc w:val="left"/>
      <w:pPr>
        <w:ind w:left="68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2F467BC">
      <w:start w:val="1"/>
      <w:numFmt w:val="lowerRoman"/>
      <w:lvlText w:val="%9"/>
      <w:lvlJc w:val="left"/>
      <w:pPr>
        <w:ind w:left="75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1">
    <w:nsid w:val="3D0B7D98"/>
    <w:multiLevelType w:val="hybridMultilevel"/>
    <w:tmpl w:val="0FCA31F8"/>
    <w:lvl w:ilvl="0" w:tplc="5EE27B38">
      <w:start w:val="1"/>
      <w:numFmt w:val="lowerLetter"/>
      <w:lvlText w:val="%1)"/>
      <w:lvlJc w:val="left"/>
      <w:pPr>
        <w:ind w:left="1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1F04D4A">
      <w:start w:val="1"/>
      <w:numFmt w:val="lowerLetter"/>
      <w:lvlText w:val="%2"/>
      <w:lvlJc w:val="left"/>
      <w:pPr>
        <w:ind w:left="24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3ECEDAA">
      <w:start w:val="1"/>
      <w:numFmt w:val="lowerRoman"/>
      <w:lvlText w:val="%3"/>
      <w:lvlJc w:val="left"/>
      <w:pPr>
        <w:ind w:left="32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59EC182">
      <w:start w:val="1"/>
      <w:numFmt w:val="decimal"/>
      <w:lvlText w:val="%4"/>
      <w:lvlJc w:val="left"/>
      <w:pPr>
        <w:ind w:left="39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19E92A0">
      <w:start w:val="1"/>
      <w:numFmt w:val="lowerLetter"/>
      <w:lvlText w:val="%5"/>
      <w:lvlJc w:val="left"/>
      <w:pPr>
        <w:ind w:left="46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F30FC9E">
      <w:start w:val="1"/>
      <w:numFmt w:val="lowerRoman"/>
      <w:lvlText w:val="%6"/>
      <w:lvlJc w:val="left"/>
      <w:pPr>
        <w:ind w:left="53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73EB364">
      <w:start w:val="1"/>
      <w:numFmt w:val="decimal"/>
      <w:lvlText w:val="%7"/>
      <w:lvlJc w:val="left"/>
      <w:pPr>
        <w:ind w:left="60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CAE3964">
      <w:start w:val="1"/>
      <w:numFmt w:val="lowerLetter"/>
      <w:lvlText w:val="%8"/>
      <w:lvlJc w:val="left"/>
      <w:pPr>
        <w:ind w:left="6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6F85486">
      <w:start w:val="1"/>
      <w:numFmt w:val="lowerRoman"/>
      <w:lvlText w:val="%9"/>
      <w:lvlJc w:val="left"/>
      <w:pPr>
        <w:ind w:left="75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nsid w:val="3ED8202E"/>
    <w:multiLevelType w:val="hybridMultilevel"/>
    <w:tmpl w:val="84A414D6"/>
    <w:lvl w:ilvl="0" w:tplc="DA36F468">
      <w:start w:val="1"/>
      <w:numFmt w:val="decimal"/>
      <w:lvlText w:val="%1."/>
      <w:lvlJc w:val="left"/>
      <w:pPr>
        <w:ind w:left="1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52A095C">
      <w:start w:val="8"/>
      <w:numFmt w:val="decimal"/>
      <w:lvlText w:val="%2."/>
      <w:lvlJc w:val="left"/>
      <w:pPr>
        <w:ind w:left="16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BFADBD6">
      <w:start w:val="1"/>
      <w:numFmt w:val="lowerRoman"/>
      <w:lvlText w:val="%3"/>
      <w:lvlJc w:val="left"/>
      <w:pPr>
        <w:ind w:left="24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6889E34">
      <w:start w:val="1"/>
      <w:numFmt w:val="decimal"/>
      <w:lvlText w:val="%4"/>
      <w:lvlJc w:val="left"/>
      <w:pPr>
        <w:ind w:left="32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51C2FE4">
      <w:start w:val="1"/>
      <w:numFmt w:val="lowerLetter"/>
      <w:lvlText w:val="%5"/>
      <w:lvlJc w:val="left"/>
      <w:pPr>
        <w:ind w:left="39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F6AEAFC">
      <w:start w:val="1"/>
      <w:numFmt w:val="lowerRoman"/>
      <w:lvlText w:val="%6"/>
      <w:lvlJc w:val="left"/>
      <w:pPr>
        <w:ind w:left="46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526AA8A">
      <w:start w:val="1"/>
      <w:numFmt w:val="decimal"/>
      <w:lvlText w:val="%7"/>
      <w:lvlJc w:val="left"/>
      <w:pPr>
        <w:ind w:left="53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C706C34">
      <w:start w:val="1"/>
      <w:numFmt w:val="lowerLetter"/>
      <w:lvlText w:val="%8"/>
      <w:lvlJc w:val="left"/>
      <w:pPr>
        <w:ind w:left="60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680EBD0">
      <w:start w:val="1"/>
      <w:numFmt w:val="lowerRoman"/>
      <w:lvlText w:val="%9"/>
      <w:lvlJc w:val="left"/>
      <w:pPr>
        <w:ind w:left="6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3">
    <w:nsid w:val="40F4229C"/>
    <w:multiLevelType w:val="hybridMultilevel"/>
    <w:tmpl w:val="D39E02A2"/>
    <w:lvl w:ilvl="0" w:tplc="6466399C">
      <w:start w:val="1"/>
      <w:numFmt w:val="decimal"/>
      <w:lvlText w:val="%1."/>
      <w:lvlJc w:val="left"/>
      <w:pPr>
        <w:ind w:left="566"/>
      </w:pPr>
      <w:rPr>
        <w:rFonts w:ascii="Times New Roman" w:eastAsia="Times New Roman" w:hAnsi="Times New Roman" w:cs="Times New Roman"/>
        <w:b w:val="0"/>
        <w:i/>
        <w:iCs/>
        <w:strike w:val="0"/>
        <w:dstrike w:val="0"/>
        <w:color w:val="000000"/>
        <w:sz w:val="22"/>
        <w:szCs w:val="22"/>
        <w:u w:val="none" w:color="000000"/>
        <w:bdr w:val="none" w:sz="0" w:space="0" w:color="auto"/>
        <w:shd w:val="clear" w:color="auto" w:fill="auto"/>
        <w:vertAlign w:val="baseline"/>
      </w:rPr>
    </w:lvl>
    <w:lvl w:ilvl="1" w:tplc="80F6D742">
      <w:start w:val="64"/>
      <w:numFmt w:val="decimal"/>
      <w:lvlText w:val="%2"/>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2" w:tplc="877C34E4">
      <w:start w:val="1"/>
      <w:numFmt w:val="lowerRoman"/>
      <w:lvlText w:val="%3"/>
      <w:lvlJc w:val="left"/>
      <w:pPr>
        <w:ind w:left="16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3" w:tplc="961657B2">
      <w:start w:val="1"/>
      <w:numFmt w:val="decimal"/>
      <w:lvlText w:val="%4"/>
      <w:lvlJc w:val="left"/>
      <w:pPr>
        <w:ind w:left="23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4" w:tplc="D4486A60">
      <w:start w:val="1"/>
      <w:numFmt w:val="lowerLetter"/>
      <w:lvlText w:val="%5"/>
      <w:lvlJc w:val="left"/>
      <w:pPr>
        <w:ind w:left="3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5" w:tplc="42C05476">
      <w:start w:val="1"/>
      <w:numFmt w:val="lowerRoman"/>
      <w:lvlText w:val="%6"/>
      <w:lvlJc w:val="left"/>
      <w:pPr>
        <w:ind w:left="3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6" w:tplc="BAD8AA56">
      <w:start w:val="1"/>
      <w:numFmt w:val="decimal"/>
      <w:lvlText w:val="%7"/>
      <w:lvlJc w:val="left"/>
      <w:pPr>
        <w:ind w:left="4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7" w:tplc="5588B04A">
      <w:start w:val="1"/>
      <w:numFmt w:val="lowerLetter"/>
      <w:lvlText w:val="%8"/>
      <w:lvlJc w:val="left"/>
      <w:pPr>
        <w:ind w:left="5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8" w:tplc="83467E52">
      <w:start w:val="1"/>
      <w:numFmt w:val="lowerRoman"/>
      <w:lvlText w:val="%9"/>
      <w:lvlJc w:val="left"/>
      <w:pPr>
        <w:ind w:left="5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abstractNum>
  <w:abstractNum w:abstractNumId="24">
    <w:nsid w:val="41E06A77"/>
    <w:multiLevelType w:val="multilevel"/>
    <w:tmpl w:val="420E8114"/>
    <w:lvl w:ilvl="0">
      <w:start w:val="1"/>
      <w:numFmt w:val="decimal"/>
      <w:lvlText w:val="%1."/>
      <w:lvlJc w:val="left"/>
      <w:pPr>
        <w:ind w:left="912"/>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2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nsid w:val="42824A52"/>
    <w:multiLevelType w:val="hybridMultilevel"/>
    <w:tmpl w:val="D258236E"/>
    <w:lvl w:ilvl="0" w:tplc="ABCC25B6">
      <w:start w:val="1"/>
      <w:numFmt w:val="decimal"/>
      <w:lvlText w:val="%1."/>
      <w:lvlJc w:val="left"/>
      <w:pPr>
        <w:ind w:left="18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3E41408">
      <w:start w:val="1"/>
      <w:numFmt w:val="lowerLetter"/>
      <w:lvlText w:val="%2"/>
      <w:lvlJc w:val="left"/>
      <w:pPr>
        <w:ind w:left="2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15C4F32">
      <w:start w:val="1"/>
      <w:numFmt w:val="lowerRoman"/>
      <w:lvlText w:val="%3"/>
      <w:lvlJc w:val="left"/>
      <w:pPr>
        <w:ind w:left="3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43CC400">
      <w:start w:val="1"/>
      <w:numFmt w:val="decimal"/>
      <w:lvlText w:val="%4"/>
      <w:lvlJc w:val="left"/>
      <w:pPr>
        <w:ind w:left="3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9220E72">
      <w:start w:val="1"/>
      <w:numFmt w:val="lowerLetter"/>
      <w:lvlText w:val="%5"/>
      <w:lvlJc w:val="left"/>
      <w:pPr>
        <w:ind w:left="4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05CBA46">
      <w:start w:val="1"/>
      <w:numFmt w:val="lowerRoman"/>
      <w:lvlText w:val="%6"/>
      <w:lvlJc w:val="left"/>
      <w:pPr>
        <w:ind w:left="54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6D81642">
      <w:start w:val="1"/>
      <w:numFmt w:val="decimal"/>
      <w:lvlText w:val="%7"/>
      <w:lvlJc w:val="left"/>
      <w:pPr>
        <w:ind w:left="61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132C372">
      <w:start w:val="1"/>
      <w:numFmt w:val="lowerLetter"/>
      <w:lvlText w:val="%8"/>
      <w:lvlJc w:val="left"/>
      <w:pPr>
        <w:ind w:left="68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2F07F8A">
      <w:start w:val="1"/>
      <w:numFmt w:val="lowerRoman"/>
      <w:lvlText w:val="%9"/>
      <w:lvlJc w:val="left"/>
      <w:pPr>
        <w:ind w:left="75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6">
    <w:nsid w:val="499C3594"/>
    <w:multiLevelType w:val="hybridMultilevel"/>
    <w:tmpl w:val="6A86F07E"/>
    <w:lvl w:ilvl="0" w:tplc="A1361D76">
      <w:start w:val="2"/>
      <w:numFmt w:val="decimal"/>
      <w:lvlText w:val="%1."/>
      <w:lvlJc w:val="left"/>
      <w:pPr>
        <w:ind w:left="10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D94BB88">
      <w:start w:val="1"/>
      <w:numFmt w:val="lowerLetter"/>
      <w:lvlText w:val="%2"/>
      <w:lvlJc w:val="left"/>
      <w:pPr>
        <w:ind w:left="19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04001BC">
      <w:start w:val="1"/>
      <w:numFmt w:val="lowerRoman"/>
      <w:lvlText w:val="%3"/>
      <w:lvlJc w:val="left"/>
      <w:pPr>
        <w:ind w:left="26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256FE50">
      <w:start w:val="1"/>
      <w:numFmt w:val="decimal"/>
      <w:lvlText w:val="%4"/>
      <w:lvlJc w:val="left"/>
      <w:pPr>
        <w:ind w:left="33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7A497C6">
      <w:start w:val="1"/>
      <w:numFmt w:val="lowerLetter"/>
      <w:lvlText w:val="%5"/>
      <w:lvlJc w:val="left"/>
      <w:pPr>
        <w:ind w:left="40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6AE6EA4">
      <w:start w:val="1"/>
      <w:numFmt w:val="lowerRoman"/>
      <w:lvlText w:val="%6"/>
      <w:lvlJc w:val="left"/>
      <w:pPr>
        <w:ind w:left="48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A36B932">
      <w:start w:val="1"/>
      <w:numFmt w:val="decimal"/>
      <w:lvlText w:val="%7"/>
      <w:lvlJc w:val="left"/>
      <w:pPr>
        <w:ind w:left="55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28A296">
      <w:start w:val="1"/>
      <w:numFmt w:val="lowerLetter"/>
      <w:lvlText w:val="%8"/>
      <w:lvlJc w:val="left"/>
      <w:pPr>
        <w:ind w:left="62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240997C">
      <w:start w:val="1"/>
      <w:numFmt w:val="lowerRoman"/>
      <w:lvlText w:val="%9"/>
      <w:lvlJc w:val="left"/>
      <w:pPr>
        <w:ind w:left="69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7">
    <w:nsid w:val="4A584390"/>
    <w:multiLevelType w:val="hybridMultilevel"/>
    <w:tmpl w:val="0C8A66F2"/>
    <w:lvl w:ilvl="0" w:tplc="F320A0AE">
      <w:start w:val="265"/>
      <w:numFmt w:val="decimal"/>
      <w:lvlText w:val="%1"/>
      <w:lvlJc w:val="left"/>
      <w:pPr>
        <w:ind w:left="1512"/>
      </w:pPr>
      <w:rPr>
        <w:rFonts w:ascii="Times New Roman" w:eastAsia="Times New Roman" w:hAnsi="Times New Roman" w:cs="Times New Roman"/>
        <w:b w:val="0"/>
        <w:i w:val="0"/>
        <w:strike w:val="0"/>
        <w:dstrike w:val="0"/>
        <w:color w:val="FFFFFF" w:themeColor="background1"/>
        <w:sz w:val="10"/>
        <w:szCs w:val="10"/>
        <w:u w:val="none" w:color="000000"/>
        <w:bdr w:val="none" w:sz="0" w:space="0" w:color="auto"/>
        <w:shd w:val="clear" w:color="auto" w:fill="auto"/>
        <w:vertAlign w:val="baseline"/>
      </w:rPr>
    </w:lvl>
    <w:lvl w:ilvl="1" w:tplc="49603D9E">
      <w:start w:val="1"/>
      <w:numFmt w:val="lowerLetter"/>
      <w:lvlText w:val="%2"/>
      <w:lvlJc w:val="left"/>
      <w:pPr>
        <w:ind w:left="23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ACC28EA">
      <w:start w:val="1"/>
      <w:numFmt w:val="lowerRoman"/>
      <w:lvlText w:val="%3"/>
      <w:lvlJc w:val="left"/>
      <w:pPr>
        <w:ind w:left="30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32E2208">
      <w:start w:val="1"/>
      <w:numFmt w:val="decimal"/>
      <w:lvlText w:val="%4"/>
      <w:lvlJc w:val="left"/>
      <w:pPr>
        <w:ind w:left="38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2E86BE0">
      <w:start w:val="1"/>
      <w:numFmt w:val="lowerLetter"/>
      <w:lvlText w:val="%5"/>
      <w:lvlJc w:val="left"/>
      <w:pPr>
        <w:ind w:left="45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8BA48F6">
      <w:start w:val="1"/>
      <w:numFmt w:val="lowerRoman"/>
      <w:lvlText w:val="%6"/>
      <w:lvlJc w:val="left"/>
      <w:pPr>
        <w:ind w:left="52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2A4D106">
      <w:start w:val="1"/>
      <w:numFmt w:val="decimal"/>
      <w:lvlText w:val="%7"/>
      <w:lvlJc w:val="left"/>
      <w:pPr>
        <w:ind w:left="59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3DC6CC0">
      <w:start w:val="1"/>
      <w:numFmt w:val="lowerLetter"/>
      <w:lvlText w:val="%8"/>
      <w:lvlJc w:val="left"/>
      <w:pPr>
        <w:ind w:left="66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5F6B91C">
      <w:start w:val="1"/>
      <w:numFmt w:val="lowerRoman"/>
      <w:lvlText w:val="%9"/>
      <w:lvlJc w:val="left"/>
      <w:pPr>
        <w:ind w:left="74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8">
    <w:nsid w:val="4E2C2B3F"/>
    <w:multiLevelType w:val="hybridMultilevel"/>
    <w:tmpl w:val="9F305FFA"/>
    <w:lvl w:ilvl="0" w:tplc="9350FF58">
      <w:start w:val="1"/>
      <w:numFmt w:val="decimal"/>
      <w:lvlText w:val="%1."/>
      <w:lvlJc w:val="left"/>
      <w:pPr>
        <w:ind w:left="16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3C22B5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587C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298BB8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62D0F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5D84E9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152C78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3B66F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74066A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nsid w:val="50A91E74"/>
    <w:multiLevelType w:val="hybridMultilevel"/>
    <w:tmpl w:val="06CC081A"/>
    <w:lvl w:ilvl="0" w:tplc="209ED466">
      <w:start w:val="1"/>
      <w:numFmt w:val="lowerLetter"/>
      <w:lvlText w:val="%1)"/>
      <w:lvlJc w:val="left"/>
      <w:pPr>
        <w:ind w:left="1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8A4ABCC">
      <w:start w:val="1"/>
      <w:numFmt w:val="lowerLetter"/>
      <w:lvlText w:val="%2"/>
      <w:lvlJc w:val="left"/>
      <w:pPr>
        <w:ind w:left="24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B18BBD4">
      <w:start w:val="1"/>
      <w:numFmt w:val="lowerRoman"/>
      <w:lvlText w:val="%3"/>
      <w:lvlJc w:val="left"/>
      <w:pPr>
        <w:ind w:left="32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B5AF304">
      <w:start w:val="1"/>
      <w:numFmt w:val="decimal"/>
      <w:lvlText w:val="%4"/>
      <w:lvlJc w:val="left"/>
      <w:pPr>
        <w:ind w:left="39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DAC386A">
      <w:start w:val="1"/>
      <w:numFmt w:val="lowerLetter"/>
      <w:lvlText w:val="%5"/>
      <w:lvlJc w:val="left"/>
      <w:pPr>
        <w:ind w:left="46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42C6CF6">
      <w:start w:val="1"/>
      <w:numFmt w:val="lowerRoman"/>
      <w:lvlText w:val="%6"/>
      <w:lvlJc w:val="left"/>
      <w:pPr>
        <w:ind w:left="53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646FC18">
      <w:start w:val="1"/>
      <w:numFmt w:val="decimal"/>
      <w:lvlText w:val="%7"/>
      <w:lvlJc w:val="left"/>
      <w:pPr>
        <w:ind w:left="60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366B218">
      <w:start w:val="1"/>
      <w:numFmt w:val="lowerLetter"/>
      <w:lvlText w:val="%8"/>
      <w:lvlJc w:val="left"/>
      <w:pPr>
        <w:ind w:left="68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1ECAF8E">
      <w:start w:val="1"/>
      <w:numFmt w:val="lowerRoman"/>
      <w:lvlText w:val="%9"/>
      <w:lvlJc w:val="left"/>
      <w:pPr>
        <w:ind w:left="75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nsid w:val="58132837"/>
    <w:multiLevelType w:val="hybridMultilevel"/>
    <w:tmpl w:val="16B442E6"/>
    <w:lvl w:ilvl="0" w:tplc="E6CA66BA">
      <w:start w:val="1"/>
      <w:numFmt w:val="decimal"/>
      <w:lvlText w:val="%1."/>
      <w:lvlJc w:val="left"/>
      <w:pPr>
        <w:ind w:left="14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366E266">
      <w:start w:val="1"/>
      <w:numFmt w:val="lowerLetter"/>
      <w:lvlText w:val="%2"/>
      <w:lvlJc w:val="left"/>
      <w:pPr>
        <w:ind w:left="21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7E88DE4">
      <w:start w:val="1"/>
      <w:numFmt w:val="lowerRoman"/>
      <w:lvlText w:val="%3"/>
      <w:lvlJc w:val="left"/>
      <w:pPr>
        <w:ind w:left="28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A02F316">
      <w:start w:val="1"/>
      <w:numFmt w:val="decimal"/>
      <w:lvlText w:val="%4"/>
      <w:lvlJc w:val="left"/>
      <w:pPr>
        <w:ind w:left="35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A127328">
      <w:start w:val="1"/>
      <w:numFmt w:val="lowerLetter"/>
      <w:lvlText w:val="%5"/>
      <w:lvlJc w:val="left"/>
      <w:pPr>
        <w:ind w:left="43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19084A0">
      <w:start w:val="1"/>
      <w:numFmt w:val="lowerRoman"/>
      <w:lvlText w:val="%6"/>
      <w:lvlJc w:val="left"/>
      <w:pPr>
        <w:ind w:left="50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FF223F6">
      <w:start w:val="1"/>
      <w:numFmt w:val="decimal"/>
      <w:lvlText w:val="%7"/>
      <w:lvlJc w:val="left"/>
      <w:pPr>
        <w:ind w:left="57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F20746C">
      <w:start w:val="1"/>
      <w:numFmt w:val="lowerLetter"/>
      <w:lvlText w:val="%8"/>
      <w:lvlJc w:val="left"/>
      <w:pPr>
        <w:ind w:left="64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B800CBA">
      <w:start w:val="1"/>
      <w:numFmt w:val="lowerRoman"/>
      <w:lvlText w:val="%9"/>
      <w:lvlJc w:val="left"/>
      <w:pPr>
        <w:ind w:left="71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nsid w:val="5CC54B7F"/>
    <w:multiLevelType w:val="hybridMultilevel"/>
    <w:tmpl w:val="F61AF7EE"/>
    <w:lvl w:ilvl="0" w:tplc="2FF8C774">
      <w:start w:val="1"/>
      <w:numFmt w:val="decimal"/>
      <w:lvlText w:val="%1."/>
      <w:lvlJc w:val="left"/>
      <w:pPr>
        <w:ind w:left="16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34CE5BA">
      <w:start w:val="1"/>
      <w:numFmt w:val="lowerLetter"/>
      <w:lvlText w:val="%2"/>
      <w:lvlJc w:val="left"/>
      <w:pPr>
        <w:ind w:left="21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96A631A">
      <w:start w:val="1"/>
      <w:numFmt w:val="lowerRoman"/>
      <w:lvlText w:val="%3"/>
      <w:lvlJc w:val="left"/>
      <w:pPr>
        <w:ind w:left="28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A445510">
      <w:start w:val="1"/>
      <w:numFmt w:val="decimal"/>
      <w:lvlText w:val="%4"/>
      <w:lvlJc w:val="left"/>
      <w:pPr>
        <w:ind w:left="35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C5CB0AA">
      <w:start w:val="1"/>
      <w:numFmt w:val="lowerLetter"/>
      <w:lvlText w:val="%5"/>
      <w:lvlJc w:val="left"/>
      <w:pPr>
        <w:ind w:left="42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B9E0548">
      <w:start w:val="1"/>
      <w:numFmt w:val="lowerRoman"/>
      <w:lvlText w:val="%6"/>
      <w:lvlJc w:val="left"/>
      <w:pPr>
        <w:ind w:left="49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EC885C8">
      <w:start w:val="1"/>
      <w:numFmt w:val="decimal"/>
      <w:lvlText w:val="%7"/>
      <w:lvlJc w:val="left"/>
      <w:pPr>
        <w:ind w:left="57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466C4AA">
      <w:start w:val="1"/>
      <w:numFmt w:val="lowerLetter"/>
      <w:lvlText w:val="%8"/>
      <w:lvlJc w:val="left"/>
      <w:pPr>
        <w:ind w:left="64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E40774A">
      <w:start w:val="1"/>
      <w:numFmt w:val="lowerRoman"/>
      <w:lvlText w:val="%9"/>
      <w:lvlJc w:val="left"/>
      <w:pPr>
        <w:ind w:left="71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2">
    <w:nsid w:val="633D6549"/>
    <w:multiLevelType w:val="hybridMultilevel"/>
    <w:tmpl w:val="ECF055B6"/>
    <w:lvl w:ilvl="0" w:tplc="A7BAF650">
      <w:start w:val="74"/>
      <w:numFmt w:val="decimal"/>
      <w:lvlText w:val="%1"/>
      <w:lvlJc w:val="left"/>
      <w:pPr>
        <w:ind w:left="14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1" w:tplc="0B0C3FC4">
      <w:start w:val="1"/>
      <w:numFmt w:val="lowerLetter"/>
      <w:lvlText w:val="%2"/>
      <w:lvlJc w:val="left"/>
      <w:pPr>
        <w:ind w:left="20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2" w:tplc="AEAA2554">
      <w:start w:val="1"/>
      <w:numFmt w:val="lowerRoman"/>
      <w:lvlText w:val="%3"/>
      <w:lvlJc w:val="left"/>
      <w:pPr>
        <w:ind w:left="27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3" w:tplc="6A78E318">
      <w:start w:val="1"/>
      <w:numFmt w:val="decimal"/>
      <w:lvlText w:val="%4"/>
      <w:lvlJc w:val="left"/>
      <w:pPr>
        <w:ind w:left="35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4" w:tplc="A45C0FFE">
      <w:start w:val="1"/>
      <w:numFmt w:val="lowerLetter"/>
      <w:lvlText w:val="%5"/>
      <w:lvlJc w:val="left"/>
      <w:pPr>
        <w:ind w:left="42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5" w:tplc="FFD4354A">
      <w:start w:val="1"/>
      <w:numFmt w:val="lowerRoman"/>
      <w:lvlText w:val="%6"/>
      <w:lvlJc w:val="left"/>
      <w:pPr>
        <w:ind w:left="49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6" w:tplc="A5DED0BC">
      <w:start w:val="1"/>
      <w:numFmt w:val="decimal"/>
      <w:lvlText w:val="%7"/>
      <w:lvlJc w:val="left"/>
      <w:pPr>
        <w:ind w:left="56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7" w:tplc="769CB202">
      <w:start w:val="1"/>
      <w:numFmt w:val="lowerLetter"/>
      <w:lvlText w:val="%8"/>
      <w:lvlJc w:val="left"/>
      <w:pPr>
        <w:ind w:left="63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8" w:tplc="63CC176E">
      <w:start w:val="1"/>
      <w:numFmt w:val="lowerRoman"/>
      <w:lvlText w:val="%9"/>
      <w:lvlJc w:val="left"/>
      <w:pPr>
        <w:ind w:left="71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abstractNum>
  <w:abstractNum w:abstractNumId="33">
    <w:nsid w:val="65FC2EF4"/>
    <w:multiLevelType w:val="hybridMultilevel"/>
    <w:tmpl w:val="EC925926"/>
    <w:lvl w:ilvl="0" w:tplc="820477AE">
      <w:start w:val="1"/>
      <w:numFmt w:val="decimal"/>
      <w:lvlText w:val="%1)"/>
      <w:lvlJc w:val="left"/>
      <w:pPr>
        <w:ind w:left="9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934C8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F07C6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15417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A06A6A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18C854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EF23D3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7AE4CD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1829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nsid w:val="68E556DB"/>
    <w:multiLevelType w:val="hybridMultilevel"/>
    <w:tmpl w:val="3FB21CEA"/>
    <w:lvl w:ilvl="0" w:tplc="76925122">
      <w:start w:val="7"/>
      <w:numFmt w:val="decimal"/>
      <w:lvlText w:val="%1."/>
      <w:lvlJc w:val="left"/>
      <w:pPr>
        <w:ind w:left="11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E7C4CEA2">
      <w:start w:val="1"/>
      <w:numFmt w:val="lowerLetter"/>
      <w:lvlText w:val="%2"/>
      <w:lvlJc w:val="left"/>
      <w:pPr>
        <w:ind w:left="193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004E38E">
      <w:start w:val="1"/>
      <w:numFmt w:val="lowerRoman"/>
      <w:lvlText w:val="%3"/>
      <w:lvlJc w:val="left"/>
      <w:pPr>
        <w:ind w:left="265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DB47A76">
      <w:start w:val="1"/>
      <w:numFmt w:val="decimal"/>
      <w:lvlText w:val="%4"/>
      <w:lvlJc w:val="left"/>
      <w:pPr>
        <w:ind w:left="337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2B27CD0">
      <w:start w:val="1"/>
      <w:numFmt w:val="lowerLetter"/>
      <w:lvlText w:val="%5"/>
      <w:lvlJc w:val="left"/>
      <w:pPr>
        <w:ind w:left="409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ACEBCCC">
      <w:start w:val="1"/>
      <w:numFmt w:val="lowerRoman"/>
      <w:lvlText w:val="%6"/>
      <w:lvlJc w:val="left"/>
      <w:pPr>
        <w:ind w:left="481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53CBC1A">
      <w:start w:val="1"/>
      <w:numFmt w:val="decimal"/>
      <w:lvlText w:val="%7"/>
      <w:lvlJc w:val="left"/>
      <w:pPr>
        <w:ind w:left="553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29CBF6E">
      <w:start w:val="1"/>
      <w:numFmt w:val="lowerLetter"/>
      <w:lvlText w:val="%8"/>
      <w:lvlJc w:val="left"/>
      <w:pPr>
        <w:ind w:left="625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3B03AAA">
      <w:start w:val="1"/>
      <w:numFmt w:val="lowerRoman"/>
      <w:lvlText w:val="%9"/>
      <w:lvlJc w:val="left"/>
      <w:pPr>
        <w:ind w:left="697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5">
    <w:nsid w:val="6BD46053"/>
    <w:multiLevelType w:val="hybridMultilevel"/>
    <w:tmpl w:val="2FE01BC4"/>
    <w:lvl w:ilvl="0" w:tplc="8E2C9630">
      <w:start w:val="1"/>
      <w:numFmt w:val="decimal"/>
      <w:lvlText w:val="%1."/>
      <w:lvlJc w:val="left"/>
      <w:pPr>
        <w:ind w:left="12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BFCA10C">
      <w:start w:val="1"/>
      <w:numFmt w:val="lowerLetter"/>
      <w:lvlText w:val="%2"/>
      <w:lvlJc w:val="left"/>
      <w:pPr>
        <w:ind w:left="13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BF84AFE">
      <w:start w:val="1"/>
      <w:numFmt w:val="lowerRoman"/>
      <w:lvlText w:val="%3"/>
      <w:lvlJc w:val="left"/>
      <w:pPr>
        <w:ind w:left="20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4C44428">
      <w:start w:val="1"/>
      <w:numFmt w:val="decimal"/>
      <w:lvlText w:val="%4"/>
      <w:lvlJc w:val="left"/>
      <w:pPr>
        <w:ind w:left="27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EF4A886">
      <w:start w:val="1"/>
      <w:numFmt w:val="lowerLetter"/>
      <w:lvlText w:val="%5"/>
      <w:lvlJc w:val="left"/>
      <w:pPr>
        <w:ind w:left="34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4A82A54">
      <w:start w:val="1"/>
      <w:numFmt w:val="lowerRoman"/>
      <w:lvlText w:val="%6"/>
      <w:lvlJc w:val="left"/>
      <w:pPr>
        <w:ind w:left="41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3ECF2E0">
      <w:start w:val="1"/>
      <w:numFmt w:val="decimal"/>
      <w:lvlText w:val="%7"/>
      <w:lvlJc w:val="left"/>
      <w:pPr>
        <w:ind w:left="49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AA7FD8">
      <w:start w:val="1"/>
      <w:numFmt w:val="lowerLetter"/>
      <w:lvlText w:val="%8"/>
      <w:lvlJc w:val="left"/>
      <w:pPr>
        <w:ind w:left="56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408E0A2">
      <w:start w:val="1"/>
      <w:numFmt w:val="lowerRoman"/>
      <w:lvlText w:val="%9"/>
      <w:lvlJc w:val="left"/>
      <w:pPr>
        <w:ind w:left="63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6">
    <w:nsid w:val="6CEF5226"/>
    <w:multiLevelType w:val="hybridMultilevel"/>
    <w:tmpl w:val="6C72AC60"/>
    <w:lvl w:ilvl="0" w:tplc="8B360C90">
      <w:start w:val="1"/>
      <w:numFmt w:val="lowerLetter"/>
      <w:lvlText w:val="%1)"/>
      <w:lvlJc w:val="left"/>
      <w:pPr>
        <w:ind w:left="14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6CC7C1E">
      <w:start w:val="1"/>
      <w:numFmt w:val="lowerLetter"/>
      <w:lvlText w:val="%2"/>
      <w:lvlJc w:val="left"/>
      <w:pPr>
        <w:ind w:left="21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74CBA64">
      <w:start w:val="1"/>
      <w:numFmt w:val="lowerRoman"/>
      <w:lvlText w:val="%3"/>
      <w:lvlJc w:val="left"/>
      <w:pPr>
        <w:ind w:left="28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072F36E">
      <w:start w:val="1"/>
      <w:numFmt w:val="decimal"/>
      <w:lvlText w:val="%4"/>
      <w:lvlJc w:val="left"/>
      <w:pPr>
        <w:ind w:left="35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87AA7BE">
      <w:start w:val="1"/>
      <w:numFmt w:val="lowerLetter"/>
      <w:lvlText w:val="%5"/>
      <w:lvlJc w:val="left"/>
      <w:pPr>
        <w:ind w:left="43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418898A">
      <w:start w:val="1"/>
      <w:numFmt w:val="lowerRoman"/>
      <w:lvlText w:val="%6"/>
      <w:lvlJc w:val="left"/>
      <w:pPr>
        <w:ind w:left="50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A62A5E8">
      <w:start w:val="1"/>
      <w:numFmt w:val="decimal"/>
      <w:lvlText w:val="%7"/>
      <w:lvlJc w:val="left"/>
      <w:pPr>
        <w:ind w:left="57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5E4A21C">
      <w:start w:val="1"/>
      <w:numFmt w:val="lowerLetter"/>
      <w:lvlText w:val="%8"/>
      <w:lvlJc w:val="left"/>
      <w:pPr>
        <w:ind w:left="64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1F2C66A">
      <w:start w:val="1"/>
      <w:numFmt w:val="lowerRoman"/>
      <w:lvlText w:val="%9"/>
      <w:lvlJc w:val="left"/>
      <w:pPr>
        <w:ind w:left="71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7">
    <w:nsid w:val="74FA5F81"/>
    <w:multiLevelType w:val="hybridMultilevel"/>
    <w:tmpl w:val="51882D56"/>
    <w:lvl w:ilvl="0" w:tplc="A2205758">
      <w:start w:val="53"/>
      <w:numFmt w:val="decimal"/>
      <w:lvlText w:val="%1"/>
      <w:lvlJc w:val="left"/>
      <w:pPr>
        <w:ind w:left="10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superscript"/>
      </w:rPr>
    </w:lvl>
    <w:lvl w:ilvl="1" w:tplc="45B46862">
      <w:start w:val="1"/>
      <w:numFmt w:val="decimal"/>
      <w:lvlText w:val="%2."/>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EA4CD34">
      <w:start w:val="7"/>
      <w:numFmt w:val="decimal"/>
      <w:lvlText w:val="%3."/>
      <w:lvlJc w:val="left"/>
      <w:pPr>
        <w:ind w:left="22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CDE8472">
      <w:start w:val="1"/>
      <w:numFmt w:val="decimal"/>
      <w:lvlText w:val="%4"/>
      <w:lvlJc w:val="left"/>
      <w:pPr>
        <w:ind w:left="27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BD0BB3C">
      <w:start w:val="1"/>
      <w:numFmt w:val="lowerLetter"/>
      <w:lvlText w:val="%5"/>
      <w:lvlJc w:val="left"/>
      <w:pPr>
        <w:ind w:left="34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9AA80A2">
      <w:start w:val="1"/>
      <w:numFmt w:val="lowerRoman"/>
      <w:lvlText w:val="%6"/>
      <w:lvlJc w:val="left"/>
      <w:pPr>
        <w:ind w:left="42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B38BFCE">
      <w:start w:val="1"/>
      <w:numFmt w:val="decimal"/>
      <w:lvlText w:val="%7"/>
      <w:lvlJc w:val="left"/>
      <w:pPr>
        <w:ind w:left="49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7C6A8D2">
      <w:start w:val="1"/>
      <w:numFmt w:val="lowerLetter"/>
      <w:lvlText w:val="%8"/>
      <w:lvlJc w:val="left"/>
      <w:pPr>
        <w:ind w:left="56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6F431BA">
      <w:start w:val="1"/>
      <w:numFmt w:val="lowerRoman"/>
      <w:lvlText w:val="%9"/>
      <w:lvlJc w:val="left"/>
      <w:pPr>
        <w:ind w:left="63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8">
    <w:nsid w:val="784B34C8"/>
    <w:multiLevelType w:val="hybridMultilevel"/>
    <w:tmpl w:val="18C82C5E"/>
    <w:lvl w:ilvl="0" w:tplc="67127456">
      <w:start w:val="1"/>
      <w:numFmt w:val="decimal"/>
      <w:lvlText w:val="%1."/>
      <w:lvlJc w:val="left"/>
      <w:pPr>
        <w:ind w:left="1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FDED49E">
      <w:start w:val="1"/>
      <w:numFmt w:val="lowerLetter"/>
      <w:lvlText w:val="%2"/>
      <w:lvlJc w:val="left"/>
      <w:pPr>
        <w:ind w:left="1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067560">
      <w:start w:val="1"/>
      <w:numFmt w:val="lowerRoman"/>
      <w:lvlText w:val="%3"/>
      <w:lvlJc w:val="left"/>
      <w:pPr>
        <w:ind w:left="2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C44238">
      <w:start w:val="1"/>
      <w:numFmt w:val="decimal"/>
      <w:lvlText w:val="%4"/>
      <w:lvlJc w:val="left"/>
      <w:pPr>
        <w:ind w:left="3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428090">
      <w:start w:val="1"/>
      <w:numFmt w:val="lowerLetter"/>
      <w:lvlText w:val="%5"/>
      <w:lvlJc w:val="left"/>
      <w:pPr>
        <w:ind w:left="4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EF6A6CC">
      <w:start w:val="1"/>
      <w:numFmt w:val="lowerRoman"/>
      <w:lvlText w:val="%6"/>
      <w:lvlJc w:val="left"/>
      <w:pPr>
        <w:ind w:left="4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5E109E">
      <w:start w:val="1"/>
      <w:numFmt w:val="decimal"/>
      <w:lvlText w:val="%7"/>
      <w:lvlJc w:val="left"/>
      <w:pPr>
        <w:ind w:left="5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710F43C">
      <w:start w:val="1"/>
      <w:numFmt w:val="lowerLetter"/>
      <w:lvlText w:val="%8"/>
      <w:lvlJc w:val="left"/>
      <w:pPr>
        <w:ind w:left="62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B18BBA4">
      <w:start w:val="1"/>
      <w:numFmt w:val="lowerRoman"/>
      <w:lvlText w:val="%9"/>
      <w:lvlJc w:val="left"/>
      <w:pPr>
        <w:ind w:left="70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nsid w:val="78A93472"/>
    <w:multiLevelType w:val="hybridMultilevel"/>
    <w:tmpl w:val="8526A980"/>
    <w:lvl w:ilvl="0" w:tplc="2438F3DA">
      <w:start w:val="8"/>
      <w:numFmt w:val="decimal"/>
      <w:lvlText w:val="%1."/>
      <w:lvlJc w:val="left"/>
      <w:pPr>
        <w:ind w:left="1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D260E26">
      <w:start w:val="1"/>
      <w:numFmt w:val="lowerLetter"/>
      <w:lvlText w:val="%2"/>
      <w:lvlJc w:val="left"/>
      <w:pPr>
        <w:ind w:left="20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08CDDE">
      <w:start w:val="1"/>
      <w:numFmt w:val="lowerRoman"/>
      <w:lvlText w:val="%3"/>
      <w:lvlJc w:val="left"/>
      <w:pPr>
        <w:ind w:left="2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C76228E">
      <w:start w:val="1"/>
      <w:numFmt w:val="decimal"/>
      <w:lvlText w:val="%4"/>
      <w:lvlJc w:val="left"/>
      <w:pPr>
        <w:ind w:left="3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8B258F8">
      <w:start w:val="1"/>
      <w:numFmt w:val="lowerLetter"/>
      <w:lvlText w:val="%5"/>
      <w:lvlJc w:val="left"/>
      <w:pPr>
        <w:ind w:left="4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DC140E">
      <w:start w:val="1"/>
      <w:numFmt w:val="lowerRoman"/>
      <w:lvlText w:val="%6"/>
      <w:lvlJc w:val="left"/>
      <w:pPr>
        <w:ind w:left="4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15EBD12">
      <w:start w:val="1"/>
      <w:numFmt w:val="decimal"/>
      <w:lvlText w:val="%7"/>
      <w:lvlJc w:val="left"/>
      <w:pPr>
        <w:ind w:left="5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1CEC3E">
      <w:start w:val="1"/>
      <w:numFmt w:val="lowerLetter"/>
      <w:lvlText w:val="%8"/>
      <w:lvlJc w:val="left"/>
      <w:pPr>
        <w:ind w:left="6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54503C">
      <w:start w:val="1"/>
      <w:numFmt w:val="lowerRoman"/>
      <w:lvlText w:val="%9"/>
      <w:lvlJc w:val="left"/>
      <w:pPr>
        <w:ind w:left="7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nsid w:val="78C27FCD"/>
    <w:multiLevelType w:val="hybridMultilevel"/>
    <w:tmpl w:val="53D2077E"/>
    <w:lvl w:ilvl="0" w:tplc="B7689ABA">
      <w:start w:val="1"/>
      <w:numFmt w:val="decimal"/>
      <w:lvlText w:val="%1."/>
      <w:lvlJc w:val="left"/>
      <w:pPr>
        <w:ind w:left="16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2A831A2">
      <w:start w:val="1"/>
      <w:numFmt w:val="lowerLetter"/>
      <w:lvlText w:val="%2"/>
      <w:lvlJc w:val="left"/>
      <w:pPr>
        <w:ind w:left="2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9287EF8">
      <w:start w:val="1"/>
      <w:numFmt w:val="lowerRoman"/>
      <w:lvlText w:val="%3"/>
      <w:lvlJc w:val="left"/>
      <w:pPr>
        <w:ind w:left="30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AEC1878">
      <w:start w:val="1"/>
      <w:numFmt w:val="decimal"/>
      <w:lvlText w:val="%4"/>
      <w:lvlJc w:val="left"/>
      <w:pPr>
        <w:ind w:left="37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DD4D1EE">
      <w:start w:val="1"/>
      <w:numFmt w:val="lowerLetter"/>
      <w:lvlText w:val="%5"/>
      <w:lvlJc w:val="left"/>
      <w:pPr>
        <w:ind w:left="44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DBA26F2">
      <w:start w:val="1"/>
      <w:numFmt w:val="lowerRoman"/>
      <w:lvlText w:val="%6"/>
      <w:lvlJc w:val="left"/>
      <w:pPr>
        <w:ind w:left="52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A526E00">
      <w:start w:val="1"/>
      <w:numFmt w:val="decimal"/>
      <w:lvlText w:val="%7"/>
      <w:lvlJc w:val="left"/>
      <w:pPr>
        <w:ind w:left="59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2AEC512">
      <w:start w:val="1"/>
      <w:numFmt w:val="lowerLetter"/>
      <w:lvlText w:val="%8"/>
      <w:lvlJc w:val="left"/>
      <w:pPr>
        <w:ind w:left="66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BB67AC4">
      <w:start w:val="1"/>
      <w:numFmt w:val="lowerRoman"/>
      <w:lvlText w:val="%9"/>
      <w:lvlJc w:val="left"/>
      <w:pPr>
        <w:ind w:left="7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24"/>
  </w:num>
  <w:num w:numId="2">
    <w:abstractNumId w:val="25"/>
  </w:num>
  <w:num w:numId="3">
    <w:abstractNumId w:val="20"/>
  </w:num>
  <w:num w:numId="4">
    <w:abstractNumId w:val="40"/>
  </w:num>
  <w:num w:numId="5">
    <w:abstractNumId w:val="36"/>
  </w:num>
  <w:num w:numId="6">
    <w:abstractNumId w:val="16"/>
  </w:num>
  <w:num w:numId="7">
    <w:abstractNumId w:val="37"/>
  </w:num>
  <w:num w:numId="8">
    <w:abstractNumId w:val="30"/>
  </w:num>
  <w:num w:numId="9">
    <w:abstractNumId w:val="23"/>
  </w:num>
  <w:num w:numId="10">
    <w:abstractNumId w:val="32"/>
  </w:num>
  <w:num w:numId="11">
    <w:abstractNumId w:val="15"/>
  </w:num>
  <w:num w:numId="12">
    <w:abstractNumId w:val="3"/>
  </w:num>
  <w:num w:numId="13">
    <w:abstractNumId w:val="29"/>
  </w:num>
  <w:num w:numId="14">
    <w:abstractNumId w:val="21"/>
  </w:num>
  <w:num w:numId="15">
    <w:abstractNumId w:val="6"/>
  </w:num>
  <w:num w:numId="16">
    <w:abstractNumId w:val="1"/>
  </w:num>
  <w:num w:numId="17">
    <w:abstractNumId w:val="13"/>
  </w:num>
  <w:num w:numId="18">
    <w:abstractNumId w:val="22"/>
  </w:num>
  <w:num w:numId="19">
    <w:abstractNumId w:val="4"/>
  </w:num>
  <w:num w:numId="20">
    <w:abstractNumId w:val="26"/>
  </w:num>
  <w:num w:numId="21">
    <w:abstractNumId w:val="34"/>
  </w:num>
  <w:num w:numId="22">
    <w:abstractNumId w:val="2"/>
  </w:num>
  <w:num w:numId="23">
    <w:abstractNumId w:val="31"/>
  </w:num>
  <w:num w:numId="24">
    <w:abstractNumId w:val="35"/>
  </w:num>
  <w:num w:numId="25">
    <w:abstractNumId w:val="19"/>
  </w:num>
  <w:num w:numId="26">
    <w:abstractNumId w:val="11"/>
  </w:num>
  <w:num w:numId="27">
    <w:abstractNumId w:val="14"/>
  </w:num>
  <w:num w:numId="28">
    <w:abstractNumId w:val="10"/>
  </w:num>
  <w:num w:numId="29">
    <w:abstractNumId w:val="27"/>
  </w:num>
  <w:num w:numId="30">
    <w:abstractNumId w:val="17"/>
  </w:num>
  <w:num w:numId="31">
    <w:abstractNumId w:val="18"/>
  </w:num>
  <w:num w:numId="32">
    <w:abstractNumId w:val="33"/>
  </w:num>
  <w:num w:numId="33">
    <w:abstractNumId w:val="9"/>
  </w:num>
  <w:num w:numId="34">
    <w:abstractNumId w:val="38"/>
  </w:num>
  <w:num w:numId="35">
    <w:abstractNumId w:val="39"/>
  </w:num>
  <w:num w:numId="36">
    <w:abstractNumId w:val="28"/>
  </w:num>
  <w:num w:numId="37">
    <w:abstractNumId w:val="8"/>
  </w:num>
  <w:num w:numId="38">
    <w:abstractNumId w:val="12"/>
  </w:num>
  <w:num w:numId="39">
    <w:abstractNumId w:val="5"/>
  </w:num>
  <w:num w:numId="40">
    <w:abstractNumId w:val="0"/>
  </w:num>
  <w:num w:numId="41">
    <w:abstractNumId w:val="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878"/>
    <w:rsid w:val="00020B2D"/>
    <w:rsid w:val="00041184"/>
    <w:rsid w:val="00057428"/>
    <w:rsid w:val="0008600D"/>
    <w:rsid w:val="000C59B3"/>
    <w:rsid w:val="000E485B"/>
    <w:rsid w:val="00104438"/>
    <w:rsid w:val="001318A0"/>
    <w:rsid w:val="001734C4"/>
    <w:rsid w:val="001C5E31"/>
    <w:rsid w:val="00264D17"/>
    <w:rsid w:val="002B0DBD"/>
    <w:rsid w:val="003D2EAE"/>
    <w:rsid w:val="003D3728"/>
    <w:rsid w:val="004525BF"/>
    <w:rsid w:val="004B3A00"/>
    <w:rsid w:val="004D1CA4"/>
    <w:rsid w:val="004F025A"/>
    <w:rsid w:val="004F667C"/>
    <w:rsid w:val="0050482E"/>
    <w:rsid w:val="00544949"/>
    <w:rsid w:val="00593A53"/>
    <w:rsid w:val="005B6AE9"/>
    <w:rsid w:val="005C5B18"/>
    <w:rsid w:val="00611878"/>
    <w:rsid w:val="00634A7C"/>
    <w:rsid w:val="00635E60"/>
    <w:rsid w:val="0065399F"/>
    <w:rsid w:val="00672C55"/>
    <w:rsid w:val="006B4DEE"/>
    <w:rsid w:val="006F011E"/>
    <w:rsid w:val="0072502A"/>
    <w:rsid w:val="007418B3"/>
    <w:rsid w:val="00791545"/>
    <w:rsid w:val="007C08AB"/>
    <w:rsid w:val="007F53E3"/>
    <w:rsid w:val="00886D63"/>
    <w:rsid w:val="008921A3"/>
    <w:rsid w:val="008B5661"/>
    <w:rsid w:val="009248E1"/>
    <w:rsid w:val="009319E8"/>
    <w:rsid w:val="00981B1F"/>
    <w:rsid w:val="00A12F02"/>
    <w:rsid w:val="00A34177"/>
    <w:rsid w:val="00A515CF"/>
    <w:rsid w:val="00A647D1"/>
    <w:rsid w:val="00B00E4B"/>
    <w:rsid w:val="00B45DA4"/>
    <w:rsid w:val="00B72269"/>
    <w:rsid w:val="00BB3E32"/>
    <w:rsid w:val="00CB2F28"/>
    <w:rsid w:val="00D249D7"/>
    <w:rsid w:val="00D33219"/>
    <w:rsid w:val="00D555BD"/>
    <w:rsid w:val="00D6505E"/>
    <w:rsid w:val="00D77858"/>
    <w:rsid w:val="00D806E2"/>
    <w:rsid w:val="00D92751"/>
    <w:rsid w:val="00D96BB8"/>
    <w:rsid w:val="00DE767E"/>
    <w:rsid w:val="00F70611"/>
    <w:rsid w:val="00FF58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5" w:line="247" w:lineRule="auto"/>
      <w:ind w:left="1429" w:right="715" w:hanging="10"/>
      <w:jc w:val="both"/>
    </w:pPr>
    <w:rPr>
      <w:rFonts w:ascii="Times New Roman" w:eastAsia="Times New Roman" w:hAnsi="Times New Roman" w:cs="Times New Roman"/>
      <w:color w:val="000000"/>
    </w:rPr>
  </w:style>
  <w:style w:type="paragraph" w:styleId="Titolo1">
    <w:name w:val="heading 1"/>
    <w:next w:val="Normale"/>
    <w:link w:val="Titolo1Carattere"/>
    <w:uiPriority w:val="9"/>
    <w:unhideWhenUsed/>
    <w:qFormat/>
    <w:pPr>
      <w:keepNext/>
      <w:keepLines/>
      <w:spacing w:after="0"/>
      <w:ind w:left="4289" w:right="1145" w:hanging="10"/>
      <w:jc w:val="right"/>
      <w:outlineLvl w:val="0"/>
    </w:pPr>
    <w:rPr>
      <w:rFonts w:ascii="Times New Roman" w:eastAsia="Times New Roman" w:hAnsi="Times New Roman" w:cs="Times New Roman"/>
      <w:i/>
      <w:color w:val="000000"/>
      <w:sz w:val="32"/>
    </w:rPr>
  </w:style>
  <w:style w:type="paragraph" w:styleId="Titolo2">
    <w:name w:val="heading 2"/>
    <w:next w:val="Normale"/>
    <w:link w:val="Titolo2Carattere"/>
    <w:uiPriority w:val="9"/>
    <w:unhideWhenUsed/>
    <w:qFormat/>
    <w:pPr>
      <w:keepNext/>
      <w:keepLines/>
      <w:spacing w:after="79"/>
      <w:ind w:left="576" w:hanging="10"/>
      <w:outlineLvl w:val="1"/>
    </w:pPr>
    <w:rPr>
      <w:rFonts w:ascii="Times New Roman" w:eastAsia="Times New Roman" w:hAnsi="Times New Roman" w:cs="Times New Roman"/>
      <w:b/>
      <w:color w:val="000000"/>
      <w:sz w:val="32"/>
    </w:rPr>
  </w:style>
  <w:style w:type="paragraph" w:styleId="Titolo3">
    <w:name w:val="heading 3"/>
    <w:next w:val="Normale"/>
    <w:link w:val="Titolo3Carattere"/>
    <w:uiPriority w:val="9"/>
    <w:unhideWhenUsed/>
    <w:qFormat/>
    <w:pPr>
      <w:keepNext/>
      <w:keepLines/>
      <w:spacing w:after="103" w:line="265" w:lineRule="auto"/>
      <w:ind w:left="937" w:hanging="10"/>
      <w:outlineLvl w:val="2"/>
    </w:pPr>
    <w:rPr>
      <w:rFonts w:ascii="Times New Roman" w:eastAsia="Times New Roman" w:hAnsi="Times New Roman" w:cs="Times New Roman"/>
      <w:b/>
      <w:color w:val="000000"/>
      <w:sz w:val="24"/>
    </w:rPr>
  </w:style>
  <w:style w:type="paragraph" w:styleId="Titolo4">
    <w:name w:val="heading 4"/>
    <w:next w:val="Normale"/>
    <w:link w:val="Titolo4Carattere"/>
    <w:uiPriority w:val="9"/>
    <w:unhideWhenUsed/>
    <w:qFormat/>
    <w:pPr>
      <w:keepNext/>
      <w:keepLines/>
      <w:spacing w:after="10" w:line="248" w:lineRule="auto"/>
      <w:ind w:left="1429" w:hanging="10"/>
      <w:outlineLvl w:val="3"/>
    </w:pPr>
    <w:rPr>
      <w:rFonts w:ascii="Times New Roman" w:eastAsia="Times New Roman" w:hAnsi="Times New Roman" w:cs="Times New Roman"/>
      <w:color w:val="000000"/>
      <w:u w:val="single"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4Carattere">
    <w:name w:val="Titolo 4 Carattere"/>
    <w:link w:val="Titolo4"/>
    <w:rPr>
      <w:rFonts w:ascii="Times New Roman" w:eastAsia="Times New Roman" w:hAnsi="Times New Roman" w:cs="Times New Roman"/>
      <w:color w:val="000000"/>
      <w:sz w:val="22"/>
      <w:u w:val="single" w:color="000000"/>
    </w:rPr>
  </w:style>
  <w:style w:type="character" w:customStyle="1" w:styleId="Titolo1Carattere">
    <w:name w:val="Titolo 1 Carattere"/>
    <w:link w:val="Titolo1"/>
    <w:rPr>
      <w:rFonts w:ascii="Times New Roman" w:eastAsia="Times New Roman" w:hAnsi="Times New Roman" w:cs="Times New Roman"/>
      <w:i/>
      <w:color w:val="000000"/>
      <w:sz w:val="32"/>
    </w:rPr>
  </w:style>
  <w:style w:type="paragraph" w:customStyle="1" w:styleId="footnotedescription">
    <w:name w:val="footnote description"/>
    <w:next w:val="Normale"/>
    <w:link w:val="footnotedescriptionChar"/>
    <w:hidden/>
    <w:pPr>
      <w:spacing w:after="0"/>
      <w:ind w:left="812"/>
    </w:pPr>
    <w:rPr>
      <w:rFonts w:ascii="Times New Roman" w:eastAsia="Times New Roman" w:hAnsi="Times New Roman" w:cs="Times New Roman"/>
      <w:color w:val="000000"/>
    </w:rPr>
  </w:style>
  <w:style w:type="character" w:customStyle="1" w:styleId="footnotedescriptionChar">
    <w:name w:val="footnote description Char"/>
    <w:link w:val="footnotedescription"/>
    <w:rPr>
      <w:rFonts w:ascii="Times New Roman" w:eastAsia="Times New Roman" w:hAnsi="Times New Roman" w:cs="Times New Roman"/>
      <w:color w:val="000000"/>
      <w:sz w:val="22"/>
    </w:rPr>
  </w:style>
  <w:style w:type="character" w:customStyle="1" w:styleId="Titolo2Carattere">
    <w:name w:val="Titolo 2 Carattere"/>
    <w:link w:val="Titolo2"/>
    <w:rPr>
      <w:rFonts w:ascii="Times New Roman" w:eastAsia="Times New Roman" w:hAnsi="Times New Roman" w:cs="Times New Roman"/>
      <w:b/>
      <w:color w:val="000000"/>
      <w:sz w:val="32"/>
    </w:rPr>
  </w:style>
  <w:style w:type="character" w:customStyle="1" w:styleId="Titolo3Carattere">
    <w:name w:val="Titolo 3 Carattere"/>
    <w:link w:val="Titolo3"/>
    <w:rPr>
      <w:rFonts w:ascii="Times New Roman" w:eastAsia="Times New Roman" w:hAnsi="Times New Roman" w:cs="Times New Roman"/>
      <w:b/>
      <w:color w:val="000000"/>
      <w:sz w:val="24"/>
    </w:rPr>
  </w:style>
  <w:style w:type="character" w:customStyle="1" w:styleId="footnotemark">
    <w:name w:val="footnote mark"/>
    <w:hidden/>
    <w:rPr>
      <w:rFonts w:ascii="Times New Roman" w:eastAsia="Times New Roman" w:hAnsi="Times New Roman" w:cs="Times New Roman"/>
      <w:color w:val="000000"/>
      <w:sz w:val="22"/>
      <w:vertAlign w:val="superscript"/>
    </w:rPr>
  </w:style>
  <w:style w:type="paragraph" w:styleId="Testonotaapidipagina">
    <w:name w:val="footnote text"/>
    <w:basedOn w:val="Normale"/>
    <w:link w:val="TestonotaapidipaginaCarattere"/>
    <w:uiPriority w:val="99"/>
    <w:unhideWhenUsed/>
    <w:rsid w:val="007F53E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F53E3"/>
    <w:rPr>
      <w:rFonts w:ascii="Times New Roman" w:eastAsia="Times New Roman" w:hAnsi="Times New Roman" w:cs="Times New Roman"/>
      <w:color w:val="000000"/>
      <w:sz w:val="20"/>
      <w:szCs w:val="20"/>
    </w:rPr>
  </w:style>
  <w:style w:type="character" w:styleId="Rimandonotaapidipagina">
    <w:name w:val="footnote reference"/>
    <w:basedOn w:val="Carpredefinitoparagrafo"/>
    <w:uiPriority w:val="99"/>
    <w:semiHidden/>
    <w:unhideWhenUsed/>
    <w:rsid w:val="007F53E3"/>
    <w:rPr>
      <w:vertAlign w:val="superscript"/>
    </w:rPr>
  </w:style>
  <w:style w:type="paragraph" w:styleId="Testofumetto">
    <w:name w:val="Balloon Text"/>
    <w:basedOn w:val="Normale"/>
    <w:link w:val="TestofumettoCarattere"/>
    <w:uiPriority w:val="99"/>
    <w:semiHidden/>
    <w:unhideWhenUsed/>
    <w:rsid w:val="007418B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418B3"/>
    <w:rPr>
      <w:rFonts w:ascii="Tahoma" w:eastAsia="Times New Roman" w:hAnsi="Tahoma" w:cs="Tahoma"/>
      <w:color w:val="000000"/>
      <w:sz w:val="16"/>
      <w:szCs w:val="16"/>
    </w:rPr>
  </w:style>
  <w:style w:type="paragraph" w:styleId="Paragrafoelenco">
    <w:name w:val="List Paragraph"/>
    <w:basedOn w:val="Normale"/>
    <w:uiPriority w:val="34"/>
    <w:qFormat/>
    <w:rsid w:val="003D372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5" w:line="247" w:lineRule="auto"/>
      <w:ind w:left="1429" w:right="715" w:hanging="10"/>
      <w:jc w:val="both"/>
    </w:pPr>
    <w:rPr>
      <w:rFonts w:ascii="Times New Roman" w:eastAsia="Times New Roman" w:hAnsi="Times New Roman" w:cs="Times New Roman"/>
      <w:color w:val="000000"/>
    </w:rPr>
  </w:style>
  <w:style w:type="paragraph" w:styleId="Titolo1">
    <w:name w:val="heading 1"/>
    <w:next w:val="Normale"/>
    <w:link w:val="Titolo1Carattere"/>
    <w:uiPriority w:val="9"/>
    <w:unhideWhenUsed/>
    <w:qFormat/>
    <w:pPr>
      <w:keepNext/>
      <w:keepLines/>
      <w:spacing w:after="0"/>
      <w:ind w:left="4289" w:right="1145" w:hanging="10"/>
      <w:jc w:val="right"/>
      <w:outlineLvl w:val="0"/>
    </w:pPr>
    <w:rPr>
      <w:rFonts w:ascii="Times New Roman" w:eastAsia="Times New Roman" w:hAnsi="Times New Roman" w:cs="Times New Roman"/>
      <w:i/>
      <w:color w:val="000000"/>
      <w:sz w:val="32"/>
    </w:rPr>
  </w:style>
  <w:style w:type="paragraph" w:styleId="Titolo2">
    <w:name w:val="heading 2"/>
    <w:next w:val="Normale"/>
    <w:link w:val="Titolo2Carattere"/>
    <w:uiPriority w:val="9"/>
    <w:unhideWhenUsed/>
    <w:qFormat/>
    <w:pPr>
      <w:keepNext/>
      <w:keepLines/>
      <w:spacing w:after="79"/>
      <w:ind w:left="576" w:hanging="10"/>
      <w:outlineLvl w:val="1"/>
    </w:pPr>
    <w:rPr>
      <w:rFonts w:ascii="Times New Roman" w:eastAsia="Times New Roman" w:hAnsi="Times New Roman" w:cs="Times New Roman"/>
      <w:b/>
      <w:color w:val="000000"/>
      <w:sz w:val="32"/>
    </w:rPr>
  </w:style>
  <w:style w:type="paragraph" w:styleId="Titolo3">
    <w:name w:val="heading 3"/>
    <w:next w:val="Normale"/>
    <w:link w:val="Titolo3Carattere"/>
    <w:uiPriority w:val="9"/>
    <w:unhideWhenUsed/>
    <w:qFormat/>
    <w:pPr>
      <w:keepNext/>
      <w:keepLines/>
      <w:spacing w:after="103" w:line="265" w:lineRule="auto"/>
      <w:ind w:left="937" w:hanging="10"/>
      <w:outlineLvl w:val="2"/>
    </w:pPr>
    <w:rPr>
      <w:rFonts w:ascii="Times New Roman" w:eastAsia="Times New Roman" w:hAnsi="Times New Roman" w:cs="Times New Roman"/>
      <w:b/>
      <w:color w:val="000000"/>
      <w:sz w:val="24"/>
    </w:rPr>
  </w:style>
  <w:style w:type="paragraph" w:styleId="Titolo4">
    <w:name w:val="heading 4"/>
    <w:next w:val="Normale"/>
    <w:link w:val="Titolo4Carattere"/>
    <w:uiPriority w:val="9"/>
    <w:unhideWhenUsed/>
    <w:qFormat/>
    <w:pPr>
      <w:keepNext/>
      <w:keepLines/>
      <w:spacing w:after="10" w:line="248" w:lineRule="auto"/>
      <w:ind w:left="1429" w:hanging="10"/>
      <w:outlineLvl w:val="3"/>
    </w:pPr>
    <w:rPr>
      <w:rFonts w:ascii="Times New Roman" w:eastAsia="Times New Roman" w:hAnsi="Times New Roman" w:cs="Times New Roman"/>
      <w:color w:val="000000"/>
      <w:u w:val="single"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4Carattere">
    <w:name w:val="Titolo 4 Carattere"/>
    <w:link w:val="Titolo4"/>
    <w:rPr>
      <w:rFonts w:ascii="Times New Roman" w:eastAsia="Times New Roman" w:hAnsi="Times New Roman" w:cs="Times New Roman"/>
      <w:color w:val="000000"/>
      <w:sz w:val="22"/>
      <w:u w:val="single" w:color="000000"/>
    </w:rPr>
  </w:style>
  <w:style w:type="character" w:customStyle="1" w:styleId="Titolo1Carattere">
    <w:name w:val="Titolo 1 Carattere"/>
    <w:link w:val="Titolo1"/>
    <w:rPr>
      <w:rFonts w:ascii="Times New Roman" w:eastAsia="Times New Roman" w:hAnsi="Times New Roman" w:cs="Times New Roman"/>
      <w:i/>
      <w:color w:val="000000"/>
      <w:sz w:val="32"/>
    </w:rPr>
  </w:style>
  <w:style w:type="paragraph" w:customStyle="1" w:styleId="footnotedescription">
    <w:name w:val="footnote description"/>
    <w:next w:val="Normale"/>
    <w:link w:val="footnotedescriptionChar"/>
    <w:hidden/>
    <w:pPr>
      <w:spacing w:after="0"/>
      <w:ind w:left="812"/>
    </w:pPr>
    <w:rPr>
      <w:rFonts w:ascii="Times New Roman" w:eastAsia="Times New Roman" w:hAnsi="Times New Roman" w:cs="Times New Roman"/>
      <w:color w:val="000000"/>
    </w:rPr>
  </w:style>
  <w:style w:type="character" w:customStyle="1" w:styleId="footnotedescriptionChar">
    <w:name w:val="footnote description Char"/>
    <w:link w:val="footnotedescription"/>
    <w:rPr>
      <w:rFonts w:ascii="Times New Roman" w:eastAsia="Times New Roman" w:hAnsi="Times New Roman" w:cs="Times New Roman"/>
      <w:color w:val="000000"/>
      <w:sz w:val="22"/>
    </w:rPr>
  </w:style>
  <w:style w:type="character" w:customStyle="1" w:styleId="Titolo2Carattere">
    <w:name w:val="Titolo 2 Carattere"/>
    <w:link w:val="Titolo2"/>
    <w:rPr>
      <w:rFonts w:ascii="Times New Roman" w:eastAsia="Times New Roman" w:hAnsi="Times New Roman" w:cs="Times New Roman"/>
      <w:b/>
      <w:color w:val="000000"/>
      <w:sz w:val="32"/>
    </w:rPr>
  </w:style>
  <w:style w:type="character" w:customStyle="1" w:styleId="Titolo3Carattere">
    <w:name w:val="Titolo 3 Carattere"/>
    <w:link w:val="Titolo3"/>
    <w:rPr>
      <w:rFonts w:ascii="Times New Roman" w:eastAsia="Times New Roman" w:hAnsi="Times New Roman" w:cs="Times New Roman"/>
      <w:b/>
      <w:color w:val="000000"/>
      <w:sz w:val="24"/>
    </w:rPr>
  </w:style>
  <w:style w:type="character" w:customStyle="1" w:styleId="footnotemark">
    <w:name w:val="footnote mark"/>
    <w:hidden/>
    <w:rPr>
      <w:rFonts w:ascii="Times New Roman" w:eastAsia="Times New Roman" w:hAnsi="Times New Roman" w:cs="Times New Roman"/>
      <w:color w:val="000000"/>
      <w:sz w:val="22"/>
      <w:vertAlign w:val="superscript"/>
    </w:rPr>
  </w:style>
  <w:style w:type="paragraph" w:styleId="Testonotaapidipagina">
    <w:name w:val="footnote text"/>
    <w:basedOn w:val="Normale"/>
    <w:link w:val="TestonotaapidipaginaCarattere"/>
    <w:uiPriority w:val="99"/>
    <w:unhideWhenUsed/>
    <w:rsid w:val="007F53E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F53E3"/>
    <w:rPr>
      <w:rFonts w:ascii="Times New Roman" w:eastAsia="Times New Roman" w:hAnsi="Times New Roman" w:cs="Times New Roman"/>
      <w:color w:val="000000"/>
      <w:sz w:val="20"/>
      <w:szCs w:val="20"/>
    </w:rPr>
  </w:style>
  <w:style w:type="character" w:styleId="Rimandonotaapidipagina">
    <w:name w:val="footnote reference"/>
    <w:basedOn w:val="Carpredefinitoparagrafo"/>
    <w:uiPriority w:val="99"/>
    <w:semiHidden/>
    <w:unhideWhenUsed/>
    <w:rsid w:val="007F53E3"/>
    <w:rPr>
      <w:vertAlign w:val="superscript"/>
    </w:rPr>
  </w:style>
  <w:style w:type="paragraph" w:styleId="Testofumetto">
    <w:name w:val="Balloon Text"/>
    <w:basedOn w:val="Normale"/>
    <w:link w:val="TestofumettoCarattere"/>
    <w:uiPriority w:val="99"/>
    <w:semiHidden/>
    <w:unhideWhenUsed/>
    <w:rsid w:val="007418B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418B3"/>
    <w:rPr>
      <w:rFonts w:ascii="Tahoma" w:eastAsia="Times New Roman" w:hAnsi="Tahoma" w:cs="Tahoma"/>
      <w:color w:val="000000"/>
      <w:sz w:val="16"/>
      <w:szCs w:val="16"/>
    </w:rPr>
  </w:style>
  <w:style w:type="paragraph" w:styleId="Paragrafoelenco">
    <w:name w:val="List Paragraph"/>
    <w:basedOn w:val="Normale"/>
    <w:uiPriority w:val="34"/>
    <w:qFormat/>
    <w:rsid w:val="003D37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hyperlink" Target="http://commons.wikimedia.org/wiki/File:Germans_killed_by_Soviet_army.jpg" TargetMode="External"/><Relationship Id="rId26" Type="http://schemas.openxmlformats.org/officeDocument/2006/relationships/hyperlink" Target="http://upload.wikimedia.org/wikipedia/commons/0/06/Bundesarchiv_R_49_Bild-0142%2C_Polen%2C_Aussiedlung_von_Polen.jpg" TargetMode="External"/><Relationship Id="rId39" Type="http://schemas.openxmlformats.org/officeDocument/2006/relationships/image" Target="media/image13.jpg"/><Relationship Id="rId21" Type="http://schemas.openxmlformats.org/officeDocument/2006/relationships/image" Target="media/image7.jpg"/><Relationship Id="rId34" Type="http://schemas.openxmlformats.org/officeDocument/2006/relationships/hyperlink" Target="http://upload.wikimedia.org/wikipedia/commons/b/b7/FestungBreslau6V1945.jpg" TargetMode="External"/><Relationship Id="rId42" Type="http://schemas.openxmlformats.org/officeDocument/2006/relationships/image" Target="media/image16.jpg"/><Relationship Id="rId47" Type="http://schemas.openxmlformats.org/officeDocument/2006/relationships/image" Target="media/image21.jpg"/><Relationship Id="rId50" Type="http://schemas.openxmlformats.org/officeDocument/2006/relationships/image" Target="media/image24.jpg"/><Relationship Id="rId55" Type="http://schemas.openxmlformats.org/officeDocument/2006/relationships/image" Target="media/image29.jpg"/><Relationship Id="rId63" Type="http://schemas.openxmlformats.org/officeDocument/2006/relationships/image" Target="media/image37.jpg"/><Relationship Id="rId68" Type="http://schemas.openxmlformats.org/officeDocument/2006/relationships/image" Target="media/image42.jpg"/><Relationship Id="rId76" Type="http://schemas.openxmlformats.org/officeDocument/2006/relationships/hyperlink" Target="http://www.zukunft-braucht-erinnerung.de/" TargetMode="External"/><Relationship Id="rId84" Type="http://schemas.openxmlformats.org/officeDocument/2006/relationships/hyperlink" Target="http://www.wochenschau-archiv.de/" TargetMode="External"/><Relationship Id="rId89" Type="http://schemas.openxmlformats.org/officeDocument/2006/relationships/hyperlink" Target="http://www.youtube.com/watch?v=hlHz9L2WMKA" TargetMode="External"/><Relationship Id="rId7" Type="http://schemas.openxmlformats.org/officeDocument/2006/relationships/footnotes" Target="footnotes.xml"/><Relationship Id="rId71" Type="http://schemas.openxmlformats.org/officeDocument/2006/relationships/hyperlink" Target="http://www.bancadellamemoria.it/" TargetMode="External"/><Relationship Id="rId9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5.jpg"/><Relationship Id="rId29" Type="http://schemas.openxmlformats.org/officeDocument/2006/relationships/image" Target="media/image9.jpg"/><Relationship Id="rId11" Type="http://schemas.openxmlformats.org/officeDocument/2006/relationships/hyperlink" Target="http://commons.wikimedia.org/wiki/Image:NS_administrative_Gliederung_1944.png?uselang=it" TargetMode="External"/><Relationship Id="rId24" Type="http://schemas.openxmlformats.org/officeDocument/2006/relationships/hyperlink" Target="http://upload.wikimedia.org/wikipedia/commons/0/06/Bundesarchiv_R_49_Bild-0142%2C_Polen%2C_Aussiedlung_von_Polen.jpg" TargetMode="External"/><Relationship Id="rId32" Type="http://schemas.openxmlformats.org/officeDocument/2006/relationships/hyperlink" Target="http://upload.wikimedia.org/wikipedia/commons/e/ea/Soviet_artillery_firing_on_berlin_april_1945.jpg" TargetMode="External"/><Relationship Id="rId37" Type="http://schemas.openxmlformats.org/officeDocument/2006/relationships/image" Target="media/image11.jpg"/><Relationship Id="rId40" Type="http://schemas.openxmlformats.org/officeDocument/2006/relationships/image" Target="media/image14.jpg"/><Relationship Id="rId45" Type="http://schemas.openxmlformats.org/officeDocument/2006/relationships/image" Target="media/image19.jpg"/><Relationship Id="rId53" Type="http://schemas.openxmlformats.org/officeDocument/2006/relationships/image" Target="media/image27.jpg"/><Relationship Id="rId58" Type="http://schemas.openxmlformats.org/officeDocument/2006/relationships/image" Target="media/image32.jpg"/><Relationship Id="rId66" Type="http://schemas.openxmlformats.org/officeDocument/2006/relationships/image" Target="media/image40.jpg"/><Relationship Id="rId74" Type="http://schemas.openxmlformats.org/officeDocument/2006/relationships/hyperlink" Target="http://www.zukunft-braucht-erinnerung.de/" TargetMode="External"/><Relationship Id="rId79" Type="http://schemas.openxmlformats.org/officeDocument/2006/relationships/hyperlink" Target="http://www.zukunft-braucht-erinnerung.de/" TargetMode="External"/><Relationship Id="rId87" Type="http://schemas.openxmlformats.org/officeDocument/2006/relationships/hyperlink" Target="http://www.youtube.com/watch?v=1x7t5hJeq0U" TargetMode="External"/><Relationship Id="rId5" Type="http://schemas.openxmlformats.org/officeDocument/2006/relationships/settings" Target="settings.xml"/><Relationship Id="rId61" Type="http://schemas.openxmlformats.org/officeDocument/2006/relationships/image" Target="media/image35.jpg"/><Relationship Id="rId82" Type="http://schemas.openxmlformats.org/officeDocument/2006/relationships/hyperlink" Target="http://www.wochenschau-archiv.de/" TargetMode="External"/><Relationship Id="rId90" Type="http://schemas.openxmlformats.org/officeDocument/2006/relationships/footer" Target="footer1.xml"/><Relationship Id="rId19" Type="http://schemas.openxmlformats.org/officeDocument/2006/relationships/hyperlink" Target="http://commons.wikimedia.org/wiki/File:Germans_killed_by_Soviet_army.jpg" TargetMode="External"/><Relationship Id="rId14" Type="http://schemas.openxmlformats.org/officeDocument/2006/relationships/image" Target="media/image3.png"/><Relationship Id="rId22" Type="http://schemas.openxmlformats.org/officeDocument/2006/relationships/hyperlink" Target="http://upload.wikimedia.org/wikipedia/commons/0/06/Bundesarchiv_R_49_Bild-0142%2C_Polen%2C_Aussiedlung_von_Polen.jpg" TargetMode="External"/><Relationship Id="rId27" Type="http://schemas.openxmlformats.org/officeDocument/2006/relationships/image" Target="media/image8.jpg"/><Relationship Id="rId30" Type="http://schemas.openxmlformats.org/officeDocument/2006/relationships/hyperlink" Target="http://upload.wikimedia.org/wikipedia/commons/e/ea/Soviet_artillery_firing_on_berlin_april_1945.jpg" TargetMode="External"/><Relationship Id="rId35" Type="http://schemas.openxmlformats.org/officeDocument/2006/relationships/hyperlink" Target="http://upload.wikimedia.org/wikipedia/commons/b/b7/FestungBreslau6V1945.jpg" TargetMode="External"/><Relationship Id="rId43" Type="http://schemas.openxmlformats.org/officeDocument/2006/relationships/image" Target="media/image17.jpg"/><Relationship Id="rId48" Type="http://schemas.openxmlformats.org/officeDocument/2006/relationships/image" Target="media/image22.jpg"/><Relationship Id="rId56" Type="http://schemas.openxmlformats.org/officeDocument/2006/relationships/image" Target="media/image30.jpg"/><Relationship Id="rId64" Type="http://schemas.openxmlformats.org/officeDocument/2006/relationships/image" Target="media/image38.jpg"/><Relationship Id="rId69" Type="http://schemas.openxmlformats.org/officeDocument/2006/relationships/image" Target="media/image43.jpg"/><Relationship Id="rId77" Type="http://schemas.openxmlformats.org/officeDocument/2006/relationships/hyperlink" Target="http://www.zukunft-braucht-erinnerung.de/" TargetMode="External"/><Relationship Id="rId8" Type="http://schemas.openxmlformats.org/officeDocument/2006/relationships/endnotes" Target="endnotes.xml"/><Relationship Id="rId51" Type="http://schemas.openxmlformats.org/officeDocument/2006/relationships/image" Target="media/image25.jpg"/><Relationship Id="rId72" Type="http://schemas.openxmlformats.org/officeDocument/2006/relationships/hyperlink" Target="http://www.memoro.de/" TargetMode="External"/><Relationship Id="rId80" Type="http://schemas.openxmlformats.org/officeDocument/2006/relationships/hyperlink" Target="http://wikimedia.de/wiki/Hauptseite" TargetMode="External"/><Relationship Id="rId85" Type="http://schemas.openxmlformats.org/officeDocument/2006/relationships/hyperlink" Target="http://www.wochenschau-archiv.de/"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commons.wikimedia.org/wiki/Image:NS_administrative_Gliederung_1944.png?uselang=it" TargetMode="External"/><Relationship Id="rId17" Type="http://schemas.openxmlformats.org/officeDocument/2006/relationships/hyperlink" Target="http://upload.wikimedia.org/wikipedia/commons/c/c2/Germans_killed_by_Soviet_army.jpg" TargetMode="External"/><Relationship Id="rId25" Type="http://schemas.openxmlformats.org/officeDocument/2006/relationships/hyperlink" Target="http://upload.wikimedia.org/wikipedia/commons/0/06/Bundesarchiv_R_49_Bild-0142%2C_Polen%2C_Aussiedlung_von_Polen.jpg" TargetMode="External"/><Relationship Id="rId33" Type="http://schemas.openxmlformats.org/officeDocument/2006/relationships/image" Target="media/image10.jpg"/><Relationship Id="rId38" Type="http://schemas.openxmlformats.org/officeDocument/2006/relationships/image" Target="media/image12.jpg"/><Relationship Id="rId46" Type="http://schemas.openxmlformats.org/officeDocument/2006/relationships/image" Target="media/image20.jpg"/><Relationship Id="rId59" Type="http://schemas.openxmlformats.org/officeDocument/2006/relationships/image" Target="media/image33.jpg"/><Relationship Id="rId67" Type="http://schemas.openxmlformats.org/officeDocument/2006/relationships/image" Target="media/image41.jpg"/><Relationship Id="rId20" Type="http://schemas.openxmlformats.org/officeDocument/2006/relationships/image" Target="media/image6.jpg"/><Relationship Id="rId41" Type="http://schemas.openxmlformats.org/officeDocument/2006/relationships/image" Target="media/image15.jpg"/><Relationship Id="rId54" Type="http://schemas.openxmlformats.org/officeDocument/2006/relationships/image" Target="media/image28.jpg"/><Relationship Id="rId62" Type="http://schemas.openxmlformats.org/officeDocument/2006/relationships/image" Target="media/image36.jpg"/><Relationship Id="rId70" Type="http://schemas.openxmlformats.org/officeDocument/2006/relationships/hyperlink" Target="http://www.bancadellamemoria.it/" TargetMode="External"/><Relationship Id="rId75" Type="http://schemas.openxmlformats.org/officeDocument/2006/relationships/hyperlink" Target="http://www.zukunft-braucht-erinnerung.de/" TargetMode="External"/><Relationship Id="rId83" Type="http://schemas.openxmlformats.org/officeDocument/2006/relationships/hyperlink" Target="http://www.wochenschau-archiv.de/" TargetMode="External"/><Relationship Id="rId88" Type="http://schemas.openxmlformats.org/officeDocument/2006/relationships/hyperlink" Target="http://www.youtube.com/watch?v=hlHz9L2WMKA" TargetMode="Externa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hyperlink" Target="http://upload.wikimedia.org/wikipedia/commons/0/06/Bundesarchiv_R_49_Bild-0142%2C_Polen%2C_Aussiedlung_von_Polen.jpg" TargetMode="External"/><Relationship Id="rId28" Type="http://schemas.openxmlformats.org/officeDocument/2006/relationships/hyperlink" Target="http://upload.wikimedia.org/wikipedia/commons/b/bd/Bundesarchiv_R_49_Bild-0137%2C_Polen%2C_Wartheland%2C_Aussiedlung_von_Polen.jpg" TargetMode="External"/><Relationship Id="rId36" Type="http://schemas.openxmlformats.org/officeDocument/2006/relationships/hyperlink" Target="http://upload.wikimedia.org/wikipedia/commons/b/b7/FestungBreslau6V1945.jpg" TargetMode="External"/><Relationship Id="rId49" Type="http://schemas.openxmlformats.org/officeDocument/2006/relationships/image" Target="media/image23.jpg"/><Relationship Id="rId57" Type="http://schemas.openxmlformats.org/officeDocument/2006/relationships/image" Target="media/image31.jpg"/><Relationship Id="rId10" Type="http://schemas.openxmlformats.org/officeDocument/2006/relationships/hyperlink" Target="http://upload.wikimedia.org/wikipedia/commons/8/83/NS_administrative_Gliederung_1944.png" TargetMode="External"/><Relationship Id="rId31" Type="http://schemas.openxmlformats.org/officeDocument/2006/relationships/hyperlink" Target="http://upload.wikimedia.org/wikipedia/commons/e/ea/Soviet_artillery_firing_on_berlin_april_1945.jpg" TargetMode="External"/><Relationship Id="rId44" Type="http://schemas.openxmlformats.org/officeDocument/2006/relationships/image" Target="media/image18.jpg"/><Relationship Id="rId52" Type="http://schemas.openxmlformats.org/officeDocument/2006/relationships/image" Target="media/image26.jpg"/><Relationship Id="rId60" Type="http://schemas.openxmlformats.org/officeDocument/2006/relationships/image" Target="media/image34.jpg"/><Relationship Id="rId65" Type="http://schemas.openxmlformats.org/officeDocument/2006/relationships/image" Target="media/image39.jpg"/><Relationship Id="rId73" Type="http://schemas.openxmlformats.org/officeDocument/2006/relationships/hyperlink" Target="http://www.memoro.de/" TargetMode="External"/><Relationship Id="rId78" Type="http://schemas.openxmlformats.org/officeDocument/2006/relationships/hyperlink" Target="http://www.zukunft-braucht-erinnerung.de/" TargetMode="External"/><Relationship Id="rId81" Type="http://schemas.openxmlformats.org/officeDocument/2006/relationships/hyperlink" Target="http://wikimedia.de/wiki/Hauptseite" TargetMode="External"/><Relationship Id="rId86" Type="http://schemas.openxmlformats.org/officeDocument/2006/relationships/hyperlink" Target="http://www.youtube.com/watch?v=1x7t5hJeq0U" TargetMode="External"/><Relationship Id="rId9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s>
</file>

<file path=word/_rels/footnotes.xml.rels><?xml version="1.0" encoding="UTF-8" standalone="yes"?>
<Relationships xmlns="http://schemas.openxmlformats.org/package/2006/relationships"><Relationship Id="rId8" Type="http://schemas.openxmlformats.org/officeDocument/2006/relationships/hyperlink" Target="http://www.parkinson.it/morbo-di-parkinson.html" TargetMode="External"/><Relationship Id="rId3" Type="http://schemas.openxmlformats.org/officeDocument/2006/relationships/hyperlink" Target="http://www.memoro.org/it/Violenza-sulle-donne_3688.html" TargetMode="External"/><Relationship Id="rId7" Type="http://schemas.openxmlformats.org/officeDocument/2006/relationships/hyperlink" Target="http://www.parkinson.it/morbo-di-parkinson.html" TargetMode="External"/><Relationship Id="rId12" Type="http://schemas.openxmlformats.org/officeDocument/2006/relationships/hyperlink" Target="http://www.parkinson.it/morbo-di-parkinson.html" TargetMode="External"/><Relationship Id="rId2" Type="http://schemas.openxmlformats.org/officeDocument/2006/relationships/hyperlink" Target="http://www.memoro.org/it/Violenza-sulle-donne_3688.html" TargetMode="External"/><Relationship Id="rId1" Type="http://schemas.openxmlformats.org/officeDocument/2006/relationships/hyperlink" Target="http://www.memoro.org/it/Violenza-sulle-donne_3688.html" TargetMode="External"/><Relationship Id="rId6" Type="http://schemas.openxmlformats.org/officeDocument/2006/relationships/hyperlink" Target="http://www.memoro.org/it/Violenza-sulle-donne_3688.html" TargetMode="External"/><Relationship Id="rId11" Type="http://schemas.openxmlformats.org/officeDocument/2006/relationships/hyperlink" Target="http://www.parkinson.it/morbo-di-parkinson.html" TargetMode="External"/><Relationship Id="rId5" Type="http://schemas.openxmlformats.org/officeDocument/2006/relationships/hyperlink" Target="http://www.memoro.org/it/Violenza-sulle-donne_3688.html" TargetMode="External"/><Relationship Id="rId10" Type="http://schemas.openxmlformats.org/officeDocument/2006/relationships/hyperlink" Target="http://www.parkinson.it/morbo-di-parkinson.html" TargetMode="External"/><Relationship Id="rId4" Type="http://schemas.openxmlformats.org/officeDocument/2006/relationships/hyperlink" Target="http://www.memoro.org/it/Violenza-sulle-donne_3688.html" TargetMode="External"/><Relationship Id="rId9" Type="http://schemas.openxmlformats.org/officeDocument/2006/relationships/hyperlink" Target="http://www.parkinson.it/morbo-di-parkinson.html" TargetMode="External"/></Relationships>
</file>

<file path=word/theme/theme1.xml><?xml version="1.0" encoding="utf-8"?>
<a:theme xmlns:a="http://schemas.openxmlformats.org/drawingml/2006/main" name="Tema di Office">
  <a:themeElements>
    <a:clrScheme name="Office">
      <a:dk1>
        <a:sysClr val="windowText" lastClr="102058"/>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D7B155-A9A8-4223-9E8A-6B30120B7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Pages>
  <Words>96815</Words>
  <Characters>551847</Characters>
  <Application>Microsoft Office Word</Application>
  <DocSecurity>0</DocSecurity>
  <Lines>4598</Lines>
  <Paragraphs>1294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647368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Coccia</dc:creator>
  <cp:lastModifiedBy>PC1</cp:lastModifiedBy>
  <cp:revision>18</cp:revision>
  <cp:lastPrinted>2015-10-30T12:43:00Z</cp:lastPrinted>
  <dcterms:created xsi:type="dcterms:W3CDTF">2015-10-30T10:47:00Z</dcterms:created>
  <dcterms:modified xsi:type="dcterms:W3CDTF">2015-10-30T13:05:00Z</dcterms:modified>
</cp:coreProperties>
</file>