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emf" ContentType="image/x-em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8F94B1" w14:textId="77777777" w:rsidR="0075026E" w:rsidRDefault="0075026E" w:rsidP="0075026E">
      <w:pPr>
        <w:pStyle w:val="Corpodeltesto"/>
        <w:spacing w:line="360" w:lineRule="auto"/>
        <w:jc w:val="center"/>
        <w:rPr>
          <w:rFonts w:cs="Times New Roman"/>
          <w:kern w:val="2"/>
          <w:sz w:val="36"/>
          <w:szCs w:val="36"/>
        </w:rPr>
      </w:pPr>
      <w:r>
        <w:rPr>
          <w:rFonts w:cs="Times New Roman"/>
          <w:noProof/>
          <w:sz w:val="60"/>
          <w:szCs w:val="60"/>
          <w:lang w:eastAsia="it-IT" w:bidi="ar-SA"/>
        </w:rPr>
        <w:drawing>
          <wp:anchor distT="0" distB="0" distL="114300" distR="114300" simplePos="0" relativeHeight="251658240" behindDoc="0" locked="0" layoutInCell="1" allowOverlap="1" wp14:anchorId="2EE54192" wp14:editId="2C114CCA">
            <wp:simplePos x="0" y="0"/>
            <wp:positionH relativeFrom="margin">
              <wp:align>center</wp:align>
            </wp:positionH>
            <wp:positionV relativeFrom="margin">
              <wp:align>top</wp:align>
            </wp:positionV>
            <wp:extent cx="1957070" cy="1887220"/>
            <wp:effectExtent l="0" t="0" r="0" b="0"/>
            <wp:wrapSquare wrapText="bothSides"/>
            <wp:docPr id="1" name="Immagine 1" descr="Description: C:\Users\Win\Desktop\Unipv-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Description: C:\Users\Win\Desktop\Unipv-log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57836" cy="18875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A4810BC" w14:textId="77777777" w:rsidR="0075026E" w:rsidRDefault="0075026E" w:rsidP="0075026E">
      <w:pPr>
        <w:pStyle w:val="Corpodeltesto"/>
        <w:spacing w:line="360" w:lineRule="auto"/>
        <w:jc w:val="center"/>
        <w:rPr>
          <w:rFonts w:cs="Times New Roman"/>
          <w:kern w:val="2"/>
          <w:sz w:val="36"/>
          <w:szCs w:val="36"/>
        </w:rPr>
      </w:pPr>
    </w:p>
    <w:p w14:paraId="29B6D7C0" w14:textId="77777777" w:rsidR="0075026E" w:rsidRDefault="0075026E" w:rsidP="0075026E">
      <w:pPr>
        <w:pStyle w:val="Corpodeltesto"/>
        <w:spacing w:line="360" w:lineRule="auto"/>
        <w:jc w:val="center"/>
        <w:rPr>
          <w:rFonts w:cs="Times New Roman"/>
          <w:kern w:val="2"/>
          <w:sz w:val="36"/>
          <w:szCs w:val="36"/>
        </w:rPr>
      </w:pPr>
    </w:p>
    <w:p w14:paraId="667F9B9B" w14:textId="77777777" w:rsidR="0075026E" w:rsidRDefault="0075026E" w:rsidP="0075026E">
      <w:pPr>
        <w:pStyle w:val="Corpodeltesto"/>
        <w:spacing w:line="360" w:lineRule="auto"/>
        <w:jc w:val="center"/>
        <w:rPr>
          <w:rFonts w:cs="Times New Roman"/>
          <w:kern w:val="2"/>
          <w:sz w:val="36"/>
          <w:szCs w:val="36"/>
        </w:rPr>
      </w:pPr>
    </w:p>
    <w:p w14:paraId="48816A01" w14:textId="77777777" w:rsidR="0075026E" w:rsidRDefault="0075026E" w:rsidP="0075026E">
      <w:pPr>
        <w:pStyle w:val="Corpodeltesto"/>
        <w:spacing w:line="360" w:lineRule="auto"/>
        <w:jc w:val="center"/>
        <w:rPr>
          <w:rFonts w:cs="Times New Roman"/>
          <w:kern w:val="2"/>
          <w:sz w:val="36"/>
          <w:szCs w:val="36"/>
        </w:rPr>
      </w:pPr>
    </w:p>
    <w:p w14:paraId="27CC7EAF" w14:textId="77777777" w:rsidR="0075026E" w:rsidRPr="00E97610" w:rsidRDefault="0075026E" w:rsidP="0075026E">
      <w:pPr>
        <w:pStyle w:val="Corpodeltesto"/>
        <w:spacing w:line="360" w:lineRule="auto"/>
        <w:jc w:val="center"/>
        <w:rPr>
          <w:rFonts w:cs="Times New Roman"/>
          <w:kern w:val="2"/>
          <w:sz w:val="36"/>
          <w:szCs w:val="36"/>
        </w:rPr>
      </w:pPr>
      <w:r w:rsidRPr="00E97610">
        <w:rPr>
          <w:rFonts w:cs="Times New Roman"/>
          <w:kern w:val="2"/>
          <w:sz w:val="36"/>
          <w:szCs w:val="36"/>
        </w:rPr>
        <w:t xml:space="preserve">UNIVERSITA’ DEGLI STUDI DI PAVIA </w:t>
      </w:r>
    </w:p>
    <w:p w14:paraId="6B24BCA3" w14:textId="77777777" w:rsidR="0075026E" w:rsidRDefault="0075026E" w:rsidP="0075026E">
      <w:pPr>
        <w:pStyle w:val="Corpodeltesto"/>
        <w:spacing w:line="360" w:lineRule="auto"/>
        <w:jc w:val="center"/>
        <w:rPr>
          <w:rFonts w:cs="Times New Roman"/>
          <w:kern w:val="2"/>
          <w:sz w:val="28"/>
          <w:szCs w:val="28"/>
        </w:rPr>
      </w:pPr>
      <w:r w:rsidRPr="00840944">
        <w:rPr>
          <w:rFonts w:cs="Times New Roman"/>
          <w:kern w:val="2"/>
          <w:sz w:val="28"/>
          <w:szCs w:val="28"/>
        </w:rPr>
        <w:t xml:space="preserve">DIPARTIMENTO DI SCIENZE ECONOMICHE </w:t>
      </w:r>
      <w:r>
        <w:rPr>
          <w:rFonts w:cs="Times New Roman"/>
          <w:kern w:val="2"/>
          <w:sz w:val="28"/>
          <w:szCs w:val="28"/>
        </w:rPr>
        <w:t xml:space="preserve">E </w:t>
      </w:r>
      <w:r w:rsidRPr="00840944">
        <w:rPr>
          <w:rFonts w:cs="Times New Roman"/>
          <w:kern w:val="2"/>
          <w:sz w:val="28"/>
          <w:szCs w:val="28"/>
        </w:rPr>
        <w:t>AZIENDALI</w:t>
      </w:r>
    </w:p>
    <w:p w14:paraId="09E85C40" w14:textId="77777777" w:rsidR="00833BEC" w:rsidRPr="00840944" w:rsidRDefault="00833BEC" w:rsidP="0075026E">
      <w:pPr>
        <w:pStyle w:val="Corpodeltesto"/>
        <w:spacing w:line="360" w:lineRule="auto"/>
        <w:jc w:val="center"/>
        <w:rPr>
          <w:rFonts w:cs="Times New Roman"/>
          <w:kern w:val="2"/>
          <w:sz w:val="28"/>
          <w:szCs w:val="28"/>
        </w:rPr>
      </w:pPr>
    </w:p>
    <w:p w14:paraId="7B65BAD6" w14:textId="6BFD03B3" w:rsidR="0075026E" w:rsidRPr="00840944" w:rsidRDefault="00833BEC" w:rsidP="0075026E">
      <w:pPr>
        <w:pStyle w:val="Corpodeltesto"/>
        <w:spacing w:line="360" w:lineRule="auto"/>
        <w:jc w:val="center"/>
        <w:rPr>
          <w:rFonts w:cs="Times New Roman"/>
          <w:sz w:val="28"/>
          <w:szCs w:val="28"/>
        </w:rPr>
      </w:pPr>
      <w:r>
        <w:rPr>
          <w:rFonts w:cs="Times New Roman"/>
          <w:sz w:val="28"/>
          <w:szCs w:val="28"/>
        </w:rPr>
        <w:t>Dottorato di Ricerca</w:t>
      </w:r>
      <w:r w:rsidR="0075026E" w:rsidRPr="00840944">
        <w:rPr>
          <w:rFonts w:cs="Times New Roman"/>
          <w:sz w:val="28"/>
          <w:szCs w:val="28"/>
        </w:rPr>
        <w:t xml:space="preserve"> in</w:t>
      </w:r>
    </w:p>
    <w:p w14:paraId="08BDAD3D" w14:textId="08E67218" w:rsidR="0075026E" w:rsidRDefault="00833BEC" w:rsidP="0075026E">
      <w:pPr>
        <w:pStyle w:val="Corpodeltesto"/>
        <w:spacing w:line="360" w:lineRule="auto"/>
        <w:jc w:val="center"/>
        <w:rPr>
          <w:rFonts w:cs="Times New Roman"/>
          <w:sz w:val="28"/>
          <w:szCs w:val="28"/>
        </w:rPr>
      </w:pPr>
      <w:r>
        <w:rPr>
          <w:rFonts w:cs="Times New Roman"/>
          <w:sz w:val="28"/>
          <w:szCs w:val="28"/>
        </w:rPr>
        <w:t xml:space="preserve">ECONOMICS AND MANAGEMENT OF TECHNOLOGY </w:t>
      </w:r>
    </w:p>
    <w:p w14:paraId="311189F6" w14:textId="0BB3C063" w:rsidR="00833BEC" w:rsidRPr="00840944" w:rsidRDefault="00833BEC" w:rsidP="0075026E">
      <w:pPr>
        <w:pStyle w:val="Corpodeltesto"/>
        <w:spacing w:line="360" w:lineRule="auto"/>
        <w:jc w:val="center"/>
        <w:rPr>
          <w:rFonts w:cs="Times New Roman"/>
          <w:sz w:val="28"/>
          <w:szCs w:val="28"/>
        </w:rPr>
      </w:pPr>
      <w:r>
        <w:rPr>
          <w:rFonts w:cs="Times New Roman"/>
          <w:sz w:val="28"/>
          <w:szCs w:val="28"/>
        </w:rPr>
        <w:t>(DREAMT)</w:t>
      </w:r>
    </w:p>
    <w:p w14:paraId="6FABBC9F" w14:textId="77777777" w:rsidR="0075026E" w:rsidRDefault="0075026E" w:rsidP="0075026E">
      <w:pPr>
        <w:pStyle w:val="Corpodeltesto"/>
        <w:spacing w:line="360" w:lineRule="auto"/>
        <w:rPr>
          <w:rFonts w:cs="Times New Roman"/>
        </w:rPr>
      </w:pPr>
    </w:p>
    <w:p w14:paraId="2A701A32" w14:textId="4913F4F2" w:rsidR="0075026E" w:rsidRPr="00511E73" w:rsidRDefault="0052130B" w:rsidP="0075026E">
      <w:pPr>
        <w:pStyle w:val="Corpodeltesto"/>
        <w:spacing w:line="360" w:lineRule="auto"/>
        <w:jc w:val="center"/>
        <w:rPr>
          <w:rFonts w:cs="Times New Roman"/>
          <w:b/>
          <w:sz w:val="36"/>
          <w:szCs w:val="36"/>
        </w:rPr>
      </w:pPr>
      <w:r>
        <w:rPr>
          <w:rFonts w:cs="Times New Roman"/>
          <w:b/>
          <w:sz w:val="36"/>
          <w:szCs w:val="36"/>
        </w:rPr>
        <w:t xml:space="preserve">THREE ESSAYS ON </w:t>
      </w:r>
      <w:r w:rsidR="00833BEC" w:rsidRPr="00511E73">
        <w:rPr>
          <w:rFonts w:cs="Times New Roman"/>
          <w:b/>
          <w:sz w:val="36"/>
          <w:szCs w:val="36"/>
        </w:rPr>
        <w:t>FUNDRAISING AS A TOOL TO REINFORCE UNIVERSITY’S OUTCOME</w:t>
      </w:r>
    </w:p>
    <w:p w14:paraId="399B06F0" w14:textId="77777777" w:rsidR="00833BEC" w:rsidRDefault="00833BEC" w:rsidP="0075026E">
      <w:pPr>
        <w:pStyle w:val="Corpodeltesto"/>
        <w:spacing w:line="360" w:lineRule="auto"/>
        <w:rPr>
          <w:rFonts w:cs="Times New Roman"/>
        </w:rPr>
      </w:pPr>
    </w:p>
    <w:p w14:paraId="0D52A16C" w14:textId="3AC77627" w:rsidR="0075026E" w:rsidRPr="00980CF6" w:rsidRDefault="00833BEC" w:rsidP="0075026E">
      <w:pPr>
        <w:pStyle w:val="Corpodeltesto"/>
        <w:spacing w:line="360" w:lineRule="auto"/>
        <w:rPr>
          <w:rFonts w:cs="Times New Roman"/>
          <w:sz w:val="28"/>
          <w:szCs w:val="28"/>
        </w:rPr>
      </w:pPr>
      <w:r>
        <w:rPr>
          <w:rFonts w:cs="Times New Roman"/>
          <w:sz w:val="28"/>
          <w:szCs w:val="28"/>
        </w:rPr>
        <w:t>Supervisor</w:t>
      </w:r>
    </w:p>
    <w:p w14:paraId="36075F7C" w14:textId="403B6B0D" w:rsidR="0075026E" w:rsidRPr="00A9252F" w:rsidRDefault="0075026E" w:rsidP="0075026E">
      <w:pPr>
        <w:pStyle w:val="Corpodeltesto"/>
        <w:spacing w:line="360" w:lineRule="auto"/>
        <w:rPr>
          <w:rFonts w:cs="Times New Roman"/>
          <w:i/>
          <w:sz w:val="28"/>
          <w:szCs w:val="28"/>
        </w:rPr>
      </w:pPr>
      <w:r w:rsidRPr="00A9252F">
        <w:rPr>
          <w:rFonts w:cs="Times New Roman"/>
          <w:i/>
          <w:sz w:val="28"/>
          <w:szCs w:val="28"/>
        </w:rPr>
        <w:t>Prof.</w:t>
      </w:r>
      <w:r>
        <w:rPr>
          <w:rFonts w:cs="Times New Roman"/>
          <w:i/>
          <w:sz w:val="28"/>
          <w:szCs w:val="28"/>
        </w:rPr>
        <w:t>ssa Michela Magliacani</w:t>
      </w:r>
    </w:p>
    <w:p w14:paraId="53E6FB2D" w14:textId="41769BBF" w:rsidR="0075026E" w:rsidRPr="00A80CC6" w:rsidRDefault="00833BEC" w:rsidP="0075026E">
      <w:pPr>
        <w:pStyle w:val="Corpodeltesto"/>
        <w:spacing w:line="360" w:lineRule="auto"/>
        <w:jc w:val="right"/>
        <w:rPr>
          <w:rFonts w:cs="Times New Roman"/>
          <w:sz w:val="28"/>
          <w:szCs w:val="28"/>
        </w:rPr>
      </w:pPr>
      <w:r>
        <w:rPr>
          <w:rFonts w:cs="Times New Roman"/>
          <w:sz w:val="28"/>
          <w:szCs w:val="28"/>
        </w:rPr>
        <w:t>Tesi di dottorato</w:t>
      </w:r>
      <w:r w:rsidR="0075026E" w:rsidRPr="00A80CC6">
        <w:rPr>
          <w:rFonts w:cs="Times New Roman"/>
          <w:sz w:val="28"/>
          <w:szCs w:val="28"/>
        </w:rPr>
        <w:t xml:space="preserve"> di</w:t>
      </w:r>
    </w:p>
    <w:p w14:paraId="332F534A" w14:textId="77720CCA" w:rsidR="00833BEC" w:rsidRPr="00833BEC" w:rsidRDefault="0075026E" w:rsidP="00833BEC">
      <w:pPr>
        <w:pStyle w:val="Corpodeltesto"/>
        <w:spacing w:line="360" w:lineRule="auto"/>
        <w:jc w:val="right"/>
        <w:rPr>
          <w:rFonts w:cs="Times New Roman"/>
          <w:i/>
          <w:sz w:val="28"/>
          <w:szCs w:val="28"/>
        </w:rPr>
      </w:pPr>
      <w:r>
        <w:rPr>
          <w:rFonts w:cs="Times New Roman"/>
          <w:i/>
          <w:sz w:val="28"/>
          <w:szCs w:val="28"/>
        </w:rPr>
        <w:t>Elena Madeo</w:t>
      </w:r>
    </w:p>
    <w:p w14:paraId="6D61A913" w14:textId="77777777" w:rsidR="00833BEC" w:rsidRDefault="00833BEC" w:rsidP="00833BEC">
      <w:pPr>
        <w:pStyle w:val="Corpodeltesto"/>
        <w:jc w:val="center"/>
        <w:rPr>
          <w:rFonts w:cs="Times New Roman"/>
          <w:sz w:val="28"/>
          <w:szCs w:val="28"/>
        </w:rPr>
      </w:pPr>
    </w:p>
    <w:p w14:paraId="56A03C4E" w14:textId="77777777" w:rsidR="00833BEC" w:rsidRDefault="00833BEC" w:rsidP="00833BEC">
      <w:pPr>
        <w:pStyle w:val="Corpodeltesto"/>
        <w:jc w:val="center"/>
        <w:rPr>
          <w:rFonts w:cs="Times New Roman"/>
          <w:sz w:val="28"/>
          <w:szCs w:val="28"/>
        </w:rPr>
      </w:pPr>
    </w:p>
    <w:p w14:paraId="36FA6FC7" w14:textId="02C06754" w:rsidR="0075026E" w:rsidRDefault="00833BEC" w:rsidP="00833BEC">
      <w:pPr>
        <w:pStyle w:val="Corpodeltesto"/>
        <w:jc w:val="center"/>
        <w:rPr>
          <w:rFonts w:cs="Times New Roman"/>
          <w:sz w:val="28"/>
          <w:szCs w:val="28"/>
        </w:rPr>
      </w:pPr>
      <w:r>
        <w:rPr>
          <w:rFonts w:cs="Times New Roman"/>
          <w:sz w:val="28"/>
          <w:szCs w:val="28"/>
        </w:rPr>
        <w:t>XXI CICLO – A.A. 2017-2018</w:t>
      </w:r>
    </w:p>
    <w:p w14:paraId="305CD1C6" w14:textId="73E855C5" w:rsidR="00833BEC" w:rsidRDefault="00833BEC" w:rsidP="00833BEC">
      <w:pPr>
        <w:pStyle w:val="Corpodeltesto"/>
        <w:jc w:val="center"/>
        <w:rPr>
          <w:rFonts w:cs="Times New Roman"/>
          <w:sz w:val="28"/>
          <w:szCs w:val="28"/>
        </w:rPr>
      </w:pPr>
      <w:r>
        <w:rPr>
          <w:rFonts w:cs="Times New Roman"/>
          <w:sz w:val="28"/>
          <w:szCs w:val="28"/>
        </w:rPr>
        <w:t>SETTORE SCIENTIFICO DISCIPLINARE SECS-P07</w:t>
      </w:r>
    </w:p>
    <w:p w14:paraId="54EC27D1" w14:textId="77777777" w:rsidR="00833BEC" w:rsidRDefault="00833BEC" w:rsidP="00833BEC">
      <w:pPr>
        <w:pStyle w:val="Corpodeltesto"/>
        <w:spacing w:line="360" w:lineRule="auto"/>
        <w:jc w:val="center"/>
        <w:rPr>
          <w:rFonts w:cs="Times New Roman"/>
          <w:sz w:val="28"/>
          <w:szCs w:val="28"/>
        </w:rPr>
      </w:pPr>
    </w:p>
    <w:p w14:paraId="2A48B24C" w14:textId="77777777" w:rsidR="00833BEC" w:rsidRPr="009F5BE3" w:rsidRDefault="00833BEC" w:rsidP="00833BEC">
      <w:pPr>
        <w:pStyle w:val="Corpodeltesto"/>
        <w:spacing w:line="360" w:lineRule="auto"/>
        <w:jc w:val="center"/>
        <w:rPr>
          <w:rFonts w:cs="Times New Roman"/>
          <w:sz w:val="28"/>
          <w:szCs w:val="28"/>
        </w:rPr>
        <w:sectPr w:rsidR="00833BEC" w:rsidRPr="009F5BE3" w:rsidSect="00E84653">
          <w:footerReference w:type="even" r:id="rId10"/>
          <w:footerReference w:type="default" r:id="rId11"/>
          <w:pgSz w:w="11906" w:h="16838"/>
          <w:pgMar w:top="1418" w:right="1418" w:bottom="1418" w:left="1418" w:header="720" w:footer="1418" w:gutter="0"/>
          <w:pgNumType w:fmt="lowerRoman" w:start="1"/>
          <w:cols w:space="720"/>
          <w:titlePg/>
          <w:docGrid w:linePitch="600" w:charSpace="32768"/>
        </w:sectPr>
      </w:pPr>
    </w:p>
    <w:p w14:paraId="3080978A" w14:textId="77777777" w:rsidR="00297695" w:rsidRDefault="00297695" w:rsidP="00297695">
      <w:pPr>
        <w:pStyle w:val="Corpodeltesto"/>
        <w:spacing w:line="360" w:lineRule="auto"/>
        <w:jc w:val="center"/>
        <w:rPr>
          <w:rFonts w:cs="Times New Roman"/>
          <w:b/>
          <w:sz w:val="36"/>
          <w:szCs w:val="36"/>
        </w:rPr>
      </w:pPr>
    </w:p>
    <w:p w14:paraId="5042656D" w14:textId="77777777" w:rsidR="00297695" w:rsidRDefault="00297695" w:rsidP="00297695">
      <w:pPr>
        <w:pStyle w:val="Corpodeltesto"/>
        <w:spacing w:line="360" w:lineRule="auto"/>
        <w:jc w:val="center"/>
        <w:rPr>
          <w:rFonts w:cs="Times New Roman"/>
          <w:b/>
          <w:sz w:val="36"/>
          <w:szCs w:val="36"/>
        </w:rPr>
      </w:pPr>
    </w:p>
    <w:p w14:paraId="1E39DFEA" w14:textId="49DFEC5E" w:rsidR="00297695" w:rsidRPr="00297695" w:rsidRDefault="00297695" w:rsidP="00297695">
      <w:pPr>
        <w:pStyle w:val="Corpodeltesto"/>
        <w:spacing w:line="360" w:lineRule="auto"/>
        <w:jc w:val="center"/>
        <w:rPr>
          <w:rFonts w:cs="Times New Roman"/>
          <w:b/>
          <w:sz w:val="36"/>
          <w:szCs w:val="36"/>
          <w:lang w:val="en-US"/>
        </w:rPr>
      </w:pPr>
      <w:r w:rsidRPr="00297695">
        <w:rPr>
          <w:rFonts w:cs="Times New Roman"/>
          <w:b/>
          <w:sz w:val="36"/>
          <w:szCs w:val="36"/>
          <w:lang w:val="en-US"/>
        </w:rPr>
        <w:t>FUNDRAISING AS A TOOL TO REINFORCE UNIVERSITY’S OUTCOME</w:t>
      </w:r>
    </w:p>
    <w:p w14:paraId="2E7BB6A1" w14:textId="77777777" w:rsidR="00297695" w:rsidRPr="00297695" w:rsidRDefault="00297695" w:rsidP="00297695">
      <w:pPr>
        <w:pStyle w:val="Corpodeltesto"/>
        <w:spacing w:line="360" w:lineRule="auto"/>
        <w:jc w:val="center"/>
        <w:rPr>
          <w:rFonts w:cs="Times New Roman"/>
          <w:b/>
          <w:sz w:val="36"/>
          <w:szCs w:val="36"/>
          <w:lang w:val="en-US"/>
        </w:rPr>
      </w:pPr>
    </w:p>
    <w:p w14:paraId="2D4FDB44" w14:textId="6B9B8F93" w:rsidR="00297695" w:rsidRPr="00297695" w:rsidRDefault="00297695" w:rsidP="00297695">
      <w:pPr>
        <w:pStyle w:val="Corpodeltesto"/>
        <w:spacing w:line="360" w:lineRule="auto"/>
        <w:jc w:val="center"/>
        <w:rPr>
          <w:rFonts w:cs="Times New Roman"/>
          <w:sz w:val="32"/>
          <w:szCs w:val="32"/>
          <w:lang w:val="en-US"/>
        </w:rPr>
      </w:pPr>
      <w:r w:rsidRPr="00297695">
        <w:rPr>
          <w:rFonts w:cs="Times New Roman"/>
          <w:sz w:val="32"/>
          <w:szCs w:val="32"/>
          <w:lang w:val="en-US"/>
        </w:rPr>
        <w:t>Elena Madeo</w:t>
      </w:r>
    </w:p>
    <w:p w14:paraId="409F008F" w14:textId="77777777" w:rsidR="001418B1" w:rsidRPr="00297695" w:rsidRDefault="001418B1">
      <w:pPr>
        <w:rPr>
          <w:lang w:val="en-US"/>
        </w:rPr>
      </w:pPr>
    </w:p>
    <w:p w14:paraId="5B1A0837" w14:textId="77777777" w:rsidR="00297695" w:rsidRPr="00297695" w:rsidRDefault="00297695">
      <w:pPr>
        <w:rPr>
          <w:lang w:val="en-US"/>
        </w:rPr>
      </w:pPr>
    </w:p>
    <w:p w14:paraId="10BA1BFF" w14:textId="77777777" w:rsidR="00297695" w:rsidRPr="00297695" w:rsidRDefault="00297695">
      <w:pPr>
        <w:rPr>
          <w:lang w:val="en-US"/>
        </w:rPr>
      </w:pPr>
    </w:p>
    <w:p w14:paraId="4ED0BC55" w14:textId="77777777" w:rsidR="00297695" w:rsidRPr="00297695" w:rsidRDefault="00297695">
      <w:pPr>
        <w:rPr>
          <w:lang w:val="en-US"/>
        </w:rPr>
      </w:pPr>
    </w:p>
    <w:p w14:paraId="38D5F9A6" w14:textId="77777777" w:rsidR="00297695" w:rsidRPr="00297695" w:rsidRDefault="00297695">
      <w:pPr>
        <w:rPr>
          <w:lang w:val="en-US"/>
        </w:rPr>
      </w:pPr>
    </w:p>
    <w:p w14:paraId="03D716F2" w14:textId="77777777" w:rsidR="00297695" w:rsidRPr="00297695" w:rsidRDefault="00297695">
      <w:pPr>
        <w:rPr>
          <w:lang w:val="en-US"/>
        </w:rPr>
      </w:pPr>
    </w:p>
    <w:p w14:paraId="6D97F9E2" w14:textId="77777777" w:rsidR="00297695" w:rsidRPr="00297695" w:rsidRDefault="00297695">
      <w:pPr>
        <w:rPr>
          <w:lang w:val="en-US"/>
        </w:rPr>
      </w:pPr>
    </w:p>
    <w:p w14:paraId="7A5A473D" w14:textId="77777777" w:rsidR="00297695" w:rsidRPr="00297695" w:rsidRDefault="00297695">
      <w:pPr>
        <w:rPr>
          <w:lang w:val="en-US"/>
        </w:rPr>
      </w:pPr>
    </w:p>
    <w:p w14:paraId="746BDDFA" w14:textId="77777777" w:rsidR="00297695" w:rsidRPr="00297695" w:rsidRDefault="00297695">
      <w:pPr>
        <w:rPr>
          <w:lang w:val="en-US"/>
        </w:rPr>
      </w:pPr>
    </w:p>
    <w:p w14:paraId="692FB289" w14:textId="77777777" w:rsidR="00297695" w:rsidRPr="00297695" w:rsidRDefault="00297695">
      <w:pPr>
        <w:rPr>
          <w:lang w:val="en-US"/>
        </w:rPr>
      </w:pPr>
    </w:p>
    <w:p w14:paraId="65E10F34" w14:textId="77777777" w:rsidR="00297695" w:rsidRPr="00297695" w:rsidRDefault="00297695">
      <w:pPr>
        <w:rPr>
          <w:lang w:val="en-US"/>
        </w:rPr>
      </w:pPr>
    </w:p>
    <w:p w14:paraId="06112B24" w14:textId="77777777" w:rsidR="00297695" w:rsidRPr="00297695" w:rsidRDefault="00297695">
      <w:pPr>
        <w:rPr>
          <w:lang w:val="en-US"/>
        </w:rPr>
      </w:pPr>
    </w:p>
    <w:p w14:paraId="5BB0B11C" w14:textId="77777777" w:rsidR="00297695" w:rsidRPr="00297695" w:rsidRDefault="00297695">
      <w:pPr>
        <w:rPr>
          <w:lang w:val="en-US"/>
        </w:rPr>
      </w:pPr>
    </w:p>
    <w:p w14:paraId="24875F62" w14:textId="77777777" w:rsidR="00297695" w:rsidRPr="00297695" w:rsidRDefault="00297695">
      <w:pPr>
        <w:rPr>
          <w:lang w:val="en-US"/>
        </w:rPr>
      </w:pPr>
    </w:p>
    <w:p w14:paraId="7862EEC4" w14:textId="77777777" w:rsidR="00297695" w:rsidRPr="00297695" w:rsidRDefault="00297695">
      <w:pPr>
        <w:rPr>
          <w:lang w:val="en-US"/>
        </w:rPr>
      </w:pPr>
    </w:p>
    <w:p w14:paraId="066ECFF1" w14:textId="77777777" w:rsidR="00297695" w:rsidRPr="00297695" w:rsidRDefault="00297695">
      <w:pPr>
        <w:rPr>
          <w:lang w:val="en-US"/>
        </w:rPr>
      </w:pPr>
    </w:p>
    <w:p w14:paraId="642BF20B" w14:textId="77777777" w:rsidR="00297695" w:rsidRPr="00297695" w:rsidRDefault="00297695">
      <w:pPr>
        <w:rPr>
          <w:lang w:val="en-US"/>
        </w:rPr>
      </w:pPr>
    </w:p>
    <w:p w14:paraId="04F17142" w14:textId="77777777" w:rsidR="00297695" w:rsidRPr="00297695" w:rsidRDefault="00297695">
      <w:pPr>
        <w:rPr>
          <w:lang w:val="en-US"/>
        </w:rPr>
      </w:pPr>
    </w:p>
    <w:p w14:paraId="3D929B9C" w14:textId="77777777" w:rsidR="00297695" w:rsidRPr="00297695" w:rsidRDefault="00297695">
      <w:pPr>
        <w:rPr>
          <w:lang w:val="en-US"/>
        </w:rPr>
      </w:pPr>
    </w:p>
    <w:p w14:paraId="3C689713" w14:textId="77777777" w:rsidR="00297695" w:rsidRPr="00297695" w:rsidRDefault="00297695">
      <w:pPr>
        <w:rPr>
          <w:lang w:val="en-US"/>
        </w:rPr>
      </w:pPr>
    </w:p>
    <w:p w14:paraId="137880DB" w14:textId="77777777" w:rsidR="00297695" w:rsidRPr="00297695" w:rsidRDefault="00297695">
      <w:pPr>
        <w:rPr>
          <w:lang w:val="en-US"/>
        </w:rPr>
      </w:pPr>
    </w:p>
    <w:p w14:paraId="10F419F1" w14:textId="77777777" w:rsidR="00297695" w:rsidRPr="00297695" w:rsidRDefault="00297695">
      <w:pPr>
        <w:rPr>
          <w:lang w:val="en-US"/>
        </w:rPr>
      </w:pPr>
    </w:p>
    <w:p w14:paraId="7F93F7DB" w14:textId="77777777" w:rsidR="00297695" w:rsidRPr="00297695" w:rsidRDefault="00297695">
      <w:pPr>
        <w:rPr>
          <w:lang w:val="en-US"/>
        </w:rPr>
      </w:pPr>
    </w:p>
    <w:p w14:paraId="6A988D6F" w14:textId="77777777" w:rsidR="00297695" w:rsidRPr="00297695" w:rsidRDefault="00297695">
      <w:pPr>
        <w:rPr>
          <w:lang w:val="en-US"/>
        </w:rPr>
      </w:pPr>
    </w:p>
    <w:p w14:paraId="7976C558" w14:textId="77777777" w:rsidR="00297695" w:rsidRPr="00297695" w:rsidRDefault="00297695">
      <w:pPr>
        <w:rPr>
          <w:lang w:val="en-US"/>
        </w:rPr>
      </w:pPr>
    </w:p>
    <w:p w14:paraId="5C7DC1FE" w14:textId="77777777" w:rsidR="00297695" w:rsidRPr="00297695" w:rsidRDefault="00297695">
      <w:pPr>
        <w:rPr>
          <w:lang w:val="en-US"/>
        </w:rPr>
      </w:pPr>
    </w:p>
    <w:p w14:paraId="5F882562" w14:textId="77777777" w:rsidR="00297695" w:rsidRPr="00297695" w:rsidRDefault="00297695">
      <w:pPr>
        <w:rPr>
          <w:lang w:val="en-US"/>
        </w:rPr>
      </w:pPr>
    </w:p>
    <w:p w14:paraId="050F00F7" w14:textId="77777777" w:rsidR="00297695" w:rsidRPr="00297695" w:rsidRDefault="00297695">
      <w:pPr>
        <w:rPr>
          <w:lang w:val="en-US"/>
        </w:rPr>
      </w:pPr>
    </w:p>
    <w:p w14:paraId="2BA4A779" w14:textId="77777777" w:rsidR="00297695" w:rsidRPr="00297695" w:rsidRDefault="00297695">
      <w:pPr>
        <w:rPr>
          <w:lang w:val="en-US"/>
        </w:rPr>
      </w:pPr>
    </w:p>
    <w:p w14:paraId="66B99915" w14:textId="77777777" w:rsidR="00297695" w:rsidRPr="00297695" w:rsidRDefault="00297695">
      <w:pPr>
        <w:rPr>
          <w:lang w:val="en-US"/>
        </w:rPr>
      </w:pPr>
    </w:p>
    <w:p w14:paraId="7932A972" w14:textId="77777777" w:rsidR="00297695" w:rsidRPr="00297695" w:rsidRDefault="00297695">
      <w:pPr>
        <w:rPr>
          <w:lang w:val="en-US"/>
        </w:rPr>
      </w:pPr>
    </w:p>
    <w:p w14:paraId="159C3B99" w14:textId="79E5FB37" w:rsidR="00297695" w:rsidRPr="00297695" w:rsidRDefault="00391863" w:rsidP="00297695">
      <w:pPr>
        <w:spacing w:line="360" w:lineRule="auto"/>
        <w:jc w:val="center"/>
        <w:rPr>
          <w:i/>
          <w:lang w:val="en-US"/>
        </w:rPr>
      </w:pPr>
      <w:r>
        <w:rPr>
          <w:i/>
          <w:lang w:val="en-US"/>
        </w:rPr>
        <w:t>A thesis submitted to the d</w:t>
      </w:r>
      <w:r w:rsidR="00297695" w:rsidRPr="00297695">
        <w:rPr>
          <w:i/>
          <w:lang w:val="en-US"/>
        </w:rPr>
        <w:t xml:space="preserve">egree of Doctor of Philosophy </w:t>
      </w:r>
    </w:p>
    <w:p w14:paraId="279B6D0E" w14:textId="1699B5C6" w:rsidR="00297695" w:rsidRPr="00297695" w:rsidRDefault="00FF7C19" w:rsidP="00297695">
      <w:pPr>
        <w:spacing w:line="360" w:lineRule="auto"/>
        <w:jc w:val="center"/>
        <w:rPr>
          <w:i/>
          <w:lang w:val="en-US"/>
        </w:rPr>
      </w:pPr>
      <w:r>
        <w:rPr>
          <w:i/>
          <w:lang w:val="en-US"/>
        </w:rPr>
        <w:t>at the University of Pavia in May 17</w:t>
      </w:r>
      <w:r w:rsidRPr="00FF7C19">
        <w:rPr>
          <w:i/>
          <w:vertAlign w:val="superscript"/>
          <w:lang w:val="en-US"/>
        </w:rPr>
        <w:t>th</w:t>
      </w:r>
      <w:r>
        <w:rPr>
          <w:i/>
          <w:lang w:val="en-US"/>
        </w:rPr>
        <w:t xml:space="preserve"> 2019</w:t>
      </w:r>
      <w:bookmarkStart w:id="0" w:name="_GoBack"/>
      <w:bookmarkEnd w:id="0"/>
    </w:p>
    <w:p w14:paraId="15733D60" w14:textId="01063A7C" w:rsidR="00297695" w:rsidRPr="00297695" w:rsidRDefault="00297695" w:rsidP="00297695">
      <w:pPr>
        <w:spacing w:line="360" w:lineRule="auto"/>
        <w:jc w:val="center"/>
        <w:rPr>
          <w:lang w:val="en-US"/>
        </w:rPr>
      </w:pPr>
      <w:r w:rsidRPr="00297695">
        <w:rPr>
          <w:lang w:val="en-US"/>
        </w:rPr>
        <w:t>Department of Economics and Management</w:t>
      </w:r>
    </w:p>
    <w:p w14:paraId="04D90B89" w14:textId="77777777" w:rsidR="00297695" w:rsidRPr="00297695" w:rsidRDefault="00297695" w:rsidP="00297695">
      <w:pPr>
        <w:spacing w:line="360" w:lineRule="auto"/>
        <w:jc w:val="center"/>
        <w:rPr>
          <w:lang w:val="en-US"/>
        </w:rPr>
      </w:pPr>
    </w:p>
    <w:p w14:paraId="678D8242" w14:textId="77777777" w:rsidR="00114547" w:rsidRDefault="00114547" w:rsidP="00CE5432">
      <w:pPr>
        <w:spacing w:line="360" w:lineRule="auto"/>
        <w:jc w:val="right"/>
        <w:rPr>
          <w:i/>
          <w:lang w:val="en-US"/>
        </w:rPr>
      </w:pPr>
      <w:r>
        <w:rPr>
          <w:i/>
          <w:lang w:val="en-US"/>
        </w:rPr>
        <w:br w:type="page"/>
      </w:r>
    </w:p>
    <w:p w14:paraId="66FE59C5" w14:textId="090D8AAB" w:rsidR="00297695" w:rsidRDefault="00CE5432" w:rsidP="00CE5432">
      <w:pPr>
        <w:spacing w:line="360" w:lineRule="auto"/>
        <w:jc w:val="right"/>
        <w:rPr>
          <w:i/>
          <w:lang w:val="en-US"/>
        </w:rPr>
      </w:pPr>
      <w:r>
        <w:rPr>
          <w:i/>
          <w:lang w:val="en-US"/>
        </w:rPr>
        <w:t>To Ale</w:t>
      </w:r>
      <w:r w:rsidR="002C1FFD">
        <w:rPr>
          <w:i/>
          <w:lang w:val="en-US"/>
        </w:rPr>
        <w:t>ssio, my half part of the apple</w:t>
      </w:r>
      <w:r w:rsidR="003A2939">
        <w:rPr>
          <w:i/>
          <w:lang w:val="en-US"/>
        </w:rPr>
        <w:t>.</w:t>
      </w:r>
    </w:p>
    <w:p w14:paraId="336A2CE8" w14:textId="77777777" w:rsidR="003A2939" w:rsidRDefault="00CE5432" w:rsidP="00CE5432">
      <w:pPr>
        <w:spacing w:line="360" w:lineRule="auto"/>
        <w:jc w:val="right"/>
        <w:rPr>
          <w:i/>
          <w:lang w:val="en-US"/>
        </w:rPr>
      </w:pPr>
      <w:r>
        <w:rPr>
          <w:i/>
          <w:lang w:val="en-US"/>
        </w:rPr>
        <w:t xml:space="preserve">To my family, </w:t>
      </w:r>
    </w:p>
    <w:p w14:paraId="1EBF0A90" w14:textId="482382C2" w:rsidR="003A2939" w:rsidRDefault="003A2939" w:rsidP="00CE5432">
      <w:pPr>
        <w:spacing w:line="360" w:lineRule="auto"/>
        <w:jc w:val="right"/>
        <w:rPr>
          <w:i/>
          <w:lang w:val="en-US"/>
        </w:rPr>
      </w:pPr>
      <w:r>
        <w:rPr>
          <w:i/>
          <w:lang w:val="en-US"/>
        </w:rPr>
        <w:t>My parents, Francesco and Filomena,</w:t>
      </w:r>
    </w:p>
    <w:p w14:paraId="58441D43" w14:textId="00A515A6" w:rsidR="003A2939" w:rsidRDefault="003A2939" w:rsidP="00CE5432">
      <w:pPr>
        <w:spacing w:line="360" w:lineRule="auto"/>
        <w:jc w:val="right"/>
        <w:rPr>
          <w:i/>
          <w:lang w:val="en-US"/>
        </w:rPr>
      </w:pPr>
      <w:r>
        <w:rPr>
          <w:i/>
          <w:lang w:val="en-US"/>
        </w:rPr>
        <w:t>My brother Matteo,</w:t>
      </w:r>
    </w:p>
    <w:p w14:paraId="47E03D86" w14:textId="67FFD777" w:rsidR="003A2939" w:rsidRDefault="003A2939" w:rsidP="00CE5432">
      <w:pPr>
        <w:spacing w:line="360" w:lineRule="auto"/>
        <w:jc w:val="right"/>
        <w:rPr>
          <w:i/>
          <w:lang w:val="en-US"/>
        </w:rPr>
      </w:pPr>
      <w:r>
        <w:rPr>
          <w:i/>
          <w:lang w:val="en-US"/>
        </w:rPr>
        <w:t>My grandparents,</w:t>
      </w:r>
    </w:p>
    <w:p w14:paraId="1325311D" w14:textId="5CF9EEB5" w:rsidR="00CE5432" w:rsidRDefault="003A2939" w:rsidP="00CE5432">
      <w:pPr>
        <w:spacing w:line="360" w:lineRule="auto"/>
        <w:jc w:val="right"/>
        <w:rPr>
          <w:i/>
          <w:lang w:val="en-US"/>
        </w:rPr>
      </w:pPr>
      <w:r>
        <w:rPr>
          <w:i/>
          <w:lang w:val="en-US"/>
        </w:rPr>
        <w:t>Who have</w:t>
      </w:r>
      <w:r w:rsidR="00CE5432">
        <w:rPr>
          <w:i/>
          <w:lang w:val="en-US"/>
        </w:rPr>
        <w:t xml:space="preserve"> always su</w:t>
      </w:r>
      <w:r w:rsidR="00874D71">
        <w:rPr>
          <w:i/>
          <w:lang w:val="en-US"/>
        </w:rPr>
        <w:t>pport</w:t>
      </w:r>
      <w:r w:rsidR="00F140DC">
        <w:rPr>
          <w:i/>
          <w:lang w:val="en-US"/>
        </w:rPr>
        <w:t>ed</w:t>
      </w:r>
      <w:r w:rsidR="00874D71">
        <w:rPr>
          <w:i/>
          <w:lang w:val="en-US"/>
        </w:rPr>
        <w:t xml:space="preserve"> me in my education career</w:t>
      </w:r>
      <w:r>
        <w:rPr>
          <w:i/>
          <w:lang w:val="en-US"/>
        </w:rPr>
        <w:t>.</w:t>
      </w:r>
    </w:p>
    <w:p w14:paraId="60557DF3" w14:textId="77777777" w:rsidR="00CE5432" w:rsidRDefault="00CE5432" w:rsidP="00CE5432">
      <w:pPr>
        <w:spacing w:line="360" w:lineRule="auto"/>
        <w:jc w:val="right"/>
        <w:rPr>
          <w:i/>
          <w:lang w:val="en-US"/>
        </w:rPr>
      </w:pPr>
      <w:r>
        <w:rPr>
          <w:i/>
          <w:lang w:val="en-US"/>
        </w:rPr>
        <w:t xml:space="preserve">To my friends, </w:t>
      </w:r>
    </w:p>
    <w:p w14:paraId="512C15E9" w14:textId="77777777" w:rsidR="00CE5432" w:rsidRDefault="00CE5432" w:rsidP="00CE5432">
      <w:pPr>
        <w:spacing w:line="360" w:lineRule="auto"/>
        <w:jc w:val="right"/>
        <w:rPr>
          <w:i/>
          <w:lang w:val="en-US"/>
        </w:rPr>
      </w:pPr>
      <w:r>
        <w:rPr>
          <w:i/>
          <w:lang w:val="en-US"/>
        </w:rPr>
        <w:t xml:space="preserve">Cinzia, Claudia, Stefania, </w:t>
      </w:r>
    </w:p>
    <w:p w14:paraId="087AAC03" w14:textId="77777777" w:rsidR="00CE5432" w:rsidRDefault="00CE5432" w:rsidP="00CE5432">
      <w:pPr>
        <w:spacing w:line="360" w:lineRule="auto"/>
        <w:jc w:val="right"/>
        <w:rPr>
          <w:i/>
          <w:lang w:val="en-US"/>
        </w:rPr>
      </w:pPr>
      <w:r>
        <w:rPr>
          <w:i/>
          <w:lang w:val="en-US"/>
        </w:rPr>
        <w:t xml:space="preserve">Alessandro, </w:t>
      </w:r>
    </w:p>
    <w:p w14:paraId="6E02FB8E" w14:textId="77777777" w:rsidR="00CE5432" w:rsidRDefault="00CE5432" w:rsidP="00CE5432">
      <w:pPr>
        <w:spacing w:line="360" w:lineRule="auto"/>
        <w:jc w:val="right"/>
        <w:rPr>
          <w:i/>
          <w:lang w:val="en-US"/>
        </w:rPr>
      </w:pPr>
      <w:r>
        <w:rPr>
          <w:i/>
          <w:lang w:val="en-US"/>
        </w:rPr>
        <w:t>Lanfranco, Massimiliano, Francesca,</w:t>
      </w:r>
    </w:p>
    <w:p w14:paraId="638A4F40" w14:textId="4BEBEF47" w:rsidR="00CE5432" w:rsidRDefault="00CE5432" w:rsidP="00CE5432">
      <w:pPr>
        <w:spacing w:line="360" w:lineRule="auto"/>
        <w:jc w:val="right"/>
        <w:rPr>
          <w:i/>
          <w:lang w:val="en-US"/>
        </w:rPr>
      </w:pPr>
      <w:r>
        <w:rPr>
          <w:i/>
          <w:lang w:val="en-US"/>
        </w:rPr>
        <w:t>Giuseppina, Claudio, Serena, Alberto,</w:t>
      </w:r>
    </w:p>
    <w:p w14:paraId="00E77E7B" w14:textId="5DEE2EAA" w:rsidR="00CE5432" w:rsidRDefault="00CE5432" w:rsidP="00CE5432">
      <w:pPr>
        <w:spacing w:line="360" w:lineRule="auto"/>
        <w:jc w:val="right"/>
        <w:rPr>
          <w:i/>
          <w:lang w:val="en-US"/>
        </w:rPr>
      </w:pPr>
      <w:r>
        <w:rPr>
          <w:i/>
          <w:lang w:val="en-US"/>
        </w:rPr>
        <w:t>Andrea</w:t>
      </w:r>
      <w:r w:rsidR="002C1FFD">
        <w:rPr>
          <w:i/>
          <w:lang w:val="en-US"/>
        </w:rPr>
        <w:t>, Yulia, Francesca,</w:t>
      </w:r>
    </w:p>
    <w:p w14:paraId="6334069A" w14:textId="0211C38C" w:rsidR="002C1FFD" w:rsidRDefault="002C1FFD" w:rsidP="00CE5432">
      <w:pPr>
        <w:spacing w:line="360" w:lineRule="auto"/>
        <w:jc w:val="right"/>
        <w:rPr>
          <w:i/>
          <w:lang w:val="en-US"/>
        </w:rPr>
      </w:pPr>
      <w:r>
        <w:rPr>
          <w:i/>
          <w:lang w:val="en-US"/>
        </w:rPr>
        <w:t>Really precious for achieving this important goal</w:t>
      </w:r>
      <w:r w:rsidR="003A2939">
        <w:rPr>
          <w:i/>
          <w:lang w:val="en-US"/>
        </w:rPr>
        <w:t>.</w:t>
      </w:r>
    </w:p>
    <w:p w14:paraId="128135CD" w14:textId="3DBA49B6" w:rsidR="002C1FFD" w:rsidRDefault="002C1FFD" w:rsidP="00CE5432">
      <w:pPr>
        <w:spacing w:line="360" w:lineRule="auto"/>
        <w:jc w:val="right"/>
        <w:rPr>
          <w:i/>
          <w:lang w:val="en-US"/>
        </w:rPr>
      </w:pPr>
      <w:r>
        <w:rPr>
          <w:i/>
          <w:lang w:val="en-US"/>
        </w:rPr>
        <w:t>To Nerina, Sasha, Billo and Kira, the greatest inspiration of my life!</w:t>
      </w:r>
    </w:p>
    <w:p w14:paraId="55BA8C7F" w14:textId="05A9EE9F" w:rsidR="002C1FFD" w:rsidRDefault="002C1FFD" w:rsidP="00CE5432">
      <w:pPr>
        <w:spacing w:line="360" w:lineRule="auto"/>
        <w:jc w:val="right"/>
        <w:rPr>
          <w:i/>
          <w:lang w:val="en-US"/>
        </w:rPr>
      </w:pPr>
    </w:p>
    <w:p w14:paraId="6BD2167A" w14:textId="037967A8" w:rsidR="00CE5432" w:rsidRPr="00CE5432" w:rsidRDefault="00CE5432" w:rsidP="00CE5432">
      <w:pPr>
        <w:spacing w:line="360" w:lineRule="auto"/>
        <w:jc w:val="right"/>
        <w:rPr>
          <w:i/>
          <w:lang w:val="en-US"/>
        </w:rPr>
      </w:pPr>
      <w:r>
        <w:rPr>
          <w:i/>
          <w:lang w:val="en-US"/>
        </w:rPr>
        <w:t xml:space="preserve"> </w:t>
      </w:r>
    </w:p>
    <w:p w14:paraId="46C6D9A5" w14:textId="77777777" w:rsidR="00297695" w:rsidRPr="00297695" w:rsidRDefault="00297695" w:rsidP="00297695">
      <w:pPr>
        <w:spacing w:line="360" w:lineRule="auto"/>
        <w:jc w:val="center"/>
        <w:rPr>
          <w:lang w:val="en-US"/>
        </w:rPr>
      </w:pPr>
    </w:p>
    <w:p w14:paraId="559876A4" w14:textId="77777777" w:rsidR="00297695" w:rsidRPr="00297695" w:rsidRDefault="00297695" w:rsidP="00297695">
      <w:pPr>
        <w:spacing w:line="360" w:lineRule="auto"/>
        <w:jc w:val="center"/>
        <w:rPr>
          <w:lang w:val="en-US"/>
        </w:rPr>
      </w:pPr>
    </w:p>
    <w:p w14:paraId="550C5A67" w14:textId="77777777" w:rsidR="00297695" w:rsidRPr="00297695" w:rsidRDefault="00297695" w:rsidP="00297695">
      <w:pPr>
        <w:spacing w:line="360" w:lineRule="auto"/>
        <w:jc w:val="center"/>
        <w:rPr>
          <w:lang w:val="en-US"/>
        </w:rPr>
      </w:pPr>
    </w:p>
    <w:p w14:paraId="55F4FFAD" w14:textId="77777777" w:rsidR="00297695" w:rsidRPr="00297695" w:rsidRDefault="00297695" w:rsidP="00297695">
      <w:pPr>
        <w:spacing w:line="360" w:lineRule="auto"/>
        <w:jc w:val="center"/>
        <w:rPr>
          <w:lang w:val="en-US"/>
        </w:rPr>
      </w:pPr>
    </w:p>
    <w:p w14:paraId="33017D05" w14:textId="77777777" w:rsidR="00297695" w:rsidRPr="00297695" w:rsidRDefault="00297695" w:rsidP="00297695">
      <w:pPr>
        <w:spacing w:line="360" w:lineRule="auto"/>
        <w:jc w:val="center"/>
        <w:rPr>
          <w:lang w:val="en-US"/>
        </w:rPr>
      </w:pPr>
    </w:p>
    <w:p w14:paraId="5B25F53E" w14:textId="77777777" w:rsidR="00297695" w:rsidRPr="00297695" w:rsidRDefault="00297695" w:rsidP="00297695">
      <w:pPr>
        <w:spacing w:line="360" w:lineRule="auto"/>
        <w:jc w:val="center"/>
        <w:rPr>
          <w:lang w:val="en-US"/>
        </w:rPr>
      </w:pPr>
    </w:p>
    <w:p w14:paraId="5A3E2FDA" w14:textId="77777777" w:rsidR="00297695" w:rsidRPr="00297695" w:rsidRDefault="00297695" w:rsidP="00297695">
      <w:pPr>
        <w:spacing w:line="360" w:lineRule="auto"/>
        <w:jc w:val="center"/>
        <w:rPr>
          <w:lang w:val="en-US"/>
        </w:rPr>
      </w:pPr>
    </w:p>
    <w:p w14:paraId="1EBEA05B" w14:textId="77777777" w:rsidR="00297695" w:rsidRPr="00297695" w:rsidRDefault="00297695" w:rsidP="00297695">
      <w:pPr>
        <w:spacing w:line="360" w:lineRule="auto"/>
        <w:jc w:val="center"/>
        <w:rPr>
          <w:lang w:val="en-US"/>
        </w:rPr>
      </w:pPr>
    </w:p>
    <w:p w14:paraId="121A7497" w14:textId="77777777" w:rsidR="00297695" w:rsidRPr="00297695" w:rsidRDefault="00297695" w:rsidP="00297695">
      <w:pPr>
        <w:spacing w:line="360" w:lineRule="auto"/>
        <w:jc w:val="center"/>
        <w:rPr>
          <w:lang w:val="en-US"/>
        </w:rPr>
      </w:pPr>
    </w:p>
    <w:p w14:paraId="1BF77ACE" w14:textId="77777777" w:rsidR="00297695" w:rsidRPr="00297695" w:rsidRDefault="00297695" w:rsidP="00297695">
      <w:pPr>
        <w:spacing w:line="360" w:lineRule="auto"/>
        <w:jc w:val="center"/>
        <w:rPr>
          <w:lang w:val="en-US"/>
        </w:rPr>
      </w:pPr>
    </w:p>
    <w:p w14:paraId="002F024A" w14:textId="77777777" w:rsidR="00297695" w:rsidRPr="00297695" w:rsidRDefault="00297695" w:rsidP="00297695">
      <w:pPr>
        <w:spacing w:line="360" w:lineRule="auto"/>
        <w:jc w:val="center"/>
        <w:rPr>
          <w:lang w:val="en-US"/>
        </w:rPr>
      </w:pPr>
    </w:p>
    <w:p w14:paraId="26776F02" w14:textId="77777777" w:rsidR="00297695" w:rsidRPr="00297695" w:rsidRDefault="00297695" w:rsidP="00297695">
      <w:pPr>
        <w:spacing w:line="360" w:lineRule="auto"/>
        <w:jc w:val="center"/>
        <w:rPr>
          <w:lang w:val="en-US"/>
        </w:rPr>
      </w:pPr>
    </w:p>
    <w:p w14:paraId="4EEA53F4" w14:textId="77777777" w:rsidR="00297695" w:rsidRPr="00297695" w:rsidRDefault="00297695" w:rsidP="00297695">
      <w:pPr>
        <w:spacing w:line="360" w:lineRule="auto"/>
        <w:jc w:val="center"/>
        <w:rPr>
          <w:lang w:val="en-US"/>
        </w:rPr>
      </w:pPr>
    </w:p>
    <w:p w14:paraId="0EA390A9" w14:textId="77777777" w:rsidR="00297695" w:rsidRPr="00297695" w:rsidRDefault="00297695" w:rsidP="00297695">
      <w:pPr>
        <w:spacing w:line="360" w:lineRule="auto"/>
        <w:jc w:val="center"/>
        <w:rPr>
          <w:lang w:val="en-US"/>
        </w:rPr>
      </w:pPr>
    </w:p>
    <w:p w14:paraId="33F14EC7" w14:textId="77777777" w:rsidR="00297695" w:rsidRPr="00297695" w:rsidRDefault="00297695" w:rsidP="00297695">
      <w:pPr>
        <w:spacing w:line="360" w:lineRule="auto"/>
        <w:jc w:val="center"/>
        <w:rPr>
          <w:lang w:val="en-US"/>
        </w:rPr>
      </w:pPr>
    </w:p>
    <w:p w14:paraId="4B6808A6" w14:textId="77777777" w:rsidR="00297695" w:rsidRPr="00297695" w:rsidRDefault="00297695" w:rsidP="00297695">
      <w:pPr>
        <w:spacing w:line="360" w:lineRule="auto"/>
        <w:jc w:val="center"/>
        <w:rPr>
          <w:lang w:val="en-US"/>
        </w:rPr>
      </w:pPr>
    </w:p>
    <w:p w14:paraId="15B3B358" w14:textId="77777777" w:rsidR="001F2C71" w:rsidRDefault="001F2C71" w:rsidP="00297216">
      <w:pPr>
        <w:jc w:val="both"/>
        <w:rPr>
          <w:lang w:val="en-US"/>
        </w:rPr>
      </w:pPr>
    </w:p>
    <w:p w14:paraId="3ACB0A66" w14:textId="77777777" w:rsidR="00114547" w:rsidRDefault="00114547" w:rsidP="00297216">
      <w:pPr>
        <w:jc w:val="both"/>
        <w:rPr>
          <w:b/>
          <w:lang w:val="en-US"/>
        </w:rPr>
      </w:pPr>
    </w:p>
    <w:p w14:paraId="04203EDE" w14:textId="64187954" w:rsidR="00297216" w:rsidRDefault="00297695" w:rsidP="00297216">
      <w:pPr>
        <w:jc w:val="both"/>
        <w:rPr>
          <w:b/>
          <w:lang w:val="en-US"/>
        </w:rPr>
      </w:pPr>
      <w:r w:rsidRPr="00297695">
        <w:rPr>
          <w:b/>
          <w:lang w:val="en-US"/>
        </w:rPr>
        <w:t>Declaration by the Author</w:t>
      </w:r>
    </w:p>
    <w:p w14:paraId="19F36B94" w14:textId="77777777" w:rsidR="00297216" w:rsidRDefault="00297216" w:rsidP="00297216">
      <w:pPr>
        <w:jc w:val="both"/>
        <w:rPr>
          <w:b/>
          <w:lang w:val="en-US"/>
        </w:rPr>
      </w:pPr>
    </w:p>
    <w:p w14:paraId="2A72BAFF" w14:textId="1C406297" w:rsidR="00297216" w:rsidRDefault="00297216" w:rsidP="00297216">
      <w:pPr>
        <w:spacing w:line="360" w:lineRule="auto"/>
        <w:jc w:val="both"/>
        <w:rPr>
          <w:lang w:val="en-US"/>
        </w:rPr>
      </w:pPr>
      <w:r>
        <w:rPr>
          <w:lang w:val="en-US"/>
        </w:rPr>
        <w:t>This thesis is composed of my original work</w:t>
      </w:r>
      <w:r w:rsidR="00212999">
        <w:rPr>
          <w:lang w:val="en-US"/>
        </w:rPr>
        <w:t>: it does not contain</w:t>
      </w:r>
      <w:r>
        <w:rPr>
          <w:lang w:val="en-US"/>
        </w:rPr>
        <w:t xml:space="preserve"> material previously published or written by another person except where due reference has been made in the text.</w:t>
      </w:r>
    </w:p>
    <w:p w14:paraId="0D0AB382" w14:textId="27FEB924" w:rsidR="00297216" w:rsidRDefault="006B230F" w:rsidP="00297216">
      <w:pPr>
        <w:spacing w:line="360" w:lineRule="auto"/>
        <w:ind w:firstLine="709"/>
        <w:jc w:val="both"/>
        <w:rPr>
          <w:lang w:val="en-US"/>
        </w:rPr>
      </w:pPr>
      <w:r>
        <w:rPr>
          <w:lang w:val="en-US"/>
        </w:rPr>
        <w:t>The Chapter 1 (Introduction) and Chapter 6 (Conclusion)</w:t>
      </w:r>
      <w:r w:rsidR="00297216">
        <w:rPr>
          <w:lang w:val="en-US"/>
        </w:rPr>
        <w:t xml:space="preserve"> sections are composed by my original work and have been written 100% by myself. </w:t>
      </w:r>
    </w:p>
    <w:p w14:paraId="790DFFBE" w14:textId="4CD44781" w:rsidR="00297216" w:rsidRDefault="006B230F" w:rsidP="00297216">
      <w:pPr>
        <w:spacing w:line="360" w:lineRule="auto"/>
        <w:ind w:firstLine="709"/>
        <w:jc w:val="both"/>
        <w:rPr>
          <w:lang w:val="en-US"/>
        </w:rPr>
      </w:pPr>
      <w:r>
        <w:rPr>
          <w:lang w:val="en-US"/>
        </w:rPr>
        <w:t>Chapter 2</w:t>
      </w:r>
      <w:r w:rsidR="00297216">
        <w:rPr>
          <w:lang w:val="en-US"/>
        </w:rPr>
        <w:t xml:space="preserve"> is composed by 100% </w:t>
      </w:r>
      <w:r w:rsidR="00285636">
        <w:rPr>
          <w:lang w:val="en-US"/>
        </w:rPr>
        <w:t>of my orig</w:t>
      </w:r>
      <w:r>
        <w:rPr>
          <w:lang w:val="en-US"/>
        </w:rPr>
        <w:t>inal work and writing. Chapter 3</w:t>
      </w:r>
      <w:r w:rsidR="00285636">
        <w:rPr>
          <w:lang w:val="en-US"/>
        </w:rPr>
        <w:t xml:space="preserve"> represents my own work and has been written 100% by myself:</w:t>
      </w:r>
      <w:r w:rsidR="00297216">
        <w:rPr>
          <w:lang w:val="en-US"/>
        </w:rPr>
        <w:t xml:space="preserve"> Valentina Vechi collaborated in the collection of the information regarding the background of the Italian Hi</w:t>
      </w:r>
      <w:r>
        <w:rPr>
          <w:lang w:val="en-US"/>
        </w:rPr>
        <w:t>gher Education system. Chapter 4 and 5</w:t>
      </w:r>
      <w:r w:rsidR="00285636">
        <w:rPr>
          <w:lang w:val="en-US"/>
        </w:rPr>
        <w:t xml:space="preserve"> are composed by 100% of my original work and writing: Matteo Scrascia collaborated in the collection of the data through some questionnaires (Chap</w:t>
      </w:r>
      <w:r w:rsidR="002D4EA2">
        <w:rPr>
          <w:lang w:val="en-US"/>
        </w:rPr>
        <w:t>ter 4</w:t>
      </w:r>
      <w:r w:rsidR="00285636">
        <w:rPr>
          <w:lang w:val="en-US"/>
        </w:rPr>
        <w:t>) and in the analysis proc</w:t>
      </w:r>
      <w:r w:rsidR="002D4EA2">
        <w:rPr>
          <w:lang w:val="en-US"/>
        </w:rPr>
        <w:t>ess of the interviews (Chapter 5</w:t>
      </w:r>
      <w:r w:rsidR="00285636">
        <w:rPr>
          <w:lang w:val="en-US"/>
        </w:rPr>
        <w:t xml:space="preserve">). </w:t>
      </w:r>
    </w:p>
    <w:p w14:paraId="3CAC8C1D" w14:textId="382C9C19" w:rsidR="00285636" w:rsidRDefault="00285636" w:rsidP="00297216">
      <w:pPr>
        <w:spacing w:line="360" w:lineRule="auto"/>
        <w:ind w:firstLine="709"/>
        <w:jc w:val="both"/>
        <w:rPr>
          <w:lang w:val="en-US"/>
        </w:rPr>
      </w:pPr>
      <w:r>
        <w:rPr>
          <w:lang w:val="en-US"/>
        </w:rPr>
        <w:t>The work referred to in the extant thesis</w:t>
      </w:r>
      <w:r w:rsidR="0079383B">
        <w:rPr>
          <w:lang w:val="en-US"/>
        </w:rPr>
        <w:t xml:space="preserve"> has not been submitted </w:t>
      </w:r>
      <w:r w:rsidR="00BD5962">
        <w:rPr>
          <w:lang w:val="en-US"/>
        </w:rPr>
        <w:t>in support of an application for</w:t>
      </w:r>
      <w:r w:rsidR="0079383B">
        <w:rPr>
          <w:lang w:val="en-US"/>
        </w:rPr>
        <w:t xml:space="preserve"> another degree or qualification of this or any other University or other institute of learning.</w:t>
      </w:r>
    </w:p>
    <w:p w14:paraId="0073B553" w14:textId="2DE8D4EB" w:rsidR="0079383B" w:rsidRDefault="0079383B" w:rsidP="00297216">
      <w:pPr>
        <w:spacing w:line="360" w:lineRule="auto"/>
        <w:ind w:firstLine="709"/>
        <w:jc w:val="both"/>
        <w:rPr>
          <w:lang w:val="en-US"/>
        </w:rPr>
      </w:pPr>
      <w:r>
        <w:rPr>
          <w:lang w:val="en-US"/>
        </w:rPr>
        <w:t xml:space="preserve">I declare that this embodies the results of my own work. Following normal academic conventions, I have made due acknowledgement of the work of others. </w:t>
      </w:r>
    </w:p>
    <w:p w14:paraId="55CC4EBA" w14:textId="77777777" w:rsidR="00391863" w:rsidRDefault="00391863" w:rsidP="00391863">
      <w:pPr>
        <w:spacing w:line="360" w:lineRule="auto"/>
        <w:ind w:firstLine="709"/>
        <w:rPr>
          <w:lang w:val="en-US"/>
        </w:rPr>
      </w:pPr>
    </w:p>
    <w:p w14:paraId="55275C8C" w14:textId="77777777" w:rsidR="00391863" w:rsidRDefault="00391863" w:rsidP="00391863">
      <w:pPr>
        <w:spacing w:line="360" w:lineRule="auto"/>
        <w:ind w:firstLine="709"/>
        <w:rPr>
          <w:lang w:val="en-US"/>
        </w:rPr>
      </w:pPr>
    </w:p>
    <w:p w14:paraId="19F52285" w14:textId="1CC6FA5B" w:rsidR="00391863" w:rsidRPr="00391863" w:rsidRDefault="00391863" w:rsidP="00391863">
      <w:pPr>
        <w:spacing w:line="360" w:lineRule="auto"/>
        <w:rPr>
          <w:b/>
          <w:lang w:val="en-US"/>
        </w:rPr>
      </w:pPr>
      <w:r w:rsidRPr="00391863">
        <w:rPr>
          <w:b/>
          <w:lang w:val="en-US"/>
        </w:rPr>
        <w:t>Copyright statement</w:t>
      </w:r>
    </w:p>
    <w:p w14:paraId="316EE801" w14:textId="6556FCA6" w:rsidR="00297216" w:rsidRDefault="00391863" w:rsidP="00391863">
      <w:pPr>
        <w:spacing w:line="360" w:lineRule="auto"/>
        <w:jc w:val="both"/>
        <w:rPr>
          <w:lang w:val="en-US"/>
        </w:rPr>
      </w:pPr>
      <w:r>
        <w:rPr>
          <w:lang w:val="en-US"/>
        </w:rPr>
        <w:t>Copyright in the text of this thesis rests with the Author. Copies (by any process) either in full, or of extracts, may be made only in accordance with instructions given by the Author.</w:t>
      </w:r>
    </w:p>
    <w:p w14:paraId="62164471" w14:textId="77777777" w:rsidR="00391863" w:rsidRDefault="00391863" w:rsidP="00391863">
      <w:pPr>
        <w:spacing w:line="360" w:lineRule="auto"/>
        <w:jc w:val="both"/>
        <w:rPr>
          <w:lang w:val="en-US"/>
        </w:rPr>
      </w:pPr>
    </w:p>
    <w:p w14:paraId="0B4C9E3D" w14:textId="7F99013B" w:rsidR="00391863" w:rsidRDefault="00391863" w:rsidP="00391863">
      <w:pPr>
        <w:spacing w:line="360" w:lineRule="auto"/>
        <w:jc w:val="right"/>
        <w:rPr>
          <w:lang w:val="en-US"/>
        </w:rPr>
      </w:pPr>
      <w:r>
        <w:rPr>
          <w:lang w:val="en-US"/>
        </w:rPr>
        <w:t>Pavia, Italy</w:t>
      </w:r>
    </w:p>
    <w:p w14:paraId="155F2EF4" w14:textId="1FA03152" w:rsidR="00391863" w:rsidRPr="00391863" w:rsidRDefault="00391863" w:rsidP="00391863">
      <w:pPr>
        <w:spacing w:line="360" w:lineRule="auto"/>
        <w:jc w:val="right"/>
        <w:rPr>
          <w:i/>
          <w:lang w:val="en-US"/>
        </w:rPr>
      </w:pPr>
      <w:r w:rsidRPr="00391863">
        <w:rPr>
          <w:i/>
          <w:lang w:val="en-US"/>
        </w:rPr>
        <w:t>Data</w:t>
      </w:r>
    </w:p>
    <w:p w14:paraId="141C601F" w14:textId="5F90E922" w:rsidR="00391863" w:rsidRDefault="00391863" w:rsidP="00391863">
      <w:pPr>
        <w:spacing w:line="360" w:lineRule="auto"/>
        <w:jc w:val="right"/>
        <w:rPr>
          <w:lang w:val="en-US"/>
        </w:rPr>
      </w:pPr>
      <w:r>
        <w:rPr>
          <w:lang w:val="en-US"/>
        </w:rPr>
        <w:t>Elena Madeo</w:t>
      </w:r>
    </w:p>
    <w:p w14:paraId="2BD13649" w14:textId="77777777" w:rsidR="00391863" w:rsidRDefault="00391863" w:rsidP="00391863">
      <w:pPr>
        <w:spacing w:line="360" w:lineRule="auto"/>
        <w:jc w:val="right"/>
        <w:rPr>
          <w:lang w:val="en-US"/>
        </w:rPr>
      </w:pPr>
    </w:p>
    <w:p w14:paraId="06E36279" w14:textId="77777777" w:rsidR="00391863" w:rsidRDefault="00391863" w:rsidP="00391863">
      <w:pPr>
        <w:spacing w:line="360" w:lineRule="auto"/>
        <w:jc w:val="right"/>
        <w:rPr>
          <w:lang w:val="en-US"/>
        </w:rPr>
      </w:pPr>
    </w:p>
    <w:p w14:paraId="5C45683D" w14:textId="77777777" w:rsidR="00391863" w:rsidRDefault="00391863" w:rsidP="00391863">
      <w:pPr>
        <w:spacing w:line="360" w:lineRule="auto"/>
        <w:jc w:val="right"/>
        <w:rPr>
          <w:lang w:val="en-US"/>
        </w:rPr>
      </w:pPr>
    </w:p>
    <w:p w14:paraId="6DBCD369" w14:textId="77777777" w:rsidR="00391863" w:rsidRDefault="00391863" w:rsidP="00391863">
      <w:pPr>
        <w:spacing w:line="360" w:lineRule="auto"/>
        <w:jc w:val="right"/>
        <w:rPr>
          <w:lang w:val="en-US"/>
        </w:rPr>
      </w:pPr>
    </w:p>
    <w:p w14:paraId="00074887" w14:textId="77777777" w:rsidR="00391863" w:rsidRDefault="00391863" w:rsidP="00391863">
      <w:pPr>
        <w:spacing w:line="360" w:lineRule="auto"/>
        <w:jc w:val="right"/>
        <w:rPr>
          <w:lang w:val="en-US"/>
        </w:rPr>
      </w:pPr>
    </w:p>
    <w:p w14:paraId="32760D61" w14:textId="77777777" w:rsidR="00391863" w:rsidRDefault="00391863" w:rsidP="00391863">
      <w:pPr>
        <w:spacing w:line="360" w:lineRule="auto"/>
        <w:jc w:val="right"/>
        <w:rPr>
          <w:lang w:val="en-US"/>
        </w:rPr>
      </w:pPr>
    </w:p>
    <w:p w14:paraId="75EC0DC4" w14:textId="77777777" w:rsidR="00391863" w:rsidRDefault="00391863" w:rsidP="00391863">
      <w:pPr>
        <w:spacing w:line="360" w:lineRule="auto"/>
        <w:jc w:val="right"/>
        <w:rPr>
          <w:lang w:val="en-US"/>
        </w:rPr>
      </w:pPr>
    </w:p>
    <w:p w14:paraId="7BD90346" w14:textId="77777777" w:rsidR="00391863" w:rsidRDefault="00391863" w:rsidP="00391863">
      <w:pPr>
        <w:spacing w:line="360" w:lineRule="auto"/>
        <w:jc w:val="right"/>
        <w:rPr>
          <w:lang w:val="en-US"/>
        </w:rPr>
      </w:pPr>
    </w:p>
    <w:p w14:paraId="4F5F83FF" w14:textId="77777777" w:rsidR="00391863" w:rsidRDefault="00391863" w:rsidP="00391863">
      <w:pPr>
        <w:spacing w:line="360" w:lineRule="auto"/>
        <w:jc w:val="right"/>
        <w:rPr>
          <w:lang w:val="en-US"/>
        </w:rPr>
      </w:pPr>
    </w:p>
    <w:p w14:paraId="1E57B950" w14:textId="77777777" w:rsidR="00391863" w:rsidRDefault="00391863" w:rsidP="00391863">
      <w:pPr>
        <w:spacing w:line="360" w:lineRule="auto"/>
        <w:jc w:val="right"/>
        <w:rPr>
          <w:lang w:val="en-US"/>
        </w:rPr>
      </w:pPr>
    </w:p>
    <w:p w14:paraId="266CE637" w14:textId="77777777" w:rsidR="00391863" w:rsidRDefault="00391863" w:rsidP="00391863">
      <w:pPr>
        <w:spacing w:line="360" w:lineRule="auto"/>
        <w:jc w:val="right"/>
        <w:rPr>
          <w:lang w:val="en-US"/>
        </w:rPr>
      </w:pPr>
    </w:p>
    <w:p w14:paraId="3AC88FA4" w14:textId="77777777" w:rsidR="00391863" w:rsidRDefault="00391863" w:rsidP="00391863">
      <w:pPr>
        <w:spacing w:line="360" w:lineRule="auto"/>
        <w:jc w:val="right"/>
        <w:rPr>
          <w:lang w:val="en-US"/>
        </w:rPr>
      </w:pPr>
    </w:p>
    <w:p w14:paraId="3B3B613E" w14:textId="77777777" w:rsidR="00391863" w:rsidRDefault="00391863" w:rsidP="00391863">
      <w:pPr>
        <w:spacing w:line="360" w:lineRule="auto"/>
        <w:jc w:val="right"/>
        <w:rPr>
          <w:lang w:val="en-US"/>
        </w:rPr>
      </w:pPr>
    </w:p>
    <w:p w14:paraId="700E591E" w14:textId="77777777" w:rsidR="00391863" w:rsidRDefault="00391863" w:rsidP="00391863">
      <w:pPr>
        <w:spacing w:line="360" w:lineRule="auto"/>
        <w:jc w:val="right"/>
        <w:rPr>
          <w:lang w:val="en-US"/>
        </w:rPr>
      </w:pPr>
    </w:p>
    <w:p w14:paraId="717DCCAE" w14:textId="77777777" w:rsidR="00391863" w:rsidRDefault="00391863" w:rsidP="00391863">
      <w:pPr>
        <w:spacing w:line="360" w:lineRule="auto"/>
        <w:jc w:val="right"/>
        <w:rPr>
          <w:lang w:val="en-US"/>
        </w:rPr>
      </w:pPr>
    </w:p>
    <w:p w14:paraId="022227ED" w14:textId="77777777" w:rsidR="00391863" w:rsidRDefault="00391863" w:rsidP="00391863">
      <w:pPr>
        <w:spacing w:line="360" w:lineRule="auto"/>
        <w:jc w:val="right"/>
        <w:rPr>
          <w:lang w:val="en-US"/>
        </w:rPr>
      </w:pPr>
    </w:p>
    <w:p w14:paraId="7362542F" w14:textId="77777777" w:rsidR="00391863" w:rsidRDefault="00391863" w:rsidP="00391863">
      <w:pPr>
        <w:spacing w:line="360" w:lineRule="auto"/>
        <w:jc w:val="right"/>
        <w:rPr>
          <w:lang w:val="en-US"/>
        </w:rPr>
      </w:pPr>
    </w:p>
    <w:p w14:paraId="1E448BE9" w14:textId="77777777" w:rsidR="00391863" w:rsidRDefault="00391863" w:rsidP="00391863">
      <w:pPr>
        <w:spacing w:line="360" w:lineRule="auto"/>
        <w:jc w:val="right"/>
        <w:rPr>
          <w:lang w:val="en-US"/>
        </w:rPr>
      </w:pPr>
    </w:p>
    <w:p w14:paraId="46B8255D" w14:textId="77777777" w:rsidR="00391863" w:rsidRDefault="00391863" w:rsidP="00391863">
      <w:pPr>
        <w:spacing w:line="360" w:lineRule="auto"/>
        <w:jc w:val="right"/>
        <w:rPr>
          <w:lang w:val="en-US"/>
        </w:rPr>
      </w:pPr>
    </w:p>
    <w:p w14:paraId="217E31B6" w14:textId="77777777" w:rsidR="00391863" w:rsidRDefault="00391863" w:rsidP="00391863">
      <w:pPr>
        <w:spacing w:line="360" w:lineRule="auto"/>
        <w:jc w:val="right"/>
        <w:rPr>
          <w:lang w:val="en-US"/>
        </w:rPr>
      </w:pPr>
    </w:p>
    <w:p w14:paraId="0145CD31" w14:textId="77777777" w:rsidR="00391863" w:rsidRDefault="00391863" w:rsidP="00391863">
      <w:pPr>
        <w:spacing w:line="360" w:lineRule="auto"/>
        <w:jc w:val="right"/>
        <w:rPr>
          <w:lang w:val="en-US"/>
        </w:rPr>
      </w:pPr>
    </w:p>
    <w:p w14:paraId="6DDD7B82" w14:textId="77777777" w:rsidR="00391863" w:rsidRDefault="00391863" w:rsidP="00391863">
      <w:pPr>
        <w:spacing w:line="360" w:lineRule="auto"/>
        <w:jc w:val="right"/>
        <w:rPr>
          <w:lang w:val="en-US"/>
        </w:rPr>
      </w:pPr>
    </w:p>
    <w:p w14:paraId="64D81898" w14:textId="77777777" w:rsidR="00391863" w:rsidRDefault="00391863" w:rsidP="00391863">
      <w:pPr>
        <w:spacing w:line="360" w:lineRule="auto"/>
        <w:jc w:val="right"/>
        <w:rPr>
          <w:lang w:val="en-US"/>
        </w:rPr>
      </w:pPr>
    </w:p>
    <w:p w14:paraId="51347A07" w14:textId="77777777" w:rsidR="00391863" w:rsidRDefault="00391863" w:rsidP="00391863">
      <w:pPr>
        <w:spacing w:line="360" w:lineRule="auto"/>
        <w:jc w:val="right"/>
        <w:rPr>
          <w:lang w:val="en-US"/>
        </w:rPr>
      </w:pPr>
    </w:p>
    <w:p w14:paraId="653A2D37" w14:textId="77777777" w:rsidR="00391863" w:rsidRDefault="00391863" w:rsidP="00391863">
      <w:pPr>
        <w:spacing w:line="360" w:lineRule="auto"/>
        <w:jc w:val="right"/>
        <w:rPr>
          <w:lang w:val="en-US"/>
        </w:rPr>
      </w:pPr>
    </w:p>
    <w:p w14:paraId="03E58C8C" w14:textId="77777777" w:rsidR="00391863" w:rsidRDefault="00391863" w:rsidP="00391863">
      <w:pPr>
        <w:spacing w:line="360" w:lineRule="auto"/>
        <w:jc w:val="right"/>
        <w:rPr>
          <w:lang w:val="en-US"/>
        </w:rPr>
      </w:pPr>
    </w:p>
    <w:p w14:paraId="184D8A1D" w14:textId="77777777" w:rsidR="00391863" w:rsidRDefault="00391863" w:rsidP="00391863">
      <w:pPr>
        <w:spacing w:line="360" w:lineRule="auto"/>
        <w:jc w:val="right"/>
        <w:rPr>
          <w:lang w:val="en-US"/>
        </w:rPr>
      </w:pPr>
    </w:p>
    <w:p w14:paraId="71B8374D" w14:textId="77777777" w:rsidR="00391863" w:rsidRDefault="00391863" w:rsidP="00391863">
      <w:pPr>
        <w:spacing w:line="360" w:lineRule="auto"/>
        <w:jc w:val="right"/>
        <w:rPr>
          <w:lang w:val="en-US"/>
        </w:rPr>
      </w:pPr>
    </w:p>
    <w:p w14:paraId="432E6ABA" w14:textId="77777777" w:rsidR="00391863" w:rsidRDefault="00391863" w:rsidP="00391863">
      <w:pPr>
        <w:spacing w:line="360" w:lineRule="auto"/>
        <w:jc w:val="right"/>
        <w:rPr>
          <w:lang w:val="en-US"/>
        </w:rPr>
      </w:pPr>
    </w:p>
    <w:p w14:paraId="66C12ED2" w14:textId="77777777" w:rsidR="00391863" w:rsidRDefault="00391863" w:rsidP="00391863">
      <w:pPr>
        <w:spacing w:line="360" w:lineRule="auto"/>
        <w:jc w:val="right"/>
        <w:rPr>
          <w:lang w:val="en-US"/>
        </w:rPr>
      </w:pPr>
    </w:p>
    <w:p w14:paraId="1C2E128C" w14:textId="77777777" w:rsidR="00391863" w:rsidRDefault="00391863" w:rsidP="00391863">
      <w:pPr>
        <w:spacing w:line="360" w:lineRule="auto"/>
        <w:jc w:val="right"/>
        <w:rPr>
          <w:lang w:val="en-US"/>
        </w:rPr>
      </w:pPr>
    </w:p>
    <w:p w14:paraId="2E8A39AF" w14:textId="77777777" w:rsidR="00391863" w:rsidRDefault="00391863" w:rsidP="00391863">
      <w:pPr>
        <w:spacing w:line="360" w:lineRule="auto"/>
        <w:jc w:val="right"/>
        <w:rPr>
          <w:lang w:val="en-US"/>
        </w:rPr>
      </w:pPr>
    </w:p>
    <w:p w14:paraId="07D3CA97" w14:textId="77777777" w:rsidR="00391863" w:rsidRDefault="00391863" w:rsidP="00391863">
      <w:pPr>
        <w:spacing w:line="360" w:lineRule="auto"/>
        <w:jc w:val="right"/>
        <w:rPr>
          <w:lang w:val="en-US"/>
        </w:rPr>
      </w:pPr>
    </w:p>
    <w:p w14:paraId="630FB86D" w14:textId="77777777" w:rsidR="00391863" w:rsidRDefault="00391863" w:rsidP="00391863">
      <w:pPr>
        <w:spacing w:line="360" w:lineRule="auto"/>
        <w:jc w:val="right"/>
        <w:rPr>
          <w:lang w:val="en-US"/>
        </w:rPr>
      </w:pPr>
    </w:p>
    <w:p w14:paraId="6D2328ED" w14:textId="77777777" w:rsidR="00391863" w:rsidRDefault="00391863" w:rsidP="00391863">
      <w:pPr>
        <w:spacing w:line="360" w:lineRule="auto"/>
        <w:jc w:val="right"/>
        <w:rPr>
          <w:lang w:val="en-US"/>
        </w:rPr>
      </w:pPr>
    </w:p>
    <w:p w14:paraId="78E60B8C" w14:textId="77777777" w:rsidR="00391863" w:rsidRDefault="00391863" w:rsidP="00391863">
      <w:pPr>
        <w:spacing w:line="360" w:lineRule="auto"/>
        <w:jc w:val="right"/>
        <w:rPr>
          <w:lang w:val="en-US"/>
        </w:rPr>
      </w:pPr>
    </w:p>
    <w:p w14:paraId="2C55F904" w14:textId="77777777" w:rsidR="00391863" w:rsidRDefault="00391863" w:rsidP="00391863">
      <w:pPr>
        <w:spacing w:line="360" w:lineRule="auto"/>
        <w:jc w:val="right"/>
        <w:rPr>
          <w:lang w:val="en-US"/>
        </w:rPr>
      </w:pPr>
    </w:p>
    <w:p w14:paraId="793ECB5E" w14:textId="77777777" w:rsidR="00391863" w:rsidRDefault="00391863" w:rsidP="00391863">
      <w:pPr>
        <w:spacing w:line="360" w:lineRule="auto"/>
        <w:jc w:val="right"/>
        <w:rPr>
          <w:lang w:val="en-US"/>
        </w:rPr>
      </w:pPr>
    </w:p>
    <w:p w14:paraId="790CC8D6" w14:textId="77777777" w:rsidR="00391863" w:rsidRDefault="00391863" w:rsidP="00391863">
      <w:pPr>
        <w:spacing w:line="360" w:lineRule="auto"/>
        <w:jc w:val="right"/>
        <w:rPr>
          <w:lang w:val="en-US"/>
        </w:rPr>
      </w:pPr>
    </w:p>
    <w:p w14:paraId="7A81A4F6" w14:textId="77777777" w:rsidR="00391863" w:rsidRDefault="00391863" w:rsidP="00391863">
      <w:pPr>
        <w:spacing w:line="360" w:lineRule="auto"/>
        <w:jc w:val="right"/>
        <w:rPr>
          <w:lang w:val="en-US"/>
        </w:rPr>
      </w:pPr>
    </w:p>
    <w:p w14:paraId="6EF4A60A" w14:textId="77777777" w:rsidR="00391863" w:rsidRDefault="00391863" w:rsidP="00391863">
      <w:pPr>
        <w:spacing w:line="360" w:lineRule="auto"/>
        <w:jc w:val="right"/>
        <w:rPr>
          <w:lang w:val="en-US"/>
        </w:rPr>
      </w:pPr>
    </w:p>
    <w:p w14:paraId="4E150FDC" w14:textId="77777777" w:rsidR="00D47E05" w:rsidRDefault="00D47E05" w:rsidP="00391863">
      <w:pPr>
        <w:spacing w:line="360" w:lineRule="auto"/>
        <w:jc w:val="both"/>
        <w:rPr>
          <w:b/>
          <w:lang w:val="en-US"/>
        </w:rPr>
      </w:pPr>
    </w:p>
    <w:p w14:paraId="26D8C711" w14:textId="6559A360" w:rsidR="001E1CF9" w:rsidRDefault="006837BA" w:rsidP="00391863">
      <w:pPr>
        <w:spacing w:line="360" w:lineRule="auto"/>
        <w:jc w:val="both"/>
        <w:rPr>
          <w:b/>
          <w:lang w:val="en-US"/>
        </w:rPr>
      </w:pPr>
      <w:r>
        <w:rPr>
          <w:b/>
          <w:lang w:val="en-US"/>
        </w:rPr>
        <w:t xml:space="preserve">Abstract </w:t>
      </w:r>
    </w:p>
    <w:p w14:paraId="405412F1" w14:textId="1D98E819" w:rsidR="00665662" w:rsidRPr="001E1CF9" w:rsidRDefault="00665662" w:rsidP="00665662">
      <w:pPr>
        <w:rPr>
          <w:i/>
          <w:sz w:val="20"/>
          <w:szCs w:val="20"/>
          <w:lang w:val="en-US"/>
        </w:rPr>
      </w:pPr>
      <w:r w:rsidRPr="001E1CF9">
        <w:rPr>
          <w:i/>
          <w:sz w:val="20"/>
          <w:szCs w:val="20"/>
          <w:lang w:val="en-US"/>
        </w:rPr>
        <w:t xml:space="preserve">The recent economic downturn has slowed down public sector severely and the situation is expected to get worse until the economy recovers. This is the main reason why also public higher education has grown to appreciate added support from charitable gifts. Therefore, the competition for private charitable donations has become fierce and donors are exposed to an increasing number of solicitations for support. Moreover, fundraising has been acknowledged as “a persuasive activity that seeks to convince donors to a worthy cause”. Furthermore, in a wider perspective, fundraising is not only the science of raising funds, but also the science of financial sustainability of a social cause. From that reasoning, this research is focused on the public sector, with a particular regard to public universities. </w:t>
      </w:r>
      <w:r w:rsidR="006837BA" w:rsidRPr="001E1CF9">
        <w:rPr>
          <w:i/>
          <w:sz w:val="20"/>
          <w:szCs w:val="20"/>
          <w:lang w:val="en-US"/>
        </w:rPr>
        <w:t>T</w:t>
      </w:r>
      <w:r w:rsidRPr="001E1CF9">
        <w:rPr>
          <w:i/>
          <w:sz w:val="20"/>
          <w:szCs w:val="20"/>
          <w:lang w:val="en-US"/>
        </w:rPr>
        <w:t>he mission of</w:t>
      </w:r>
      <w:r w:rsidR="00791DDB">
        <w:rPr>
          <w:i/>
          <w:sz w:val="20"/>
          <w:szCs w:val="20"/>
          <w:lang w:val="en-US"/>
        </w:rPr>
        <w:t xml:space="preserve"> a</w:t>
      </w:r>
      <w:r w:rsidRPr="001E1CF9">
        <w:rPr>
          <w:i/>
          <w:sz w:val="20"/>
          <w:szCs w:val="20"/>
          <w:lang w:val="en-US"/>
        </w:rPr>
        <w:t xml:space="preserve"> governmental organization defines the value that the organization intends to produce for its stakeholders and for society at large. The former, in order to get its mission and to create value, needs funds, which are not totally delivered by central governments. Therefore, public universities have to fulfill needs through their functions, supported by fundraising activities, trying to involve several types of stakeholders.</w:t>
      </w:r>
    </w:p>
    <w:p w14:paraId="746771E0" w14:textId="6637E0C3" w:rsidR="00665662" w:rsidRPr="001E1CF9" w:rsidRDefault="00665662" w:rsidP="00665662">
      <w:pPr>
        <w:rPr>
          <w:i/>
          <w:sz w:val="20"/>
          <w:szCs w:val="20"/>
          <w:lang w:val="en-US"/>
        </w:rPr>
      </w:pPr>
      <w:r w:rsidRPr="001E1CF9">
        <w:rPr>
          <w:i/>
          <w:sz w:val="20"/>
          <w:szCs w:val="20"/>
          <w:lang w:val="en-US"/>
        </w:rPr>
        <w:t>The analysis of the state of the art of the literature shows that fundraising is a topic that deserves a multi-disciplinary and holistic approach relating to the focus of the analysis. Moreover, there are some themes that have been investigated more than others. Besides</w:t>
      </w:r>
      <w:r w:rsidR="00AD66EE">
        <w:rPr>
          <w:i/>
          <w:sz w:val="20"/>
          <w:szCs w:val="20"/>
          <w:lang w:val="en-US"/>
        </w:rPr>
        <w:t>,</w:t>
      </w:r>
      <w:r w:rsidRPr="001E1CF9">
        <w:rPr>
          <w:i/>
          <w:sz w:val="20"/>
          <w:szCs w:val="20"/>
          <w:lang w:val="en-US"/>
        </w:rPr>
        <w:t xml:space="preserve"> some themes have been objects of analysis without any theoretical framework support. Hence, the aim of this thesis is to focus the analysis on fundraising as a means to support university’s outcome. This means that the investigation does not concern with fundraising’s outcome, but it deals with the impact of fundraising output on university’s outcome and, hence, on university’s mission. The assumption behind this study is the triangular relation among</w:t>
      </w:r>
      <w:r w:rsidR="009C4B45">
        <w:rPr>
          <w:i/>
          <w:sz w:val="20"/>
          <w:szCs w:val="20"/>
          <w:lang w:val="en-US"/>
        </w:rPr>
        <w:t xml:space="preserve"> the</w:t>
      </w:r>
      <w:r w:rsidRPr="001E1CF9">
        <w:rPr>
          <w:i/>
          <w:sz w:val="20"/>
          <w:szCs w:val="20"/>
          <w:lang w:val="en-US"/>
        </w:rPr>
        <w:t xml:space="preserve"> fundraising process’ output, </w:t>
      </w:r>
      <w:r w:rsidR="009C4B45">
        <w:rPr>
          <w:i/>
          <w:sz w:val="20"/>
          <w:szCs w:val="20"/>
          <w:lang w:val="en-US"/>
        </w:rPr>
        <w:t xml:space="preserve">the </w:t>
      </w:r>
      <w:r w:rsidRPr="001E1CF9">
        <w:rPr>
          <w:i/>
          <w:sz w:val="20"/>
          <w:szCs w:val="20"/>
          <w:lang w:val="en-US"/>
        </w:rPr>
        <w:t xml:space="preserve">university’s outcome and </w:t>
      </w:r>
      <w:r w:rsidR="009C4B45">
        <w:rPr>
          <w:i/>
          <w:sz w:val="20"/>
          <w:szCs w:val="20"/>
          <w:lang w:val="en-US"/>
        </w:rPr>
        <w:t xml:space="preserve">the </w:t>
      </w:r>
      <w:r w:rsidRPr="001E1CF9">
        <w:rPr>
          <w:i/>
          <w:sz w:val="20"/>
          <w:szCs w:val="20"/>
          <w:lang w:val="en-US"/>
        </w:rPr>
        <w:t xml:space="preserve">university’s mission. From this perspective, literature is still lacking and calls for further investigations and analyses. </w:t>
      </w:r>
    </w:p>
    <w:p w14:paraId="72CE24E4" w14:textId="5FD144DC" w:rsidR="00665662" w:rsidRPr="001E1CF9" w:rsidRDefault="00665662" w:rsidP="00665662">
      <w:pPr>
        <w:rPr>
          <w:i/>
          <w:sz w:val="20"/>
          <w:szCs w:val="20"/>
          <w:lang w:val="en-US"/>
        </w:rPr>
      </w:pPr>
      <w:r w:rsidRPr="001E1CF9">
        <w:rPr>
          <w:i/>
          <w:sz w:val="20"/>
          <w:szCs w:val="20"/>
          <w:lang w:val="en-US"/>
        </w:rPr>
        <w:t>The research aim of this study is basically to understand, interpret and explain the fundraising phenomenon, process, and activities and how they works within the Italian higher education context. General results will be discussed considering the Resource Dependence T</w:t>
      </w:r>
      <w:r w:rsidR="009C4B45">
        <w:rPr>
          <w:i/>
          <w:sz w:val="20"/>
          <w:szCs w:val="20"/>
          <w:lang w:val="en-US"/>
        </w:rPr>
        <w:t>heory framework</w:t>
      </w:r>
      <w:r w:rsidRPr="001E1CF9">
        <w:rPr>
          <w:i/>
          <w:sz w:val="20"/>
          <w:szCs w:val="20"/>
          <w:lang w:val="en-US"/>
        </w:rPr>
        <w:t xml:space="preserve"> developed</w:t>
      </w:r>
      <w:r w:rsidR="009C4B45">
        <w:rPr>
          <w:i/>
          <w:sz w:val="20"/>
          <w:szCs w:val="20"/>
          <w:lang w:val="en-US"/>
        </w:rPr>
        <w:t xml:space="preserve"> by studies</w:t>
      </w:r>
      <w:r w:rsidRPr="001E1CF9">
        <w:rPr>
          <w:i/>
          <w:sz w:val="20"/>
          <w:szCs w:val="20"/>
          <w:lang w:val="en-US"/>
        </w:rPr>
        <w:t xml:space="preserve"> within higher education context. In order to get the research’s aim and to answer to the previous questions, the </w:t>
      </w:r>
      <w:r w:rsidR="00815BD8" w:rsidRPr="001E1CF9">
        <w:rPr>
          <w:i/>
          <w:sz w:val="20"/>
          <w:szCs w:val="20"/>
          <w:lang w:val="en-US"/>
        </w:rPr>
        <w:t>following chapters will compose the dissertation thesis</w:t>
      </w:r>
      <w:r w:rsidRPr="001E1CF9">
        <w:rPr>
          <w:i/>
          <w:sz w:val="20"/>
          <w:szCs w:val="20"/>
          <w:lang w:val="en-US"/>
        </w:rPr>
        <w:t>. First of all, a general introduction about the context, main objectives and contents of the study will be delivered. This section is followed by a general literature review on the topic, with a description of what is the ori</w:t>
      </w:r>
      <w:r w:rsidR="003C070D">
        <w:rPr>
          <w:i/>
          <w:sz w:val="20"/>
          <w:szCs w:val="20"/>
          <w:lang w:val="en-US"/>
        </w:rPr>
        <w:t>ginal contribution of the chapters</w:t>
      </w:r>
      <w:r w:rsidRPr="001E1CF9">
        <w:rPr>
          <w:i/>
          <w:sz w:val="20"/>
          <w:szCs w:val="20"/>
          <w:lang w:val="en-US"/>
        </w:rPr>
        <w:t xml:space="preserve">. Afterwards, three essays about the topic are presented, with a specific introduction for each of them and </w:t>
      </w:r>
      <w:r w:rsidR="006F0ECB">
        <w:rPr>
          <w:i/>
          <w:sz w:val="20"/>
          <w:szCs w:val="20"/>
          <w:lang w:val="en-US"/>
        </w:rPr>
        <w:t xml:space="preserve">the </w:t>
      </w:r>
      <w:r w:rsidRPr="001E1CF9">
        <w:rPr>
          <w:i/>
          <w:sz w:val="20"/>
          <w:szCs w:val="20"/>
          <w:lang w:val="en-US"/>
        </w:rPr>
        <w:t xml:space="preserve">links to the overall objectives of the thesis. Finally, general conclusions will be stated in the last chapter. </w:t>
      </w:r>
    </w:p>
    <w:p w14:paraId="01F02FD3" w14:textId="3B81B44C" w:rsidR="00665662" w:rsidRPr="001E1CF9" w:rsidRDefault="00665662" w:rsidP="00665662">
      <w:pPr>
        <w:rPr>
          <w:i/>
          <w:sz w:val="20"/>
          <w:szCs w:val="20"/>
          <w:lang w:val="en-US"/>
        </w:rPr>
      </w:pPr>
      <w:r w:rsidRPr="001E1CF9">
        <w:rPr>
          <w:i/>
          <w:sz w:val="20"/>
          <w:szCs w:val="20"/>
          <w:lang w:val="en-US"/>
        </w:rPr>
        <w:t xml:space="preserve">The first chapter (general introduction) provides an overview of the context of analysis, explaining the reason </w:t>
      </w:r>
      <w:r w:rsidR="006F0ECB">
        <w:rPr>
          <w:i/>
          <w:sz w:val="20"/>
          <w:szCs w:val="20"/>
          <w:lang w:val="en-US"/>
        </w:rPr>
        <w:t xml:space="preserve">why </w:t>
      </w:r>
      <w:r w:rsidRPr="001E1CF9">
        <w:rPr>
          <w:i/>
          <w:sz w:val="20"/>
          <w:szCs w:val="20"/>
          <w:lang w:val="en-US"/>
        </w:rPr>
        <w:t>the Italian higher education context was chosen. Then, the second chapter concerns a topical and theoretical literature review about the state of the art of fundraising within public un</w:t>
      </w:r>
      <w:r w:rsidR="006F0ECB">
        <w:rPr>
          <w:i/>
          <w:sz w:val="20"/>
          <w:szCs w:val="20"/>
          <w:lang w:val="en-US"/>
        </w:rPr>
        <w:t>iversities. This chapter aims at</w:t>
      </w:r>
      <w:r w:rsidRPr="001E1CF9">
        <w:rPr>
          <w:i/>
          <w:sz w:val="20"/>
          <w:szCs w:val="20"/>
          <w:lang w:val="en-US"/>
        </w:rPr>
        <w:t xml:space="preserve"> identify</w:t>
      </w:r>
      <w:r w:rsidR="006F0ECB">
        <w:rPr>
          <w:i/>
          <w:sz w:val="20"/>
          <w:szCs w:val="20"/>
          <w:lang w:val="en-US"/>
        </w:rPr>
        <w:t>ing</w:t>
      </w:r>
      <w:r w:rsidRPr="001E1CF9">
        <w:rPr>
          <w:i/>
          <w:sz w:val="20"/>
          <w:szCs w:val="20"/>
          <w:lang w:val="en-US"/>
        </w:rPr>
        <w:t>, first of all, the literature to which the study would like to contribute and the literature gap that this thesis attempts to fill. The first essay of this paper (third chapter) discusses fundraising activities and processes within public higher education context, with a special focus on the role of university presidents and academic deans. In fact, fundraising is a shared responsibility among a wide group of institutional leaders. Therefore, internal and external stakeholders expect them to lead the fundraising activity capably, visibly and credibly. Fundraising is a strategic process that regards all the university’s functions, involving several actors, in</w:t>
      </w:r>
      <w:r w:rsidR="006F0ECB">
        <w:rPr>
          <w:i/>
          <w:sz w:val="20"/>
          <w:szCs w:val="20"/>
          <w:lang w:val="en-US"/>
        </w:rPr>
        <w:t>side</w:t>
      </w:r>
      <w:r w:rsidRPr="001E1CF9">
        <w:rPr>
          <w:i/>
          <w:sz w:val="20"/>
          <w:szCs w:val="20"/>
          <w:lang w:val="en-US"/>
        </w:rPr>
        <w:t xml:space="preserve"> and out</w:t>
      </w:r>
      <w:r w:rsidR="006F0ECB">
        <w:rPr>
          <w:i/>
          <w:sz w:val="20"/>
          <w:szCs w:val="20"/>
          <w:lang w:val="en-US"/>
        </w:rPr>
        <w:t xml:space="preserve">side </w:t>
      </w:r>
      <w:r w:rsidR="006837BA" w:rsidRPr="001E1CF9">
        <w:rPr>
          <w:i/>
          <w:sz w:val="20"/>
          <w:szCs w:val="20"/>
          <w:lang w:val="en-US"/>
        </w:rPr>
        <w:t xml:space="preserve">the organizational boundaries. </w:t>
      </w:r>
      <w:r w:rsidRPr="001E1CF9">
        <w:rPr>
          <w:i/>
          <w:sz w:val="20"/>
          <w:szCs w:val="20"/>
          <w:lang w:val="en-US"/>
        </w:rPr>
        <w:t>In order to answer to the research question</w:t>
      </w:r>
      <w:r w:rsidR="00CD31E4">
        <w:rPr>
          <w:i/>
          <w:sz w:val="20"/>
          <w:szCs w:val="20"/>
          <w:lang w:val="en-US"/>
        </w:rPr>
        <w:t>s</w:t>
      </w:r>
      <w:r w:rsidRPr="001E1CF9">
        <w:rPr>
          <w:i/>
          <w:sz w:val="20"/>
          <w:szCs w:val="20"/>
          <w:lang w:val="en-US"/>
        </w:rPr>
        <w:t>, an organizational model is delivered</w:t>
      </w:r>
      <w:r w:rsidR="0009124F" w:rsidRPr="001E1CF9">
        <w:rPr>
          <w:i/>
          <w:sz w:val="20"/>
          <w:szCs w:val="20"/>
          <w:lang w:val="en-US"/>
        </w:rPr>
        <w:t xml:space="preserve"> and</w:t>
      </w:r>
      <w:r w:rsidRPr="001E1CF9">
        <w:rPr>
          <w:i/>
          <w:sz w:val="20"/>
          <w:szCs w:val="20"/>
          <w:lang w:val="en-US"/>
        </w:rPr>
        <w:t xml:space="preserve"> a theoretical model is developed, combining “strategic triangle” fr</w:t>
      </w:r>
      <w:r w:rsidR="00CD31E4">
        <w:rPr>
          <w:i/>
          <w:sz w:val="20"/>
          <w:szCs w:val="20"/>
          <w:lang w:val="en-US"/>
        </w:rPr>
        <w:t>amework and “resource dependence</w:t>
      </w:r>
      <w:r w:rsidRPr="001E1CF9">
        <w:rPr>
          <w:i/>
          <w:sz w:val="20"/>
          <w:szCs w:val="20"/>
          <w:lang w:val="en-US"/>
        </w:rPr>
        <w:t xml:space="preserve"> theory”. The analysis considers the Italian public universities context: the state of the art is discussed considering the models previously stated. Furthermore, a preliminary analysis about a sample of 58 public universities is provided. Then, a qualitative content analysis of 43 integrated long-term strategic plans is performed. The final output is an overview of fundraising role and culture in the Italian public higher education context.</w:t>
      </w:r>
    </w:p>
    <w:p w14:paraId="1442F9A8" w14:textId="2919A846" w:rsidR="00665662" w:rsidRPr="001E1CF9" w:rsidRDefault="00665662" w:rsidP="00665662">
      <w:pPr>
        <w:rPr>
          <w:i/>
          <w:sz w:val="20"/>
          <w:szCs w:val="20"/>
          <w:lang w:val="en-US"/>
        </w:rPr>
      </w:pPr>
      <w:r w:rsidRPr="001E1CF9">
        <w:rPr>
          <w:i/>
          <w:sz w:val="20"/>
          <w:szCs w:val="20"/>
          <w:lang w:val="en-US"/>
        </w:rPr>
        <w:t>The second essay (fourth chapter) is focused on fundraising as a means to reach the university’s outcome, through sustaining university’s functions</w:t>
      </w:r>
      <w:r w:rsidR="006837BA" w:rsidRPr="001E1CF9">
        <w:rPr>
          <w:i/>
          <w:sz w:val="20"/>
          <w:szCs w:val="20"/>
          <w:lang w:val="en-US"/>
        </w:rPr>
        <w:t xml:space="preserve">. </w:t>
      </w:r>
      <w:r w:rsidRPr="001E1CF9">
        <w:rPr>
          <w:i/>
          <w:sz w:val="20"/>
          <w:szCs w:val="20"/>
          <w:lang w:val="en-US"/>
        </w:rPr>
        <w:t>The aim of this paper is to understand which are the fundraising characteristics that influence university’s outcome, in terms of teaching, research and outreach activities. In order to answer to the research questions, nine interviews to academic fundraising delegates and managers were run. Afterwards, this material was analyzed by grounded theory methodology, in order to deliver some theoretical considerations that can be generalized at least within Italian academic context.</w:t>
      </w:r>
    </w:p>
    <w:p w14:paraId="5EC6E14B" w14:textId="2258583A" w:rsidR="00665662" w:rsidRPr="001E1CF9" w:rsidRDefault="00665662" w:rsidP="00665662">
      <w:pPr>
        <w:rPr>
          <w:i/>
          <w:sz w:val="20"/>
          <w:szCs w:val="20"/>
          <w:lang w:val="en-US"/>
        </w:rPr>
      </w:pPr>
      <w:r w:rsidRPr="001E1CF9">
        <w:rPr>
          <w:i/>
          <w:sz w:val="20"/>
          <w:szCs w:val="20"/>
          <w:lang w:val="en-US"/>
        </w:rPr>
        <w:t>Finally, the third and last essay (fifth chapter) tries to extend knowledge about innovative forms of fundraising, as crowdfunding, within the higher education context. In order to achieve this research aim, a single-c</w:t>
      </w:r>
      <w:r w:rsidR="006837BA" w:rsidRPr="001E1CF9">
        <w:rPr>
          <w:i/>
          <w:sz w:val="20"/>
          <w:szCs w:val="20"/>
          <w:lang w:val="en-US"/>
        </w:rPr>
        <w:t xml:space="preserve">ase study is analyzed, </w:t>
      </w:r>
      <w:r w:rsidRPr="001E1CF9">
        <w:rPr>
          <w:i/>
          <w:sz w:val="20"/>
          <w:szCs w:val="20"/>
          <w:lang w:val="en-US"/>
        </w:rPr>
        <w:t xml:space="preserve">that is University of Pavia. This is particularly meaningful because, in order to sustain university’s functions, it has developed its own crowdfunding platform, totally in house managed. The case study shows that crowdfunding supports research function mainly, rather than teaching and outreach. Indeed, the most successful crowdfunding projects are those that are easier to be communicated to potential donors. They are those that are able to involve university’s stakeholders in the university’s value creation process.  </w:t>
      </w:r>
    </w:p>
    <w:p w14:paraId="3487E9CC" w14:textId="77777777" w:rsidR="00E84653" w:rsidRDefault="00E84653" w:rsidP="00391863">
      <w:pPr>
        <w:spacing w:line="360" w:lineRule="auto"/>
        <w:jc w:val="both"/>
        <w:rPr>
          <w:b/>
          <w:lang w:val="en-US"/>
        </w:rPr>
      </w:pPr>
    </w:p>
    <w:p w14:paraId="5D20F885" w14:textId="77777777" w:rsidR="00E84653" w:rsidRDefault="00E84653" w:rsidP="00391863">
      <w:pPr>
        <w:spacing w:line="360" w:lineRule="auto"/>
        <w:jc w:val="both"/>
        <w:rPr>
          <w:lang w:val="en-US"/>
        </w:rPr>
      </w:pPr>
    </w:p>
    <w:p w14:paraId="54EAF61C" w14:textId="77777777" w:rsidR="00E84653" w:rsidRDefault="00E84653" w:rsidP="00391863">
      <w:pPr>
        <w:spacing w:line="360" w:lineRule="auto"/>
        <w:jc w:val="both"/>
        <w:rPr>
          <w:lang w:val="en-US"/>
        </w:rPr>
      </w:pPr>
    </w:p>
    <w:p w14:paraId="54F06A4F" w14:textId="77777777" w:rsidR="00E84653" w:rsidRDefault="00E84653" w:rsidP="00391863">
      <w:pPr>
        <w:spacing w:line="360" w:lineRule="auto"/>
        <w:jc w:val="both"/>
        <w:rPr>
          <w:lang w:val="en-US"/>
        </w:rPr>
      </w:pPr>
    </w:p>
    <w:p w14:paraId="262B463F" w14:textId="77777777" w:rsidR="00E84653" w:rsidRDefault="00E84653" w:rsidP="00391863">
      <w:pPr>
        <w:spacing w:line="360" w:lineRule="auto"/>
        <w:jc w:val="both"/>
        <w:rPr>
          <w:lang w:val="en-US"/>
        </w:rPr>
      </w:pPr>
    </w:p>
    <w:p w14:paraId="6532A7CA" w14:textId="77777777" w:rsidR="00E84653" w:rsidRDefault="00E84653" w:rsidP="00391863">
      <w:pPr>
        <w:spacing w:line="360" w:lineRule="auto"/>
        <w:jc w:val="both"/>
        <w:rPr>
          <w:lang w:val="en-US"/>
        </w:rPr>
      </w:pPr>
    </w:p>
    <w:p w14:paraId="635BE678" w14:textId="77777777" w:rsidR="00E84653" w:rsidRDefault="00E84653" w:rsidP="00391863">
      <w:pPr>
        <w:spacing w:line="360" w:lineRule="auto"/>
        <w:jc w:val="both"/>
        <w:rPr>
          <w:lang w:val="en-US"/>
        </w:rPr>
      </w:pPr>
    </w:p>
    <w:p w14:paraId="57A56D9F" w14:textId="77777777" w:rsidR="00E84653" w:rsidRDefault="00E84653" w:rsidP="00391863">
      <w:pPr>
        <w:spacing w:line="360" w:lineRule="auto"/>
        <w:jc w:val="both"/>
        <w:rPr>
          <w:lang w:val="en-US"/>
        </w:rPr>
      </w:pPr>
    </w:p>
    <w:p w14:paraId="006B5969" w14:textId="77777777" w:rsidR="00E84653" w:rsidRDefault="00E84653" w:rsidP="00391863">
      <w:pPr>
        <w:spacing w:line="360" w:lineRule="auto"/>
        <w:jc w:val="both"/>
        <w:rPr>
          <w:lang w:val="en-US"/>
        </w:rPr>
      </w:pPr>
    </w:p>
    <w:p w14:paraId="3151D328" w14:textId="77777777" w:rsidR="00E84653" w:rsidRDefault="00E84653" w:rsidP="00391863">
      <w:pPr>
        <w:spacing w:line="360" w:lineRule="auto"/>
        <w:jc w:val="both"/>
        <w:rPr>
          <w:lang w:val="en-US"/>
        </w:rPr>
      </w:pPr>
    </w:p>
    <w:p w14:paraId="2B1E8059" w14:textId="77777777" w:rsidR="00E84653" w:rsidRDefault="00E84653" w:rsidP="00391863">
      <w:pPr>
        <w:spacing w:line="360" w:lineRule="auto"/>
        <w:jc w:val="both"/>
        <w:rPr>
          <w:lang w:val="en-US"/>
        </w:rPr>
      </w:pPr>
    </w:p>
    <w:p w14:paraId="4C2E9B01" w14:textId="77777777" w:rsidR="00E84653" w:rsidRDefault="00E84653" w:rsidP="00391863">
      <w:pPr>
        <w:spacing w:line="360" w:lineRule="auto"/>
        <w:jc w:val="both"/>
        <w:rPr>
          <w:lang w:val="en-US"/>
        </w:rPr>
      </w:pPr>
    </w:p>
    <w:p w14:paraId="32FD4E31" w14:textId="77777777" w:rsidR="00E84653" w:rsidRDefault="00E84653" w:rsidP="00391863">
      <w:pPr>
        <w:spacing w:line="360" w:lineRule="auto"/>
        <w:jc w:val="both"/>
        <w:rPr>
          <w:lang w:val="en-US"/>
        </w:rPr>
      </w:pPr>
    </w:p>
    <w:p w14:paraId="3AAD8146" w14:textId="77777777" w:rsidR="00E84653" w:rsidRDefault="00E84653" w:rsidP="00391863">
      <w:pPr>
        <w:spacing w:line="360" w:lineRule="auto"/>
        <w:jc w:val="both"/>
        <w:rPr>
          <w:lang w:val="en-US"/>
        </w:rPr>
      </w:pPr>
    </w:p>
    <w:p w14:paraId="2D451B3E" w14:textId="77777777" w:rsidR="00E84653" w:rsidRDefault="00E84653" w:rsidP="00391863">
      <w:pPr>
        <w:spacing w:line="360" w:lineRule="auto"/>
        <w:jc w:val="both"/>
        <w:rPr>
          <w:lang w:val="en-US"/>
        </w:rPr>
      </w:pPr>
    </w:p>
    <w:p w14:paraId="4F32F7EF" w14:textId="77777777" w:rsidR="00E84653" w:rsidRDefault="00E84653" w:rsidP="00391863">
      <w:pPr>
        <w:spacing w:line="360" w:lineRule="auto"/>
        <w:jc w:val="both"/>
        <w:rPr>
          <w:lang w:val="en-US"/>
        </w:rPr>
      </w:pPr>
    </w:p>
    <w:p w14:paraId="715E6091" w14:textId="77777777" w:rsidR="00E84653" w:rsidRDefault="00E84653" w:rsidP="00391863">
      <w:pPr>
        <w:spacing w:line="360" w:lineRule="auto"/>
        <w:jc w:val="both"/>
        <w:rPr>
          <w:lang w:val="en-US"/>
        </w:rPr>
      </w:pPr>
    </w:p>
    <w:p w14:paraId="4CAB8539" w14:textId="77777777" w:rsidR="00E84653" w:rsidRDefault="00E84653" w:rsidP="00391863">
      <w:pPr>
        <w:spacing w:line="360" w:lineRule="auto"/>
        <w:jc w:val="both"/>
        <w:rPr>
          <w:lang w:val="en-US"/>
        </w:rPr>
      </w:pPr>
    </w:p>
    <w:p w14:paraId="6B22C0EF" w14:textId="77777777" w:rsidR="00E84653" w:rsidRDefault="00E84653" w:rsidP="00391863">
      <w:pPr>
        <w:spacing w:line="360" w:lineRule="auto"/>
        <w:jc w:val="both"/>
        <w:rPr>
          <w:lang w:val="en-US"/>
        </w:rPr>
      </w:pPr>
    </w:p>
    <w:p w14:paraId="2F5079E0" w14:textId="77777777" w:rsidR="00E84653" w:rsidRDefault="00E84653" w:rsidP="00391863">
      <w:pPr>
        <w:spacing w:line="360" w:lineRule="auto"/>
        <w:jc w:val="both"/>
        <w:rPr>
          <w:lang w:val="en-US"/>
        </w:rPr>
      </w:pPr>
    </w:p>
    <w:p w14:paraId="3D605354" w14:textId="77777777" w:rsidR="00E84653" w:rsidRDefault="00E84653" w:rsidP="00391863">
      <w:pPr>
        <w:spacing w:line="360" w:lineRule="auto"/>
        <w:jc w:val="both"/>
        <w:rPr>
          <w:lang w:val="en-US"/>
        </w:rPr>
      </w:pPr>
    </w:p>
    <w:p w14:paraId="336985E6" w14:textId="77777777" w:rsidR="00E84653" w:rsidRDefault="00E84653" w:rsidP="00391863">
      <w:pPr>
        <w:spacing w:line="360" w:lineRule="auto"/>
        <w:jc w:val="both"/>
        <w:rPr>
          <w:lang w:val="en-US"/>
        </w:rPr>
      </w:pPr>
    </w:p>
    <w:p w14:paraId="72428DDC" w14:textId="77777777" w:rsidR="00E84653" w:rsidRDefault="00E84653" w:rsidP="00391863">
      <w:pPr>
        <w:spacing w:line="360" w:lineRule="auto"/>
        <w:jc w:val="both"/>
        <w:rPr>
          <w:lang w:val="en-US"/>
        </w:rPr>
      </w:pPr>
    </w:p>
    <w:p w14:paraId="7E4931CC" w14:textId="77777777" w:rsidR="00E84653" w:rsidRDefault="00E84653" w:rsidP="00391863">
      <w:pPr>
        <w:spacing w:line="360" w:lineRule="auto"/>
        <w:jc w:val="both"/>
        <w:rPr>
          <w:lang w:val="en-US"/>
        </w:rPr>
      </w:pPr>
    </w:p>
    <w:p w14:paraId="59084922" w14:textId="77777777" w:rsidR="00E84653" w:rsidRDefault="00E84653" w:rsidP="00391863">
      <w:pPr>
        <w:spacing w:line="360" w:lineRule="auto"/>
        <w:jc w:val="both"/>
        <w:rPr>
          <w:lang w:val="en-US"/>
        </w:rPr>
      </w:pPr>
    </w:p>
    <w:p w14:paraId="2DEA7817" w14:textId="77777777" w:rsidR="00E84653" w:rsidRDefault="00E84653" w:rsidP="00391863">
      <w:pPr>
        <w:spacing w:line="360" w:lineRule="auto"/>
        <w:jc w:val="both"/>
        <w:rPr>
          <w:lang w:val="en-US"/>
        </w:rPr>
      </w:pPr>
    </w:p>
    <w:p w14:paraId="170DE2EC" w14:textId="77777777" w:rsidR="00E84653" w:rsidRDefault="00E84653" w:rsidP="00391863">
      <w:pPr>
        <w:spacing w:line="360" w:lineRule="auto"/>
        <w:jc w:val="both"/>
        <w:rPr>
          <w:lang w:val="en-US"/>
        </w:rPr>
      </w:pPr>
    </w:p>
    <w:p w14:paraId="0AC7460A" w14:textId="77777777" w:rsidR="00E84653" w:rsidRDefault="00E84653" w:rsidP="00391863">
      <w:pPr>
        <w:spacing w:line="360" w:lineRule="auto"/>
        <w:jc w:val="both"/>
        <w:rPr>
          <w:lang w:val="en-US"/>
        </w:rPr>
      </w:pPr>
    </w:p>
    <w:p w14:paraId="19D699FE" w14:textId="77777777" w:rsidR="00E84653" w:rsidRDefault="00E84653" w:rsidP="00391863">
      <w:pPr>
        <w:spacing w:line="360" w:lineRule="auto"/>
        <w:jc w:val="both"/>
        <w:rPr>
          <w:lang w:val="en-US"/>
        </w:rPr>
      </w:pPr>
    </w:p>
    <w:p w14:paraId="58DE6D21" w14:textId="77777777" w:rsidR="00E84653" w:rsidRDefault="00E84653" w:rsidP="00391863">
      <w:pPr>
        <w:spacing w:line="360" w:lineRule="auto"/>
        <w:jc w:val="both"/>
        <w:rPr>
          <w:lang w:val="en-US"/>
        </w:rPr>
      </w:pPr>
    </w:p>
    <w:p w14:paraId="680D6C3E" w14:textId="77777777" w:rsidR="00E84653" w:rsidRDefault="00E84653" w:rsidP="00391863">
      <w:pPr>
        <w:spacing w:line="360" w:lineRule="auto"/>
        <w:jc w:val="both"/>
        <w:rPr>
          <w:lang w:val="en-US"/>
        </w:rPr>
      </w:pPr>
    </w:p>
    <w:p w14:paraId="65FE7DE2" w14:textId="77777777" w:rsidR="00E84653" w:rsidRDefault="00E84653" w:rsidP="00391863">
      <w:pPr>
        <w:spacing w:line="360" w:lineRule="auto"/>
        <w:jc w:val="both"/>
        <w:rPr>
          <w:lang w:val="en-US"/>
        </w:rPr>
      </w:pPr>
    </w:p>
    <w:p w14:paraId="6F302E80" w14:textId="77777777" w:rsidR="00E84653" w:rsidRDefault="00E84653" w:rsidP="00391863">
      <w:pPr>
        <w:spacing w:line="360" w:lineRule="auto"/>
        <w:jc w:val="both"/>
        <w:rPr>
          <w:lang w:val="en-US"/>
        </w:rPr>
      </w:pPr>
    </w:p>
    <w:p w14:paraId="6B6834BC" w14:textId="77777777" w:rsidR="004340EC" w:rsidRDefault="004340EC" w:rsidP="006B230F">
      <w:pPr>
        <w:spacing w:line="480" w:lineRule="auto"/>
        <w:jc w:val="both"/>
        <w:rPr>
          <w:lang w:val="en-US"/>
        </w:rPr>
      </w:pPr>
    </w:p>
    <w:p w14:paraId="382CAA92" w14:textId="15D1B65D" w:rsidR="000B3520" w:rsidRPr="000B3520" w:rsidRDefault="004E52C1" w:rsidP="006B230F">
      <w:pPr>
        <w:spacing w:line="480" w:lineRule="auto"/>
        <w:jc w:val="both"/>
        <w:rPr>
          <w:b/>
          <w:lang w:val="en-US"/>
        </w:rPr>
      </w:pPr>
      <w:r w:rsidRPr="004E52C1">
        <w:rPr>
          <w:b/>
          <w:lang w:val="en-US"/>
        </w:rPr>
        <w:t>Brief Contents</w:t>
      </w:r>
    </w:p>
    <w:p w14:paraId="7C6020C1" w14:textId="32356895" w:rsidR="00C77741" w:rsidRDefault="00C77741" w:rsidP="006B230F">
      <w:pPr>
        <w:spacing w:line="480" w:lineRule="auto"/>
        <w:jc w:val="both"/>
        <w:rPr>
          <w:lang w:val="en-US"/>
        </w:rPr>
      </w:pPr>
      <w:r>
        <w:rPr>
          <w:lang w:val="en-US"/>
        </w:rPr>
        <w:t>Chapter 1</w:t>
      </w:r>
    </w:p>
    <w:p w14:paraId="249875B0" w14:textId="58F7EC77" w:rsidR="000B3520" w:rsidRDefault="000B3520" w:rsidP="006B230F">
      <w:pPr>
        <w:spacing w:line="480" w:lineRule="auto"/>
        <w:jc w:val="both"/>
        <w:rPr>
          <w:lang w:val="en-US"/>
        </w:rPr>
      </w:pPr>
      <w:r>
        <w:rPr>
          <w:lang w:val="en-US"/>
        </w:rPr>
        <w:t>Introduction</w:t>
      </w:r>
      <w:r w:rsidR="006B230F">
        <w:rPr>
          <w:lang w:val="en-US"/>
        </w:rPr>
        <w:t>………</w:t>
      </w:r>
      <w:r w:rsidR="00914D21">
        <w:rPr>
          <w:lang w:val="en-US"/>
        </w:rPr>
        <w:t>…………………………………………………………………………….3</w:t>
      </w:r>
    </w:p>
    <w:p w14:paraId="1FA4BECF" w14:textId="17B878B2" w:rsidR="009E0618" w:rsidRDefault="009E0618" w:rsidP="006B230F">
      <w:pPr>
        <w:spacing w:line="480" w:lineRule="auto"/>
        <w:jc w:val="both"/>
        <w:rPr>
          <w:lang w:val="en-US"/>
        </w:rPr>
      </w:pPr>
      <w:r>
        <w:rPr>
          <w:lang w:val="en-US"/>
        </w:rPr>
        <w:t>Chapter 2</w:t>
      </w:r>
    </w:p>
    <w:p w14:paraId="2E9315FA" w14:textId="6B562DB1" w:rsidR="009E0618" w:rsidRDefault="00F0634E" w:rsidP="009E0618">
      <w:pPr>
        <w:spacing w:line="480" w:lineRule="auto"/>
        <w:jc w:val="both"/>
        <w:rPr>
          <w:lang w:val="en-US"/>
        </w:rPr>
      </w:pPr>
      <w:r>
        <w:rPr>
          <w:lang w:val="en-US"/>
        </w:rPr>
        <w:t>Fundraising i</w:t>
      </w:r>
      <w:r w:rsidR="009E0618" w:rsidRPr="009E0618">
        <w:rPr>
          <w:lang w:val="en-US"/>
        </w:rPr>
        <w:t>n</w:t>
      </w:r>
      <w:r w:rsidR="002E1A08">
        <w:rPr>
          <w:lang w:val="en-US"/>
        </w:rPr>
        <w:t xml:space="preserve"> the</w:t>
      </w:r>
      <w:r w:rsidR="009E0618" w:rsidRPr="009E0618">
        <w:rPr>
          <w:lang w:val="en-US"/>
        </w:rPr>
        <w:t xml:space="preserve"> Higher Education C</w:t>
      </w:r>
      <w:r w:rsidR="009E0618">
        <w:rPr>
          <w:lang w:val="en-US"/>
        </w:rPr>
        <w:t>o</w:t>
      </w:r>
      <w:r>
        <w:rPr>
          <w:lang w:val="en-US"/>
        </w:rPr>
        <w:t>ntext: a</w:t>
      </w:r>
      <w:r w:rsidR="005E3272">
        <w:rPr>
          <w:lang w:val="en-US"/>
        </w:rPr>
        <w:t xml:space="preserve"> Topical and Theoretical</w:t>
      </w:r>
      <w:r w:rsidR="009E0618">
        <w:rPr>
          <w:lang w:val="en-US"/>
        </w:rPr>
        <w:t xml:space="preserve"> Literature Review……………………</w:t>
      </w:r>
      <w:r w:rsidR="00B3402D">
        <w:rPr>
          <w:lang w:val="en-US"/>
        </w:rPr>
        <w:t>…………………………………………………………………..16</w:t>
      </w:r>
    </w:p>
    <w:p w14:paraId="17191672" w14:textId="2DBA6246" w:rsidR="009E0618" w:rsidRDefault="009E0618" w:rsidP="009E0618">
      <w:pPr>
        <w:spacing w:line="480" w:lineRule="auto"/>
        <w:jc w:val="both"/>
        <w:rPr>
          <w:lang w:val="en-US"/>
        </w:rPr>
      </w:pPr>
      <w:r>
        <w:rPr>
          <w:lang w:val="en-US"/>
        </w:rPr>
        <w:t>Chapter 3</w:t>
      </w:r>
    </w:p>
    <w:p w14:paraId="1F112000" w14:textId="5948E465" w:rsidR="005E3272" w:rsidRDefault="00F0634E" w:rsidP="005E3272">
      <w:pPr>
        <w:spacing w:line="480" w:lineRule="auto"/>
        <w:jc w:val="both"/>
        <w:rPr>
          <w:lang w:val="en-US"/>
        </w:rPr>
      </w:pPr>
      <w:r>
        <w:rPr>
          <w:lang w:val="en-US"/>
        </w:rPr>
        <w:t>Fundraising as a Strategic Tool t</w:t>
      </w:r>
      <w:r w:rsidR="005E3272" w:rsidRPr="005E3272">
        <w:rPr>
          <w:lang w:val="en-US"/>
        </w:rPr>
        <w:t>o Achiev</w:t>
      </w:r>
      <w:r>
        <w:rPr>
          <w:lang w:val="en-US"/>
        </w:rPr>
        <w:t>e University Mission: Insights f</w:t>
      </w:r>
      <w:r w:rsidR="005E3272" w:rsidRPr="005E3272">
        <w:rPr>
          <w:lang w:val="en-US"/>
        </w:rPr>
        <w:t>rom Italian Universities</w:t>
      </w:r>
      <w:r w:rsidR="005E3272">
        <w:rPr>
          <w:lang w:val="en-US"/>
        </w:rPr>
        <w:t>………</w:t>
      </w:r>
      <w:r w:rsidR="00B3402D">
        <w:rPr>
          <w:lang w:val="en-US"/>
        </w:rPr>
        <w:t>…</w:t>
      </w:r>
      <w:r w:rsidR="00D56BE5">
        <w:rPr>
          <w:lang w:val="en-US"/>
        </w:rPr>
        <w:t>………………………………………………………………………...47</w:t>
      </w:r>
    </w:p>
    <w:p w14:paraId="52F65087" w14:textId="0F8816C5" w:rsidR="00180618" w:rsidRDefault="00180618" w:rsidP="005E3272">
      <w:pPr>
        <w:spacing w:line="480" w:lineRule="auto"/>
        <w:jc w:val="both"/>
        <w:rPr>
          <w:lang w:val="en-US"/>
        </w:rPr>
      </w:pPr>
      <w:r>
        <w:rPr>
          <w:lang w:val="en-US"/>
        </w:rPr>
        <w:t>Chapter 4</w:t>
      </w:r>
    </w:p>
    <w:p w14:paraId="0692CDE2" w14:textId="26B50FDE" w:rsidR="00180618" w:rsidRDefault="006B5C81" w:rsidP="005E3272">
      <w:pPr>
        <w:spacing w:line="480" w:lineRule="auto"/>
        <w:jc w:val="both"/>
        <w:rPr>
          <w:lang w:val="en-US"/>
        </w:rPr>
      </w:pPr>
      <w:r>
        <w:rPr>
          <w:lang w:val="en-US"/>
        </w:rPr>
        <w:t>Exploring the Fundraising Role in the Value Creation Pr</w:t>
      </w:r>
      <w:r w:rsidR="00B3402D">
        <w:rPr>
          <w:lang w:val="en-US"/>
        </w:rPr>
        <w:t>o</w:t>
      </w:r>
      <w:r w:rsidR="00D56BE5">
        <w:rPr>
          <w:lang w:val="en-US"/>
        </w:rPr>
        <w:t>cess of Public Universities………77</w:t>
      </w:r>
    </w:p>
    <w:p w14:paraId="1DEC72AE" w14:textId="571FF9B8" w:rsidR="006B5C81" w:rsidRDefault="006B5C81" w:rsidP="005E3272">
      <w:pPr>
        <w:spacing w:line="480" w:lineRule="auto"/>
        <w:jc w:val="both"/>
        <w:rPr>
          <w:lang w:val="en-US"/>
        </w:rPr>
      </w:pPr>
      <w:r>
        <w:rPr>
          <w:lang w:val="en-US"/>
        </w:rPr>
        <w:t>Chapter 5</w:t>
      </w:r>
    </w:p>
    <w:p w14:paraId="126AFFAF" w14:textId="162B9B20" w:rsidR="006B5C81" w:rsidRDefault="006B5C81" w:rsidP="006B5C81">
      <w:pPr>
        <w:spacing w:line="480" w:lineRule="auto"/>
        <w:jc w:val="both"/>
        <w:rPr>
          <w:lang w:val="en-US"/>
        </w:rPr>
      </w:pPr>
      <w:r w:rsidRPr="006B5C81">
        <w:rPr>
          <w:lang w:val="en-US"/>
        </w:rPr>
        <w:t>The Role Of Crowdfunding For New Funding Challenges In Public Universities: An Italian Case Study</w:t>
      </w:r>
      <w:r>
        <w:rPr>
          <w:lang w:val="en-US"/>
        </w:rPr>
        <w:t>…</w:t>
      </w:r>
      <w:r w:rsidR="00B3402D">
        <w:rPr>
          <w:lang w:val="en-US"/>
        </w:rPr>
        <w:t>………………………………………………………………………………..</w:t>
      </w:r>
      <w:r w:rsidR="009A0E46">
        <w:rPr>
          <w:lang w:val="en-US"/>
        </w:rPr>
        <w:t>110</w:t>
      </w:r>
    </w:p>
    <w:p w14:paraId="4F037042" w14:textId="75390F8F" w:rsidR="006B5C81" w:rsidRDefault="006B5C81" w:rsidP="006B5C81">
      <w:pPr>
        <w:spacing w:line="480" w:lineRule="auto"/>
        <w:jc w:val="both"/>
        <w:rPr>
          <w:lang w:val="en-US"/>
        </w:rPr>
      </w:pPr>
      <w:r>
        <w:rPr>
          <w:lang w:val="en-US"/>
        </w:rPr>
        <w:t>Chapter 6</w:t>
      </w:r>
    </w:p>
    <w:p w14:paraId="51F66978" w14:textId="477312CF" w:rsidR="006B5C81" w:rsidRDefault="006B5C81" w:rsidP="006B5C81">
      <w:pPr>
        <w:spacing w:line="480" w:lineRule="auto"/>
        <w:jc w:val="both"/>
        <w:rPr>
          <w:lang w:val="en-US"/>
        </w:rPr>
      </w:pPr>
      <w:r>
        <w:rPr>
          <w:lang w:val="en-US"/>
        </w:rPr>
        <w:t>Conclusion…………………………………</w:t>
      </w:r>
      <w:r w:rsidR="00B3402D">
        <w:rPr>
          <w:lang w:val="en-US"/>
        </w:rPr>
        <w:t>………………………………………………..</w:t>
      </w:r>
      <w:r w:rsidR="009A0E46">
        <w:rPr>
          <w:lang w:val="en-US"/>
        </w:rPr>
        <w:t>141</w:t>
      </w:r>
    </w:p>
    <w:p w14:paraId="6181C667" w14:textId="7717C92F" w:rsidR="006B5C81" w:rsidRDefault="007D73C6" w:rsidP="006B5C81">
      <w:pPr>
        <w:spacing w:line="480" w:lineRule="auto"/>
        <w:jc w:val="both"/>
        <w:rPr>
          <w:lang w:val="en-US"/>
        </w:rPr>
      </w:pPr>
      <w:r>
        <w:rPr>
          <w:lang w:val="en-US"/>
        </w:rPr>
        <w:t>References……</w:t>
      </w:r>
      <w:r w:rsidR="00523D5C">
        <w:rPr>
          <w:lang w:val="en-US"/>
        </w:rPr>
        <w:t>……………………………………………………………………………...</w:t>
      </w:r>
      <w:r w:rsidR="009A0E46">
        <w:rPr>
          <w:lang w:val="en-US"/>
        </w:rPr>
        <w:t>154</w:t>
      </w:r>
    </w:p>
    <w:p w14:paraId="12F83543" w14:textId="77777777" w:rsidR="006B5C81" w:rsidRDefault="006B5C81" w:rsidP="005E3272">
      <w:pPr>
        <w:spacing w:line="480" w:lineRule="auto"/>
        <w:jc w:val="both"/>
        <w:rPr>
          <w:lang w:val="en-US"/>
        </w:rPr>
      </w:pPr>
    </w:p>
    <w:p w14:paraId="150179E7" w14:textId="77777777" w:rsidR="00AC49B9" w:rsidRDefault="00AC49B9" w:rsidP="005E3272">
      <w:pPr>
        <w:spacing w:line="480" w:lineRule="auto"/>
        <w:jc w:val="both"/>
        <w:rPr>
          <w:lang w:val="en-US"/>
        </w:rPr>
      </w:pPr>
    </w:p>
    <w:p w14:paraId="74AE5587" w14:textId="77777777" w:rsidR="00AC49B9" w:rsidRDefault="00AC49B9" w:rsidP="005E3272">
      <w:pPr>
        <w:spacing w:line="480" w:lineRule="auto"/>
        <w:jc w:val="both"/>
        <w:rPr>
          <w:lang w:val="en-US"/>
        </w:rPr>
      </w:pPr>
    </w:p>
    <w:p w14:paraId="5F14083D" w14:textId="77777777" w:rsidR="00AC49B9" w:rsidRDefault="00AC49B9" w:rsidP="005E3272">
      <w:pPr>
        <w:spacing w:line="480" w:lineRule="auto"/>
        <w:jc w:val="both"/>
        <w:rPr>
          <w:lang w:val="en-US"/>
        </w:rPr>
      </w:pPr>
    </w:p>
    <w:p w14:paraId="1E8CF117" w14:textId="77777777" w:rsidR="00AC49B9" w:rsidRDefault="00AC49B9" w:rsidP="005E3272">
      <w:pPr>
        <w:spacing w:line="480" w:lineRule="auto"/>
        <w:jc w:val="both"/>
        <w:rPr>
          <w:lang w:val="en-US"/>
        </w:rPr>
      </w:pPr>
    </w:p>
    <w:p w14:paraId="2009CC89" w14:textId="77777777" w:rsidR="00AC49B9" w:rsidRDefault="00AC49B9" w:rsidP="005E3272">
      <w:pPr>
        <w:spacing w:line="480" w:lineRule="auto"/>
        <w:jc w:val="both"/>
        <w:rPr>
          <w:lang w:val="en-US"/>
        </w:rPr>
      </w:pPr>
    </w:p>
    <w:p w14:paraId="32F85AB1" w14:textId="77777777" w:rsidR="00AC49B9" w:rsidRDefault="00AC49B9" w:rsidP="005E3272">
      <w:pPr>
        <w:spacing w:line="480" w:lineRule="auto"/>
        <w:jc w:val="both"/>
        <w:rPr>
          <w:lang w:val="en-US"/>
        </w:rPr>
      </w:pPr>
    </w:p>
    <w:p w14:paraId="3015FF0A" w14:textId="77777777" w:rsidR="00AC49B9" w:rsidRDefault="00AC49B9" w:rsidP="00AC49B9">
      <w:pPr>
        <w:spacing w:line="360" w:lineRule="auto"/>
        <w:jc w:val="both"/>
        <w:rPr>
          <w:b/>
          <w:lang w:val="en-US"/>
        </w:rPr>
      </w:pPr>
    </w:p>
    <w:p w14:paraId="56E5DCDA" w14:textId="77777777" w:rsidR="00AC49B9" w:rsidRDefault="00AC49B9" w:rsidP="00AC49B9">
      <w:pPr>
        <w:spacing w:line="360" w:lineRule="auto"/>
        <w:jc w:val="both"/>
        <w:rPr>
          <w:b/>
          <w:lang w:val="en-US"/>
        </w:rPr>
      </w:pPr>
    </w:p>
    <w:p w14:paraId="4B567634" w14:textId="77777777" w:rsidR="00AC49B9" w:rsidRDefault="00AC49B9" w:rsidP="00AC49B9">
      <w:pPr>
        <w:spacing w:line="360" w:lineRule="auto"/>
        <w:jc w:val="both"/>
        <w:rPr>
          <w:b/>
          <w:lang w:val="en-US"/>
        </w:rPr>
      </w:pPr>
    </w:p>
    <w:p w14:paraId="4F018F04" w14:textId="77777777" w:rsidR="00AC49B9" w:rsidRDefault="00AC49B9" w:rsidP="00AC49B9">
      <w:pPr>
        <w:spacing w:line="360" w:lineRule="auto"/>
        <w:jc w:val="both"/>
        <w:rPr>
          <w:b/>
          <w:lang w:val="en-US"/>
        </w:rPr>
      </w:pPr>
    </w:p>
    <w:p w14:paraId="09D87C66" w14:textId="77777777" w:rsidR="00AC49B9" w:rsidRDefault="00AC49B9" w:rsidP="00AC49B9">
      <w:pPr>
        <w:spacing w:line="360" w:lineRule="auto"/>
        <w:jc w:val="both"/>
        <w:rPr>
          <w:b/>
          <w:lang w:val="en-US"/>
        </w:rPr>
      </w:pPr>
    </w:p>
    <w:p w14:paraId="512916C4" w14:textId="77777777" w:rsidR="00AC49B9" w:rsidRDefault="00AC49B9" w:rsidP="00AC49B9">
      <w:pPr>
        <w:spacing w:line="360" w:lineRule="auto"/>
        <w:jc w:val="both"/>
        <w:rPr>
          <w:b/>
          <w:lang w:val="en-US"/>
        </w:rPr>
      </w:pPr>
    </w:p>
    <w:p w14:paraId="305B4282" w14:textId="77777777" w:rsidR="00AC49B9" w:rsidRDefault="00AC49B9" w:rsidP="00AC49B9">
      <w:pPr>
        <w:spacing w:line="360" w:lineRule="auto"/>
        <w:jc w:val="both"/>
        <w:rPr>
          <w:b/>
          <w:lang w:val="en-US"/>
        </w:rPr>
      </w:pPr>
    </w:p>
    <w:p w14:paraId="38133EE2" w14:textId="77777777" w:rsidR="00AC49B9" w:rsidRDefault="00AC49B9" w:rsidP="00AC49B9">
      <w:pPr>
        <w:spacing w:line="360" w:lineRule="auto"/>
        <w:jc w:val="both"/>
        <w:rPr>
          <w:b/>
          <w:lang w:val="en-US"/>
        </w:rPr>
      </w:pPr>
    </w:p>
    <w:p w14:paraId="55602CC8" w14:textId="77777777" w:rsidR="00AC49B9" w:rsidRDefault="00AC49B9" w:rsidP="00AC49B9">
      <w:pPr>
        <w:spacing w:line="360" w:lineRule="auto"/>
        <w:jc w:val="both"/>
        <w:rPr>
          <w:b/>
          <w:lang w:val="en-US"/>
        </w:rPr>
      </w:pPr>
    </w:p>
    <w:p w14:paraId="65A2D5D6" w14:textId="77777777" w:rsidR="00AC49B9" w:rsidRDefault="00AC49B9" w:rsidP="00AC49B9">
      <w:pPr>
        <w:spacing w:line="360" w:lineRule="auto"/>
        <w:jc w:val="both"/>
        <w:rPr>
          <w:b/>
          <w:lang w:val="en-US"/>
        </w:rPr>
      </w:pPr>
    </w:p>
    <w:p w14:paraId="32F26323" w14:textId="77777777" w:rsidR="00AC49B9" w:rsidRDefault="00AC49B9" w:rsidP="00AC49B9">
      <w:pPr>
        <w:spacing w:line="360" w:lineRule="auto"/>
        <w:jc w:val="both"/>
        <w:rPr>
          <w:b/>
          <w:lang w:val="en-US"/>
        </w:rPr>
      </w:pPr>
    </w:p>
    <w:p w14:paraId="17D1FAE0" w14:textId="77777777" w:rsidR="00AC49B9" w:rsidRDefault="00AC49B9" w:rsidP="00AC49B9">
      <w:pPr>
        <w:spacing w:line="360" w:lineRule="auto"/>
        <w:jc w:val="both"/>
        <w:rPr>
          <w:b/>
          <w:lang w:val="en-US"/>
        </w:rPr>
      </w:pPr>
    </w:p>
    <w:p w14:paraId="6D922FF3" w14:textId="77777777" w:rsidR="00AC49B9" w:rsidRDefault="00AC49B9" w:rsidP="00AC49B9">
      <w:pPr>
        <w:spacing w:line="360" w:lineRule="auto"/>
        <w:jc w:val="both"/>
        <w:rPr>
          <w:b/>
          <w:lang w:val="en-US"/>
        </w:rPr>
      </w:pPr>
    </w:p>
    <w:p w14:paraId="1C466F8C" w14:textId="77777777" w:rsidR="00AC49B9" w:rsidRDefault="00AC49B9" w:rsidP="00AC49B9">
      <w:pPr>
        <w:spacing w:line="360" w:lineRule="auto"/>
        <w:jc w:val="both"/>
        <w:rPr>
          <w:b/>
          <w:lang w:val="en-US"/>
        </w:rPr>
      </w:pPr>
    </w:p>
    <w:p w14:paraId="5532017C" w14:textId="77777777" w:rsidR="00AC49B9" w:rsidRDefault="00AC49B9" w:rsidP="00AC49B9">
      <w:pPr>
        <w:spacing w:line="360" w:lineRule="auto"/>
        <w:jc w:val="both"/>
        <w:rPr>
          <w:b/>
          <w:lang w:val="en-US"/>
        </w:rPr>
      </w:pPr>
    </w:p>
    <w:p w14:paraId="7A6FD1A7" w14:textId="77777777" w:rsidR="00AC49B9" w:rsidRDefault="00AC49B9" w:rsidP="00AC49B9">
      <w:pPr>
        <w:spacing w:line="360" w:lineRule="auto"/>
        <w:jc w:val="both"/>
        <w:rPr>
          <w:b/>
          <w:lang w:val="en-US"/>
        </w:rPr>
      </w:pPr>
    </w:p>
    <w:p w14:paraId="2ECAEB2E" w14:textId="77777777" w:rsidR="00AC49B9" w:rsidRDefault="00AC49B9" w:rsidP="00AC49B9">
      <w:pPr>
        <w:spacing w:line="360" w:lineRule="auto"/>
        <w:jc w:val="both"/>
        <w:rPr>
          <w:b/>
          <w:lang w:val="en-US"/>
        </w:rPr>
      </w:pPr>
    </w:p>
    <w:p w14:paraId="39AD12C3" w14:textId="77777777" w:rsidR="00AC49B9" w:rsidRDefault="00AC49B9" w:rsidP="00AC49B9">
      <w:pPr>
        <w:spacing w:line="360" w:lineRule="auto"/>
        <w:jc w:val="both"/>
        <w:rPr>
          <w:b/>
          <w:lang w:val="en-US"/>
        </w:rPr>
      </w:pPr>
    </w:p>
    <w:p w14:paraId="3FB58E85" w14:textId="77777777" w:rsidR="00AC49B9" w:rsidRDefault="00AC49B9" w:rsidP="00AC49B9">
      <w:pPr>
        <w:spacing w:line="360" w:lineRule="auto"/>
        <w:jc w:val="both"/>
        <w:rPr>
          <w:b/>
          <w:lang w:val="en-US"/>
        </w:rPr>
      </w:pPr>
    </w:p>
    <w:p w14:paraId="33294954" w14:textId="77777777" w:rsidR="00AC49B9" w:rsidRDefault="00AC49B9" w:rsidP="00AC49B9">
      <w:pPr>
        <w:spacing w:line="360" w:lineRule="auto"/>
        <w:jc w:val="both"/>
        <w:rPr>
          <w:b/>
          <w:lang w:val="en-US"/>
        </w:rPr>
      </w:pPr>
    </w:p>
    <w:p w14:paraId="51EEDA28" w14:textId="77777777" w:rsidR="00AC49B9" w:rsidRDefault="00AC49B9" w:rsidP="00AC49B9">
      <w:pPr>
        <w:spacing w:line="360" w:lineRule="auto"/>
        <w:jc w:val="both"/>
        <w:rPr>
          <w:b/>
          <w:lang w:val="en-US"/>
        </w:rPr>
      </w:pPr>
    </w:p>
    <w:p w14:paraId="533404AD" w14:textId="77777777" w:rsidR="00AC49B9" w:rsidRDefault="00AC49B9" w:rsidP="00AC49B9">
      <w:pPr>
        <w:spacing w:line="360" w:lineRule="auto"/>
        <w:jc w:val="both"/>
        <w:rPr>
          <w:b/>
          <w:lang w:val="en-US"/>
        </w:rPr>
      </w:pPr>
    </w:p>
    <w:p w14:paraId="0DA43A04" w14:textId="77777777" w:rsidR="00AC49B9" w:rsidRDefault="00AC49B9" w:rsidP="00AC49B9">
      <w:pPr>
        <w:spacing w:line="360" w:lineRule="auto"/>
        <w:jc w:val="both"/>
        <w:rPr>
          <w:b/>
          <w:lang w:val="en-US"/>
        </w:rPr>
      </w:pPr>
    </w:p>
    <w:p w14:paraId="705264C5" w14:textId="77777777" w:rsidR="00AC49B9" w:rsidRDefault="00AC49B9" w:rsidP="00AC49B9">
      <w:pPr>
        <w:spacing w:line="360" w:lineRule="auto"/>
        <w:jc w:val="both"/>
        <w:rPr>
          <w:b/>
          <w:lang w:val="en-US"/>
        </w:rPr>
      </w:pPr>
    </w:p>
    <w:p w14:paraId="23F0D80C" w14:textId="77777777" w:rsidR="00AC49B9" w:rsidRDefault="00AC49B9" w:rsidP="00AC49B9">
      <w:pPr>
        <w:spacing w:line="360" w:lineRule="auto"/>
        <w:jc w:val="both"/>
        <w:rPr>
          <w:b/>
          <w:lang w:val="en-US"/>
        </w:rPr>
      </w:pPr>
    </w:p>
    <w:p w14:paraId="699D0F36" w14:textId="77777777" w:rsidR="00AC49B9" w:rsidRDefault="00AC49B9" w:rsidP="00AC49B9">
      <w:pPr>
        <w:spacing w:line="360" w:lineRule="auto"/>
        <w:jc w:val="both"/>
        <w:rPr>
          <w:b/>
          <w:lang w:val="en-US"/>
        </w:rPr>
      </w:pPr>
    </w:p>
    <w:p w14:paraId="495D7610" w14:textId="77777777" w:rsidR="00AC49B9" w:rsidRDefault="00AC49B9" w:rsidP="00AC49B9">
      <w:pPr>
        <w:spacing w:line="360" w:lineRule="auto"/>
        <w:jc w:val="both"/>
        <w:rPr>
          <w:b/>
          <w:lang w:val="en-US"/>
        </w:rPr>
      </w:pPr>
    </w:p>
    <w:p w14:paraId="21872FC9" w14:textId="77777777" w:rsidR="00AC49B9" w:rsidRDefault="00AC49B9" w:rsidP="00AC49B9">
      <w:pPr>
        <w:spacing w:line="360" w:lineRule="auto"/>
        <w:jc w:val="both"/>
        <w:rPr>
          <w:b/>
          <w:lang w:val="en-US"/>
        </w:rPr>
      </w:pPr>
    </w:p>
    <w:p w14:paraId="5A41020B" w14:textId="77777777" w:rsidR="00AC49B9" w:rsidRDefault="00AC49B9" w:rsidP="00AC49B9">
      <w:pPr>
        <w:spacing w:line="360" w:lineRule="auto"/>
        <w:jc w:val="both"/>
        <w:rPr>
          <w:b/>
          <w:lang w:val="en-US"/>
        </w:rPr>
      </w:pPr>
    </w:p>
    <w:p w14:paraId="0AF8398A" w14:textId="77777777" w:rsidR="00AC49B9" w:rsidRDefault="00AC49B9" w:rsidP="00AC49B9">
      <w:pPr>
        <w:spacing w:line="360" w:lineRule="auto"/>
        <w:jc w:val="both"/>
        <w:rPr>
          <w:b/>
          <w:lang w:val="en-US"/>
        </w:rPr>
      </w:pPr>
    </w:p>
    <w:p w14:paraId="6FC418EE" w14:textId="77777777" w:rsidR="00AC49B9" w:rsidRDefault="00AC49B9" w:rsidP="00AC49B9">
      <w:pPr>
        <w:spacing w:line="360" w:lineRule="auto"/>
        <w:jc w:val="both"/>
        <w:rPr>
          <w:b/>
          <w:lang w:val="en-US"/>
        </w:rPr>
      </w:pPr>
    </w:p>
    <w:p w14:paraId="50FD4C55" w14:textId="77777777" w:rsidR="00AC49B9" w:rsidRDefault="00AC49B9" w:rsidP="00AC49B9">
      <w:pPr>
        <w:spacing w:line="360" w:lineRule="auto"/>
        <w:jc w:val="both"/>
        <w:rPr>
          <w:b/>
          <w:lang w:val="en-US"/>
        </w:rPr>
      </w:pPr>
    </w:p>
    <w:p w14:paraId="20664C0C" w14:textId="77777777" w:rsidR="00AC49B9" w:rsidRDefault="00AC49B9" w:rsidP="00AC49B9">
      <w:pPr>
        <w:spacing w:line="360" w:lineRule="auto"/>
        <w:jc w:val="both"/>
        <w:rPr>
          <w:b/>
          <w:lang w:val="en-US"/>
        </w:rPr>
      </w:pPr>
    </w:p>
    <w:p w14:paraId="0F8022CF" w14:textId="77777777" w:rsidR="00AC49B9" w:rsidRDefault="00AC49B9" w:rsidP="00AC49B9">
      <w:pPr>
        <w:spacing w:line="360" w:lineRule="auto"/>
        <w:jc w:val="both"/>
        <w:rPr>
          <w:b/>
          <w:lang w:val="en-US"/>
        </w:rPr>
      </w:pPr>
    </w:p>
    <w:p w14:paraId="3A3786F2" w14:textId="77777777" w:rsidR="00914D21" w:rsidRDefault="00914D21" w:rsidP="004D6C1D">
      <w:pPr>
        <w:spacing w:line="360" w:lineRule="auto"/>
        <w:jc w:val="both"/>
        <w:rPr>
          <w:b/>
          <w:lang w:val="en-US"/>
        </w:rPr>
      </w:pPr>
    </w:p>
    <w:p w14:paraId="7F40BE90" w14:textId="77777777" w:rsidR="00914D21" w:rsidRDefault="00914D21" w:rsidP="004D6C1D">
      <w:pPr>
        <w:spacing w:line="360" w:lineRule="auto"/>
        <w:jc w:val="both"/>
        <w:rPr>
          <w:b/>
          <w:lang w:val="en-US"/>
        </w:rPr>
      </w:pPr>
    </w:p>
    <w:p w14:paraId="29CF6DEB" w14:textId="27B6D476" w:rsidR="00AC49B9" w:rsidRDefault="00AC49B9" w:rsidP="004D6C1D">
      <w:pPr>
        <w:spacing w:line="360" w:lineRule="auto"/>
        <w:jc w:val="both"/>
        <w:rPr>
          <w:b/>
          <w:lang w:val="en-US"/>
        </w:rPr>
      </w:pPr>
      <w:r>
        <w:rPr>
          <w:b/>
          <w:lang w:val="en-US"/>
        </w:rPr>
        <w:t>Table of</w:t>
      </w:r>
      <w:r w:rsidRPr="004E52C1">
        <w:rPr>
          <w:b/>
          <w:lang w:val="en-US"/>
        </w:rPr>
        <w:t xml:space="preserve"> Contents</w:t>
      </w:r>
    </w:p>
    <w:p w14:paraId="2C018BE2" w14:textId="6CA5997F" w:rsidR="00AC49B9" w:rsidRDefault="00AC49B9" w:rsidP="004D6C1D">
      <w:pPr>
        <w:spacing w:line="360" w:lineRule="auto"/>
        <w:jc w:val="both"/>
        <w:rPr>
          <w:lang w:val="en-US"/>
        </w:rPr>
      </w:pPr>
      <w:r>
        <w:rPr>
          <w:lang w:val="en-US"/>
        </w:rPr>
        <w:t>Declaration by the Author……………………………………………………………………...v</w:t>
      </w:r>
    </w:p>
    <w:p w14:paraId="52602ED9" w14:textId="09777527" w:rsidR="00AC49B9" w:rsidRDefault="00AC49B9" w:rsidP="004D6C1D">
      <w:pPr>
        <w:spacing w:line="360" w:lineRule="auto"/>
        <w:jc w:val="both"/>
        <w:rPr>
          <w:lang w:val="en-US"/>
        </w:rPr>
      </w:pPr>
      <w:r>
        <w:rPr>
          <w:lang w:val="en-US"/>
        </w:rPr>
        <w:t>Copyright statement……………………………………………………………………………v</w:t>
      </w:r>
    </w:p>
    <w:p w14:paraId="3909F0E8" w14:textId="41C40663" w:rsidR="00AC49B9" w:rsidRDefault="00AC49B9" w:rsidP="004D6C1D">
      <w:pPr>
        <w:spacing w:line="360" w:lineRule="auto"/>
        <w:jc w:val="both"/>
        <w:rPr>
          <w:lang w:val="en-US"/>
        </w:rPr>
      </w:pPr>
      <w:r>
        <w:rPr>
          <w:lang w:val="en-US"/>
        </w:rPr>
        <w:t>Abstract……………………………………………………………………………………….vii</w:t>
      </w:r>
    </w:p>
    <w:p w14:paraId="39C1449A" w14:textId="2C9EBA90" w:rsidR="00AC49B9" w:rsidRPr="00AC49B9" w:rsidRDefault="00AC49B9" w:rsidP="004D6C1D">
      <w:pPr>
        <w:spacing w:line="360" w:lineRule="auto"/>
        <w:jc w:val="both"/>
        <w:rPr>
          <w:lang w:val="en-US"/>
        </w:rPr>
      </w:pPr>
      <w:r>
        <w:rPr>
          <w:lang w:val="en-US"/>
        </w:rPr>
        <w:t>Brief Contents</w:t>
      </w:r>
      <w:r w:rsidR="004340EC">
        <w:rPr>
          <w:lang w:val="en-US"/>
        </w:rPr>
        <w:t>…………………………………………………………………………………i</w:t>
      </w:r>
      <w:r>
        <w:rPr>
          <w:lang w:val="en-US"/>
        </w:rPr>
        <w:t>x</w:t>
      </w:r>
    </w:p>
    <w:p w14:paraId="7CBC179B" w14:textId="1050B00D" w:rsidR="00AC49B9" w:rsidRDefault="00AC49B9" w:rsidP="004D6C1D">
      <w:pPr>
        <w:spacing w:line="360" w:lineRule="auto"/>
        <w:jc w:val="both"/>
        <w:rPr>
          <w:lang w:val="en-US"/>
        </w:rPr>
      </w:pPr>
      <w:r>
        <w:rPr>
          <w:lang w:val="en-US"/>
        </w:rPr>
        <w:t>Table of Contents</w:t>
      </w:r>
      <w:r w:rsidR="00946839">
        <w:rPr>
          <w:lang w:val="en-US"/>
        </w:rPr>
        <w:t>……………………………………………………………………………..</w:t>
      </w:r>
      <w:r w:rsidR="004340EC">
        <w:rPr>
          <w:lang w:val="en-US"/>
        </w:rPr>
        <w:t>.</w:t>
      </w:r>
      <w:r>
        <w:rPr>
          <w:lang w:val="en-US"/>
        </w:rPr>
        <w:t>xi</w:t>
      </w:r>
    </w:p>
    <w:p w14:paraId="0BC86560" w14:textId="1099EBE5" w:rsidR="00AC49B9" w:rsidRDefault="00AC49B9" w:rsidP="004D6C1D">
      <w:pPr>
        <w:spacing w:line="360" w:lineRule="auto"/>
        <w:jc w:val="both"/>
        <w:rPr>
          <w:lang w:val="en-US"/>
        </w:rPr>
      </w:pPr>
      <w:r>
        <w:rPr>
          <w:lang w:val="en-US"/>
        </w:rPr>
        <w:t>List of Tables and Figures</w:t>
      </w:r>
      <w:r w:rsidR="00946839">
        <w:rPr>
          <w:lang w:val="en-US"/>
        </w:rPr>
        <w:t>……………………………………………………………………</w:t>
      </w:r>
      <w:r w:rsidR="004340EC">
        <w:rPr>
          <w:lang w:val="en-US"/>
        </w:rPr>
        <w:t>.</w:t>
      </w:r>
      <w:r w:rsidR="00115970">
        <w:rPr>
          <w:lang w:val="en-US"/>
        </w:rPr>
        <w:t>xv</w:t>
      </w:r>
    </w:p>
    <w:p w14:paraId="21E5C0FC" w14:textId="1CFFE6DB" w:rsidR="00AC49B9" w:rsidRDefault="00AC49B9" w:rsidP="004D6C1D">
      <w:pPr>
        <w:spacing w:line="360" w:lineRule="auto"/>
        <w:jc w:val="both"/>
        <w:rPr>
          <w:lang w:val="en-US"/>
        </w:rPr>
      </w:pPr>
      <w:r>
        <w:rPr>
          <w:lang w:val="en-US"/>
        </w:rPr>
        <w:t>Chap</w:t>
      </w:r>
      <w:r w:rsidR="00877BD9">
        <w:rPr>
          <w:lang w:val="en-US"/>
        </w:rPr>
        <w:t>t</w:t>
      </w:r>
      <w:r>
        <w:rPr>
          <w:lang w:val="en-US"/>
        </w:rPr>
        <w:t>er 1</w:t>
      </w:r>
      <w:r w:rsidR="00740B0F">
        <w:rPr>
          <w:lang w:val="en-US"/>
        </w:rPr>
        <w:t>………………………</w:t>
      </w:r>
      <w:r w:rsidR="00B61FFA">
        <w:rPr>
          <w:lang w:val="en-US"/>
        </w:rPr>
        <w:t>……………………………………………………………….3</w:t>
      </w:r>
    </w:p>
    <w:p w14:paraId="723FCF1F" w14:textId="779B8AF9" w:rsidR="00AC49B9" w:rsidRDefault="00B61FFA" w:rsidP="004D6C1D">
      <w:pPr>
        <w:spacing w:line="360" w:lineRule="auto"/>
        <w:jc w:val="both"/>
        <w:rPr>
          <w:lang w:val="en-US"/>
        </w:rPr>
      </w:pPr>
      <w:r>
        <w:rPr>
          <w:lang w:val="en-US"/>
        </w:rPr>
        <w:t>Introduction…………………………………………………………………………………….3</w:t>
      </w:r>
    </w:p>
    <w:p w14:paraId="26AC9D6C" w14:textId="057B5877" w:rsidR="00AC49B9" w:rsidRPr="00AC49B9" w:rsidRDefault="00AC49B9" w:rsidP="004D6C1D">
      <w:pPr>
        <w:pStyle w:val="Paragrafoelenco"/>
        <w:numPr>
          <w:ilvl w:val="1"/>
          <w:numId w:val="1"/>
        </w:numPr>
        <w:spacing w:line="360" w:lineRule="auto"/>
        <w:jc w:val="both"/>
        <w:rPr>
          <w:lang w:val="en-US"/>
        </w:rPr>
      </w:pPr>
      <w:r w:rsidRPr="00AC49B9">
        <w:rPr>
          <w:lang w:val="en-US"/>
        </w:rPr>
        <w:t>Contents and main objectives of the enquiry</w:t>
      </w:r>
      <w:r w:rsidR="008C7E70">
        <w:rPr>
          <w:lang w:val="en-US"/>
        </w:rPr>
        <w:t>………………………………………3</w:t>
      </w:r>
    </w:p>
    <w:p w14:paraId="6C44B349" w14:textId="76411229" w:rsidR="00AC49B9" w:rsidRDefault="00AC49B9" w:rsidP="004D6C1D">
      <w:pPr>
        <w:spacing w:line="360" w:lineRule="auto"/>
        <w:jc w:val="both"/>
        <w:rPr>
          <w:lang w:val="en-US"/>
        </w:rPr>
      </w:pPr>
      <w:r>
        <w:rPr>
          <w:lang w:val="en-US"/>
        </w:rPr>
        <w:t>Chapter 2</w:t>
      </w:r>
      <w:r w:rsidR="008C7E70">
        <w:rPr>
          <w:lang w:val="en-US"/>
        </w:rPr>
        <w:t>……………………………………………………………………………………...16</w:t>
      </w:r>
    </w:p>
    <w:p w14:paraId="229EEE0F" w14:textId="25B6AFF6" w:rsidR="00AC49B9" w:rsidRDefault="00AC49B9" w:rsidP="004D6C1D">
      <w:pPr>
        <w:spacing w:line="360" w:lineRule="auto"/>
        <w:jc w:val="both"/>
        <w:rPr>
          <w:lang w:val="en-US"/>
        </w:rPr>
      </w:pPr>
      <w:r>
        <w:rPr>
          <w:lang w:val="en-US"/>
        </w:rPr>
        <w:t>Fundraising i</w:t>
      </w:r>
      <w:r w:rsidRPr="009E0618">
        <w:rPr>
          <w:lang w:val="en-US"/>
        </w:rPr>
        <w:t>n Higher Education C</w:t>
      </w:r>
      <w:r>
        <w:rPr>
          <w:lang w:val="en-US"/>
        </w:rPr>
        <w:t>ontext: a Topical and Theoretical Literature Review</w:t>
      </w:r>
      <w:r w:rsidR="002360CF">
        <w:rPr>
          <w:lang w:val="en-US"/>
        </w:rPr>
        <w:t>……16</w:t>
      </w:r>
    </w:p>
    <w:p w14:paraId="12DCE025" w14:textId="1785F7C8" w:rsidR="00AC49B9" w:rsidRDefault="00AC49B9" w:rsidP="004D6C1D">
      <w:pPr>
        <w:spacing w:line="360" w:lineRule="auto"/>
        <w:ind w:firstLine="708"/>
        <w:jc w:val="both"/>
        <w:rPr>
          <w:lang w:val="en-US"/>
        </w:rPr>
      </w:pPr>
      <w:r w:rsidRPr="00AC49B9">
        <w:rPr>
          <w:lang w:val="en-US"/>
        </w:rPr>
        <w:t>2.1 Introduction</w:t>
      </w:r>
      <w:r w:rsidR="002360CF">
        <w:rPr>
          <w:lang w:val="en-US"/>
        </w:rPr>
        <w:t>……………………………………………………………………….16</w:t>
      </w:r>
    </w:p>
    <w:p w14:paraId="314073F0" w14:textId="5CBE9044" w:rsidR="00AC49B9" w:rsidRDefault="00AC49B9" w:rsidP="001566B9">
      <w:pPr>
        <w:spacing w:line="360" w:lineRule="auto"/>
        <w:ind w:firstLine="708"/>
        <w:jc w:val="both"/>
        <w:rPr>
          <w:lang w:val="en-US"/>
        </w:rPr>
      </w:pPr>
      <w:r>
        <w:rPr>
          <w:lang w:val="en-US"/>
        </w:rPr>
        <w:t>2.2 Methodology</w:t>
      </w:r>
      <w:r w:rsidR="001566B9">
        <w:rPr>
          <w:lang w:val="en-US"/>
        </w:rPr>
        <w:t>……………………………………………………………………...19</w:t>
      </w:r>
    </w:p>
    <w:p w14:paraId="2A846AD6" w14:textId="00E95769" w:rsidR="00AC49B9" w:rsidRDefault="00AC49B9" w:rsidP="004D6C1D">
      <w:pPr>
        <w:spacing w:line="360" w:lineRule="auto"/>
        <w:ind w:firstLine="708"/>
        <w:jc w:val="both"/>
        <w:rPr>
          <w:lang w:val="en-US"/>
        </w:rPr>
      </w:pPr>
      <w:r>
        <w:rPr>
          <w:lang w:val="en-US"/>
        </w:rPr>
        <w:t xml:space="preserve">2.3 </w:t>
      </w:r>
      <w:r w:rsidRPr="00AC49B9">
        <w:rPr>
          <w:lang w:val="en-US"/>
        </w:rPr>
        <w:t>Fundraising: the state of the art of the literature</w:t>
      </w:r>
      <w:r w:rsidR="001566B9">
        <w:rPr>
          <w:lang w:val="en-US"/>
        </w:rPr>
        <w:t>………………………………….21</w:t>
      </w:r>
    </w:p>
    <w:p w14:paraId="661626FD" w14:textId="141A698D" w:rsidR="00AC49B9" w:rsidRDefault="00AC49B9" w:rsidP="004D6C1D">
      <w:pPr>
        <w:spacing w:line="360" w:lineRule="auto"/>
        <w:ind w:firstLine="708"/>
        <w:jc w:val="both"/>
        <w:rPr>
          <w:lang w:val="en-US"/>
        </w:rPr>
      </w:pPr>
      <w:r>
        <w:rPr>
          <w:lang w:val="en-US"/>
        </w:rPr>
        <w:t>2.</w:t>
      </w:r>
      <w:r w:rsidRPr="00AC49B9">
        <w:rPr>
          <w:lang w:val="en-US"/>
        </w:rPr>
        <w:t>4 Literature gap, main objectives of the thesis and research questions</w:t>
      </w:r>
      <w:r w:rsidR="001566B9">
        <w:rPr>
          <w:lang w:val="en-US"/>
        </w:rPr>
        <w:t>…………….39</w:t>
      </w:r>
    </w:p>
    <w:p w14:paraId="196A8950" w14:textId="6FB1BF81" w:rsidR="00AC49B9" w:rsidRDefault="00AC49B9" w:rsidP="001566B9">
      <w:pPr>
        <w:spacing w:line="360" w:lineRule="auto"/>
        <w:ind w:firstLine="708"/>
        <w:jc w:val="both"/>
        <w:rPr>
          <w:lang w:val="en-US"/>
        </w:rPr>
      </w:pPr>
      <w:r>
        <w:rPr>
          <w:lang w:val="en-US"/>
        </w:rPr>
        <w:t>2.5 Conclusions</w:t>
      </w:r>
      <w:r w:rsidR="001566B9">
        <w:rPr>
          <w:lang w:val="en-US"/>
        </w:rPr>
        <w:t>……………………………………………………………………….40</w:t>
      </w:r>
    </w:p>
    <w:p w14:paraId="3584F969" w14:textId="2C118D4E" w:rsidR="00AC49B9" w:rsidRDefault="00AC49B9" w:rsidP="001566B9">
      <w:pPr>
        <w:spacing w:line="360" w:lineRule="auto"/>
        <w:ind w:firstLine="708"/>
        <w:jc w:val="both"/>
        <w:rPr>
          <w:lang w:val="en-US"/>
        </w:rPr>
      </w:pPr>
      <w:r>
        <w:rPr>
          <w:lang w:val="en-US"/>
        </w:rPr>
        <w:t>2.6 Tables and Figures</w:t>
      </w:r>
      <w:r w:rsidR="00E24DD8">
        <w:rPr>
          <w:lang w:val="en-US"/>
        </w:rPr>
        <w:t>………………………………………………………………...43</w:t>
      </w:r>
    </w:p>
    <w:p w14:paraId="01189384" w14:textId="55583530" w:rsidR="00AC49B9" w:rsidRDefault="00AC49B9" w:rsidP="004D6C1D">
      <w:pPr>
        <w:spacing w:line="360" w:lineRule="auto"/>
        <w:jc w:val="both"/>
        <w:rPr>
          <w:lang w:val="en-US"/>
        </w:rPr>
      </w:pPr>
      <w:r>
        <w:rPr>
          <w:lang w:val="en-US"/>
        </w:rPr>
        <w:t>Chapter 3</w:t>
      </w:r>
      <w:r w:rsidR="002163B4">
        <w:rPr>
          <w:lang w:val="en-US"/>
        </w:rPr>
        <w:t>……………</w:t>
      </w:r>
      <w:r w:rsidR="00E24DD8">
        <w:rPr>
          <w:lang w:val="en-US"/>
        </w:rPr>
        <w:t>………………………………………………………………………...47</w:t>
      </w:r>
    </w:p>
    <w:p w14:paraId="26DFE5F4" w14:textId="19555B18" w:rsidR="00AC49B9" w:rsidRDefault="00AC49B9" w:rsidP="004D6C1D">
      <w:pPr>
        <w:spacing w:line="360" w:lineRule="auto"/>
        <w:jc w:val="both"/>
        <w:rPr>
          <w:lang w:val="en-US"/>
        </w:rPr>
      </w:pPr>
      <w:r w:rsidRPr="00AC49B9">
        <w:rPr>
          <w:lang w:val="en-US"/>
        </w:rPr>
        <w:t>Fundraising as a Strategic Tool to Achieve University Mission: Insights from Italian Universities</w:t>
      </w:r>
      <w:r w:rsidR="002163B4">
        <w:rPr>
          <w:lang w:val="en-US"/>
        </w:rPr>
        <w:t>…………</w:t>
      </w:r>
      <w:r w:rsidR="00E24DD8">
        <w:rPr>
          <w:lang w:val="en-US"/>
        </w:rPr>
        <w:t>………………………………………………………………………...47</w:t>
      </w:r>
    </w:p>
    <w:p w14:paraId="28DB7730" w14:textId="2ACE6411" w:rsidR="00AC49B9" w:rsidRDefault="00711758" w:rsidP="004D6C1D">
      <w:pPr>
        <w:spacing w:line="360" w:lineRule="auto"/>
        <w:jc w:val="both"/>
        <w:rPr>
          <w:lang w:val="en-US"/>
        </w:rPr>
      </w:pPr>
      <w:r>
        <w:rPr>
          <w:lang w:val="en-US"/>
        </w:rPr>
        <w:tab/>
        <w:t>3.1</w:t>
      </w:r>
      <w:r w:rsidR="00386D3F">
        <w:rPr>
          <w:lang w:val="en-US"/>
        </w:rPr>
        <w:t xml:space="preserve"> </w:t>
      </w:r>
      <w:r w:rsidR="00AC49B9">
        <w:rPr>
          <w:lang w:val="en-US"/>
        </w:rPr>
        <w:t>Introduction</w:t>
      </w:r>
      <w:r>
        <w:rPr>
          <w:lang w:val="en-US"/>
        </w:rPr>
        <w:t>………………………………………………………………………</w:t>
      </w:r>
      <w:r w:rsidR="00386D3F">
        <w:rPr>
          <w:lang w:val="en-US"/>
        </w:rPr>
        <w:t>.</w:t>
      </w:r>
      <w:r w:rsidR="00E24DD8">
        <w:rPr>
          <w:lang w:val="en-US"/>
        </w:rPr>
        <w:t>47</w:t>
      </w:r>
    </w:p>
    <w:p w14:paraId="4E04D0C9" w14:textId="4F3FCD6B" w:rsidR="00AC49B9" w:rsidRDefault="00AC49B9" w:rsidP="001566B9">
      <w:pPr>
        <w:spacing w:line="360" w:lineRule="auto"/>
        <w:ind w:firstLine="708"/>
        <w:jc w:val="both"/>
        <w:rPr>
          <w:lang w:val="en-US"/>
        </w:rPr>
      </w:pPr>
      <w:r>
        <w:rPr>
          <w:lang w:val="en-US"/>
        </w:rPr>
        <w:t>3.2 Background</w:t>
      </w:r>
      <w:r w:rsidR="00E24DD8">
        <w:rPr>
          <w:lang w:val="en-US"/>
        </w:rPr>
        <w:t>……………………………………………………………………….48</w:t>
      </w:r>
    </w:p>
    <w:p w14:paraId="367598A8" w14:textId="07A58422" w:rsidR="00AC49B9" w:rsidRDefault="00AC49B9" w:rsidP="001566B9">
      <w:pPr>
        <w:spacing w:line="360" w:lineRule="auto"/>
        <w:ind w:firstLine="708"/>
        <w:jc w:val="both"/>
        <w:rPr>
          <w:lang w:val="en-US"/>
        </w:rPr>
      </w:pPr>
      <w:r>
        <w:rPr>
          <w:lang w:val="en-US"/>
        </w:rPr>
        <w:t>3.3 Theoretical Framework</w:t>
      </w:r>
      <w:r w:rsidR="00E24DD8">
        <w:rPr>
          <w:lang w:val="en-US"/>
        </w:rPr>
        <w:t>…………………………………………………………...51</w:t>
      </w:r>
    </w:p>
    <w:p w14:paraId="4EAF4726" w14:textId="45532C7F" w:rsidR="00AC49B9" w:rsidRDefault="00AC49B9" w:rsidP="001566B9">
      <w:pPr>
        <w:spacing w:line="360" w:lineRule="auto"/>
        <w:ind w:firstLine="708"/>
        <w:jc w:val="both"/>
        <w:rPr>
          <w:lang w:val="en-US"/>
        </w:rPr>
      </w:pPr>
      <w:r>
        <w:rPr>
          <w:lang w:val="en-US"/>
        </w:rPr>
        <w:t>3.4 Theoretical models</w:t>
      </w:r>
      <w:r w:rsidR="00E24DD8">
        <w:rPr>
          <w:lang w:val="en-US"/>
        </w:rPr>
        <w:t>………………………………………………………………..54</w:t>
      </w:r>
    </w:p>
    <w:p w14:paraId="642CB353" w14:textId="5B248F6C" w:rsidR="00AC49B9" w:rsidRDefault="00AC49B9" w:rsidP="001566B9">
      <w:pPr>
        <w:spacing w:line="360" w:lineRule="auto"/>
        <w:ind w:firstLine="708"/>
        <w:jc w:val="both"/>
        <w:rPr>
          <w:lang w:val="en-US"/>
        </w:rPr>
      </w:pPr>
      <w:r>
        <w:rPr>
          <w:lang w:val="en-US"/>
        </w:rPr>
        <w:t>3.5 Methodology</w:t>
      </w:r>
      <w:r w:rsidR="00E24DD8">
        <w:rPr>
          <w:lang w:val="en-US"/>
        </w:rPr>
        <w:t>……………………………………………………………………...56</w:t>
      </w:r>
    </w:p>
    <w:p w14:paraId="05B182B8" w14:textId="03C5E4BB" w:rsidR="00AC49B9" w:rsidRDefault="00AC49B9" w:rsidP="004D6C1D">
      <w:pPr>
        <w:spacing w:line="360" w:lineRule="auto"/>
        <w:ind w:firstLine="708"/>
        <w:jc w:val="both"/>
        <w:rPr>
          <w:lang w:val="en-US"/>
        </w:rPr>
      </w:pPr>
      <w:r>
        <w:rPr>
          <w:lang w:val="en-US"/>
        </w:rPr>
        <w:t xml:space="preserve">3.6 </w:t>
      </w:r>
      <w:r w:rsidR="00DE147A" w:rsidRPr="00DE147A">
        <w:rPr>
          <w:lang w:val="en-US"/>
        </w:rPr>
        <w:t>The Italian public universities context</w:t>
      </w:r>
      <w:r w:rsidR="00E24DD8">
        <w:rPr>
          <w:lang w:val="en-US"/>
        </w:rPr>
        <w:t>……………………………………………58</w:t>
      </w:r>
    </w:p>
    <w:p w14:paraId="3C012475" w14:textId="31033BF4" w:rsidR="00DE147A" w:rsidRDefault="001566B9" w:rsidP="001566B9">
      <w:pPr>
        <w:spacing w:line="360" w:lineRule="auto"/>
        <w:ind w:firstLine="708"/>
        <w:jc w:val="both"/>
        <w:rPr>
          <w:lang w:val="en-US"/>
        </w:rPr>
      </w:pPr>
      <w:r>
        <w:rPr>
          <w:lang w:val="en-US"/>
        </w:rPr>
        <w:tab/>
      </w:r>
      <w:r w:rsidR="00DE147A">
        <w:rPr>
          <w:lang w:val="en-US"/>
        </w:rPr>
        <w:t>3.6.1</w:t>
      </w:r>
      <w:r w:rsidR="00DE147A" w:rsidRPr="00DE147A">
        <w:rPr>
          <w:lang w:val="en-US"/>
        </w:rPr>
        <w:t xml:space="preserve"> Background</w:t>
      </w:r>
      <w:r w:rsidR="00E24DD8">
        <w:rPr>
          <w:lang w:val="en-US"/>
        </w:rPr>
        <w:t>…………………………………………………..…………58</w:t>
      </w:r>
    </w:p>
    <w:p w14:paraId="1DAE94E2" w14:textId="34B357AF" w:rsidR="00DE147A" w:rsidRPr="00DE147A" w:rsidRDefault="00DE147A" w:rsidP="004D6C1D">
      <w:pPr>
        <w:spacing w:line="360" w:lineRule="auto"/>
        <w:jc w:val="both"/>
        <w:rPr>
          <w:lang w:val="en-US"/>
        </w:rPr>
      </w:pPr>
      <w:r w:rsidRPr="00DE147A">
        <w:rPr>
          <w:lang w:val="en-US"/>
        </w:rPr>
        <w:tab/>
      </w:r>
      <w:r w:rsidRPr="00DE147A">
        <w:rPr>
          <w:lang w:val="en-US"/>
        </w:rPr>
        <w:tab/>
        <w:t>3.6.2 Preliminary sample analysis</w:t>
      </w:r>
      <w:r w:rsidR="00E24DD8">
        <w:rPr>
          <w:lang w:val="en-US"/>
        </w:rPr>
        <w:t>…………………………………………….61</w:t>
      </w:r>
    </w:p>
    <w:p w14:paraId="6F84A31A" w14:textId="75B7EF5A" w:rsidR="00DE147A" w:rsidRDefault="00DE147A" w:rsidP="004D6C1D">
      <w:pPr>
        <w:spacing w:line="360" w:lineRule="auto"/>
        <w:jc w:val="both"/>
        <w:rPr>
          <w:lang w:val="en-US"/>
        </w:rPr>
      </w:pPr>
      <w:r>
        <w:rPr>
          <w:b/>
          <w:i/>
          <w:lang w:val="en-US"/>
        </w:rPr>
        <w:tab/>
      </w:r>
      <w:r w:rsidRPr="00DE147A">
        <w:rPr>
          <w:lang w:val="en-US"/>
        </w:rPr>
        <w:tab/>
        <w:t>3.6.3 Content Analysis results</w:t>
      </w:r>
      <w:r w:rsidR="00E24DD8">
        <w:rPr>
          <w:lang w:val="en-US"/>
        </w:rPr>
        <w:t>………………………………………………...62</w:t>
      </w:r>
    </w:p>
    <w:p w14:paraId="4E720F03" w14:textId="67F7EBA2" w:rsidR="00DE147A" w:rsidRDefault="00DE147A" w:rsidP="001566B9">
      <w:pPr>
        <w:spacing w:line="360" w:lineRule="auto"/>
        <w:ind w:firstLine="708"/>
        <w:jc w:val="both"/>
        <w:rPr>
          <w:lang w:val="en-US"/>
        </w:rPr>
      </w:pPr>
      <w:r>
        <w:rPr>
          <w:lang w:val="en-US"/>
        </w:rPr>
        <w:t>3.7 Discussion</w:t>
      </w:r>
      <w:r w:rsidR="00E24DD8">
        <w:rPr>
          <w:lang w:val="en-US"/>
        </w:rPr>
        <w:t>…………………………………………………………...……………63</w:t>
      </w:r>
    </w:p>
    <w:p w14:paraId="08B6B598" w14:textId="7C563AC4" w:rsidR="00DE147A" w:rsidRDefault="00DE147A" w:rsidP="001566B9">
      <w:pPr>
        <w:spacing w:line="360" w:lineRule="auto"/>
        <w:ind w:firstLine="708"/>
        <w:jc w:val="both"/>
        <w:rPr>
          <w:lang w:val="en-US"/>
        </w:rPr>
      </w:pPr>
      <w:r>
        <w:rPr>
          <w:lang w:val="en-US"/>
        </w:rPr>
        <w:t>3.8 Conclusion</w:t>
      </w:r>
      <w:r w:rsidR="00E24DD8">
        <w:rPr>
          <w:lang w:val="en-US"/>
        </w:rPr>
        <w:t>…………………………………………………………...……………67</w:t>
      </w:r>
    </w:p>
    <w:p w14:paraId="79156EAF" w14:textId="538204B2" w:rsidR="001566B9" w:rsidRDefault="00536E64" w:rsidP="001566B9">
      <w:pPr>
        <w:spacing w:line="360" w:lineRule="auto"/>
        <w:ind w:firstLine="708"/>
        <w:jc w:val="both"/>
        <w:rPr>
          <w:lang w:val="en-US"/>
        </w:rPr>
      </w:pPr>
      <w:r>
        <w:rPr>
          <w:lang w:val="en-US"/>
        </w:rPr>
        <w:t>3.9 Tables and Figures</w:t>
      </w:r>
      <w:r w:rsidR="00E24DD8">
        <w:rPr>
          <w:lang w:val="en-US"/>
        </w:rPr>
        <w:t>……………………………………………………………...…69</w:t>
      </w:r>
    </w:p>
    <w:p w14:paraId="5238B263" w14:textId="4BBF9BDD" w:rsidR="00536E64" w:rsidRDefault="00536E64" w:rsidP="004D6C1D">
      <w:pPr>
        <w:spacing w:line="360" w:lineRule="auto"/>
        <w:jc w:val="both"/>
        <w:rPr>
          <w:lang w:val="en-US"/>
        </w:rPr>
      </w:pPr>
    </w:p>
    <w:p w14:paraId="642071EE" w14:textId="27B728CA" w:rsidR="00536E64" w:rsidRDefault="00EE39E6" w:rsidP="004D6C1D">
      <w:pPr>
        <w:spacing w:line="360" w:lineRule="auto"/>
        <w:jc w:val="both"/>
        <w:rPr>
          <w:lang w:val="en-US"/>
        </w:rPr>
      </w:pPr>
      <w:r>
        <w:rPr>
          <w:lang w:val="en-US"/>
        </w:rPr>
        <w:t>Chapter 4</w:t>
      </w:r>
      <w:r w:rsidR="009569CC">
        <w:rPr>
          <w:lang w:val="en-US"/>
        </w:rPr>
        <w:t>……………………………………………………………………………………</w:t>
      </w:r>
      <w:r w:rsidR="001566B9">
        <w:rPr>
          <w:lang w:val="en-US"/>
        </w:rPr>
        <w:t>...</w:t>
      </w:r>
      <w:r w:rsidR="009A0E46">
        <w:rPr>
          <w:lang w:val="en-US"/>
        </w:rPr>
        <w:t>77</w:t>
      </w:r>
    </w:p>
    <w:p w14:paraId="760DAF57" w14:textId="1DAD7E88" w:rsidR="00EE39E6" w:rsidRPr="004D6C1D" w:rsidRDefault="00EE39E6" w:rsidP="004D6C1D">
      <w:pPr>
        <w:spacing w:line="360" w:lineRule="auto"/>
        <w:jc w:val="both"/>
        <w:rPr>
          <w:lang w:val="en-US"/>
        </w:rPr>
      </w:pPr>
      <w:r w:rsidRPr="004D6C1D">
        <w:rPr>
          <w:lang w:val="en-US"/>
        </w:rPr>
        <w:t>Exploring the Fundraising Role in the Value Creation Process of Public Universities</w:t>
      </w:r>
      <w:r w:rsidR="009A0E46">
        <w:rPr>
          <w:lang w:val="en-US"/>
        </w:rPr>
        <w:t>………77</w:t>
      </w:r>
    </w:p>
    <w:p w14:paraId="47802F25" w14:textId="45A7F36B" w:rsidR="00EE39E6" w:rsidRPr="004D6C1D" w:rsidRDefault="009569CC" w:rsidP="004D6C1D">
      <w:pPr>
        <w:spacing w:line="360" w:lineRule="auto"/>
        <w:ind w:firstLine="708"/>
        <w:jc w:val="both"/>
        <w:rPr>
          <w:lang w:val="en-US"/>
        </w:rPr>
      </w:pPr>
      <w:r>
        <w:rPr>
          <w:lang w:val="en-US"/>
        </w:rPr>
        <w:t xml:space="preserve">4.1 </w:t>
      </w:r>
      <w:r w:rsidR="00EE39E6" w:rsidRPr="004D6C1D">
        <w:rPr>
          <w:lang w:val="en-US"/>
        </w:rPr>
        <w:t>Introduction</w:t>
      </w:r>
      <w:r>
        <w:rPr>
          <w:lang w:val="en-US"/>
        </w:rPr>
        <w:t>……………………………………</w:t>
      </w:r>
      <w:r w:rsidR="009A0E46">
        <w:rPr>
          <w:lang w:val="en-US"/>
        </w:rPr>
        <w:t>………………………………….77</w:t>
      </w:r>
    </w:p>
    <w:p w14:paraId="05983F66" w14:textId="3AD5D886" w:rsidR="00EE39E6" w:rsidRPr="004D6C1D" w:rsidRDefault="00EE39E6" w:rsidP="004D6C1D">
      <w:pPr>
        <w:spacing w:line="360" w:lineRule="auto"/>
        <w:ind w:firstLine="708"/>
        <w:jc w:val="both"/>
        <w:rPr>
          <w:lang w:val="en-US"/>
        </w:rPr>
      </w:pPr>
      <w:r w:rsidRPr="004D6C1D">
        <w:rPr>
          <w:lang w:val="en-US"/>
        </w:rPr>
        <w:t>4.2 Background</w:t>
      </w:r>
      <w:r w:rsidR="009A0E46">
        <w:rPr>
          <w:lang w:val="en-US"/>
        </w:rPr>
        <w:t>……………………………………………………………………….80</w:t>
      </w:r>
    </w:p>
    <w:p w14:paraId="7E1CC910" w14:textId="109692D9" w:rsidR="00EE39E6" w:rsidRPr="004D6C1D" w:rsidRDefault="00EE39E6" w:rsidP="004D6C1D">
      <w:pPr>
        <w:spacing w:line="360" w:lineRule="auto"/>
        <w:ind w:firstLine="708"/>
        <w:jc w:val="both"/>
        <w:rPr>
          <w:lang w:val="en-US"/>
        </w:rPr>
      </w:pPr>
      <w:r w:rsidRPr="004D6C1D">
        <w:rPr>
          <w:lang w:val="en-US"/>
        </w:rPr>
        <w:t>4.3 Methodology</w:t>
      </w:r>
      <w:r w:rsidR="009A0E46">
        <w:rPr>
          <w:lang w:val="en-US"/>
        </w:rPr>
        <w:t>……………………………………………………………………...84</w:t>
      </w:r>
    </w:p>
    <w:p w14:paraId="6011DB0B" w14:textId="5250DA69" w:rsidR="00EE39E6" w:rsidRPr="004D6C1D" w:rsidRDefault="00EE39E6" w:rsidP="004D6C1D">
      <w:pPr>
        <w:spacing w:line="360" w:lineRule="auto"/>
        <w:ind w:firstLine="708"/>
        <w:jc w:val="both"/>
        <w:rPr>
          <w:lang w:val="en-US"/>
        </w:rPr>
      </w:pPr>
      <w:r w:rsidRPr="004D6C1D">
        <w:rPr>
          <w:lang w:val="en-US"/>
        </w:rPr>
        <w:t xml:space="preserve">4.4 </w:t>
      </w:r>
      <w:r w:rsidR="004D6C1D" w:rsidRPr="004D6C1D">
        <w:rPr>
          <w:lang w:val="en-US"/>
        </w:rPr>
        <w:t>Analysis</w:t>
      </w:r>
      <w:r w:rsidR="001566B9">
        <w:rPr>
          <w:lang w:val="en-US"/>
        </w:rPr>
        <w:t>…</w:t>
      </w:r>
      <w:r w:rsidR="009A0E46">
        <w:rPr>
          <w:lang w:val="en-US"/>
        </w:rPr>
        <w:t>………………………………………………………………………...89</w:t>
      </w:r>
    </w:p>
    <w:p w14:paraId="1686AC95" w14:textId="29F4EDAC" w:rsidR="004D6C1D" w:rsidRPr="004D6C1D" w:rsidRDefault="00954CBE" w:rsidP="004D6C1D">
      <w:pPr>
        <w:spacing w:line="360" w:lineRule="auto"/>
        <w:jc w:val="both"/>
        <w:rPr>
          <w:lang w:val="en-US"/>
        </w:rPr>
      </w:pPr>
      <w:r>
        <w:rPr>
          <w:lang w:val="en-US"/>
        </w:rPr>
        <w:tab/>
      </w:r>
      <w:r>
        <w:rPr>
          <w:lang w:val="en-US"/>
        </w:rPr>
        <w:tab/>
        <w:t>4.4</w:t>
      </w:r>
      <w:r w:rsidR="004D6C1D" w:rsidRPr="004D6C1D">
        <w:rPr>
          <w:lang w:val="en-US"/>
        </w:rPr>
        <w:t>.1 Background</w:t>
      </w:r>
      <w:r w:rsidR="009A0E46">
        <w:rPr>
          <w:lang w:val="en-US"/>
        </w:rPr>
        <w:t>……………………………………………………………..89</w:t>
      </w:r>
    </w:p>
    <w:p w14:paraId="47978F5E" w14:textId="46548570" w:rsidR="004D6C1D" w:rsidRDefault="00954CBE" w:rsidP="001566B9">
      <w:pPr>
        <w:spacing w:line="360" w:lineRule="auto"/>
        <w:ind w:left="708" w:firstLine="708"/>
        <w:jc w:val="both"/>
        <w:rPr>
          <w:lang w:val="en-US"/>
        </w:rPr>
      </w:pPr>
      <w:r>
        <w:rPr>
          <w:lang w:val="en-US"/>
        </w:rPr>
        <w:t>4.4</w:t>
      </w:r>
      <w:r w:rsidR="004D6C1D" w:rsidRPr="004D6C1D">
        <w:rPr>
          <w:lang w:val="en-US"/>
        </w:rPr>
        <w:t>.2 Results</w:t>
      </w:r>
      <w:r w:rsidR="009A0E46">
        <w:rPr>
          <w:lang w:val="en-US"/>
        </w:rPr>
        <w:t>…………………………………………………………………..92</w:t>
      </w:r>
    </w:p>
    <w:p w14:paraId="1E57A7D0" w14:textId="7ADE5F5A" w:rsidR="004D6C1D" w:rsidRDefault="004D6C1D" w:rsidP="004D6C1D">
      <w:pPr>
        <w:spacing w:line="360" w:lineRule="auto"/>
        <w:jc w:val="both"/>
        <w:rPr>
          <w:lang w:val="en-US"/>
        </w:rPr>
      </w:pPr>
      <w:r>
        <w:rPr>
          <w:lang w:val="en-US"/>
        </w:rPr>
        <w:tab/>
        <w:t>4.5 Discussion</w:t>
      </w:r>
      <w:r w:rsidR="009A0E46">
        <w:rPr>
          <w:lang w:val="en-US"/>
        </w:rPr>
        <w:t>……………………………………………………………………….103</w:t>
      </w:r>
    </w:p>
    <w:p w14:paraId="23CDAAA2" w14:textId="69A6D8A4" w:rsidR="004D6C1D" w:rsidRDefault="004D6C1D" w:rsidP="004D6C1D">
      <w:pPr>
        <w:spacing w:line="360" w:lineRule="auto"/>
        <w:jc w:val="both"/>
        <w:rPr>
          <w:lang w:val="en-US"/>
        </w:rPr>
      </w:pPr>
      <w:r>
        <w:rPr>
          <w:lang w:val="en-US"/>
        </w:rPr>
        <w:tab/>
        <w:t>4.6 Conclusion</w:t>
      </w:r>
      <w:r w:rsidR="009A0E46">
        <w:rPr>
          <w:lang w:val="en-US"/>
        </w:rPr>
        <w:t>……………………………………………………………………….106</w:t>
      </w:r>
    </w:p>
    <w:p w14:paraId="7E87E626" w14:textId="5431F3CD" w:rsidR="004D6C1D" w:rsidRDefault="004D6C1D" w:rsidP="004D6C1D">
      <w:pPr>
        <w:spacing w:line="360" w:lineRule="auto"/>
        <w:jc w:val="both"/>
        <w:rPr>
          <w:lang w:val="en-US"/>
        </w:rPr>
      </w:pPr>
      <w:r>
        <w:rPr>
          <w:lang w:val="en-US"/>
        </w:rPr>
        <w:tab/>
        <w:t>4.7 Tables and Figures</w:t>
      </w:r>
      <w:r w:rsidR="009A0E46">
        <w:rPr>
          <w:lang w:val="en-US"/>
        </w:rPr>
        <w:t>……………………………………………………………….108</w:t>
      </w:r>
    </w:p>
    <w:p w14:paraId="4020F4C9" w14:textId="020C91BE" w:rsidR="004D6C1D" w:rsidRDefault="004D6C1D" w:rsidP="004D6C1D">
      <w:pPr>
        <w:spacing w:line="360" w:lineRule="auto"/>
        <w:jc w:val="both"/>
        <w:rPr>
          <w:lang w:val="en-US"/>
        </w:rPr>
      </w:pPr>
      <w:r>
        <w:rPr>
          <w:lang w:val="en-US"/>
        </w:rPr>
        <w:t>Chapter 5</w:t>
      </w:r>
      <w:r w:rsidR="00386D3F">
        <w:rPr>
          <w:lang w:val="en-US"/>
        </w:rPr>
        <w:t>…………………………………………………………………………………….</w:t>
      </w:r>
      <w:r w:rsidR="009A0E46">
        <w:rPr>
          <w:lang w:val="en-US"/>
        </w:rPr>
        <w:t>110</w:t>
      </w:r>
    </w:p>
    <w:p w14:paraId="71305B44" w14:textId="79FD1CAA" w:rsidR="009A0E46" w:rsidRDefault="009A0E46" w:rsidP="004D6C1D">
      <w:pPr>
        <w:spacing w:line="360" w:lineRule="auto"/>
        <w:jc w:val="both"/>
        <w:rPr>
          <w:lang w:val="en-US"/>
        </w:rPr>
      </w:pPr>
      <w:r w:rsidRPr="006B5C81">
        <w:rPr>
          <w:lang w:val="en-US"/>
        </w:rPr>
        <w:t>The Role Of Crowdfunding For New Funding Challenges In Public Universities: An Italian Case Study</w:t>
      </w:r>
      <w:r>
        <w:rPr>
          <w:lang w:val="en-US"/>
        </w:rPr>
        <w:t>…………………………………………………………………………………...110</w:t>
      </w:r>
    </w:p>
    <w:p w14:paraId="7C266752" w14:textId="28D8260B" w:rsidR="004D6C1D" w:rsidRDefault="00386D3F" w:rsidP="004D6C1D">
      <w:pPr>
        <w:spacing w:line="360" w:lineRule="auto"/>
        <w:jc w:val="both"/>
        <w:rPr>
          <w:lang w:val="en-US"/>
        </w:rPr>
      </w:pPr>
      <w:r>
        <w:rPr>
          <w:lang w:val="en-US"/>
        </w:rPr>
        <w:tab/>
        <w:t xml:space="preserve">5.1 </w:t>
      </w:r>
      <w:r w:rsidR="004D6C1D">
        <w:rPr>
          <w:lang w:val="en-US"/>
        </w:rPr>
        <w:t>Introduction</w:t>
      </w:r>
      <w:r>
        <w:rPr>
          <w:lang w:val="en-US"/>
        </w:rPr>
        <w:t>……………………………………………………………………...</w:t>
      </w:r>
      <w:r w:rsidR="009A0E46">
        <w:rPr>
          <w:lang w:val="en-US"/>
        </w:rPr>
        <w:t>110</w:t>
      </w:r>
    </w:p>
    <w:p w14:paraId="258DEDD4" w14:textId="7D0B8C03" w:rsidR="004D6C1D" w:rsidRDefault="004D6C1D" w:rsidP="004D6C1D">
      <w:pPr>
        <w:spacing w:line="360" w:lineRule="auto"/>
        <w:jc w:val="both"/>
        <w:rPr>
          <w:rFonts w:cs="Times New Roman"/>
          <w:lang w:val="en-US"/>
        </w:rPr>
      </w:pPr>
      <w:r>
        <w:rPr>
          <w:lang w:val="en-US"/>
        </w:rPr>
        <w:tab/>
        <w:t xml:space="preserve">5.2 </w:t>
      </w:r>
      <w:r w:rsidRPr="004D6C1D">
        <w:rPr>
          <w:rFonts w:cs="Times New Roman"/>
          <w:lang w:val="en-US"/>
        </w:rPr>
        <w:t>Background</w:t>
      </w:r>
      <w:r w:rsidR="00FF34B2">
        <w:rPr>
          <w:lang w:val="en-US"/>
        </w:rPr>
        <w:t>…………………………</w:t>
      </w:r>
      <w:r w:rsidR="009A0E46">
        <w:rPr>
          <w:lang w:val="en-US"/>
        </w:rPr>
        <w:t>…………………………………………...112</w:t>
      </w:r>
    </w:p>
    <w:p w14:paraId="67C38CDE" w14:textId="1856EC87" w:rsidR="004D6C1D" w:rsidRDefault="004D6C1D" w:rsidP="004D6C1D">
      <w:pPr>
        <w:spacing w:line="360" w:lineRule="auto"/>
        <w:jc w:val="both"/>
        <w:rPr>
          <w:rFonts w:cs="Times New Roman"/>
          <w:lang w:val="en-US"/>
        </w:rPr>
      </w:pPr>
      <w:r>
        <w:rPr>
          <w:rFonts w:cs="Times New Roman"/>
          <w:lang w:val="en-US"/>
        </w:rPr>
        <w:tab/>
        <w:t xml:space="preserve">5.3 </w:t>
      </w:r>
      <w:r w:rsidRPr="004D6C1D">
        <w:rPr>
          <w:rFonts w:cs="Times New Roman"/>
          <w:lang w:val="en-US"/>
        </w:rPr>
        <w:t>Methodology</w:t>
      </w:r>
      <w:r w:rsidR="009A0E46">
        <w:rPr>
          <w:lang w:val="en-US"/>
        </w:rPr>
        <w:t>…………………………………………………………………….117</w:t>
      </w:r>
    </w:p>
    <w:p w14:paraId="3848DEC1" w14:textId="37D7CB9E" w:rsidR="004D6C1D" w:rsidRDefault="004D6C1D" w:rsidP="004D6C1D">
      <w:pPr>
        <w:spacing w:line="360" w:lineRule="auto"/>
        <w:jc w:val="both"/>
        <w:rPr>
          <w:rFonts w:cs="Times New Roman"/>
          <w:lang w:val="en-US"/>
        </w:rPr>
      </w:pPr>
      <w:r>
        <w:rPr>
          <w:rFonts w:cs="Times New Roman"/>
          <w:lang w:val="en-US"/>
        </w:rPr>
        <w:tab/>
        <w:t xml:space="preserve">5.4 </w:t>
      </w:r>
      <w:r w:rsidRPr="004D6C1D">
        <w:rPr>
          <w:rFonts w:cs="Times New Roman"/>
          <w:lang w:val="en-US"/>
        </w:rPr>
        <w:t>Case-study</w:t>
      </w:r>
      <w:r w:rsidR="00FF34B2">
        <w:rPr>
          <w:lang w:val="en-US"/>
        </w:rPr>
        <w:t>……</w:t>
      </w:r>
      <w:r w:rsidR="009A0E46">
        <w:rPr>
          <w:lang w:val="en-US"/>
        </w:rPr>
        <w:t>……………………………………………………………….....121</w:t>
      </w:r>
    </w:p>
    <w:p w14:paraId="1E7A4E66" w14:textId="7E45AB46" w:rsidR="004D6C1D" w:rsidRDefault="004D6C1D" w:rsidP="004D6C1D">
      <w:pPr>
        <w:spacing w:line="360" w:lineRule="auto"/>
        <w:jc w:val="both"/>
        <w:rPr>
          <w:rFonts w:cs="Times New Roman"/>
          <w:lang w:val="en-US"/>
        </w:rPr>
      </w:pPr>
      <w:r>
        <w:rPr>
          <w:rFonts w:cs="Times New Roman"/>
          <w:lang w:val="en-US"/>
        </w:rPr>
        <w:tab/>
      </w:r>
      <w:r>
        <w:rPr>
          <w:rFonts w:cs="Times New Roman"/>
          <w:lang w:val="en-US"/>
        </w:rPr>
        <w:tab/>
        <w:t xml:space="preserve">5.4.1 </w:t>
      </w:r>
      <w:r w:rsidRPr="004D6C1D">
        <w:rPr>
          <w:rFonts w:cs="Times New Roman"/>
          <w:lang w:val="en-US"/>
        </w:rPr>
        <w:t>University of Pavia: overview</w:t>
      </w:r>
      <w:r w:rsidR="009A0E46">
        <w:rPr>
          <w:rFonts w:cs="Times New Roman"/>
          <w:lang w:val="en-US"/>
        </w:rPr>
        <w:t>…………………………………………121</w:t>
      </w:r>
    </w:p>
    <w:p w14:paraId="149BBB2E" w14:textId="16C394E5" w:rsidR="004D6C1D" w:rsidRDefault="004D6C1D" w:rsidP="004D6C1D">
      <w:pPr>
        <w:spacing w:line="360" w:lineRule="auto"/>
        <w:jc w:val="both"/>
        <w:rPr>
          <w:rFonts w:cs="Times New Roman"/>
          <w:lang w:val="en-US"/>
        </w:rPr>
      </w:pPr>
      <w:r>
        <w:rPr>
          <w:rFonts w:cs="Times New Roman"/>
          <w:lang w:val="en-US"/>
        </w:rPr>
        <w:tab/>
      </w:r>
      <w:r>
        <w:rPr>
          <w:rFonts w:cs="Times New Roman"/>
          <w:lang w:val="en-US"/>
        </w:rPr>
        <w:tab/>
        <w:t>5.4.2</w:t>
      </w:r>
      <w:r w:rsidRPr="004D6C1D">
        <w:rPr>
          <w:rFonts w:cs="Times New Roman"/>
          <w:lang w:val="en-US"/>
        </w:rPr>
        <w:t xml:space="preserve"> Donation-based crowdfunding: Universitiamo by Unipv</w:t>
      </w:r>
      <w:r w:rsidR="009A0E46">
        <w:rPr>
          <w:rFonts w:cs="Times New Roman"/>
          <w:lang w:val="en-US"/>
        </w:rPr>
        <w:t>……………..124</w:t>
      </w:r>
    </w:p>
    <w:p w14:paraId="55A6B434" w14:textId="29B3CB1C" w:rsidR="004D6C1D" w:rsidRDefault="004D6C1D" w:rsidP="004D6C1D">
      <w:pPr>
        <w:spacing w:line="360" w:lineRule="auto"/>
        <w:jc w:val="both"/>
        <w:rPr>
          <w:rFonts w:cs="Times New Roman"/>
          <w:lang w:val="en-US"/>
        </w:rPr>
      </w:pPr>
      <w:r>
        <w:rPr>
          <w:rFonts w:cs="Times New Roman"/>
          <w:lang w:val="en-US"/>
        </w:rPr>
        <w:tab/>
      </w:r>
      <w:r>
        <w:rPr>
          <w:rFonts w:cs="Times New Roman"/>
          <w:lang w:val="en-US"/>
        </w:rPr>
        <w:tab/>
        <w:t>5.4.3 Interviews: results</w:t>
      </w:r>
      <w:r w:rsidR="009A0E46">
        <w:rPr>
          <w:rFonts w:cs="Times New Roman"/>
          <w:lang w:val="en-US"/>
        </w:rPr>
        <w:t>……………………………………………………...125</w:t>
      </w:r>
    </w:p>
    <w:p w14:paraId="2BD63DBB" w14:textId="6383D823" w:rsidR="004D6C1D" w:rsidRDefault="004D6C1D" w:rsidP="004D6C1D">
      <w:pPr>
        <w:spacing w:line="360" w:lineRule="auto"/>
        <w:jc w:val="both"/>
        <w:rPr>
          <w:rFonts w:cs="Times New Roman"/>
          <w:lang w:val="en-US"/>
        </w:rPr>
      </w:pPr>
      <w:r>
        <w:rPr>
          <w:rFonts w:cs="Times New Roman"/>
          <w:lang w:val="en-US"/>
        </w:rPr>
        <w:tab/>
        <w:t>5.5 Discussion</w:t>
      </w:r>
      <w:r w:rsidR="009A0E46">
        <w:rPr>
          <w:rFonts w:cs="Times New Roman"/>
          <w:lang w:val="en-US"/>
        </w:rPr>
        <w:t>……………………………………………………………………….127</w:t>
      </w:r>
    </w:p>
    <w:p w14:paraId="1C9FB43C" w14:textId="441B8869" w:rsidR="004D6C1D" w:rsidRDefault="004D6C1D" w:rsidP="004D6C1D">
      <w:pPr>
        <w:spacing w:line="360" w:lineRule="auto"/>
        <w:jc w:val="both"/>
        <w:rPr>
          <w:rFonts w:cs="Times New Roman"/>
          <w:lang w:val="en-US"/>
        </w:rPr>
      </w:pPr>
      <w:r>
        <w:rPr>
          <w:rFonts w:cs="Times New Roman"/>
          <w:lang w:val="en-US"/>
        </w:rPr>
        <w:tab/>
      </w:r>
      <w:r w:rsidR="00107654">
        <w:rPr>
          <w:rFonts w:cs="Times New Roman"/>
          <w:lang w:val="en-US"/>
        </w:rPr>
        <w:t>5.6 Conclusions, limitations and further development</w:t>
      </w:r>
      <w:r w:rsidR="009A0E46">
        <w:rPr>
          <w:rFonts w:cs="Times New Roman"/>
          <w:lang w:val="en-US"/>
        </w:rPr>
        <w:t>………………………………131</w:t>
      </w:r>
    </w:p>
    <w:p w14:paraId="4F81D19F" w14:textId="760391E0" w:rsidR="00107654" w:rsidRDefault="00FF34B2" w:rsidP="004D6C1D">
      <w:pPr>
        <w:spacing w:line="360" w:lineRule="auto"/>
        <w:jc w:val="both"/>
        <w:rPr>
          <w:rFonts w:cs="Times New Roman"/>
          <w:lang w:val="en-US"/>
        </w:rPr>
      </w:pPr>
      <w:r>
        <w:rPr>
          <w:rFonts w:cs="Times New Roman"/>
          <w:lang w:val="en-US"/>
        </w:rPr>
        <w:tab/>
        <w:t>5.7 Tables and Fig</w:t>
      </w:r>
      <w:r w:rsidR="009A0E46">
        <w:rPr>
          <w:rFonts w:cs="Times New Roman"/>
          <w:lang w:val="en-US"/>
        </w:rPr>
        <w:t>ures……………………………………………………………….134</w:t>
      </w:r>
    </w:p>
    <w:p w14:paraId="4253907C" w14:textId="5A853284" w:rsidR="00107654" w:rsidRDefault="00107654" w:rsidP="004D6C1D">
      <w:pPr>
        <w:spacing w:line="360" w:lineRule="auto"/>
        <w:jc w:val="both"/>
        <w:rPr>
          <w:rFonts w:cs="Times New Roman"/>
          <w:lang w:val="en-US"/>
        </w:rPr>
      </w:pPr>
      <w:r>
        <w:rPr>
          <w:rFonts w:cs="Times New Roman"/>
          <w:lang w:val="en-US"/>
        </w:rPr>
        <w:t>Chapter 6</w:t>
      </w:r>
      <w:r w:rsidR="00386D3F">
        <w:rPr>
          <w:lang w:val="en-US"/>
        </w:rPr>
        <w:t>…………………………………………………………………</w:t>
      </w:r>
      <w:r w:rsidR="003A6029">
        <w:rPr>
          <w:lang w:val="en-US"/>
        </w:rPr>
        <w:t>…………………</w:t>
      </w:r>
      <w:r w:rsidR="00FF34B2">
        <w:rPr>
          <w:lang w:val="en-US"/>
        </w:rPr>
        <w:t>.</w:t>
      </w:r>
      <w:r w:rsidR="003A6029">
        <w:rPr>
          <w:lang w:val="en-US"/>
        </w:rPr>
        <w:t>1</w:t>
      </w:r>
      <w:r w:rsidR="009A0E46">
        <w:rPr>
          <w:lang w:val="en-US"/>
        </w:rPr>
        <w:t>41</w:t>
      </w:r>
    </w:p>
    <w:p w14:paraId="5660CA8C" w14:textId="07978ED3" w:rsidR="00107654" w:rsidRDefault="00107654" w:rsidP="004D6C1D">
      <w:pPr>
        <w:spacing w:line="360" w:lineRule="auto"/>
        <w:jc w:val="both"/>
        <w:rPr>
          <w:rFonts w:cs="Times New Roman"/>
          <w:lang w:val="en-US"/>
        </w:rPr>
      </w:pPr>
      <w:r>
        <w:rPr>
          <w:rFonts w:cs="Times New Roman"/>
          <w:lang w:val="en-US"/>
        </w:rPr>
        <w:t>Conclusion</w:t>
      </w:r>
      <w:r w:rsidR="00386D3F">
        <w:rPr>
          <w:lang w:val="en-US"/>
        </w:rPr>
        <w:t>………………………………………………………………………………….</w:t>
      </w:r>
      <w:r w:rsidR="00FF34B2">
        <w:rPr>
          <w:lang w:val="en-US"/>
        </w:rPr>
        <w:t>.</w:t>
      </w:r>
      <w:r w:rsidR="009A0E46">
        <w:rPr>
          <w:lang w:val="en-US"/>
        </w:rPr>
        <w:t>141</w:t>
      </w:r>
    </w:p>
    <w:p w14:paraId="2B09E535" w14:textId="5C317461" w:rsidR="00107654" w:rsidRDefault="00107654" w:rsidP="00FF34B2">
      <w:pPr>
        <w:spacing w:line="360" w:lineRule="auto"/>
        <w:ind w:firstLine="708"/>
        <w:jc w:val="both"/>
        <w:rPr>
          <w:rFonts w:cs="Times New Roman"/>
          <w:lang w:val="en-US"/>
        </w:rPr>
      </w:pPr>
      <w:r>
        <w:rPr>
          <w:rFonts w:cs="Times New Roman"/>
          <w:lang w:val="en-US"/>
        </w:rPr>
        <w:t>6.1 Principal findings</w:t>
      </w:r>
      <w:r w:rsidR="008F3C35">
        <w:rPr>
          <w:rFonts w:cs="Times New Roman"/>
          <w:lang w:val="en-US"/>
        </w:rPr>
        <w:t xml:space="preserve"> and theoretical contribution</w:t>
      </w:r>
      <w:r w:rsidR="009A0E46">
        <w:rPr>
          <w:rFonts w:cs="Times New Roman"/>
          <w:lang w:val="en-US"/>
        </w:rPr>
        <w:t>………………………………….141</w:t>
      </w:r>
    </w:p>
    <w:p w14:paraId="28ADA96A" w14:textId="79ECF0BD" w:rsidR="00107654" w:rsidRDefault="008F3C35" w:rsidP="00FF34B2">
      <w:pPr>
        <w:spacing w:line="360" w:lineRule="auto"/>
        <w:ind w:firstLine="708"/>
        <w:jc w:val="both"/>
        <w:rPr>
          <w:rFonts w:cs="Times New Roman"/>
          <w:lang w:val="en-US"/>
        </w:rPr>
      </w:pPr>
      <w:r>
        <w:rPr>
          <w:rFonts w:cs="Times New Roman"/>
          <w:lang w:val="en-US"/>
        </w:rPr>
        <w:t>6.2</w:t>
      </w:r>
      <w:r w:rsidR="00295C6B">
        <w:rPr>
          <w:rFonts w:cs="Times New Roman"/>
          <w:lang w:val="en-US"/>
        </w:rPr>
        <w:t xml:space="preserve"> Methodological contribution</w:t>
      </w:r>
      <w:r w:rsidR="009A0E46">
        <w:rPr>
          <w:rFonts w:cs="Times New Roman"/>
          <w:lang w:val="en-US"/>
        </w:rPr>
        <w:t>…………………………………………………….147</w:t>
      </w:r>
    </w:p>
    <w:p w14:paraId="714156AA" w14:textId="543622CA" w:rsidR="00107654" w:rsidRDefault="008F3C35" w:rsidP="00107654">
      <w:pPr>
        <w:spacing w:line="360" w:lineRule="auto"/>
        <w:ind w:firstLine="708"/>
        <w:jc w:val="both"/>
        <w:rPr>
          <w:rFonts w:cs="Times New Roman"/>
          <w:lang w:val="en-US"/>
        </w:rPr>
      </w:pPr>
      <w:r>
        <w:rPr>
          <w:rFonts w:cs="Times New Roman"/>
          <w:lang w:val="en-US"/>
        </w:rPr>
        <w:t>6.3</w:t>
      </w:r>
      <w:r w:rsidR="00107654">
        <w:rPr>
          <w:rFonts w:cs="Times New Roman"/>
          <w:lang w:val="en-US"/>
        </w:rPr>
        <w:t xml:space="preserve"> Limitations and impli</w:t>
      </w:r>
      <w:r w:rsidR="00FF34B2">
        <w:rPr>
          <w:rFonts w:cs="Times New Roman"/>
          <w:lang w:val="en-US"/>
        </w:rPr>
        <w:t>cations for fu</w:t>
      </w:r>
      <w:r w:rsidR="009A0E46">
        <w:rPr>
          <w:rFonts w:cs="Times New Roman"/>
          <w:lang w:val="en-US"/>
        </w:rPr>
        <w:t>rther development…………………………..149</w:t>
      </w:r>
    </w:p>
    <w:p w14:paraId="4ECBC74C" w14:textId="54D76729" w:rsidR="00FF34B2" w:rsidRDefault="00FF34B2" w:rsidP="00107654">
      <w:pPr>
        <w:spacing w:line="360" w:lineRule="auto"/>
        <w:ind w:firstLine="708"/>
        <w:jc w:val="both"/>
        <w:rPr>
          <w:rFonts w:cs="Times New Roman"/>
          <w:lang w:val="en-US"/>
        </w:rPr>
      </w:pPr>
      <w:r>
        <w:rPr>
          <w:rFonts w:cs="Times New Roman"/>
          <w:lang w:val="en-US"/>
        </w:rPr>
        <w:t>6.4 Tables and Fig</w:t>
      </w:r>
      <w:r w:rsidR="009A0E46">
        <w:rPr>
          <w:rFonts w:cs="Times New Roman"/>
          <w:lang w:val="en-US"/>
        </w:rPr>
        <w:t>ures……………………………………………………………….152</w:t>
      </w:r>
    </w:p>
    <w:p w14:paraId="0091115B" w14:textId="42D0E1BB" w:rsidR="004652DF" w:rsidRDefault="004652DF" w:rsidP="004652DF">
      <w:pPr>
        <w:spacing w:line="360" w:lineRule="auto"/>
        <w:jc w:val="both"/>
        <w:rPr>
          <w:rFonts w:cs="Times New Roman"/>
          <w:lang w:val="en-US"/>
        </w:rPr>
      </w:pPr>
      <w:r>
        <w:rPr>
          <w:rFonts w:cs="Times New Roman"/>
          <w:lang w:val="en-US"/>
        </w:rPr>
        <w:t>References</w:t>
      </w:r>
      <w:r w:rsidR="004401EB">
        <w:rPr>
          <w:lang w:val="en-US"/>
        </w:rPr>
        <w:t>……………………………………………………………………………</w:t>
      </w:r>
      <w:r w:rsidR="00FF34B2">
        <w:rPr>
          <w:lang w:val="en-US"/>
        </w:rPr>
        <w:t>...</w:t>
      </w:r>
      <w:r w:rsidR="004401EB">
        <w:rPr>
          <w:lang w:val="en-US"/>
        </w:rPr>
        <w:t>……</w:t>
      </w:r>
      <w:r w:rsidR="009A0E46">
        <w:rPr>
          <w:lang w:val="en-US"/>
        </w:rPr>
        <w:t>154</w:t>
      </w:r>
    </w:p>
    <w:p w14:paraId="0FA5E0DD" w14:textId="77777777" w:rsidR="009C6262" w:rsidRDefault="009C6262" w:rsidP="009C6262">
      <w:pPr>
        <w:spacing w:line="360" w:lineRule="auto"/>
        <w:jc w:val="both"/>
        <w:rPr>
          <w:rFonts w:cs="Times New Roman"/>
          <w:lang w:val="en-US"/>
        </w:rPr>
      </w:pPr>
    </w:p>
    <w:p w14:paraId="69B04132" w14:textId="77777777" w:rsidR="009C6262" w:rsidRDefault="009C6262" w:rsidP="009C6262">
      <w:pPr>
        <w:spacing w:line="360" w:lineRule="auto"/>
        <w:jc w:val="both"/>
        <w:rPr>
          <w:rFonts w:cs="Times New Roman"/>
          <w:lang w:val="en-US"/>
        </w:rPr>
      </w:pPr>
    </w:p>
    <w:p w14:paraId="29C1FCDF" w14:textId="77777777" w:rsidR="009C6262" w:rsidRDefault="009C6262" w:rsidP="009C6262">
      <w:pPr>
        <w:spacing w:line="360" w:lineRule="auto"/>
        <w:jc w:val="both"/>
        <w:rPr>
          <w:rFonts w:cs="Times New Roman"/>
          <w:lang w:val="en-US"/>
        </w:rPr>
      </w:pPr>
    </w:p>
    <w:p w14:paraId="120ECB76" w14:textId="77777777" w:rsidR="009C6262" w:rsidRDefault="009C6262" w:rsidP="009C6262">
      <w:pPr>
        <w:spacing w:line="360" w:lineRule="auto"/>
        <w:jc w:val="both"/>
        <w:rPr>
          <w:rFonts w:cs="Times New Roman"/>
          <w:lang w:val="en-US"/>
        </w:rPr>
      </w:pPr>
    </w:p>
    <w:p w14:paraId="2237B292" w14:textId="77777777" w:rsidR="00DB1462" w:rsidRDefault="00DB1462" w:rsidP="009C6262">
      <w:pPr>
        <w:spacing w:line="360" w:lineRule="auto"/>
        <w:jc w:val="both"/>
        <w:rPr>
          <w:b/>
          <w:lang w:val="en-US"/>
        </w:rPr>
      </w:pPr>
    </w:p>
    <w:p w14:paraId="4DCA3FDD" w14:textId="77777777" w:rsidR="00DB1462" w:rsidRDefault="00DB1462" w:rsidP="009C6262">
      <w:pPr>
        <w:spacing w:line="360" w:lineRule="auto"/>
        <w:jc w:val="both"/>
        <w:rPr>
          <w:b/>
          <w:lang w:val="en-US"/>
        </w:rPr>
      </w:pPr>
    </w:p>
    <w:p w14:paraId="6300DD4C" w14:textId="77777777" w:rsidR="00DB1462" w:rsidRDefault="00DB1462" w:rsidP="009C6262">
      <w:pPr>
        <w:spacing w:line="360" w:lineRule="auto"/>
        <w:jc w:val="both"/>
        <w:rPr>
          <w:b/>
          <w:lang w:val="en-US"/>
        </w:rPr>
      </w:pPr>
    </w:p>
    <w:p w14:paraId="3336888C" w14:textId="77777777" w:rsidR="00DB1462" w:rsidRDefault="00DB1462" w:rsidP="009C6262">
      <w:pPr>
        <w:spacing w:line="360" w:lineRule="auto"/>
        <w:jc w:val="both"/>
        <w:rPr>
          <w:b/>
          <w:lang w:val="en-US"/>
        </w:rPr>
      </w:pPr>
    </w:p>
    <w:p w14:paraId="4E2137D4" w14:textId="77777777" w:rsidR="00DB1462" w:rsidRDefault="00DB1462" w:rsidP="009C6262">
      <w:pPr>
        <w:spacing w:line="360" w:lineRule="auto"/>
        <w:jc w:val="both"/>
        <w:rPr>
          <w:b/>
          <w:lang w:val="en-US"/>
        </w:rPr>
      </w:pPr>
    </w:p>
    <w:p w14:paraId="6B67991A" w14:textId="77777777" w:rsidR="00DB1462" w:rsidRDefault="00DB1462" w:rsidP="009C6262">
      <w:pPr>
        <w:spacing w:line="360" w:lineRule="auto"/>
        <w:jc w:val="both"/>
        <w:rPr>
          <w:b/>
          <w:lang w:val="en-US"/>
        </w:rPr>
      </w:pPr>
    </w:p>
    <w:p w14:paraId="00697987" w14:textId="77777777" w:rsidR="00DB1462" w:rsidRDefault="00DB1462" w:rsidP="009C6262">
      <w:pPr>
        <w:spacing w:line="360" w:lineRule="auto"/>
        <w:jc w:val="both"/>
        <w:rPr>
          <w:b/>
          <w:lang w:val="en-US"/>
        </w:rPr>
      </w:pPr>
    </w:p>
    <w:p w14:paraId="6967E5EA" w14:textId="77777777" w:rsidR="00DB1462" w:rsidRDefault="00DB1462" w:rsidP="009C6262">
      <w:pPr>
        <w:spacing w:line="360" w:lineRule="auto"/>
        <w:jc w:val="both"/>
        <w:rPr>
          <w:b/>
          <w:lang w:val="en-US"/>
        </w:rPr>
      </w:pPr>
    </w:p>
    <w:p w14:paraId="51EC32DA" w14:textId="77777777" w:rsidR="00DB1462" w:rsidRDefault="00DB1462" w:rsidP="009C6262">
      <w:pPr>
        <w:spacing w:line="360" w:lineRule="auto"/>
        <w:jc w:val="both"/>
        <w:rPr>
          <w:b/>
          <w:lang w:val="en-US"/>
        </w:rPr>
      </w:pPr>
    </w:p>
    <w:p w14:paraId="6D67AC2F" w14:textId="77777777" w:rsidR="00DB1462" w:rsidRDefault="00DB1462" w:rsidP="009C6262">
      <w:pPr>
        <w:spacing w:line="360" w:lineRule="auto"/>
        <w:jc w:val="both"/>
        <w:rPr>
          <w:b/>
          <w:lang w:val="en-US"/>
        </w:rPr>
      </w:pPr>
    </w:p>
    <w:p w14:paraId="3D4582DB" w14:textId="77777777" w:rsidR="00DB1462" w:rsidRDefault="00DB1462" w:rsidP="009C6262">
      <w:pPr>
        <w:spacing w:line="360" w:lineRule="auto"/>
        <w:jc w:val="both"/>
        <w:rPr>
          <w:b/>
          <w:lang w:val="en-US"/>
        </w:rPr>
      </w:pPr>
    </w:p>
    <w:p w14:paraId="2EB9E819" w14:textId="77777777" w:rsidR="00DB1462" w:rsidRDefault="00DB1462" w:rsidP="009C6262">
      <w:pPr>
        <w:spacing w:line="360" w:lineRule="auto"/>
        <w:jc w:val="both"/>
        <w:rPr>
          <w:b/>
          <w:lang w:val="en-US"/>
        </w:rPr>
      </w:pPr>
    </w:p>
    <w:p w14:paraId="2D09C713" w14:textId="77777777" w:rsidR="00DB1462" w:rsidRDefault="00DB1462" w:rsidP="009C6262">
      <w:pPr>
        <w:spacing w:line="360" w:lineRule="auto"/>
        <w:jc w:val="both"/>
        <w:rPr>
          <w:b/>
          <w:lang w:val="en-US"/>
        </w:rPr>
      </w:pPr>
    </w:p>
    <w:p w14:paraId="6B26DC05" w14:textId="77777777" w:rsidR="00DB1462" w:rsidRDefault="00DB1462" w:rsidP="009C6262">
      <w:pPr>
        <w:spacing w:line="360" w:lineRule="auto"/>
        <w:jc w:val="both"/>
        <w:rPr>
          <w:b/>
          <w:lang w:val="en-US"/>
        </w:rPr>
      </w:pPr>
    </w:p>
    <w:p w14:paraId="4CD3ADE4" w14:textId="77777777" w:rsidR="00DB1462" w:rsidRDefault="00DB1462" w:rsidP="009C6262">
      <w:pPr>
        <w:spacing w:line="360" w:lineRule="auto"/>
        <w:jc w:val="both"/>
        <w:rPr>
          <w:b/>
          <w:lang w:val="en-US"/>
        </w:rPr>
      </w:pPr>
    </w:p>
    <w:p w14:paraId="6FC2EA41" w14:textId="77777777" w:rsidR="00DB1462" w:rsidRDefault="00DB1462" w:rsidP="009C6262">
      <w:pPr>
        <w:spacing w:line="360" w:lineRule="auto"/>
        <w:jc w:val="both"/>
        <w:rPr>
          <w:b/>
          <w:lang w:val="en-US"/>
        </w:rPr>
      </w:pPr>
    </w:p>
    <w:p w14:paraId="23A1A511" w14:textId="77777777" w:rsidR="00DB1462" w:rsidRDefault="00DB1462" w:rsidP="009C6262">
      <w:pPr>
        <w:spacing w:line="360" w:lineRule="auto"/>
        <w:jc w:val="both"/>
        <w:rPr>
          <w:b/>
          <w:lang w:val="en-US"/>
        </w:rPr>
      </w:pPr>
    </w:p>
    <w:p w14:paraId="0B4654EC" w14:textId="77777777" w:rsidR="00DB1462" w:rsidRDefault="00DB1462" w:rsidP="009C6262">
      <w:pPr>
        <w:spacing w:line="360" w:lineRule="auto"/>
        <w:jc w:val="both"/>
        <w:rPr>
          <w:b/>
          <w:lang w:val="en-US"/>
        </w:rPr>
      </w:pPr>
    </w:p>
    <w:p w14:paraId="243489C0" w14:textId="77777777" w:rsidR="00DB1462" w:rsidRDefault="00DB1462" w:rsidP="009C6262">
      <w:pPr>
        <w:spacing w:line="360" w:lineRule="auto"/>
        <w:jc w:val="both"/>
        <w:rPr>
          <w:b/>
          <w:lang w:val="en-US"/>
        </w:rPr>
      </w:pPr>
    </w:p>
    <w:p w14:paraId="0E953E14" w14:textId="77777777" w:rsidR="00DB1462" w:rsidRDefault="00DB1462" w:rsidP="009C6262">
      <w:pPr>
        <w:spacing w:line="360" w:lineRule="auto"/>
        <w:jc w:val="both"/>
        <w:rPr>
          <w:b/>
          <w:lang w:val="en-US"/>
        </w:rPr>
      </w:pPr>
    </w:p>
    <w:p w14:paraId="0E7B4901" w14:textId="77777777" w:rsidR="00DB1462" w:rsidRDefault="00DB1462" w:rsidP="009C6262">
      <w:pPr>
        <w:spacing w:line="360" w:lineRule="auto"/>
        <w:jc w:val="both"/>
        <w:rPr>
          <w:b/>
          <w:lang w:val="en-US"/>
        </w:rPr>
      </w:pPr>
    </w:p>
    <w:p w14:paraId="2AAC66A2" w14:textId="77777777" w:rsidR="00DB1462" w:rsidRDefault="00DB1462" w:rsidP="009C6262">
      <w:pPr>
        <w:spacing w:line="360" w:lineRule="auto"/>
        <w:jc w:val="both"/>
        <w:rPr>
          <w:b/>
          <w:lang w:val="en-US"/>
        </w:rPr>
      </w:pPr>
    </w:p>
    <w:p w14:paraId="32EA2254" w14:textId="77777777" w:rsidR="00DB1462" w:rsidRDefault="00DB1462" w:rsidP="009C6262">
      <w:pPr>
        <w:spacing w:line="360" w:lineRule="auto"/>
        <w:jc w:val="both"/>
        <w:rPr>
          <w:b/>
          <w:lang w:val="en-US"/>
        </w:rPr>
      </w:pPr>
    </w:p>
    <w:p w14:paraId="5B33C34F" w14:textId="77777777" w:rsidR="00DB1462" w:rsidRDefault="00DB1462" w:rsidP="009C6262">
      <w:pPr>
        <w:spacing w:line="360" w:lineRule="auto"/>
        <w:jc w:val="both"/>
        <w:rPr>
          <w:b/>
          <w:lang w:val="en-US"/>
        </w:rPr>
      </w:pPr>
    </w:p>
    <w:p w14:paraId="6BD8A2E2" w14:textId="77777777" w:rsidR="00DB1462" w:rsidRDefault="00DB1462" w:rsidP="009C6262">
      <w:pPr>
        <w:spacing w:line="360" w:lineRule="auto"/>
        <w:jc w:val="both"/>
        <w:rPr>
          <w:b/>
          <w:lang w:val="en-US"/>
        </w:rPr>
      </w:pPr>
    </w:p>
    <w:p w14:paraId="70EDBB99" w14:textId="77777777" w:rsidR="00DB1462" w:rsidRDefault="00DB1462" w:rsidP="009C6262">
      <w:pPr>
        <w:spacing w:line="360" w:lineRule="auto"/>
        <w:jc w:val="both"/>
        <w:rPr>
          <w:b/>
          <w:lang w:val="en-US"/>
        </w:rPr>
      </w:pPr>
    </w:p>
    <w:p w14:paraId="6B42D464" w14:textId="77777777" w:rsidR="00DB1462" w:rsidRDefault="00DB1462" w:rsidP="009C6262">
      <w:pPr>
        <w:spacing w:line="360" w:lineRule="auto"/>
        <w:jc w:val="both"/>
        <w:rPr>
          <w:b/>
          <w:lang w:val="en-US"/>
        </w:rPr>
      </w:pPr>
    </w:p>
    <w:p w14:paraId="7DDAEB3F" w14:textId="77777777" w:rsidR="00DB1462" w:rsidRDefault="00DB1462" w:rsidP="009C6262">
      <w:pPr>
        <w:spacing w:line="360" w:lineRule="auto"/>
        <w:jc w:val="both"/>
        <w:rPr>
          <w:b/>
          <w:lang w:val="en-US"/>
        </w:rPr>
      </w:pPr>
    </w:p>
    <w:p w14:paraId="527FD7E1" w14:textId="77777777" w:rsidR="00DB1462" w:rsidRDefault="00DB1462" w:rsidP="009C6262">
      <w:pPr>
        <w:spacing w:line="360" w:lineRule="auto"/>
        <w:jc w:val="both"/>
        <w:rPr>
          <w:b/>
          <w:lang w:val="en-US"/>
        </w:rPr>
      </w:pPr>
    </w:p>
    <w:p w14:paraId="0D89C6A8" w14:textId="77777777" w:rsidR="00DB1462" w:rsidRDefault="00DB1462" w:rsidP="009C6262">
      <w:pPr>
        <w:spacing w:line="360" w:lineRule="auto"/>
        <w:jc w:val="both"/>
        <w:rPr>
          <w:b/>
          <w:lang w:val="en-US"/>
        </w:rPr>
      </w:pPr>
    </w:p>
    <w:p w14:paraId="7996CE6E" w14:textId="77777777" w:rsidR="00DB1462" w:rsidRDefault="00DB1462" w:rsidP="009C6262">
      <w:pPr>
        <w:spacing w:line="360" w:lineRule="auto"/>
        <w:jc w:val="both"/>
        <w:rPr>
          <w:b/>
          <w:lang w:val="en-US"/>
        </w:rPr>
      </w:pPr>
    </w:p>
    <w:p w14:paraId="297A4308" w14:textId="77777777" w:rsidR="00DB1462" w:rsidRDefault="00DB1462" w:rsidP="009C6262">
      <w:pPr>
        <w:spacing w:line="360" w:lineRule="auto"/>
        <w:jc w:val="both"/>
        <w:rPr>
          <w:b/>
          <w:lang w:val="en-US"/>
        </w:rPr>
      </w:pPr>
    </w:p>
    <w:p w14:paraId="526A4121" w14:textId="77777777" w:rsidR="00DB1462" w:rsidRDefault="00DB1462" w:rsidP="009C6262">
      <w:pPr>
        <w:spacing w:line="360" w:lineRule="auto"/>
        <w:jc w:val="both"/>
        <w:rPr>
          <w:b/>
          <w:lang w:val="en-US"/>
        </w:rPr>
      </w:pPr>
    </w:p>
    <w:p w14:paraId="515163CE" w14:textId="77777777" w:rsidR="00DB1462" w:rsidRDefault="00DB1462" w:rsidP="009C6262">
      <w:pPr>
        <w:spacing w:line="360" w:lineRule="auto"/>
        <w:jc w:val="both"/>
        <w:rPr>
          <w:b/>
          <w:lang w:val="en-US"/>
        </w:rPr>
      </w:pPr>
    </w:p>
    <w:p w14:paraId="3A6EC75A" w14:textId="77777777" w:rsidR="00DB1462" w:rsidRDefault="00DB1462" w:rsidP="009C6262">
      <w:pPr>
        <w:spacing w:line="360" w:lineRule="auto"/>
        <w:jc w:val="both"/>
        <w:rPr>
          <w:b/>
          <w:lang w:val="en-US"/>
        </w:rPr>
      </w:pPr>
    </w:p>
    <w:p w14:paraId="46E2A8A7" w14:textId="77777777" w:rsidR="00DB1462" w:rsidRDefault="00DB1462" w:rsidP="009C6262">
      <w:pPr>
        <w:spacing w:line="360" w:lineRule="auto"/>
        <w:jc w:val="both"/>
        <w:rPr>
          <w:b/>
          <w:lang w:val="en-US"/>
        </w:rPr>
      </w:pPr>
    </w:p>
    <w:p w14:paraId="006CEA29" w14:textId="77777777" w:rsidR="00DB1462" w:rsidRDefault="00DB1462" w:rsidP="009C6262">
      <w:pPr>
        <w:spacing w:line="360" w:lineRule="auto"/>
        <w:jc w:val="both"/>
        <w:rPr>
          <w:b/>
          <w:lang w:val="en-US"/>
        </w:rPr>
      </w:pPr>
    </w:p>
    <w:p w14:paraId="6D5FD20D" w14:textId="77777777" w:rsidR="00DB1462" w:rsidRDefault="00DB1462" w:rsidP="009C6262">
      <w:pPr>
        <w:spacing w:line="360" w:lineRule="auto"/>
        <w:jc w:val="both"/>
        <w:rPr>
          <w:b/>
          <w:lang w:val="en-US"/>
        </w:rPr>
      </w:pPr>
    </w:p>
    <w:p w14:paraId="100A2E8B" w14:textId="77777777" w:rsidR="00DB1462" w:rsidRDefault="00DB1462" w:rsidP="009C6262">
      <w:pPr>
        <w:spacing w:line="360" w:lineRule="auto"/>
        <w:jc w:val="both"/>
        <w:rPr>
          <w:b/>
          <w:lang w:val="en-US"/>
        </w:rPr>
      </w:pPr>
    </w:p>
    <w:p w14:paraId="71A84636" w14:textId="77777777" w:rsidR="00DB1462" w:rsidRDefault="00DB1462" w:rsidP="009C6262">
      <w:pPr>
        <w:spacing w:line="360" w:lineRule="auto"/>
        <w:jc w:val="both"/>
        <w:rPr>
          <w:b/>
          <w:lang w:val="en-US"/>
        </w:rPr>
      </w:pPr>
    </w:p>
    <w:p w14:paraId="5F9A7CE7" w14:textId="77777777" w:rsidR="00DB1462" w:rsidRDefault="00DB1462" w:rsidP="009C6262">
      <w:pPr>
        <w:spacing w:line="360" w:lineRule="auto"/>
        <w:jc w:val="both"/>
        <w:rPr>
          <w:b/>
          <w:lang w:val="en-US"/>
        </w:rPr>
      </w:pPr>
    </w:p>
    <w:p w14:paraId="44B68A5A" w14:textId="77777777" w:rsidR="00DB1462" w:rsidRDefault="00DB1462" w:rsidP="009C6262">
      <w:pPr>
        <w:spacing w:line="360" w:lineRule="auto"/>
        <w:jc w:val="both"/>
        <w:rPr>
          <w:b/>
          <w:lang w:val="en-US"/>
        </w:rPr>
      </w:pPr>
    </w:p>
    <w:p w14:paraId="29E66FC5" w14:textId="77777777" w:rsidR="00DB1462" w:rsidRDefault="00DB1462" w:rsidP="009C6262">
      <w:pPr>
        <w:spacing w:line="360" w:lineRule="auto"/>
        <w:jc w:val="both"/>
        <w:rPr>
          <w:b/>
          <w:lang w:val="en-US"/>
        </w:rPr>
      </w:pPr>
    </w:p>
    <w:p w14:paraId="085AA094" w14:textId="77777777" w:rsidR="00DB1462" w:rsidRDefault="00DB1462" w:rsidP="009C6262">
      <w:pPr>
        <w:spacing w:line="360" w:lineRule="auto"/>
        <w:jc w:val="both"/>
        <w:rPr>
          <w:b/>
          <w:lang w:val="en-US"/>
        </w:rPr>
      </w:pPr>
    </w:p>
    <w:p w14:paraId="17CEF03C" w14:textId="77777777" w:rsidR="00DB1462" w:rsidRDefault="00DB1462" w:rsidP="009C6262">
      <w:pPr>
        <w:spacing w:line="360" w:lineRule="auto"/>
        <w:jc w:val="both"/>
        <w:rPr>
          <w:b/>
          <w:lang w:val="en-US"/>
        </w:rPr>
      </w:pPr>
    </w:p>
    <w:p w14:paraId="78E2F68D" w14:textId="77777777" w:rsidR="00DB1462" w:rsidRDefault="00DB1462" w:rsidP="009C6262">
      <w:pPr>
        <w:spacing w:line="360" w:lineRule="auto"/>
        <w:jc w:val="both"/>
        <w:rPr>
          <w:b/>
          <w:lang w:val="en-US"/>
        </w:rPr>
      </w:pPr>
    </w:p>
    <w:p w14:paraId="36196760" w14:textId="77777777" w:rsidR="00DB1462" w:rsidRDefault="00DB1462" w:rsidP="009C6262">
      <w:pPr>
        <w:spacing w:line="360" w:lineRule="auto"/>
        <w:jc w:val="both"/>
        <w:rPr>
          <w:b/>
          <w:lang w:val="en-US"/>
        </w:rPr>
      </w:pPr>
    </w:p>
    <w:p w14:paraId="079F93F0" w14:textId="77777777" w:rsidR="00DB1462" w:rsidRDefault="00DB1462" w:rsidP="009C6262">
      <w:pPr>
        <w:spacing w:line="360" w:lineRule="auto"/>
        <w:jc w:val="both"/>
        <w:rPr>
          <w:b/>
          <w:lang w:val="en-US"/>
        </w:rPr>
      </w:pPr>
    </w:p>
    <w:p w14:paraId="0FFB0B4C" w14:textId="77777777" w:rsidR="00DB1462" w:rsidRDefault="00DB1462" w:rsidP="009C6262">
      <w:pPr>
        <w:spacing w:line="360" w:lineRule="auto"/>
        <w:jc w:val="both"/>
        <w:rPr>
          <w:b/>
          <w:lang w:val="en-US"/>
        </w:rPr>
      </w:pPr>
    </w:p>
    <w:p w14:paraId="2CED236D" w14:textId="77777777" w:rsidR="00DB1462" w:rsidRDefault="00DB1462" w:rsidP="009C6262">
      <w:pPr>
        <w:spacing w:line="360" w:lineRule="auto"/>
        <w:jc w:val="both"/>
        <w:rPr>
          <w:b/>
          <w:lang w:val="en-US"/>
        </w:rPr>
      </w:pPr>
    </w:p>
    <w:p w14:paraId="2074C4A5" w14:textId="77777777" w:rsidR="00DB1462" w:rsidRDefault="00DB1462" w:rsidP="009C6262">
      <w:pPr>
        <w:spacing w:line="360" w:lineRule="auto"/>
        <w:jc w:val="both"/>
        <w:rPr>
          <w:b/>
          <w:lang w:val="en-US"/>
        </w:rPr>
      </w:pPr>
    </w:p>
    <w:p w14:paraId="3AA8C2B0" w14:textId="77777777" w:rsidR="00DB1462" w:rsidRDefault="00DB1462" w:rsidP="009C6262">
      <w:pPr>
        <w:spacing w:line="360" w:lineRule="auto"/>
        <w:jc w:val="both"/>
        <w:rPr>
          <w:b/>
          <w:lang w:val="en-US"/>
        </w:rPr>
      </w:pPr>
    </w:p>
    <w:p w14:paraId="77419E1F" w14:textId="77777777" w:rsidR="00DB1462" w:rsidRDefault="00DB1462" w:rsidP="009C6262">
      <w:pPr>
        <w:spacing w:line="360" w:lineRule="auto"/>
        <w:jc w:val="both"/>
        <w:rPr>
          <w:b/>
          <w:lang w:val="en-US"/>
        </w:rPr>
      </w:pPr>
    </w:p>
    <w:p w14:paraId="2B5BF057" w14:textId="77777777" w:rsidR="00DB1462" w:rsidRDefault="00DB1462" w:rsidP="009C6262">
      <w:pPr>
        <w:spacing w:line="360" w:lineRule="auto"/>
        <w:jc w:val="both"/>
        <w:rPr>
          <w:b/>
          <w:lang w:val="en-US"/>
        </w:rPr>
      </w:pPr>
    </w:p>
    <w:p w14:paraId="012014CC" w14:textId="77777777" w:rsidR="00DB1462" w:rsidRDefault="00DB1462" w:rsidP="009C6262">
      <w:pPr>
        <w:spacing w:line="360" w:lineRule="auto"/>
        <w:jc w:val="both"/>
        <w:rPr>
          <w:b/>
          <w:lang w:val="en-US"/>
        </w:rPr>
      </w:pPr>
    </w:p>
    <w:p w14:paraId="46CA8BC2" w14:textId="77777777" w:rsidR="00DB1462" w:rsidRDefault="00DB1462" w:rsidP="009C6262">
      <w:pPr>
        <w:spacing w:line="360" w:lineRule="auto"/>
        <w:jc w:val="both"/>
        <w:rPr>
          <w:b/>
          <w:lang w:val="en-US"/>
        </w:rPr>
      </w:pPr>
    </w:p>
    <w:p w14:paraId="63606D6A" w14:textId="77777777" w:rsidR="00DB1462" w:rsidRDefault="00DB1462" w:rsidP="009C6262">
      <w:pPr>
        <w:spacing w:line="360" w:lineRule="auto"/>
        <w:jc w:val="both"/>
        <w:rPr>
          <w:b/>
          <w:lang w:val="en-US"/>
        </w:rPr>
      </w:pPr>
    </w:p>
    <w:p w14:paraId="05525BF2" w14:textId="77777777" w:rsidR="00DB1462" w:rsidRDefault="00DB1462" w:rsidP="009C6262">
      <w:pPr>
        <w:spacing w:line="360" w:lineRule="auto"/>
        <w:jc w:val="both"/>
        <w:rPr>
          <w:b/>
          <w:lang w:val="en-US"/>
        </w:rPr>
      </w:pPr>
    </w:p>
    <w:p w14:paraId="439DFDA0" w14:textId="77777777" w:rsidR="00DB1462" w:rsidRDefault="00DB1462" w:rsidP="009C6262">
      <w:pPr>
        <w:spacing w:line="360" w:lineRule="auto"/>
        <w:jc w:val="both"/>
        <w:rPr>
          <w:b/>
          <w:lang w:val="en-US"/>
        </w:rPr>
      </w:pPr>
    </w:p>
    <w:p w14:paraId="1F17AB22" w14:textId="77777777" w:rsidR="00DB1462" w:rsidRDefault="00DB1462" w:rsidP="009C6262">
      <w:pPr>
        <w:spacing w:line="360" w:lineRule="auto"/>
        <w:jc w:val="both"/>
        <w:rPr>
          <w:b/>
          <w:lang w:val="en-US"/>
        </w:rPr>
      </w:pPr>
    </w:p>
    <w:p w14:paraId="6A0D002E" w14:textId="77777777" w:rsidR="00DB1462" w:rsidRDefault="00DB1462" w:rsidP="009C6262">
      <w:pPr>
        <w:spacing w:line="360" w:lineRule="auto"/>
        <w:jc w:val="both"/>
        <w:rPr>
          <w:b/>
          <w:lang w:val="en-US"/>
        </w:rPr>
      </w:pPr>
    </w:p>
    <w:p w14:paraId="0FCCD3D5" w14:textId="77777777" w:rsidR="00DB1462" w:rsidRDefault="00DB1462" w:rsidP="009C6262">
      <w:pPr>
        <w:spacing w:line="360" w:lineRule="auto"/>
        <w:jc w:val="both"/>
        <w:rPr>
          <w:b/>
          <w:lang w:val="en-US"/>
        </w:rPr>
      </w:pPr>
    </w:p>
    <w:p w14:paraId="3FE7542B" w14:textId="77777777" w:rsidR="00DB1462" w:rsidRDefault="00DB1462" w:rsidP="009C6262">
      <w:pPr>
        <w:spacing w:line="360" w:lineRule="auto"/>
        <w:jc w:val="both"/>
        <w:rPr>
          <w:b/>
          <w:lang w:val="en-US"/>
        </w:rPr>
      </w:pPr>
    </w:p>
    <w:p w14:paraId="2894BB88" w14:textId="77777777" w:rsidR="00DB1462" w:rsidRDefault="00DB1462" w:rsidP="009C6262">
      <w:pPr>
        <w:spacing w:line="360" w:lineRule="auto"/>
        <w:jc w:val="both"/>
        <w:rPr>
          <w:b/>
          <w:lang w:val="en-US"/>
        </w:rPr>
      </w:pPr>
    </w:p>
    <w:p w14:paraId="6CEB15F0" w14:textId="77777777" w:rsidR="00DB1462" w:rsidRDefault="00DB1462" w:rsidP="009C6262">
      <w:pPr>
        <w:spacing w:line="360" w:lineRule="auto"/>
        <w:jc w:val="both"/>
        <w:rPr>
          <w:b/>
          <w:lang w:val="en-US"/>
        </w:rPr>
      </w:pPr>
    </w:p>
    <w:p w14:paraId="11B5879C" w14:textId="77777777" w:rsidR="00DB1462" w:rsidRDefault="00DB1462" w:rsidP="009C6262">
      <w:pPr>
        <w:spacing w:line="360" w:lineRule="auto"/>
        <w:jc w:val="both"/>
        <w:rPr>
          <w:b/>
          <w:lang w:val="en-US"/>
        </w:rPr>
      </w:pPr>
    </w:p>
    <w:p w14:paraId="7D5FAE49" w14:textId="77777777" w:rsidR="00EF302D" w:rsidRDefault="00EF302D" w:rsidP="00D83145">
      <w:pPr>
        <w:spacing w:line="360" w:lineRule="auto"/>
        <w:rPr>
          <w:b/>
          <w:lang w:val="en-US"/>
        </w:rPr>
      </w:pPr>
    </w:p>
    <w:p w14:paraId="047FB1EA" w14:textId="77777777" w:rsidR="009C6262" w:rsidRPr="009C6262" w:rsidRDefault="009C6262" w:rsidP="00D83145">
      <w:pPr>
        <w:spacing w:line="360" w:lineRule="auto"/>
        <w:rPr>
          <w:b/>
          <w:lang w:val="en-US"/>
        </w:rPr>
      </w:pPr>
      <w:r w:rsidRPr="009C6262">
        <w:rPr>
          <w:b/>
          <w:lang w:val="en-US"/>
        </w:rPr>
        <w:t>List of Tables and Figures</w:t>
      </w:r>
    </w:p>
    <w:p w14:paraId="758EB6DA" w14:textId="77777777" w:rsidR="003C2909" w:rsidRDefault="003C2909" w:rsidP="00D83145">
      <w:pPr>
        <w:spacing w:line="360" w:lineRule="auto"/>
        <w:rPr>
          <w:rFonts w:cs="Times New Roman"/>
          <w:lang w:val="en-US"/>
        </w:rPr>
      </w:pPr>
    </w:p>
    <w:p w14:paraId="334A4F03" w14:textId="2D377711" w:rsidR="002A2017" w:rsidRPr="00D83145" w:rsidRDefault="00D83145" w:rsidP="00D83145">
      <w:pPr>
        <w:spacing w:line="360" w:lineRule="auto"/>
        <w:rPr>
          <w:rFonts w:cs="Times New Roman"/>
          <w:lang w:val="en-US"/>
        </w:rPr>
      </w:pPr>
      <w:r>
        <w:rPr>
          <w:rFonts w:cs="Times New Roman"/>
          <w:lang w:val="en-US"/>
        </w:rPr>
        <w:t>Table 2</w:t>
      </w:r>
      <w:r w:rsidR="002A2017" w:rsidRPr="00D83145">
        <w:rPr>
          <w:rFonts w:cs="Times New Roman"/>
          <w:lang w:val="en-US"/>
        </w:rPr>
        <w:t>.1: A summary of the literature review</w:t>
      </w:r>
      <w:r w:rsidRPr="00D83145">
        <w:rPr>
          <w:rFonts w:cs="Times New Roman"/>
          <w:lang w:val="en-US"/>
        </w:rPr>
        <w:t>………………………………………………</w:t>
      </w:r>
      <w:r>
        <w:rPr>
          <w:rFonts w:cs="Times New Roman"/>
          <w:lang w:val="en-US"/>
        </w:rPr>
        <w:t>..</w:t>
      </w:r>
      <w:r w:rsidR="005A3F2D">
        <w:rPr>
          <w:rFonts w:cs="Times New Roman"/>
          <w:lang w:val="en-US"/>
        </w:rPr>
        <w:t>43</w:t>
      </w:r>
    </w:p>
    <w:p w14:paraId="2F8040A1" w14:textId="737EDBA6" w:rsidR="00D83145" w:rsidRDefault="00D83145" w:rsidP="00D83145">
      <w:pPr>
        <w:spacing w:line="360" w:lineRule="auto"/>
        <w:rPr>
          <w:lang w:val="en-US"/>
        </w:rPr>
      </w:pPr>
      <w:r w:rsidRPr="00D83145">
        <w:rPr>
          <w:rFonts w:cs="Times New Roman"/>
          <w:lang w:val="en-US"/>
        </w:rPr>
        <w:t xml:space="preserve">Figure 2.2: </w:t>
      </w:r>
      <w:r w:rsidRPr="00D83145">
        <w:rPr>
          <w:lang w:val="en-US"/>
        </w:rPr>
        <w:t>The Social Exchange Model of Fundraising in Higher Education</w:t>
      </w:r>
      <w:r w:rsidR="005A3F2D">
        <w:rPr>
          <w:lang w:val="en-US"/>
        </w:rPr>
        <w:t>……………….44</w:t>
      </w:r>
    </w:p>
    <w:p w14:paraId="26151C41" w14:textId="539F3236" w:rsidR="00D83145" w:rsidRPr="00D83145" w:rsidRDefault="00D83145" w:rsidP="00D83145">
      <w:pPr>
        <w:spacing w:line="360" w:lineRule="auto"/>
        <w:rPr>
          <w:rFonts w:cs="Times New Roman"/>
          <w:lang w:val="en-US"/>
        </w:rPr>
      </w:pPr>
      <w:r w:rsidRPr="00D83145">
        <w:rPr>
          <w:lang w:val="en-US"/>
        </w:rPr>
        <w:t>Figure 2.3: Four forces model of presidential f</w:t>
      </w:r>
      <w:r>
        <w:rPr>
          <w:lang w:val="en-US"/>
        </w:rPr>
        <w:t>undraisin</w:t>
      </w:r>
      <w:r w:rsidR="005A3F2D">
        <w:rPr>
          <w:lang w:val="en-US"/>
        </w:rPr>
        <w:t>g in higher education……………....45</w:t>
      </w:r>
    </w:p>
    <w:p w14:paraId="7F09C2CD" w14:textId="0A96529F" w:rsidR="003C2909" w:rsidRDefault="00D83145" w:rsidP="00D83145">
      <w:pPr>
        <w:spacing w:line="360" w:lineRule="auto"/>
        <w:rPr>
          <w:rFonts w:cs="Times New Roman"/>
          <w:lang w:val="en-US"/>
        </w:rPr>
      </w:pPr>
      <w:r>
        <w:rPr>
          <w:rFonts w:cs="Times New Roman"/>
          <w:lang w:val="en-US"/>
        </w:rPr>
        <w:t>Figure 3.1:</w:t>
      </w:r>
      <w:r w:rsidR="002627CD">
        <w:rPr>
          <w:rFonts w:cs="Times New Roman"/>
          <w:lang w:val="en-US"/>
        </w:rPr>
        <w:t xml:space="preserve"> </w:t>
      </w:r>
      <w:r w:rsidR="002627CD" w:rsidRPr="002627CD">
        <w:rPr>
          <w:rFonts w:cs="Times New Roman"/>
          <w:lang w:val="en-US"/>
        </w:rPr>
        <w:t>Public Value Framework for Accountabi</w:t>
      </w:r>
      <w:r w:rsidR="002627CD">
        <w:rPr>
          <w:rFonts w:cs="Times New Roman"/>
          <w:lang w:val="en-US"/>
        </w:rPr>
        <w:t>lity and Performance Management……</w:t>
      </w:r>
      <w:r w:rsidR="005A3F2D">
        <w:rPr>
          <w:rFonts w:cs="Times New Roman"/>
          <w:lang w:val="en-US"/>
        </w:rPr>
        <w:t>69</w:t>
      </w:r>
    </w:p>
    <w:p w14:paraId="39193D0E" w14:textId="5AFB4E15" w:rsidR="00D83145" w:rsidRDefault="00D83145" w:rsidP="00D83145">
      <w:pPr>
        <w:spacing w:line="360" w:lineRule="auto"/>
        <w:rPr>
          <w:rFonts w:cs="Times New Roman"/>
          <w:lang w:val="en-US"/>
        </w:rPr>
      </w:pPr>
      <w:r>
        <w:rPr>
          <w:rFonts w:cs="Times New Roman"/>
          <w:lang w:val="en-US"/>
        </w:rPr>
        <w:t>Figure 3.2:</w:t>
      </w:r>
      <w:r w:rsidR="00236F15">
        <w:rPr>
          <w:rFonts w:cs="Times New Roman"/>
          <w:lang w:val="en-US"/>
        </w:rPr>
        <w:t xml:space="preserve"> </w:t>
      </w:r>
      <w:r w:rsidR="00236F15" w:rsidRPr="00236F15">
        <w:rPr>
          <w:rFonts w:cs="Times New Roman"/>
          <w:lang w:val="en-US"/>
        </w:rPr>
        <w:t>Conceptual model for research in higher education philanthropy: inter-organizational relations between higher education organizations and private funders in the context of resource dependence theory</w:t>
      </w:r>
      <w:r w:rsidR="005A3F2D">
        <w:rPr>
          <w:rFonts w:cs="Times New Roman"/>
          <w:lang w:val="en-US"/>
        </w:rPr>
        <w:t>……………………………………………………….70</w:t>
      </w:r>
    </w:p>
    <w:p w14:paraId="1EF197F8" w14:textId="7B9A3826" w:rsidR="00D83145" w:rsidRPr="00370EE0" w:rsidRDefault="00D83145" w:rsidP="00D83145">
      <w:pPr>
        <w:spacing w:line="360" w:lineRule="auto"/>
        <w:rPr>
          <w:rFonts w:cs="Times New Roman"/>
          <w:lang w:val="en-US"/>
        </w:rPr>
      </w:pPr>
      <w:r>
        <w:rPr>
          <w:rFonts w:cs="Times New Roman"/>
          <w:lang w:val="en-US"/>
        </w:rPr>
        <w:t>Figure 3.3:</w:t>
      </w:r>
      <w:r w:rsidR="00236F15">
        <w:rPr>
          <w:rFonts w:cs="Times New Roman"/>
          <w:lang w:val="en-US"/>
        </w:rPr>
        <w:t xml:space="preserve"> </w:t>
      </w:r>
      <w:r w:rsidR="00370EE0" w:rsidRPr="00370EE0">
        <w:rPr>
          <w:rFonts w:cs="Times New Roman"/>
          <w:lang w:val="en-US"/>
        </w:rPr>
        <w:t>Fundraising organizational model for Public Universities</w:t>
      </w:r>
      <w:r w:rsidR="005A3F2D">
        <w:rPr>
          <w:rFonts w:cs="Times New Roman"/>
          <w:lang w:val="en-US"/>
        </w:rPr>
        <w:t>……………………….71</w:t>
      </w:r>
    </w:p>
    <w:p w14:paraId="35329F76" w14:textId="64841990" w:rsidR="00D83145" w:rsidRDefault="00D83145" w:rsidP="00D83145">
      <w:pPr>
        <w:spacing w:line="360" w:lineRule="auto"/>
        <w:rPr>
          <w:rFonts w:cs="Times New Roman"/>
          <w:lang w:val="en-US"/>
        </w:rPr>
      </w:pPr>
      <w:r>
        <w:rPr>
          <w:rFonts w:cs="Times New Roman"/>
          <w:lang w:val="en-US"/>
        </w:rPr>
        <w:t>Figure 3.4:</w:t>
      </w:r>
      <w:r w:rsidR="00E65EC8">
        <w:rPr>
          <w:rFonts w:cs="Times New Roman"/>
          <w:lang w:val="en-US"/>
        </w:rPr>
        <w:t xml:space="preserve"> </w:t>
      </w:r>
      <w:r w:rsidR="00E65EC8" w:rsidRPr="00E65EC8">
        <w:rPr>
          <w:rFonts w:cs="Times New Roman"/>
          <w:lang w:val="en-US"/>
        </w:rPr>
        <w:t>Fundraising forces matrix for Higher Education</w:t>
      </w:r>
      <w:r w:rsidR="005A3F2D">
        <w:rPr>
          <w:rFonts w:cs="Times New Roman"/>
          <w:lang w:val="en-US"/>
        </w:rPr>
        <w:t>…………………………………72</w:t>
      </w:r>
    </w:p>
    <w:p w14:paraId="40832818" w14:textId="2C23A032" w:rsidR="00D83145" w:rsidRDefault="00D83145" w:rsidP="00D83145">
      <w:pPr>
        <w:spacing w:line="360" w:lineRule="auto"/>
        <w:rPr>
          <w:rFonts w:cs="Times New Roman"/>
          <w:lang w:val="en-US"/>
        </w:rPr>
      </w:pPr>
      <w:r>
        <w:rPr>
          <w:rFonts w:cs="Times New Roman"/>
          <w:lang w:val="en-US"/>
        </w:rPr>
        <w:t>Table 3.5:</w:t>
      </w:r>
      <w:r w:rsidR="00E65EC8">
        <w:rPr>
          <w:rFonts w:cs="Times New Roman"/>
          <w:lang w:val="en-US"/>
        </w:rPr>
        <w:t xml:space="preserve"> </w:t>
      </w:r>
      <w:r w:rsidR="00E65EC8" w:rsidRPr="00E65EC8">
        <w:rPr>
          <w:rFonts w:cs="Times New Roman"/>
          <w:lang w:val="en-US"/>
        </w:rPr>
        <w:t>Categories and coding rules for deductive content analysis</w:t>
      </w:r>
      <w:r w:rsidR="005A3F2D">
        <w:rPr>
          <w:rFonts w:cs="Times New Roman"/>
          <w:lang w:val="en-US"/>
        </w:rPr>
        <w:t>………………………73</w:t>
      </w:r>
    </w:p>
    <w:p w14:paraId="3284A8E7" w14:textId="4871D460" w:rsidR="00D83145" w:rsidRDefault="00D83145" w:rsidP="00D83145">
      <w:pPr>
        <w:spacing w:line="360" w:lineRule="auto"/>
        <w:rPr>
          <w:rFonts w:cs="Times New Roman"/>
          <w:lang w:val="en-US"/>
        </w:rPr>
      </w:pPr>
      <w:r>
        <w:rPr>
          <w:rFonts w:cs="Times New Roman"/>
          <w:lang w:val="en-US"/>
        </w:rPr>
        <w:t>Table 3.6:</w:t>
      </w:r>
      <w:r w:rsidR="00E65EC8">
        <w:rPr>
          <w:rFonts w:cs="Times New Roman"/>
          <w:lang w:val="en-US"/>
        </w:rPr>
        <w:t xml:space="preserve"> </w:t>
      </w:r>
      <w:r w:rsidR="00E65EC8" w:rsidRPr="00E65EC8">
        <w:rPr>
          <w:rFonts w:cs="Times New Roman"/>
          <w:lang w:val="en-US"/>
        </w:rPr>
        <w:t>Preliminary analysis results</w:t>
      </w:r>
      <w:r w:rsidR="005A3F2D">
        <w:rPr>
          <w:rFonts w:cs="Times New Roman"/>
          <w:lang w:val="en-US"/>
        </w:rPr>
        <w:t>……………………………………………………….74</w:t>
      </w:r>
    </w:p>
    <w:p w14:paraId="6D607052" w14:textId="16DB3284" w:rsidR="00D83145" w:rsidRDefault="00D83145" w:rsidP="00D83145">
      <w:pPr>
        <w:spacing w:line="360" w:lineRule="auto"/>
        <w:rPr>
          <w:rFonts w:cs="Times New Roman"/>
          <w:lang w:val="en-US"/>
        </w:rPr>
      </w:pPr>
      <w:r>
        <w:rPr>
          <w:rFonts w:cs="Times New Roman"/>
          <w:lang w:val="en-US"/>
        </w:rPr>
        <w:t>Table 3.7:</w:t>
      </w:r>
      <w:r w:rsidR="001E4CF7">
        <w:rPr>
          <w:rFonts w:cs="Times New Roman"/>
          <w:lang w:val="en-US"/>
        </w:rPr>
        <w:t xml:space="preserve"> </w:t>
      </w:r>
      <w:r w:rsidR="001E4CF7" w:rsidRPr="001E4CF7">
        <w:rPr>
          <w:rFonts w:cs="Times New Roman"/>
          <w:lang w:val="en-US"/>
        </w:rPr>
        <w:t>Content analysis results</w:t>
      </w:r>
      <w:r w:rsidR="005A3F2D">
        <w:rPr>
          <w:rFonts w:cs="Times New Roman"/>
          <w:lang w:val="en-US"/>
        </w:rPr>
        <w:t>…………………………………………………………....75</w:t>
      </w:r>
    </w:p>
    <w:p w14:paraId="36BCB353" w14:textId="5E07A96C" w:rsidR="00D83145" w:rsidRDefault="00D83145" w:rsidP="00D83145">
      <w:pPr>
        <w:spacing w:line="360" w:lineRule="auto"/>
        <w:rPr>
          <w:rFonts w:cs="Times New Roman"/>
          <w:lang w:val="en-US"/>
        </w:rPr>
      </w:pPr>
      <w:r>
        <w:rPr>
          <w:rFonts w:cs="Times New Roman"/>
          <w:lang w:val="en-US"/>
        </w:rPr>
        <w:t>Figure 4.1:</w:t>
      </w:r>
      <w:r w:rsidR="00B11822">
        <w:rPr>
          <w:rFonts w:cs="Times New Roman"/>
          <w:lang w:val="en-US"/>
        </w:rPr>
        <w:t xml:space="preserve"> </w:t>
      </w:r>
      <w:r w:rsidR="00B11822" w:rsidRPr="00B11822">
        <w:rPr>
          <w:rFonts w:cs="Times New Roman"/>
          <w:lang w:val="en-US"/>
        </w:rPr>
        <w:t>The Paradigm Model</w:t>
      </w:r>
      <w:r w:rsidR="005A3F2D">
        <w:rPr>
          <w:rFonts w:cs="Times New Roman"/>
          <w:lang w:val="en-US"/>
        </w:rPr>
        <w:t>……………………………………………………………108</w:t>
      </w:r>
    </w:p>
    <w:p w14:paraId="30BAAD46" w14:textId="58E287BE" w:rsidR="00D83145" w:rsidRDefault="00B11822" w:rsidP="00D83145">
      <w:pPr>
        <w:spacing w:line="360" w:lineRule="auto"/>
        <w:rPr>
          <w:rFonts w:cs="Times New Roman"/>
          <w:lang w:val="en-US"/>
        </w:rPr>
      </w:pPr>
      <w:r>
        <w:rPr>
          <w:rFonts w:cs="Times New Roman"/>
          <w:lang w:val="en-US"/>
        </w:rPr>
        <w:t>Table 5.1:</w:t>
      </w:r>
      <w:r w:rsidR="0036100B">
        <w:rPr>
          <w:rFonts w:cs="Times New Roman"/>
          <w:lang w:val="en-US"/>
        </w:rPr>
        <w:t xml:space="preserve"> </w:t>
      </w:r>
      <w:r w:rsidR="0036100B" w:rsidRPr="0036100B">
        <w:rPr>
          <w:rFonts w:cs="Times New Roman"/>
          <w:lang w:val="en-US"/>
        </w:rPr>
        <w:t>Summary of Education and Graduation Awards by University of Pavia</w:t>
      </w:r>
      <w:r w:rsidR="005A3F2D">
        <w:rPr>
          <w:rFonts w:cs="Times New Roman"/>
          <w:lang w:val="en-US"/>
        </w:rPr>
        <w:t>………...134</w:t>
      </w:r>
    </w:p>
    <w:p w14:paraId="112AD83E" w14:textId="5DFA60E7" w:rsidR="00D83145" w:rsidRDefault="00D83145" w:rsidP="00D83145">
      <w:pPr>
        <w:spacing w:line="360" w:lineRule="auto"/>
        <w:rPr>
          <w:rFonts w:cs="Times New Roman"/>
          <w:lang w:val="en-US"/>
        </w:rPr>
      </w:pPr>
      <w:r>
        <w:rPr>
          <w:rFonts w:cs="Times New Roman"/>
          <w:lang w:val="en-US"/>
        </w:rPr>
        <w:t>Figure 5.2:</w:t>
      </w:r>
      <w:r w:rsidR="0036100B">
        <w:rPr>
          <w:rFonts w:cs="Times New Roman"/>
          <w:lang w:val="en-US"/>
        </w:rPr>
        <w:t xml:space="preserve"> </w:t>
      </w:r>
      <w:r w:rsidR="0036100B" w:rsidRPr="0036100B">
        <w:rPr>
          <w:rFonts w:cs="Times New Roman"/>
          <w:lang w:val="en-US"/>
        </w:rPr>
        <w:t>Projects’ distribution according to university’s function</w:t>
      </w:r>
      <w:r w:rsidR="005A3F2D">
        <w:rPr>
          <w:rFonts w:cs="Times New Roman"/>
          <w:lang w:val="en-US"/>
        </w:rPr>
        <w:t>………………………..135</w:t>
      </w:r>
    </w:p>
    <w:p w14:paraId="787F4F41" w14:textId="4992FEA1" w:rsidR="00D83145" w:rsidRDefault="00D83145" w:rsidP="00D83145">
      <w:pPr>
        <w:spacing w:line="360" w:lineRule="auto"/>
        <w:rPr>
          <w:rFonts w:cs="Times New Roman"/>
          <w:lang w:val="en-US"/>
        </w:rPr>
      </w:pPr>
      <w:r>
        <w:rPr>
          <w:rFonts w:cs="Times New Roman"/>
          <w:lang w:val="en-US"/>
        </w:rPr>
        <w:t>Figure 5.3:</w:t>
      </w:r>
      <w:r w:rsidR="0036100B">
        <w:rPr>
          <w:rFonts w:cs="Times New Roman"/>
          <w:lang w:val="en-US"/>
        </w:rPr>
        <w:t xml:space="preserve"> </w:t>
      </w:r>
      <w:r w:rsidR="0036100B" w:rsidRPr="0036100B">
        <w:rPr>
          <w:rFonts w:cs="Times New Roman"/>
          <w:lang w:val="en-US"/>
        </w:rPr>
        <w:t>Campaigns’ allocation according to Research macro areas</w:t>
      </w:r>
      <w:r w:rsidR="005A3F2D">
        <w:rPr>
          <w:rFonts w:cs="Times New Roman"/>
          <w:lang w:val="en-US"/>
        </w:rPr>
        <w:t>…………………….136</w:t>
      </w:r>
    </w:p>
    <w:p w14:paraId="661676CE" w14:textId="43C9C333" w:rsidR="007D0EC1" w:rsidRDefault="007D0EC1" w:rsidP="00D83145">
      <w:pPr>
        <w:spacing w:line="360" w:lineRule="auto"/>
        <w:rPr>
          <w:rFonts w:cs="Times New Roman"/>
          <w:lang w:val="en-US"/>
        </w:rPr>
      </w:pPr>
      <w:r>
        <w:rPr>
          <w:rFonts w:cs="Times New Roman"/>
          <w:lang w:val="en-US"/>
        </w:rPr>
        <w:t xml:space="preserve">Figure 5.4: </w:t>
      </w:r>
      <w:r w:rsidRPr="001F68D3">
        <w:rPr>
          <w:rFonts w:cs="Times New Roman"/>
          <w:lang w:val="en-US"/>
        </w:rPr>
        <w:t>Projects’ success composition according to university’s functions</w:t>
      </w:r>
      <w:r w:rsidR="005A3F2D">
        <w:rPr>
          <w:rFonts w:cs="Times New Roman"/>
          <w:lang w:val="en-US"/>
        </w:rPr>
        <w:t>……………..137</w:t>
      </w:r>
    </w:p>
    <w:p w14:paraId="5981C947" w14:textId="2928B73C" w:rsidR="00D83145" w:rsidRDefault="00D83145" w:rsidP="007D0EC1">
      <w:pPr>
        <w:spacing w:line="360" w:lineRule="auto"/>
        <w:jc w:val="both"/>
        <w:rPr>
          <w:rFonts w:cs="Times New Roman"/>
          <w:lang w:val="en-US"/>
        </w:rPr>
      </w:pPr>
      <w:r>
        <w:rPr>
          <w:rFonts w:cs="Times New Roman"/>
          <w:lang w:val="en-US"/>
        </w:rPr>
        <w:t>Figure 5.5:</w:t>
      </w:r>
      <w:r w:rsidR="0036100B">
        <w:rPr>
          <w:rFonts w:cs="Times New Roman"/>
          <w:lang w:val="en-US"/>
        </w:rPr>
        <w:t xml:space="preserve"> </w:t>
      </w:r>
      <w:r w:rsidR="007D0EC1" w:rsidRPr="007D0EC1">
        <w:rPr>
          <w:rFonts w:cs="Times New Roman"/>
          <w:lang w:val="en-US"/>
        </w:rPr>
        <w:t>Platform performance according to Research macro areas</w:t>
      </w:r>
      <w:r w:rsidR="005A3F2D">
        <w:rPr>
          <w:rFonts w:cs="Times New Roman"/>
          <w:lang w:val="en-US"/>
        </w:rPr>
        <w:t>……………………..138</w:t>
      </w:r>
    </w:p>
    <w:p w14:paraId="0136539E" w14:textId="157EF204" w:rsidR="00D83145" w:rsidRPr="007D0EC1" w:rsidRDefault="00D83145" w:rsidP="007D0EC1">
      <w:pPr>
        <w:spacing w:line="360" w:lineRule="auto"/>
        <w:jc w:val="both"/>
        <w:rPr>
          <w:rFonts w:cs="Times New Roman"/>
          <w:i/>
          <w:lang w:val="en-US"/>
        </w:rPr>
      </w:pPr>
      <w:r>
        <w:rPr>
          <w:rFonts w:cs="Times New Roman"/>
          <w:lang w:val="en-US"/>
        </w:rPr>
        <w:t>Figure 5.6:</w:t>
      </w:r>
      <w:r w:rsidR="007D0EC1">
        <w:rPr>
          <w:rFonts w:cs="Times New Roman"/>
          <w:lang w:val="en-US"/>
        </w:rPr>
        <w:t xml:space="preserve"> </w:t>
      </w:r>
      <w:r w:rsidR="007D0EC1" w:rsidRPr="007D0EC1">
        <w:rPr>
          <w:rFonts w:cs="Times New Roman"/>
          <w:lang w:val="en-US"/>
        </w:rPr>
        <w:t>A conceptual map of fundraising culture in University of Pavia</w:t>
      </w:r>
      <w:r w:rsidR="005A3F2D">
        <w:rPr>
          <w:rFonts w:cs="Times New Roman"/>
          <w:lang w:val="en-US"/>
        </w:rPr>
        <w:t>……………….139</w:t>
      </w:r>
    </w:p>
    <w:p w14:paraId="5B62393A" w14:textId="107D904F" w:rsidR="00D83145" w:rsidRDefault="00D83145" w:rsidP="00D83145">
      <w:pPr>
        <w:spacing w:line="360" w:lineRule="auto"/>
        <w:rPr>
          <w:rFonts w:cs="Times New Roman"/>
          <w:lang w:val="en-US"/>
        </w:rPr>
      </w:pPr>
      <w:r>
        <w:rPr>
          <w:rFonts w:cs="Times New Roman"/>
          <w:lang w:val="en-US"/>
        </w:rPr>
        <w:t>Figure 6.1</w:t>
      </w:r>
      <w:r w:rsidR="00B11822">
        <w:rPr>
          <w:rFonts w:cs="Times New Roman"/>
          <w:lang w:val="en-US"/>
        </w:rPr>
        <w:t>:</w:t>
      </w:r>
      <w:r w:rsidR="00346911">
        <w:rPr>
          <w:rFonts w:cs="Times New Roman"/>
          <w:lang w:val="en-US"/>
        </w:rPr>
        <w:t xml:space="preserve"> </w:t>
      </w:r>
      <w:r w:rsidR="00346911" w:rsidRPr="00346911">
        <w:rPr>
          <w:rFonts w:cs="Times New Roman"/>
          <w:lang w:val="en-US"/>
        </w:rPr>
        <w:t>The triangular relation among fundraising process’ output, university’s outcome and university’s mission</w:t>
      </w:r>
      <w:r w:rsidR="00346911">
        <w:rPr>
          <w:rFonts w:cs="Times New Roman"/>
          <w:lang w:val="en-US"/>
        </w:rPr>
        <w:t>……</w:t>
      </w:r>
      <w:r w:rsidR="005A3F2D">
        <w:rPr>
          <w:rFonts w:cs="Times New Roman"/>
          <w:lang w:val="en-US"/>
        </w:rPr>
        <w:t>………………………………………………………………..152</w:t>
      </w:r>
    </w:p>
    <w:p w14:paraId="34832B2F" w14:textId="77777777" w:rsidR="003C2909" w:rsidRDefault="003C2909" w:rsidP="003C2909">
      <w:pPr>
        <w:spacing w:line="360" w:lineRule="auto"/>
        <w:jc w:val="both"/>
        <w:rPr>
          <w:rFonts w:cs="Times New Roman"/>
          <w:lang w:val="en-US"/>
        </w:rPr>
      </w:pPr>
    </w:p>
    <w:p w14:paraId="271C7587" w14:textId="77777777" w:rsidR="003C2909" w:rsidRDefault="003C2909" w:rsidP="003C2909">
      <w:pPr>
        <w:spacing w:line="360" w:lineRule="auto"/>
        <w:jc w:val="both"/>
        <w:rPr>
          <w:rFonts w:cs="Times New Roman"/>
          <w:lang w:val="en-US"/>
        </w:rPr>
      </w:pPr>
    </w:p>
    <w:p w14:paraId="09D59284" w14:textId="77777777" w:rsidR="003C2909" w:rsidRDefault="003C2909" w:rsidP="003C2909">
      <w:pPr>
        <w:spacing w:line="360" w:lineRule="auto"/>
        <w:jc w:val="both"/>
        <w:rPr>
          <w:rFonts w:cs="Times New Roman"/>
          <w:lang w:val="en-US"/>
        </w:rPr>
      </w:pPr>
    </w:p>
    <w:p w14:paraId="61627697" w14:textId="77777777" w:rsidR="003C2909" w:rsidRDefault="003C2909" w:rsidP="003C2909">
      <w:pPr>
        <w:spacing w:line="360" w:lineRule="auto"/>
        <w:jc w:val="both"/>
        <w:rPr>
          <w:rFonts w:cs="Times New Roman"/>
          <w:lang w:val="en-US"/>
        </w:rPr>
      </w:pPr>
    </w:p>
    <w:p w14:paraId="196C783E" w14:textId="77777777" w:rsidR="003C2909" w:rsidRDefault="003C2909" w:rsidP="003C2909">
      <w:pPr>
        <w:spacing w:line="360" w:lineRule="auto"/>
        <w:jc w:val="both"/>
        <w:rPr>
          <w:rFonts w:cs="Times New Roman"/>
          <w:lang w:val="en-US"/>
        </w:rPr>
      </w:pPr>
    </w:p>
    <w:p w14:paraId="714D9FE3" w14:textId="77777777" w:rsidR="003C2909" w:rsidRDefault="003C2909" w:rsidP="003C2909">
      <w:pPr>
        <w:spacing w:line="360" w:lineRule="auto"/>
        <w:jc w:val="both"/>
        <w:rPr>
          <w:rFonts w:cs="Times New Roman"/>
          <w:lang w:val="en-US"/>
        </w:rPr>
      </w:pPr>
    </w:p>
    <w:p w14:paraId="49FBBE9A" w14:textId="77777777" w:rsidR="003C2909" w:rsidRDefault="003C2909" w:rsidP="003C2909">
      <w:pPr>
        <w:spacing w:line="360" w:lineRule="auto"/>
        <w:jc w:val="both"/>
        <w:rPr>
          <w:rFonts w:cs="Times New Roman"/>
          <w:lang w:val="en-US"/>
        </w:rPr>
      </w:pPr>
    </w:p>
    <w:p w14:paraId="59CBEC97" w14:textId="77777777" w:rsidR="003C2909" w:rsidRDefault="003C2909" w:rsidP="003C2909">
      <w:pPr>
        <w:spacing w:line="360" w:lineRule="auto"/>
        <w:jc w:val="both"/>
        <w:rPr>
          <w:rFonts w:cs="Times New Roman"/>
          <w:lang w:val="en-US"/>
        </w:rPr>
      </w:pPr>
    </w:p>
    <w:p w14:paraId="7F40441A" w14:textId="77777777" w:rsidR="003C2909" w:rsidRDefault="003C2909" w:rsidP="003C2909">
      <w:pPr>
        <w:spacing w:line="360" w:lineRule="auto"/>
        <w:jc w:val="both"/>
        <w:rPr>
          <w:rFonts w:cs="Times New Roman"/>
          <w:lang w:val="en-US"/>
        </w:rPr>
      </w:pPr>
    </w:p>
    <w:p w14:paraId="5F81A52F" w14:textId="77777777" w:rsidR="003C2909" w:rsidRDefault="003C2909" w:rsidP="003C2909">
      <w:pPr>
        <w:spacing w:line="360" w:lineRule="auto"/>
        <w:jc w:val="both"/>
        <w:rPr>
          <w:rFonts w:cs="Times New Roman"/>
          <w:lang w:val="en-US"/>
        </w:rPr>
      </w:pPr>
    </w:p>
    <w:p w14:paraId="0BAAF324" w14:textId="77777777" w:rsidR="003C2909" w:rsidRDefault="003C2909" w:rsidP="003C2909">
      <w:pPr>
        <w:spacing w:line="360" w:lineRule="auto"/>
        <w:jc w:val="both"/>
        <w:rPr>
          <w:rFonts w:cs="Times New Roman"/>
          <w:lang w:val="en-US"/>
        </w:rPr>
      </w:pPr>
    </w:p>
    <w:p w14:paraId="383E513E" w14:textId="77777777" w:rsidR="003C2909" w:rsidRDefault="003C2909" w:rsidP="003C2909">
      <w:pPr>
        <w:spacing w:line="360" w:lineRule="auto"/>
        <w:jc w:val="both"/>
        <w:rPr>
          <w:rFonts w:cs="Times New Roman"/>
          <w:lang w:val="en-US"/>
        </w:rPr>
      </w:pPr>
    </w:p>
    <w:p w14:paraId="49BF94F5" w14:textId="77777777" w:rsidR="003C2909" w:rsidRDefault="003C2909" w:rsidP="003C2909">
      <w:pPr>
        <w:spacing w:line="360" w:lineRule="auto"/>
        <w:jc w:val="both"/>
        <w:rPr>
          <w:rFonts w:cs="Times New Roman"/>
          <w:lang w:val="en-US"/>
        </w:rPr>
      </w:pPr>
    </w:p>
    <w:p w14:paraId="55C26840" w14:textId="77777777" w:rsidR="003C2909" w:rsidRDefault="003C2909" w:rsidP="003C2909">
      <w:pPr>
        <w:spacing w:line="360" w:lineRule="auto"/>
        <w:jc w:val="both"/>
        <w:rPr>
          <w:rFonts w:cs="Times New Roman"/>
          <w:lang w:val="en-US"/>
        </w:rPr>
      </w:pPr>
    </w:p>
    <w:p w14:paraId="1E2632A6" w14:textId="77777777" w:rsidR="003C2909" w:rsidRDefault="003C2909" w:rsidP="003C2909">
      <w:pPr>
        <w:spacing w:line="360" w:lineRule="auto"/>
        <w:jc w:val="both"/>
        <w:rPr>
          <w:rFonts w:cs="Times New Roman"/>
          <w:lang w:val="en-US"/>
        </w:rPr>
      </w:pPr>
    </w:p>
    <w:p w14:paraId="3A71C426" w14:textId="77777777" w:rsidR="003C2909" w:rsidRDefault="003C2909" w:rsidP="003C2909">
      <w:pPr>
        <w:spacing w:line="360" w:lineRule="auto"/>
        <w:jc w:val="both"/>
        <w:rPr>
          <w:rFonts w:cs="Times New Roman"/>
          <w:lang w:val="en-US"/>
        </w:rPr>
      </w:pPr>
    </w:p>
    <w:p w14:paraId="397EC856" w14:textId="77777777" w:rsidR="003C2909" w:rsidRDefault="003C2909" w:rsidP="003C2909">
      <w:pPr>
        <w:spacing w:line="360" w:lineRule="auto"/>
        <w:jc w:val="both"/>
        <w:rPr>
          <w:rFonts w:cs="Times New Roman"/>
          <w:lang w:val="en-US"/>
        </w:rPr>
      </w:pPr>
    </w:p>
    <w:p w14:paraId="4FD85F9C" w14:textId="77777777" w:rsidR="003C2909" w:rsidRDefault="003C2909" w:rsidP="003C2909">
      <w:pPr>
        <w:spacing w:line="360" w:lineRule="auto"/>
        <w:jc w:val="both"/>
        <w:rPr>
          <w:rFonts w:cs="Times New Roman"/>
          <w:lang w:val="en-US"/>
        </w:rPr>
      </w:pPr>
    </w:p>
    <w:p w14:paraId="3AD8D1BE" w14:textId="77777777" w:rsidR="003C2909" w:rsidRDefault="003C2909" w:rsidP="003C2909">
      <w:pPr>
        <w:spacing w:line="360" w:lineRule="auto"/>
        <w:jc w:val="both"/>
        <w:rPr>
          <w:rFonts w:cs="Times New Roman"/>
          <w:lang w:val="en-US"/>
        </w:rPr>
      </w:pPr>
    </w:p>
    <w:p w14:paraId="2AF33958" w14:textId="77777777" w:rsidR="003C2909" w:rsidRDefault="003C2909" w:rsidP="003C2909">
      <w:pPr>
        <w:spacing w:line="360" w:lineRule="auto"/>
        <w:jc w:val="both"/>
        <w:rPr>
          <w:rFonts w:cs="Times New Roman"/>
          <w:lang w:val="en-US"/>
        </w:rPr>
      </w:pPr>
    </w:p>
    <w:p w14:paraId="4FEBBE35" w14:textId="77777777" w:rsidR="003C2909" w:rsidRDefault="003C2909" w:rsidP="003C2909">
      <w:pPr>
        <w:spacing w:line="360" w:lineRule="auto"/>
        <w:jc w:val="both"/>
        <w:rPr>
          <w:rFonts w:cs="Times New Roman"/>
          <w:lang w:val="en-US"/>
        </w:rPr>
      </w:pPr>
    </w:p>
    <w:p w14:paraId="21ECDDE8" w14:textId="77777777" w:rsidR="003C2909" w:rsidRDefault="003C2909" w:rsidP="003C2909">
      <w:pPr>
        <w:spacing w:line="360" w:lineRule="auto"/>
        <w:jc w:val="both"/>
        <w:rPr>
          <w:rFonts w:cs="Times New Roman"/>
          <w:lang w:val="en-US"/>
        </w:rPr>
      </w:pPr>
    </w:p>
    <w:p w14:paraId="1709E147" w14:textId="77777777" w:rsidR="003C2909" w:rsidRDefault="003C2909" w:rsidP="003C2909">
      <w:pPr>
        <w:spacing w:line="360" w:lineRule="auto"/>
        <w:jc w:val="both"/>
        <w:rPr>
          <w:rFonts w:cs="Times New Roman"/>
          <w:lang w:val="en-US"/>
        </w:rPr>
      </w:pPr>
    </w:p>
    <w:p w14:paraId="71142C05" w14:textId="77777777" w:rsidR="003C2909" w:rsidRDefault="003C2909" w:rsidP="003C2909">
      <w:pPr>
        <w:spacing w:line="360" w:lineRule="auto"/>
        <w:jc w:val="both"/>
        <w:rPr>
          <w:rFonts w:cs="Times New Roman"/>
          <w:lang w:val="en-US"/>
        </w:rPr>
      </w:pPr>
    </w:p>
    <w:p w14:paraId="2DE9A3BE" w14:textId="77777777" w:rsidR="003C2909" w:rsidRDefault="003C2909" w:rsidP="003C2909">
      <w:pPr>
        <w:spacing w:line="360" w:lineRule="auto"/>
        <w:jc w:val="both"/>
        <w:rPr>
          <w:rFonts w:cs="Times New Roman"/>
          <w:lang w:val="en-US"/>
        </w:rPr>
      </w:pPr>
    </w:p>
    <w:p w14:paraId="773B8776" w14:textId="77777777" w:rsidR="003C2909" w:rsidRDefault="003C2909" w:rsidP="003C2909">
      <w:pPr>
        <w:spacing w:line="360" w:lineRule="auto"/>
        <w:jc w:val="both"/>
        <w:rPr>
          <w:rFonts w:cs="Times New Roman"/>
          <w:lang w:val="en-US"/>
        </w:rPr>
      </w:pPr>
    </w:p>
    <w:p w14:paraId="41C8B918" w14:textId="77777777" w:rsidR="003C2909" w:rsidRDefault="003C2909" w:rsidP="003C2909">
      <w:pPr>
        <w:spacing w:line="360" w:lineRule="auto"/>
        <w:jc w:val="both"/>
        <w:rPr>
          <w:rFonts w:cs="Times New Roman"/>
          <w:lang w:val="en-US"/>
        </w:rPr>
      </w:pPr>
    </w:p>
    <w:p w14:paraId="4C71B80B" w14:textId="77777777" w:rsidR="003C2909" w:rsidRDefault="003C2909" w:rsidP="003C2909">
      <w:pPr>
        <w:spacing w:line="360" w:lineRule="auto"/>
        <w:jc w:val="both"/>
        <w:rPr>
          <w:rFonts w:cs="Times New Roman"/>
          <w:lang w:val="en-US"/>
        </w:rPr>
      </w:pPr>
    </w:p>
    <w:p w14:paraId="41AE4E2B" w14:textId="77777777" w:rsidR="003C2909" w:rsidRDefault="003C2909" w:rsidP="003C2909">
      <w:pPr>
        <w:spacing w:line="360" w:lineRule="auto"/>
        <w:jc w:val="both"/>
        <w:rPr>
          <w:rFonts w:cs="Times New Roman"/>
          <w:lang w:val="en-US"/>
        </w:rPr>
      </w:pPr>
    </w:p>
    <w:p w14:paraId="56F9AF19" w14:textId="77777777" w:rsidR="003C2909" w:rsidRDefault="003C2909" w:rsidP="003C2909">
      <w:pPr>
        <w:spacing w:line="360" w:lineRule="auto"/>
        <w:jc w:val="both"/>
        <w:rPr>
          <w:rFonts w:cs="Times New Roman"/>
          <w:lang w:val="en-US"/>
        </w:rPr>
      </w:pPr>
    </w:p>
    <w:p w14:paraId="43BF2600" w14:textId="77777777" w:rsidR="003C2909" w:rsidRDefault="003C2909" w:rsidP="003C2909">
      <w:pPr>
        <w:spacing w:line="360" w:lineRule="auto"/>
        <w:jc w:val="both"/>
        <w:rPr>
          <w:rFonts w:cs="Times New Roman"/>
          <w:lang w:val="en-US"/>
        </w:rPr>
      </w:pPr>
    </w:p>
    <w:p w14:paraId="1721B8A0" w14:textId="77777777" w:rsidR="003C2909" w:rsidRDefault="003C2909" w:rsidP="003C2909">
      <w:pPr>
        <w:spacing w:line="360" w:lineRule="auto"/>
        <w:jc w:val="both"/>
        <w:rPr>
          <w:rFonts w:cs="Times New Roman"/>
          <w:lang w:val="en-US"/>
        </w:rPr>
      </w:pPr>
    </w:p>
    <w:p w14:paraId="13136F91" w14:textId="77777777" w:rsidR="004D6C1D" w:rsidRDefault="004D6C1D" w:rsidP="004D6C1D">
      <w:pPr>
        <w:spacing w:line="360" w:lineRule="auto"/>
        <w:jc w:val="both"/>
        <w:rPr>
          <w:rFonts w:cs="Times New Roman"/>
          <w:b/>
          <w:lang w:val="en-US"/>
        </w:rPr>
      </w:pPr>
    </w:p>
    <w:p w14:paraId="3E953F8F" w14:textId="5ED243D1" w:rsidR="004D6C1D" w:rsidRPr="004D6C1D" w:rsidRDefault="004D6C1D" w:rsidP="004D6C1D">
      <w:pPr>
        <w:spacing w:line="360" w:lineRule="auto"/>
        <w:jc w:val="both"/>
        <w:rPr>
          <w:lang w:val="en-US"/>
        </w:rPr>
      </w:pPr>
      <w:r>
        <w:rPr>
          <w:lang w:val="en-US"/>
        </w:rPr>
        <w:t xml:space="preserve"> </w:t>
      </w:r>
    </w:p>
    <w:p w14:paraId="3F83314E" w14:textId="5F353031" w:rsidR="004D6C1D" w:rsidRPr="004D6C1D" w:rsidRDefault="004D6C1D" w:rsidP="004D6C1D">
      <w:pPr>
        <w:spacing w:line="360" w:lineRule="auto"/>
        <w:ind w:firstLine="708"/>
        <w:jc w:val="both"/>
        <w:rPr>
          <w:lang w:val="en-US"/>
        </w:rPr>
      </w:pPr>
    </w:p>
    <w:p w14:paraId="59B7AF44" w14:textId="77777777" w:rsidR="00DE147A" w:rsidRPr="00DE147A" w:rsidRDefault="00DE147A" w:rsidP="004D6C1D">
      <w:pPr>
        <w:spacing w:line="360" w:lineRule="auto"/>
        <w:jc w:val="both"/>
        <w:rPr>
          <w:lang w:val="en-US"/>
        </w:rPr>
      </w:pPr>
    </w:p>
    <w:p w14:paraId="26F8159B" w14:textId="29319DEF" w:rsidR="00DE147A" w:rsidRDefault="00DE147A" w:rsidP="004D6C1D">
      <w:pPr>
        <w:spacing w:line="360" w:lineRule="auto"/>
        <w:jc w:val="both"/>
        <w:rPr>
          <w:b/>
          <w:i/>
          <w:lang w:val="en-US"/>
        </w:rPr>
      </w:pPr>
    </w:p>
    <w:p w14:paraId="382146AE" w14:textId="6FA157C0" w:rsidR="00DE147A" w:rsidRDefault="00DE147A" w:rsidP="004D6C1D">
      <w:pPr>
        <w:spacing w:line="360" w:lineRule="auto"/>
        <w:ind w:firstLine="708"/>
        <w:jc w:val="both"/>
        <w:rPr>
          <w:lang w:val="en-US"/>
        </w:rPr>
      </w:pPr>
    </w:p>
    <w:p w14:paraId="77BA10BE" w14:textId="77777777" w:rsidR="00DE147A" w:rsidRDefault="00DE147A" w:rsidP="004D6C1D">
      <w:pPr>
        <w:spacing w:line="360" w:lineRule="auto"/>
        <w:jc w:val="both"/>
        <w:rPr>
          <w:lang w:val="en-US"/>
        </w:rPr>
      </w:pPr>
    </w:p>
    <w:p w14:paraId="7213962C" w14:textId="77777777" w:rsidR="00AC49B9" w:rsidRPr="00AC49B9" w:rsidRDefault="00AC49B9" w:rsidP="004D6C1D">
      <w:pPr>
        <w:spacing w:line="360" w:lineRule="auto"/>
        <w:ind w:firstLine="708"/>
        <w:jc w:val="both"/>
        <w:rPr>
          <w:lang w:val="en-US"/>
        </w:rPr>
      </w:pPr>
    </w:p>
    <w:p w14:paraId="52D4C62C" w14:textId="77777777" w:rsidR="00AC49B9" w:rsidRDefault="00AC49B9" w:rsidP="004D6C1D">
      <w:pPr>
        <w:spacing w:line="360" w:lineRule="auto"/>
        <w:jc w:val="both"/>
        <w:rPr>
          <w:lang w:val="en-US"/>
        </w:rPr>
      </w:pPr>
    </w:p>
    <w:p w14:paraId="3E8F9D6B" w14:textId="77777777" w:rsidR="00AC49B9" w:rsidRDefault="00AC49B9" w:rsidP="004D6C1D">
      <w:pPr>
        <w:spacing w:line="360" w:lineRule="auto"/>
        <w:jc w:val="both"/>
        <w:rPr>
          <w:lang w:val="en-US"/>
        </w:rPr>
      </w:pPr>
    </w:p>
    <w:p w14:paraId="34F4158A" w14:textId="77777777" w:rsidR="00AC49B9" w:rsidRDefault="00AC49B9" w:rsidP="004D6C1D">
      <w:pPr>
        <w:spacing w:line="360" w:lineRule="auto"/>
        <w:jc w:val="both"/>
        <w:rPr>
          <w:lang w:val="en-US"/>
        </w:rPr>
      </w:pPr>
    </w:p>
    <w:p w14:paraId="3CA80537" w14:textId="77777777" w:rsidR="00AC49B9" w:rsidRDefault="00AC49B9" w:rsidP="00AC49B9">
      <w:pPr>
        <w:spacing w:line="480" w:lineRule="auto"/>
        <w:ind w:firstLine="709"/>
        <w:jc w:val="both"/>
        <w:rPr>
          <w:lang w:val="en-US"/>
        </w:rPr>
      </w:pPr>
    </w:p>
    <w:p w14:paraId="4E7C3EF5" w14:textId="77777777" w:rsidR="00180618" w:rsidRPr="005E3272" w:rsidRDefault="00180618" w:rsidP="005E3272">
      <w:pPr>
        <w:spacing w:line="480" w:lineRule="auto"/>
        <w:jc w:val="both"/>
        <w:rPr>
          <w:lang w:val="en-US"/>
        </w:rPr>
      </w:pPr>
    </w:p>
    <w:p w14:paraId="765D1DA9" w14:textId="77777777" w:rsidR="005E3272" w:rsidRPr="005E3272" w:rsidRDefault="005E3272" w:rsidP="009E0618">
      <w:pPr>
        <w:spacing w:line="480" w:lineRule="auto"/>
        <w:jc w:val="both"/>
        <w:rPr>
          <w:b/>
          <w:lang w:val="en-US"/>
        </w:rPr>
      </w:pPr>
    </w:p>
    <w:p w14:paraId="750DCE90" w14:textId="77777777" w:rsidR="009E0618" w:rsidRPr="009E0618" w:rsidRDefault="009E0618" w:rsidP="009E0618">
      <w:pPr>
        <w:spacing w:line="480" w:lineRule="auto"/>
        <w:jc w:val="both"/>
        <w:rPr>
          <w:lang w:val="en-US"/>
        </w:rPr>
      </w:pPr>
    </w:p>
    <w:p w14:paraId="4288DDF9" w14:textId="26D2F003" w:rsidR="009E0618" w:rsidRDefault="009E0618" w:rsidP="006B230F">
      <w:pPr>
        <w:spacing w:line="480" w:lineRule="auto"/>
        <w:jc w:val="both"/>
        <w:rPr>
          <w:lang w:val="en-US"/>
        </w:rPr>
      </w:pPr>
    </w:p>
    <w:p w14:paraId="6B8C6087" w14:textId="77777777" w:rsidR="000B3520" w:rsidRDefault="000B3520" w:rsidP="00391863">
      <w:pPr>
        <w:spacing w:line="360" w:lineRule="auto"/>
        <w:jc w:val="both"/>
        <w:rPr>
          <w:lang w:val="en-US"/>
        </w:rPr>
      </w:pPr>
    </w:p>
    <w:p w14:paraId="03B497D0" w14:textId="77777777" w:rsidR="003C2909" w:rsidRDefault="003C2909" w:rsidP="00391863">
      <w:pPr>
        <w:spacing w:line="360" w:lineRule="auto"/>
        <w:jc w:val="both"/>
        <w:rPr>
          <w:lang w:val="en-US"/>
        </w:rPr>
      </w:pPr>
    </w:p>
    <w:p w14:paraId="4230B731" w14:textId="77777777" w:rsidR="003C2909" w:rsidRDefault="003C2909" w:rsidP="00391863">
      <w:pPr>
        <w:spacing w:line="360" w:lineRule="auto"/>
        <w:jc w:val="both"/>
        <w:rPr>
          <w:lang w:val="en-US"/>
        </w:rPr>
      </w:pPr>
    </w:p>
    <w:p w14:paraId="61F0A838" w14:textId="77777777" w:rsidR="003C2909" w:rsidRDefault="003C2909" w:rsidP="00391863">
      <w:pPr>
        <w:spacing w:line="360" w:lineRule="auto"/>
        <w:jc w:val="both"/>
        <w:rPr>
          <w:lang w:val="en-US"/>
        </w:rPr>
      </w:pPr>
    </w:p>
    <w:p w14:paraId="687248E1" w14:textId="77777777" w:rsidR="003C2909" w:rsidRDefault="003C2909" w:rsidP="00391863">
      <w:pPr>
        <w:spacing w:line="360" w:lineRule="auto"/>
        <w:jc w:val="both"/>
        <w:rPr>
          <w:lang w:val="en-US"/>
        </w:rPr>
      </w:pPr>
    </w:p>
    <w:p w14:paraId="0362C618" w14:textId="77777777" w:rsidR="003C2909" w:rsidRDefault="003C2909" w:rsidP="00391863">
      <w:pPr>
        <w:spacing w:line="360" w:lineRule="auto"/>
        <w:jc w:val="both"/>
        <w:rPr>
          <w:lang w:val="en-US"/>
        </w:rPr>
      </w:pPr>
    </w:p>
    <w:p w14:paraId="7F563ED6" w14:textId="77777777" w:rsidR="003C2909" w:rsidRDefault="003C2909" w:rsidP="00391863">
      <w:pPr>
        <w:spacing w:line="360" w:lineRule="auto"/>
        <w:jc w:val="both"/>
        <w:rPr>
          <w:lang w:val="en-US"/>
        </w:rPr>
      </w:pPr>
    </w:p>
    <w:p w14:paraId="2AB599D2" w14:textId="77777777" w:rsidR="003C2909" w:rsidRDefault="003C2909" w:rsidP="00391863">
      <w:pPr>
        <w:spacing w:line="360" w:lineRule="auto"/>
        <w:jc w:val="both"/>
        <w:rPr>
          <w:lang w:val="en-US"/>
        </w:rPr>
      </w:pPr>
    </w:p>
    <w:p w14:paraId="13DACD5B" w14:textId="77777777" w:rsidR="003C2909" w:rsidRDefault="003C2909" w:rsidP="00391863">
      <w:pPr>
        <w:spacing w:line="360" w:lineRule="auto"/>
        <w:jc w:val="both"/>
        <w:rPr>
          <w:lang w:val="en-US"/>
        </w:rPr>
      </w:pPr>
    </w:p>
    <w:p w14:paraId="4C04DB26" w14:textId="77777777" w:rsidR="003C2909" w:rsidRDefault="003C2909" w:rsidP="00391863">
      <w:pPr>
        <w:spacing w:line="360" w:lineRule="auto"/>
        <w:jc w:val="both"/>
        <w:rPr>
          <w:lang w:val="en-US"/>
        </w:rPr>
      </w:pPr>
    </w:p>
    <w:p w14:paraId="71581865" w14:textId="77777777" w:rsidR="003C2909" w:rsidRDefault="003C2909" w:rsidP="00391863">
      <w:pPr>
        <w:spacing w:line="360" w:lineRule="auto"/>
        <w:jc w:val="both"/>
        <w:rPr>
          <w:lang w:val="en-US"/>
        </w:rPr>
      </w:pPr>
    </w:p>
    <w:p w14:paraId="5BACC17E" w14:textId="77777777" w:rsidR="003C2909" w:rsidRDefault="003C2909" w:rsidP="00391863">
      <w:pPr>
        <w:spacing w:line="360" w:lineRule="auto"/>
        <w:jc w:val="both"/>
        <w:rPr>
          <w:lang w:val="en-US"/>
        </w:rPr>
      </w:pPr>
    </w:p>
    <w:p w14:paraId="0D87E0B5" w14:textId="77777777" w:rsidR="003C2909" w:rsidRDefault="003C2909" w:rsidP="00391863">
      <w:pPr>
        <w:spacing w:line="360" w:lineRule="auto"/>
        <w:jc w:val="both"/>
        <w:rPr>
          <w:lang w:val="en-US"/>
        </w:rPr>
      </w:pPr>
    </w:p>
    <w:p w14:paraId="30C442BE" w14:textId="77777777" w:rsidR="003C2909" w:rsidRDefault="003C2909" w:rsidP="00391863">
      <w:pPr>
        <w:spacing w:line="360" w:lineRule="auto"/>
        <w:jc w:val="both"/>
        <w:rPr>
          <w:lang w:val="en-US"/>
        </w:rPr>
      </w:pPr>
    </w:p>
    <w:p w14:paraId="2C585A3E" w14:textId="77777777" w:rsidR="00B7728A" w:rsidRDefault="00B7728A" w:rsidP="00391863">
      <w:pPr>
        <w:spacing w:line="360" w:lineRule="auto"/>
        <w:jc w:val="both"/>
        <w:rPr>
          <w:lang w:val="en-US"/>
        </w:rPr>
        <w:sectPr w:rsidR="00B7728A" w:rsidSect="004E52C1">
          <w:pgSz w:w="11900" w:h="16840"/>
          <w:pgMar w:top="1418" w:right="1418" w:bottom="1418" w:left="1418" w:header="708" w:footer="708" w:gutter="0"/>
          <w:pgNumType w:fmt="lowerRoman"/>
          <w:cols w:space="708"/>
          <w:titlePg/>
          <w:docGrid w:linePitch="360"/>
        </w:sectPr>
      </w:pPr>
    </w:p>
    <w:p w14:paraId="04A7F492" w14:textId="5C2C58D2" w:rsidR="003C2909" w:rsidRDefault="003C2909" w:rsidP="00391863">
      <w:pPr>
        <w:spacing w:line="360" w:lineRule="auto"/>
        <w:jc w:val="both"/>
        <w:rPr>
          <w:lang w:val="en-US"/>
        </w:rPr>
      </w:pPr>
    </w:p>
    <w:p w14:paraId="2A61782B" w14:textId="77777777" w:rsidR="00E973FE" w:rsidRDefault="00E973FE" w:rsidP="00391863">
      <w:pPr>
        <w:spacing w:line="360" w:lineRule="auto"/>
        <w:jc w:val="both"/>
        <w:rPr>
          <w:lang w:val="en-US"/>
        </w:rPr>
      </w:pPr>
    </w:p>
    <w:p w14:paraId="784BC530" w14:textId="77777777" w:rsidR="00E973FE" w:rsidRDefault="00E973FE" w:rsidP="00391863">
      <w:pPr>
        <w:spacing w:line="360" w:lineRule="auto"/>
        <w:jc w:val="both"/>
        <w:rPr>
          <w:lang w:val="en-US"/>
        </w:rPr>
      </w:pPr>
    </w:p>
    <w:p w14:paraId="0DD8ABCA" w14:textId="77777777" w:rsidR="00E973FE" w:rsidRDefault="00E973FE" w:rsidP="00391863">
      <w:pPr>
        <w:spacing w:line="360" w:lineRule="auto"/>
        <w:jc w:val="both"/>
        <w:rPr>
          <w:lang w:val="en-US"/>
        </w:rPr>
      </w:pPr>
    </w:p>
    <w:p w14:paraId="4C4326D8" w14:textId="77777777" w:rsidR="00E973FE" w:rsidRDefault="00E973FE" w:rsidP="00391863">
      <w:pPr>
        <w:spacing w:line="360" w:lineRule="auto"/>
        <w:jc w:val="both"/>
        <w:rPr>
          <w:lang w:val="en-US"/>
        </w:rPr>
      </w:pPr>
    </w:p>
    <w:p w14:paraId="47360ABA" w14:textId="77777777" w:rsidR="00E973FE" w:rsidRDefault="00E973FE" w:rsidP="00391863">
      <w:pPr>
        <w:spacing w:line="360" w:lineRule="auto"/>
        <w:jc w:val="both"/>
        <w:rPr>
          <w:lang w:val="en-US"/>
        </w:rPr>
      </w:pPr>
    </w:p>
    <w:p w14:paraId="7F466EBD" w14:textId="77777777" w:rsidR="00E973FE" w:rsidRDefault="00E973FE" w:rsidP="00391863">
      <w:pPr>
        <w:spacing w:line="360" w:lineRule="auto"/>
        <w:jc w:val="both"/>
        <w:rPr>
          <w:lang w:val="en-US"/>
        </w:rPr>
      </w:pPr>
    </w:p>
    <w:p w14:paraId="4C133B73" w14:textId="77777777" w:rsidR="00E973FE" w:rsidRDefault="00E973FE" w:rsidP="00391863">
      <w:pPr>
        <w:spacing w:line="360" w:lineRule="auto"/>
        <w:jc w:val="both"/>
        <w:rPr>
          <w:lang w:val="en-US"/>
        </w:rPr>
      </w:pPr>
    </w:p>
    <w:p w14:paraId="18DC8F1C" w14:textId="77777777" w:rsidR="00E973FE" w:rsidRDefault="00E973FE" w:rsidP="00391863">
      <w:pPr>
        <w:spacing w:line="360" w:lineRule="auto"/>
        <w:jc w:val="both"/>
        <w:rPr>
          <w:lang w:val="en-US"/>
        </w:rPr>
      </w:pPr>
    </w:p>
    <w:p w14:paraId="606AE0F7" w14:textId="77777777" w:rsidR="00E973FE" w:rsidRDefault="00E973FE" w:rsidP="00391863">
      <w:pPr>
        <w:spacing w:line="360" w:lineRule="auto"/>
        <w:jc w:val="both"/>
        <w:rPr>
          <w:lang w:val="en-US"/>
        </w:rPr>
      </w:pPr>
    </w:p>
    <w:p w14:paraId="7F453B9E" w14:textId="77777777" w:rsidR="00E973FE" w:rsidRDefault="00E973FE" w:rsidP="00391863">
      <w:pPr>
        <w:spacing w:line="360" w:lineRule="auto"/>
        <w:jc w:val="both"/>
        <w:rPr>
          <w:lang w:val="en-US"/>
        </w:rPr>
      </w:pPr>
    </w:p>
    <w:p w14:paraId="1E0D1F13" w14:textId="77777777" w:rsidR="00E973FE" w:rsidRDefault="00E973FE" w:rsidP="00391863">
      <w:pPr>
        <w:spacing w:line="360" w:lineRule="auto"/>
        <w:jc w:val="both"/>
        <w:rPr>
          <w:lang w:val="en-US"/>
        </w:rPr>
      </w:pPr>
    </w:p>
    <w:p w14:paraId="786DED59" w14:textId="77777777" w:rsidR="00E973FE" w:rsidRDefault="00E973FE" w:rsidP="00391863">
      <w:pPr>
        <w:spacing w:line="360" w:lineRule="auto"/>
        <w:jc w:val="both"/>
        <w:rPr>
          <w:lang w:val="en-US"/>
        </w:rPr>
      </w:pPr>
    </w:p>
    <w:p w14:paraId="2C375A2E" w14:textId="77777777" w:rsidR="00E973FE" w:rsidRDefault="00E973FE" w:rsidP="00391863">
      <w:pPr>
        <w:spacing w:line="360" w:lineRule="auto"/>
        <w:jc w:val="both"/>
        <w:rPr>
          <w:lang w:val="en-US"/>
        </w:rPr>
      </w:pPr>
    </w:p>
    <w:p w14:paraId="628B7173" w14:textId="77777777" w:rsidR="00E973FE" w:rsidRDefault="00E973FE" w:rsidP="00391863">
      <w:pPr>
        <w:spacing w:line="360" w:lineRule="auto"/>
        <w:jc w:val="both"/>
        <w:rPr>
          <w:lang w:val="en-US"/>
        </w:rPr>
      </w:pPr>
    </w:p>
    <w:p w14:paraId="1A8C2158" w14:textId="77777777" w:rsidR="00E973FE" w:rsidRDefault="00E973FE" w:rsidP="00391863">
      <w:pPr>
        <w:spacing w:line="360" w:lineRule="auto"/>
        <w:jc w:val="both"/>
        <w:rPr>
          <w:lang w:val="en-US"/>
        </w:rPr>
      </w:pPr>
    </w:p>
    <w:p w14:paraId="0CE7FB46" w14:textId="77777777" w:rsidR="00E973FE" w:rsidRDefault="00E973FE" w:rsidP="00391863">
      <w:pPr>
        <w:spacing w:line="360" w:lineRule="auto"/>
        <w:jc w:val="both"/>
        <w:rPr>
          <w:lang w:val="en-US"/>
        </w:rPr>
      </w:pPr>
    </w:p>
    <w:p w14:paraId="3A9F58CA" w14:textId="77777777" w:rsidR="00E973FE" w:rsidRDefault="00E973FE" w:rsidP="00391863">
      <w:pPr>
        <w:spacing w:line="360" w:lineRule="auto"/>
        <w:jc w:val="both"/>
        <w:rPr>
          <w:lang w:val="en-US"/>
        </w:rPr>
      </w:pPr>
    </w:p>
    <w:p w14:paraId="0E1E053E" w14:textId="77777777" w:rsidR="00E973FE" w:rsidRDefault="00E973FE" w:rsidP="00391863">
      <w:pPr>
        <w:spacing w:line="360" w:lineRule="auto"/>
        <w:jc w:val="both"/>
        <w:rPr>
          <w:lang w:val="en-US"/>
        </w:rPr>
      </w:pPr>
    </w:p>
    <w:p w14:paraId="30BBD66B" w14:textId="77777777" w:rsidR="00E973FE" w:rsidRDefault="00E973FE" w:rsidP="00391863">
      <w:pPr>
        <w:spacing w:line="360" w:lineRule="auto"/>
        <w:jc w:val="both"/>
        <w:rPr>
          <w:lang w:val="en-US"/>
        </w:rPr>
      </w:pPr>
    </w:p>
    <w:p w14:paraId="311D97DF" w14:textId="77777777" w:rsidR="00E973FE" w:rsidRDefault="00E973FE" w:rsidP="00391863">
      <w:pPr>
        <w:spacing w:line="360" w:lineRule="auto"/>
        <w:jc w:val="both"/>
        <w:rPr>
          <w:lang w:val="en-US"/>
        </w:rPr>
      </w:pPr>
    </w:p>
    <w:p w14:paraId="3A2E88C3" w14:textId="77777777" w:rsidR="00A93FAB" w:rsidRDefault="00A93FAB" w:rsidP="00391863">
      <w:pPr>
        <w:spacing w:line="360" w:lineRule="auto"/>
        <w:jc w:val="both"/>
        <w:rPr>
          <w:lang w:val="en-US"/>
        </w:rPr>
      </w:pPr>
    </w:p>
    <w:p w14:paraId="26416DF1" w14:textId="77777777" w:rsidR="00A93FAB" w:rsidRDefault="00A93FAB" w:rsidP="00391863">
      <w:pPr>
        <w:spacing w:line="360" w:lineRule="auto"/>
        <w:jc w:val="both"/>
        <w:rPr>
          <w:lang w:val="en-US"/>
        </w:rPr>
      </w:pPr>
    </w:p>
    <w:p w14:paraId="69E00413" w14:textId="77777777" w:rsidR="00A93FAB" w:rsidRDefault="00A93FAB" w:rsidP="00391863">
      <w:pPr>
        <w:spacing w:line="360" w:lineRule="auto"/>
        <w:jc w:val="both"/>
        <w:rPr>
          <w:lang w:val="en-US"/>
        </w:rPr>
      </w:pPr>
    </w:p>
    <w:p w14:paraId="0DE85B49" w14:textId="36C90C2E" w:rsidR="007C787E" w:rsidRDefault="007C787E" w:rsidP="007C787E">
      <w:pPr>
        <w:spacing w:line="360" w:lineRule="auto"/>
        <w:jc w:val="right"/>
        <w:rPr>
          <w:i/>
          <w:lang w:val="en-US"/>
        </w:rPr>
      </w:pPr>
      <w:r>
        <w:rPr>
          <w:i/>
          <w:lang w:val="en-US"/>
        </w:rPr>
        <w:t>“</w:t>
      </w:r>
      <w:r w:rsidRPr="007C787E">
        <w:rPr>
          <w:i/>
          <w:lang w:val="en-US"/>
        </w:rPr>
        <w:t>Life doesn’t happen to you, it happens for you.</w:t>
      </w:r>
    </w:p>
    <w:p w14:paraId="7015DE5B" w14:textId="77777777" w:rsidR="007C787E" w:rsidRDefault="007C787E" w:rsidP="007C787E">
      <w:pPr>
        <w:spacing w:line="360" w:lineRule="auto"/>
        <w:jc w:val="right"/>
        <w:rPr>
          <w:i/>
          <w:lang w:val="en-US"/>
        </w:rPr>
      </w:pPr>
      <w:r w:rsidRPr="007C787E">
        <w:rPr>
          <w:i/>
          <w:lang w:val="en-US"/>
        </w:rPr>
        <w:t xml:space="preserve"> How do I know this? </w:t>
      </w:r>
    </w:p>
    <w:p w14:paraId="52238097" w14:textId="12004B70" w:rsidR="007C787E" w:rsidRDefault="007C787E" w:rsidP="007C787E">
      <w:pPr>
        <w:spacing w:line="360" w:lineRule="auto"/>
        <w:jc w:val="right"/>
        <w:rPr>
          <w:i/>
          <w:lang w:val="en-US"/>
        </w:rPr>
      </w:pPr>
      <w:r w:rsidRPr="007C787E">
        <w:rPr>
          <w:i/>
          <w:lang w:val="en-US"/>
        </w:rPr>
        <w:t xml:space="preserve">I don’t, but I’m making sound, and that’s the important thing. </w:t>
      </w:r>
    </w:p>
    <w:p w14:paraId="305ABD43" w14:textId="77777777" w:rsidR="007C787E" w:rsidRDefault="007C787E" w:rsidP="007C787E">
      <w:pPr>
        <w:spacing w:line="360" w:lineRule="auto"/>
        <w:jc w:val="right"/>
        <w:rPr>
          <w:i/>
          <w:lang w:val="en-US"/>
        </w:rPr>
      </w:pPr>
      <w:r w:rsidRPr="007C787E">
        <w:rPr>
          <w:i/>
          <w:lang w:val="en-US"/>
        </w:rPr>
        <w:t>That’s what I’m here to do.</w:t>
      </w:r>
    </w:p>
    <w:p w14:paraId="4F4917CA" w14:textId="77777777" w:rsidR="007C787E" w:rsidRDefault="007C787E" w:rsidP="007C787E">
      <w:pPr>
        <w:spacing w:line="360" w:lineRule="auto"/>
        <w:jc w:val="right"/>
        <w:rPr>
          <w:i/>
          <w:lang w:val="en-US"/>
        </w:rPr>
      </w:pPr>
      <w:r w:rsidRPr="007C787E">
        <w:rPr>
          <w:i/>
          <w:lang w:val="en-US"/>
        </w:rPr>
        <w:t xml:space="preserve"> Sometimes, I think that’s one of the only things that are important. </w:t>
      </w:r>
    </w:p>
    <w:p w14:paraId="3F8C9052" w14:textId="77777777" w:rsidR="007C787E" w:rsidRDefault="007C787E" w:rsidP="007C787E">
      <w:pPr>
        <w:spacing w:line="360" w:lineRule="auto"/>
        <w:jc w:val="right"/>
        <w:rPr>
          <w:i/>
          <w:lang w:val="en-US"/>
        </w:rPr>
      </w:pPr>
      <w:r w:rsidRPr="007C787E">
        <w:rPr>
          <w:i/>
          <w:lang w:val="en-US"/>
        </w:rPr>
        <w:t>Just letting each other know we’re here,</w:t>
      </w:r>
    </w:p>
    <w:p w14:paraId="554907CB" w14:textId="706DB9E3" w:rsidR="00E973FE" w:rsidRDefault="007C787E" w:rsidP="007C787E">
      <w:pPr>
        <w:spacing w:line="360" w:lineRule="auto"/>
        <w:jc w:val="right"/>
        <w:rPr>
          <w:i/>
          <w:lang w:val="en-US"/>
        </w:rPr>
      </w:pPr>
      <w:r w:rsidRPr="007C787E">
        <w:rPr>
          <w:i/>
          <w:lang w:val="en-US"/>
        </w:rPr>
        <w:t xml:space="preserve"> reminding each other that we are part of a larger self</w:t>
      </w:r>
      <w:r>
        <w:rPr>
          <w:i/>
          <w:lang w:val="en-US"/>
        </w:rPr>
        <w:t>”</w:t>
      </w:r>
      <w:r w:rsidRPr="007C787E">
        <w:rPr>
          <w:i/>
          <w:lang w:val="en-US"/>
        </w:rPr>
        <w:t>. </w:t>
      </w:r>
    </w:p>
    <w:p w14:paraId="57E64EE3" w14:textId="4D2190C0" w:rsidR="007C787E" w:rsidRDefault="007C787E" w:rsidP="00E973FE">
      <w:pPr>
        <w:spacing w:line="360" w:lineRule="auto"/>
        <w:jc w:val="right"/>
        <w:rPr>
          <w:i/>
          <w:lang w:val="en-US"/>
        </w:rPr>
      </w:pPr>
    </w:p>
    <w:p w14:paraId="3C8131F3" w14:textId="3ACD4D6F" w:rsidR="007C787E" w:rsidRPr="007C787E" w:rsidRDefault="00896650" w:rsidP="007C787E">
      <w:pPr>
        <w:spacing w:line="360" w:lineRule="auto"/>
        <w:jc w:val="right"/>
        <w:rPr>
          <w:lang w:val="en-US"/>
        </w:rPr>
      </w:pPr>
      <w:r>
        <w:rPr>
          <w:lang w:val="en-US"/>
        </w:rPr>
        <w:t>Jim Carrey’s Speech at the Commencement of</w:t>
      </w:r>
    </w:p>
    <w:p w14:paraId="00885198" w14:textId="4366141D" w:rsidR="007C787E" w:rsidRDefault="007C787E" w:rsidP="007C787E">
      <w:pPr>
        <w:spacing w:line="360" w:lineRule="auto"/>
        <w:jc w:val="right"/>
        <w:rPr>
          <w:lang w:val="en-US"/>
        </w:rPr>
      </w:pPr>
      <w:r w:rsidRPr="007C787E">
        <w:rPr>
          <w:lang w:val="en-US"/>
        </w:rPr>
        <w:t>Maharishi University of Management, May 24th, 2014</w:t>
      </w:r>
    </w:p>
    <w:p w14:paraId="0EC21AC1" w14:textId="77777777" w:rsidR="006D4483" w:rsidRDefault="006D4483" w:rsidP="007C787E">
      <w:pPr>
        <w:spacing w:line="360" w:lineRule="auto"/>
        <w:jc w:val="right"/>
        <w:rPr>
          <w:lang w:val="en-US"/>
        </w:rPr>
      </w:pPr>
    </w:p>
    <w:p w14:paraId="47892239" w14:textId="77777777" w:rsidR="006D4483" w:rsidRDefault="006D4483" w:rsidP="007C787E">
      <w:pPr>
        <w:spacing w:line="360" w:lineRule="auto"/>
        <w:jc w:val="right"/>
        <w:rPr>
          <w:lang w:val="en-US"/>
        </w:rPr>
      </w:pPr>
    </w:p>
    <w:p w14:paraId="72F2C2D0" w14:textId="77777777" w:rsidR="006D4483" w:rsidRDefault="006D4483" w:rsidP="007C787E">
      <w:pPr>
        <w:spacing w:line="360" w:lineRule="auto"/>
        <w:jc w:val="right"/>
        <w:rPr>
          <w:lang w:val="en-US"/>
        </w:rPr>
      </w:pPr>
    </w:p>
    <w:p w14:paraId="6628AB28" w14:textId="77777777" w:rsidR="006D4483" w:rsidRDefault="006D4483" w:rsidP="007C787E">
      <w:pPr>
        <w:spacing w:line="360" w:lineRule="auto"/>
        <w:jc w:val="right"/>
        <w:rPr>
          <w:lang w:val="en-US"/>
        </w:rPr>
      </w:pPr>
    </w:p>
    <w:p w14:paraId="413B18A4" w14:textId="77777777" w:rsidR="006D4483" w:rsidRDefault="006D4483" w:rsidP="007C787E">
      <w:pPr>
        <w:spacing w:line="360" w:lineRule="auto"/>
        <w:jc w:val="right"/>
        <w:rPr>
          <w:lang w:val="en-US"/>
        </w:rPr>
      </w:pPr>
    </w:p>
    <w:p w14:paraId="132D0FC4" w14:textId="77777777" w:rsidR="006D4483" w:rsidRDefault="006D4483" w:rsidP="007C787E">
      <w:pPr>
        <w:spacing w:line="360" w:lineRule="auto"/>
        <w:jc w:val="right"/>
        <w:rPr>
          <w:lang w:val="en-US"/>
        </w:rPr>
      </w:pPr>
    </w:p>
    <w:p w14:paraId="42C290EB" w14:textId="77777777" w:rsidR="006D4483" w:rsidRDefault="006D4483" w:rsidP="007C787E">
      <w:pPr>
        <w:spacing w:line="360" w:lineRule="auto"/>
        <w:jc w:val="right"/>
        <w:rPr>
          <w:lang w:val="en-US"/>
        </w:rPr>
      </w:pPr>
    </w:p>
    <w:p w14:paraId="3D3E627C" w14:textId="77777777" w:rsidR="006D4483" w:rsidRDefault="006D4483" w:rsidP="007C787E">
      <w:pPr>
        <w:spacing w:line="360" w:lineRule="auto"/>
        <w:jc w:val="right"/>
        <w:rPr>
          <w:lang w:val="en-US"/>
        </w:rPr>
      </w:pPr>
    </w:p>
    <w:p w14:paraId="1D550418" w14:textId="77777777" w:rsidR="006D4483" w:rsidRDefault="006D4483" w:rsidP="007C787E">
      <w:pPr>
        <w:spacing w:line="360" w:lineRule="auto"/>
        <w:jc w:val="right"/>
        <w:rPr>
          <w:lang w:val="en-US"/>
        </w:rPr>
      </w:pPr>
    </w:p>
    <w:p w14:paraId="618AC669" w14:textId="77777777" w:rsidR="006D4483" w:rsidRDefault="006D4483" w:rsidP="007C787E">
      <w:pPr>
        <w:spacing w:line="360" w:lineRule="auto"/>
        <w:jc w:val="right"/>
        <w:rPr>
          <w:lang w:val="en-US"/>
        </w:rPr>
      </w:pPr>
    </w:p>
    <w:p w14:paraId="23EAA51B" w14:textId="77777777" w:rsidR="006D4483" w:rsidRDefault="006D4483" w:rsidP="007C787E">
      <w:pPr>
        <w:spacing w:line="360" w:lineRule="auto"/>
        <w:jc w:val="right"/>
        <w:rPr>
          <w:lang w:val="en-US"/>
        </w:rPr>
      </w:pPr>
    </w:p>
    <w:p w14:paraId="7BCCB30E" w14:textId="77777777" w:rsidR="006D4483" w:rsidRDefault="006D4483" w:rsidP="007C787E">
      <w:pPr>
        <w:spacing w:line="360" w:lineRule="auto"/>
        <w:jc w:val="right"/>
        <w:rPr>
          <w:lang w:val="en-US"/>
        </w:rPr>
      </w:pPr>
    </w:p>
    <w:p w14:paraId="76FE0D67" w14:textId="77777777" w:rsidR="006D4483" w:rsidRDefault="006D4483" w:rsidP="007C787E">
      <w:pPr>
        <w:spacing w:line="360" w:lineRule="auto"/>
        <w:jc w:val="right"/>
        <w:rPr>
          <w:lang w:val="en-US"/>
        </w:rPr>
      </w:pPr>
    </w:p>
    <w:p w14:paraId="0B552939" w14:textId="77777777" w:rsidR="006D4483" w:rsidRDefault="006D4483" w:rsidP="007C787E">
      <w:pPr>
        <w:spacing w:line="360" w:lineRule="auto"/>
        <w:jc w:val="right"/>
        <w:rPr>
          <w:lang w:val="en-US"/>
        </w:rPr>
      </w:pPr>
    </w:p>
    <w:p w14:paraId="5D1B2C79" w14:textId="77777777" w:rsidR="006D4483" w:rsidRDefault="006D4483" w:rsidP="007C787E">
      <w:pPr>
        <w:spacing w:line="360" w:lineRule="auto"/>
        <w:jc w:val="right"/>
        <w:rPr>
          <w:lang w:val="en-US"/>
        </w:rPr>
      </w:pPr>
    </w:p>
    <w:p w14:paraId="768603B5" w14:textId="77777777" w:rsidR="006D4483" w:rsidRDefault="006D4483" w:rsidP="007C787E">
      <w:pPr>
        <w:spacing w:line="360" w:lineRule="auto"/>
        <w:jc w:val="right"/>
        <w:rPr>
          <w:lang w:val="en-US"/>
        </w:rPr>
      </w:pPr>
    </w:p>
    <w:p w14:paraId="0E492A39" w14:textId="77777777" w:rsidR="006D4483" w:rsidRDefault="006D4483" w:rsidP="007C787E">
      <w:pPr>
        <w:spacing w:line="360" w:lineRule="auto"/>
        <w:jc w:val="right"/>
        <w:rPr>
          <w:lang w:val="en-US"/>
        </w:rPr>
      </w:pPr>
    </w:p>
    <w:p w14:paraId="27E57CBD" w14:textId="77777777" w:rsidR="006D4483" w:rsidRDefault="006D4483" w:rsidP="007C787E">
      <w:pPr>
        <w:spacing w:line="360" w:lineRule="auto"/>
        <w:jc w:val="right"/>
        <w:rPr>
          <w:lang w:val="en-US"/>
        </w:rPr>
      </w:pPr>
    </w:p>
    <w:p w14:paraId="29EF22B2" w14:textId="77777777" w:rsidR="006D4483" w:rsidRDefault="006D4483" w:rsidP="007C787E">
      <w:pPr>
        <w:spacing w:line="360" w:lineRule="auto"/>
        <w:jc w:val="right"/>
        <w:rPr>
          <w:lang w:val="en-US"/>
        </w:rPr>
      </w:pPr>
    </w:p>
    <w:p w14:paraId="5612DDCE" w14:textId="77777777" w:rsidR="006D4483" w:rsidRDefault="006D4483" w:rsidP="007C787E">
      <w:pPr>
        <w:spacing w:line="360" w:lineRule="auto"/>
        <w:jc w:val="right"/>
        <w:rPr>
          <w:lang w:val="en-US"/>
        </w:rPr>
      </w:pPr>
    </w:p>
    <w:p w14:paraId="2CD40B31" w14:textId="77777777" w:rsidR="006D4483" w:rsidRDefault="006D4483" w:rsidP="007C787E">
      <w:pPr>
        <w:spacing w:line="360" w:lineRule="auto"/>
        <w:jc w:val="right"/>
        <w:rPr>
          <w:lang w:val="en-US"/>
        </w:rPr>
      </w:pPr>
    </w:p>
    <w:p w14:paraId="5DBE2B18" w14:textId="77777777" w:rsidR="006D4483" w:rsidRDefault="006D4483" w:rsidP="007C787E">
      <w:pPr>
        <w:spacing w:line="360" w:lineRule="auto"/>
        <w:jc w:val="right"/>
        <w:rPr>
          <w:lang w:val="en-US"/>
        </w:rPr>
      </w:pPr>
    </w:p>
    <w:p w14:paraId="63881ED1" w14:textId="77777777" w:rsidR="006D4483" w:rsidRDefault="006D4483" w:rsidP="007C787E">
      <w:pPr>
        <w:spacing w:line="360" w:lineRule="auto"/>
        <w:jc w:val="right"/>
        <w:rPr>
          <w:lang w:val="en-US"/>
        </w:rPr>
      </w:pPr>
    </w:p>
    <w:p w14:paraId="781335BA" w14:textId="77777777" w:rsidR="006D4483" w:rsidRDefault="006D4483" w:rsidP="007C787E">
      <w:pPr>
        <w:spacing w:line="360" w:lineRule="auto"/>
        <w:jc w:val="right"/>
        <w:rPr>
          <w:lang w:val="en-US"/>
        </w:rPr>
      </w:pPr>
    </w:p>
    <w:p w14:paraId="14011FCD" w14:textId="77777777" w:rsidR="006D4483" w:rsidRDefault="006D4483" w:rsidP="007C787E">
      <w:pPr>
        <w:spacing w:line="360" w:lineRule="auto"/>
        <w:jc w:val="right"/>
        <w:rPr>
          <w:lang w:val="en-US"/>
        </w:rPr>
      </w:pPr>
    </w:p>
    <w:p w14:paraId="0A2DBF70" w14:textId="77777777" w:rsidR="006D4483" w:rsidRDefault="006D4483" w:rsidP="007C787E">
      <w:pPr>
        <w:spacing w:line="360" w:lineRule="auto"/>
        <w:jc w:val="right"/>
        <w:rPr>
          <w:lang w:val="en-US"/>
        </w:rPr>
      </w:pPr>
    </w:p>
    <w:p w14:paraId="1815D580" w14:textId="77777777" w:rsidR="006D4483" w:rsidRDefault="006D4483" w:rsidP="007C787E">
      <w:pPr>
        <w:spacing w:line="360" w:lineRule="auto"/>
        <w:jc w:val="right"/>
        <w:rPr>
          <w:lang w:val="en-US"/>
        </w:rPr>
      </w:pPr>
    </w:p>
    <w:p w14:paraId="18AC509E" w14:textId="77777777" w:rsidR="006D4483" w:rsidRDefault="006D4483" w:rsidP="007C787E">
      <w:pPr>
        <w:spacing w:line="360" w:lineRule="auto"/>
        <w:jc w:val="right"/>
        <w:rPr>
          <w:lang w:val="en-US"/>
        </w:rPr>
      </w:pPr>
    </w:p>
    <w:p w14:paraId="259D6AF5" w14:textId="77777777" w:rsidR="006D4483" w:rsidRDefault="006D4483" w:rsidP="007C787E">
      <w:pPr>
        <w:spacing w:line="360" w:lineRule="auto"/>
        <w:jc w:val="right"/>
        <w:rPr>
          <w:lang w:val="en-US"/>
        </w:rPr>
      </w:pPr>
    </w:p>
    <w:p w14:paraId="231CFD44" w14:textId="77777777" w:rsidR="006D4483" w:rsidRDefault="006D4483" w:rsidP="007C787E">
      <w:pPr>
        <w:spacing w:line="360" w:lineRule="auto"/>
        <w:jc w:val="right"/>
        <w:rPr>
          <w:lang w:val="en-US"/>
        </w:rPr>
      </w:pPr>
    </w:p>
    <w:p w14:paraId="2A2CDF63" w14:textId="77777777" w:rsidR="006D4483" w:rsidRDefault="006D4483" w:rsidP="007C787E">
      <w:pPr>
        <w:spacing w:line="360" w:lineRule="auto"/>
        <w:jc w:val="right"/>
        <w:rPr>
          <w:lang w:val="en-US"/>
        </w:rPr>
      </w:pPr>
    </w:p>
    <w:p w14:paraId="1682AFF6" w14:textId="77777777" w:rsidR="006D4483" w:rsidRDefault="006D4483" w:rsidP="007C787E">
      <w:pPr>
        <w:spacing w:line="360" w:lineRule="auto"/>
        <w:jc w:val="right"/>
        <w:rPr>
          <w:lang w:val="en-US"/>
        </w:rPr>
      </w:pPr>
    </w:p>
    <w:p w14:paraId="2EA51F6C" w14:textId="77777777" w:rsidR="006D4483" w:rsidRDefault="006D4483" w:rsidP="007C787E">
      <w:pPr>
        <w:spacing w:line="360" w:lineRule="auto"/>
        <w:jc w:val="right"/>
        <w:rPr>
          <w:lang w:val="en-US"/>
        </w:rPr>
      </w:pPr>
    </w:p>
    <w:p w14:paraId="78A75CA6" w14:textId="77777777" w:rsidR="008F0ECD" w:rsidRDefault="008F0ECD" w:rsidP="008F0ECD">
      <w:pPr>
        <w:spacing w:line="480" w:lineRule="auto"/>
        <w:rPr>
          <w:lang w:val="en-US"/>
        </w:rPr>
      </w:pPr>
    </w:p>
    <w:p w14:paraId="2BD932DB" w14:textId="02A7624D" w:rsidR="006D4483" w:rsidRPr="00740B0F" w:rsidRDefault="00740B0F" w:rsidP="008F0ECD">
      <w:pPr>
        <w:spacing w:line="480" w:lineRule="auto"/>
        <w:jc w:val="center"/>
        <w:rPr>
          <w:b/>
          <w:sz w:val="28"/>
          <w:szCs w:val="28"/>
          <w:lang w:val="en-US"/>
        </w:rPr>
      </w:pPr>
      <w:r w:rsidRPr="00740B0F">
        <w:rPr>
          <w:b/>
          <w:sz w:val="28"/>
          <w:szCs w:val="28"/>
          <w:lang w:val="en-US"/>
        </w:rPr>
        <w:t>Chapter 1</w:t>
      </w:r>
    </w:p>
    <w:p w14:paraId="088C1FAA" w14:textId="6A72D785" w:rsidR="00740B0F" w:rsidRDefault="00740B0F" w:rsidP="006D4483">
      <w:pPr>
        <w:spacing w:line="480" w:lineRule="auto"/>
        <w:jc w:val="center"/>
        <w:rPr>
          <w:b/>
          <w:sz w:val="28"/>
          <w:szCs w:val="28"/>
          <w:lang w:val="en-US"/>
        </w:rPr>
      </w:pPr>
      <w:r w:rsidRPr="00740B0F">
        <w:rPr>
          <w:b/>
          <w:sz w:val="28"/>
          <w:szCs w:val="28"/>
          <w:lang w:val="en-US"/>
        </w:rPr>
        <w:t>Introduction</w:t>
      </w:r>
    </w:p>
    <w:p w14:paraId="3AAE3CC7" w14:textId="77777777" w:rsidR="00BE5A8B" w:rsidRPr="00037C36" w:rsidRDefault="00BE5A8B" w:rsidP="00BE5A8B">
      <w:pPr>
        <w:pStyle w:val="Paragrafoelenco"/>
        <w:widowControl/>
        <w:numPr>
          <w:ilvl w:val="1"/>
          <w:numId w:val="6"/>
        </w:numPr>
        <w:suppressAutoHyphens w:val="0"/>
        <w:spacing w:after="120" w:line="480" w:lineRule="auto"/>
        <w:jc w:val="both"/>
        <w:rPr>
          <w:rFonts w:cs="Times New Roman"/>
          <w:b/>
          <w:lang w:val="en-US"/>
        </w:rPr>
      </w:pPr>
      <w:r w:rsidRPr="00037C36">
        <w:rPr>
          <w:rFonts w:cs="Times New Roman"/>
          <w:b/>
          <w:lang w:val="en-US"/>
        </w:rPr>
        <w:t>Contents and main objectives of the enquiry</w:t>
      </w:r>
    </w:p>
    <w:p w14:paraId="495E6FE4" w14:textId="0B2FB2CC" w:rsidR="00BE5A8B" w:rsidRDefault="00BE5A8B" w:rsidP="00BE5A8B">
      <w:pPr>
        <w:spacing w:line="480" w:lineRule="auto"/>
        <w:jc w:val="both"/>
        <w:rPr>
          <w:rFonts w:cs="Times New Roman"/>
          <w:lang w:val="en-US"/>
        </w:rPr>
      </w:pPr>
      <w:r>
        <w:rPr>
          <w:rFonts w:cs="Times New Roman"/>
          <w:lang w:val="en-US"/>
        </w:rPr>
        <w:t>Italian public universities have been facing several changes during the last years: from one perspective, some reforms, introduced through different steps starting for the ‘80s, have completely transformed the organizational, regulatory, accounting and financial aspects; from another perspective the recent economic crisis, started in 2008 and later called the Big Recession, have lead to a dramatic reduction of governmental financial support, even more based on a p</w:t>
      </w:r>
      <w:r w:rsidR="00D33FAF">
        <w:rPr>
          <w:rFonts w:cs="Times New Roman"/>
          <w:lang w:val="en-US"/>
        </w:rPr>
        <w:t>erformance-based funding system</w:t>
      </w:r>
      <w:r>
        <w:rPr>
          <w:rFonts w:cs="Times New Roman"/>
          <w:lang w:val="en-US"/>
        </w:rPr>
        <w:t xml:space="preserve"> (Donina et al., 2015). This situation has brought the university to seek alternative forms of funding in order to guarantee the delivery of their services. Moreover, the organizational structure of the universities has been developed over time, becoming even more complex. In fact, universities are considered as multi-products’ organizations, since their outputs are linked to their “cultural” mission. According to Strassoldo (2001), universities are public entities, whose mission is producing intangible goods relating to teaching and research. Hence, these products cannot be sold, being produced by public inputs and resources, with all issues linked to these characteristics. In order </w:t>
      </w:r>
      <w:r w:rsidR="00D33FAF">
        <w:rPr>
          <w:rFonts w:cs="Times New Roman"/>
          <w:lang w:val="en-US"/>
        </w:rPr>
        <w:t xml:space="preserve">to </w:t>
      </w:r>
      <w:r>
        <w:rPr>
          <w:rFonts w:cs="Times New Roman"/>
          <w:lang w:val="en-US"/>
        </w:rPr>
        <w:t>manage these inputs, universities must design a control system to guarantee the administrative, accounting, evaluation, management and strategic regularity. A good control system needs a clear strategy, which leads to define university’s objectives.</w:t>
      </w:r>
    </w:p>
    <w:p w14:paraId="46F75040" w14:textId="60A9CD9B" w:rsidR="00BE5A8B" w:rsidRDefault="00BE5A8B" w:rsidP="00BE5A8B">
      <w:pPr>
        <w:spacing w:line="480" w:lineRule="auto"/>
        <w:jc w:val="both"/>
        <w:rPr>
          <w:rFonts w:cs="Times New Roman"/>
          <w:lang w:val="en-US"/>
        </w:rPr>
      </w:pPr>
      <w:r>
        <w:rPr>
          <w:rFonts w:cs="Times New Roman"/>
          <w:lang w:val="en-US"/>
        </w:rPr>
        <w:t>Taking into consideration the reforms’ perspective, the Law n. 168 (1989) defined universities not as governmental authorities or agencies, but as autonomous entities from teaching, scientific, organizational, financial and accounting point of view. In fact, they are endowed with their own regulation and statutes. Furthermore, this law established the concrete application of some principles stated in Article n. 33 of the Italian Constitution: “Art and Science are free and even their teaching is free”. This statement highlights the importance of cultural values’ freedom, which is guaranteed by the government, even if the latter is neutral. In fact, government</w:t>
      </w:r>
      <w:r w:rsidR="00CE166D">
        <w:rPr>
          <w:rFonts w:cs="Times New Roman"/>
          <w:lang w:val="en-US"/>
        </w:rPr>
        <w:t>,</w:t>
      </w:r>
      <w:r>
        <w:rPr>
          <w:rFonts w:cs="Times New Roman"/>
          <w:lang w:val="en-US"/>
        </w:rPr>
        <w:t xml:space="preserve"> through its organizational tool</w:t>
      </w:r>
      <w:r w:rsidR="00CE166D">
        <w:rPr>
          <w:rFonts w:cs="Times New Roman"/>
          <w:lang w:val="en-US"/>
        </w:rPr>
        <w:t>s, provides structures and equipment, enabling universities</w:t>
      </w:r>
      <w:r>
        <w:rPr>
          <w:rFonts w:cs="Times New Roman"/>
          <w:lang w:val="en-US"/>
        </w:rPr>
        <w:t xml:space="preserve"> to promote teaching and cultural development using their own organization, without any influences by the State. Hence, universities are defined as communities of people that carry out research and teaching activities in order to satisfy society’s interests by providing an education service. Besides, the Law n. 168 describes universities as legal entities that have</w:t>
      </w:r>
      <w:r w:rsidR="00602775">
        <w:rPr>
          <w:rFonts w:cs="Times New Roman"/>
          <w:lang w:val="en-US"/>
        </w:rPr>
        <w:t>,</w:t>
      </w:r>
      <w:r>
        <w:rPr>
          <w:rFonts w:cs="Times New Roman"/>
          <w:lang w:val="en-US"/>
        </w:rPr>
        <w:t xml:space="preserve"> as main objective</w:t>
      </w:r>
      <w:r w:rsidR="00602775">
        <w:rPr>
          <w:rFonts w:cs="Times New Roman"/>
          <w:lang w:val="en-US"/>
        </w:rPr>
        <w:t>,</w:t>
      </w:r>
      <w:r>
        <w:rPr>
          <w:rFonts w:cs="Times New Roman"/>
          <w:lang w:val="en-US"/>
        </w:rPr>
        <w:t xml:space="preserve"> to reach their mission. Therefore, autonomy means “functional autonomy” devoted to realize other principles as research and teaching freedom of professors and researchers, who are members of the university organization. In fact, autonomy is defined not only as the capability to state objectives to reach, but also as the ability to arrange methodologies to follow and process</w:t>
      </w:r>
      <w:r w:rsidR="006646EB">
        <w:rPr>
          <w:rFonts w:cs="Times New Roman"/>
          <w:lang w:val="en-US"/>
        </w:rPr>
        <w:t>es</w:t>
      </w:r>
      <w:r>
        <w:rPr>
          <w:rFonts w:cs="Times New Roman"/>
          <w:lang w:val="en-US"/>
        </w:rPr>
        <w:t xml:space="preserve"> to develop in order to achieve the organization’s objectives in an effective way (Catturi &amp; Mussari, 2003). Obviously, these objectives must be consistent with the resources available for the universities. </w:t>
      </w:r>
    </w:p>
    <w:p w14:paraId="18CE7999" w14:textId="0CCDD3FA" w:rsidR="00BE5A8B" w:rsidRDefault="00BE5A8B" w:rsidP="00BE5A8B">
      <w:pPr>
        <w:spacing w:line="480" w:lineRule="auto"/>
        <w:jc w:val="both"/>
        <w:rPr>
          <w:rFonts w:cs="Times New Roman"/>
          <w:lang w:val="en-US"/>
        </w:rPr>
      </w:pPr>
      <w:r>
        <w:rPr>
          <w:rFonts w:cs="Times New Roman"/>
          <w:lang w:val="en-US"/>
        </w:rPr>
        <w:t>Then, the Law n. 168 introduced the normative autonomy, according to which the statute becomes a crucial tool. In fact, it disciplines the main aspects relating to the internal system and to the universities’ activities. It lets the universities organize themselves autonomously according to the model established for public entities and private organizations. The statute is approved by the Academic Senate integrated by: departments’ representatives, a full and an associate professor, researchers’ and assistant professors’ representatives, students’ and administrative staff’s representatives. Then, it is sent to the Ministry of Education, University and Research (MIUR), which examines it from the legal point of view. Then it is finally approved by the university’s president and published. Furthermore, the Law defines the main statute’s contents, in order to regulate the university’s organization efficiently. These contents are the following: rules for the president’s election; rules relating to the teaching activities; rules regarding organizational criteria that guarantee services’ eff</w:t>
      </w:r>
      <w:r w:rsidR="00B062B9">
        <w:rPr>
          <w:rFonts w:cs="Times New Roman"/>
          <w:lang w:val="en-US"/>
        </w:rPr>
        <w:t>iciency and state the executive</w:t>
      </w:r>
      <w:r>
        <w:rPr>
          <w:rFonts w:cs="Times New Roman"/>
          <w:lang w:val="en-US"/>
        </w:rPr>
        <w:t xml:space="preserve"> officers responsibilities; rules for the legal framework of professors, assistant professors and researchers. Besides, the statute reflects the university’s characteristics and traditions, linked to the university’s history, geogr</w:t>
      </w:r>
      <w:r w:rsidR="00B062B9">
        <w:rPr>
          <w:rFonts w:cs="Times New Roman"/>
          <w:lang w:val="en-US"/>
        </w:rPr>
        <w:t>aphical locations and excellent</w:t>
      </w:r>
      <w:r>
        <w:rPr>
          <w:rFonts w:cs="Times New Roman"/>
          <w:lang w:val="en-US"/>
        </w:rPr>
        <w:t xml:space="preserve"> research and teaching areas. Hence, statutes are different from a university to another from the dimensional point of view, allowing them to express themselves and their value in the statute, following the legal statute framework (Bifulco &amp; Rosselli, 2013). In fact, the main objective of each university is to satisfy the market needs, mainly represented by students, in its entire teaching sectors, through its internal organization. </w:t>
      </w:r>
    </w:p>
    <w:p w14:paraId="441BADF6" w14:textId="73368431" w:rsidR="00BE5A8B" w:rsidRPr="0002245D" w:rsidRDefault="00BE5A8B" w:rsidP="00BE5A8B">
      <w:pPr>
        <w:spacing w:line="480" w:lineRule="auto"/>
        <w:jc w:val="both"/>
        <w:rPr>
          <w:rFonts w:cs="Times New Roman"/>
          <w:lang w:val="en-US"/>
        </w:rPr>
      </w:pPr>
      <w:r>
        <w:rPr>
          <w:rFonts w:cs="Times New Roman"/>
          <w:lang w:val="en-US"/>
        </w:rPr>
        <w:t>Autonomy does not</w:t>
      </w:r>
      <w:r w:rsidR="00B062B9">
        <w:rPr>
          <w:rFonts w:cs="Times New Roman"/>
          <w:lang w:val="en-US"/>
        </w:rPr>
        <w:t xml:space="preserve"> include only the normative one</w:t>
      </w:r>
      <w:r>
        <w:rPr>
          <w:rFonts w:cs="Times New Roman"/>
          <w:lang w:val="en-US"/>
        </w:rPr>
        <w:t>, but also teaching and research autonomy. The former concern</w:t>
      </w:r>
      <w:r w:rsidR="002819C3">
        <w:rPr>
          <w:rFonts w:cs="Times New Roman"/>
          <w:lang w:val="en-US"/>
        </w:rPr>
        <w:t>s</w:t>
      </w:r>
      <w:r>
        <w:rPr>
          <w:rFonts w:cs="Times New Roman"/>
          <w:lang w:val="en-US"/>
        </w:rPr>
        <w:t xml:space="preserve"> the possibility for each university to establish its own teaching rules, respecting the teaching freedom of professors and stating a fitting regulation for releasing degrees and other qualifications. Then, the last aspect linked to the university’s autonomy relates to financial and accounting autonomy. The Law n. 168 states that universities’ revenues are: governmental transfers; mandatory contributions according to current regulations; autonomous forms of funding, as voluntary contributions, revenues from commercial activities, incomes, revenues from the assets’ selling activities, </w:t>
      </w:r>
      <w:r w:rsidRPr="0002245D">
        <w:rPr>
          <w:rFonts w:cs="Times New Roman"/>
          <w:lang w:val="en"/>
        </w:rPr>
        <w:t>donation</w:t>
      </w:r>
      <w:r>
        <w:rPr>
          <w:rFonts w:cs="Times New Roman"/>
          <w:lang w:val="en"/>
        </w:rPr>
        <w:t>s and fees from</w:t>
      </w:r>
      <w:r w:rsidRPr="0002245D">
        <w:rPr>
          <w:rFonts w:cs="Times New Roman"/>
          <w:lang w:val="en"/>
        </w:rPr>
        <w:t xml:space="preserve"> contracts and agreements</w:t>
      </w:r>
      <w:r>
        <w:rPr>
          <w:rFonts w:cs="Times New Roman"/>
          <w:lang w:val="en"/>
        </w:rPr>
        <w:t xml:space="preserve">. </w:t>
      </w:r>
      <w:r w:rsidRPr="0002245D">
        <w:rPr>
          <w:rFonts w:cs="Times New Roman"/>
          <w:lang w:val="en-US"/>
        </w:rPr>
        <w:t>Moreover, universities are allowed ad</w:t>
      </w:r>
      <w:r>
        <w:rPr>
          <w:rFonts w:cs="Times New Roman"/>
          <w:lang w:val="en-US"/>
        </w:rPr>
        <w:t>o</w:t>
      </w:r>
      <w:r w:rsidRPr="0002245D">
        <w:rPr>
          <w:rFonts w:cs="Times New Roman"/>
          <w:lang w:val="en-US"/>
        </w:rPr>
        <w:t xml:space="preserve">pting their own regulations for administration, finance and accounting, also </w:t>
      </w:r>
      <w:r w:rsidRPr="0002245D">
        <w:rPr>
          <w:rFonts w:cs="Times New Roman"/>
          <w:bCs/>
          <w:lang w:val="en-US"/>
        </w:rPr>
        <w:t>notwithstanding</w:t>
      </w:r>
      <w:r w:rsidRPr="0002245D">
        <w:rPr>
          <w:rFonts w:cs="Times New Roman"/>
          <w:lang w:val="en-US"/>
        </w:rPr>
        <w:t xml:space="preserve"> the laws and regulations tha</w:t>
      </w:r>
      <w:r>
        <w:rPr>
          <w:rFonts w:cs="Times New Roman"/>
          <w:lang w:val="en-US"/>
        </w:rPr>
        <w:t>t are incompatible with these regulations, but</w:t>
      </w:r>
      <w:r w:rsidRPr="0002245D">
        <w:rPr>
          <w:rFonts w:cs="Times New Roman"/>
          <w:lang w:val="en-US"/>
        </w:rPr>
        <w:t xml:space="preserve"> respecting the principles of universality</w:t>
      </w:r>
      <w:r>
        <w:rPr>
          <w:rFonts w:cs="Times New Roman"/>
          <w:lang w:val="en-US"/>
        </w:rPr>
        <w:t>, integrity and publicity of the financial statements</w:t>
      </w:r>
      <w:r w:rsidRPr="0002245D">
        <w:rPr>
          <w:rFonts w:cs="Times New Roman"/>
          <w:lang w:val="en-US"/>
        </w:rPr>
        <w:t>.</w:t>
      </w:r>
      <w:r>
        <w:rPr>
          <w:rFonts w:cs="Times New Roman"/>
          <w:lang w:val="en-US"/>
        </w:rPr>
        <w:t xml:space="preserve"> Furthermore, these regulations discipline management criteria, in addition to financial and administrative procedures, in order to guarantee effectiveness and efficiency in the spending process</w:t>
      </w:r>
      <w:r w:rsidR="009940E7">
        <w:rPr>
          <w:rFonts w:cs="Times New Roman"/>
          <w:lang w:val="en-US"/>
        </w:rPr>
        <w:t xml:space="preserve"> </w:t>
      </w:r>
      <w:r>
        <w:rPr>
          <w:rFonts w:cs="Times New Roman"/>
          <w:lang w:val="en-US"/>
        </w:rPr>
        <w:t xml:space="preserve">and financial equilibrium of the financial statements. </w:t>
      </w:r>
    </w:p>
    <w:p w14:paraId="74ED85DD" w14:textId="77777777" w:rsidR="00BE5A8B" w:rsidRDefault="00BE5A8B" w:rsidP="00BE5A8B">
      <w:pPr>
        <w:spacing w:line="480" w:lineRule="auto"/>
        <w:jc w:val="both"/>
        <w:rPr>
          <w:rFonts w:cs="Times New Roman"/>
          <w:lang w:val="en-US"/>
        </w:rPr>
      </w:pPr>
      <w:r>
        <w:rPr>
          <w:rFonts w:cs="Times New Roman"/>
          <w:lang w:val="en-US"/>
        </w:rPr>
        <w:t xml:space="preserve">Financial autonomy is enlarged by the Law n. 537 (1993), which states that strategic objectives must be determined on three levels: at first level the main strategic direction is defined trough multi-year guidelines; at the second level, short-time general objectives relating to the quality, effectiveness and efficiency development of outputs are described; at the third level there are management objectives, summarized as outputs’ indicators that must refer to the measurement object in a consistent manner. In fact, as previously stated, universities can design a control system whose aim is the evaluation of the performance from several points of view. </w:t>
      </w:r>
    </w:p>
    <w:p w14:paraId="573564C6" w14:textId="5DD54C2C" w:rsidR="00BE5A8B" w:rsidRPr="00EB1C88" w:rsidRDefault="00BE5A8B" w:rsidP="00BE5A8B">
      <w:pPr>
        <w:spacing w:line="480" w:lineRule="auto"/>
        <w:jc w:val="both"/>
        <w:rPr>
          <w:rFonts w:cs="Times New Roman"/>
          <w:lang w:val="en-US"/>
        </w:rPr>
      </w:pPr>
      <w:r w:rsidRPr="00EB1C88">
        <w:rPr>
          <w:rFonts w:cs="Times New Roman"/>
          <w:lang w:val="en-US"/>
        </w:rPr>
        <w:t>Moreover, Law n. 537</w:t>
      </w:r>
      <w:r>
        <w:rPr>
          <w:rFonts w:cs="Times New Roman"/>
          <w:lang w:val="en-US"/>
        </w:rPr>
        <w:t xml:space="preserve"> (1993)</w:t>
      </w:r>
      <w:r w:rsidRPr="00EB1C88">
        <w:rPr>
          <w:rFonts w:cs="Times New Roman"/>
          <w:lang w:val="en-US"/>
        </w:rPr>
        <w:t xml:space="preserve"> has introduced: the ordinary financing fund (Fondo di Finanziamento Ordinario – FFO); university buildings and large scientific equipment fund (</w:t>
      </w:r>
      <w:r w:rsidRPr="00EB1C88">
        <w:rPr>
          <w:rFonts w:cs="Times New Roman"/>
          <w:iCs/>
          <w:lang w:val="en-US"/>
        </w:rPr>
        <w:t>Fondo per l’edilizia universitaria e per le grandi attrezzature scientifiche</w:t>
      </w:r>
      <w:r w:rsidRPr="00EB1C88">
        <w:rPr>
          <w:rFonts w:cs="Times New Roman"/>
          <w:lang w:val="en-US"/>
        </w:rPr>
        <w:t>); university system’s development planning fund (</w:t>
      </w:r>
      <w:r w:rsidRPr="00EB1C88">
        <w:rPr>
          <w:rFonts w:cs="Times New Roman"/>
          <w:iCs/>
          <w:lang w:val="en-US"/>
        </w:rPr>
        <w:t>Fondo per la programmazione dello sviluppo del sistema universitario). The ordinary fina</w:t>
      </w:r>
      <w:r>
        <w:rPr>
          <w:rFonts w:cs="Times New Roman"/>
          <w:iCs/>
          <w:lang w:val="en-US"/>
        </w:rPr>
        <w:t xml:space="preserve">ncing fund has unified different expenses’ channels through which funding was given till 1993, including expenses relating to professors, researchers and administrative staff remunerations, to ordinary maintenance of universities building, whereas excluding expenses regarding national research project and activities linked to universities’ sport equipment. Hence, the introduction of the </w:t>
      </w:r>
      <w:r w:rsidRPr="00EB1C88">
        <w:rPr>
          <w:rFonts w:cs="Times New Roman"/>
          <w:lang w:val="en-US"/>
        </w:rPr>
        <w:t>ordinary financing fund</w:t>
      </w:r>
      <w:r>
        <w:rPr>
          <w:rFonts w:cs="Times New Roman"/>
          <w:lang w:val="en-US"/>
        </w:rPr>
        <w:t xml:space="preserve"> has increased the autonomy degree of the universities, especially referring to the human and financial resources. Then, Law n. 537 has introduced the “evaluation unit”</w:t>
      </w:r>
      <w:r w:rsidR="002123C0">
        <w:rPr>
          <w:rFonts w:cs="Times New Roman"/>
          <w:lang w:val="en-US"/>
        </w:rPr>
        <w:t>,</w:t>
      </w:r>
      <w:r>
        <w:rPr>
          <w:rFonts w:cs="Times New Roman"/>
          <w:lang w:val="en-US"/>
        </w:rPr>
        <w:t xml:space="preserve"> whose main task is to verify the correct management of public resources, the administrative activities’ performance and the teaching and research productivity, comparing costs and outputs. These analyses are sent to the MIUR, the University’s Council, the Rectors Conference, the local Committees of public administration and to the permanent Observatory, established by Law</w:t>
      </w:r>
      <w:r w:rsidR="002123C0">
        <w:rPr>
          <w:rFonts w:cs="Times New Roman"/>
          <w:lang w:val="en-US"/>
        </w:rPr>
        <w:t xml:space="preserve"> n. 168 (1989). The latter deals</w:t>
      </w:r>
      <w:r>
        <w:rPr>
          <w:rFonts w:cs="Times New Roman"/>
          <w:lang w:val="en-US"/>
        </w:rPr>
        <w:t xml:space="preserve"> with the examination of the aforementioned analyses (sent by the evaluation unit) in order to balance the university’s system and distribute the resources. </w:t>
      </w:r>
    </w:p>
    <w:p w14:paraId="3667D294" w14:textId="3F7A544B" w:rsidR="00BE5A8B" w:rsidRDefault="00BE5A8B" w:rsidP="00BE5A8B">
      <w:pPr>
        <w:spacing w:line="480" w:lineRule="auto"/>
        <w:jc w:val="both"/>
        <w:rPr>
          <w:rFonts w:cs="Times New Roman"/>
          <w:lang w:val="en-US"/>
        </w:rPr>
      </w:pPr>
      <w:r>
        <w:rPr>
          <w:rFonts w:cs="Times New Roman"/>
          <w:lang w:val="en-US"/>
        </w:rPr>
        <w:t>The Law n. 537 (1993) has allowed overcoming public resources’ allocation method linked to the historical costs, being thus one of the main sources of revenue for the universities. In fact, a new financing rule was introduced, according to which a unique budget was assigned to each university, whereas, previously, there were several funding channels</w:t>
      </w:r>
      <w:r w:rsidR="00976E24">
        <w:rPr>
          <w:rFonts w:cs="Times New Roman"/>
          <w:lang w:val="en-US"/>
        </w:rPr>
        <w:t>,</w:t>
      </w:r>
      <w:r>
        <w:rPr>
          <w:rFonts w:cs="Times New Roman"/>
          <w:lang w:val="en-US"/>
        </w:rPr>
        <w:t xml:space="preserve"> different from each other</w:t>
      </w:r>
      <w:r w:rsidR="00976E24">
        <w:rPr>
          <w:rFonts w:cs="Times New Roman"/>
          <w:lang w:val="en-US"/>
        </w:rPr>
        <w:t>,</w:t>
      </w:r>
      <w:r>
        <w:rPr>
          <w:rFonts w:cs="Times New Roman"/>
          <w:lang w:val="en-US"/>
        </w:rPr>
        <w:t xml:space="preserve"> according to their destinations. Furthermore, this law has introduced some incentives mechanisms</w:t>
      </w:r>
      <w:r w:rsidR="00976E24">
        <w:rPr>
          <w:rFonts w:cs="Times New Roman"/>
          <w:lang w:val="en-US"/>
        </w:rPr>
        <w:t>,</w:t>
      </w:r>
      <w:r>
        <w:rPr>
          <w:rFonts w:cs="Times New Roman"/>
          <w:lang w:val="en-US"/>
        </w:rPr>
        <w:t xml:space="preserve"> with the aim to assign resources according to such results consistent with the university’s system objectives. Therefore, the</w:t>
      </w:r>
      <w:r w:rsidRPr="00EB1C88">
        <w:rPr>
          <w:rFonts w:cs="Times New Roman"/>
          <w:lang w:val="en-US"/>
        </w:rPr>
        <w:t xml:space="preserve"> ordinary financing fund</w:t>
      </w:r>
      <w:r>
        <w:rPr>
          <w:rFonts w:cs="Times New Roman"/>
          <w:lang w:val="en-US"/>
        </w:rPr>
        <w:t xml:space="preserve"> consists in two different percentages: the “basic percentage” and the “balance percentage”. </w:t>
      </w:r>
    </w:p>
    <w:p w14:paraId="480638A7" w14:textId="7D2E8BD9" w:rsidR="00BE5A8B" w:rsidRDefault="00BE5A8B" w:rsidP="00BE5A8B">
      <w:pPr>
        <w:spacing w:line="480" w:lineRule="auto"/>
        <w:jc w:val="both"/>
        <w:rPr>
          <w:rFonts w:cs="Times New Roman"/>
          <w:lang w:val="en-US"/>
        </w:rPr>
      </w:pPr>
      <w:r w:rsidRPr="008964F8">
        <w:rPr>
          <w:rFonts w:cs="Times New Roman"/>
          <w:lang w:val="en-US"/>
        </w:rPr>
        <w:t xml:space="preserve">The “basic percentage” is distributed among universities according to the amount of governmental transfers and of the expenses directly supported by the State for each university. Annually this percentage is diminished in order to let the universities be as </w:t>
      </w:r>
      <w:r w:rsidR="00A31E9B" w:rsidRPr="008964F8">
        <w:rPr>
          <w:rFonts w:cs="Times New Roman"/>
          <w:lang w:val="en-US"/>
        </w:rPr>
        <w:t xml:space="preserve">responsible and </w:t>
      </w:r>
      <w:r w:rsidRPr="008964F8">
        <w:rPr>
          <w:rFonts w:cs="Times New Roman"/>
          <w:lang w:val="en-US"/>
        </w:rPr>
        <w:t xml:space="preserve">autonomous as possible from the financial point of view. </w:t>
      </w:r>
      <w:r w:rsidR="00A31E9B" w:rsidRPr="008964F8">
        <w:rPr>
          <w:rFonts w:cs="Times New Roman"/>
          <w:lang w:val="en-US"/>
        </w:rPr>
        <w:t>In fact, according to this distribution mechanism, universities are responsible for the use of financial resources</w:t>
      </w:r>
      <w:r w:rsidR="007A2B2F" w:rsidRPr="008964F8">
        <w:rPr>
          <w:rFonts w:cs="Times New Roman"/>
          <w:lang w:val="en-US"/>
        </w:rPr>
        <w:t>, according to which government distributes them. A</w:t>
      </w:r>
      <w:r w:rsidR="0034435B" w:rsidRPr="008964F8">
        <w:rPr>
          <w:rFonts w:cs="Times New Roman"/>
          <w:lang w:val="en-US"/>
        </w:rPr>
        <w:t>t the same time, they are autonomous since they have to seek additional funding sources to guarantee the delivery of all their services</w:t>
      </w:r>
      <w:r w:rsidR="002500AA">
        <w:rPr>
          <w:rFonts w:cs="Times New Roman"/>
          <w:lang w:val="en-US"/>
        </w:rPr>
        <w:t xml:space="preserve"> (fundraising)</w:t>
      </w:r>
      <w:r w:rsidR="0034435B" w:rsidRPr="008964F8">
        <w:rPr>
          <w:rFonts w:cs="Times New Roman"/>
          <w:lang w:val="en-US"/>
        </w:rPr>
        <w:t>.</w:t>
      </w:r>
      <w:r w:rsidR="0034435B">
        <w:rPr>
          <w:rFonts w:cs="Times New Roman"/>
          <w:lang w:val="en-US"/>
        </w:rPr>
        <w:t xml:space="preserve"> </w:t>
      </w:r>
      <w:r>
        <w:rPr>
          <w:rFonts w:cs="Times New Roman"/>
          <w:lang w:val="en-US"/>
        </w:rPr>
        <w:t xml:space="preserve">Then, the “balance or reward percentage” is distributed according to quantitative parameters defined by MIUR, together with University Council and the Rectors’ Conference. These criteria seek to catch the financial needs linked to education demand, the effectiveness of teaching processes, considering also the dimensions and environmental conditions of each university. </w:t>
      </w:r>
      <w:r>
        <w:rPr>
          <w:rFonts w:cs="Times New Roman"/>
          <w:iCs/>
        </w:rPr>
        <w:t xml:space="preserve">The </w:t>
      </w:r>
      <w:r>
        <w:rPr>
          <w:rFonts w:cs="Times New Roman"/>
          <w:lang w:val="en-US"/>
        </w:rPr>
        <w:t>“basic percentage” has been distributing according to historical expenses of each university till 2014, when the Ministry Decree n. 893 introduced a new standard cost model, through which the “basic percentage” is allocated. This is an objective criterion since it allows the “basic percentage” distribution guaranteeing a greater equity. In fact, it is calculated taking into consideration the environmental and economic context where the university is located. Stand</w:t>
      </w:r>
      <w:r w:rsidR="00361916">
        <w:rPr>
          <w:rFonts w:cs="Times New Roman"/>
          <w:lang w:val="en-US"/>
        </w:rPr>
        <w:t>ard</w:t>
      </w:r>
      <w:r>
        <w:rPr>
          <w:rFonts w:cs="Times New Roman"/>
          <w:lang w:val="en-US"/>
        </w:rPr>
        <w:t xml:space="preserve"> cost criterion is applied to all public universities and it represents a reference value that does not include all costs of each university, but only those that let students use adminis</w:t>
      </w:r>
      <w:r w:rsidR="0063596F">
        <w:rPr>
          <w:rFonts w:cs="Times New Roman"/>
          <w:lang w:val="en-US"/>
        </w:rPr>
        <w:t>trative and teaching services at</w:t>
      </w:r>
      <w:r>
        <w:rPr>
          <w:rFonts w:cs="Times New Roman"/>
          <w:lang w:val="en-US"/>
        </w:rPr>
        <w:t xml:space="preserve"> adequate levels. Hence, standard costs include several types of costs. Moreover, it is an allocation criterion that allows using resources more efficiently. Eventually, the main aim of standard cost is to balance the resources allocation among universities that seem to be over or under funded. </w:t>
      </w:r>
    </w:p>
    <w:p w14:paraId="31B8440C" w14:textId="77777777" w:rsidR="00BE5A8B" w:rsidRPr="00520531" w:rsidRDefault="00BE5A8B" w:rsidP="00BE5A8B">
      <w:pPr>
        <w:spacing w:line="480" w:lineRule="auto"/>
        <w:jc w:val="both"/>
        <w:rPr>
          <w:rFonts w:cs="Times New Roman"/>
          <w:lang w:val="en-US"/>
        </w:rPr>
      </w:pPr>
      <w:r>
        <w:rPr>
          <w:rFonts w:cs="Times New Roman"/>
          <w:lang w:val="en-US"/>
        </w:rPr>
        <w:t xml:space="preserve">Relating to the “reward percentage”, the Law Decree n. 180 (2008) established that the distribution of a percentage of FFO is based on the teaching quality and teaching processes’ quality; the scientific research quality; the effectiveness and the efficiency of universities’ buildings. Furthermore, the allocation resources’ criteria are defined by MIUR. The main aim of this law is to increase the general quality of public universities and a more effective and efficient use of the resources. The distinction of public funding into the two aforementioned percentages have lead MIUR to individuate some parameters to distribute available resources among universities. </w:t>
      </w:r>
    </w:p>
    <w:p w14:paraId="051750FC" w14:textId="7DB7F259" w:rsidR="00BE5A8B" w:rsidRPr="00267DEE" w:rsidRDefault="00BE5A8B" w:rsidP="00BE5A8B">
      <w:pPr>
        <w:spacing w:line="480" w:lineRule="auto"/>
        <w:jc w:val="both"/>
        <w:rPr>
          <w:rFonts w:cs="Times New Roman"/>
          <w:iCs/>
          <w:lang w:val="en-US"/>
        </w:rPr>
      </w:pPr>
      <w:r w:rsidRPr="004260FB">
        <w:rPr>
          <w:rFonts w:cs="Times New Roman"/>
          <w:iCs/>
          <w:lang w:val="en-US"/>
        </w:rPr>
        <w:t xml:space="preserve">Therefore, </w:t>
      </w:r>
      <w:r>
        <w:rPr>
          <w:rFonts w:cs="Times New Roman"/>
          <w:iCs/>
          <w:lang w:val="en-US"/>
        </w:rPr>
        <w:t>financial autonomy introduced in 1989 by Law n. 168 does not lead to a governmental resources’ reduction, but it let universities decided how to spend resources provided by the State itself. The</w:t>
      </w:r>
      <w:r w:rsidR="0063596F">
        <w:rPr>
          <w:rFonts w:cs="Times New Roman"/>
          <w:iCs/>
          <w:lang w:val="en-US"/>
        </w:rPr>
        <w:t>n</w:t>
      </w:r>
      <w:r>
        <w:rPr>
          <w:rFonts w:cs="Times New Roman"/>
          <w:iCs/>
          <w:lang w:val="en-US"/>
        </w:rPr>
        <w:t xml:space="preserve">, the introduction of FFO in 1993 has further increased universities’ financial </w:t>
      </w:r>
      <w:r w:rsidR="0063596F">
        <w:rPr>
          <w:rFonts w:cs="Times New Roman"/>
          <w:iCs/>
          <w:lang w:val="en-US"/>
        </w:rPr>
        <w:t xml:space="preserve">responsibility and </w:t>
      </w:r>
      <w:r>
        <w:rPr>
          <w:rFonts w:cs="Times New Roman"/>
          <w:iCs/>
          <w:lang w:val="en-US"/>
        </w:rPr>
        <w:t xml:space="preserve">autonomy. In fact, from one point of view, </w:t>
      </w:r>
      <w:r>
        <w:rPr>
          <w:rFonts w:cs="Times New Roman"/>
          <w:lang w:val="en-US"/>
        </w:rPr>
        <w:t xml:space="preserve">“reward percentage” allows using </w:t>
      </w:r>
      <w:r w:rsidR="0063596F">
        <w:rPr>
          <w:rFonts w:cs="Times New Roman"/>
          <w:lang w:val="en-US"/>
        </w:rPr>
        <w:t xml:space="preserve">governmental </w:t>
      </w:r>
      <w:r>
        <w:rPr>
          <w:rFonts w:cs="Times New Roman"/>
          <w:lang w:val="en-US"/>
        </w:rPr>
        <w:t>resources in a more effective and efficient way</w:t>
      </w:r>
      <w:r w:rsidR="0063596F">
        <w:rPr>
          <w:rFonts w:cs="Times New Roman"/>
          <w:lang w:val="en-US"/>
        </w:rPr>
        <w:t>, encouraging universities to look for additional funding sourcing to carry out all the academic activities</w:t>
      </w:r>
      <w:r w:rsidR="002500AA">
        <w:rPr>
          <w:rFonts w:cs="Times New Roman"/>
          <w:lang w:val="en-US"/>
        </w:rPr>
        <w:t xml:space="preserve"> (fundraising)</w:t>
      </w:r>
      <w:r w:rsidR="0063596F">
        <w:rPr>
          <w:rFonts w:cs="Times New Roman"/>
          <w:lang w:val="en-US"/>
        </w:rPr>
        <w:t>. F</w:t>
      </w:r>
      <w:r>
        <w:rPr>
          <w:rFonts w:cs="Times New Roman"/>
          <w:lang w:val="en-US"/>
        </w:rPr>
        <w:t xml:space="preserve">rom another perspective, standard cost method guarantees a more balanced allocation of these resources among universities. </w:t>
      </w:r>
    </w:p>
    <w:p w14:paraId="6A8A981B" w14:textId="77777777" w:rsidR="00BE5A8B" w:rsidRPr="00037C36" w:rsidRDefault="00BE5A8B" w:rsidP="00BE5A8B">
      <w:pPr>
        <w:spacing w:line="480" w:lineRule="auto"/>
        <w:jc w:val="both"/>
        <w:rPr>
          <w:rFonts w:cs="Times New Roman"/>
          <w:lang w:val="en-US"/>
        </w:rPr>
      </w:pPr>
      <w:r>
        <w:rPr>
          <w:rFonts w:cs="Times New Roman"/>
          <w:lang w:val="en-US"/>
        </w:rPr>
        <w:t xml:space="preserve">A further change connected to the financial and accounting point of view, which has developed the quality and the efficiency of universities’ management, was introduced in 2010 with the Gelmini reform. The whole higher education system was completely renewed, introducing important regulatory changes, not only relating to the economic-patrimonial accounting system, but also regarding the universities’ governance, organizational issues, the legal framework of professors and researchers, and the students’ teaching. Moreover, this Law considers autonomy and responsibility as fundamental principles. It has completely changed the Italian universities’ system relating to the organization, management, quality and efficiency guarantee, evaluation system and human resources recruitment. </w:t>
      </w:r>
    </w:p>
    <w:p w14:paraId="61FA255D" w14:textId="77777777" w:rsidR="00BE5A8B" w:rsidRPr="00994783" w:rsidRDefault="00BE5A8B" w:rsidP="00BE5A8B">
      <w:pPr>
        <w:spacing w:line="480" w:lineRule="auto"/>
        <w:jc w:val="both"/>
        <w:rPr>
          <w:rFonts w:cs="Times New Roman"/>
          <w:iCs/>
          <w:lang w:val="en-US"/>
        </w:rPr>
      </w:pPr>
      <w:r w:rsidRPr="00A63C7F">
        <w:rPr>
          <w:rFonts w:cs="Times New Roman"/>
          <w:iCs/>
          <w:lang w:val="en-US"/>
        </w:rPr>
        <w:t>One of the most impor</w:t>
      </w:r>
      <w:r>
        <w:rPr>
          <w:rFonts w:cs="Times New Roman"/>
          <w:iCs/>
          <w:lang w:val="en-US"/>
        </w:rPr>
        <w:t>t</w:t>
      </w:r>
      <w:r w:rsidRPr="00A63C7F">
        <w:rPr>
          <w:rFonts w:cs="Times New Roman"/>
          <w:iCs/>
          <w:lang w:val="en-US"/>
        </w:rPr>
        <w:t xml:space="preserve">ant </w:t>
      </w:r>
      <w:r>
        <w:rPr>
          <w:rFonts w:cs="Times New Roman"/>
          <w:iCs/>
          <w:lang w:val="en-US"/>
        </w:rPr>
        <w:t xml:space="preserve">changes is linked to the university’s governance authorities that are: the rector/president (Rettore), the academic senate (Senato Accademico), the board of directors/governing board (Consiglio di Amministrazione), the executive director (Direttore generale), the </w:t>
      </w:r>
      <w:r w:rsidRPr="00994783">
        <w:rPr>
          <w:rFonts w:cs="Times New Roman"/>
          <w:iCs/>
          <w:lang w:val="en-US"/>
        </w:rPr>
        <w:t>board of auditors (Collegio dei revisori di conti) and the evaluation unit (Nucleo di Valutazione).</w:t>
      </w:r>
    </w:p>
    <w:p w14:paraId="54784DA8" w14:textId="1C28C0CF" w:rsidR="00BE5A8B" w:rsidRPr="00A63C7F" w:rsidRDefault="00BE5A8B" w:rsidP="00BE5A8B">
      <w:pPr>
        <w:spacing w:line="480" w:lineRule="auto"/>
        <w:jc w:val="both"/>
        <w:rPr>
          <w:rFonts w:cs="Times New Roman"/>
          <w:iCs/>
          <w:lang w:val="en-US"/>
        </w:rPr>
      </w:pPr>
      <w:r w:rsidRPr="00994783">
        <w:rPr>
          <w:rFonts w:cs="Times New Roman"/>
          <w:iCs/>
          <w:lang w:val="en-US"/>
        </w:rPr>
        <w:t>The president is elected among full professors and he or she must not</w:t>
      </w:r>
      <w:r w:rsidR="00CB69C2">
        <w:rPr>
          <w:rFonts w:cs="Times New Roman"/>
          <w:iCs/>
          <w:lang w:val="en-US"/>
        </w:rPr>
        <w:t xml:space="preserve"> necessary</w:t>
      </w:r>
      <w:r w:rsidRPr="00994783">
        <w:rPr>
          <w:rFonts w:cs="Times New Roman"/>
          <w:iCs/>
          <w:lang w:val="en-US"/>
        </w:rPr>
        <w:t xml:space="preserve"> belong to the organizational structure where he or she is proposing as president. This role lasts for six years and it is not</w:t>
      </w:r>
      <w:r>
        <w:rPr>
          <w:rFonts w:cs="Times New Roman"/>
          <w:iCs/>
          <w:lang w:val="en-US"/>
        </w:rPr>
        <w:t xml:space="preserve"> renewable. It is a monocratic authority that deals with strategic development of the whole university. More specifically, it is endowed with functions of direction and coordination of scientific and teaching activities</w:t>
      </w:r>
      <w:r w:rsidR="00F3264A">
        <w:rPr>
          <w:rFonts w:cs="Times New Roman"/>
          <w:iCs/>
          <w:lang w:val="en-US"/>
        </w:rPr>
        <w:t>,</w:t>
      </w:r>
      <w:r>
        <w:rPr>
          <w:rFonts w:cs="Times New Roman"/>
          <w:iCs/>
          <w:lang w:val="en-US"/>
        </w:rPr>
        <w:t xml:space="preserve"> to reach according effectiveness, efficiency and transparency principles. Then, the president proposes the annual and triennial budget, the financial statements and the triennial strategic planning document of the university. Moreover, he or she suggests the designation of the executive director. </w:t>
      </w:r>
    </w:p>
    <w:p w14:paraId="2647FCF3" w14:textId="48F676A9" w:rsidR="00BE5A8B" w:rsidRPr="001D57BF" w:rsidRDefault="00BE5A8B" w:rsidP="00BE5A8B">
      <w:pPr>
        <w:spacing w:line="480" w:lineRule="auto"/>
        <w:jc w:val="both"/>
        <w:rPr>
          <w:rFonts w:cs="Times New Roman"/>
          <w:iCs/>
        </w:rPr>
      </w:pPr>
      <w:r w:rsidRPr="00F87E51">
        <w:rPr>
          <w:rFonts w:cs="Times New Roman"/>
          <w:iCs/>
          <w:lang w:val="en-US"/>
        </w:rPr>
        <w:t xml:space="preserve">The academic senate </w:t>
      </w:r>
      <w:r>
        <w:rPr>
          <w:rFonts w:cs="Times New Roman"/>
          <w:iCs/>
          <w:lang w:val="en-US"/>
        </w:rPr>
        <w:t xml:space="preserve">has advisory and regulatory competences. </w:t>
      </w:r>
      <w:r>
        <w:rPr>
          <w:rFonts w:cs="Times New Roman"/>
          <w:iCs/>
          <w:lang w:val="en"/>
        </w:rPr>
        <w:t>Relating to the former</w:t>
      </w:r>
      <w:r w:rsidRPr="00741162">
        <w:rPr>
          <w:rFonts w:cs="Times New Roman"/>
          <w:iCs/>
          <w:lang w:val="en"/>
        </w:rPr>
        <w:t>, it exp</w:t>
      </w:r>
      <w:r>
        <w:rPr>
          <w:rFonts w:cs="Times New Roman"/>
          <w:iCs/>
          <w:lang w:val="en"/>
        </w:rPr>
        <w:t>resses proposals and opinions about:</w:t>
      </w:r>
      <w:r w:rsidRPr="00741162">
        <w:rPr>
          <w:rFonts w:cs="Times New Roman"/>
          <w:iCs/>
          <w:lang w:val="en"/>
        </w:rPr>
        <w:t xml:space="preserve"> the activation and</w:t>
      </w:r>
      <w:r>
        <w:rPr>
          <w:rFonts w:cs="Times New Roman"/>
          <w:iCs/>
          <w:lang w:val="en"/>
        </w:rPr>
        <w:t xml:space="preserve"> elimination of courses, locations, departments and buildings</w:t>
      </w:r>
      <w:r w:rsidRPr="00741162">
        <w:rPr>
          <w:rFonts w:cs="Times New Roman"/>
          <w:iCs/>
          <w:lang w:val="en"/>
        </w:rPr>
        <w:t>; the annual and three-year</w:t>
      </w:r>
      <w:r>
        <w:rPr>
          <w:rFonts w:cs="Times New Roman"/>
          <w:iCs/>
          <w:lang w:val="en"/>
        </w:rPr>
        <w:t>s budget;</w:t>
      </w:r>
      <w:r w:rsidRPr="00741162">
        <w:rPr>
          <w:rFonts w:cs="Times New Roman"/>
          <w:iCs/>
          <w:lang w:val="en"/>
        </w:rPr>
        <w:t xml:space="preserve"> the </w:t>
      </w:r>
      <w:r w:rsidR="00F3264A">
        <w:rPr>
          <w:rFonts w:cs="Times New Roman"/>
          <w:iCs/>
          <w:lang w:val="en"/>
        </w:rPr>
        <w:t>financial statements. More</w:t>
      </w:r>
      <w:r>
        <w:rPr>
          <w:rFonts w:cs="Times New Roman"/>
          <w:iCs/>
          <w:lang w:val="en"/>
        </w:rPr>
        <w:t>over,</w:t>
      </w:r>
      <w:r w:rsidRPr="00741162">
        <w:rPr>
          <w:rFonts w:cs="Times New Roman"/>
          <w:iCs/>
          <w:lang w:val="en"/>
        </w:rPr>
        <w:t xml:space="preserve"> it coordinate</w:t>
      </w:r>
      <w:r>
        <w:rPr>
          <w:rFonts w:cs="Times New Roman"/>
          <w:iCs/>
          <w:lang w:val="en"/>
        </w:rPr>
        <w:t>s</w:t>
      </w:r>
      <w:r w:rsidRPr="00741162">
        <w:rPr>
          <w:rFonts w:cs="Times New Roman"/>
          <w:iCs/>
          <w:lang w:val="en"/>
        </w:rPr>
        <w:t xml:space="preserve"> the activities of the various departments. </w:t>
      </w:r>
      <w:r>
        <w:rPr>
          <w:rFonts w:cs="Times New Roman"/>
          <w:iCs/>
          <w:lang w:val="en"/>
        </w:rPr>
        <w:t>Then, f</w:t>
      </w:r>
      <w:r w:rsidRPr="00741162">
        <w:rPr>
          <w:rFonts w:cs="Times New Roman"/>
          <w:iCs/>
          <w:lang w:val="en"/>
        </w:rPr>
        <w:t xml:space="preserve">rom a regulatory point of </w:t>
      </w:r>
      <w:r w:rsidR="00D649C5">
        <w:rPr>
          <w:rFonts w:cs="Times New Roman"/>
          <w:iCs/>
          <w:lang w:val="en"/>
        </w:rPr>
        <w:t>view</w:t>
      </w:r>
      <w:r>
        <w:rPr>
          <w:rFonts w:cs="Times New Roman"/>
          <w:iCs/>
          <w:lang w:val="en"/>
        </w:rPr>
        <w:t xml:space="preserve"> the academic s</w:t>
      </w:r>
      <w:r w:rsidRPr="00741162">
        <w:rPr>
          <w:rFonts w:cs="Times New Roman"/>
          <w:iCs/>
          <w:lang w:val="en"/>
        </w:rPr>
        <w:t xml:space="preserve">enate is responsible for approving the code of ethics and for </w:t>
      </w:r>
      <w:r>
        <w:rPr>
          <w:rFonts w:cs="Times New Roman"/>
          <w:iCs/>
          <w:lang w:val="en"/>
        </w:rPr>
        <w:t xml:space="preserve">teaching and research </w:t>
      </w:r>
      <w:r w:rsidRPr="00741162">
        <w:rPr>
          <w:rFonts w:cs="Times New Roman"/>
          <w:iCs/>
          <w:lang w:val="en"/>
        </w:rPr>
        <w:t xml:space="preserve">regulations, </w:t>
      </w:r>
      <w:r>
        <w:rPr>
          <w:rFonts w:cs="Times New Roman"/>
          <w:iCs/>
          <w:lang w:val="en"/>
        </w:rPr>
        <w:t>given</w:t>
      </w:r>
      <w:r w:rsidRPr="00741162">
        <w:rPr>
          <w:rFonts w:cs="Times New Roman"/>
          <w:iCs/>
          <w:lang w:val="en"/>
        </w:rPr>
        <w:t xml:space="preserve"> the </w:t>
      </w:r>
      <w:r>
        <w:rPr>
          <w:rFonts w:cs="Times New Roman"/>
          <w:iCs/>
          <w:lang w:val="en"/>
        </w:rPr>
        <w:t>favorable opinion from the board of d</w:t>
      </w:r>
      <w:r w:rsidRPr="00741162">
        <w:rPr>
          <w:rFonts w:cs="Times New Roman"/>
          <w:iCs/>
          <w:lang w:val="en"/>
        </w:rPr>
        <w:t xml:space="preserve">irectors. </w:t>
      </w:r>
      <w:r>
        <w:rPr>
          <w:rFonts w:cs="Times New Roman"/>
          <w:iCs/>
          <w:lang w:val="en"/>
        </w:rPr>
        <w:t>Furthermore, it can also start the “impeachment” process towards the president</w:t>
      </w:r>
      <w:r w:rsidRPr="00741162">
        <w:rPr>
          <w:rFonts w:cs="Times New Roman"/>
          <w:iCs/>
          <w:lang w:val="en"/>
        </w:rPr>
        <w:t xml:space="preserve"> no sooner than two years </w:t>
      </w:r>
      <w:r>
        <w:rPr>
          <w:rFonts w:cs="Times New Roman"/>
          <w:iCs/>
          <w:lang w:val="en"/>
        </w:rPr>
        <w:t>from the beginning of the persident's mandate. The academic senate is established</w:t>
      </w:r>
      <w:r w:rsidRPr="00741162">
        <w:rPr>
          <w:rFonts w:cs="Times New Roman"/>
          <w:iCs/>
          <w:lang w:val="en"/>
        </w:rPr>
        <w:t xml:space="preserve"> on an elective basis by a number of members not exceeding thirty-five</w:t>
      </w:r>
      <w:r>
        <w:rPr>
          <w:rFonts w:cs="Times New Roman"/>
          <w:iCs/>
          <w:lang w:val="en"/>
        </w:rPr>
        <w:t xml:space="preserve"> people</w:t>
      </w:r>
      <w:r w:rsidRPr="00741162">
        <w:rPr>
          <w:rFonts w:cs="Times New Roman"/>
          <w:iCs/>
          <w:lang w:val="en"/>
        </w:rPr>
        <w:t>, including the rector and an</w:t>
      </w:r>
      <w:r>
        <w:rPr>
          <w:rFonts w:cs="Times New Roman"/>
          <w:iCs/>
          <w:lang w:val="en"/>
        </w:rPr>
        <w:t xml:space="preserve"> elective representation of </w:t>
      </w:r>
      <w:r w:rsidRPr="00741162">
        <w:rPr>
          <w:rFonts w:cs="Times New Roman"/>
          <w:iCs/>
          <w:lang w:val="en"/>
        </w:rPr>
        <w:t xml:space="preserve">students. </w:t>
      </w:r>
      <w:r w:rsidR="00D649C5">
        <w:rPr>
          <w:rFonts w:cs="Times New Roman"/>
          <w:iCs/>
          <w:lang w:val="en"/>
        </w:rPr>
        <w:t>At least</w:t>
      </w:r>
      <w:r>
        <w:rPr>
          <w:rFonts w:cs="Times New Roman"/>
          <w:iCs/>
          <w:lang w:val="en"/>
        </w:rPr>
        <w:t xml:space="preserve"> t</w:t>
      </w:r>
      <w:r w:rsidRPr="00741162">
        <w:rPr>
          <w:rFonts w:cs="Times New Roman"/>
          <w:iCs/>
          <w:lang w:val="en"/>
        </w:rPr>
        <w:t>o two-thirds</w:t>
      </w:r>
      <w:r>
        <w:rPr>
          <w:rFonts w:cs="Times New Roman"/>
          <w:iCs/>
          <w:lang w:val="en"/>
        </w:rPr>
        <w:t xml:space="preserve"> of the academic sentae must be composed of professors,</w:t>
      </w:r>
      <w:r w:rsidRPr="00741162">
        <w:rPr>
          <w:rFonts w:cs="Times New Roman"/>
          <w:iCs/>
          <w:lang w:val="en"/>
        </w:rPr>
        <w:t xml:space="preserve"> at least a third of which </w:t>
      </w:r>
      <w:r>
        <w:rPr>
          <w:rFonts w:cs="Times New Roman"/>
          <w:iCs/>
          <w:lang w:val="en"/>
        </w:rPr>
        <w:t xml:space="preserve">must be </w:t>
      </w:r>
      <w:r w:rsidRPr="00741162">
        <w:rPr>
          <w:rFonts w:cs="Times New Roman"/>
          <w:iCs/>
          <w:lang w:val="en"/>
        </w:rPr>
        <w:t>department</w:t>
      </w:r>
      <w:r>
        <w:rPr>
          <w:rFonts w:cs="Times New Roman"/>
          <w:iCs/>
          <w:lang w:val="en"/>
        </w:rPr>
        <w:t>’s directors</w:t>
      </w:r>
      <w:r w:rsidRPr="00741162">
        <w:rPr>
          <w:rFonts w:cs="Times New Roman"/>
          <w:iCs/>
          <w:lang w:val="en"/>
        </w:rPr>
        <w:t xml:space="preserve">, elected in order to represent the different scientific areas. </w:t>
      </w:r>
      <w:r>
        <w:rPr>
          <w:rFonts w:cs="Times New Roman"/>
          <w:iCs/>
          <w:lang w:val="en"/>
        </w:rPr>
        <w:t xml:space="preserve">Finally, the academic senate is in charge for a </w:t>
      </w:r>
      <w:r w:rsidRPr="00741162">
        <w:rPr>
          <w:rFonts w:cs="Times New Roman"/>
          <w:iCs/>
          <w:lang w:val="en"/>
        </w:rPr>
        <w:t>maximum of four years, with a mandate renewable only once.</w:t>
      </w:r>
    </w:p>
    <w:p w14:paraId="32BFC4BA" w14:textId="1C0F3942" w:rsidR="00BE5A8B" w:rsidRDefault="00BE5A8B" w:rsidP="00BE5A8B">
      <w:pPr>
        <w:spacing w:line="480" w:lineRule="auto"/>
        <w:jc w:val="both"/>
        <w:rPr>
          <w:rFonts w:cs="Times New Roman"/>
          <w:iCs/>
          <w:lang w:val="en"/>
        </w:rPr>
      </w:pPr>
      <w:r>
        <w:rPr>
          <w:rFonts w:cs="Times New Roman"/>
          <w:iCs/>
          <w:lang w:val="en"/>
        </w:rPr>
        <w:t>The board of d</w:t>
      </w:r>
      <w:r w:rsidRPr="00350C61">
        <w:rPr>
          <w:rFonts w:cs="Times New Roman"/>
          <w:iCs/>
          <w:lang w:val="en"/>
        </w:rPr>
        <w:t xml:space="preserve">irectors represents the executive body of the universities. </w:t>
      </w:r>
      <w:r>
        <w:rPr>
          <w:rFonts w:cs="Times New Roman"/>
          <w:iCs/>
          <w:lang w:val="en"/>
        </w:rPr>
        <w:t>Its</w:t>
      </w:r>
      <w:r w:rsidRPr="00350C61">
        <w:rPr>
          <w:rFonts w:cs="Times New Roman"/>
          <w:iCs/>
          <w:lang w:val="en"/>
        </w:rPr>
        <w:t xml:space="preserve"> tasks</w:t>
      </w:r>
      <w:r>
        <w:rPr>
          <w:rFonts w:cs="Times New Roman"/>
          <w:iCs/>
          <w:lang w:val="en"/>
        </w:rPr>
        <w:t xml:space="preserve"> are various</w:t>
      </w:r>
      <w:r w:rsidRPr="00350C61">
        <w:rPr>
          <w:rFonts w:cs="Times New Roman"/>
          <w:iCs/>
          <w:lang w:val="en"/>
        </w:rPr>
        <w:t xml:space="preserve">: </w:t>
      </w:r>
      <w:r>
        <w:rPr>
          <w:rFonts w:cs="Times New Roman"/>
          <w:iCs/>
          <w:lang w:val="en"/>
        </w:rPr>
        <w:t xml:space="preserve">it </w:t>
      </w:r>
      <w:r w:rsidRPr="00350C61">
        <w:rPr>
          <w:rFonts w:cs="Times New Roman"/>
          <w:iCs/>
          <w:lang w:val="en"/>
        </w:rPr>
        <w:t>approves the annual and three-year</w:t>
      </w:r>
      <w:r>
        <w:rPr>
          <w:rFonts w:cs="Times New Roman"/>
          <w:iCs/>
          <w:lang w:val="en"/>
        </w:rPr>
        <w:t>s</w:t>
      </w:r>
      <w:r w:rsidRPr="00350C61">
        <w:rPr>
          <w:rFonts w:cs="Times New Roman"/>
          <w:iCs/>
          <w:lang w:val="en"/>
        </w:rPr>
        <w:t xml:space="preserve"> financial planning</w:t>
      </w:r>
      <w:r>
        <w:rPr>
          <w:rFonts w:cs="Times New Roman"/>
          <w:iCs/>
          <w:lang w:val="en"/>
        </w:rPr>
        <w:t xml:space="preserve">, in addition to plans </w:t>
      </w:r>
      <w:r w:rsidRPr="00350C61">
        <w:rPr>
          <w:rFonts w:cs="Times New Roman"/>
          <w:iCs/>
          <w:lang w:val="en"/>
        </w:rPr>
        <w:t>rel</w:t>
      </w:r>
      <w:r>
        <w:rPr>
          <w:rFonts w:cs="Times New Roman"/>
          <w:iCs/>
          <w:lang w:val="en"/>
        </w:rPr>
        <w:t>ating to human resources’ recruitment</w:t>
      </w:r>
      <w:r w:rsidRPr="00350C61">
        <w:rPr>
          <w:rFonts w:cs="Times New Roman"/>
          <w:iCs/>
          <w:lang w:val="en"/>
        </w:rPr>
        <w:t xml:space="preserve">; </w:t>
      </w:r>
      <w:r>
        <w:rPr>
          <w:rFonts w:cs="Times New Roman"/>
          <w:iCs/>
          <w:lang w:val="en"/>
        </w:rPr>
        <w:t xml:space="preserve">it takes decisions about </w:t>
      </w:r>
      <w:r w:rsidRPr="00350C61">
        <w:rPr>
          <w:rFonts w:cs="Times New Roman"/>
          <w:iCs/>
          <w:lang w:val="en"/>
        </w:rPr>
        <w:t>the activation and e</w:t>
      </w:r>
      <w:r>
        <w:rPr>
          <w:rFonts w:cs="Times New Roman"/>
          <w:iCs/>
          <w:lang w:val="en"/>
        </w:rPr>
        <w:t>limination of courses and venues</w:t>
      </w:r>
      <w:r w:rsidRPr="00350C61">
        <w:rPr>
          <w:rFonts w:cs="Times New Roman"/>
          <w:iCs/>
          <w:lang w:val="en"/>
        </w:rPr>
        <w:t xml:space="preserve">; </w:t>
      </w:r>
      <w:r>
        <w:rPr>
          <w:rFonts w:cs="Times New Roman"/>
          <w:iCs/>
          <w:lang w:val="en"/>
        </w:rPr>
        <w:t xml:space="preserve">it </w:t>
      </w:r>
      <w:r w:rsidRPr="00350C61">
        <w:rPr>
          <w:rFonts w:cs="Times New Roman"/>
          <w:iCs/>
          <w:lang w:val="en"/>
        </w:rPr>
        <w:t>discipline</w:t>
      </w:r>
      <w:r>
        <w:rPr>
          <w:rFonts w:cs="Times New Roman"/>
          <w:iCs/>
          <w:lang w:val="en"/>
        </w:rPr>
        <w:t>s</w:t>
      </w:r>
      <w:r w:rsidRPr="00350C61">
        <w:rPr>
          <w:rFonts w:cs="Times New Roman"/>
          <w:iCs/>
          <w:lang w:val="en"/>
        </w:rPr>
        <w:t xml:space="preserve"> professors and researchers; </w:t>
      </w:r>
      <w:r>
        <w:rPr>
          <w:rFonts w:cs="Times New Roman"/>
          <w:iCs/>
          <w:lang w:val="en"/>
        </w:rPr>
        <w:t xml:space="preserve">it </w:t>
      </w:r>
      <w:r w:rsidRPr="00350C61">
        <w:rPr>
          <w:rFonts w:cs="Times New Roman"/>
          <w:iCs/>
          <w:lang w:val="en"/>
        </w:rPr>
        <w:t>approves the annual and three-year</w:t>
      </w:r>
      <w:r>
        <w:rPr>
          <w:rFonts w:cs="Times New Roman"/>
          <w:iCs/>
          <w:lang w:val="en"/>
        </w:rPr>
        <w:t>s</w:t>
      </w:r>
      <w:r w:rsidRPr="00350C61">
        <w:rPr>
          <w:rFonts w:cs="Times New Roman"/>
          <w:iCs/>
          <w:lang w:val="en"/>
        </w:rPr>
        <w:t xml:space="preserve"> </w:t>
      </w:r>
      <w:r>
        <w:rPr>
          <w:rFonts w:cs="Times New Roman"/>
          <w:iCs/>
          <w:lang w:val="en"/>
        </w:rPr>
        <w:t>budget</w:t>
      </w:r>
      <w:r w:rsidRPr="00350C61">
        <w:rPr>
          <w:rFonts w:cs="Times New Roman"/>
          <w:iCs/>
          <w:lang w:val="en"/>
        </w:rPr>
        <w:t xml:space="preserve">, the </w:t>
      </w:r>
      <w:r>
        <w:rPr>
          <w:rFonts w:cs="Times New Roman"/>
          <w:iCs/>
          <w:lang w:val="en"/>
        </w:rPr>
        <w:t>financial statements</w:t>
      </w:r>
      <w:r w:rsidRPr="00350C61">
        <w:rPr>
          <w:rFonts w:cs="Times New Roman"/>
          <w:iCs/>
          <w:lang w:val="en"/>
        </w:rPr>
        <w:t xml:space="preserve"> and the strategic planning document</w:t>
      </w:r>
      <w:r>
        <w:rPr>
          <w:rFonts w:cs="Times New Roman"/>
          <w:iCs/>
          <w:lang w:val="en"/>
        </w:rPr>
        <w:t>,</w:t>
      </w:r>
      <w:r w:rsidRPr="00350C61">
        <w:rPr>
          <w:rFonts w:cs="Times New Roman"/>
          <w:iCs/>
          <w:lang w:val="en"/>
        </w:rPr>
        <w:t xml:space="preserve"> </w:t>
      </w:r>
      <w:r>
        <w:rPr>
          <w:rFonts w:cs="Times New Roman"/>
          <w:iCs/>
          <w:lang w:val="en"/>
        </w:rPr>
        <w:t>sending</w:t>
      </w:r>
      <w:r w:rsidRPr="00350C61">
        <w:rPr>
          <w:rFonts w:cs="Times New Roman"/>
          <w:iCs/>
          <w:lang w:val="en"/>
        </w:rPr>
        <w:t xml:space="preserve"> them to the </w:t>
      </w:r>
      <w:r>
        <w:rPr>
          <w:rFonts w:cs="Times New Roman"/>
          <w:iCs/>
          <w:lang w:val="en"/>
        </w:rPr>
        <w:t>MIUR and the Ministry of Economics</w:t>
      </w:r>
      <w:r w:rsidRPr="00350C61">
        <w:rPr>
          <w:rFonts w:cs="Times New Roman"/>
          <w:iCs/>
          <w:lang w:val="en"/>
        </w:rPr>
        <w:t xml:space="preserve"> and Finance (MEF); </w:t>
      </w:r>
      <w:r>
        <w:rPr>
          <w:rFonts w:cs="Times New Roman"/>
          <w:iCs/>
          <w:lang w:val="en"/>
        </w:rPr>
        <w:t>it verifies</w:t>
      </w:r>
      <w:r w:rsidRPr="00350C61">
        <w:rPr>
          <w:rFonts w:cs="Times New Roman"/>
          <w:iCs/>
          <w:lang w:val="en"/>
        </w:rPr>
        <w:t xml:space="preserve"> the financial sustainability of the activities</w:t>
      </w:r>
      <w:r w:rsidR="00FB58FB">
        <w:rPr>
          <w:rFonts w:cs="Times New Roman"/>
          <w:iCs/>
          <w:lang w:val="en"/>
        </w:rPr>
        <w:t xml:space="preserve"> carried out</w:t>
      </w:r>
      <w:r>
        <w:rPr>
          <w:rFonts w:cs="Times New Roman"/>
          <w:iCs/>
          <w:lang w:val="en"/>
        </w:rPr>
        <w:t xml:space="preserve"> by the university</w:t>
      </w:r>
      <w:r w:rsidRPr="00350C61">
        <w:rPr>
          <w:rFonts w:cs="Times New Roman"/>
          <w:iCs/>
          <w:lang w:val="en"/>
        </w:rPr>
        <w:t xml:space="preserve">; </w:t>
      </w:r>
      <w:r>
        <w:rPr>
          <w:rFonts w:cs="Times New Roman"/>
          <w:iCs/>
          <w:lang w:val="en"/>
        </w:rPr>
        <w:t>it appoints executive director</w:t>
      </w:r>
      <w:r w:rsidRPr="00350C61">
        <w:rPr>
          <w:rFonts w:cs="Times New Roman"/>
          <w:iCs/>
          <w:lang w:val="en"/>
        </w:rPr>
        <w:t xml:space="preserve">, </w:t>
      </w:r>
      <w:r>
        <w:rPr>
          <w:rFonts w:cs="Times New Roman"/>
          <w:iCs/>
          <w:lang w:val="en"/>
        </w:rPr>
        <w:t>previously proposed by the president</w:t>
      </w:r>
      <w:r w:rsidRPr="00350C61">
        <w:rPr>
          <w:rFonts w:cs="Times New Roman"/>
          <w:iCs/>
          <w:lang w:val="en"/>
        </w:rPr>
        <w:t xml:space="preserve"> and, finally, </w:t>
      </w:r>
      <w:r>
        <w:rPr>
          <w:rFonts w:cs="Times New Roman"/>
          <w:iCs/>
          <w:lang w:val="en"/>
        </w:rPr>
        <w:t>it implements</w:t>
      </w:r>
      <w:r w:rsidRPr="00350C61">
        <w:rPr>
          <w:rFonts w:cs="Times New Roman"/>
          <w:iCs/>
          <w:lang w:val="en"/>
        </w:rPr>
        <w:t xml:space="preserve"> the administration and accounting</w:t>
      </w:r>
      <w:r w:rsidR="00FB58FB">
        <w:rPr>
          <w:rFonts w:cs="Times New Roman"/>
          <w:iCs/>
          <w:lang w:val="en"/>
        </w:rPr>
        <w:t xml:space="preserve"> regulations</w:t>
      </w:r>
      <w:r w:rsidRPr="00350C61">
        <w:rPr>
          <w:rFonts w:cs="Times New Roman"/>
          <w:iCs/>
          <w:lang w:val="en"/>
        </w:rPr>
        <w:t xml:space="preserve">. </w:t>
      </w:r>
      <w:r>
        <w:rPr>
          <w:rFonts w:cs="Times New Roman"/>
          <w:iCs/>
          <w:lang w:val="en"/>
        </w:rPr>
        <w:t>The board of directors is composed by eleven memebers as a maximum, including the president</w:t>
      </w:r>
      <w:r w:rsidRPr="00350C61">
        <w:rPr>
          <w:rFonts w:cs="Times New Roman"/>
          <w:iCs/>
          <w:lang w:val="en"/>
        </w:rPr>
        <w:t xml:space="preserve"> </w:t>
      </w:r>
      <w:r w:rsidR="00A72C9A">
        <w:rPr>
          <w:rFonts w:cs="Times New Roman"/>
          <w:iCs/>
          <w:lang w:val="en"/>
        </w:rPr>
        <w:t xml:space="preserve">and </w:t>
      </w:r>
      <w:r w:rsidRPr="00350C61">
        <w:rPr>
          <w:rFonts w:cs="Times New Roman"/>
          <w:iCs/>
          <w:lang w:val="en"/>
        </w:rPr>
        <w:t>a</w:t>
      </w:r>
      <w:r>
        <w:rPr>
          <w:rFonts w:cs="Times New Roman"/>
          <w:iCs/>
          <w:lang w:val="en"/>
        </w:rPr>
        <w:t>n elective representation of students. The other</w:t>
      </w:r>
      <w:r w:rsidRPr="00350C61">
        <w:rPr>
          <w:rFonts w:cs="Times New Roman"/>
          <w:iCs/>
          <w:lang w:val="en"/>
        </w:rPr>
        <w:t xml:space="preserve"> member</w:t>
      </w:r>
      <w:r>
        <w:rPr>
          <w:rFonts w:cs="Times New Roman"/>
          <w:iCs/>
          <w:lang w:val="en"/>
        </w:rPr>
        <w:t>s are determined by the statute</w:t>
      </w:r>
      <w:r w:rsidRPr="00350C61">
        <w:rPr>
          <w:rFonts w:cs="Times New Roman"/>
          <w:iCs/>
          <w:lang w:val="en"/>
        </w:rPr>
        <w:t xml:space="preserve"> on the basis of </w:t>
      </w:r>
      <w:r>
        <w:rPr>
          <w:rFonts w:cs="Times New Roman"/>
          <w:iCs/>
          <w:lang w:val="en"/>
        </w:rPr>
        <w:t>appointments</w:t>
      </w:r>
      <w:r w:rsidRPr="00350C61">
        <w:rPr>
          <w:rFonts w:cs="Times New Roman"/>
          <w:iCs/>
          <w:lang w:val="en"/>
        </w:rPr>
        <w:t xml:space="preserve"> identified among Italian or foreign</w:t>
      </w:r>
      <w:r w:rsidR="00A72C9A">
        <w:rPr>
          <w:rFonts w:cs="Times New Roman"/>
          <w:iCs/>
          <w:lang w:val="en"/>
        </w:rPr>
        <w:t>er</w:t>
      </w:r>
      <w:r w:rsidRPr="00350C61">
        <w:rPr>
          <w:rFonts w:cs="Times New Roman"/>
          <w:iCs/>
          <w:lang w:val="en"/>
        </w:rPr>
        <w:t xml:space="preserve"> personalities with </w:t>
      </w:r>
      <w:r>
        <w:rPr>
          <w:rFonts w:cs="Times New Roman"/>
          <w:iCs/>
          <w:lang w:val="en"/>
        </w:rPr>
        <w:t xml:space="preserve">excellent </w:t>
      </w:r>
      <w:r w:rsidRPr="00350C61">
        <w:rPr>
          <w:rFonts w:cs="Times New Roman"/>
          <w:iCs/>
          <w:lang w:val="en"/>
        </w:rPr>
        <w:t>managerial skills and high professional experience</w:t>
      </w:r>
      <w:r>
        <w:rPr>
          <w:rFonts w:cs="Times New Roman"/>
          <w:iCs/>
          <w:lang w:val="en"/>
        </w:rPr>
        <w:t>s. The members of the board of d</w:t>
      </w:r>
      <w:r w:rsidRPr="00350C61">
        <w:rPr>
          <w:rFonts w:cs="Times New Roman"/>
          <w:iCs/>
          <w:lang w:val="en"/>
        </w:rPr>
        <w:t xml:space="preserve">irectors are elected respecting the constitutional principle of gender equality. The </w:t>
      </w:r>
      <w:r>
        <w:rPr>
          <w:rFonts w:cs="Times New Roman"/>
          <w:iCs/>
          <w:lang w:val="en"/>
        </w:rPr>
        <w:t>board of directors is in charge</w:t>
      </w:r>
      <w:r w:rsidRPr="00350C61">
        <w:rPr>
          <w:rFonts w:cs="Times New Roman"/>
          <w:iCs/>
          <w:lang w:val="en"/>
        </w:rPr>
        <w:t xml:space="preserve"> for four years, with a mandate renewable only once.</w:t>
      </w:r>
    </w:p>
    <w:p w14:paraId="01EAF43B" w14:textId="77777777" w:rsidR="00BE5A8B" w:rsidRPr="005A6D4F" w:rsidRDefault="00BE5A8B" w:rsidP="00BE5A8B">
      <w:pPr>
        <w:spacing w:line="480" w:lineRule="auto"/>
        <w:jc w:val="both"/>
        <w:rPr>
          <w:rFonts w:cs="Times New Roman"/>
          <w:iCs/>
        </w:rPr>
      </w:pPr>
      <w:r>
        <w:rPr>
          <w:rFonts w:cs="Times New Roman"/>
          <w:iCs/>
          <w:lang w:val="en"/>
        </w:rPr>
        <w:t xml:space="preserve">Hence, the senate and the board of directors have </w:t>
      </w:r>
      <w:r w:rsidRPr="005A6D4F">
        <w:rPr>
          <w:rFonts w:cs="Times New Roman"/>
          <w:iCs/>
          <w:lang w:val="en"/>
        </w:rPr>
        <w:t>different functions</w:t>
      </w:r>
      <w:r>
        <w:rPr>
          <w:rFonts w:cs="Times New Roman"/>
          <w:iCs/>
          <w:lang w:val="en"/>
        </w:rPr>
        <w:t>: the former</w:t>
      </w:r>
      <w:r w:rsidRPr="005A6D4F">
        <w:rPr>
          <w:rFonts w:cs="Times New Roman"/>
          <w:iCs/>
          <w:lang w:val="en"/>
        </w:rPr>
        <w:t xml:space="preserve"> is an academic body that </w:t>
      </w:r>
      <w:r>
        <w:rPr>
          <w:rFonts w:cs="Times New Roman"/>
          <w:iCs/>
          <w:lang w:val="en"/>
        </w:rPr>
        <w:t>proposes scientific activities, manages and coordinates</w:t>
      </w:r>
      <w:r w:rsidRPr="005A6D4F">
        <w:rPr>
          <w:rFonts w:cs="Times New Roman"/>
          <w:iCs/>
          <w:lang w:val="en"/>
        </w:rPr>
        <w:t xml:space="preserve"> the various </w:t>
      </w:r>
      <w:r>
        <w:rPr>
          <w:rFonts w:cs="Times New Roman"/>
          <w:iCs/>
          <w:lang w:val="en"/>
        </w:rPr>
        <w:t xml:space="preserve">academic </w:t>
      </w:r>
      <w:r w:rsidRPr="005A6D4F">
        <w:rPr>
          <w:rFonts w:cs="Times New Roman"/>
          <w:iCs/>
          <w:lang w:val="en"/>
        </w:rPr>
        <w:t>structures</w:t>
      </w:r>
      <w:r>
        <w:rPr>
          <w:rFonts w:cs="Times New Roman"/>
          <w:iCs/>
          <w:lang w:val="en"/>
        </w:rPr>
        <w:t xml:space="preserve"> and units; the board of d</w:t>
      </w:r>
      <w:r w:rsidRPr="005A6D4F">
        <w:rPr>
          <w:rFonts w:cs="Times New Roman"/>
          <w:iCs/>
          <w:lang w:val="en"/>
        </w:rPr>
        <w:t xml:space="preserve">irectors, on the other hand, is a </w:t>
      </w:r>
      <w:r>
        <w:rPr>
          <w:rFonts w:cs="Times New Roman"/>
          <w:iCs/>
          <w:lang w:val="en"/>
        </w:rPr>
        <w:t xml:space="preserve">top management </w:t>
      </w:r>
      <w:r w:rsidRPr="005A6D4F">
        <w:rPr>
          <w:rFonts w:cs="Times New Roman"/>
          <w:iCs/>
          <w:lang w:val="en"/>
        </w:rPr>
        <w:t xml:space="preserve">body </w:t>
      </w:r>
      <w:r>
        <w:rPr>
          <w:rFonts w:cs="Times New Roman"/>
          <w:iCs/>
          <w:lang w:val="en"/>
        </w:rPr>
        <w:t xml:space="preserve">with an executive function within the economics and </w:t>
      </w:r>
      <w:r w:rsidRPr="005A6D4F">
        <w:rPr>
          <w:rFonts w:cs="Times New Roman"/>
          <w:iCs/>
          <w:lang w:val="en"/>
        </w:rPr>
        <w:t>financial management of t</w:t>
      </w:r>
      <w:r>
        <w:rPr>
          <w:rFonts w:cs="Times New Roman"/>
          <w:iCs/>
          <w:lang w:val="en"/>
        </w:rPr>
        <w:t>he university with responsibilities for recruitment and expenses</w:t>
      </w:r>
      <w:r w:rsidRPr="005A6D4F">
        <w:rPr>
          <w:rFonts w:cs="Times New Roman"/>
          <w:iCs/>
          <w:lang w:val="en"/>
        </w:rPr>
        <w:t>. The members of these two bodies are forbidden</w:t>
      </w:r>
      <w:r>
        <w:rPr>
          <w:rFonts w:cs="Times New Roman"/>
          <w:iCs/>
          <w:lang w:val="en"/>
        </w:rPr>
        <w:t>:</w:t>
      </w:r>
      <w:r w:rsidRPr="005A6D4F">
        <w:rPr>
          <w:rFonts w:cs="Times New Roman"/>
          <w:iCs/>
          <w:lang w:val="en"/>
        </w:rPr>
        <w:t xml:space="preserve"> t</w:t>
      </w:r>
      <w:r>
        <w:rPr>
          <w:rFonts w:cs="Times New Roman"/>
          <w:iCs/>
          <w:lang w:val="en"/>
        </w:rPr>
        <w:t>o hold other academic positions;</w:t>
      </w:r>
      <w:r w:rsidRPr="005A6D4F">
        <w:rPr>
          <w:rFonts w:cs="Times New Roman"/>
          <w:iCs/>
          <w:lang w:val="en"/>
        </w:rPr>
        <w:t xml:space="preserve"> t</w:t>
      </w:r>
      <w:r>
        <w:rPr>
          <w:rFonts w:cs="Times New Roman"/>
          <w:iCs/>
          <w:lang w:val="en"/>
        </w:rPr>
        <w:t>o be members of other university’s</w:t>
      </w:r>
      <w:r w:rsidRPr="005A6D4F">
        <w:rPr>
          <w:rFonts w:cs="Times New Roman"/>
          <w:iCs/>
          <w:lang w:val="en"/>
        </w:rPr>
        <w:t xml:space="preserve"> bodies, </w:t>
      </w:r>
      <w:r>
        <w:rPr>
          <w:rFonts w:cs="Times New Roman"/>
          <w:iCs/>
          <w:lang w:val="en"/>
        </w:rPr>
        <w:t>excluding the departmental board; to carry out</w:t>
      </w:r>
      <w:r w:rsidRPr="005A6D4F">
        <w:rPr>
          <w:rFonts w:cs="Times New Roman"/>
          <w:iCs/>
          <w:lang w:val="en"/>
        </w:rPr>
        <w:t xml:space="preserve"> political, financial a</w:t>
      </w:r>
      <w:r>
        <w:rPr>
          <w:rFonts w:cs="Times New Roman"/>
          <w:iCs/>
          <w:lang w:val="en"/>
        </w:rPr>
        <w:t>nd evaluation functions of the u</w:t>
      </w:r>
      <w:r w:rsidRPr="005A6D4F">
        <w:rPr>
          <w:rFonts w:cs="Times New Roman"/>
          <w:iCs/>
          <w:lang w:val="en"/>
        </w:rPr>
        <w:t>niversity's activities.</w:t>
      </w:r>
    </w:p>
    <w:p w14:paraId="29EE1D5F" w14:textId="18BD3034" w:rsidR="00BE5A8B" w:rsidRDefault="00BE5A8B" w:rsidP="00BE5A8B">
      <w:pPr>
        <w:spacing w:line="480" w:lineRule="auto"/>
        <w:jc w:val="both"/>
        <w:rPr>
          <w:rFonts w:cs="Times New Roman"/>
          <w:iCs/>
          <w:lang w:val="en-US"/>
        </w:rPr>
      </w:pPr>
      <w:r w:rsidRPr="000B2239">
        <w:rPr>
          <w:rFonts w:cs="Times New Roman"/>
          <w:iCs/>
          <w:lang w:val="en-US"/>
        </w:rPr>
        <w:t xml:space="preserve">The </w:t>
      </w:r>
      <w:r>
        <w:rPr>
          <w:rFonts w:cs="Times New Roman"/>
          <w:iCs/>
          <w:lang w:val="en-US"/>
        </w:rPr>
        <w:t>executive director substitutes</w:t>
      </w:r>
      <w:r w:rsidRPr="000B2239">
        <w:rPr>
          <w:rFonts w:cs="Times New Roman"/>
          <w:iCs/>
          <w:lang w:val="en-US"/>
        </w:rPr>
        <w:t xml:space="preserve"> t</w:t>
      </w:r>
      <w:r>
        <w:rPr>
          <w:rFonts w:cs="Times New Roman"/>
          <w:iCs/>
          <w:lang w:val="en-US"/>
        </w:rPr>
        <w:t>he role of the previous administrative director and it is the</w:t>
      </w:r>
      <w:r w:rsidRPr="000B2239">
        <w:rPr>
          <w:rFonts w:cs="Times New Roman"/>
          <w:iCs/>
          <w:lang w:val="en-US"/>
        </w:rPr>
        <w:t xml:space="preserve"> real</w:t>
      </w:r>
      <w:r w:rsidR="00A72C9A">
        <w:rPr>
          <w:rFonts w:cs="Times New Roman"/>
          <w:iCs/>
          <w:lang w:val="en-US"/>
        </w:rPr>
        <w:t xml:space="preserve"> executive</w:t>
      </w:r>
      <w:r w:rsidRPr="000B2239">
        <w:rPr>
          <w:rFonts w:cs="Times New Roman"/>
          <w:iCs/>
          <w:lang w:val="en-US"/>
        </w:rPr>
        <w:t xml:space="preserve"> manager of the university</w:t>
      </w:r>
      <w:r>
        <w:rPr>
          <w:rFonts w:cs="Times New Roman"/>
          <w:iCs/>
          <w:lang w:val="en-US"/>
        </w:rPr>
        <w:t xml:space="preserve">. </w:t>
      </w:r>
      <w:r w:rsidRPr="000B2239">
        <w:rPr>
          <w:rFonts w:cs="Times New Roman"/>
          <w:iCs/>
          <w:lang w:val="en-US"/>
        </w:rPr>
        <w:t>In fact, it deals with organizing and managing the services, the resources and the technical-administrative staff and</w:t>
      </w:r>
      <w:r>
        <w:rPr>
          <w:rFonts w:cs="Times New Roman"/>
          <w:iCs/>
          <w:lang w:val="en-US"/>
        </w:rPr>
        <w:t xml:space="preserve"> it</w:t>
      </w:r>
      <w:r w:rsidRPr="000B2239">
        <w:rPr>
          <w:rFonts w:cs="Times New Roman"/>
          <w:iCs/>
          <w:lang w:val="en-US"/>
        </w:rPr>
        <w:t xml:space="preserve"> is responsible for the choices made. The </w:t>
      </w:r>
      <w:r>
        <w:rPr>
          <w:rFonts w:cs="Times New Roman"/>
          <w:iCs/>
          <w:lang w:val="en-US"/>
        </w:rPr>
        <w:t>executive director</w:t>
      </w:r>
      <w:r w:rsidRPr="000B2239">
        <w:rPr>
          <w:rFonts w:cs="Times New Roman"/>
          <w:iCs/>
          <w:lang w:val="en-US"/>
        </w:rPr>
        <w:t xml:space="preserve"> </w:t>
      </w:r>
      <w:r>
        <w:rPr>
          <w:rFonts w:cs="Times New Roman"/>
          <w:iCs/>
          <w:lang w:val="en-US"/>
        </w:rPr>
        <w:t>is in charge for no more than four years, and it is chosen among personalities</w:t>
      </w:r>
      <w:r w:rsidRPr="000B2239">
        <w:rPr>
          <w:rFonts w:cs="Times New Roman"/>
          <w:iCs/>
          <w:lang w:val="en-US"/>
        </w:rPr>
        <w:t xml:space="preserve"> </w:t>
      </w:r>
      <w:r>
        <w:rPr>
          <w:rFonts w:cs="Times New Roman"/>
          <w:iCs/>
          <w:lang w:val="en-US"/>
        </w:rPr>
        <w:t>with</w:t>
      </w:r>
      <w:r w:rsidRPr="000B2239">
        <w:rPr>
          <w:rFonts w:cs="Times New Roman"/>
          <w:iCs/>
          <w:lang w:val="en-US"/>
        </w:rPr>
        <w:t xml:space="preserve"> a high professional qualification and a long experience of managerial </w:t>
      </w:r>
      <w:r>
        <w:rPr>
          <w:rFonts w:cs="Times New Roman"/>
          <w:iCs/>
          <w:lang w:val="en-US"/>
        </w:rPr>
        <w:t>tasks</w:t>
      </w:r>
      <w:r w:rsidRPr="000B2239">
        <w:rPr>
          <w:rFonts w:cs="Times New Roman"/>
          <w:iCs/>
          <w:lang w:val="en-US"/>
        </w:rPr>
        <w:t>.</w:t>
      </w:r>
    </w:p>
    <w:p w14:paraId="2EE9801B" w14:textId="77777777" w:rsidR="00BE5A8B" w:rsidRDefault="00BE5A8B" w:rsidP="00BE5A8B">
      <w:pPr>
        <w:spacing w:line="480" w:lineRule="auto"/>
        <w:jc w:val="both"/>
        <w:rPr>
          <w:rFonts w:cs="Times New Roman"/>
          <w:iCs/>
          <w:lang w:val="en"/>
        </w:rPr>
      </w:pPr>
      <w:r>
        <w:rPr>
          <w:rFonts w:cs="Times New Roman"/>
          <w:iCs/>
          <w:lang w:val="en"/>
        </w:rPr>
        <w:t>The board of a</w:t>
      </w:r>
      <w:r w:rsidRPr="002A5121">
        <w:rPr>
          <w:rFonts w:cs="Times New Roman"/>
          <w:iCs/>
          <w:lang w:val="en"/>
        </w:rPr>
        <w:t xml:space="preserve">uditors </w:t>
      </w:r>
      <w:r>
        <w:rPr>
          <w:rFonts w:cs="Times New Roman"/>
          <w:iCs/>
          <w:lang w:val="en"/>
        </w:rPr>
        <w:t>is made up of</w:t>
      </w:r>
      <w:r w:rsidRPr="002A5121">
        <w:rPr>
          <w:rFonts w:cs="Times New Roman"/>
          <w:iCs/>
          <w:lang w:val="en"/>
        </w:rPr>
        <w:t xml:space="preserve"> three effective members and two substitutes, of wh</w:t>
      </w:r>
      <w:r>
        <w:rPr>
          <w:rFonts w:cs="Times New Roman"/>
          <w:iCs/>
          <w:lang w:val="en"/>
        </w:rPr>
        <w:t>ich at least two must be enrolled in the register of auditors. It is in charge</w:t>
      </w:r>
      <w:r w:rsidRPr="002A5121">
        <w:rPr>
          <w:rFonts w:cs="Times New Roman"/>
          <w:iCs/>
          <w:lang w:val="en"/>
        </w:rPr>
        <w:t xml:space="preserve"> for four years </w:t>
      </w:r>
      <w:r w:rsidRPr="00350C61">
        <w:rPr>
          <w:rFonts w:cs="Times New Roman"/>
          <w:iCs/>
          <w:lang w:val="en"/>
        </w:rPr>
        <w:t>with a mandate renewable only once.</w:t>
      </w:r>
    </w:p>
    <w:p w14:paraId="4EE4674C" w14:textId="2BCEB766" w:rsidR="00BE5A8B" w:rsidRPr="00047837" w:rsidRDefault="00BE5A8B" w:rsidP="00BE5A8B">
      <w:pPr>
        <w:spacing w:line="480" w:lineRule="auto"/>
        <w:jc w:val="both"/>
        <w:rPr>
          <w:rFonts w:cs="Times New Roman"/>
          <w:iCs/>
        </w:rPr>
      </w:pPr>
      <w:r>
        <w:rPr>
          <w:rFonts w:cs="Times New Roman"/>
          <w:iCs/>
          <w:lang w:val="en"/>
        </w:rPr>
        <w:t>The evaluation unit is made up of memb</w:t>
      </w:r>
      <w:r w:rsidR="00464CF0">
        <w:rPr>
          <w:rFonts w:cs="Times New Roman"/>
          <w:iCs/>
          <w:lang w:val="en"/>
        </w:rPr>
        <w:t>er</w:t>
      </w:r>
      <w:r>
        <w:rPr>
          <w:rFonts w:cs="Times New Roman"/>
          <w:iCs/>
          <w:lang w:val="en"/>
        </w:rPr>
        <w:t>s</w:t>
      </w:r>
      <w:r w:rsidRPr="002A5121">
        <w:rPr>
          <w:rFonts w:cs="Times New Roman"/>
          <w:iCs/>
          <w:lang w:val="en"/>
        </w:rPr>
        <w:t xml:space="preserve"> with high professiona</w:t>
      </w:r>
      <w:r>
        <w:rPr>
          <w:rFonts w:cs="Times New Roman"/>
          <w:iCs/>
          <w:lang w:val="en"/>
        </w:rPr>
        <w:t>l qualifications, mainly external of</w:t>
      </w:r>
      <w:r w:rsidRPr="002A5121">
        <w:rPr>
          <w:rFonts w:cs="Times New Roman"/>
          <w:iCs/>
          <w:lang w:val="en"/>
        </w:rPr>
        <w:t xml:space="preserve"> the university, in order to guarantee an objective evaluation. In fact, it is responsible for verifying the quality and effectiveness of the </w:t>
      </w:r>
      <w:r>
        <w:rPr>
          <w:rFonts w:cs="Times New Roman"/>
          <w:iCs/>
          <w:lang w:val="en"/>
        </w:rPr>
        <w:t>education services</w:t>
      </w:r>
      <w:r w:rsidRPr="002A5121">
        <w:rPr>
          <w:rFonts w:cs="Times New Roman"/>
          <w:iCs/>
          <w:lang w:val="en"/>
        </w:rPr>
        <w:t>, researc</w:t>
      </w:r>
      <w:r>
        <w:rPr>
          <w:rFonts w:cs="Times New Roman"/>
          <w:iCs/>
          <w:lang w:val="en"/>
        </w:rPr>
        <w:t>h activities</w:t>
      </w:r>
      <w:r w:rsidRPr="002A5121">
        <w:rPr>
          <w:rFonts w:cs="Times New Roman"/>
          <w:iCs/>
          <w:lang w:val="en"/>
        </w:rPr>
        <w:t>, facilities and staff in order to improve organizational and individual performance.</w:t>
      </w:r>
      <w:r w:rsidRPr="00047837">
        <w:rPr>
          <w:rFonts w:cs="Times New Roman"/>
          <w:iCs/>
        </w:rPr>
        <w:br/>
      </w:r>
      <w:r>
        <w:rPr>
          <w:rFonts w:cs="Times New Roman"/>
          <w:iCs/>
          <w:lang w:val="en-US"/>
        </w:rPr>
        <w:t>Another important change introduced by</w:t>
      </w:r>
      <w:r w:rsidRPr="00047837">
        <w:rPr>
          <w:rFonts w:cs="Times New Roman"/>
          <w:iCs/>
          <w:lang w:val="en-US"/>
        </w:rPr>
        <w:t xml:space="preserve"> the reform concerns the internal reorganization of </w:t>
      </w:r>
      <w:r>
        <w:rPr>
          <w:rFonts w:cs="Times New Roman"/>
          <w:iCs/>
          <w:lang w:val="en-US"/>
        </w:rPr>
        <w:t xml:space="preserve">the </w:t>
      </w:r>
      <w:r w:rsidRPr="00047837">
        <w:rPr>
          <w:rFonts w:cs="Times New Roman"/>
          <w:iCs/>
          <w:lang w:val="en-US"/>
        </w:rPr>
        <w:t>universities. In order to avoid the presence of micro sectors that may limit the free circulati</w:t>
      </w:r>
      <w:r>
        <w:rPr>
          <w:rFonts w:cs="Times New Roman"/>
          <w:iCs/>
          <w:lang w:val="en-US"/>
        </w:rPr>
        <w:t>on of ideas, the law has established</w:t>
      </w:r>
      <w:r w:rsidRPr="00047837">
        <w:rPr>
          <w:rFonts w:cs="Times New Roman"/>
          <w:iCs/>
          <w:lang w:val="en-US"/>
        </w:rPr>
        <w:t xml:space="preserve"> the reduction of the scientific-disciplinary sectors; even the faculties have decreased considerably</w:t>
      </w:r>
      <w:r>
        <w:rPr>
          <w:rFonts w:cs="Times New Roman"/>
          <w:iCs/>
          <w:lang w:val="en-US"/>
        </w:rPr>
        <w:t xml:space="preserve"> and, in fact, they can</w:t>
      </w:r>
      <w:r w:rsidRPr="00047837">
        <w:rPr>
          <w:rFonts w:cs="Times New Roman"/>
          <w:iCs/>
          <w:lang w:val="en-US"/>
        </w:rPr>
        <w:t>not be more than twelve for each university. The departments are reorganized in order to guarantee the simplification of the internal articulation, assigning to each of them both the respons</w:t>
      </w:r>
      <w:r>
        <w:rPr>
          <w:rFonts w:cs="Times New Roman"/>
          <w:iCs/>
          <w:lang w:val="en-US"/>
        </w:rPr>
        <w:t>ibility of the research and</w:t>
      </w:r>
      <w:r w:rsidRPr="00047837">
        <w:rPr>
          <w:rFonts w:cs="Times New Roman"/>
          <w:iCs/>
          <w:lang w:val="en-US"/>
        </w:rPr>
        <w:t xml:space="preserve"> teaching</w:t>
      </w:r>
      <w:r>
        <w:rPr>
          <w:rFonts w:cs="Times New Roman"/>
          <w:iCs/>
          <w:lang w:val="en-US"/>
        </w:rPr>
        <w:t xml:space="preserve"> activities, assigning a fitting</w:t>
      </w:r>
      <w:r w:rsidRPr="00047837">
        <w:rPr>
          <w:rFonts w:cs="Times New Roman"/>
          <w:iCs/>
          <w:lang w:val="en-US"/>
        </w:rPr>
        <w:t xml:space="preserve"> number of</w:t>
      </w:r>
      <w:r w:rsidR="00464CF0">
        <w:rPr>
          <w:rFonts w:cs="Times New Roman"/>
          <w:iCs/>
          <w:lang w:val="en-US"/>
        </w:rPr>
        <w:t xml:space="preserve"> professors and researchers (no</w:t>
      </w:r>
      <w:r w:rsidRPr="00047837">
        <w:rPr>
          <w:rFonts w:cs="Times New Roman"/>
          <w:iCs/>
          <w:lang w:val="en-US"/>
        </w:rPr>
        <w:t xml:space="preserve"> less than thirty-five).</w:t>
      </w:r>
    </w:p>
    <w:p w14:paraId="2B5BA022" w14:textId="77777777" w:rsidR="00BE5A8B" w:rsidRPr="002D35DD" w:rsidRDefault="00BE5A8B" w:rsidP="00BE5A8B">
      <w:pPr>
        <w:spacing w:line="480" w:lineRule="auto"/>
        <w:jc w:val="both"/>
        <w:rPr>
          <w:rFonts w:cs="Times New Roman"/>
          <w:iCs/>
        </w:rPr>
      </w:pPr>
      <w:r w:rsidRPr="002D35DD">
        <w:rPr>
          <w:rFonts w:cs="Times New Roman"/>
          <w:iCs/>
          <w:lang w:val="en-US"/>
        </w:rPr>
        <w:t>Relating to professors and researchers, their activities</w:t>
      </w:r>
      <w:r>
        <w:rPr>
          <w:rFonts w:cs="Times New Roman"/>
          <w:iCs/>
        </w:rPr>
        <w:t xml:space="preserve"> </w:t>
      </w:r>
      <w:r>
        <w:rPr>
          <w:rFonts w:cs="Times New Roman"/>
          <w:iCs/>
          <w:lang w:val="en"/>
        </w:rPr>
        <w:t>are</w:t>
      </w:r>
      <w:r w:rsidRPr="002D35DD">
        <w:rPr>
          <w:rFonts w:cs="Times New Roman"/>
          <w:iCs/>
          <w:lang w:val="en"/>
        </w:rPr>
        <w:t xml:space="preserve"> evaluated positively or negatively by th</w:t>
      </w:r>
      <w:r>
        <w:rPr>
          <w:rFonts w:cs="Times New Roman"/>
          <w:iCs/>
          <w:lang w:val="en"/>
        </w:rPr>
        <w:t>e universities. The salary’s rewards</w:t>
      </w:r>
      <w:r w:rsidRPr="002D35DD">
        <w:rPr>
          <w:rFonts w:cs="Times New Roman"/>
          <w:iCs/>
          <w:lang w:val="en"/>
        </w:rPr>
        <w:t xml:space="preserve"> are rese</w:t>
      </w:r>
      <w:r>
        <w:rPr>
          <w:rFonts w:cs="Times New Roman"/>
          <w:iCs/>
          <w:lang w:val="en"/>
        </w:rPr>
        <w:t>rved only for the best ones and</w:t>
      </w:r>
      <w:r w:rsidRPr="002D35DD">
        <w:rPr>
          <w:rFonts w:cs="Times New Roman"/>
          <w:iCs/>
          <w:lang w:val="en"/>
        </w:rPr>
        <w:t>, in fact, in case of negative ev</w:t>
      </w:r>
      <w:r>
        <w:rPr>
          <w:rFonts w:cs="Times New Roman"/>
          <w:iCs/>
          <w:lang w:val="en"/>
        </w:rPr>
        <w:t>aluation, they lose the salary’s reward and can</w:t>
      </w:r>
      <w:r w:rsidRPr="002D35DD">
        <w:rPr>
          <w:rFonts w:cs="Times New Roman"/>
          <w:iCs/>
          <w:lang w:val="en"/>
        </w:rPr>
        <w:t>not participate as commissioners in the competitions for the selection and career progression of the academic staff.</w:t>
      </w:r>
    </w:p>
    <w:p w14:paraId="751B03CD" w14:textId="47B68324" w:rsidR="00BE5A8B" w:rsidRDefault="00BE5A8B" w:rsidP="00BE5A8B">
      <w:pPr>
        <w:spacing w:line="480" w:lineRule="auto"/>
        <w:jc w:val="both"/>
        <w:rPr>
          <w:rFonts w:cs="Times New Roman"/>
          <w:iCs/>
          <w:lang w:val="en"/>
        </w:rPr>
      </w:pPr>
      <w:r w:rsidRPr="00F37E17">
        <w:rPr>
          <w:rFonts w:cs="Times New Roman"/>
          <w:iCs/>
          <w:lang w:val="en-US"/>
        </w:rPr>
        <w:t>Therefore,</w:t>
      </w:r>
      <w:r>
        <w:rPr>
          <w:rFonts w:cs="Times New Roman"/>
          <w:iCs/>
        </w:rPr>
        <w:t xml:space="preserve"> </w:t>
      </w:r>
      <w:r>
        <w:rPr>
          <w:rFonts w:cs="Times New Roman"/>
          <w:iCs/>
          <w:lang w:val="en"/>
        </w:rPr>
        <w:t>t</w:t>
      </w:r>
      <w:r w:rsidRPr="00F37E17">
        <w:rPr>
          <w:rFonts w:cs="Times New Roman"/>
          <w:iCs/>
          <w:lang w:val="en"/>
        </w:rPr>
        <w:t xml:space="preserve">he reform has </w:t>
      </w:r>
      <w:r>
        <w:rPr>
          <w:rFonts w:cs="Times New Roman"/>
          <w:iCs/>
          <w:lang w:val="en"/>
        </w:rPr>
        <w:t xml:space="preserve">a </w:t>
      </w:r>
      <w:r w:rsidRPr="00F37E17">
        <w:rPr>
          <w:rFonts w:cs="Times New Roman"/>
          <w:iCs/>
          <w:lang w:val="en"/>
        </w:rPr>
        <w:t xml:space="preserve">little impact on the functional autonomy of the universities, but </w:t>
      </w:r>
      <w:r>
        <w:rPr>
          <w:rFonts w:cs="Times New Roman"/>
          <w:iCs/>
          <w:lang w:val="en"/>
        </w:rPr>
        <w:t>it</w:t>
      </w:r>
      <w:r w:rsidR="00C76AAC">
        <w:rPr>
          <w:rFonts w:cs="Times New Roman"/>
          <w:iCs/>
          <w:lang w:val="en"/>
        </w:rPr>
        <w:t xml:space="preserve"> </w:t>
      </w:r>
      <w:r w:rsidRPr="00F37E17">
        <w:rPr>
          <w:rFonts w:cs="Times New Roman"/>
          <w:iCs/>
          <w:lang w:val="en"/>
        </w:rPr>
        <w:t>particularly affects their organizational structure, increasing the link between administration and m</w:t>
      </w:r>
      <w:r>
        <w:rPr>
          <w:rFonts w:cs="Times New Roman"/>
          <w:iCs/>
          <w:lang w:val="en"/>
        </w:rPr>
        <w:t>anagement. The reform, hence</w:t>
      </w:r>
      <w:r w:rsidRPr="00F37E17">
        <w:rPr>
          <w:rFonts w:cs="Times New Roman"/>
          <w:iCs/>
          <w:lang w:val="en"/>
        </w:rPr>
        <w:t>, has redesigned the area of ​​teaching and services to students, the area of ​​</w:t>
      </w:r>
      <w:r>
        <w:rPr>
          <w:rFonts w:cs="Times New Roman"/>
          <w:iCs/>
          <w:lang w:val="en"/>
        </w:rPr>
        <w:t>human resources (both professors and technical-administrative staff)</w:t>
      </w:r>
      <w:r w:rsidRPr="00F37E17">
        <w:rPr>
          <w:rFonts w:cs="Times New Roman"/>
          <w:iCs/>
          <w:lang w:val="en"/>
        </w:rPr>
        <w:t xml:space="preserve"> and the scientific-disciplinary sectors, thus improving the quality of the entire university system.</w:t>
      </w:r>
    </w:p>
    <w:p w14:paraId="286DCC4E" w14:textId="77777777" w:rsidR="00BE5A8B" w:rsidRDefault="00BE5A8B" w:rsidP="00BE5A8B">
      <w:pPr>
        <w:spacing w:line="480" w:lineRule="auto"/>
        <w:jc w:val="both"/>
        <w:rPr>
          <w:rFonts w:cs="Times New Roman"/>
          <w:iCs/>
          <w:lang w:val="en"/>
        </w:rPr>
      </w:pPr>
      <w:r>
        <w:rPr>
          <w:rFonts w:cs="Times New Roman"/>
          <w:iCs/>
          <w:lang w:val="en"/>
        </w:rPr>
        <w:t xml:space="preserve">Financial changes are adressed to further incentivize </w:t>
      </w:r>
      <w:r w:rsidRPr="00C9114A">
        <w:rPr>
          <w:rFonts w:cs="Times New Roman"/>
          <w:iCs/>
          <w:lang w:val="en"/>
        </w:rPr>
        <w:t xml:space="preserve">the quality and efficiency of the university system. </w:t>
      </w:r>
      <w:r>
        <w:rPr>
          <w:rFonts w:cs="Times New Roman"/>
          <w:iCs/>
          <w:lang w:val="en"/>
        </w:rPr>
        <w:t xml:space="preserve">The reform </w:t>
      </w:r>
      <w:r w:rsidRPr="00C9114A">
        <w:rPr>
          <w:rFonts w:cs="Times New Roman"/>
          <w:iCs/>
          <w:lang w:val="en"/>
        </w:rPr>
        <w:t>declares that public resources must be distributed consistent</w:t>
      </w:r>
      <w:r>
        <w:rPr>
          <w:rFonts w:cs="Times New Roman"/>
          <w:iCs/>
          <w:lang w:val="en"/>
        </w:rPr>
        <w:t>ly</w:t>
      </w:r>
      <w:r w:rsidRPr="00C9114A">
        <w:rPr>
          <w:rFonts w:cs="Times New Roman"/>
          <w:iCs/>
          <w:lang w:val="en"/>
        </w:rPr>
        <w:t xml:space="preserve"> with the objectives, strategic guidelines and type of activities carried out by each university. The "rule" of </w:t>
      </w:r>
      <w:r>
        <w:rPr>
          <w:rFonts w:cs="Times New Roman"/>
          <w:iCs/>
          <w:lang w:val="en"/>
        </w:rPr>
        <w:t>equal funding is established</w:t>
      </w:r>
      <w:r w:rsidRPr="00C9114A">
        <w:rPr>
          <w:rFonts w:cs="Times New Roman"/>
          <w:iCs/>
          <w:lang w:val="en"/>
        </w:rPr>
        <w:t xml:space="preserve"> by the National Agency for Evaluation of the University and Research System (ANVUR) ​​which has the task of verifying and evaluating the results achieved by </w:t>
      </w:r>
      <w:r>
        <w:rPr>
          <w:rFonts w:cs="Times New Roman"/>
          <w:iCs/>
          <w:lang w:val="en"/>
        </w:rPr>
        <w:t>each</w:t>
      </w:r>
      <w:r w:rsidRPr="00C9114A">
        <w:rPr>
          <w:rFonts w:cs="Times New Roman"/>
          <w:iCs/>
          <w:lang w:val="en"/>
        </w:rPr>
        <w:t xml:space="preserve"> university, according to the criteria of quality, tran</w:t>
      </w:r>
      <w:r>
        <w:rPr>
          <w:rFonts w:cs="Times New Roman"/>
          <w:iCs/>
          <w:lang w:val="en"/>
        </w:rPr>
        <w:t>sparency and excellence promotion</w:t>
      </w:r>
      <w:r w:rsidRPr="00C9114A">
        <w:rPr>
          <w:rFonts w:cs="Times New Roman"/>
          <w:iCs/>
          <w:lang w:val="en"/>
        </w:rPr>
        <w:t xml:space="preserve">. </w:t>
      </w:r>
      <w:r>
        <w:rPr>
          <w:rFonts w:cs="Times New Roman"/>
          <w:iCs/>
          <w:lang w:val="en"/>
        </w:rPr>
        <w:t>Then, relating to the FFO,</w:t>
      </w:r>
      <w:r w:rsidRPr="00C9114A">
        <w:rPr>
          <w:rFonts w:cs="Times New Roman"/>
          <w:iCs/>
          <w:lang w:val="en"/>
        </w:rPr>
        <w:t xml:space="preserve"> introduced with the law n. 537 of 1993, the Gelmini reform adds a rotation fund with the aim of rebalancing the universities from a financial point of view.</w:t>
      </w:r>
    </w:p>
    <w:p w14:paraId="1743977E" w14:textId="322278DA" w:rsidR="00BE5A8B" w:rsidRDefault="00BE5A8B" w:rsidP="00BE5A8B">
      <w:pPr>
        <w:spacing w:line="480" w:lineRule="auto"/>
        <w:jc w:val="both"/>
        <w:rPr>
          <w:rFonts w:cs="Times New Roman"/>
          <w:iCs/>
          <w:lang w:val="en"/>
        </w:rPr>
      </w:pPr>
      <w:r>
        <w:rPr>
          <w:rFonts w:cs="Times New Roman"/>
          <w:iCs/>
          <w:lang w:val="en"/>
        </w:rPr>
        <w:t>Then, the reform establishes</w:t>
      </w:r>
      <w:r w:rsidRPr="00E875B9">
        <w:rPr>
          <w:rFonts w:cs="Times New Roman"/>
          <w:iCs/>
          <w:lang w:val="en"/>
        </w:rPr>
        <w:t xml:space="preserve"> the adoption of a single integrated accounting system </w:t>
      </w:r>
      <w:r>
        <w:rPr>
          <w:rFonts w:cs="Times New Roman"/>
          <w:iCs/>
          <w:lang w:val="en"/>
        </w:rPr>
        <w:t>that represents an important</w:t>
      </w:r>
      <w:r w:rsidRPr="00E875B9">
        <w:rPr>
          <w:rFonts w:cs="Times New Roman"/>
          <w:iCs/>
          <w:lang w:val="en"/>
        </w:rPr>
        <w:t xml:space="preserve"> change for Italian universities, as it allows </w:t>
      </w:r>
      <w:r>
        <w:rPr>
          <w:rFonts w:cs="Times New Roman"/>
          <w:iCs/>
          <w:lang w:val="en"/>
        </w:rPr>
        <w:t>to provide economic, asset</w:t>
      </w:r>
      <w:r w:rsidR="002500AA">
        <w:rPr>
          <w:rFonts w:cs="Times New Roman"/>
          <w:iCs/>
          <w:lang w:val="en"/>
        </w:rPr>
        <w:t>s</w:t>
      </w:r>
      <w:r>
        <w:rPr>
          <w:rFonts w:cs="Times New Roman"/>
          <w:iCs/>
          <w:lang w:val="en"/>
        </w:rPr>
        <w:t xml:space="preserve"> and financial information about</w:t>
      </w:r>
      <w:r w:rsidRPr="00E875B9">
        <w:rPr>
          <w:rFonts w:cs="Times New Roman"/>
          <w:iCs/>
          <w:lang w:val="en"/>
        </w:rPr>
        <w:t xml:space="preserve"> the management of the university</w:t>
      </w:r>
      <w:r>
        <w:rPr>
          <w:rFonts w:cs="Times New Roman"/>
          <w:iCs/>
          <w:lang w:val="en"/>
        </w:rPr>
        <w:t>,</w:t>
      </w:r>
      <w:r w:rsidRPr="00E875B9">
        <w:rPr>
          <w:rFonts w:cs="Times New Roman"/>
          <w:iCs/>
          <w:lang w:val="en"/>
        </w:rPr>
        <w:t xml:space="preserve"> both inside and outside it</w:t>
      </w:r>
      <w:r>
        <w:rPr>
          <w:rFonts w:cs="Times New Roman"/>
          <w:iCs/>
          <w:lang w:val="en"/>
        </w:rPr>
        <w:t>,</w:t>
      </w:r>
      <w:r w:rsidRPr="00E875B9">
        <w:rPr>
          <w:rFonts w:cs="Times New Roman"/>
          <w:iCs/>
          <w:lang w:val="en"/>
        </w:rPr>
        <w:t xml:space="preserve"> to better satisfy the i</w:t>
      </w:r>
      <w:r>
        <w:rPr>
          <w:rFonts w:cs="Times New Roman"/>
          <w:iCs/>
          <w:lang w:val="en"/>
        </w:rPr>
        <w:t>nterests of the stakeholders that</w:t>
      </w:r>
      <w:r w:rsidRPr="00E875B9">
        <w:rPr>
          <w:rFonts w:cs="Times New Roman"/>
          <w:iCs/>
          <w:lang w:val="en"/>
        </w:rPr>
        <w:t xml:space="preserve"> want to know more and more</w:t>
      </w:r>
      <w:r>
        <w:rPr>
          <w:rFonts w:cs="Times New Roman"/>
          <w:iCs/>
          <w:lang w:val="en"/>
        </w:rPr>
        <w:t xml:space="preserve"> about</w:t>
      </w:r>
      <w:r w:rsidRPr="00E875B9">
        <w:rPr>
          <w:rFonts w:cs="Times New Roman"/>
          <w:iCs/>
          <w:lang w:val="en"/>
        </w:rPr>
        <w:t xml:space="preserve"> the activities and processes carried out by the universities. </w:t>
      </w:r>
    </w:p>
    <w:p w14:paraId="1717775F" w14:textId="7CC06D50" w:rsidR="00BE5A8B" w:rsidRDefault="00BE5A8B" w:rsidP="00BE5A8B">
      <w:pPr>
        <w:spacing w:line="480" w:lineRule="auto"/>
        <w:jc w:val="both"/>
        <w:rPr>
          <w:rFonts w:cs="Times New Roman"/>
          <w:iCs/>
          <w:lang w:val="en"/>
        </w:rPr>
      </w:pPr>
      <w:r>
        <w:rPr>
          <w:rFonts w:cs="Times New Roman"/>
          <w:iCs/>
          <w:lang w:val="en"/>
        </w:rPr>
        <w:t>Finally, the Gelmini reform, beyond</w:t>
      </w:r>
      <w:r w:rsidRPr="00335073">
        <w:rPr>
          <w:rFonts w:cs="Times New Roman"/>
          <w:iCs/>
          <w:lang w:val="en"/>
        </w:rPr>
        <w:t xml:space="preserve"> introducing measures lin</w:t>
      </w:r>
      <w:r>
        <w:rPr>
          <w:rFonts w:cs="Times New Roman"/>
          <w:iCs/>
          <w:lang w:val="en"/>
        </w:rPr>
        <w:t>ked to the organizational str</w:t>
      </w:r>
      <w:r w:rsidR="002500AA">
        <w:rPr>
          <w:rFonts w:cs="Times New Roman"/>
          <w:iCs/>
          <w:lang w:val="en"/>
        </w:rPr>
        <w:t>u</w:t>
      </w:r>
      <w:r>
        <w:rPr>
          <w:rFonts w:cs="Times New Roman"/>
          <w:iCs/>
          <w:lang w:val="en"/>
        </w:rPr>
        <w:t>cture</w:t>
      </w:r>
      <w:r w:rsidRPr="00335073">
        <w:rPr>
          <w:rFonts w:cs="Times New Roman"/>
          <w:iCs/>
          <w:lang w:val="en"/>
        </w:rPr>
        <w:t xml:space="preserve">, governance, the legal status of professors and researchers and the </w:t>
      </w:r>
      <w:r>
        <w:rPr>
          <w:rFonts w:cs="Times New Roman"/>
          <w:iCs/>
          <w:lang w:val="en"/>
        </w:rPr>
        <w:t>teaching activities</w:t>
      </w:r>
      <w:r w:rsidRPr="00335073">
        <w:rPr>
          <w:rFonts w:cs="Times New Roman"/>
          <w:iCs/>
          <w:lang w:val="en"/>
        </w:rPr>
        <w:t>, has also introduced improvements in accounting and financial terms. The new information, accounting and budget system, in fact, pushes Italian universities to have greater autonomy and accountability by globally representing university management more efficiently, offering high quality services and</w:t>
      </w:r>
      <w:r w:rsidR="002500AA">
        <w:rPr>
          <w:rFonts w:cs="Times New Roman"/>
          <w:iCs/>
          <w:lang w:val="en"/>
        </w:rPr>
        <w:t>,</w:t>
      </w:r>
      <w:r w:rsidRPr="00335073">
        <w:rPr>
          <w:rFonts w:cs="Times New Roman"/>
          <w:iCs/>
          <w:lang w:val="en"/>
        </w:rPr>
        <w:t xml:space="preserve"> at the same time</w:t>
      </w:r>
      <w:r w:rsidR="002500AA">
        <w:rPr>
          <w:rFonts w:cs="Times New Roman"/>
          <w:iCs/>
          <w:lang w:val="en"/>
        </w:rPr>
        <w:t>,</w:t>
      </w:r>
      <w:r w:rsidRPr="00335073">
        <w:rPr>
          <w:rFonts w:cs="Times New Roman"/>
          <w:iCs/>
          <w:lang w:val="en"/>
        </w:rPr>
        <w:t xml:space="preserve"> leading universities to adopt </w:t>
      </w:r>
      <w:r>
        <w:rPr>
          <w:rFonts w:cs="Times New Roman"/>
          <w:iCs/>
          <w:lang w:val="en"/>
        </w:rPr>
        <w:t xml:space="preserve">accounting models </w:t>
      </w:r>
      <w:r w:rsidRPr="00335073">
        <w:rPr>
          <w:rFonts w:cs="Times New Roman"/>
          <w:iCs/>
          <w:lang w:val="en"/>
        </w:rPr>
        <w:t>aimed at improving the performance and the economic aspect of the universities.</w:t>
      </w:r>
    </w:p>
    <w:p w14:paraId="7A4B2CA2" w14:textId="77777777" w:rsidR="00BE5A8B" w:rsidRPr="00766018" w:rsidRDefault="00BE5A8B" w:rsidP="00BE5A8B">
      <w:pPr>
        <w:spacing w:line="480" w:lineRule="auto"/>
        <w:jc w:val="both"/>
        <w:rPr>
          <w:lang w:val="en-US"/>
        </w:rPr>
      </w:pPr>
      <w:r w:rsidRPr="00766018">
        <w:rPr>
          <w:rFonts w:cs="Times New Roman"/>
          <w:iCs/>
          <w:lang w:val="en-US"/>
        </w:rPr>
        <w:t>Obviously</w:t>
      </w:r>
      <w:r>
        <w:rPr>
          <w:rFonts w:cs="Times New Roman"/>
          <w:iCs/>
          <w:lang w:val="en-US"/>
        </w:rPr>
        <w:t xml:space="preserve">, all the reforms relating to the higher education context are also affected by the economic context and situation where the system operates. In fact, </w:t>
      </w:r>
      <w:r>
        <w:rPr>
          <w:lang w:val="en-US"/>
        </w:rPr>
        <w:t>t</w:t>
      </w:r>
      <w:r w:rsidRPr="000C2150">
        <w:rPr>
          <w:lang w:val="en-US"/>
        </w:rPr>
        <w:t>he recent economic downturn has slowed down public sector severely and the situation is expected to get worse until th</w:t>
      </w:r>
      <w:r>
        <w:rPr>
          <w:lang w:val="en-US"/>
        </w:rPr>
        <w:t>e economy recovers (Moon &amp;</w:t>
      </w:r>
      <w:r w:rsidRPr="000C2150">
        <w:rPr>
          <w:lang w:val="en-US"/>
        </w:rPr>
        <w:t xml:space="preserve"> Azizi, 2013). This is the main reason why also public higher education has grown to appreciate added support from charitable gifts (Holmes, 2010). </w:t>
      </w:r>
      <w:r>
        <w:rPr>
          <w:lang w:val="en-US"/>
        </w:rPr>
        <w:t>Therefore, the competition for private charitable donations has become fierce and donors are exposed to an increasing number of solicitations for support (Srnka et al. 2013). Moreover, according to Goering et al. (2009) fundraising has been acknowledged as “a persuasive activity that seeks to convince donors to a worthy cause”. Furthermore, in a wider perspective, fundraising is not only the science of raising funds, but also the science of financial sustainability of a social cause. From that reasoning, this research is focused on the public sector, with a particular regard to public universities. According to Moore (2000), the mission of governmental organization defines the value that the organization intends to produce for its stakeholders and for society at large. The former, in order to get its mission and to create value, needs funds, which are not totally delivered by central governments. Therefore, public universities have to fulfill needs through their functions, supported by fundraising activities, trying to involve several types of stakeholders.</w:t>
      </w:r>
    </w:p>
    <w:p w14:paraId="30FC3ABD" w14:textId="64808CA3" w:rsidR="00BE5A8B" w:rsidRDefault="00BE5A8B" w:rsidP="00BE5A8B">
      <w:pPr>
        <w:spacing w:line="480" w:lineRule="auto"/>
        <w:jc w:val="both"/>
        <w:rPr>
          <w:rFonts w:cs="Times New Roman"/>
          <w:iCs/>
          <w:lang w:val="en-US"/>
        </w:rPr>
      </w:pPr>
      <w:r w:rsidRPr="00061B0E">
        <w:rPr>
          <w:rFonts w:cs="Times New Roman"/>
          <w:iCs/>
          <w:lang w:val="en-US"/>
        </w:rPr>
        <w:t xml:space="preserve">Taking into consideration </w:t>
      </w:r>
      <w:r>
        <w:rPr>
          <w:rFonts w:cs="Times New Roman"/>
          <w:iCs/>
          <w:lang w:val="en-US"/>
        </w:rPr>
        <w:t>all the changes aforementioned, that have had a deep impact on the Italian public universities’ system, especially from the governmental funding point of view, this thesis aims at understanding, interpreting and explaining public universities fundraising phenomenon as a process, in addition to its dynamics within and outside Italian public universities’ system. Moreover, in order to get the research aims and to answer to research questions, which will be developed in the following sections of the study, the following chapters will compose the dissertation thesis. First of all, this section (general introduction) is followed by a general (topical and theoretical) literature review on the topic, with a description of what are the orig</w:t>
      </w:r>
      <w:r w:rsidR="00875526">
        <w:rPr>
          <w:rFonts w:cs="Times New Roman"/>
          <w:iCs/>
          <w:lang w:val="en-US"/>
        </w:rPr>
        <w:t>inal contributions of each essay</w:t>
      </w:r>
      <w:r>
        <w:rPr>
          <w:rFonts w:cs="Times New Roman"/>
          <w:iCs/>
          <w:lang w:val="en-US"/>
        </w:rPr>
        <w:t>. Afterwards, three essays about the topic are presented, with a specific introduction for each of them, linked to the overall objectives of the thesis. Finally general conclusions will be stated in the last chapter.</w:t>
      </w:r>
    </w:p>
    <w:p w14:paraId="6AC7E566" w14:textId="77777777" w:rsidR="006E0F7E" w:rsidRDefault="006E0F7E" w:rsidP="00BE5A8B">
      <w:pPr>
        <w:spacing w:line="480" w:lineRule="auto"/>
        <w:jc w:val="both"/>
        <w:rPr>
          <w:rFonts w:cs="Times New Roman"/>
          <w:iCs/>
          <w:lang w:val="en-US"/>
        </w:rPr>
      </w:pPr>
    </w:p>
    <w:p w14:paraId="11B8620F" w14:textId="77777777" w:rsidR="006E0F7E" w:rsidRDefault="006E0F7E" w:rsidP="00BE5A8B">
      <w:pPr>
        <w:spacing w:line="480" w:lineRule="auto"/>
        <w:jc w:val="both"/>
        <w:rPr>
          <w:rFonts w:cs="Times New Roman"/>
          <w:iCs/>
          <w:lang w:val="en-US"/>
        </w:rPr>
      </w:pPr>
    </w:p>
    <w:p w14:paraId="6996916B" w14:textId="77777777" w:rsidR="006E0F7E" w:rsidRDefault="006E0F7E" w:rsidP="00BE5A8B">
      <w:pPr>
        <w:spacing w:line="480" w:lineRule="auto"/>
        <w:jc w:val="both"/>
        <w:rPr>
          <w:rFonts w:cs="Times New Roman"/>
          <w:iCs/>
          <w:lang w:val="en-US"/>
        </w:rPr>
      </w:pPr>
    </w:p>
    <w:p w14:paraId="5055AA02" w14:textId="77777777" w:rsidR="006E0F7E" w:rsidRDefault="006E0F7E" w:rsidP="00BE5A8B">
      <w:pPr>
        <w:spacing w:line="480" w:lineRule="auto"/>
        <w:jc w:val="both"/>
        <w:rPr>
          <w:rFonts w:cs="Times New Roman"/>
          <w:iCs/>
          <w:lang w:val="en-US"/>
        </w:rPr>
      </w:pPr>
    </w:p>
    <w:p w14:paraId="0167FD66" w14:textId="77777777" w:rsidR="006E0F7E" w:rsidRDefault="006E0F7E" w:rsidP="00BE5A8B">
      <w:pPr>
        <w:spacing w:line="480" w:lineRule="auto"/>
        <w:jc w:val="both"/>
        <w:rPr>
          <w:rFonts w:cs="Times New Roman"/>
          <w:iCs/>
          <w:lang w:val="en-US"/>
        </w:rPr>
      </w:pPr>
    </w:p>
    <w:p w14:paraId="0D70F066" w14:textId="77777777" w:rsidR="006E0F7E" w:rsidRDefault="006E0F7E" w:rsidP="00BE5A8B">
      <w:pPr>
        <w:spacing w:line="480" w:lineRule="auto"/>
        <w:jc w:val="both"/>
        <w:rPr>
          <w:rFonts w:cs="Times New Roman"/>
          <w:iCs/>
          <w:lang w:val="en-US"/>
        </w:rPr>
      </w:pPr>
    </w:p>
    <w:p w14:paraId="40C33154" w14:textId="77777777" w:rsidR="006E0F7E" w:rsidRDefault="006E0F7E" w:rsidP="00BE5A8B">
      <w:pPr>
        <w:spacing w:line="480" w:lineRule="auto"/>
        <w:jc w:val="both"/>
        <w:rPr>
          <w:rFonts w:cs="Times New Roman"/>
          <w:iCs/>
          <w:lang w:val="en-US"/>
        </w:rPr>
      </w:pPr>
    </w:p>
    <w:p w14:paraId="1B48324E" w14:textId="77777777" w:rsidR="006E0F7E" w:rsidRDefault="006E0F7E" w:rsidP="00BE5A8B">
      <w:pPr>
        <w:spacing w:line="480" w:lineRule="auto"/>
        <w:jc w:val="both"/>
        <w:rPr>
          <w:rFonts w:cs="Times New Roman"/>
          <w:iCs/>
          <w:lang w:val="en-US"/>
        </w:rPr>
      </w:pPr>
    </w:p>
    <w:p w14:paraId="3BBEA0C5" w14:textId="77777777" w:rsidR="006E0F7E" w:rsidRDefault="006E0F7E" w:rsidP="00BE5A8B">
      <w:pPr>
        <w:spacing w:line="480" w:lineRule="auto"/>
        <w:jc w:val="both"/>
        <w:rPr>
          <w:rFonts w:cs="Times New Roman"/>
          <w:iCs/>
          <w:lang w:val="en-US"/>
        </w:rPr>
      </w:pPr>
    </w:p>
    <w:p w14:paraId="1B2A7584" w14:textId="77777777" w:rsidR="006E0F7E" w:rsidRDefault="006E0F7E" w:rsidP="00BE5A8B">
      <w:pPr>
        <w:spacing w:line="480" w:lineRule="auto"/>
        <w:jc w:val="both"/>
        <w:rPr>
          <w:rFonts w:cs="Times New Roman"/>
          <w:iCs/>
          <w:lang w:val="en-US"/>
        </w:rPr>
      </w:pPr>
    </w:p>
    <w:p w14:paraId="46EB1B86" w14:textId="77777777" w:rsidR="006E0F7E" w:rsidRDefault="006E0F7E" w:rsidP="00BE5A8B">
      <w:pPr>
        <w:spacing w:line="480" w:lineRule="auto"/>
        <w:jc w:val="both"/>
        <w:rPr>
          <w:rFonts w:cs="Times New Roman"/>
          <w:iCs/>
          <w:lang w:val="en-US"/>
        </w:rPr>
      </w:pPr>
    </w:p>
    <w:p w14:paraId="448BC3F6" w14:textId="77777777" w:rsidR="006E0F7E" w:rsidRDefault="006E0F7E" w:rsidP="00BE5A8B">
      <w:pPr>
        <w:spacing w:line="480" w:lineRule="auto"/>
        <w:jc w:val="both"/>
        <w:rPr>
          <w:rFonts w:cs="Times New Roman"/>
          <w:iCs/>
          <w:lang w:val="en-US"/>
        </w:rPr>
      </w:pPr>
    </w:p>
    <w:p w14:paraId="40E99DDE" w14:textId="77777777" w:rsidR="006E0F7E" w:rsidRDefault="006E0F7E" w:rsidP="00BE5A8B">
      <w:pPr>
        <w:spacing w:line="480" w:lineRule="auto"/>
        <w:jc w:val="both"/>
        <w:rPr>
          <w:rFonts w:cs="Times New Roman"/>
          <w:iCs/>
          <w:lang w:val="en-US"/>
        </w:rPr>
      </w:pPr>
    </w:p>
    <w:p w14:paraId="5D5A1DE5" w14:textId="77777777" w:rsidR="006E0F7E" w:rsidRDefault="006E0F7E" w:rsidP="00BE5A8B">
      <w:pPr>
        <w:spacing w:line="480" w:lineRule="auto"/>
        <w:jc w:val="both"/>
        <w:rPr>
          <w:rFonts w:cs="Times New Roman"/>
          <w:iCs/>
          <w:lang w:val="en-US"/>
        </w:rPr>
      </w:pPr>
    </w:p>
    <w:p w14:paraId="6539C8A2" w14:textId="77777777" w:rsidR="006E0F7E" w:rsidRDefault="006E0F7E" w:rsidP="00BE5A8B">
      <w:pPr>
        <w:spacing w:line="480" w:lineRule="auto"/>
        <w:jc w:val="both"/>
        <w:rPr>
          <w:rFonts w:cs="Times New Roman"/>
          <w:iCs/>
          <w:lang w:val="en-US"/>
        </w:rPr>
      </w:pPr>
    </w:p>
    <w:p w14:paraId="74D2E503" w14:textId="77777777" w:rsidR="006E0F7E" w:rsidRDefault="006E0F7E" w:rsidP="00BE5A8B">
      <w:pPr>
        <w:spacing w:line="480" w:lineRule="auto"/>
        <w:jc w:val="both"/>
        <w:rPr>
          <w:rFonts w:cs="Times New Roman"/>
          <w:iCs/>
          <w:lang w:val="en-US"/>
        </w:rPr>
      </w:pPr>
    </w:p>
    <w:p w14:paraId="59A88F16" w14:textId="77777777" w:rsidR="006E0F7E" w:rsidRDefault="006E0F7E" w:rsidP="00BE5A8B">
      <w:pPr>
        <w:spacing w:line="480" w:lineRule="auto"/>
        <w:jc w:val="both"/>
        <w:rPr>
          <w:rFonts w:cs="Times New Roman"/>
          <w:iCs/>
          <w:lang w:val="en-US"/>
        </w:rPr>
      </w:pPr>
    </w:p>
    <w:p w14:paraId="32862785" w14:textId="77777777" w:rsidR="006E0F7E" w:rsidRDefault="006E0F7E" w:rsidP="00BE5A8B">
      <w:pPr>
        <w:spacing w:line="480" w:lineRule="auto"/>
        <w:jc w:val="both"/>
        <w:rPr>
          <w:rFonts w:cs="Times New Roman"/>
          <w:iCs/>
          <w:lang w:val="en-US"/>
        </w:rPr>
      </w:pPr>
    </w:p>
    <w:p w14:paraId="5FA6DBB4" w14:textId="77777777" w:rsidR="006E0F7E" w:rsidRDefault="006E0F7E" w:rsidP="00BE5A8B">
      <w:pPr>
        <w:spacing w:line="480" w:lineRule="auto"/>
        <w:jc w:val="both"/>
        <w:rPr>
          <w:rFonts w:cs="Times New Roman"/>
          <w:iCs/>
          <w:lang w:val="en-US"/>
        </w:rPr>
      </w:pPr>
    </w:p>
    <w:p w14:paraId="1F475FAF" w14:textId="77777777" w:rsidR="006E0F7E" w:rsidRPr="00061B0E" w:rsidRDefault="006E0F7E" w:rsidP="00BE5A8B">
      <w:pPr>
        <w:spacing w:line="480" w:lineRule="auto"/>
        <w:jc w:val="both"/>
        <w:rPr>
          <w:rFonts w:cs="Times New Roman"/>
          <w:iCs/>
          <w:lang w:val="en-US"/>
        </w:rPr>
      </w:pPr>
    </w:p>
    <w:p w14:paraId="52C30852" w14:textId="77777777" w:rsidR="00740B0F" w:rsidRPr="00740B0F" w:rsidRDefault="00740B0F" w:rsidP="00740B0F">
      <w:pPr>
        <w:spacing w:line="480" w:lineRule="auto"/>
        <w:jc w:val="both"/>
        <w:rPr>
          <w:sz w:val="28"/>
          <w:szCs w:val="28"/>
          <w:lang w:val="en-US"/>
        </w:rPr>
      </w:pPr>
    </w:p>
    <w:p w14:paraId="57D2385D" w14:textId="77777777" w:rsidR="006D4483" w:rsidRDefault="006D4483" w:rsidP="006D4483">
      <w:pPr>
        <w:spacing w:line="480" w:lineRule="auto"/>
        <w:jc w:val="both"/>
        <w:rPr>
          <w:lang w:val="en-US"/>
        </w:rPr>
      </w:pPr>
    </w:p>
    <w:p w14:paraId="5DF0B45D" w14:textId="77777777" w:rsidR="00BE5A8B" w:rsidRDefault="00BE5A8B" w:rsidP="006D4483">
      <w:pPr>
        <w:spacing w:line="480" w:lineRule="auto"/>
        <w:jc w:val="both"/>
        <w:rPr>
          <w:lang w:val="en-US"/>
        </w:rPr>
      </w:pPr>
    </w:p>
    <w:p w14:paraId="76444D2A" w14:textId="77777777" w:rsidR="00BE5A8B" w:rsidRDefault="00BE5A8B" w:rsidP="006D4483">
      <w:pPr>
        <w:spacing w:line="480" w:lineRule="auto"/>
        <w:jc w:val="both"/>
        <w:rPr>
          <w:lang w:val="en-US"/>
        </w:rPr>
      </w:pPr>
    </w:p>
    <w:p w14:paraId="35514E5A" w14:textId="77777777" w:rsidR="00BE5A8B" w:rsidRDefault="00BE5A8B" w:rsidP="006D4483">
      <w:pPr>
        <w:spacing w:line="480" w:lineRule="auto"/>
        <w:jc w:val="both"/>
        <w:rPr>
          <w:lang w:val="en-US"/>
        </w:rPr>
      </w:pPr>
    </w:p>
    <w:p w14:paraId="0B37A38C" w14:textId="77777777" w:rsidR="00BE5A8B" w:rsidRDefault="00BE5A8B" w:rsidP="006D4483">
      <w:pPr>
        <w:spacing w:line="480" w:lineRule="auto"/>
        <w:jc w:val="both"/>
        <w:rPr>
          <w:lang w:val="en-US"/>
        </w:rPr>
      </w:pPr>
    </w:p>
    <w:p w14:paraId="7089E4F5" w14:textId="77777777" w:rsidR="00BE5A8B" w:rsidRDefault="00BE5A8B" w:rsidP="006D4483">
      <w:pPr>
        <w:spacing w:line="480" w:lineRule="auto"/>
        <w:jc w:val="both"/>
        <w:rPr>
          <w:lang w:val="en-US"/>
        </w:rPr>
      </w:pPr>
    </w:p>
    <w:p w14:paraId="7521868F" w14:textId="77777777" w:rsidR="00BE5A8B" w:rsidRDefault="00BE5A8B" w:rsidP="006D4483">
      <w:pPr>
        <w:spacing w:line="480" w:lineRule="auto"/>
        <w:jc w:val="both"/>
        <w:rPr>
          <w:lang w:val="en-US"/>
        </w:rPr>
      </w:pPr>
    </w:p>
    <w:p w14:paraId="22340A05" w14:textId="77777777" w:rsidR="00BE5A8B" w:rsidRDefault="00BE5A8B" w:rsidP="006D4483">
      <w:pPr>
        <w:spacing w:line="480" w:lineRule="auto"/>
        <w:jc w:val="both"/>
        <w:rPr>
          <w:lang w:val="en-US"/>
        </w:rPr>
      </w:pPr>
    </w:p>
    <w:p w14:paraId="41713536" w14:textId="77777777" w:rsidR="00BE5A8B" w:rsidRDefault="00BE5A8B" w:rsidP="006D4483">
      <w:pPr>
        <w:spacing w:line="480" w:lineRule="auto"/>
        <w:jc w:val="both"/>
        <w:rPr>
          <w:lang w:val="en-US"/>
        </w:rPr>
      </w:pPr>
    </w:p>
    <w:p w14:paraId="2F1338D4" w14:textId="77777777" w:rsidR="00BE5A8B" w:rsidRDefault="00BE5A8B" w:rsidP="006D4483">
      <w:pPr>
        <w:spacing w:line="480" w:lineRule="auto"/>
        <w:jc w:val="both"/>
        <w:rPr>
          <w:lang w:val="en-US"/>
        </w:rPr>
      </w:pPr>
    </w:p>
    <w:p w14:paraId="0F77D930" w14:textId="77777777" w:rsidR="00BE5A8B" w:rsidRDefault="00BE5A8B" w:rsidP="006D4483">
      <w:pPr>
        <w:spacing w:line="480" w:lineRule="auto"/>
        <w:jc w:val="both"/>
        <w:rPr>
          <w:lang w:val="en-US"/>
        </w:rPr>
      </w:pPr>
    </w:p>
    <w:p w14:paraId="03D3B473" w14:textId="77777777" w:rsidR="00BE5A8B" w:rsidRDefault="00BE5A8B" w:rsidP="006D4483">
      <w:pPr>
        <w:spacing w:line="480" w:lineRule="auto"/>
        <w:jc w:val="both"/>
        <w:rPr>
          <w:lang w:val="en-US"/>
        </w:rPr>
      </w:pPr>
    </w:p>
    <w:p w14:paraId="6BBE411E" w14:textId="77777777" w:rsidR="00BE5A8B" w:rsidRDefault="00BE5A8B" w:rsidP="006D4483">
      <w:pPr>
        <w:spacing w:line="480" w:lineRule="auto"/>
        <w:jc w:val="both"/>
        <w:rPr>
          <w:lang w:val="en-US"/>
        </w:rPr>
      </w:pPr>
    </w:p>
    <w:p w14:paraId="7CD51594" w14:textId="77777777" w:rsidR="00BE5A8B" w:rsidRDefault="00BE5A8B" w:rsidP="006D4483">
      <w:pPr>
        <w:spacing w:line="480" w:lineRule="auto"/>
        <w:jc w:val="both"/>
        <w:rPr>
          <w:lang w:val="en-US"/>
        </w:rPr>
      </w:pPr>
    </w:p>
    <w:p w14:paraId="15A9CE5F" w14:textId="77777777" w:rsidR="00BE5A8B" w:rsidRDefault="00BE5A8B" w:rsidP="006D4483">
      <w:pPr>
        <w:spacing w:line="480" w:lineRule="auto"/>
        <w:jc w:val="both"/>
        <w:rPr>
          <w:lang w:val="en-US"/>
        </w:rPr>
      </w:pPr>
    </w:p>
    <w:p w14:paraId="2E5ED2E0" w14:textId="77777777" w:rsidR="00BE5A8B" w:rsidRDefault="00BE5A8B" w:rsidP="006D4483">
      <w:pPr>
        <w:spacing w:line="480" w:lineRule="auto"/>
        <w:jc w:val="both"/>
        <w:rPr>
          <w:lang w:val="en-US"/>
        </w:rPr>
      </w:pPr>
    </w:p>
    <w:p w14:paraId="06CCB657" w14:textId="77777777" w:rsidR="00BE5A8B" w:rsidRDefault="00BE5A8B" w:rsidP="006D4483">
      <w:pPr>
        <w:spacing w:line="480" w:lineRule="auto"/>
        <w:jc w:val="both"/>
        <w:rPr>
          <w:lang w:val="en-US"/>
        </w:rPr>
      </w:pPr>
    </w:p>
    <w:p w14:paraId="767BEEB6" w14:textId="77777777" w:rsidR="00BE5A8B" w:rsidRDefault="00BE5A8B" w:rsidP="006D4483">
      <w:pPr>
        <w:spacing w:line="480" w:lineRule="auto"/>
        <w:jc w:val="both"/>
        <w:rPr>
          <w:lang w:val="en-US"/>
        </w:rPr>
      </w:pPr>
    </w:p>
    <w:p w14:paraId="6DA4A351" w14:textId="77777777" w:rsidR="006E0F7E" w:rsidRDefault="006E0F7E" w:rsidP="009170F8">
      <w:pPr>
        <w:spacing w:line="480" w:lineRule="auto"/>
        <w:rPr>
          <w:b/>
          <w:sz w:val="28"/>
          <w:szCs w:val="28"/>
          <w:lang w:val="en-US"/>
        </w:rPr>
      </w:pPr>
    </w:p>
    <w:p w14:paraId="2E935F91" w14:textId="77777777" w:rsidR="009170F8" w:rsidRDefault="009170F8" w:rsidP="009170F8">
      <w:pPr>
        <w:spacing w:line="480" w:lineRule="auto"/>
        <w:rPr>
          <w:b/>
          <w:sz w:val="28"/>
          <w:szCs w:val="28"/>
          <w:lang w:val="en-US"/>
        </w:rPr>
      </w:pPr>
    </w:p>
    <w:p w14:paraId="078D70B8" w14:textId="651225C3" w:rsidR="00BE5A8B" w:rsidRPr="00740B0F" w:rsidRDefault="00BE5A8B" w:rsidP="00BE5A8B">
      <w:pPr>
        <w:spacing w:line="480" w:lineRule="auto"/>
        <w:jc w:val="center"/>
        <w:rPr>
          <w:b/>
          <w:sz w:val="28"/>
          <w:szCs w:val="28"/>
          <w:lang w:val="en-US"/>
        </w:rPr>
      </w:pPr>
      <w:r>
        <w:rPr>
          <w:b/>
          <w:sz w:val="28"/>
          <w:szCs w:val="28"/>
          <w:lang w:val="en-US"/>
        </w:rPr>
        <w:t>Chapter 2</w:t>
      </w:r>
    </w:p>
    <w:p w14:paraId="329EF100" w14:textId="7FE3A37E" w:rsidR="00BE5A8B" w:rsidRPr="001A77AC" w:rsidRDefault="00BE5A8B" w:rsidP="00BE5A8B">
      <w:pPr>
        <w:spacing w:line="360" w:lineRule="auto"/>
        <w:jc w:val="center"/>
        <w:rPr>
          <w:b/>
          <w:sz w:val="28"/>
          <w:szCs w:val="28"/>
          <w:lang w:val="en-US"/>
        </w:rPr>
      </w:pPr>
      <w:r w:rsidRPr="001A77AC">
        <w:rPr>
          <w:b/>
          <w:sz w:val="28"/>
          <w:szCs w:val="28"/>
          <w:lang w:val="en-US"/>
        </w:rPr>
        <w:t>Fundraising in Higher Education Context: a Topical and Theoretical Literature Review</w:t>
      </w:r>
    </w:p>
    <w:p w14:paraId="0B81A46C" w14:textId="77777777" w:rsidR="00BE5A8B" w:rsidRDefault="00BE5A8B" w:rsidP="006D4483">
      <w:pPr>
        <w:spacing w:line="480" w:lineRule="auto"/>
        <w:jc w:val="both"/>
        <w:rPr>
          <w:lang w:val="en-US"/>
        </w:rPr>
      </w:pPr>
    </w:p>
    <w:p w14:paraId="71A7044D" w14:textId="77777777" w:rsidR="00BE5A8B" w:rsidRPr="00BE5A8B" w:rsidRDefault="00BE5A8B" w:rsidP="00BE5A8B">
      <w:pPr>
        <w:spacing w:line="480" w:lineRule="auto"/>
        <w:jc w:val="both"/>
        <w:rPr>
          <w:b/>
          <w:lang w:val="en-US"/>
        </w:rPr>
      </w:pPr>
      <w:r w:rsidRPr="00BE5A8B">
        <w:rPr>
          <w:b/>
          <w:lang w:val="en-US"/>
        </w:rPr>
        <w:t>2.1 Introduction</w:t>
      </w:r>
    </w:p>
    <w:p w14:paraId="2F5CE2C1" w14:textId="294E5494" w:rsidR="00BE5A8B" w:rsidRPr="00BE5A8B" w:rsidRDefault="00BE5A8B" w:rsidP="00BE5A8B">
      <w:pPr>
        <w:spacing w:line="480" w:lineRule="auto"/>
        <w:jc w:val="both"/>
        <w:rPr>
          <w:lang w:val="en-US"/>
        </w:rPr>
      </w:pPr>
      <w:r w:rsidRPr="00BE5A8B">
        <w:rPr>
          <w:lang w:val="en-US"/>
        </w:rPr>
        <w:t>Fundraising in higher education context is an issue that has been discussed by several studies since the Thirties’ of the XX century (Flack, 1932; Stover, 1930) However, these works were lacking relating to the historical perspective and scientific rigor: they were not supported by a theoretical framework, since they were delivered by fundraising practitioners ra</w:t>
      </w:r>
      <w:r w:rsidR="002C2982">
        <w:rPr>
          <w:lang w:val="en-US"/>
        </w:rPr>
        <w:t>t</w:t>
      </w:r>
      <w:r w:rsidR="00735B53">
        <w:rPr>
          <w:lang w:val="en-US"/>
        </w:rPr>
        <w:t>her than academic scholars. The</w:t>
      </w:r>
      <w:r w:rsidRPr="00BE5A8B">
        <w:rPr>
          <w:lang w:val="en-US"/>
        </w:rPr>
        <w:t xml:space="preserve"> situation changed in the middle of the 1970s, when several researches about educational fundraising were published, covering a lot of relating topics, like fundraising strategies, donors’ behavior, donations drivers and funding challenges (Lasher &amp; Cook, 1996). </w:t>
      </w:r>
    </w:p>
    <w:p w14:paraId="1973C56E" w14:textId="1F9C902A" w:rsidR="00BE5A8B" w:rsidRPr="00BE5A8B" w:rsidRDefault="00BE5A8B" w:rsidP="00BE5A8B">
      <w:pPr>
        <w:spacing w:line="480" w:lineRule="auto"/>
        <w:jc w:val="both"/>
        <w:rPr>
          <w:lang w:val="en-US"/>
        </w:rPr>
      </w:pPr>
      <w:r w:rsidRPr="00BE5A8B">
        <w:rPr>
          <w:lang w:val="en-US"/>
        </w:rPr>
        <w:t xml:space="preserve">Moreover, collecting funds to sustain education institutions is a very ancient activity that has existed since the foundation of the Academy of Plato (Fisher, 1989; Brittingam &amp; Pezzullo 1990). However, there are a few literature references regarding educational philanthropy at those times. The situation started to change when </w:t>
      </w:r>
      <w:r w:rsidR="009F53C0">
        <w:rPr>
          <w:lang w:val="en-US"/>
        </w:rPr>
        <w:t>the first universities were founded</w:t>
      </w:r>
      <w:r w:rsidRPr="00BE5A8B">
        <w:rPr>
          <w:lang w:val="en-US"/>
        </w:rPr>
        <w:t xml:space="preserve"> in the Middle Age (Lasher &amp; Cook, 1996). Within these institutions presidents and deans were in charge for fundraising issues, in order to support the academic activities (Schachner, 1962). When the Modern Age started, this situation did not change, since the role of rectors as fundraisers was reinforced. In fact, in the USA collegiate fundraising started in 1640, with the first president of Harvard College. This is not the only fundraising’s best practice, since there were several colonial colleges, in the British North American colonies, that were seeking for financial support by philanthropists, before and after the American Revolution (Curti &amp; Nash, 1965; McAnear, 1952, 1955). The strategic role of presidents has continued throughout the XVIII and XIX centuries: in those days, they were aided by several professional figures, like the governing board, alumni board and deans. However, the fundraising success was linked with executive leadership, since philanthropic relationships were mainly based on trust and loyalty (Lasher &amp; Cook, 1996; Stover, 1930). Then, it was only in the XX century that universities started to organize and develop fundraising campaigns through professional techniques (Lasher &amp; Cook, 1996). First of all, in the 1920s a new position was created in the higher education context: the development officer. Anyway, fundraising responsibility was still in charge of universities’ presidents and their staff (Flack, 1932). The following step was to delegate the fundraising function to a vice president, who had the role of coordinator with other functions, like alumni affairs and public relations (Jacobson, 1990). In some universities, after the World War I, a fundraising consultant was in charge for this task (Cutlip, 1965). Finally, since the 1950s universities started to employ their own professional fundraising staffs, developing the actual organizational structure, according to which presidents are in charge of fundraising strategy, being assisted by delegates in charge of fundraising management and coordination with other relating functions (Reck, 1976). </w:t>
      </w:r>
    </w:p>
    <w:p w14:paraId="0969D319" w14:textId="5C9B6732" w:rsidR="00BE5A8B" w:rsidRPr="00BE5A8B" w:rsidRDefault="00BE5A8B" w:rsidP="00BE5A8B">
      <w:pPr>
        <w:spacing w:line="480" w:lineRule="auto"/>
        <w:jc w:val="both"/>
        <w:rPr>
          <w:lang w:val="en-US"/>
        </w:rPr>
      </w:pPr>
      <w:r w:rsidRPr="00BE5A8B">
        <w:rPr>
          <w:lang w:val="en-US"/>
        </w:rPr>
        <w:t>From the historical perspective aforementioned, it is clear that fundraising has grown in term of importance within higher education context. Since the Middle Age, presidents have ma</w:t>
      </w:r>
      <w:r w:rsidR="004B1DF0">
        <w:rPr>
          <w:lang w:val="en-US"/>
        </w:rPr>
        <w:t>intained their role in determining</w:t>
      </w:r>
      <w:r w:rsidRPr="00BE5A8B">
        <w:rPr>
          <w:lang w:val="en-US"/>
        </w:rPr>
        <w:t xml:space="preserve"> success or failure of fundraising activities, since they are those who formulate general strategy and vision, who decide which fundraising campaigns have to be run and, eventually, who are crucial in managing relations among different board of trustees, like governing board and alumni board (Kohr, 1977; Cowley, 1980; Panas, 1984; Brown, 1988; Lasher &amp; Cook, 1996). However, the main responsibility for managing this function is in charge of a vice president or president’s delegate, but this does not diminish the importance of </w:t>
      </w:r>
      <w:r w:rsidR="00B74E63">
        <w:rPr>
          <w:lang w:val="en-US"/>
        </w:rPr>
        <w:t>the rector role in determining the</w:t>
      </w:r>
      <w:r w:rsidRPr="00BE5A8B">
        <w:rPr>
          <w:lang w:val="en-US"/>
        </w:rPr>
        <w:t xml:space="preserve"> fundraising strategies and plans. </w:t>
      </w:r>
    </w:p>
    <w:p w14:paraId="3BD41A28" w14:textId="77777777" w:rsidR="00BE5A8B" w:rsidRPr="00BE5A8B" w:rsidRDefault="00BE5A8B" w:rsidP="00BE5A8B">
      <w:pPr>
        <w:spacing w:line="480" w:lineRule="auto"/>
        <w:jc w:val="both"/>
        <w:rPr>
          <w:lang w:val="en-US"/>
        </w:rPr>
      </w:pPr>
      <w:r w:rsidRPr="00BE5A8B">
        <w:rPr>
          <w:lang w:val="en-US"/>
        </w:rPr>
        <w:t xml:space="preserve">Furthermore, according to Lasher and Cook (1996), literature about fundraising issues within higher education context, especially relating to presidents’ role, has been lacking till the 1970s and the 1980s. Thus, in the 1990s several scholars started to be interested in building a theoretical perspective about this topic (Kelly, 1991; Lasher &amp; Cook, 1996). Hence, this study develops the literature review starting from those references delivered since the 1990s, with the aim to contribute to the literature built in the last (almost) thirty years. Besides, since in 2008 a huge economic crisis started, know as “Big Recession”, the interest of scholars about fundraising issues has grown considerably, considering different contexts, like nonprofit sector and public entities. Among the latter, universities are attracting greater attention from academics  (Mapulanga, 2013). Eventually, a new fundraising’s phenomenon was born in the 2000s: crowdfunding (Lambert &amp; Schwienbacher, 2010). Theoretically, it moved the first steps from crowdsourcing (Howe, 2006), developing very quickly in an independent field of study that affects different contexts, like, among others, entrepreneurship, open innovation and philanthropy (Belleflame et al., 2013). Nowadays, crowdfunding has become one of the most effective fundraising tools, even within higher education (Colasanti et al., 2018). It is worthwhile to specify that there are several fundraising tools in the context considered by this research, which are not all ascribable to philanthropy. </w:t>
      </w:r>
    </w:p>
    <w:p w14:paraId="52FC5396" w14:textId="50A31047" w:rsidR="00BE5A8B" w:rsidRPr="00BE5A8B" w:rsidRDefault="00BE5A8B" w:rsidP="00BE5A8B">
      <w:pPr>
        <w:spacing w:line="480" w:lineRule="auto"/>
        <w:jc w:val="both"/>
        <w:rPr>
          <w:lang w:val="en-US"/>
        </w:rPr>
      </w:pPr>
      <w:r w:rsidRPr="00BE5A8B">
        <w:rPr>
          <w:lang w:val="en-US"/>
        </w:rPr>
        <w:t>Since the Big Recession has started, governmental financing to higher education and especially to public universities has been reduced severely. Hence, these institutions were forced to consider the competitive financing</w:t>
      </w:r>
      <w:r w:rsidR="00422ABF">
        <w:rPr>
          <w:lang w:val="en-US"/>
        </w:rPr>
        <w:t xml:space="preserve"> programs</w:t>
      </w:r>
      <w:r w:rsidRPr="00BE5A8B">
        <w:rPr>
          <w:lang w:val="en-US"/>
        </w:rPr>
        <w:t xml:space="preserve"> promoted at international, national and local level. Obviously, this change led to develop new processes and to organize new organizational units for managing all the relating activities. These are considered as fundraising activities, as those regarding philanthropy, like, for example, alumni giving (Ramaley &amp; Withers). This study will be focused mainly on philanthropy, but it is worthwhile to consider the role of  “competitive fundraising”, especially referring to the context of analysis, which is</w:t>
      </w:r>
      <w:r w:rsidR="004F58F1">
        <w:rPr>
          <w:lang w:val="en-US"/>
        </w:rPr>
        <w:t xml:space="preserve"> represented by</w:t>
      </w:r>
      <w:r w:rsidRPr="00BE5A8B">
        <w:rPr>
          <w:lang w:val="en-US"/>
        </w:rPr>
        <w:t xml:space="preserve"> Italian public universities. </w:t>
      </w:r>
    </w:p>
    <w:p w14:paraId="351F8047" w14:textId="5B753390" w:rsidR="00BE5A8B" w:rsidRPr="00BE5A8B" w:rsidRDefault="00BE5A8B" w:rsidP="00BE5A8B">
      <w:pPr>
        <w:spacing w:line="480" w:lineRule="auto"/>
        <w:jc w:val="both"/>
        <w:rPr>
          <w:lang w:val="en-US"/>
        </w:rPr>
      </w:pPr>
      <w:r w:rsidRPr="00BE5A8B">
        <w:rPr>
          <w:lang w:val="en-US"/>
        </w:rPr>
        <w:t>Hence, fundraising is an interdisciplinary topic, which covers different fields of studies (philanthropy, entrepreneurship, open innovation), especially thanks to some tools like crowdfunding. Moreover, it is possible to investigate fundraising topic</w:t>
      </w:r>
      <w:r w:rsidR="00290B5D">
        <w:rPr>
          <w:lang w:val="en-US"/>
        </w:rPr>
        <w:t xml:space="preserve"> within different contexts of</w:t>
      </w:r>
      <w:r w:rsidRPr="00BE5A8B">
        <w:rPr>
          <w:lang w:val="en-US"/>
        </w:rPr>
        <w:t xml:space="preserve"> analysis, like private sector, nonprofit institutions and public organizations. Literature review shown in this chapter will be focused on the public sector and in particular on </w:t>
      </w:r>
      <w:r w:rsidR="008D3D97">
        <w:rPr>
          <w:lang w:val="en-US"/>
        </w:rPr>
        <w:t xml:space="preserve">the </w:t>
      </w:r>
      <w:r w:rsidRPr="00BE5A8B">
        <w:rPr>
          <w:lang w:val="en-US"/>
        </w:rPr>
        <w:t>public higher education context. However, considering the interdisciplinary features of the topic, references of particular relevance relat</w:t>
      </w:r>
      <w:r w:rsidR="008D3D97">
        <w:rPr>
          <w:lang w:val="en-US"/>
        </w:rPr>
        <w:t>ing to fundraising tools will</w:t>
      </w:r>
      <w:r w:rsidRPr="00BE5A8B">
        <w:rPr>
          <w:lang w:val="en-US"/>
        </w:rPr>
        <w:t xml:space="preserve"> not be overlooked, even if they regards other contexts of analysis. </w:t>
      </w:r>
    </w:p>
    <w:p w14:paraId="1488F505" w14:textId="77777777" w:rsidR="00BE5A8B" w:rsidRPr="00BE5A8B" w:rsidRDefault="00BE5A8B" w:rsidP="00BE5A8B">
      <w:pPr>
        <w:spacing w:line="480" w:lineRule="auto"/>
        <w:jc w:val="both"/>
        <w:rPr>
          <w:lang w:val="en-US"/>
        </w:rPr>
      </w:pPr>
      <w:r w:rsidRPr="00BE5A8B">
        <w:rPr>
          <w:lang w:val="en-US"/>
        </w:rPr>
        <w:t>This chapter starts with the methodology used to design the literature review. This section is followed by the literature review about fundraising in higher education context, providing a general description of the streams of literature individuated. Afterwards, relevance is given to the literature gap, the main objectives of analysis and the research questions formulated. Finally, some general conclusions are proposed, with a short summary of each of three essays presented after this chapter.</w:t>
      </w:r>
    </w:p>
    <w:p w14:paraId="652C7065" w14:textId="77777777" w:rsidR="00BE5A8B" w:rsidRPr="00BE5A8B" w:rsidRDefault="00BE5A8B" w:rsidP="00BE5A8B">
      <w:pPr>
        <w:spacing w:line="480" w:lineRule="auto"/>
        <w:jc w:val="both"/>
        <w:rPr>
          <w:lang w:val="en-US"/>
        </w:rPr>
      </w:pPr>
    </w:p>
    <w:p w14:paraId="74E0B9A4" w14:textId="77777777" w:rsidR="00BE5A8B" w:rsidRPr="00BE5A8B" w:rsidRDefault="00BE5A8B" w:rsidP="00BE5A8B">
      <w:pPr>
        <w:spacing w:line="480" w:lineRule="auto"/>
        <w:jc w:val="both"/>
        <w:rPr>
          <w:b/>
          <w:lang w:val="en-US"/>
        </w:rPr>
      </w:pPr>
      <w:r w:rsidRPr="00BE5A8B">
        <w:rPr>
          <w:b/>
          <w:lang w:val="en-US"/>
        </w:rPr>
        <w:t>2.2 Methodology</w:t>
      </w:r>
    </w:p>
    <w:p w14:paraId="6C3EB872" w14:textId="6D1A853D" w:rsidR="00BE5A8B" w:rsidRPr="00BE5A8B" w:rsidRDefault="00BE5A8B" w:rsidP="00BE5A8B">
      <w:pPr>
        <w:spacing w:line="480" w:lineRule="auto"/>
        <w:jc w:val="both"/>
        <w:rPr>
          <w:lang w:val="en-US"/>
        </w:rPr>
      </w:pPr>
      <w:r w:rsidRPr="00BE5A8B">
        <w:rPr>
          <w:lang w:val="en-US"/>
        </w:rPr>
        <w:t>The aim of this chapter is to deliver a summary of the state of the art in fundraising within</w:t>
      </w:r>
      <w:r w:rsidR="00687316">
        <w:rPr>
          <w:lang w:val="en-US"/>
        </w:rPr>
        <w:t xml:space="preserve"> the</w:t>
      </w:r>
      <w:r w:rsidRPr="00BE5A8B">
        <w:rPr>
          <w:lang w:val="en-US"/>
        </w:rPr>
        <w:t xml:space="preserve"> higher education context. Moreover, this literature review enhances to identify the boundaries of the existing frameworks and, hence, new areas of investigations. Eventually, this chapter’s results are useful to recognize literature gap(s) and research questions (Rowley &amp; Slack, 2004). </w:t>
      </w:r>
    </w:p>
    <w:p w14:paraId="3D36CE99" w14:textId="77777777" w:rsidR="00BE5A8B" w:rsidRPr="00BE5A8B" w:rsidRDefault="00BE5A8B" w:rsidP="00BE5A8B">
      <w:pPr>
        <w:spacing w:line="480" w:lineRule="auto"/>
        <w:jc w:val="both"/>
        <w:rPr>
          <w:lang w:val="en-US"/>
        </w:rPr>
      </w:pPr>
      <w:r w:rsidRPr="00BE5A8B">
        <w:rPr>
          <w:lang w:val="en-US"/>
        </w:rPr>
        <w:t>The on-line database used to search for literature about the topic is Scopus (https://www.scopus.com). The reasons why it was chosen are various: first of all it is the largest database of peer-reviewed literature, with grounded theoretical basis and a critical approach to conceptual models. Furthermore, the literature includes scientific journals, books and conference proceedings. All them have been considered for the creation of this chapter. The search was done considering title, abstract and keywords of the references, using the following keywords and the Boalean operators in capital letters:</w:t>
      </w:r>
    </w:p>
    <w:p w14:paraId="7AA08DAF" w14:textId="77777777" w:rsidR="00BE5A8B" w:rsidRPr="00BE5A8B" w:rsidRDefault="00BE5A8B" w:rsidP="00BE5A8B">
      <w:pPr>
        <w:numPr>
          <w:ilvl w:val="0"/>
          <w:numId w:val="7"/>
        </w:numPr>
        <w:spacing w:line="480" w:lineRule="auto"/>
        <w:jc w:val="both"/>
        <w:rPr>
          <w:lang w:val="en-US"/>
        </w:rPr>
      </w:pPr>
      <w:r w:rsidRPr="00BE5A8B">
        <w:rPr>
          <w:lang w:val="en-US"/>
        </w:rPr>
        <w:t>fundraising AND universities: 346 results;</w:t>
      </w:r>
    </w:p>
    <w:p w14:paraId="7C686510" w14:textId="77777777" w:rsidR="00BE5A8B" w:rsidRPr="00BE5A8B" w:rsidRDefault="00BE5A8B" w:rsidP="00BE5A8B">
      <w:pPr>
        <w:numPr>
          <w:ilvl w:val="0"/>
          <w:numId w:val="7"/>
        </w:numPr>
        <w:spacing w:line="480" w:lineRule="auto"/>
        <w:jc w:val="both"/>
        <w:rPr>
          <w:lang w:val="en-US"/>
        </w:rPr>
      </w:pPr>
      <w:r w:rsidRPr="00BE5A8B">
        <w:rPr>
          <w:lang w:val="en-US"/>
        </w:rPr>
        <w:t>crowdfunding AND universities: 65 results;</w:t>
      </w:r>
    </w:p>
    <w:p w14:paraId="4BFA05A2" w14:textId="77777777" w:rsidR="00BE5A8B" w:rsidRPr="00BE5A8B" w:rsidRDefault="00BE5A8B" w:rsidP="00BE5A8B">
      <w:pPr>
        <w:numPr>
          <w:ilvl w:val="0"/>
          <w:numId w:val="7"/>
        </w:numPr>
        <w:spacing w:line="480" w:lineRule="auto"/>
        <w:jc w:val="both"/>
        <w:rPr>
          <w:lang w:val="en-US"/>
        </w:rPr>
      </w:pPr>
      <w:r w:rsidRPr="00BE5A8B">
        <w:rPr>
          <w:lang w:val="en-US"/>
        </w:rPr>
        <w:t>fundraising AND higher education: 69 results;</w:t>
      </w:r>
    </w:p>
    <w:p w14:paraId="51B6E434" w14:textId="77777777" w:rsidR="00BE5A8B" w:rsidRPr="00BE5A8B" w:rsidRDefault="00BE5A8B" w:rsidP="00BE5A8B">
      <w:pPr>
        <w:numPr>
          <w:ilvl w:val="0"/>
          <w:numId w:val="7"/>
        </w:numPr>
        <w:spacing w:line="480" w:lineRule="auto"/>
        <w:jc w:val="both"/>
        <w:rPr>
          <w:lang w:val="en-US"/>
        </w:rPr>
      </w:pPr>
      <w:r w:rsidRPr="00BE5A8B">
        <w:rPr>
          <w:lang w:val="en-US"/>
        </w:rPr>
        <w:t>crowdfunding AND higher education: 8 results.</w:t>
      </w:r>
    </w:p>
    <w:p w14:paraId="705D7C40" w14:textId="77777777" w:rsidR="00BE5A8B" w:rsidRPr="00BE5A8B" w:rsidRDefault="00BE5A8B" w:rsidP="00BE5A8B">
      <w:pPr>
        <w:spacing w:line="480" w:lineRule="auto"/>
        <w:jc w:val="both"/>
        <w:rPr>
          <w:lang w:val="en-US"/>
        </w:rPr>
      </w:pPr>
      <w:r w:rsidRPr="00BE5A8B">
        <w:rPr>
          <w:lang w:val="en-US"/>
        </w:rPr>
        <w:t xml:space="preserve">Literature Review was drawn together following the process in five steps described by Rowley and Slack (2004). First of all, the documents were scanned in order to have some insights into the most important topics to be included in the literature review. Besides, all abstracts were read in order to understand if each literature resource was suitable to the topic/context and the aim of this study, not considering those that were off-topic. More specifically, it was considered literature about public universities or higher education in general, but also that regarding public sector and nonprofit organizations. Hence, the outputs of this first step were a reduction in the number of references (from 488 to 160) and the categorization of the latter within similar research themes. </w:t>
      </w:r>
    </w:p>
    <w:p w14:paraId="4D748987" w14:textId="220BDD06" w:rsidR="00BE5A8B" w:rsidRPr="00BE5A8B" w:rsidRDefault="00BE5A8B" w:rsidP="00BE5A8B">
      <w:pPr>
        <w:spacing w:line="480" w:lineRule="auto"/>
        <w:jc w:val="both"/>
        <w:rPr>
          <w:lang w:val="en-US"/>
        </w:rPr>
      </w:pPr>
      <w:r w:rsidRPr="00BE5A8B">
        <w:rPr>
          <w:lang w:val="en-US"/>
        </w:rPr>
        <w:t xml:space="preserve">Then, the second step consists in making notes of the most important topics delivered by the literature resources, in order to recognize the sources to be cited in the chapter. Afterwards, literature review has to be structured, identifying the key themes, throughout the review, as categories according to which each source has to be included. Hence, the structure of the literature review emerges from the literature itself, without </w:t>
      </w:r>
      <w:r w:rsidR="009C3713">
        <w:rPr>
          <w:lang w:val="en-US"/>
        </w:rPr>
        <w:t xml:space="preserve">a </w:t>
      </w:r>
      <w:r w:rsidRPr="00BE5A8B">
        <w:rPr>
          <w:lang w:val="en-US"/>
        </w:rPr>
        <w:t>pre-defined building approach. Then, the broad structure of the review is defined: all the documents considered are ascribed to the sections shown in the following paragraph. Finally, a recap-table with the most relevant sources, according to the focus of analysis and the theoretical framework, is provided as an overview useful to better understand the state of the art relating to the topic considered by this research.</w:t>
      </w:r>
    </w:p>
    <w:p w14:paraId="0ACCD7A3" w14:textId="77777777" w:rsidR="00BE5A8B" w:rsidRPr="00BE5A8B" w:rsidRDefault="00BE5A8B" w:rsidP="00BE5A8B">
      <w:pPr>
        <w:spacing w:line="480" w:lineRule="auto"/>
        <w:jc w:val="both"/>
        <w:rPr>
          <w:lang w:val="en-US"/>
        </w:rPr>
      </w:pPr>
    </w:p>
    <w:p w14:paraId="6F7948A7" w14:textId="77777777" w:rsidR="00BE5A8B" w:rsidRPr="00BE5A8B" w:rsidRDefault="00BE5A8B" w:rsidP="00BE5A8B">
      <w:pPr>
        <w:spacing w:line="480" w:lineRule="auto"/>
        <w:jc w:val="both"/>
        <w:rPr>
          <w:b/>
          <w:lang w:val="en-US"/>
        </w:rPr>
      </w:pPr>
      <w:r w:rsidRPr="00BE5A8B">
        <w:rPr>
          <w:b/>
          <w:lang w:val="en-US"/>
        </w:rPr>
        <w:t>2.3 Fundraising: the state of the art of the literature</w:t>
      </w:r>
    </w:p>
    <w:p w14:paraId="1AE5109A" w14:textId="32FBA194" w:rsidR="00BE5A8B" w:rsidRPr="00BE5A8B" w:rsidRDefault="00BE5A8B" w:rsidP="00BE5A8B">
      <w:pPr>
        <w:spacing w:line="480" w:lineRule="auto"/>
        <w:jc w:val="both"/>
        <w:rPr>
          <w:lang w:val="en-US"/>
        </w:rPr>
      </w:pPr>
      <w:r w:rsidRPr="00BE5A8B">
        <w:rPr>
          <w:lang w:val="en-US"/>
        </w:rPr>
        <w:t xml:space="preserve">Fundraising is a very multi-faceted topic that can be investigated by several points of view. This is confirmed by the literature considered by this study and summarized in Table </w:t>
      </w:r>
      <w:r w:rsidR="00725B42">
        <w:rPr>
          <w:lang w:val="en-US"/>
        </w:rPr>
        <w:t>2.</w:t>
      </w:r>
      <w:r w:rsidRPr="00BE5A8B">
        <w:rPr>
          <w:lang w:val="en-US"/>
        </w:rPr>
        <w:t xml:space="preserve">1: the first column identifies the number of the group to which each reference belong according to its focus of analysis; the second column shows the number of papers and books contained in each group, whereas the third column specifies the focus of analysis of the references included in each group (some of them are included in more than one group). Finally, the fourth column indicates the main theoretical frameworks used by some literature sources in order to support their researches. These studies are shown in the fifth column. </w:t>
      </w:r>
    </w:p>
    <w:p w14:paraId="60BAA701" w14:textId="340471F5" w:rsidR="00BE5A8B" w:rsidRPr="00BE5A8B" w:rsidRDefault="00BE5A8B" w:rsidP="00BE5A8B">
      <w:pPr>
        <w:spacing w:line="480" w:lineRule="auto"/>
        <w:jc w:val="both"/>
        <w:rPr>
          <w:lang w:val="en-US"/>
        </w:rPr>
      </w:pPr>
      <w:r w:rsidRPr="00BE5A8B">
        <w:rPr>
          <w:lang w:val="en-US"/>
        </w:rPr>
        <w:t>The first group of references is focused on factors that can influence fundraising success. Most of them are empirical studies that try to develop models to understand which are the key performance drivers of a fundraising campaign, according to different contexts of analysis. Moreover, some predictive models for fundraising’s output are delivered by quantitative studies (Colombo et al., 2015; Lindahl, 1992; Vequist, 2017; Yang et al., 2017;). However, although results shown by these types of researches are quite interesting in terms of empirical suggestions for fundraising practitioners, general conclusions are quite tautological because they simply link past results to future goals, without considering interaction effects. Hence, quantitative models provided are reliable from the scientific point of view, but they do not deliver general theoretical implications about fundraising topic. Furthermore, the first group of references provides the factors that can affect fundraising’s process results in terms of output, which is the amount of money gathered by donors. Obviously, these factors are not general, but they are linked to the type of the institution, which has begun the fundraising process, and to the context in which it operates. Before the beginning of the digital era, Berger &amp; Smith (1997) indicate the language’s style used in direct mailing as a crucial factor for fundraising success. In detail, they shows how suggesting a donation, expressing the frame in a positive or negative way and the inclusion or not of at least two independent types of institutional information, in addition to donors’ segmentation variables, affect fundraising performance. Later, different scholars pointed out the crucial role of good writing and communicational abilities required by story telling (Allison, 2015; Doan &amp; Morris, 2012; Foley, 2005; Portugal, 2006; Zhou &amp; Ye, 2018). Nowadays, this kind of abilities is really important for those institutions that are active in getting funds t</w:t>
      </w:r>
      <w:r w:rsidR="00A44580">
        <w:rPr>
          <w:lang w:val="en-US"/>
        </w:rPr>
        <w:t>h</w:t>
      </w:r>
      <w:r w:rsidRPr="00BE5A8B">
        <w:rPr>
          <w:lang w:val="en-US"/>
        </w:rPr>
        <w:t>rough the social networks (Vequist, 2015). Indeed, on-line fundraising is becoming more and more popular since several people are easily achievable through the Internet. Hence, all factors like social influence of promoters, interpersonal skills, viral marketing and viral networks affect fundraising process output (Doan &amp; Morris, 2012; Yang et al, 2017; Zhou &amp; Ye, 2018). Beyond the crucial role of on-line fundraising and social networks, providing clear information to donors’ (transparency), as precise fundraising goals, means and outcome (accountability) has an impact on the fundraising performance (Ahlers et al., 2015; Doan &amp; Morris, 2012; Tang, 2010). Hence, all the fundraising tasks aforementioned need a professional staff in charge with fundraising processes output and performance. Factors relating to organization and human resources, like leaders’ skills, staffs’ professional capacity, collaboration and relationships’ building are not overlooked by the literature (Breeze et al., 2011; Doan &amp; Morris, 2012; Galyean, 2006; Tang, 2010). More specifically, if higher education is taken as context of analysis, Breeze et al. (2011) distinguish fundraising performance factors as institutional privilege, internal and external factors. Moreover, the former concerns university’s reputation as education and research’s institute, organization’s wealth from financial point of view and networks with other (public and private) institutions. Relating to the</w:t>
      </w:r>
      <w:r w:rsidR="00F93F06">
        <w:rPr>
          <w:lang w:val="en-US"/>
        </w:rPr>
        <w:t xml:space="preserve"> latter, Breeze et al. consider</w:t>
      </w:r>
      <w:r w:rsidRPr="00BE5A8B">
        <w:rPr>
          <w:lang w:val="en-US"/>
        </w:rPr>
        <w:t xml:space="preserve"> focus and investment on fundraising activities and fundraising’s cultures of universities as “internal success factors” (Marlin et al., 2009). Finally, external factors deal with social, economic and political environments and regards cultural practices towards philanthropy and the existence of tax break for donations. Moreover, literature relating to higher education is particularly focused on internal factors of fundraising success and activities like programming, planning, building relationships with development officers, maintaining a collaboration with colleagues involved in the fundraising process and creating a context of a compelling vision by academic leaders (Galyean, 2006; Silverman, 2008). Furthermore, external factors are taken into consideration by researches that introduce a holistic approach to fundraising success by considering both internal and external factors, in addition to transformational approaches, like proximity of the donor base of an organization and regional economic stress patterns (Bennet, 2005; Curry et al., 2012).</w:t>
      </w:r>
    </w:p>
    <w:p w14:paraId="73A5C101" w14:textId="436A30CF" w:rsidR="00BE5A8B" w:rsidRPr="00BE5A8B" w:rsidRDefault="00BE5A8B" w:rsidP="00BE5A8B">
      <w:pPr>
        <w:spacing w:line="480" w:lineRule="auto"/>
        <w:jc w:val="both"/>
        <w:rPr>
          <w:lang w:val="en-US"/>
        </w:rPr>
      </w:pPr>
      <w:r w:rsidRPr="00BE5A8B">
        <w:rPr>
          <w:lang w:val="en-US"/>
        </w:rPr>
        <w:t>Despite the number of works included in the first group of references is quite considerable (30), researches supported by a grounded theoretical framework are only a few (2). In fact, in his historiographical essay, Freeman (2010) states that he adopts Agency Theory as a framework to explore the institutional experiences and documents of northern black colleges in order to explore the philanthropy within African-American higher education in the XIX century. This framework is useful to understand why, within African-American higher education context</w:t>
      </w:r>
      <w:r w:rsidR="005174E6">
        <w:rPr>
          <w:lang w:val="en-US"/>
        </w:rPr>
        <w:t>,</w:t>
      </w:r>
      <w:r w:rsidRPr="00BE5A8B">
        <w:rPr>
          <w:lang w:val="en-US"/>
        </w:rPr>
        <w:t xml:space="preserve"> there has been a static view of philanthropy. However, Freeman does not contribute to the development of this theory, using it only to support the results of his research. Then, Allison et al. (2015), in their paper about crowdfunding within a prosocial microlending context, adopt Cognitive Evaluation Theory and Self-determination Theory in order to explain lenders behaviors: they conclude that lenders are more likely to sustain others when the support is perceived as a chance to help other </w:t>
      </w:r>
      <w:r w:rsidR="005174E6">
        <w:rPr>
          <w:lang w:val="en-US"/>
        </w:rPr>
        <w:t xml:space="preserve">people </w:t>
      </w:r>
      <w:r w:rsidRPr="00BE5A8B">
        <w:rPr>
          <w:lang w:val="en-US"/>
        </w:rPr>
        <w:t xml:space="preserve">rather than when it seems a business opportunity. Again, these theoretical frameworks are used to explain and support research’s results, but researchers do not add any contribution to them. </w:t>
      </w:r>
    </w:p>
    <w:p w14:paraId="38EA35EE" w14:textId="77777777" w:rsidR="00BE5A8B" w:rsidRPr="00BE5A8B" w:rsidRDefault="00BE5A8B" w:rsidP="00BE5A8B">
      <w:pPr>
        <w:spacing w:line="480" w:lineRule="auto"/>
        <w:jc w:val="both"/>
        <w:rPr>
          <w:lang w:val="en-US"/>
        </w:rPr>
      </w:pPr>
      <w:r w:rsidRPr="00BE5A8B">
        <w:rPr>
          <w:lang w:val="en-US"/>
        </w:rPr>
        <w:t xml:space="preserve">The second group of references is the most numerous one (52) and it is mainly focused on organizational changes and institutional challenges introduced by fundraising practices. First of all, the introduction of the latters includes the presence of fundraising professional staff, in order to make fundraising an effective and efficient process (Chen et al., 2017; Cuillier &amp; Stoffle, 2011; Sung, 2016). Moreover, even the organizational chart can be developed and changed after the introduction of fundraising practices and professional staff (Scott, 2013), overcoming some organizational barriers (Webb Farley, 2018). Then, all these topics are discussed even by studies relating to fundraising within higher education context. More specifically, they are focused on the role of fundraising managers within universities, also relating to their power and influence, and on the relationship between academics and fundraising professional staff (Daly, 2013; Shaker &amp; Nathan, 2017). Furthermore, even the role of academics leaders as university’s President and deans is not disregarded by literature (Nehls, 2012; Scott, 2010; Williams, 2010). Besides, this group of references provides insights also about fundraising strategies within universities, even during an economic downturn (Bowman, 2010a; 2010b; Reid, 2010; Thomas, 2010; Tindall &amp; Waters, 2010). </w:t>
      </w:r>
    </w:p>
    <w:p w14:paraId="0C23BAF7" w14:textId="77777777" w:rsidR="00BE5A8B" w:rsidRPr="00BE5A8B" w:rsidRDefault="00BE5A8B" w:rsidP="00BE5A8B">
      <w:pPr>
        <w:spacing w:line="480" w:lineRule="auto"/>
        <w:jc w:val="both"/>
        <w:rPr>
          <w:lang w:val="en-US"/>
        </w:rPr>
      </w:pPr>
      <w:r w:rsidRPr="00BE5A8B">
        <w:rPr>
          <w:lang w:val="en-US"/>
        </w:rPr>
        <w:t xml:space="preserve">The second group of references is not only the most numerous one, but it provides also literature that proposes quite several theoretical frameworks to justify and support their results. The first approach is provided by Nyman et al. (2016), who propose Co-creation of Value to explain the role of university fundraisers in their relationships with donors. They define university’s philanthropists as social investors who want to be engaged with the leaders “of the organization in co-creating the philanthropic vision for their gift” (Nyman et al., 2016, pag. 1235). Moreover, this vision is crucial for the university’s fundraisers’ to get long-term donations (social investment) from these philanthropists. Hence, the latters do not co-create value only for the university, but also with and for the society within which the organization operates. Furthermore, this co-created multi-party value creating experience starts a virtuous circle, where the relationships between the university and donors can even grow and long lasting. </w:t>
      </w:r>
    </w:p>
    <w:p w14:paraId="51C83E7E" w14:textId="77777777" w:rsidR="00BE5A8B" w:rsidRPr="00BE5A8B" w:rsidRDefault="00BE5A8B" w:rsidP="00BE5A8B">
      <w:pPr>
        <w:spacing w:line="480" w:lineRule="auto"/>
        <w:jc w:val="both"/>
        <w:rPr>
          <w:lang w:val="en-US"/>
        </w:rPr>
      </w:pPr>
      <w:r w:rsidRPr="00BE5A8B">
        <w:rPr>
          <w:lang w:val="en-US"/>
        </w:rPr>
        <w:t xml:space="preserve">Then, interesting insights are provided by Warren et al. (2016), who, starting from the Neoliberalism approach, explore the role of professional networks in knowledge exchange dynamics among university fundraisers. They conclude that these networks are important for fundraisers in order to develop their professional abilities, capabilities and competences, overcoming the university’s organizational barriers, both institutional and geographical ones. Hence professional networks and groups are a crucial virtual space to establish a relatively new profession as that of “ university’s fundraisers”. </w:t>
      </w:r>
    </w:p>
    <w:p w14:paraId="0A123A6C" w14:textId="16F7704F" w:rsidR="00BE5A8B" w:rsidRPr="00BE5A8B" w:rsidRDefault="00BE5A8B" w:rsidP="00BE5A8B">
      <w:pPr>
        <w:spacing w:line="480" w:lineRule="auto"/>
        <w:jc w:val="both"/>
        <w:rPr>
          <w:lang w:val="en-US"/>
        </w:rPr>
      </w:pPr>
      <w:r w:rsidRPr="00BE5A8B">
        <w:rPr>
          <w:lang w:val="en-US"/>
        </w:rPr>
        <w:t>Besides, Huynh &amp; Patton (2015) and Huynh (2016) combine two different theoretical frameworks: Resource Based View and Social Network Theory. Their aim is to explore university’s spin-offs fundraising issues, trying to understand, from one perspective, the role of entrepreneurial capabilities in influencing</w:t>
      </w:r>
      <w:r w:rsidR="00F87BA1">
        <w:rPr>
          <w:lang w:val="en-US"/>
        </w:rPr>
        <w:t xml:space="preserve"> spin-offs’ fundraising ability</w:t>
      </w:r>
      <w:r w:rsidRPr="00BE5A8B">
        <w:rPr>
          <w:lang w:val="en-US"/>
        </w:rPr>
        <w:t xml:space="preserve"> and</w:t>
      </w:r>
      <w:r w:rsidR="00F87BA1">
        <w:rPr>
          <w:lang w:val="en-US"/>
        </w:rPr>
        <w:t>,</w:t>
      </w:r>
      <w:r w:rsidRPr="00BE5A8B">
        <w:rPr>
          <w:lang w:val="en-US"/>
        </w:rPr>
        <w:t xml:space="preserve"> from another perspective, how social networks affect these ability. Besides, another theoretical framework adopted is Resource Dependence Theory (Mitchell, 2014). Even if this paper regards issues relating to non-governmental organizations, it adopts RDT to analyze the relationship between the dependence of an organization from external resources and its organizational autonomy. Therefore, this dynamics is also ascribable to universities that actually depend on the external environment as well (Chan, 2010). Furthermore, this reasoning can lead to another crucial approach, which is (environmental, social and economic) Sustainability as a key indicator to be considered by university’s governance in strategic planning and controlling phases (Pati &amp; Lee, 2016). Finally, the last theoretical approach proposed by this stream of literature is Public Choice Theory (Cox, 2010). However, this paper states the consideration of this framework, without presenting and explaining it. Moreover the approach is not used to support results, preferring the author another framework (Supplanting Theory). Then, the theoretical contribution to both is quite limited.</w:t>
      </w:r>
    </w:p>
    <w:p w14:paraId="7858021F" w14:textId="5C6F1373" w:rsidR="00BE5A8B" w:rsidRPr="00BE5A8B" w:rsidRDefault="00BE5A8B" w:rsidP="00BE5A8B">
      <w:pPr>
        <w:spacing w:line="480" w:lineRule="auto"/>
        <w:jc w:val="both"/>
        <w:rPr>
          <w:lang w:val="en-US"/>
        </w:rPr>
      </w:pPr>
      <w:r w:rsidRPr="00BE5A8B">
        <w:rPr>
          <w:lang w:val="en-US"/>
        </w:rPr>
        <w:t xml:space="preserve">The third group of references considered by </w:t>
      </w:r>
      <w:r w:rsidR="00FA25C0">
        <w:rPr>
          <w:lang w:val="en-US"/>
        </w:rPr>
        <w:t xml:space="preserve">this </w:t>
      </w:r>
      <w:r w:rsidRPr="00BE5A8B">
        <w:rPr>
          <w:lang w:val="en-US"/>
        </w:rPr>
        <w:t>study is focused on issues that are becoming more and more important relating to fundraising, especially within public sector (Rooney, 1999). Even if contributions are quite scarce (6), this stream of literature cannot be disregarded because it deals with fundraising effectiveness and efficiency. Actually, these papers are more focused on efficiency rather than effectiveness, providing some indicators of the former, as a ratio of fundraising expenses to total expenditures by an organization (Lee &amp; Shon, 2018) and return of investments (fundraising revenues/fundraising expenses) in fundraising (Roo</w:t>
      </w:r>
      <w:r w:rsidR="008E5A24">
        <w:rPr>
          <w:lang w:val="en-US"/>
        </w:rPr>
        <w:t>ney, 1999). However, even if the</w:t>
      </w:r>
      <w:r w:rsidRPr="00BE5A8B">
        <w:rPr>
          <w:lang w:val="en-US"/>
        </w:rPr>
        <w:t>s</w:t>
      </w:r>
      <w:r w:rsidR="008E5A24">
        <w:rPr>
          <w:lang w:val="en-US"/>
        </w:rPr>
        <w:t>e</w:t>
      </w:r>
      <w:r w:rsidRPr="00BE5A8B">
        <w:rPr>
          <w:lang w:val="en-US"/>
        </w:rPr>
        <w:t xml:space="preserve"> ratio</w:t>
      </w:r>
      <w:r w:rsidR="008E5A24">
        <w:rPr>
          <w:lang w:val="en-US"/>
        </w:rPr>
        <w:t>s</w:t>
      </w:r>
      <w:r w:rsidRPr="00BE5A8B">
        <w:rPr>
          <w:lang w:val="en-US"/>
        </w:rPr>
        <w:t xml:space="preserve"> are im</w:t>
      </w:r>
      <w:r w:rsidR="008E5A24">
        <w:rPr>
          <w:lang w:val="en-US"/>
        </w:rPr>
        <w:t>portant indicators to</w:t>
      </w:r>
      <w:r w:rsidRPr="00BE5A8B">
        <w:rPr>
          <w:lang w:val="en-US"/>
        </w:rPr>
        <w:t xml:space="preserve"> assess fundraising strategy, there </w:t>
      </w:r>
      <w:r w:rsidR="008E5A24">
        <w:rPr>
          <w:lang w:val="en-US"/>
        </w:rPr>
        <w:t xml:space="preserve">are </w:t>
      </w:r>
      <w:r w:rsidRPr="00BE5A8B">
        <w:rPr>
          <w:lang w:val="en-US"/>
        </w:rPr>
        <w:t>other measures that have can enlarge knowledge about the fundraising efficiency concept itself, as per dollar effects of investments in human resources and physical capital (Kreisman, 2017). Relating to the theoretical framework adopted by this field of study, Resource Dependence Theory is the only one. More specifically, Sacristan Lopez de los Mozos et al. (2016) start from this approach to understand how fundraising efficiency changes according to different level of revenues’ diversification. According to them, increasing the level of revenues diversification has a negative impact on general organizational efficiency, making fundraising</w:t>
      </w:r>
      <w:r w:rsidR="008E5A24">
        <w:rPr>
          <w:lang w:val="en-US"/>
        </w:rPr>
        <w:t>’s outputs ha</w:t>
      </w:r>
      <w:r w:rsidRPr="00BE5A8B">
        <w:rPr>
          <w:lang w:val="en-US"/>
        </w:rPr>
        <w:t xml:space="preserve">rder to be obtained.  </w:t>
      </w:r>
    </w:p>
    <w:p w14:paraId="635644A3" w14:textId="7EA66F18" w:rsidR="00BE5A8B" w:rsidRPr="00BE5A8B" w:rsidRDefault="00BE5A8B" w:rsidP="00BE5A8B">
      <w:pPr>
        <w:spacing w:line="480" w:lineRule="auto"/>
        <w:jc w:val="both"/>
        <w:rPr>
          <w:lang w:val="en-US"/>
        </w:rPr>
      </w:pPr>
      <w:r w:rsidRPr="00BE5A8B">
        <w:rPr>
          <w:lang w:val="en-US"/>
        </w:rPr>
        <w:t xml:space="preserve">The fourth stream of literature shown in the table </w:t>
      </w:r>
      <w:r w:rsidR="00725B42">
        <w:rPr>
          <w:lang w:val="en-US"/>
        </w:rPr>
        <w:t>2.</w:t>
      </w:r>
      <w:r w:rsidRPr="00BE5A8B">
        <w:rPr>
          <w:lang w:val="en-US"/>
        </w:rPr>
        <w:t xml:space="preserve">1, investigates donors’ behaviors and donations’ drivers by mainly testing the validity of some quantitative approaches, as Price-Information Trade-Off (Wong &amp; Ortmann, 2016), Finite Mixture Models (Durango-Cohen et al., 2013a; Durango-Cohen &amp; Balasubrumanian, 2015) and Multiple Discrete Choice Models (Durango-Cohen et al., 2013b). Beyond the validity of the aforementioned quantitative methodologies, what is really interesting among these references, is the proposition of some theoretical models, which add some contributions to the relating literature. In fact, </w:t>
      </w:r>
      <w:r w:rsidR="00B14350">
        <w:rPr>
          <w:lang w:val="en-US"/>
        </w:rPr>
        <w:t>Wong &amp; Ortmann (2016)</w:t>
      </w:r>
      <w:r w:rsidRPr="00BE5A8B">
        <w:rPr>
          <w:lang w:val="en-US"/>
        </w:rPr>
        <w:t xml:space="preserve"> propose a model to test the conditions under which the independent benefit from giving, the charity price (fundraising expenses by organization) and the information cost (cost of information acquisition by donors) provide information for giving decisions. Furthermore, the price of giving is defined as the sum of charity price and information cost. Therefore, the model demonstrates that giving decisions by donors can be influenced by price-information trade-off. Under this condition, donors care about charity price because they consider their donations as social investments and want them to maximize charitable output. However, at the same time, they do not want to search for charity price because it is costly. Then, Finite Mixture Models and Multiple Discrete Choice Models are used to provide segmentations of university donors, such as alumni, in order to have a deeper knowledge of donation likelihood and behavior (Durango-Cohen et al., 2013a; 2013b; Durango-Cohen &amp; Balasubrumanian, 2015). The aim of these studies is to test the validity of the models, without providing any theoretical contributions, but only some practical implications for fundraisers. </w:t>
      </w:r>
    </w:p>
    <w:p w14:paraId="7F941846" w14:textId="0ABB49C8" w:rsidR="00BE5A8B" w:rsidRPr="00BE5A8B" w:rsidRDefault="00BE5A8B" w:rsidP="00BE5A8B">
      <w:pPr>
        <w:spacing w:line="480" w:lineRule="auto"/>
        <w:jc w:val="both"/>
        <w:rPr>
          <w:lang w:val="en-US"/>
        </w:rPr>
      </w:pPr>
      <w:r w:rsidRPr="00BE5A8B">
        <w:rPr>
          <w:lang w:val="en-US"/>
        </w:rPr>
        <w:t>The fifth group of studies considered by this chapter, relates to issues that apparently do not relate with fundraising, especially within higher education context. However, they are linked to the topics discussed by this thesis and have an indirect connection with them. The number of the references is not so large, but they provide some interesting theoretical contributions that can be studied also within universitie</w:t>
      </w:r>
      <w:r w:rsidR="000F4F15">
        <w:rPr>
          <w:lang w:val="en-US"/>
        </w:rPr>
        <w:t>s context. In fact,</w:t>
      </w:r>
      <w:r w:rsidR="00F73ABF">
        <w:rPr>
          <w:lang w:val="en-US"/>
        </w:rPr>
        <w:t xml:space="preserve"> external</w:t>
      </w:r>
      <w:r w:rsidRPr="00BE5A8B">
        <w:rPr>
          <w:lang w:val="en-US"/>
        </w:rPr>
        <w:t xml:space="preserve"> stakeholders’ engagement is often the condition </w:t>
      </w:r>
      <w:r w:rsidRPr="00BE5A8B">
        <w:rPr>
          <w:i/>
          <w:lang w:val="en-US"/>
        </w:rPr>
        <w:t>sine qua non</w:t>
      </w:r>
      <w:r w:rsidRPr="00BE5A8B">
        <w:rPr>
          <w:lang w:val="en-US"/>
        </w:rPr>
        <w:t xml:space="preserve"> to reach fundraising effectiveness, even within higher education context. The investigation carried out by Iorio et al. (2017) explains how the introduction of fundraising practices amongst academics lead to an increase in knowledge transfer activities. This fact can be considered as a fundraising outcome. External and stakeholder engagement is clearly linked to Civic Engagement (Carè et al., 2018) and Responsibility (Mat-jizat &amp; Khalid, 2016). The frameworks aforementioned are discussed within investigations about on-line fundraising and its recent development, which is crowdfunding (sixth group of references). This relatively new phenomenon is attracting interests of researchers belonging to several fields of study. This multi and inter-disciplinarity is caused by the fact that crowdfunding regards different contexts, from the entrepreneurial one (equity-based crowdfunding and reward-based crowdfunding) to public and non profit sectors (donation-based crowdfunding and social lending). Moreover, the references included in this group belong to different fields of study. However, this review analyzes in deep only those ones that regards the higher education context, that are based on a theoretical framework and provide some insights that contribute to the existing literature.</w:t>
      </w:r>
    </w:p>
    <w:p w14:paraId="6F742751" w14:textId="77777777" w:rsidR="00BE5A8B" w:rsidRPr="00BE5A8B" w:rsidRDefault="00BE5A8B" w:rsidP="00BE5A8B">
      <w:pPr>
        <w:spacing w:line="480" w:lineRule="auto"/>
        <w:jc w:val="both"/>
        <w:rPr>
          <w:lang w:val="en-US"/>
        </w:rPr>
      </w:pPr>
      <w:r w:rsidRPr="00BE5A8B">
        <w:rPr>
          <w:lang w:val="en-US"/>
        </w:rPr>
        <w:t xml:space="preserve">Starting from on-line fundraising challenges faced by universities, the dialogic theory is proposed to understand if their web presence is effective or not. Moreover, this framework introduces five principles for universities to use to enhance their on-line presence and establish long lasting relationships with website’s visitors. Actually, most universities are characterized by a lacking web presence that is not able to support dialogic exchanges with their donors. Furthermore, according to the Dialogic Theory, universities’ website visitors need consistent messages, updates and, above all, chances to be engaged in the universities’ activities (Bucci &amp; Waters, 2014). Hence, effective website management has a positive effect on on-line fundraising results and universities have to invest more on this type of communication (McAllister, 2013). </w:t>
      </w:r>
    </w:p>
    <w:p w14:paraId="56155239" w14:textId="77777777" w:rsidR="00BE5A8B" w:rsidRPr="00BE5A8B" w:rsidRDefault="00BE5A8B" w:rsidP="00BE5A8B">
      <w:pPr>
        <w:spacing w:line="480" w:lineRule="auto"/>
        <w:jc w:val="both"/>
        <w:rPr>
          <w:lang w:val="en-US"/>
        </w:rPr>
      </w:pPr>
      <w:r w:rsidRPr="00BE5A8B">
        <w:rPr>
          <w:lang w:val="en-US"/>
        </w:rPr>
        <w:t xml:space="preserve">The natural evolution of on-line fundraising is crowdfunding, which moves from crowdsourcing stream of literature and, then, from Open Innovation framework (Carè et al., 2018). As previously stated, crowdfunding relates with several topics, but it has been starting to be linked also to public sector and, hence, to universities. According to New Public Governance paradigm, crowdfunding is a fundraising tool that enables co-operation between public sector and the “crowd”, that is non-state actors belonging to civil society (Osborne, 2010; Pollitt and Bouckaert, 2011). Moreover, crowdfunding is a means of innovating governmental organizations’ funding by involving citizens (the “crowd”). This is called “civic crowdfunding”, which promotes projects with a positive social impact, according to Social Engagement and Social Innovation (Colasanti et al., 2018). </w:t>
      </w:r>
    </w:p>
    <w:p w14:paraId="0B004208" w14:textId="03BA4E6D" w:rsidR="00BE5A8B" w:rsidRPr="00BE5A8B" w:rsidRDefault="00BE5A8B" w:rsidP="00BE5A8B">
      <w:pPr>
        <w:spacing w:line="480" w:lineRule="auto"/>
        <w:jc w:val="both"/>
        <w:rPr>
          <w:lang w:val="en-US"/>
        </w:rPr>
      </w:pPr>
      <w:r w:rsidRPr="00BE5A8B">
        <w:rPr>
          <w:lang w:val="en-US"/>
        </w:rPr>
        <w:t>Relating to Higher Education Literature, there</w:t>
      </w:r>
      <w:r w:rsidR="00A11706">
        <w:rPr>
          <w:lang w:val="en-US"/>
        </w:rPr>
        <w:t xml:space="preserve"> are</w:t>
      </w:r>
      <w:r w:rsidRPr="00BE5A8B">
        <w:rPr>
          <w:lang w:val="en-US"/>
        </w:rPr>
        <w:t xml:space="preserve"> interesting contributions about Open Science, Crowd Science and Citizen Science: they are focused on collaborative work between citizens and scientists (crowd science). The conditions </w:t>
      </w:r>
      <w:r w:rsidRPr="00BE5A8B">
        <w:rPr>
          <w:i/>
          <w:lang w:val="en-US"/>
        </w:rPr>
        <w:t>sine qua non</w:t>
      </w:r>
      <w:r w:rsidRPr="00BE5A8B">
        <w:rPr>
          <w:lang w:val="en-US"/>
        </w:rPr>
        <w:t xml:space="preserve"> for this collaboration are three: selections of appropriate topics of scientific projects, suitable locations and opportunities for citizen-scientist interactions, and well-organized methodologies of collaborations (Ono et al, 2017; Bulock &amp; Watkinson, 2017). Finally, crowdfunding literature regarding universities is focused on two levels: crowdfunding at the scientists’ level in order to mainly support Research function (Marshall, 2013); crowdfunding as a means to support business set-ups from universities and, hence, entrepreneurship (Wieck et al., 2015).</w:t>
      </w:r>
    </w:p>
    <w:p w14:paraId="23F1E0E9" w14:textId="77777777" w:rsidR="00BE5A8B" w:rsidRPr="00BE5A8B" w:rsidRDefault="00BE5A8B" w:rsidP="00BE5A8B">
      <w:pPr>
        <w:spacing w:line="480" w:lineRule="auto"/>
        <w:jc w:val="both"/>
      </w:pPr>
      <w:r w:rsidRPr="00BE5A8B">
        <w:rPr>
          <w:lang w:val="en-US"/>
        </w:rPr>
        <w:t xml:space="preserve">The seventh group of references regards financial stability and growth: even if this stream of literature is mainly addressed to non-profit organizations’ context, it is worth to consider the link between financial performance and growth capacity, even within public higher education sector. More specifically, </w:t>
      </w:r>
      <w:r w:rsidRPr="00BE5A8B">
        <w:t xml:space="preserve">Chikoto-Schultz &amp; Neely (2016) </w:t>
      </w:r>
      <w:r w:rsidRPr="00BE5A8B">
        <w:rPr>
          <w:lang w:val="en-US"/>
        </w:rPr>
        <w:t xml:space="preserve">state that high financial performance organizations tend to be older and larger (considering unrestricted net assets and total revenues). Moreover, they are also more likely to report capital assets and report high levels of compensation. Finally, they tend to contain their total spending by exercising efficiency by investing in talented officers, but limiting the share of officer compensation, administrative, and fundraising expenses, as a percentage of total expenses. These results are informative for stakeholders who want to understand the profile of an organization that is successfully able to achieve both capacity growth and financial stability. The theoretical framework adopted is Sustainability approach (Pati &amp; Lee, 2016) and it has been already discussed previously. </w:t>
      </w:r>
    </w:p>
    <w:p w14:paraId="114E005F" w14:textId="277A109C" w:rsidR="00BE5A8B" w:rsidRPr="00BE5A8B" w:rsidRDefault="00BE5A8B" w:rsidP="00BE5A8B">
      <w:pPr>
        <w:spacing w:line="480" w:lineRule="auto"/>
        <w:jc w:val="both"/>
        <w:rPr>
          <w:lang w:val="en-US"/>
        </w:rPr>
      </w:pPr>
      <w:r w:rsidRPr="00BE5A8B">
        <w:rPr>
          <w:lang w:val="en-US"/>
        </w:rPr>
        <w:t>Then, the eighth group of studies shown in table 1 is one of the most interesting considering the aim of this thesis. In fact, the focus of the analysis is fundraising’s outcome, and, even if the number of references is not large, it is worthwhile to consider this stream of literature also relating to the theoretica</w:t>
      </w:r>
      <w:r w:rsidR="00D755C4">
        <w:rPr>
          <w:lang w:val="en-US"/>
        </w:rPr>
        <w:t>l framework proposed to analyze</w:t>
      </w:r>
      <w:r w:rsidRPr="00BE5A8B">
        <w:rPr>
          <w:lang w:val="en-US"/>
        </w:rPr>
        <w:t xml:space="preserve"> results within public Higher Education context: Resource Dependence Theory (Caton &amp; Mistriner, 2016). Moreover, insights from this studies supported the following considerations for community college leaders: Resource Dependence Theory as a useful framework in identifying resource relationships within the environment; the model of market responsive institutions as a strategy when successfully applying Resource Dependence Theory; and the distributed leadership model as a supported framework in overcoming the challenges presented by the emerging leadership competency of fundraising. These results are useful for academic leaders as examples that may provide guidance in professional development, project management, and directions for innovation in an ever-changing society and public universities system. In fact, society is looking to higher education to fill the pipelines of some of the highest need industries and most critically underserved communities. Further investigation within this field of study can provide rich opportunities and contributions to the discussions of thought about leaders and change agents in the field of higher education and leadership.</w:t>
      </w:r>
    </w:p>
    <w:p w14:paraId="7870F90D" w14:textId="77777777" w:rsidR="00BE5A8B" w:rsidRPr="00BE5A8B" w:rsidRDefault="00BE5A8B" w:rsidP="00BE5A8B">
      <w:pPr>
        <w:spacing w:line="480" w:lineRule="auto"/>
        <w:jc w:val="both"/>
        <w:rPr>
          <w:lang w:val="en-US"/>
        </w:rPr>
      </w:pPr>
      <w:r w:rsidRPr="00BE5A8B">
        <w:rPr>
          <w:lang w:val="en-US"/>
        </w:rPr>
        <w:t>Finally the last group considered by this study is focused on fundraising regulation, adopting the Statutory versus non-statutory framework (Breen, 2012). Although this stream of literature seems to be not very attractive from social sciences’ point of view, the diffusion of the fundraising practices throughout public universities is calling for a fundraising regulation and policy (also in terms of performance indicators). According to this framework, first of all success for each regime (statutory versus non-statutory) is defined and analyzed to understand whether broader policy lessons for fundraising regulation may be learnt from these implementation experiences to date. Moreover, the key challenges facing each regime are identified and defined. The framework tackles the broader question of how measuring success in regulatory terms and argues for better identification of the constituency to be regulated, thereby enabling prioritization of the salient performance indicators that should be included in any non-statutory framework.</w:t>
      </w:r>
    </w:p>
    <w:p w14:paraId="210F5EF0" w14:textId="546B1CEC" w:rsidR="00BE5A8B" w:rsidRPr="00BE5A8B" w:rsidRDefault="00BE5A8B" w:rsidP="00BE5A8B">
      <w:pPr>
        <w:spacing w:line="480" w:lineRule="auto"/>
        <w:jc w:val="both"/>
        <w:rPr>
          <w:lang w:val="en-US"/>
        </w:rPr>
      </w:pPr>
      <w:r w:rsidRPr="00BE5A8B">
        <w:rPr>
          <w:lang w:val="en-US"/>
        </w:rPr>
        <w:t>The aforementioned streams of literature and relating theoretical framework are the main source of literature considered for starting this study and to build a “theoretical ground floor” useful to explore and understand the state of the art of the literature. Besides those references previously shown and explained, there are other “minor” fields of study and approaches, as entrepreneurial models for universities (Williams, 2010); the genesis of fundraising (Hufton, 2008); fundraising’s tools and life cycle (</w:t>
      </w:r>
      <w:r w:rsidRPr="00BE5A8B">
        <w:t>Hekmat &amp; Heischmidt, 1993)</w:t>
      </w:r>
      <w:r w:rsidRPr="00BE5A8B">
        <w:rPr>
          <w:lang w:val="en-US"/>
        </w:rPr>
        <w:t xml:space="preserve">. Entrepreneurial models for universities move from the assumption that, especially after the economic downturn of 2008 and </w:t>
      </w:r>
      <w:r w:rsidR="00140E8C">
        <w:rPr>
          <w:lang w:val="en-US"/>
        </w:rPr>
        <w:t>the</w:t>
      </w:r>
      <w:r w:rsidRPr="00BE5A8B">
        <w:rPr>
          <w:lang w:val="en-US"/>
        </w:rPr>
        <w:t xml:space="preserve"> “Big Recession”, even public universities have been affected by the introduction of some market-oriented mechanisms, as for examples performance-based funding (best universities receive more funds from government) and competitive-based funding (best research projects get funded by local, national and international institutions). These mechanisms have obviously contributed to the fundraising practices and tools introduction, particularly relating to crowdfunding: projects are organized and communicated through the Internet, a funding budget is defined, and a marketing campaign is set up. Besides, crowdfunding can be used also to support academic spin-off</w:t>
      </w:r>
      <w:r w:rsidR="00584C5E">
        <w:rPr>
          <w:lang w:val="en-US"/>
        </w:rPr>
        <w:t>s</w:t>
      </w:r>
      <w:r w:rsidRPr="00BE5A8B">
        <w:rPr>
          <w:lang w:val="en-US"/>
        </w:rPr>
        <w:t xml:space="preserve"> and university’s start-ups, being so a fundraising tool addressed to sustain university-based entrepreneurship. However, a precise theoretical framework does not support the references considered by this study, probably because the latter is quite new considering the context of analysis (public universities). Nonetheless, this seems to be a very interesting and appealing field of study considering the </w:t>
      </w:r>
      <w:r w:rsidR="005450AB">
        <w:rPr>
          <w:lang w:val="en-US"/>
        </w:rPr>
        <w:t>evolution of universities themselves</w:t>
      </w:r>
      <w:r w:rsidRPr="00BE5A8B">
        <w:rPr>
          <w:lang w:val="en-US"/>
        </w:rPr>
        <w:t xml:space="preserve">: literature calls for more investigation supported by grounded theoretical frameworks. </w:t>
      </w:r>
    </w:p>
    <w:p w14:paraId="65B9D05D" w14:textId="77777777" w:rsidR="00BE5A8B" w:rsidRPr="00BE5A8B" w:rsidRDefault="00BE5A8B" w:rsidP="00BE5A8B">
      <w:pPr>
        <w:spacing w:line="480" w:lineRule="auto"/>
        <w:jc w:val="both"/>
        <w:rPr>
          <w:lang w:val="en-US"/>
        </w:rPr>
      </w:pPr>
      <w:r w:rsidRPr="00BE5A8B">
        <w:rPr>
          <w:lang w:val="en-US"/>
        </w:rPr>
        <w:t xml:space="preserve">Fundraising’s tools and life cycle is a context driven field of study, which does not allow generalizing results of the analysis. However, Higher Education literature concerning these themes is still lacking. Finally, the genesis of fundraising has been investigated through an historical perspective, especially by American researchers than have focused their studies on the quite-widespread fundraising tradition of the American Higher Education context. Therefore, it would be interesting to adopt the same approach in European context of analysis to develop comparisons and build a relating theoretical framework. </w:t>
      </w:r>
    </w:p>
    <w:p w14:paraId="2FB8B203" w14:textId="77E218F1" w:rsidR="00BE5A8B" w:rsidRPr="00BE5A8B" w:rsidRDefault="00BE5A8B" w:rsidP="00BE5A8B">
      <w:pPr>
        <w:spacing w:line="480" w:lineRule="auto"/>
        <w:jc w:val="both"/>
        <w:rPr>
          <w:lang w:val="en-US"/>
        </w:rPr>
      </w:pPr>
      <w:r w:rsidRPr="00BE5A8B">
        <w:rPr>
          <w:lang w:val="en-US"/>
        </w:rPr>
        <w:t>As previously stated, fundraising is a multi-faceted and inter-disciplinary topic that can be studied taking into consideration several context</w:t>
      </w:r>
      <w:r w:rsidR="00DE1110">
        <w:rPr>
          <w:lang w:val="en-US"/>
        </w:rPr>
        <w:t>s</w:t>
      </w:r>
      <w:r w:rsidRPr="00BE5A8B">
        <w:rPr>
          <w:lang w:val="en-US"/>
        </w:rPr>
        <w:t xml:space="preserve"> of analysis. However, in order to have results that can be generalized</w:t>
      </w:r>
      <w:r w:rsidR="008C7B9A">
        <w:rPr>
          <w:lang w:val="en-US"/>
        </w:rPr>
        <w:t>,</w:t>
      </w:r>
      <w:r w:rsidRPr="00BE5A8B">
        <w:rPr>
          <w:lang w:val="en-US"/>
        </w:rPr>
        <w:t xml:space="preserve"> they must be supported by theory. Actually, this study moves from the Resource Dependence Theory framework (Drees &amp; Heugens, 2013; Hillman et al. 2009; Malatesta &amp; Smith, 2014, Pfeffer &amp; Salancik, 1878). First of all, fundraising process is based on social exchanges dynamics, whose impact affects fundraising outcomes. Relating to the latters, Lasher &amp; Cook (1996) individuated the </w:t>
      </w:r>
      <w:r w:rsidR="00224778">
        <w:rPr>
          <w:lang w:val="en-US"/>
        </w:rPr>
        <w:t xml:space="preserve">following </w:t>
      </w:r>
      <w:r w:rsidRPr="00BE5A8B">
        <w:rPr>
          <w:lang w:val="en-US"/>
        </w:rPr>
        <w:t>key variables:</w:t>
      </w:r>
    </w:p>
    <w:p w14:paraId="5B91EEC3" w14:textId="586919EC" w:rsidR="00BE5A8B" w:rsidRPr="00BE5A8B" w:rsidRDefault="00BE5A8B" w:rsidP="00BE5A8B">
      <w:pPr>
        <w:numPr>
          <w:ilvl w:val="0"/>
          <w:numId w:val="8"/>
        </w:numPr>
        <w:spacing w:line="480" w:lineRule="auto"/>
        <w:jc w:val="both"/>
        <w:rPr>
          <w:lang w:val="en-US"/>
        </w:rPr>
      </w:pPr>
      <w:r w:rsidRPr="00BE5A8B">
        <w:rPr>
          <w:lang w:val="en-US"/>
        </w:rPr>
        <w:t>Leadership of academics and a</w:t>
      </w:r>
      <w:r w:rsidR="00DF5306">
        <w:rPr>
          <w:lang w:val="en-US"/>
        </w:rPr>
        <w:t>dministrative staffs deals with</w:t>
      </w:r>
      <w:r w:rsidR="00117C57">
        <w:rPr>
          <w:lang w:val="en-US"/>
        </w:rPr>
        <w:t>:</w:t>
      </w:r>
      <w:r w:rsidRPr="00BE5A8B">
        <w:rPr>
          <w:lang w:val="en-US"/>
        </w:rPr>
        <w:t xml:space="preserve"> the willingness to be involved in the fundraising process; abil</w:t>
      </w:r>
      <w:r w:rsidR="00DF5306">
        <w:rPr>
          <w:lang w:val="en-US"/>
        </w:rPr>
        <w:t>ities and skills in fundraising;</w:t>
      </w:r>
      <w:r w:rsidRPr="00BE5A8B">
        <w:rPr>
          <w:lang w:val="en-US"/>
        </w:rPr>
        <w:t xml:space="preserve"> effective management of the institutions; effort and commitment; moral integrity; fiscal vitality of the institution; effective planning; effective stewardship of re</w:t>
      </w:r>
      <w:r w:rsidR="00DF5306">
        <w:rPr>
          <w:lang w:val="en-US"/>
        </w:rPr>
        <w:t>sources; donors’ confidence;</w:t>
      </w:r>
      <w:r w:rsidRPr="00BE5A8B">
        <w:rPr>
          <w:lang w:val="en-US"/>
        </w:rPr>
        <w:t xml:space="preserve"> appropriate gratitude and recognition of donations.</w:t>
      </w:r>
    </w:p>
    <w:p w14:paraId="0881883C" w14:textId="77777777" w:rsidR="00BE5A8B" w:rsidRPr="00BE5A8B" w:rsidRDefault="00BE5A8B" w:rsidP="00BE5A8B">
      <w:pPr>
        <w:numPr>
          <w:ilvl w:val="0"/>
          <w:numId w:val="8"/>
        </w:numPr>
        <w:spacing w:line="480" w:lineRule="auto"/>
        <w:jc w:val="both"/>
        <w:rPr>
          <w:lang w:val="en-US"/>
        </w:rPr>
      </w:pPr>
      <w:r w:rsidRPr="00BE5A8B">
        <w:rPr>
          <w:lang w:val="en-US"/>
        </w:rPr>
        <w:t>Financial capability of constituency.</w:t>
      </w:r>
    </w:p>
    <w:p w14:paraId="6C540DA8" w14:textId="77777777" w:rsidR="00BE5A8B" w:rsidRPr="00BE5A8B" w:rsidRDefault="00BE5A8B" w:rsidP="00BE5A8B">
      <w:pPr>
        <w:numPr>
          <w:ilvl w:val="0"/>
          <w:numId w:val="8"/>
        </w:numPr>
        <w:spacing w:line="480" w:lineRule="auto"/>
        <w:jc w:val="both"/>
        <w:rPr>
          <w:lang w:val="en-US"/>
        </w:rPr>
      </w:pPr>
      <w:r w:rsidRPr="00BE5A8B">
        <w:rPr>
          <w:lang w:val="en-US"/>
        </w:rPr>
        <w:t>A clear and strong institutional mission.</w:t>
      </w:r>
    </w:p>
    <w:p w14:paraId="6F9CD825" w14:textId="77777777" w:rsidR="00BE5A8B" w:rsidRPr="00BE5A8B" w:rsidRDefault="00BE5A8B" w:rsidP="00BE5A8B">
      <w:pPr>
        <w:numPr>
          <w:ilvl w:val="0"/>
          <w:numId w:val="8"/>
        </w:numPr>
        <w:spacing w:line="480" w:lineRule="auto"/>
        <w:jc w:val="both"/>
        <w:rPr>
          <w:lang w:val="en-US"/>
        </w:rPr>
      </w:pPr>
      <w:r w:rsidRPr="00BE5A8B">
        <w:rPr>
          <w:lang w:val="en-US"/>
        </w:rPr>
        <w:t>Personal relationship between donors and institution leaders.</w:t>
      </w:r>
    </w:p>
    <w:p w14:paraId="6F1CF5DB" w14:textId="77777777" w:rsidR="00BE5A8B" w:rsidRPr="00BE5A8B" w:rsidRDefault="00BE5A8B" w:rsidP="00BE5A8B">
      <w:pPr>
        <w:numPr>
          <w:ilvl w:val="0"/>
          <w:numId w:val="8"/>
        </w:numPr>
        <w:spacing w:line="480" w:lineRule="auto"/>
        <w:jc w:val="both"/>
        <w:rPr>
          <w:lang w:val="en-US"/>
        </w:rPr>
      </w:pPr>
      <w:r w:rsidRPr="00BE5A8B">
        <w:rPr>
          <w:lang w:val="en-US"/>
        </w:rPr>
        <w:t>Donors’ engagement in institution’s activities.</w:t>
      </w:r>
    </w:p>
    <w:p w14:paraId="4510BA7C" w14:textId="77777777" w:rsidR="00BE5A8B" w:rsidRPr="00BE5A8B" w:rsidRDefault="00BE5A8B" w:rsidP="00BE5A8B">
      <w:pPr>
        <w:numPr>
          <w:ilvl w:val="0"/>
          <w:numId w:val="8"/>
        </w:numPr>
        <w:spacing w:line="480" w:lineRule="auto"/>
        <w:jc w:val="both"/>
        <w:rPr>
          <w:lang w:val="en-US"/>
        </w:rPr>
      </w:pPr>
      <w:r w:rsidRPr="00BE5A8B">
        <w:rPr>
          <w:lang w:val="en-US"/>
        </w:rPr>
        <w:t>Institution’s reputation, history and tradition.</w:t>
      </w:r>
    </w:p>
    <w:p w14:paraId="2DCEFE7D" w14:textId="77777777" w:rsidR="00BE5A8B" w:rsidRPr="00BE5A8B" w:rsidRDefault="00BE5A8B" w:rsidP="00BE5A8B">
      <w:pPr>
        <w:numPr>
          <w:ilvl w:val="0"/>
          <w:numId w:val="8"/>
        </w:numPr>
        <w:spacing w:line="480" w:lineRule="auto"/>
        <w:jc w:val="both"/>
        <w:rPr>
          <w:lang w:val="en-US"/>
        </w:rPr>
      </w:pPr>
      <w:r w:rsidRPr="00BE5A8B">
        <w:rPr>
          <w:lang w:val="en-US"/>
        </w:rPr>
        <w:t>Informed and committed constituency.</w:t>
      </w:r>
    </w:p>
    <w:p w14:paraId="7905DA46" w14:textId="77777777" w:rsidR="00BE5A8B" w:rsidRPr="00BE5A8B" w:rsidRDefault="00BE5A8B" w:rsidP="00BE5A8B">
      <w:pPr>
        <w:numPr>
          <w:ilvl w:val="0"/>
          <w:numId w:val="8"/>
        </w:numPr>
        <w:spacing w:line="480" w:lineRule="auto"/>
        <w:jc w:val="both"/>
        <w:rPr>
          <w:lang w:val="en-US"/>
        </w:rPr>
      </w:pPr>
      <w:r w:rsidRPr="00BE5A8B">
        <w:rPr>
          <w:lang w:val="en-US"/>
        </w:rPr>
        <w:t>Predisposition of donors to give.</w:t>
      </w:r>
    </w:p>
    <w:p w14:paraId="7093999A" w14:textId="77777777" w:rsidR="00BE5A8B" w:rsidRPr="00BE5A8B" w:rsidRDefault="00BE5A8B" w:rsidP="00BE5A8B">
      <w:pPr>
        <w:numPr>
          <w:ilvl w:val="0"/>
          <w:numId w:val="8"/>
        </w:numPr>
        <w:spacing w:line="480" w:lineRule="auto"/>
        <w:jc w:val="both"/>
        <w:rPr>
          <w:lang w:val="en-US"/>
        </w:rPr>
      </w:pPr>
      <w:r w:rsidRPr="00BE5A8B">
        <w:rPr>
          <w:lang w:val="en-US"/>
        </w:rPr>
        <w:t>Society’s confidence in the value created by the institution.</w:t>
      </w:r>
    </w:p>
    <w:p w14:paraId="6978919E" w14:textId="77777777" w:rsidR="00BE5A8B" w:rsidRPr="00BE5A8B" w:rsidRDefault="00BE5A8B" w:rsidP="00BE5A8B">
      <w:pPr>
        <w:numPr>
          <w:ilvl w:val="0"/>
          <w:numId w:val="8"/>
        </w:numPr>
        <w:spacing w:line="480" w:lineRule="auto"/>
        <w:jc w:val="both"/>
        <w:rPr>
          <w:lang w:val="en-US"/>
        </w:rPr>
      </w:pPr>
      <w:r w:rsidRPr="00BE5A8B">
        <w:rPr>
          <w:lang w:val="en-US"/>
        </w:rPr>
        <w:t>Economic, political and social situation.</w:t>
      </w:r>
    </w:p>
    <w:p w14:paraId="51775129" w14:textId="77777777" w:rsidR="00BE5A8B" w:rsidRPr="00BE5A8B" w:rsidRDefault="00BE5A8B" w:rsidP="00BE5A8B">
      <w:pPr>
        <w:numPr>
          <w:ilvl w:val="0"/>
          <w:numId w:val="8"/>
        </w:numPr>
        <w:spacing w:line="480" w:lineRule="auto"/>
        <w:jc w:val="both"/>
        <w:rPr>
          <w:lang w:val="en-US"/>
        </w:rPr>
      </w:pPr>
      <w:r w:rsidRPr="00BE5A8B">
        <w:rPr>
          <w:lang w:val="en-US"/>
        </w:rPr>
        <w:t>Tax policy in terms of state laws encouraging or not philanthropy.</w:t>
      </w:r>
    </w:p>
    <w:p w14:paraId="697167E9" w14:textId="77777777" w:rsidR="00BE5A8B" w:rsidRPr="00BE5A8B" w:rsidRDefault="00BE5A8B" w:rsidP="00BE5A8B">
      <w:pPr>
        <w:spacing w:line="480" w:lineRule="auto"/>
        <w:jc w:val="both"/>
        <w:rPr>
          <w:lang w:val="en-US"/>
        </w:rPr>
      </w:pPr>
      <w:r w:rsidRPr="00BE5A8B">
        <w:rPr>
          <w:lang w:val="en-US"/>
        </w:rPr>
        <w:t xml:space="preserve">All the variables aforementioned are crucial for fundraising effectiveness. Then, the lack or scarcity of one or some of them reduces the overall impact of the others. </w:t>
      </w:r>
    </w:p>
    <w:p w14:paraId="3EAC4391" w14:textId="27D963D6" w:rsidR="00BE5A8B" w:rsidRPr="00BE5A8B" w:rsidRDefault="00BE5A8B" w:rsidP="00BE5A8B">
      <w:pPr>
        <w:spacing w:line="480" w:lineRule="auto"/>
        <w:jc w:val="both"/>
        <w:rPr>
          <w:lang w:val="en-US"/>
        </w:rPr>
      </w:pPr>
      <w:r w:rsidRPr="00BE5A8B">
        <w:rPr>
          <w:lang w:val="en-US"/>
        </w:rPr>
        <w:t xml:space="preserve">Figure </w:t>
      </w:r>
      <w:r w:rsidR="00712D86">
        <w:rPr>
          <w:lang w:val="en-US"/>
        </w:rPr>
        <w:t>2.2</w:t>
      </w:r>
      <w:r w:rsidRPr="00BE5A8B">
        <w:rPr>
          <w:lang w:val="en-US"/>
        </w:rPr>
        <w:t xml:space="preserve"> represents fundraising process within higher education context as a social exchange model. Moreover, it is focused on exchange relationships between donors and academic leaders. In fact, the core of social exchange theory is individuals’ and organizations’ interdependence, as “a situation in which another has discretion to take actions which affect the focal organization’s interests</w:t>
      </w:r>
      <w:r w:rsidR="00C13FC9">
        <w:rPr>
          <w:lang w:val="en-US"/>
        </w:rPr>
        <w:t>”</w:t>
      </w:r>
      <w:r w:rsidRPr="00BE5A8B">
        <w:rPr>
          <w:lang w:val="en-US"/>
        </w:rPr>
        <w:t xml:space="preserve"> (Pfeffer &amp; Salancik, 1978, pag. 145). </w:t>
      </w:r>
    </w:p>
    <w:p w14:paraId="71A8D70F" w14:textId="5945382B" w:rsidR="00BE5A8B" w:rsidRPr="00BE5A8B" w:rsidRDefault="00BE5A8B" w:rsidP="00BE5A8B">
      <w:pPr>
        <w:spacing w:line="480" w:lineRule="auto"/>
        <w:jc w:val="both"/>
        <w:rPr>
          <w:lang w:val="en-US"/>
        </w:rPr>
      </w:pPr>
      <w:r w:rsidRPr="00BE5A8B">
        <w:rPr>
          <w:lang w:val="en-US"/>
        </w:rPr>
        <w:t xml:space="preserve">From figure </w:t>
      </w:r>
      <w:r w:rsidR="00712D86">
        <w:rPr>
          <w:lang w:val="en-US"/>
        </w:rPr>
        <w:t>2.2</w:t>
      </w:r>
      <w:r w:rsidRPr="00BE5A8B">
        <w:rPr>
          <w:lang w:val="en-US"/>
        </w:rPr>
        <w:t xml:space="preserve"> it is possible to state that university’s fundraising is driven by two forces: a continuous and recurrent financial need due to the public nature of higher education, and the competition from other universities and non profit organizations, thus reinforcing a tendency toward reputation maximization. This competition occurs, firstly, among universities of the same basic type, but there is also competition between universities and other high status non-profit institutions such as museums, hospitals, and orchestras for prestige, major gifts, board members, and other scarce and valuable resources. As a result, universities tend to follow a strategy of reputation maximization, although this is less genera</w:t>
      </w:r>
      <w:r w:rsidR="00E32DE2">
        <w:rPr>
          <w:lang w:val="en-US"/>
        </w:rPr>
        <w:t>lly true for</w:t>
      </w:r>
      <w:r w:rsidRPr="00BE5A8B">
        <w:rPr>
          <w:lang w:val="en-US"/>
        </w:rPr>
        <w:t xml:space="preserve"> some institutional types such as universities with low quality and few resources. </w:t>
      </w:r>
    </w:p>
    <w:p w14:paraId="754F3BEE" w14:textId="529104F3" w:rsidR="00BE5A8B" w:rsidRPr="00BE5A8B" w:rsidRDefault="00BE5A8B" w:rsidP="00BE5A8B">
      <w:pPr>
        <w:spacing w:line="480" w:lineRule="auto"/>
        <w:jc w:val="both"/>
        <w:rPr>
          <w:lang w:val="en-US"/>
        </w:rPr>
      </w:pPr>
      <w:r w:rsidRPr="00BE5A8B">
        <w:rPr>
          <w:lang w:val="en-US"/>
        </w:rPr>
        <w:t xml:space="preserve">As shown in Figure </w:t>
      </w:r>
      <w:r w:rsidR="00712D86">
        <w:rPr>
          <w:lang w:val="en-US"/>
        </w:rPr>
        <w:t>2.2</w:t>
      </w:r>
      <w:r w:rsidRPr="00BE5A8B">
        <w:rPr>
          <w:lang w:val="en-US"/>
        </w:rPr>
        <w:t>, the Central Act</w:t>
      </w:r>
      <w:r w:rsidR="00511B08">
        <w:rPr>
          <w:lang w:val="en-US"/>
        </w:rPr>
        <w:t>ors (Circle B) in academic fund</w:t>
      </w:r>
      <w:r w:rsidRPr="00BE5A8B">
        <w:rPr>
          <w:lang w:val="en-US"/>
        </w:rPr>
        <w:t xml:space="preserve">raising are the chief executive officer (President), volunteers (the Board of Trustees), academic deans, and fundraising staff (including the chief development officer). Four types of intervening forces influence all of these positions: environmental, institutional, personal, and role forces (Lasher &amp; Cook, 1996). All these actors are involved in Initial Action Strategies (Circle D) such as strategic planning, leadership recruitment, policy formulation, budget analysis, program development, staff training, internal needs assessment, communication and public relations efforts, stakeholders’ engagement’s special events, cultivation activities, and solicitation. </w:t>
      </w:r>
    </w:p>
    <w:p w14:paraId="7BBAFF6F" w14:textId="2DD631F1" w:rsidR="00BE5A8B" w:rsidRPr="00BE5A8B" w:rsidRDefault="00BE5A8B" w:rsidP="00BE5A8B">
      <w:pPr>
        <w:spacing w:line="480" w:lineRule="auto"/>
        <w:jc w:val="both"/>
        <w:rPr>
          <w:lang w:val="en-US"/>
        </w:rPr>
      </w:pPr>
      <w:r w:rsidRPr="00BE5A8B">
        <w:rPr>
          <w:lang w:val="en-US"/>
        </w:rPr>
        <w:t xml:space="preserve">Furthermore, Initial strategies normally focus on smaller annual gifts with most donor prospects. These prospects, then, respond in one of several different ways. They may give no response or, if such a call is answered, the response may be postponement or avoidance. Besides, some prospects respond negatively to such requests by choosing not to contribute, whereas other prospects make a donation for various reasons. Usually, for a short-term response, donors will not be as concerned with institutional prerequisites as they are for a long-term response since they are not investing as much. However, in some cases, first-time donors will make a major gift, either in cash or capital assets, or through a bequest. The arrow going from Circle D to Circle H represents this type of response (figure </w:t>
      </w:r>
      <w:r w:rsidR="00712D86">
        <w:rPr>
          <w:lang w:val="en-US"/>
        </w:rPr>
        <w:t>2.2</w:t>
      </w:r>
      <w:r w:rsidRPr="00BE5A8B">
        <w:rPr>
          <w:lang w:val="en-US"/>
        </w:rPr>
        <w:t>). Such a gift may originate thr</w:t>
      </w:r>
      <w:r w:rsidR="00511B08">
        <w:rPr>
          <w:lang w:val="en-US"/>
        </w:rPr>
        <w:t xml:space="preserve">ough the donor's own initiative </w:t>
      </w:r>
      <w:r w:rsidRPr="00BE5A8B">
        <w:rPr>
          <w:lang w:val="en-US"/>
        </w:rPr>
        <w:t>or in response to a specific proposal put forth by the institution. Other first-time donors may choose to give at the same level and frequency on a repeating basis and may never mature as a donor for a particular institution by advancing to higher giving levels. Such donor behavior forms a type of loop represented by the arrow going fro</w:t>
      </w:r>
      <w:r w:rsidR="00712D86">
        <w:rPr>
          <w:lang w:val="en-US"/>
        </w:rPr>
        <w:t>m Circle F to Circle D (figure 2.2</w:t>
      </w:r>
      <w:r w:rsidRPr="00BE5A8B">
        <w:rPr>
          <w:lang w:val="en-US"/>
        </w:rPr>
        <w:t xml:space="preserve">). Hence, the pattern of behavior, which universities try to encourage, is to move donors from one level to the next, in terms of the gifts’ size and the extent of their involvement in and commitment to the organization. This is represented by the step-wise progression from Circle D to Circle I, and in order to encourage this donor development a common feature of most fundraising strategies is the existence of giving "clubs" representing specific donation levels. </w:t>
      </w:r>
    </w:p>
    <w:p w14:paraId="4FE64DC5" w14:textId="224ABF69" w:rsidR="00BE5A8B" w:rsidRPr="00BE5A8B" w:rsidRDefault="00BE5A8B" w:rsidP="00BE5A8B">
      <w:pPr>
        <w:spacing w:line="480" w:lineRule="auto"/>
        <w:jc w:val="both"/>
        <w:rPr>
          <w:lang w:val="en-US"/>
        </w:rPr>
      </w:pPr>
      <w:r w:rsidRPr="00BE5A8B">
        <w:rPr>
          <w:lang w:val="en-US"/>
        </w:rPr>
        <w:t>The arrow going from Circle I to Circle G represents another loop: this is the case of the donor who provides major gifts periodically, either spontaneously or in response to individualized requests. Besides, this behavior may culminate in a bequest or testamentary gift that will be the donor's ultimate expression of commitment to the institution. A final type of donor respons</w:t>
      </w:r>
      <w:r w:rsidR="00712D86">
        <w:rPr>
          <w:lang w:val="en-US"/>
        </w:rPr>
        <w:t>e is not represented in Figure 2.2</w:t>
      </w:r>
      <w:r w:rsidRPr="00BE5A8B">
        <w:rPr>
          <w:lang w:val="en-US"/>
        </w:rPr>
        <w:t>: it is the rare case where an unknown or unsolicited donor initiates a gift. This donor may schedule an appointment with the development office, to obtain information and/or to discuss his or her interest in making a gift or supporting a certain activity. Hence, there are a number of variations for each type of donor response,</w:t>
      </w:r>
      <w:r w:rsidR="00D817B2">
        <w:rPr>
          <w:lang w:val="en-US"/>
        </w:rPr>
        <w:t xml:space="preserve"> but the primary aim of Figure 2.2</w:t>
      </w:r>
      <w:r w:rsidRPr="00BE5A8B">
        <w:rPr>
          <w:lang w:val="en-US"/>
        </w:rPr>
        <w:t xml:space="preserve"> is to illustrate fundraising from an institutional perspective and to show the systematic and cyclical nature of the fundraising process. </w:t>
      </w:r>
    </w:p>
    <w:p w14:paraId="4753EF6F" w14:textId="39618268" w:rsidR="00BE5A8B" w:rsidRPr="00BE5A8B" w:rsidRDefault="00BE5A8B" w:rsidP="00BE5A8B">
      <w:pPr>
        <w:spacing w:line="480" w:lineRule="auto"/>
        <w:jc w:val="both"/>
        <w:rPr>
          <w:lang w:val="en-US"/>
        </w:rPr>
      </w:pPr>
      <w:r w:rsidRPr="00BE5A8B">
        <w:rPr>
          <w:lang w:val="en-US"/>
        </w:rPr>
        <w:t>Then, Figure 2</w:t>
      </w:r>
      <w:r w:rsidR="00712D86">
        <w:rPr>
          <w:lang w:val="en-US"/>
        </w:rPr>
        <w:t>.3</w:t>
      </w:r>
      <w:r w:rsidRPr="00BE5A8B">
        <w:rPr>
          <w:lang w:val="en-US"/>
        </w:rPr>
        <w:t xml:space="preserve"> seeks to provide deeper and more integrated explanation of presidential fundraising than the general context one, show</w:t>
      </w:r>
      <w:r w:rsidR="00712D86">
        <w:rPr>
          <w:lang w:val="en-US"/>
        </w:rPr>
        <w:t>n in Circles B and C of Figure 2.2</w:t>
      </w:r>
      <w:r w:rsidRPr="00BE5A8B">
        <w:rPr>
          <w:lang w:val="en-US"/>
        </w:rPr>
        <w:t>. This model shows that presidential fundraising is a</w:t>
      </w:r>
      <w:r w:rsidRPr="00BE5A8B">
        <w:rPr>
          <w:vertAlign w:val="superscript"/>
        </w:rPr>
        <w:t xml:space="preserve"> </w:t>
      </w:r>
      <w:r w:rsidRPr="00BE5A8B">
        <w:rPr>
          <w:lang w:val="en-US"/>
        </w:rPr>
        <w:t>developmental process with different decision and with four types of intervening forces, which have an impact on presidents at each stage in the process. To understand this model, it is necessary to consider each decision separately. First, it is obviously necessary for an individual to be selected as the president of a university. Then, in accepting this position, an</w:t>
      </w:r>
      <w:r w:rsidRPr="00BE5A8B">
        <w:rPr>
          <w:vertAlign w:val="superscript"/>
        </w:rPr>
        <w:t xml:space="preserve"> </w:t>
      </w:r>
      <w:r w:rsidRPr="00BE5A8B">
        <w:rPr>
          <w:lang w:val="en-US"/>
        </w:rPr>
        <w:t xml:space="preserve">individual brings with him or her established leadership styles, personality characteristics, administrative and educational experiences, attitudes, values, beliefs, and interpersonal skills. </w:t>
      </w:r>
    </w:p>
    <w:p w14:paraId="7A153DC7" w14:textId="289DF5EA" w:rsidR="00BE5A8B" w:rsidRPr="00BE5A8B" w:rsidRDefault="00BE5A8B" w:rsidP="00BE5A8B">
      <w:pPr>
        <w:spacing w:line="480" w:lineRule="auto"/>
        <w:jc w:val="both"/>
        <w:rPr>
          <w:lang w:val="en-US"/>
        </w:rPr>
      </w:pPr>
      <w:r w:rsidRPr="00BE5A8B">
        <w:rPr>
          <w:lang w:val="en-US"/>
        </w:rPr>
        <w:t>Furthermore, this president also carries with him or her some self-created role expectations for the position. Besides, others, defined as role senders, both inside and outside the organization</w:t>
      </w:r>
      <w:r w:rsidR="00D817B2">
        <w:rPr>
          <w:lang w:val="en-US"/>
        </w:rPr>
        <w:t>,</w:t>
      </w:r>
      <w:r w:rsidRPr="00BE5A8B">
        <w:rPr>
          <w:lang w:val="en-US"/>
        </w:rPr>
        <w:t xml:space="preserve"> have some role expectations associated with the presidency as well. From another perspective, the president also inherits established traditions, history, culture, and other aspects of the organizational life, since an institution is a complex and dynamic social organism. Therefore, institutional forces also include capabilities, strengths, weaknesses, prestige, and quality of the governing board, departmental boards, and alumni boards. </w:t>
      </w:r>
    </w:p>
    <w:p w14:paraId="1BEFEDF0" w14:textId="77777777" w:rsidR="00BE5A8B" w:rsidRPr="00BE5A8B" w:rsidRDefault="00BE5A8B" w:rsidP="00BE5A8B">
      <w:pPr>
        <w:spacing w:line="480" w:lineRule="auto"/>
        <w:jc w:val="both"/>
        <w:rPr>
          <w:lang w:val="en-US"/>
        </w:rPr>
      </w:pPr>
      <w:r w:rsidRPr="00BE5A8B">
        <w:rPr>
          <w:lang w:val="en-US"/>
        </w:rPr>
        <w:t>Finally, the president inherits environmental conditions such as capacity of the donor base; philanthropic tradition of the local community, region, and state; economic situation; governmental tax policy; competition from other public institutions and non-profit organizations; and public opinion toward universities.</w:t>
      </w:r>
    </w:p>
    <w:p w14:paraId="5E87C05D" w14:textId="77777777" w:rsidR="00BE5A8B" w:rsidRPr="00BE5A8B" w:rsidRDefault="00BE5A8B" w:rsidP="00BE5A8B">
      <w:pPr>
        <w:spacing w:line="480" w:lineRule="auto"/>
        <w:jc w:val="both"/>
        <w:rPr>
          <w:lang w:val="en-US"/>
        </w:rPr>
      </w:pPr>
      <w:r w:rsidRPr="00BE5A8B">
        <w:rPr>
          <w:lang w:val="en-US"/>
        </w:rPr>
        <w:t xml:space="preserve">These four forces interact to produce the president's level of participation in fundraising, which is the next step in the model. Presidential participation can be viewed as a continuum, with one extreme being no participation in fundraising, and the other extreme being full participation. Obviously, very few presidents operate at either extreme. Instead, the majority is located somewhere between these polar opposites. Moreover, one reason for these different levels of participation is that typically one of the four forces is predominant among the others. In reality, all four forces exert differing levels of influence on presidents and thus affect presidential decision-making and behavior in varying degrees. Hence, presidents must develop an integrated view of these forces in order to use the fundraising potential of their institutions and to maximize the fundraising effectiveness and success. Then, these forces produce certain changes that have an impact on fundraising effectiveness. Furthermore, presidents' commitment to their institutions also increases, their relationships with wealthy individuals deepen, and their circle of friends and supporters widens. </w:t>
      </w:r>
    </w:p>
    <w:p w14:paraId="18EBA81F" w14:textId="77777777" w:rsidR="00BE5A8B" w:rsidRPr="00BE5A8B" w:rsidRDefault="00BE5A8B" w:rsidP="00BE5A8B">
      <w:pPr>
        <w:spacing w:line="480" w:lineRule="auto"/>
        <w:jc w:val="both"/>
        <w:rPr>
          <w:lang w:val="en-US"/>
        </w:rPr>
      </w:pPr>
      <w:r w:rsidRPr="00BE5A8B">
        <w:rPr>
          <w:lang w:val="en-US"/>
        </w:rPr>
        <w:t xml:space="preserve">In summary, presidents both bring with them and inherit certain realities that interact to determine how much time and energy they spend on fundraising and on which parts of the fundraising process and program they focus their efforts and attention. Furthermore, these forces also determine how well presidents will perform in fundraising: hence, there is a multiple effect although the strength of each force changes over time and collectively the four forces change presidents over time as well. </w:t>
      </w:r>
    </w:p>
    <w:p w14:paraId="037F6E41" w14:textId="77777777" w:rsidR="00BE5A8B" w:rsidRPr="00BE5A8B" w:rsidRDefault="00BE5A8B" w:rsidP="00BE5A8B">
      <w:pPr>
        <w:spacing w:line="480" w:lineRule="auto"/>
        <w:jc w:val="both"/>
        <w:rPr>
          <w:lang w:val="en-US"/>
        </w:rPr>
      </w:pPr>
      <w:r w:rsidRPr="00BE5A8B">
        <w:rPr>
          <w:lang w:val="en-US"/>
        </w:rPr>
        <w:t xml:space="preserve">This theoretical approach presents some implications. First of all, although the president of a university is typically the central player on the fundraising team, presidents have a limited number of cards they can play with donor prospects, as the stature of the presidential office or position, the quality and prestige of the university being represented, the importance of higher education to society, interpersonal skills, appeals to donor motives, the strength of relationship between the donor and the university, the stature and prestige of members of the development team. Of these, it depends on individual donors as to which is the most powerful or important, but genuine quality is obviously a fundamental part of the fundraising mix. In addition, presidents must have a sense of what is possible and desirable for their institutions, and this can come only through strategic planning activities and process. </w:t>
      </w:r>
    </w:p>
    <w:p w14:paraId="4AB57194" w14:textId="1972C6FD" w:rsidR="00BE5A8B" w:rsidRPr="00BE5A8B" w:rsidRDefault="00BE5A8B" w:rsidP="00BE5A8B">
      <w:pPr>
        <w:spacing w:line="480" w:lineRule="auto"/>
        <w:jc w:val="both"/>
        <w:rPr>
          <w:lang w:val="en-US"/>
        </w:rPr>
      </w:pPr>
      <w:r w:rsidRPr="00BE5A8B">
        <w:rPr>
          <w:lang w:val="en-US"/>
        </w:rPr>
        <w:t>Second, fundraising must be thought of and studied more as a team effort th</w:t>
      </w:r>
      <w:r w:rsidR="00387033">
        <w:rPr>
          <w:lang w:val="en-US"/>
        </w:rPr>
        <w:t>an as the responsibility of any</w:t>
      </w:r>
      <w:r w:rsidRPr="00BE5A8B">
        <w:rPr>
          <w:lang w:val="en-US"/>
        </w:rPr>
        <w:t xml:space="preserve">one person or position, as a dynamic process rather than as a series of static steps. Moreover, the subtlety and complexity inherent to the fundraising process can only be fully appreciated as a dynamic group activity involving a number of interpersonal relationships, role transactions, and social exchanges. </w:t>
      </w:r>
    </w:p>
    <w:p w14:paraId="2DD31CEC" w14:textId="328DCDC2" w:rsidR="00BE5A8B" w:rsidRPr="00BE5A8B" w:rsidRDefault="00BE5A8B" w:rsidP="00BE5A8B">
      <w:pPr>
        <w:spacing w:line="480" w:lineRule="auto"/>
        <w:jc w:val="both"/>
        <w:rPr>
          <w:lang w:val="en-US"/>
        </w:rPr>
      </w:pPr>
      <w:r w:rsidRPr="00BE5A8B">
        <w:rPr>
          <w:lang w:val="en-US"/>
        </w:rPr>
        <w:t>Third, although basic aspects of fundraising are among different organizations, fundraising is situation-specific and can only be fully understood in terms of a particular context. Furthermore, there are considerable variations between institutions of the same type, as universities. Differences in culture, history, tradition, mission, number of alumni, capacity of the donor base, prestige, academic quality, commitment, effort, leadership style of the president and development officers play a critical role in fundraising outcomes. Hence, results relating to one institution are</w:t>
      </w:r>
      <w:r w:rsidR="00156053">
        <w:rPr>
          <w:lang w:val="en-US"/>
        </w:rPr>
        <w:t xml:space="preserve"> not automatically replicable in</w:t>
      </w:r>
      <w:r w:rsidRPr="00BE5A8B">
        <w:rPr>
          <w:lang w:val="en-US"/>
        </w:rPr>
        <w:t xml:space="preserve"> another institution. </w:t>
      </w:r>
    </w:p>
    <w:p w14:paraId="170961A1" w14:textId="4E469A5D" w:rsidR="00BE5A8B" w:rsidRPr="00BE5A8B" w:rsidRDefault="00BE5A8B" w:rsidP="00BE5A8B">
      <w:pPr>
        <w:spacing w:line="480" w:lineRule="auto"/>
        <w:jc w:val="both"/>
        <w:rPr>
          <w:lang w:val="en-US"/>
        </w:rPr>
      </w:pPr>
      <w:r w:rsidRPr="00BE5A8B">
        <w:rPr>
          <w:lang w:val="en-US"/>
        </w:rPr>
        <w:t>Finally, it is perhaps better to speak of fundraising effectiveness rather than fundraising success. However, both are important: success is probably an easier concept to grasp and to quantify and fits more readily within a short-term time period, which is where most fundraisers and presidents have to operate. From another perspective, the long-term stability, growth, and maturity of an organization's development program are dependent upon variables and forces that may have little to do with a particular comprehensive campaign or annual fund drive. Hence, effectiveness emphasizes performance relative to fundraising potential given present capabilities and realities, whereas success emphasizes performance relative to a predetermined goal in a predetermined time period. Therefore, fundraisers and presidents need to have both short-term and long-term objectives for their institutions. The concept of effectiveness also carries with i</w:t>
      </w:r>
      <w:r w:rsidR="00EF256B">
        <w:rPr>
          <w:lang w:val="en-US"/>
        </w:rPr>
        <w:t>t a broader perspective on fund</w:t>
      </w:r>
      <w:r w:rsidRPr="00BE5A8B">
        <w:rPr>
          <w:lang w:val="en-US"/>
        </w:rPr>
        <w:t xml:space="preserve">raising and encourages more focus on basic prerequisites that must usually be in place before donors will consider making a major or ultimate gift to an institution. </w:t>
      </w:r>
    </w:p>
    <w:p w14:paraId="5DF3136F" w14:textId="554B6A64" w:rsidR="00BE5A8B" w:rsidRPr="00BE5A8B" w:rsidRDefault="00BE5A8B" w:rsidP="00BE5A8B">
      <w:pPr>
        <w:spacing w:line="480" w:lineRule="auto"/>
        <w:jc w:val="both"/>
        <w:rPr>
          <w:lang w:val="en-US"/>
        </w:rPr>
      </w:pPr>
      <w:r w:rsidRPr="00BE5A8B">
        <w:rPr>
          <w:lang w:val="en-US"/>
        </w:rPr>
        <w:t>The models previously shown imply new ground in enhancing an understanding of university’s fundraising in general and presidential fundraising in particular. These models are useful both for schol</w:t>
      </w:r>
      <w:r w:rsidR="004C6332">
        <w:rPr>
          <w:lang w:val="en-US"/>
        </w:rPr>
        <w:t>ars and for practitioners. Figure 2.2</w:t>
      </w:r>
      <w:r w:rsidRPr="00BE5A8B">
        <w:rPr>
          <w:lang w:val="en-US"/>
        </w:rPr>
        <w:t xml:space="preserve"> provides a comprehensive guideline to decision-makers such as presidents, vice presidents for development, and governing boards regarding the key variables or prerequisites for sustained effectiveness in fundraising. Moreover, this list provides administrators with a tool to assess the relative strengths and weaknesses of their institutions relating to fundraising potential and capability. </w:t>
      </w:r>
    </w:p>
    <w:p w14:paraId="513D8122" w14:textId="369561C0" w:rsidR="00BE5A8B" w:rsidRPr="00BE5A8B" w:rsidRDefault="00712D86" w:rsidP="00BE5A8B">
      <w:pPr>
        <w:spacing w:line="480" w:lineRule="auto"/>
        <w:jc w:val="both"/>
        <w:rPr>
          <w:lang w:val="en-US"/>
        </w:rPr>
      </w:pPr>
      <w:r>
        <w:rPr>
          <w:lang w:val="en-US"/>
        </w:rPr>
        <w:t>Then, Figure 2.2</w:t>
      </w:r>
      <w:r w:rsidR="00BE5A8B" w:rsidRPr="00BE5A8B">
        <w:rPr>
          <w:lang w:val="en-US"/>
        </w:rPr>
        <w:t xml:space="preserve"> provides an overview of the fundraising process at universities. It is focused on a general context that is dynamic and changing rather than a series of events that are static and predictable. Furthermore, it portrays fundraising from an institutional and systems perspective, and depicts fundraising as a social exchange that occurs between donors and institutions. The scope and complexity of such a system are enormous, especially when interaction effects are considered. </w:t>
      </w:r>
    </w:p>
    <w:p w14:paraId="3F8FE033" w14:textId="4B3AE8A3" w:rsidR="00BE5A8B" w:rsidRDefault="004247FA" w:rsidP="00BE5A8B">
      <w:pPr>
        <w:spacing w:line="480" w:lineRule="auto"/>
        <w:jc w:val="both"/>
        <w:rPr>
          <w:lang w:val="en-US"/>
        </w:rPr>
      </w:pPr>
      <w:r>
        <w:rPr>
          <w:lang w:val="en-US"/>
        </w:rPr>
        <w:t>Moreover</w:t>
      </w:r>
      <w:r w:rsidR="00BE5A8B" w:rsidRPr="00BE5A8B">
        <w:rPr>
          <w:lang w:val="en-US"/>
        </w:rPr>
        <w:t>, Figure 2</w:t>
      </w:r>
      <w:r w:rsidR="00712D86">
        <w:rPr>
          <w:lang w:val="en-US"/>
        </w:rPr>
        <w:t>.3</w:t>
      </w:r>
      <w:r w:rsidR="00BE5A8B" w:rsidRPr="00BE5A8B">
        <w:rPr>
          <w:lang w:val="en-US"/>
        </w:rPr>
        <w:t xml:space="preserve"> focuses on presidential fundraising. In this model, intervening variables include environmental, institutional, role, and personal forces. These forces interact to determine who is selected as a university’s president, the extent and direction of the president’s involvement in fundraising, and the effectiveness of the latter in fundraising process. The same four forces also have an impact on other key players on the fundraising team such as academic leaders and senior members of the fundraising staff. </w:t>
      </w:r>
    </w:p>
    <w:p w14:paraId="30D6DC07" w14:textId="31AE3231" w:rsidR="00E81E33" w:rsidRPr="00BE5A8B" w:rsidRDefault="00E81E33" w:rsidP="00BE5A8B">
      <w:pPr>
        <w:spacing w:line="480" w:lineRule="auto"/>
        <w:jc w:val="both"/>
        <w:rPr>
          <w:lang w:val="en-US"/>
        </w:rPr>
      </w:pPr>
      <w:r>
        <w:rPr>
          <w:lang w:val="en-US"/>
        </w:rPr>
        <w:t xml:space="preserve">Finally, the RDT framework has been adopted as a “theoretical ground floor” because it has been well developed within higher education sector (Chan, 2015). Hence, its validity has been proved by several studies, some of which regard </w:t>
      </w:r>
      <w:r w:rsidR="00727047">
        <w:rPr>
          <w:lang w:val="en-US"/>
        </w:rPr>
        <w:t xml:space="preserve">also </w:t>
      </w:r>
      <w:r>
        <w:rPr>
          <w:lang w:val="en-US"/>
        </w:rPr>
        <w:t>other contexts of analysis, as entrepreneurship, healthcare, non-profit sector etc. However, even other important theoretical framework</w:t>
      </w:r>
      <w:r w:rsidR="00727047">
        <w:rPr>
          <w:lang w:val="en-US"/>
        </w:rPr>
        <w:t>s</w:t>
      </w:r>
      <w:r>
        <w:rPr>
          <w:lang w:val="en-US"/>
        </w:rPr>
        <w:t xml:space="preserve"> have been taken into consideration</w:t>
      </w:r>
      <w:r w:rsidR="00727047">
        <w:rPr>
          <w:lang w:val="en-US"/>
        </w:rPr>
        <w:t xml:space="preserve"> (Table 2.1, fourth column)</w:t>
      </w:r>
      <w:r>
        <w:rPr>
          <w:lang w:val="en-US"/>
        </w:rPr>
        <w:t>, as Agency Theory (Freeman, 2010), Cognitive Evaluation Theory (Allison et al., 2015), Co-creation of Value (Nyman et al., 2</w:t>
      </w:r>
      <w:r w:rsidR="00727047">
        <w:rPr>
          <w:lang w:val="en-US"/>
        </w:rPr>
        <w:t>016), Resource-based View (Sacristan Lopez del los Mozos, 2016</w:t>
      </w:r>
      <w:r>
        <w:rPr>
          <w:lang w:val="en-US"/>
        </w:rPr>
        <w:t>)</w:t>
      </w:r>
      <w:r w:rsidR="00727047">
        <w:rPr>
          <w:lang w:val="en-US"/>
        </w:rPr>
        <w:t xml:space="preserve">, Social Innovation (Colasanti et al., 2018) and Sustainability framework (Pati &amp; Lee, 2016). All them have contributed to </w:t>
      </w:r>
      <w:r w:rsidR="00A72653">
        <w:rPr>
          <w:lang w:val="en-US"/>
        </w:rPr>
        <w:t xml:space="preserve">better </w:t>
      </w:r>
      <w:r w:rsidR="00727047">
        <w:rPr>
          <w:lang w:val="en-US"/>
        </w:rPr>
        <w:t xml:space="preserve">understand the fundraising phenomenon, although they represent general frameworks that do not always allow </w:t>
      </w:r>
      <w:r w:rsidR="000458AB">
        <w:rPr>
          <w:lang w:val="en-US"/>
        </w:rPr>
        <w:t>explaining</w:t>
      </w:r>
      <w:r w:rsidR="00727047">
        <w:rPr>
          <w:lang w:val="en-US"/>
        </w:rPr>
        <w:t xml:space="preserve"> the effects of the external environment on the organization’s structure and strategy.</w:t>
      </w:r>
    </w:p>
    <w:p w14:paraId="0D98DF1E" w14:textId="77777777" w:rsidR="00BE5A8B" w:rsidRPr="00BE5A8B" w:rsidRDefault="00BE5A8B" w:rsidP="00BE5A8B">
      <w:pPr>
        <w:spacing w:line="480" w:lineRule="auto"/>
        <w:jc w:val="both"/>
        <w:rPr>
          <w:lang w:val="en-US"/>
        </w:rPr>
      </w:pPr>
    </w:p>
    <w:p w14:paraId="3CB44C87" w14:textId="77777777" w:rsidR="00BE5A8B" w:rsidRPr="00BE5A8B" w:rsidRDefault="00BE5A8B" w:rsidP="00BE5A8B">
      <w:pPr>
        <w:spacing w:line="480" w:lineRule="auto"/>
        <w:jc w:val="both"/>
        <w:rPr>
          <w:b/>
          <w:lang w:val="en-US"/>
        </w:rPr>
      </w:pPr>
      <w:r w:rsidRPr="00BE5A8B">
        <w:rPr>
          <w:b/>
          <w:lang w:val="en-US"/>
        </w:rPr>
        <w:t>2.4 Literature gap, main objectives of the thesis and research questions</w:t>
      </w:r>
    </w:p>
    <w:p w14:paraId="6BE8AD95" w14:textId="19FF2960" w:rsidR="00BE5A8B" w:rsidRPr="00BE5A8B" w:rsidRDefault="00BE5A8B" w:rsidP="00BE5A8B">
      <w:pPr>
        <w:spacing w:line="480" w:lineRule="auto"/>
        <w:jc w:val="both"/>
        <w:rPr>
          <w:lang w:val="en-US"/>
        </w:rPr>
      </w:pPr>
      <w:r w:rsidRPr="00BE5A8B">
        <w:rPr>
          <w:lang w:val="en-US"/>
        </w:rPr>
        <w:t>The analysis of the state of the art of the literature shows that fundraising is a topic that deserves a multi-disciplinary and holistic approach relating to the focus of the analysis. Moreover, there are some themes (factors influencing fundraising success, organizational changes and institutional challenges introduced by fundraising practices, donors’ behavior and donations’ drivers, online fundraising and crowdfunding) that have been investigated more than others (fundraising effectiveness and efficiency, external engagement and external development, financial stability and growth, fundraising’s outcome, and fundraising regulation). Besides</w:t>
      </w:r>
      <w:r w:rsidR="00F84E28">
        <w:rPr>
          <w:lang w:val="en-US"/>
        </w:rPr>
        <w:t>,</w:t>
      </w:r>
      <w:r w:rsidRPr="00BE5A8B">
        <w:rPr>
          <w:lang w:val="en-US"/>
        </w:rPr>
        <w:t xml:space="preserve"> some themes have been objects of analysis without any theoretical framework support. Hence, the aim of this thesis is to focus the analysis on fundraising as a means to support university’s outcome. This means that the investigation does not concern with fundraising’s outcome, but it deals with the impact of fundraising output on university’s outcome and, hence, on university’s mission. The assumption behind this study is the triangular relation among fundraising process’ output, university’s outcome and university’s mission. From this perspective, literature is still lacking and calls for further investigations and analyses. </w:t>
      </w:r>
    </w:p>
    <w:p w14:paraId="58582576" w14:textId="77777777" w:rsidR="00BE5A8B" w:rsidRPr="00BE5A8B" w:rsidRDefault="00BE5A8B" w:rsidP="00BE5A8B">
      <w:pPr>
        <w:spacing w:line="480" w:lineRule="auto"/>
        <w:jc w:val="both"/>
        <w:rPr>
          <w:lang w:val="en-US"/>
        </w:rPr>
      </w:pPr>
      <w:r w:rsidRPr="00BE5A8B">
        <w:rPr>
          <w:lang w:val="en-US"/>
        </w:rPr>
        <w:t>The research aim of this study is basically to understand, interpret and explain the fundraising phenomenon, process, and activities and how they works within the Italian higher education context. In order to achieve this aim, the following research questions will be investigated:</w:t>
      </w:r>
    </w:p>
    <w:p w14:paraId="48A21548" w14:textId="0AF8A009" w:rsidR="00BE5A8B" w:rsidRPr="00BE5A8B" w:rsidRDefault="00896983" w:rsidP="00BE5A8B">
      <w:pPr>
        <w:numPr>
          <w:ilvl w:val="0"/>
          <w:numId w:val="4"/>
        </w:numPr>
        <w:spacing w:line="480" w:lineRule="auto"/>
        <w:jc w:val="both"/>
        <w:rPr>
          <w:lang w:val="en-US"/>
        </w:rPr>
      </w:pPr>
      <w:r>
        <w:rPr>
          <w:lang w:val="en-US"/>
        </w:rPr>
        <w:t>Considering the current situation of the Italian Higher Education context, will academic leaders and managers consider fundraising</w:t>
      </w:r>
      <w:r w:rsidR="00462E2D">
        <w:rPr>
          <w:lang w:val="en-US"/>
        </w:rPr>
        <w:t xml:space="preserve"> as a strategic process</w:t>
      </w:r>
      <w:r>
        <w:rPr>
          <w:lang w:val="en-US"/>
        </w:rPr>
        <w:t xml:space="preserve"> to achieve the university’s mission, in term of output and outcome?</w:t>
      </w:r>
    </w:p>
    <w:p w14:paraId="0D1736D6" w14:textId="12D4B57C" w:rsidR="00BE5A8B" w:rsidRPr="00BE5A8B" w:rsidRDefault="00896983" w:rsidP="00BE5A8B">
      <w:pPr>
        <w:numPr>
          <w:ilvl w:val="0"/>
          <w:numId w:val="4"/>
        </w:numPr>
        <w:spacing w:line="480" w:lineRule="auto"/>
        <w:jc w:val="both"/>
        <w:rPr>
          <w:lang w:val="en-US"/>
        </w:rPr>
      </w:pPr>
      <w:r>
        <w:rPr>
          <w:lang w:val="en-US"/>
        </w:rPr>
        <w:t>Which fundraising tools and features can successfully support university’s mission, in term of value creation process?</w:t>
      </w:r>
    </w:p>
    <w:p w14:paraId="285E9642" w14:textId="601A56CF" w:rsidR="00BE5A8B" w:rsidRDefault="00BE5A8B" w:rsidP="00BE5A8B">
      <w:pPr>
        <w:spacing w:line="480" w:lineRule="auto"/>
        <w:jc w:val="both"/>
        <w:rPr>
          <w:lang w:val="en-US"/>
        </w:rPr>
      </w:pPr>
      <w:r w:rsidRPr="00BE5A8B">
        <w:rPr>
          <w:lang w:val="en-US"/>
        </w:rPr>
        <w:t xml:space="preserve">These research questions will be further investigated in the following chapter by developing more specific research aim and questions. General results will be discussed considering the Resource Dependence Theory framework, especially that developed within higher education context. </w:t>
      </w:r>
    </w:p>
    <w:p w14:paraId="0820CEA8" w14:textId="77777777" w:rsidR="00B9701E" w:rsidRPr="006E0F7E" w:rsidRDefault="00B9701E" w:rsidP="00BE5A8B">
      <w:pPr>
        <w:spacing w:line="480" w:lineRule="auto"/>
        <w:jc w:val="both"/>
        <w:rPr>
          <w:lang w:val="en-US"/>
        </w:rPr>
      </w:pPr>
    </w:p>
    <w:p w14:paraId="4FB73B24" w14:textId="77777777" w:rsidR="00BE5A8B" w:rsidRPr="00BE5A8B" w:rsidRDefault="00BE5A8B" w:rsidP="00BE5A8B">
      <w:pPr>
        <w:spacing w:line="480" w:lineRule="auto"/>
        <w:jc w:val="both"/>
        <w:rPr>
          <w:b/>
          <w:lang w:val="en-US"/>
        </w:rPr>
      </w:pPr>
      <w:r w:rsidRPr="00BE5A8B">
        <w:rPr>
          <w:b/>
          <w:lang w:val="en-US"/>
        </w:rPr>
        <w:t>2.5 Conclusions</w:t>
      </w:r>
    </w:p>
    <w:p w14:paraId="4364B3C3" w14:textId="5AA09F90" w:rsidR="00BE5A8B" w:rsidRPr="00BE5A8B" w:rsidRDefault="00BE5A8B" w:rsidP="00BE5A8B">
      <w:pPr>
        <w:spacing w:line="480" w:lineRule="auto"/>
        <w:jc w:val="both"/>
        <w:rPr>
          <w:lang w:val="en-US"/>
        </w:rPr>
      </w:pPr>
      <w:r w:rsidRPr="00BE5A8B">
        <w:rPr>
          <w:lang w:val="en-US"/>
        </w:rPr>
        <w:t>The first essay of this paper (third chapter) discusses fundraising activities and processes within public higher education context, with a special focus on the role of university presidents and academic deans. In fact, fundraising is a shared responsibility among a wide group of institutional leaders (univ</w:t>
      </w:r>
      <w:r w:rsidR="00F84E28">
        <w:rPr>
          <w:lang w:val="en-US"/>
        </w:rPr>
        <w:t>ersity’s presidents and deans):</w:t>
      </w:r>
      <w:r w:rsidRPr="00BE5A8B">
        <w:rPr>
          <w:lang w:val="en-US"/>
        </w:rPr>
        <w:t xml:space="preserve"> “leadership of fundraising activities is an inescapable reality for modern university presidents and deans of academic schools and colleges” (Hodson, 2010). Therefore, internal and external stakeholders expect them to lead the fundraising activity capably, visibly and credibly. Fundraising is a strategic process that regards all the university’s functions (teaching, research and outreach), involving several actors, in and out of the organizational boundaries (Chan, 2015).</w:t>
      </w:r>
    </w:p>
    <w:p w14:paraId="095117F6" w14:textId="77777777" w:rsidR="00BE5A8B" w:rsidRPr="00BE5A8B" w:rsidRDefault="00BE5A8B" w:rsidP="00BE5A8B">
      <w:pPr>
        <w:spacing w:line="480" w:lineRule="auto"/>
        <w:jc w:val="both"/>
        <w:rPr>
          <w:lang w:val="en-US"/>
        </w:rPr>
      </w:pPr>
      <w:r w:rsidRPr="00BE5A8B">
        <w:rPr>
          <w:lang w:val="en-US"/>
        </w:rPr>
        <w:t>Referring to this literature, the study tries to answer to these research questions:</w:t>
      </w:r>
    </w:p>
    <w:p w14:paraId="0710DCDC" w14:textId="77777777" w:rsidR="00BE5A8B" w:rsidRPr="00BE5A8B" w:rsidRDefault="00BE5A8B" w:rsidP="000B7F71">
      <w:pPr>
        <w:numPr>
          <w:ilvl w:val="0"/>
          <w:numId w:val="20"/>
        </w:numPr>
        <w:spacing w:line="480" w:lineRule="auto"/>
        <w:jc w:val="both"/>
        <w:rPr>
          <w:lang w:val="en-US"/>
        </w:rPr>
      </w:pPr>
      <w:r w:rsidRPr="00BE5A8B">
        <w:rPr>
          <w:lang w:val="en-US"/>
        </w:rPr>
        <w:t>How does university governance boot fundraising as a managerial tool to achieve university mission and which organizational capabilities are related to fundraising effectiveness?</w:t>
      </w:r>
    </w:p>
    <w:p w14:paraId="2CF5A902" w14:textId="77777777" w:rsidR="00BE5A8B" w:rsidRPr="00BE5A8B" w:rsidRDefault="00BE5A8B" w:rsidP="000B7F71">
      <w:pPr>
        <w:numPr>
          <w:ilvl w:val="0"/>
          <w:numId w:val="20"/>
        </w:numPr>
        <w:spacing w:line="480" w:lineRule="auto"/>
        <w:jc w:val="both"/>
        <w:rPr>
          <w:lang w:val="en-US"/>
        </w:rPr>
      </w:pPr>
      <w:r w:rsidRPr="00BE5A8B">
        <w:rPr>
          <w:lang w:val="en-US"/>
        </w:rPr>
        <w:t xml:space="preserve">How does fundraising support university’s strategy and vice versa? </w:t>
      </w:r>
    </w:p>
    <w:p w14:paraId="67617755" w14:textId="68A66FD4" w:rsidR="00BE5A8B" w:rsidRPr="00BE5A8B" w:rsidRDefault="00BE5A8B" w:rsidP="00BE5A8B">
      <w:pPr>
        <w:spacing w:line="480" w:lineRule="auto"/>
        <w:jc w:val="both"/>
        <w:rPr>
          <w:lang w:val="en-US"/>
        </w:rPr>
      </w:pPr>
      <w:r w:rsidRPr="00BE5A8B">
        <w:rPr>
          <w:lang w:val="en-US"/>
        </w:rPr>
        <w:t xml:space="preserve">In order to answer to the first question an organizational model is delivered, while, for the second one, a theoretical model is developed, combining “strategic triangle” framework </w:t>
      </w:r>
      <w:r w:rsidR="00F84E28">
        <w:rPr>
          <w:lang w:val="en-US"/>
        </w:rPr>
        <w:t>(Moore, 1995, 2000, 2003) and “Resource Dependence T</w:t>
      </w:r>
      <w:r w:rsidRPr="00BE5A8B">
        <w:rPr>
          <w:lang w:val="en-US"/>
        </w:rPr>
        <w:t>heory” (Chan, 2015; Pfeffer &amp; Salanik, 1978). The analysis considers the Italian public universities context: the state of the art is discussed considering the models previously stated. Furthermore, a preliminary analysis about a sample of 58 public universities is provided. Then, a qualitative content analysis of 43 integrated long-term strategic plans is performed. The final output is an overview of fundraising role and culture in the Italian public higher education context.</w:t>
      </w:r>
    </w:p>
    <w:p w14:paraId="212BEE45" w14:textId="77777777" w:rsidR="00BE5A8B" w:rsidRPr="00BE5A8B" w:rsidRDefault="00BE5A8B" w:rsidP="00BE5A8B">
      <w:pPr>
        <w:spacing w:line="480" w:lineRule="auto"/>
        <w:jc w:val="both"/>
        <w:rPr>
          <w:lang w:val="en-US"/>
        </w:rPr>
      </w:pPr>
      <w:r w:rsidRPr="00BE5A8B">
        <w:rPr>
          <w:lang w:val="en-US"/>
        </w:rPr>
        <w:t>The second essay (fourth chapter) is focused on fundraising as a means to reach the university’s outcome, through sustaining university’s functions (Teaching, Research and Outreach). Moreover, this research attempts to answer to the following questions:</w:t>
      </w:r>
    </w:p>
    <w:p w14:paraId="2D60803E" w14:textId="77777777" w:rsidR="00BE5A8B" w:rsidRPr="00BE5A8B" w:rsidRDefault="00BE5A8B" w:rsidP="00BE5A8B">
      <w:pPr>
        <w:numPr>
          <w:ilvl w:val="0"/>
          <w:numId w:val="5"/>
        </w:numPr>
        <w:spacing w:line="480" w:lineRule="auto"/>
        <w:jc w:val="both"/>
        <w:rPr>
          <w:lang w:val="en-US"/>
        </w:rPr>
      </w:pPr>
      <w:r w:rsidRPr="00BE5A8B">
        <w:rPr>
          <w:lang w:val="en-US"/>
        </w:rPr>
        <w:t>Is fundraising able to influence university’s outcome in terms of three university’s functions?</w:t>
      </w:r>
    </w:p>
    <w:p w14:paraId="6A24A6AF" w14:textId="77777777" w:rsidR="00BE5A8B" w:rsidRPr="00BE5A8B" w:rsidRDefault="00BE5A8B" w:rsidP="00BE5A8B">
      <w:pPr>
        <w:numPr>
          <w:ilvl w:val="0"/>
          <w:numId w:val="5"/>
        </w:numPr>
        <w:spacing w:line="480" w:lineRule="auto"/>
        <w:jc w:val="both"/>
        <w:rPr>
          <w:lang w:val="en-US"/>
        </w:rPr>
      </w:pPr>
      <w:r w:rsidRPr="00BE5A8B">
        <w:rPr>
          <w:lang w:val="en-US"/>
        </w:rPr>
        <w:t>Which are the fundraising features that have an impact on university’s outcome?</w:t>
      </w:r>
    </w:p>
    <w:p w14:paraId="1B1B7173" w14:textId="77777777" w:rsidR="00BE5A8B" w:rsidRPr="00BE5A8B" w:rsidRDefault="00BE5A8B" w:rsidP="00BE5A8B">
      <w:pPr>
        <w:spacing w:line="480" w:lineRule="auto"/>
        <w:jc w:val="both"/>
        <w:rPr>
          <w:lang w:val="en-US"/>
        </w:rPr>
      </w:pPr>
      <w:r w:rsidRPr="00BE5A8B">
        <w:rPr>
          <w:lang w:val="en-US"/>
        </w:rPr>
        <w:t>The aim of this paper is to understand which are the fundraising characteristics that influence university’s outcome, in terms of teaching, research and outreach activities. In order to answer to the research questions, nine interviews to academic fundraising delegates and managers were run. Afterwards, this material was analyzed by grounded theory methodology (Glaser &amp; Strauss, 1967), in order to deliver some theoretical considerations (Strauss &amp; Corbin, 1990) that can be generalized at least within Italian academic context.</w:t>
      </w:r>
    </w:p>
    <w:p w14:paraId="06DC1582" w14:textId="77777777" w:rsidR="00BE5A8B" w:rsidRPr="00BE5A8B" w:rsidRDefault="00BE5A8B" w:rsidP="00BE5A8B">
      <w:pPr>
        <w:spacing w:line="480" w:lineRule="auto"/>
        <w:jc w:val="both"/>
        <w:rPr>
          <w:lang w:val="en-US"/>
        </w:rPr>
      </w:pPr>
      <w:r w:rsidRPr="00BE5A8B">
        <w:rPr>
          <w:lang w:val="en-US"/>
        </w:rPr>
        <w:t xml:space="preserve">Finally, the third and last essay (fifth chapter) tries to extend knowledge about innovative forms of fundraising, as crowdfunding, within the higher education context. In order to achieve this research aim, a single-case study is analyzed (Yin, 2009), that is University of Pavia. This is particularly meaningful because, in order to sustain university’s functions, it has developed its own crowdfunding platform, totally in house managed. On this basis, the study aims to answer to the following research questions: </w:t>
      </w:r>
    </w:p>
    <w:p w14:paraId="4431CFB4" w14:textId="77777777" w:rsidR="00BE5A8B" w:rsidRPr="00BE5A8B" w:rsidRDefault="00BE5A8B" w:rsidP="000B7F71">
      <w:pPr>
        <w:numPr>
          <w:ilvl w:val="0"/>
          <w:numId w:val="21"/>
        </w:numPr>
        <w:spacing w:line="480" w:lineRule="auto"/>
        <w:jc w:val="both"/>
        <w:rPr>
          <w:lang w:val="en-US"/>
        </w:rPr>
      </w:pPr>
      <w:r w:rsidRPr="00BE5A8B">
        <w:rPr>
          <w:lang w:val="en-US"/>
        </w:rPr>
        <w:t>Can crowdfunding be an innovation tool useful to support public universities’ mission?</w:t>
      </w:r>
    </w:p>
    <w:p w14:paraId="45F9FE10" w14:textId="77777777" w:rsidR="00BE5A8B" w:rsidRPr="00BE5A8B" w:rsidRDefault="00BE5A8B" w:rsidP="000B7F71">
      <w:pPr>
        <w:numPr>
          <w:ilvl w:val="0"/>
          <w:numId w:val="21"/>
        </w:numPr>
        <w:spacing w:line="480" w:lineRule="auto"/>
        <w:jc w:val="both"/>
        <w:rPr>
          <w:lang w:val="en-US"/>
        </w:rPr>
      </w:pPr>
      <w:r w:rsidRPr="00BE5A8B">
        <w:rPr>
          <w:lang w:val="en-US"/>
        </w:rPr>
        <w:t>Which university’s functions can crowdfunding successfully support, involving stakeholders in the value co-creation process?</w:t>
      </w:r>
    </w:p>
    <w:p w14:paraId="0DFBD208" w14:textId="77777777" w:rsidR="006E0F7E" w:rsidRDefault="00BE5A8B" w:rsidP="006D4483">
      <w:pPr>
        <w:spacing w:line="480" w:lineRule="auto"/>
        <w:jc w:val="both"/>
        <w:rPr>
          <w:lang w:val="en-US"/>
        </w:rPr>
      </w:pPr>
      <w:r w:rsidRPr="00BE5A8B">
        <w:rPr>
          <w:lang w:val="en-US"/>
        </w:rPr>
        <w:t xml:space="preserve">The case study shows that crowdfunding supports research function mainly, rather than teaching and outreach. Indeed, the most successful crowdfunding projects are those that are easier to be communicated to potential donors. They are those that are able to involve university’s stakeholders in the university’s value creation process.  </w:t>
      </w:r>
    </w:p>
    <w:p w14:paraId="4A747A53" w14:textId="77777777" w:rsidR="001C7A08" w:rsidRDefault="001C7A08" w:rsidP="006D4483">
      <w:pPr>
        <w:spacing w:line="480" w:lineRule="auto"/>
        <w:jc w:val="both"/>
        <w:rPr>
          <w:b/>
          <w:lang w:val="en-US"/>
        </w:rPr>
      </w:pPr>
    </w:p>
    <w:p w14:paraId="6E1F1F62" w14:textId="77777777" w:rsidR="00725722" w:rsidRDefault="00725722" w:rsidP="006D4483">
      <w:pPr>
        <w:spacing w:line="480" w:lineRule="auto"/>
        <w:jc w:val="both"/>
        <w:rPr>
          <w:b/>
          <w:lang w:val="en-US"/>
        </w:rPr>
      </w:pPr>
    </w:p>
    <w:p w14:paraId="3B03F1C1" w14:textId="77777777" w:rsidR="00725722" w:rsidRDefault="00725722" w:rsidP="006D4483">
      <w:pPr>
        <w:spacing w:line="480" w:lineRule="auto"/>
        <w:jc w:val="both"/>
        <w:rPr>
          <w:b/>
          <w:lang w:val="en-US"/>
        </w:rPr>
      </w:pPr>
    </w:p>
    <w:p w14:paraId="215E5C65" w14:textId="77777777" w:rsidR="00725722" w:rsidRDefault="00725722" w:rsidP="006D4483">
      <w:pPr>
        <w:spacing w:line="480" w:lineRule="auto"/>
        <w:jc w:val="both"/>
        <w:rPr>
          <w:b/>
          <w:lang w:val="en-US"/>
        </w:rPr>
      </w:pPr>
    </w:p>
    <w:p w14:paraId="3C0B5C05" w14:textId="77777777" w:rsidR="00725722" w:rsidRDefault="00725722" w:rsidP="006D4483">
      <w:pPr>
        <w:spacing w:line="480" w:lineRule="auto"/>
        <w:jc w:val="both"/>
        <w:rPr>
          <w:b/>
          <w:lang w:val="en-US"/>
        </w:rPr>
      </w:pPr>
    </w:p>
    <w:p w14:paraId="1AD5F0AE" w14:textId="77777777" w:rsidR="00725722" w:rsidRDefault="00725722" w:rsidP="006D4483">
      <w:pPr>
        <w:spacing w:line="480" w:lineRule="auto"/>
        <w:jc w:val="both"/>
        <w:rPr>
          <w:b/>
          <w:lang w:val="en-US"/>
        </w:rPr>
      </w:pPr>
    </w:p>
    <w:p w14:paraId="1C7EF3EB" w14:textId="77777777" w:rsidR="00725722" w:rsidRDefault="00725722" w:rsidP="006D4483">
      <w:pPr>
        <w:spacing w:line="480" w:lineRule="auto"/>
        <w:jc w:val="both"/>
        <w:rPr>
          <w:b/>
          <w:lang w:val="en-US"/>
        </w:rPr>
      </w:pPr>
    </w:p>
    <w:p w14:paraId="4D603465" w14:textId="77777777" w:rsidR="00725722" w:rsidRDefault="00725722" w:rsidP="006D4483">
      <w:pPr>
        <w:spacing w:line="480" w:lineRule="auto"/>
        <w:jc w:val="both"/>
        <w:rPr>
          <w:b/>
          <w:lang w:val="en-US"/>
        </w:rPr>
      </w:pPr>
    </w:p>
    <w:p w14:paraId="7EC6DF1A" w14:textId="77777777" w:rsidR="00725722" w:rsidRDefault="00725722" w:rsidP="006D4483">
      <w:pPr>
        <w:spacing w:line="480" w:lineRule="auto"/>
        <w:jc w:val="both"/>
        <w:rPr>
          <w:b/>
          <w:lang w:val="en-US"/>
        </w:rPr>
      </w:pPr>
    </w:p>
    <w:p w14:paraId="2E69F589" w14:textId="77777777" w:rsidR="00725722" w:rsidRDefault="00725722" w:rsidP="006D4483">
      <w:pPr>
        <w:spacing w:line="480" w:lineRule="auto"/>
        <w:jc w:val="both"/>
        <w:rPr>
          <w:b/>
          <w:lang w:val="en-US"/>
        </w:rPr>
      </w:pPr>
    </w:p>
    <w:p w14:paraId="6BA37C55" w14:textId="77777777" w:rsidR="00E22260" w:rsidRDefault="00E22260" w:rsidP="006D4483">
      <w:pPr>
        <w:spacing w:line="480" w:lineRule="auto"/>
        <w:jc w:val="both"/>
        <w:rPr>
          <w:b/>
          <w:lang w:val="en-US"/>
        </w:rPr>
      </w:pPr>
    </w:p>
    <w:p w14:paraId="1BAF9846" w14:textId="10B534E2" w:rsidR="00BE5A8B" w:rsidRPr="006E0F7E" w:rsidRDefault="0036540B" w:rsidP="006D4483">
      <w:pPr>
        <w:spacing w:line="480" w:lineRule="auto"/>
        <w:jc w:val="both"/>
        <w:rPr>
          <w:lang w:val="en-US"/>
        </w:rPr>
      </w:pPr>
      <w:r>
        <w:rPr>
          <w:b/>
          <w:lang w:val="en-US"/>
        </w:rPr>
        <w:t>2.6 Tables and Fi</w:t>
      </w:r>
      <w:r w:rsidR="00BE5A8B" w:rsidRPr="00BE5A8B">
        <w:rPr>
          <w:b/>
          <w:lang w:val="en-US"/>
        </w:rPr>
        <w:t>gures</w:t>
      </w:r>
    </w:p>
    <w:p w14:paraId="5B042650" w14:textId="3A810C4F" w:rsidR="00BE5A8B" w:rsidRPr="006D4483" w:rsidRDefault="0036540B" w:rsidP="006D4483">
      <w:pPr>
        <w:spacing w:line="480" w:lineRule="auto"/>
        <w:jc w:val="both"/>
        <w:rPr>
          <w:lang w:val="en-US"/>
        </w:rPr>
      </w:pPr>
      <w:r w:rsidRPr="00BE5A8B">
        <w:rPr>
          <w:noProof/>
          <w:lang w:eastAsia="it-IT" w:bidi="ar-SA"/>
        </w:rPr>
        <w:drawing>
          <wp:inline distT="0" distB="0" distL="0" distR="0" wp14:anchorId="03C204C0" wp14:editId="59B492FC">
            <wp:extent cx="5755640" cy="5015865"/>
            <wp:effectExtent l="0" t="0" r="1016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5640" cy="5015865"/>
                    </a:xfrm>
                    <a:prstGeom prst="rect">
                      <a:avLst/>
                    </a:prstGeom>
                    <a:noFill/>
                    <a:ln>
                      <a:noFill/>
                    </a:ln>
                  </pic:spPr>
                </pic:pic>
              </a:graphicData>
            </a:graphic>
          </wp:inline>
        </w:drawing>
      </w:r>
    </w:p>
    <w:p w14:paraId="52F3A731" w14:textId="2F5AAB91" w:rsidR="0036540B" w:rsidRPr="0036540B" w:rsidRDefault="0036540B" w:rsidP="0036540B">
      <w:pPr>
        <w:spacing w:line="480" w:lineRule="auto"/>
        <w:jc w:val="both"/>
        <w:rPr>
          <w:lang w:val="en-US"/>
        </w:rPr>
      </w:pPr>
      <w:r w:rsidRPr="0036540B">
        <w:rPr>
          <w:lang w:val="en-US"/>
        </w:rPr>
        <w:t>Table 2.1: A summary of the literature review</w:t>
      </w:r>
    </w:p>
    <w:p w14:paraId="1E4CA6BB" w14:textId="77777777" w:rsidR="007C787E" w:rsidRDefault="007C787E" w:rsidP="0036540B">
      <w:pPr>
        <w:spacing w:line="480" w:lineRule="auto"/>
        <w:rPr>
          <w:lang w:val="en-US"/>
        </w:rPr>
      </w:pPr>
    </w:p>
    <w:p w14:paraId="4474B89C" w14:textId="77777777" w:rsidR="0036540B" w:rsidRDefault="0036540B" w:rsidP="0036540B">
      <w:pPr>
        <w:spacing w:line="480" w:lineRule="auto"/>
        <w:rPr>
          <w:lang w:val="en-US"/>
        </w:rPr>
      </w:pPr>
    </w:p>
    <w:p w14:paraId="4CDB17D5" w14:textId="77777777" w:rsidR="0036540B" w:rsidRDefault="0036540B" w:rsidP="0036540B">
      <w:pPr>
        <w:spacing w:line="480" w:lineRule="auto"/>
        <w:rPr>
          <w:lang w:val="en-US"/>
        </w:rPr>
      </w:pPr>
    </w:p>
    <w:p w14:paraId="0C2E1415" w14:textId="77777777" w:rsidR="0036540B" w:rsidRDefault="0036540B" w:rsidP="0036540B">
      <w:pPr>
        <w:spacing w:line="480" w:lineRule="auto"/>
        <w:rPr>
          <w:lang w:val="en-US"/>
        </w:rPr>
      </w:pPr>
    </w:p>
    <w:p w14:paraId="5EC52AF7" w14:textId="77777777" w:rsidR="0036540B" w:rsidRDefault="0036540B" w:rsidP="0036540B">
      <w:pPr>
        <w:spacing w:line="480" w:lineRule="auto"/>
        <w:rPr>
          <w:lang w:val="en-US"/>
        </w:rPr>
      </w:pPr>
    </w:p>
    <w:p w14:paraId="4D0E2E8E" w14:textId="77777777" w:rsidR="0036540B" w:rsidRDefault="0036540B" w:rsidP="0036540B">
      <w:pPr>
        <w:spacing w:line="480" w:lineRule="auto"/>
        <w:rPr>
          <w:lang w:val="en-US"/>
        </w:rPr>
      </w:pPr>
    </w:p>
    <w:p w14:paraId="341CDBD9" w14:textId="77777777" w:rsidR="0036540B" w:rsidRDefault="0036540B" w:rsidP="0036540B">
      <w:pPr>
        <w:spacing w:line="480" w:lineRule="auto"/>
        <w:rPr>
          <w:lang w:val="en-US"/>
        </w:rPr>
      </w:pPr>
    </w:p>
    <w:p w14:paraId="522ADAA3" w14:textId="77777777" w:rsidR="0036540B" w:rsidRDefault="0036540B" w:rsidP="0036540B">
      <w:pPr>
        <w:spacing w:line="480" w:lineRule="auto"/>
        <w:rPr>
          <w:lang w:val="en-US"/>
        </w:rPr>
      </w:pPr>
    </w:p>
    <w:p w14:paraId="29BEAC75" w14:textId="77777777" w:rsidR="0036540B" w:rsidRDefault="0036540B" w:rsidP="0036540B">
      <w:pPr>
        <w:spacing w:line="480" w:lineRule="auto"/>
        <w:rPr>
          <w:lang w:val="en-US"/>
        </w:rPr>
      </w:pPr>
    </w:p>
    <w:p w14:paraId="12EADC66" w14:textId="1C335D1A" w:rsidR="0036540B" w:rsidRDefault="0036540B" w:rsidP="0036540B">
      <w:pPr>
        <w:spacing w:line="480" w:lineRule="auto"/>
        <w:rPr>
          <w:lang w:val="en-US"/>
        </w:rPr>
      </w:pPr>
      <w:r w:rsidRPr="00BE5A8B">
        <w:rPr>
          <w:noProof/>
          <w:lang w:eastAsia="it-IT" w:bidi="ar-SA"/>
        </w:rPr>
        <w:drawing>
          <wp:inline distT="0" distB="0" distL="0" distR="0" wp14:anchorId="798760A5" wp14:editId="215950FD">
            <wp:extent cx="5755640" cy="5197989"/>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pdf"/>
                    <pic:cNvPicPr/>
                  </pic:nvPicPr>
                  <pic:blipFill rotWithShape="1">
                    <a:blip r:embed="rId13">
                      <a:extLst>
                        <a:ext uri="{28A0092B-C50C-407E-A947-70E740481C1C}">
                          <a14:useLocalDpi xmlns:a14="http://schemas.microsoft.com/office/drawing/2010/main" val="0"/>
                        </a:ext>
                      </a:extLst>
                    </a:blip>
                    <a:srcRect l="-1" t="13617" r="-324" b="22352"/>
                    <a:stretch/>
                  </pic:blipFill>
                  <pic:spPr bwMode="auto">
                    <a:xfrm>
                      <a:off x="0" y="0"/>
                      <a:ext cx="5755640" cy="5197989"/>
                    </a:xfrm>
                    <a:prstGeom prst="rect">
                      <a:avLst/>
                    </a:prstGeom>
                    <a:ln>
                      <a:noFill/>
                    </a:ln>
                    <a:extLst>
                      <a:ext uri="{53640926-AAD7-44d8-BBD7-CCE9431645EC}">
                        <a14:shadowObscured xmlns:a14="http://schemas.microsoft.com/office/drawing/2010/main"/>
                      </a:ext>
                    </a:extLst>
                  </pic:spPr>
                </pic:pic>
              </a:graphicData>
            </a:graphic>
          </wp:inline>
        </w:drawing>
      </w:r>
    </w:p>
    <w:p w14:paraId="4C807285" w14:textId="0027D705" w:rsidR="009E12C6" w:rsidRPr="009E12C6" w:rsidRDefault="009E12C6" w:rsidP="009E12C6">
      <w:pPr>
        <w:spacing w:line="480" w:lineRule="auto"/>
        <w:jc w:val="both"/>
        <w:rPr>
          <w:lang w:val="en-US"/>
        </w:rPr>
      </w:pPr>
      <w:r w:rsidRPr="009E12C6">
        <w:rPr>
          <w:lang w:val="en-US"/>
        </w:rPr>
        <w:t>Figure 2.2</w:t>
      </w:r>
      <w:r w:rsidR="0085360C">
        <w:rPr>
          <w:lang w:val="en-US"/>
        </w:rPr>
        <w:t>:</w:t>
      </w:r>
      <w:r w:rsidRPr="009E12C6">
        <w:rPr>
          <w:lang w:val="en-US"/>
        </w:rPr>
        <w:t xml:space="preserve"> The Social Exchange Model of Fundraising in Higher Education. (Source: Lasher &amp; Cook, 1996).</w:t>
      </w:r>
    </w:p>
    <w:p w14:paraId="5407DB9A" w14:textId="77777777" w:rsidR="009E12C6" w:rsidRDefault="009E12C6" w:rsidP="0036540B">
      <w:pPr>
        <w:spacing w:line="480" w:lineRule="auto"/>
        <w:rPr>
          <w:lang w:val="en-US"/>
        </w:rPr>
      </w:pPr>
    </w:p>
    <w:p w14:paraId="766EEBBC" w14:textId="77777777" w:rsidR="004C56B4" w:rsidRDefault="004C56B4" w:rsidP="0036540B">
      <w:pPr>
        <w:spacing w:line="480" w:lineRule="auto"/>
        <w:rPr>
          <w:lang w:val="en-US"/>
        </w:rPr>
      </w:pPr>
    </w:p>
    <w:p w14:paraId="18567253" w14:textId="77777777" w:rsidR="004C56B4" w:rsidRDefault="004C56B4" w:rsidP="0036540B">
      <w:pPr>
        <w:spacing w:line="480" w:lineRule="auto"/>
        <w:rPr>
          <w:lang w:val="en-US"/>
        </w:rPr>
      </w:pPr>
    </w:p>
    <w:p w14:paraId="476CAAB3" w14:textId="77777777" w:rsidR="004C56B4" w:rsidRDefault="004C56B4" w:rsidP="0036540B">
      <w:pPr>
        <w:spacing w:line="480" w:lineRule="auto"/>
        <w:rPr>
          <w:lang w:val="en-US"/>
        </w:rPr>
      </w:pPr>
    </w:p>
    <w:p w14:paraId="2EDD78FC" w14:textId="77777777" w:rsidR="004C56B4" w:rsidRDefault="004C56B4" w:rsidP="0036540B">
      <w:pPr>
        <w:spacing w:line="480" w:lineRule="auto"/>
        <w:rPr>
          <w:lang w:val="en-US"/>
        </w:rPr>
      </w:pPr>
    </w:p>
    <w:p w14:paraId="01771ADE" w14:textId="77777777" w:rsidR="004C56B4" w:rsidRDefault="004C56B4" w:rsidP="0036540B">
      <w:pPr>
        <w:spacing w:line="480" w:lineRule="auto"/>
        <w:rPr>
          <w:lang w:val="en-US"/>
        </w:rPr>
      </w:pPr>
    </w:p>
    <w:p w14:paraId="514E566B" w14:textId="77777777" w:rsidR="004C56B4" w:rsidRDefault="004C56B4" w:rsidP="0036540B">
      <w:pPr>
        <w:spacing w:line="480" w:lineRule="auto"/>
        <w:rPr>
          <w:lang w:val="en-US"/>
        </w:rPr>
      </w:pPr>
    </w:p>
    <w:p w14:paraId="7AE3DA0C" w14:textId="77777777" w:rsidR="004C56B4" w:rsidRDefault="004C56B4" w:rsidP="0036540B">
      <w:pPr>
        <w:spacing w:line="480" w:lineRule="auto"/>
        <w:rPr>
          <w:lang w:val="en-US"/>
        </w:rPr>
      </w:pPr>
    </w:p>
    <w:p w14:paraId="1230E743" w14:textId="7924B434" w:rsidR="004C56B4" w:rsidRDefault="004C56B4" w:rsidP="0036540B">
      <w:pPr>
        <w:spacing w:line="480" w:lineRule="auto"/>
        <w:rPr>
          <w:lang w:val="en-US"/>
        </w:rPr>
      </w:pPr>
      <w:r w:rsidRPr="00BE5A8B">
        <w:rPr>
          <w:noProof/>
          <w:lang w:eastAsia="it-IT" w:bidi="ar-SA"/>
        </w:rPr>
        <w:drawing>
          <wp:inline distT="0" distB="0" distL="0" distR="0" wp14:anchorId="102217F1" wp14:editId="06FD4582">
            <wp:extent cx="5755292" cy="4512733"/>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pdf"/>
                    <pic:cNvPicPr/>
                  </pic:nvPicPr>
                  <pic:blipFill rotWithShape="1">
                    <a:blip r:embed="rId14">
                      <a:extLst>
                        <a:ext uri="{28A0092B-C50C-407E-A947-70E740481C1C}">
                          <a14:useLocalDpi xmlns:a14="http://schemas.microsoft.com/office/drawing/2010/main" val="0"/>
                        </a:ext>
                      </a:extLst>
                    </a:blip>
                    <a:srcRect t="13825" b="30768"/>
                    <a:stretch/>
                  </pic:blipFill>
                  <pic:spPr bwMode="auto">
                    <a:xfrm>
                      <a:off x="0" y="0"/>
                      <a:ext cx="5755640" cy="4513006"/>
                    </a:xfrm>
                    <a:prstGeom prst="rect">
                      <a:avLst/>
                    </a:prstGeom>
                    <a:ln>
                      <a:noFill/>
                    </a:ln>
                    <a:extLst>
                      <a:ext uri="{53640926-AAD7-44d8-BBD7-CCE9431645EC}">
                        <a14:shadowObscured xmlns:a14="http://schemas.microsoft.com/office/drawing/2010/main"/>
                      </a:ext>
                    </a:extLst>
                  </pic:spPr>
                </pic:pic>
              </a:graphicData>
            </a:graphic>
          </wp:inline>
        </w:drawing>
      </w:r>
    </w:p>
    <w:p w14:paraId="1F54E876" w14:textId="285F6413" w:rsidR="004C56B4" w:rsidRDefault="004C56B4" w:rsidP="004C56B4">
      <w:pPr>
        <w:spacing w:line="480" w:lineRule="auto"/>
        <w:jc w:val="both"/>
        <w:rPr>
          <w:lang w:val="en-US"/>
        </w:rPr>
      </w:pPr>
      <w:r w:rsidRPr="004C56B4">
        <w:rPr>
          <w:lang w:val="en-US"/>
        </w:rPr>
        <w:t>Figure 2.</w:t>
      </w:r>
      <w:r w:rsidR="0085360C">
        <w:rPr>
          <w:lang w:val="en-US"/>
        </w:rPr>
        <w:t>3:</w:t>
      </w:r>
      <w:r w:rsidRPr="004C56B4">
        <w:rPr>
          <w:lang w:val="en-US"/>
        </w:rPr>
        <w:t xml:space="preserve"> Four forces model of presidential fundraising in higher education. (Source: Lasher &amp; Cook, 1996).</w:t>
      </w:r>
    </w:p>
    <w:p w14:paraId="330F98A3" w14:textId="77777777" w:rsidR="006E0F7E" w:rsidRDefault="006E0F7E" w:rsidP="004C56B4">
      <w:pPr>
        <w:spacing w:line="480" w:lineRule="auto"/>
        <w:jc w:val="both"/>
        <w:rPr>
          <w:lang w:val="en-US"/>
        </w:rPr>
      </w:pPr>
    </w:p>
    <w:p w14:paraId="785F652A" w14:textId="77777777" w:rsidR="006E0F7E" w:rsidRDefault="006E0F7E" w:rsidP="004C56B4">
      <w:pPr>
        <w:spacing w:line="480" w:lineRule="auto"/>
        <w:jc w:val="both"/>
        <w:rPr>
          <w:lang w:val="en-US"/>
        </w:rPr>
      </w:pPr>
    </w:p>
    <w:p w14:paraId="7EB8EA70" w14:textId="77777777" w:rsidR="006E0F7E" w:rsidRDefault="006E0F7E" w:rsidP="004C56B4">
      <w:pPr>
        <w:spacing w:line="480" w:lineRule="auto"/>
        <w:jc w:val="both"/>
        <w:rPr>
          <w:lang w:val="en-US"/>
        </w:rPr>
      </w:pPr>
    </w:p>
    <w:p w14:paraId="1706BBC2" w14:textId="77777777" w:rsidR="006E0F7E" w:rsidRDefault="006E0F7E" w:rsidP="004C56B4">
      <w:pPr>
        <w:spacing w:line="480" w:lineRule="auto"/>
        <w:jc w:val="both"/>
        <w:rPr>
          <w:lang w:val="en-US"/>
        </w:rPr>
      </w:pPr>
    </w:p>
    <w:p w14:paraId="785DB8B2" w14:textId="77777777" w:rsidR="006E0F7E" w:rsidRDefault="006E0F7E" w:rsidP="004C56B4">
      <w:pPr>
        <w:spacing w:line="480" w:lineRule="auto"/>
        <w:jc w:val="both"/>
        <w:rPr>
          <w:lang w:val="en-US"/>
        </w:rPr>
      </w:pPr>
    </w:p>
    <w:p w14:paraId="3E837FD9" w14:textId="77777777" w:rsidR="006E0F7E" w:rsidRDefault="006E0F7E" w:rsidP="004C56B4">
      <w:pPr>
        <w:spacing w:line="480" w:lineRule="auto"/>
        <w:jc w:val="both"/>
        <w:rPr>
          <w:lang w:val="en-US"/>
        </w:rPr>
      </w:pPr>
    </w:p>
    <w:p w14:paraId="55CC72FC" w14:textId="77777777" w:rsidR="006E0F7E" w:rsidRDefault="006E0F7E" w:rsidP="004C56B4">
      <w:pPr>
        <w:spacing w:line="480" w:lineRule="auto"/>
        <w:jc w:val="both"/>
        <w:rPr>
          <w:lang w:val="en-US"/>
        </w:rPr>
      </w:pPr>
    </w:p>
    <w:p w14:paraId="1F640E82" w14:textId="77777777" w:rsidR="006E0F7E" w:rsidRDefault="006E0F7E" w:rsidP="004C56B4">
      <w:pPr>
        <w:spacing w:line="480" w:lineRule="auto"/>
        <w:jc w:val="both"/>
        <w:rPr>
          <w:lang w:val="en-US"/>
        </w:rPr>
      </w:pPr>
    </w:p>
    <w:p w14:paraId="5C8D4659" w14:textId="77777777" w:rsidR="006E0F7E" w:rsidRDefault="006E0F7E" w:rsidP="004C56B4">
      <w:pPr>
        <w:spacing w:line="480" w:lineRule="auto"/>
        <w:jc w:val="both"/>
        <w:rPr>
          <w:lang w:val="en-US"/>
        </w:rPr>
      </w:pPr>
    </w:p>
    <w:p w14:paraId="32D0BC38" w14:textId="77777777" w:rsidR="006E0F7E" w:rsidRDefault="006E0F7E" w:rsidP="004C56B4">
      <w:pPr>
        <w:spacing w:line="480" w:lineRule="auto"/>
        <w:jc w:val="both"/>
        <w:rPr>
          <w:lang w:val="en-US"/>
        </w:rPr>
      </w:pPr>
    </w:p>
    <w:p w14:paraId="0CD17BCD" w14:textId="77777777" w:rsidR="006E0F7E" w:rsidRDefault="006E0F7E" w:rsidP="004C56B4">
      <w:pPr>
        <w:spacing w:line="480" w:lineRule="auto"/>
        <w:jc w:val="both"/>
        <w:rPr>
          <w:lang w:val="en-US"/>
        </w:rPr>
      </w:pPr>
    </w:p>
    <w:p w14:paraId="5B871793" w14:textId="77777777" w:rsidR="006E0F7E" w:rsidRDefault="006E0F7E" w:rsidP="004C56B4">
      <w:pPr>
        <w:spacing w:line="480" w:lineRule="auto"/>
        <w:jc w:val="both"/>
        <w:rPr>
          <w:lang w:val="en-US"/>
        </w:rPr>
      </w:pPr>
    </w:p>
    <w:p w14:paraId="68A053C4" w14:textId="77777777" w:rsidR="006E0F7E" w:rsidRDefault="006E0F7E" w:rsidP="004C56B4">
      <w:pPr>
        <w:spacing w:line="480" w:lineRule="auto"/>
        <w:jc w:val="both"/>
        <w:rPr>
          <w:lang w:val="en-US"/>
        </w:rPr>
      </w:pPr>
    </w:p>
    <w:p w14:paraId="69BA7F96" w14:textId="77777777" w:rsidR="006E0F7E" w:rsidRDefault="006E0F7E" w:rsidP="004C56B4">
      <w:pPr>
        <w:spacing w:line="480" w:lineRule="auto"/>
        <w:jc w:val="both"/>
        <w:rPr>
          <w:lang w:val="en-US"/>
        </w:rPr>
      </w:pPr>
    </w:p>
    <w:p w14:paraId="32BD8139" w14:textId="77777777" w:rsidR="006E0F7E" w:rsidRDefault="006E0F7E" w:rsidP="004C56B4">
      <w:pPr>
        <w:spacing w:line="480" w:lineRule="auto"/>
        <w:jc w:val="both"/>
        <w:rPr>
          <w:lang w:val="en-US"/>
        </w:rPr>
      </w:pPr>
    </w:p>
    <w:p w14:paraId="2B13387B" w14:textId="77777777" w:rsidR="006E0F7E" w:rsidRDefault="006E0F7E" w:rsidP="004C56B4">
      <w:pPr>
        <w:spacing w:line="480" w:lineRule="auto"/>
        <w:jc w:val="both"/>
        <w:rPr>
          <w:lang w:val="en-US"/>
        </w:rPr>
      </w:pPr>
    </w:p>
    <w:p w14:paraId="1B6A992F" w14:textId="77777777" w:rsidR="006E0F7E" w:rsidRDefault="006E0F7E" w:rsidP="004C56B4">
      <w:pPr>
        <w:spacing w:line="480" w:lineRule="auto"/>
        <w:jc w:val="both"/>
        <w:rPr>
          <w:lang w:val="en-US"/>
        </w:rPr>
      </w:pPr>
    </w:p>
    <w:p w14:paraId="63835306" w14:textId="77777777" w:rsidR="006E0F7E" w:rsidRDefault="006E0F7E" w:rsidP="004C56B4">
      <w:pPr>
        <w:spacing w:line="480" w:lineRule="auto"/>
        <w:jc w:val="both"/>
        <w:rPr>
          <w:lang w:val="en-US"/>
        </w:rPr>
      </w:pPr>
    </w:p>
    <w:p w14:paraId="4014FACD" w14:textId="77777777" w:rsidR="006E0F7E" w:rsidRDefault="006E0F7E" w:rsidP="004C56B4">
      <w:pPr>
        <w:spacing w:line="480" w:lineRule="auto"/>
        <w:jc w:val="both"/>
        <w:rPr>
          <w:lang w:val="en-US"/>
        </w:rPr>
      </w:pPr>
    </w:p>
    <w:p w14:paraId="7FE65A58" w14:textId="77777777" w:rsidR="006E0F7E" w:rsidRDefault="006E0F7E" w:rsidP="004C56B4">
      <w:pPr>
        <w:spacing w:line="480" w:lineRule="auto"/>
        <w:jc w:val="both"/>
        <w:rPr>
          <w:lang w:val="en-US"/>
        </w:rPr>
      </w:pPr>
    </w:p>
    <w:p w14:paraId="4324D3EF" w14:textId="77777777" w:rsidR="006E0F7E" w:rsidRDefault="006E0F7E" w:rsidP="004C56B4">
      <w:pPr>
        <w:spacing w:line="480" w:lineRule="auto"/>
        <w:jc w:val="both"/>
        <w:rPr>
          <w:lang w:val="en-US"/>
        </w:rPr>
      </w:pPr>
    </w:p>
    <w:p w14:paraId="76E35C4D" w14:textId="77777777" w:rsidR="006E0F7E" w:rsidRDefault="006E0F7E" w:rsidP="004C56B4">
      <w:pPr>
        <w:spacing w:line="480" w:lineRule="auto"/>
        <w:jc w:val="both"/>
        <w:rPr>
          <w:lang w:val="en-US"/>
        </w:rPr>
      </w:pPr>
    </w:p>
    <w:p w14:paraId="0B58E612" w14:textId="77777777" w:rsidR="006E0F7E" w:rsidRDefault="006E0F7E" w:rsidP="004C56B4">
      <w:pPr>
        <w:spacing w:line="480" w:lineRule="auto"/>
        <w:jc w:val="both"/>
        <w:rPr>
          <w:lang w:val="en-US"/>
        </w:rPr>
      </w:pPr>
    </w:p>
    <w:p w14:paraId="6C7EE9D2" w14:textId="77777777" w:rsidR="006E0F7E" w:rsidRDefault="006E0F7E" w:rsidP="004C56B4">
      <w:pPr>
        <w:spacing w:line="480" w:lineRule="auto"/>
        <w:jc w:val="both"/>
        <w:rPr>
          <w:lang w:val="en-US"/>
        </w:rPr>
      </w:pPr>
    </w:p>
    <w:p w14:paraId="5BDD20B6" w14:textId="77777777" w:rsidR="006E0F7E" w:rsidRDefault="006E0F7E" w:rsidP="004C56B4">
      <w:pPr>
        <w:spacing w:line="480" w:lineRule="auto"/>
        <w:jc w:val="both"/>
        <w:rPr>
          <w:lang w:val="en-US"/>
        </w:rPr>
      </w:pPr>
    </w:p>
    <w:p w14:paraId="4D3CD709" w14:textId="77777777" w:rsidR="006E0F7E" w:rsidRDefault="006E0F7E" w:rsidP="004C56B4">
      <w:pPr>
        <w:spacing w:line="480" w:lineRule="auto"/>
        <w:jc w:val="both"/>
        <w:rPr>
          <w:lang w:val="en-US"/>
        </w:rPr>
      </w:pPr>
    </w:p>
    <w:p w14:paraId="321243D8" w14:textId="77777777" w:rsidR="006E0F7E" w:rsidRDefault="006E0F7E" w:rsidP="004C56B4">
      <w:pPr>
        <w:spacing w:line="480" w:lineRule="auto"/>
        <w:jc w:val="both"/>
        <w:rPr>
          <w:lang w:val="en-US"/>
        </w:rPr>
      </w:pPr>
    </w:p>
    <w:p w14:paraId="01C18B91" w14:textId="77777777" w:rsidR="006E0F7E" w:rsidRDefault="006E0F7E" w:rsidP="004C56B4">
      <w:pPr>
        <w:spacing w:line="480" w:lineRule="auto"/>
        <w:jc w:val="both"/>
        <w:rPr>
          <w:lang w:val="en-US"/>
        </w:rPr>
      </w:pPr>
    </w:p>
    <w:p w14:paraId="7913E1D6" w14:textId="77777777" w:rsidR="006E0F7E" w:rsidRDefault="006E0F7E" w:rsidP="004C56B4">
      <w:pPr>
        <w:spacing w:line="480" w:lineRule="auto"/>
        <w:jc w:val="both"/>
        <w:rPr>
          <w:lang w:val="en-US"/>
        </w:rPr>
      </w:pPr>
    </w:p>
    <w:p w14:paraId="0ACBB660" w14:textId="77777777" w:rsidR="006E0F7E" w:rsidRDefault="006E0F7E" w:rsidP="004C56B4">
      <w:pPr>
        <w:spacing w:line="480" w:lineRule="auto"/>
        <w:jc w:val="both"/>
        <w:rPr>
          <w:lang w:val="en-US"/>
        </w:rPr>
      </w:pPr>
    </w:p>
    <w:p w14:paraId="44202D02" w14:textId="77777777" w:rsidR="006E0F7E" w:rsidRDefault="006E0F7E" w:rsidP="004C56B4">
      <w:pPr>
        <w:spacing w:line="480" w:lineRule="auto"/>
        <w:jc w:val="both"/>
        <w:rPr>
          <w:lang w:val="en-US"/>
        </w:rPr>
      </w:pPr>
    </w:p>
    <w:p w14:paraId="216B7F0B" w14:textId="77777777" w:rsidR="006E0F7E" w:rsidRDefault="006E0F7E" w:rsidP="004C56B4">
      <w:pPr>
        <w:spacing w:line="480" w:lineRule="auto"/>
        <w:jc w:val="both"/>
        <w:rPr>
          <w:lang w:val="en-US"/>
        </w:rPr>
      </w:pPr>
    </w:p>
    <w:p w14:paraId="33F59041" w14:textId="77777777" w:rsidR="006E0F7E" w:rsidRDefault="006E0F7E" w:rsidP="004C56B4">
      <w:pPr>
        <w:spacing w:line="480" w:lineRule="auto"/>
        <w:jc w:val="both"/>
        <w:rPr>
          <w:lang w:val="en-US"/>
        </w:rPr>
      </w:pPr>
    </w:p>
    <w:p w14:paraId="2A027638" w14:textId="77777777" w:rsidR="006E0F7E" w:rsidRDefault="006E0F7E" w:rsidP="0085360C">
      <w:pPr>
        <w:spacing w:line="480" w:lineRule="auto"/>
        <w:jc w:val="center"/>
        <w:rPr>
          <w:lang w:val="en-US"/>
        </w:rPr>
      </w:pPr>
    </w:p>
    <w:p w14:paraId="21356632" w14:textId="77777777" w:rsidR="002B25AA" w:rsidRDefault="002B25AA" w:rsidP="002B25AA">
      <w:pPr>
        <w:spacing w:line="480" w:lineRule="auto"/>
        <w:rPr>
          <w:lang w:val="en-US"/>
        </w:rPr>
      </w:pPr>
    </w:p>
    <w:p w14:paraId="179C9E7A" w14:textId="737EE87D" w:rsidR="0085360C" w:rsidRPr="00740B0F" w:rsidRDefault="0085360C" w:rsidP="002B25AA">
      <w:pPr>
        <w:spacing w:line="480" w:lineRule="auto"/>
        <w:jc w:val="center"/>
        <w:rPr>
          <w:b/>
          <w:sz w:val="28"/>
          <w:szCs w:val="28"/>
          <w:lang w:val="en-US"/>
        </w:rPr>
      </w:pPr>
      <w:r>
        <w:rPr>
          <w:b/>
          <w:sz w:val="28"/>
          <w:szCs w:val="28"/>
          <w:lang w:val="en-US"/>
        </w:rPr>
        <w:t>Chapter 3</w:t>
      </w:r>
    </w:p>
    <w:p w14:paraId="582345D6" w14:textId="077FD42F" w:rsidR="0085360C" w:rsidRPr="00CE2254" w:rsidRDefault="0085360C" w:rsidP="00725B42">
      <w:pPr>
        <w:spacing w:line="480" w:lineRule="auto"/>
        <w:jc w:val="center"/>
        <w:rPr>
          <w:b/>
          <w:sz w:val="28"/>
          <w:szCs w:val="28"/>
          <w:lang w:val="en-US"/>
        </w:rPr>
      </w:pPr>
      <w:r w:rsidRPr="00CE2254">
        <w:rPr>
          <w:b/>
          <w:sz w:val="28"/>
          <w:szCs w:val="28"/>
          <w:lang w:val="en-US"/>
        </w:rPr>
        <w:t>Fundraising as a Strategic Tool to Achieve University Mission: Insights from Italian Universities</w:t>
      </w:r>
    </w:p>
    <w:p w14:paraId="00C83C4B" w14:textId="77777777" w:rsidR="006E0F7E" w:rsidRDefault="006E0F7E" w:rsidP="0085360C">
      <w:pPr>
        <w:spacing w:line="360" w:lineRule="auto"/>
        <w:jc w:val="center"/>
        <w:rPr>
          <w:b/>
          <w:lang w:val="en-US"/>
        </w:rPr>
      </w:pPr>
    </w:p>
    <w:p w14:paraId="63136C17" w14:textId="77777777" w:rsidR="00F4092B" w:rsidRDefault="00F4092B" w:rsidP="00F4092B">
      <w:pPr>
        <w:spacing w:line="480" w:lineRule="auto"/>
        <w:jc w:val="both"/>
        <w:rPr>
          <w:b/>
          <w:lang w:val="en-US"/>
        </w:rPr>
      </w:pPr>
      <w:r>
        <w:rPr>
          <w:b/>
          <w:lang w:val="en-US"/>
        </w:rPr>
        <w:t xml:space="preserve">3.1 </w:t>
      </w:r>
      <w:r w:rsidRPr="00C7207A">
        <w:rPr>
          <w:b/>
          <w:lang w:val="en-US"/>
        </w:rPr>
        <w:t>Introduction</w:t>
      </w:r>
    </w:p>
    <w:p w14:paraId="7B268C76" w14:textId="77777777" w:rsidR="00F4092B" w:rsidRPr="00FE750A" w:rsidRDefault="00F4092B" w:rsidP="00F4092B">
      <w:pPr>
        <w:spacing w:line="480" w:lineRule="auto"/>
        <w:jc w:val="both"/>
        <w:rPr>
          <w:lang w:val="en-US"/>
        </w:rPr>
      </w:pPr>
      <w:r>
        <w:rPr>
          <w:lang w:val="en-US"/>
        </w:rPr>
        <w:t xml:space="preserve">The economic crisis, started in 2008, has had a deep impact on public sector and the effects of this change are still evident (Moon and Azizi, 2013): governmental support has been reduced and, at the same time, the middle class got poorer because of the inflation, unemployment and interest rate on debts. So, even public higher education sector started suffering because of this economic situation: public funding became lower and lower and people average earnings decreased, so needing the support of the public and the third sector even more than in the past (Holmes, 2010). One of the effects of this scenario is the growing demand of charitable gifts by public higher education. Therefore, the competition for private charitable donations has become fierce and donors are exposed to an increasing number of solicitations for support (Srnka et al., 2013). </w:t>
      </w:r>
    </w:p>
    <w:p w14:paraId="10E79078" w14:textId="73BCBC9F" w:rsidR="00F4092B" w:rsidRDefault="00F4092B" w:rsidP="00F4092B">
      <w:pPr>
        <w:spacing w:line="480" w:lineRule="auto"/>
        <w:jc w:val="both"/>
        <w:rPr>
          <w:lang w:val="en-US"/>
        </w:rPr>
      </w:pPr>
      <w:r>
        <w:rPr>
          <w:lang w:val="en-US"/>
        </w:rPr>
        <w:t>This chapter discusses fundraising activities and process within public higher education context, with a special focus on the leaders’ role of university presidents and academic deans. In fact, fundraising is a shared responsibility among a wide group of institutional leaders (univ</w:t>
      </w:r>
      <w:r w:rsidR="005505F8">
        <w:rPr>
          <w:lang w:val="en-US"/>
        </w:rPr>
        <w:t>ersity’s presidents and deans):</w:t>
      </w:r>
      <w:r>
        <w:rPr>
          <w:lang w:val="en-US"/>
        </w:rPr>
        <w:t xml:space="preserve"> “leadership of fundraising activities is an inescapable reality for modern university presidents and deans of academic schools and colleges” (Hodson, 2010). Therefore, internal and external stakeholders expect them to lead the fundraising activity capably, visibly and credibly.</w:t>
      </w:r>
      <w:r w:rsidRPr="00C00C28">
        <w:rPr>
          <w:lang w:val="en-US"/>
        </w:rPr>
        <w:t xml:space="preserve"> </w:t>
      </w:r>
      <w:r>
        <w:rPr>
          <w:lang w:val="en-US"/>
        </w:rPr>
        <w:t>Fundraising is a strategic process that regards all the university’s functions (teaching, research and outreach), involving several actors, in and out of the organizational boundaries (Chan, 2015).</w:t>
      </w:r>
    </w:p>
    <w:p w14:paraId="1E9DF9FA" w14:textId="77777777" w:rsidR="00F4092B" w:rsidRDefault="00F4092B" w:rsidP="00F4092B">
      <w:pPr>
        <w:spacing w:line="480" w:lineRule="auto"/>
        <w:jc w:val="both"/>
        <w:rPr>
          <w:lang w:val="en-US"/>
        </w:rPr>
      </w:pPr>
      <w:r>
        <w:rPr>
          <w:lang w:val="en-US"/>
        </w:rPr>
        <w:t>Referring to this literature, the study will try to answer to these research questions:</w:t>
      </w:r>
    </w:p>
    <w:p w14:paraId="2D8BB002" w14:textId="1264D2FA" w:rsidR="00F4092B" w:rsidRPr="00A971B1" w:rsidRDefault="00F4092B" w:rsidP="00A971B1">
      <w:pPr>
        <w:pStyle w:val="Paragrafoelenco"/>
        <w:widowControl/>
        <w:numPr>
          <w:ilvl w:val="0"/>
          <w:numId w:val="22"/>
        </w:numPr>
        <w:suppressAutoHyphens w:val="0"/>
        <w:spacing w:line="480" w:lineRule="auto"/>
        <w:jc w:val="both"/>
        <w:rPr>
          <w:lang w:val="en-US"/>
        </w:rPr>
      </w:pPr>
      <w:r w:rsidRPr="00A971B1">
        <w:rPr>
          <w:lang w:val="en-US"/>
        </w:rPr>
        <w:t>How does university governance boot fundraising as a managerial tool to achieve university mission and which organizational capabilities are related to fundraising effectiveness?</w:t>
      </w:r>
    </w:p>
    <w:p w14:paraId="62EBFB71" w14:textId="1333F384" w:rsidR="00F4092B" w:rsidRPr="00A971B1" w:rsidRDefault="00F4092B" w:rsidP="00A971B1">
      <w:pPr>
        <w:pStyle w:val="Paragrafoelenco"/>
        <w:widowControl/>
        <w:numPr>
          <w:ilvl w:val="0"/>
          <w:numId w:val="22"/>
        </w:numPr>
        <w:suppressAutoHyphens w:val="0"/>
        <w:spacing w:line="480" w:lineRule="auto"/>
        <w:jc w:val="both"/>
        <w:rPr>
          <w:lang w:val="en-US"/>
        </w:rPr>
      </w:pPr>
      <w:r w:rsidRPr="00A971B1">
        <w:rPr>
          <w:lang w:val="en-US"/>
        </w:rPr>
        <w:t xml:space="preserve">How does fundraising support university’s strategy and vice versa? </w:t>
      </w:r>
    </w:p>
    <w:p w14:paraId="1219F92B" w14:textId="77777777" w:rsidR="00F4092B" w:rsidRDefault="00F4092B" w:rsidP="00F4092B">
      <w:pPr>
        <w:spacing w:line="480" w:lineRule="auto"/>
        <w:jc w:val="both"/>
        <w:rPr>
          <w:lang w:val="en-US"/>
        </w:rPr>
      </w:pPr>
      <w:r>
        <w:rPr>
          <w:lang w:val="en-US"/>
        </w:rPr>
        <w:t xml:space="preserve">In order to answer to the first question an organizational model is delivered, while for the second one a theoretical model is developed, combining “strategic triangle” framework (Moore, 1995; Moore, 2000; Moore 2003) and “resource dependence theory” (Pfeffer and Salanik, 1978; Chan, 2015). </w:t>
      </w:r>
      <w:r w:rsidRPr="00CF23C3">
        <w:rPr>
          <w:lang w:val="en-US"/>
        </w:rPr>
        <w:t xml:space="preserve">The </w:t>
      </w:r>
      <w:r>
        <w:rPr>
          <w:lang w:val="en-US"/>
        </w:rPr>
        <w:t xml:space="preserve">empirical </w:t>
      </w:r>
      <w:r w:rsidRPr="00CF23C3">
        <w:rPr>
          <w:lang w:val="en-US"/>
        </w:rPr>
        <w:t>analysis considers the Italian Public Universities context: the state of the art is discussed considering the models previously stated.</w:t>
      </w:r>
      <w:r>
        <w:rPr>
          <w:color w:val="FF0000"/>
          <w:lang w:val="en-US"/>
        </w:rPr>
        <w:t xml:space="preserve"> </w:t>
      </w:r>
      <w:r>
        <w:rPr>
          <w:lang w:val="en-US"/>
        </w:rPr>
        <w:t>Furthermore, a preliminary analysis about a sample of 58 public universities is provided. Then, a qualitative content analysis of 43 integrated long-term strategic plans is performed. The final output is an overview of fundraising role and culture in the Italian public higher education context.</w:t>
      </w:r>
    </w:p>
    <w:p w14:paraId="0978954E" w14:textId="77777777" w:rsidR="00F4092B" w:rsidRDefault="00F4092B" w:rsidP="00F4092B">
      <w:pPr>
        <w:spacing w:line="480" w:lineRule="auto"/>
        <w:jc w:val="both"/>
        <w:rPr>
          <w:lang w:val="en-US"/>
        </w:rPr>
      </w:pPr>
      <w:r>
        <w:rPr>
          <w:lang w:val="en-US"/>
        </w:rPr>
        <w:t>The chapter is organized as follows: first of all, literature review about the role of fundraising in higher educations from the strategic, managerial and organizational point of view is explained. Afterwards, the theoretical framework and the theoretical models aforementioned are shown. These sections are followed by the methodology paragraph. Then, the results of the empirical analysis are illustrated and discussed, according to the theoretical framework and models delivered. Finally, conclusions, limitations and further development are stated.</w:t>
      </w:r>
    </w:p>
    <w:p w14:paraId="72048B07" w14:textId="77777777" w:rsidR="00F4092B" w:rsidRDefault="00F4092B" w:rsidP="00F4092B">
      <w:pPr>
        <w:spacing w:line="480" w:lineRule="auto"/>
        <w:jc w:val="both"/>
        <w:rPr>
          <w:lang w:val="en-US"/>
        </w:rPr>
      </w:pPr>
    </w:p>
    <w:p w14:paraId="33568680" w14:textId="77777777" w:rsidR="00F4092B" w:rsidRPr="007D281E" w:rsidRDefault="00F4092B" w:rsidP="00F4092B">
      <w:pPr>
        <w:spacing w:line="480" w:lineRule="auto"/>
        <w:jc w:val="both"/>
        <w:rPr>
          <w:lang w:val="en-US"/>
        </w:rPr>
      </w:pPr>
      <w:r>
        <w:rPr>
          <w:b/>
          <w:lang w:val="en-US"/>
        </w:rPr>
        <w:t>3.2 Background</w:t>
      </w:r>
    </w:p>
    <w:p w14:paraId="1972B930" w14:textId="3D635477" w:rsidR="00F4092B" w:rsidRDefault="00F4092B" w:rsidP="00F4092B">
      <w:pPr>
        <w:spacing w:line="480" w:lineRule="auto"/>
        <w:jc w:val="both"/>
        <w:rPr>
          <w:lang w:val="en-US"/>
        </w:rPr>
      </w:pPr>
      <w:r>
        <w:rPr>
          <w:lang w:val="en-US"/>
        </w:rPr>
        <w:t>Since public universities are part of Public Sector, it is important to define what is strategy for a government organization. According to Moore (2000), Public Sector include</w:t>
      </w:r>
      <w:r w:rsidR="004546C7">
        <w:rPr>
          <w:lang w:val="en-US"/>
        </w:rPr>
        <w:t>s</w:t>
      </w:r>
      <w:r>
        <w:rPr>
          <w:lang w:val="en-US"/>
        </w:rPr>
        <w:t xml:space="preserve"> both nonprofit and government organizations, which are both very different from the for-profit ones. First of all</w:t>
      </w:r>
      <w:r w:rsidR="00C225BB">
        <w:rPr>
          <w:lang w:val="en-US"/>
        </w:rPr>
        <w:t>,</w:t>
      </w:r>
      <w:r>
        <w:rPr>
          <w:lang w:val="en-US"/>
        </w:rPr>
        <w:t xml:space="preserve"> government and nonprofit organizations define the value they create in terms of their mission rather than by their financial performances. In other words, the final goal of the Public Sector is to achieve its social mission, whereas the main objective of a for-profit organization is to enhance shareholders wealth. Another important feature is the principal source of revenue: while in the for-profit sector revenues are earned by sale of products or services, the Public one earns money from charitable gifts or tax appropriations. Moreover, the Public Sector performances are measured by efficiency and effectiveness in achieving social mission and not only by financial indicators, as for profit enterprises. Hence, a good strategy for the Public Sector is to find a better way to achieve mission in terms of costs and results and from the point of view of resources and organizational capabilities. </w:t>
      </w:r>
    </w:p>
    <w:p w14:paraId="6137345C" w14:textId="43B34324" w:rsidR="00F4092B" w:rsidRPr="000268F3" w:rsidRDefault="00F4092B" w:rsidP="00F4092B">
      <w:pPr>
        <w:spacing w:line="480" w:lineRule="auto"/>
        <w:jc w:val="both"/>
        <w:rPr>
          <w:lang w:val="en-US"/>
        </w:rPr>
      </w:pPr>
      <w:r>
        <w:rPr>
          <w:lang w:val="en-US"/>
        </w:rPr>
        <w:t>Since the mission defines the value of the government organization to society and creates the organization’s goal, it becomes the metric that is used in judging past performance</w:t>
      </w:r>
      <w:r w:rsidR="00AB34B1">
        <w:rPr>
          <w:lang w:val="en-US"/>
        </w:rPr>
        <w:t>s</w:t>
      </w:r>
      <w:r>
        <w:rPr>
          <w:lang w:val="en-US"/>
        </w:rPr>
        <w:t xml:space="preserve"> and assessing futures actions (Bryce, 1992). This kind of organizations cannot simply consider</w:t>
      </w:r>
      <w:r w:rsidR="00D6007E">
        <w:rPr>
          <w:lang w:val="en-US"/>
        </w:rPr>
        <w:t>s</w:t>
      </w:r>
      <w:r>
        <w:rPr>
          <w:lang w:val="en-US"/>
        </w:rPr>
        <w:t xml:space="preserve"> only financial performance: they have to focus on the latter to ensure the organizational survival and value creating capacity. Furthermore, they have to give an answer to the question whether the organization i</w:t>
      </w:r>
      <w:r w:rsidR="00A305F9">
        <w:rPr>
          <w:lang w:val="en-US"/>
        </w:rPr>
        <w:t>s creating social value in term</w:t>
      </w:r>
      <w:r>
        <w:rPr>
          <w:lang w:val="en-US"/>
        </w:rPr>
        <w:t xml:space="preserve"> of mission achievement: “In the public sector enterprises, money is the means to a desired social end” (Moore, 2000, p.195-196). </w:t>
      </w:r>
    </w:p>
    <w:p w14:paraId="1DE0AA08" w14:textId="3DB248B4" w:rsidR="00F4092B" w:rsidRDefault="00F4092B" w:rsidP="00F4092B">
      <w:pPr>
        <w:spacing w:line="480" w:lineRule="auto"/>
        <w:jc w:val="both"/>
        <w:rPr>
          <w:lang w:val="en-US"/>
        </w:rPr>
      </w:pPr>
      <w:r>
        <w:rPr>
          <w:lang w:val="en-US"/>
        </w:rPr>
        <w:t>The mission of a public university can be defined by its three functions: teaching, research and outreach. This means that a university creates value if it is able to educate student, to produce scientific knowledge and to deliver some services through museums, libraries, scientific spin-off</w:t>
      </w:r>
      <w:r w:rsidR="00A305F9">
        <w:rPr>
          <w:lang w:val="en-US"/>
        </w:rPr>
        <w:t>s</w:t>
      </w:r>
      <w:r>
        <w:rPr>
          <w:lang w:val="en-US"/>
        </w:rPr>
        <w:t>, technology transfer offices and relationships with other stakeholders (private and public). The university’s functions include several activities, which need a lot of human and financial resources. Relating to this issue</w:t>
      </w:r>
      <w:r w:rsidR="00A305F9">
        <w:rPr>
          <w:lang w:val="en-US"/>
        </w:rPr>
        <w:t>, it is worthwhile to refer to Resource D</w:t>
      </w:r>
      <w:r>
        <w:rPr>
          <w:lang w:val="en-US"/>
        </w:rPr>
        <w:t>ependenc</w:t>
      </w:r>
      <w:r w:rsidR="00A305F9">
        <w:rPr>
          <w:lang w:val="en-US"/>
        </w:rPr>
        <w:t>e T</w:t>
      </w:r>
      <w:r>
        <w:rPr>
          <w:lang w:val="en-US"/>
        </w:rPr>
        <w:t>heory (RDT), according to which universities are dependent on resources from outside sources because of the complexity of the environment in which they operate (Pfeffer and Salanicik, 1978). In this context, public univers</w:t>
      </w:r>
      <w:r w:rsidR="00A305F9">
        <w:rPr>
          <w:lang w:val="en-US"/>
        </w:rPr>
        <w:t>ities are dependent upon actors</w:t>
      </w:r>
      <w:r>
        <w:rPr>
          <w:lang w:val="en-US"/>
        </w:rPr>
        <w:t xml:space="preserve"> of its en</w:t>
      </w:r>
      <w:r w:rsidR="008B2319">
        <w:rPr>
          <w:lang w:val="en-US"/>
        </w:rPr>
        <w:t>vironment: since the formers have</w:t>
      </w:r>
      <w:r>
        <w:rPr>
          <w:lang w:val="en-US"/>
        </w:rPr>
        <w:t xml:space="preserve"> to acquire resources that should be sustainable, leaders of higher education organizations (presidents, deans and executives) have to maximize their autonomy and legitimacy from outside stakeholders to ensure university’s survivability (Scott and Davis, 2007). Moreover, these academic leaders are expected to build mutual relationships with external groups in order to get all the financial resources necessary to realize the university’s mission (Chan, 2015). This key-role of university presidents and academic deans is confirmed also by Hodson (2010), who states that they have to build and support a continuing culture of fundraising by private sector (people and organizations). </w:t>
      </w:r>
    </w:p>
    <w:p w14:paraId="4EE7AB01" w14:textId="77777777" w:rsidR="00F4092B" w:rsidRDefault="00F4092B" w:rsidP="00F4092B">
      <w:pPr>
        <w:spacing w:line="480" w:lineRule="auto"/>
        <w:jc w:val="both"/>
        <w:rPr>
          <w:lang w:val="en-US"/>
        </w:rPr>
      </w:pPr>
      <w:r>
        <w:rPr>
          <w:lang w:val="en-US"/>
        </w:rPr>
        <w:t>Relating to the presidents, they have the real responsibility for the success of the fundraising programs: they are the only ones who define university’s main goals and vision, so having a strategic role (Hodson, 2010). Therefore, in order to have a successful fundraising activity, presidents have to create a compelling vision, which has to be shared by constituents, taking some responsibilities for getting it (Fisher, 1985). For presidents, fundraising has to be a priority, because it is crucial to secure financial resources to university, guaranteeing the achievement of its mission and its survival. This is the reason why it is important that the university’s president identifies the most important financial needs that can be successfully supported by private gifts. Hence, this process (fundraising) has to be aligned with the strategic planning one (Hodson, 2010). From the internal point of view, in order to get success in fundraising initiatives, it is needed not only a shared vision, but also a professional fundraising staff with the right knowledge, expertise and budget (Kaufman, 2004). On the other hand, in the donors’ perspective the case of support has to be based on their desires for the gift. Presidents have to be leaders both of the university and of the community, empowering internal and external stakeholders, establishing long-term relationships with possible donors and engaging faculty members and university’s staff (Hodson, 2010; Satterwhite, 2004; Kaufman 2004; Weidner, 2008). In order to maintain these relationships, accountability is a crucial process: donors want to know the results of their gifts (scholarships, grants, technology devices…) because, from their point of view, a donation is an investment in the public institution (Eckert and Pollack, 2000).</w:t>
      </w:r>
    </w:p>
    <w:p w14:paraId="289824C0" w14:textId="77777777" w:rsidR="00F4092B" w:rsidRDefault="00F4092B" w:rsidP="00F4092B">
      <w:pPr>
        <w:spacing w:line="480" w:lineRule="auto"/>
        <w:jc w:val="both"/>
        <w:rPr>
          <w:lang w:val="en-US"/>
        </w:rPr>
      </w:pPr>
      <w:r>
        <w:rPr>
          <w:lang w:val="en-US"/>
        </w:rPr>
        <w:t xml:space="preserve">Deans handle another important role, relating to fundraising issues. They usually deal with academic activities, as professors, and administrative roles, as responsible for the organization of the department. Furthermore, they should ensure quality of education programs, research funding and keep technology up-to-date. Since there were a lot of changes in higher education government funding, as previously stated, fundraising has become a crucial tool also for academic deans (Hodson, 2010). As for staff for university presidents, faculty engagement is crucial for fundraising activities promoted by deans (Weidner, 2008). </w:t>
      </w:r>
    </w:p>
    <w:p w14:paraId="6FC695FD" w14:textId="3279FC46" w:rsidR="00F4092B" w:rsidRDefault="00F4092B" w:rsidP="00F4092B">
      <w:pPr>
        <w:spacing w:line="480" w:lineRule="auto"/>
        <w:jc w:val="both"/>
        <w:rPr>
          <w:lang w:val="en-US"/>
        </w:rPr>
      </w:pPr>
      <w:r>
        <w:rPr>
          <w:lang w:val="en-US"/>
        </w:rPr>
        <w:t>Relating to fundraising activities, presidents and deans have to consider three key functions, which should be integrated: Development, Alumni Relations and Marketing and Communications (Stevick, 2010).  In order to get integration, first of all a common and shared definition of success is needed and a changing in the organizational structure might occur (task force), adopting new mission statements and defining responsibilities for fundraising and long-term relationship building. Hence, a multidisciplinary team is desirable. Even if integration could be tough to be realized and maintained, presidents and deans have to do as much as possible to support, with additional resources, and to reinforce it, showing its resu</w:t>
      </w:r>
      <w:r w:rsidR="00093D85">
        <w:rPr>
          <w:lang w:val="en-US"/>
        </w:rPr>
        <w:t>lts and evaluating them in term</w:t>
      </w:r>
      <w:r>
        <w:rPr>
          <w:lang w:val="en-US"/>
        </w:rPr>
        <w:t xml:space="preserve"> of fundraising success (Stevick, 2010). </w:t>
      </w:r>
    </w:p>
    <w:p w14:paraId="30750C9D" w14:textId="77777777" w:rsidR="00F4092B" w:rsidRDefault="00F4092B" w:rsidP="00F4092B">
      <w:pPr>
        <w:spacing w:line="480" w:lineRule="auto"/>
        <w:jc w:val="both"/>
        <w:rPr>
          <w:lang w:val="en-US"/>
        </w:rPr>
      </w:pPr>
    </w:p>
    <w:p w14:paraId="1571A6B3" w14:textId="77777777" w:rsidR="00F4092B" w:rsidRDefault="00F4092B" w:rsidP="00F4092B">
      <w:pPr>
        <w:spacing w:line="480" w:lineRule="auto"/>
        <w:jc w:val="both"/>
        <w:rPr>
          <w:b/>
          <w:lang w:val="en-US"/>
        </w:rPr>
      </w:pPr>
      <w:r>
        <w:rPr>
          <w:b/>
          <w:lang w:val="en-US"/>
        </w:rPr>
        <w:t xml:space="preserve">3.3 </w:t>
      </w:r>
      <w:r w:rsidRPr="00C7207A">
        <w:rPr>
          <w:b/>
          <w:lang w:val="en-US"/>
        </w:rPr>
        <w:t>Theoretical framework</w:t>
      </w:r>
      <w:r>
        <w:rPr>
          <w:b/>
          <w:lang w:val="en-US"/>
        </w:rPr>
        <w:t xml:space="preserve"> </w:t>
      </w:r>
    </w:p>
    <w:p w14:paraId="4414D554" w14:textId="546A17CD" w:rsidR="00F4092B" w:rsidRPr="0047422E" w:rsidRDefault="00F4092B" w:rsidP="00F4092B">
      <w:pPr>
        <w:spacing w:line="480" w:lineRule="auto"/>
        <w:jc w:val="both"/>
        <w:rPr>
          <w:b/>
          <w:lang w:val="en-US"/>
        </w:rPr>
      </w:pPr>
      <w:r>
        <w:rPr>
          <w:lang w:val="en-US"/>
        </w:rPr>
        <w:t>Taking into consideration the Strategic Triangle (Moore, 1995), a government organization gets its social mission if it is based on legitimacy and support, given by internal and external stakeholders. Moreover, in this perspective, organizational capabilities are included as a critical factor, which depends on human resources and management. Human, material and immaterial resources are inputs, which, after a creation process, become outputs. Only if these outputs satisfy stakeholders, so they can have an effect on outcomes (Moore, 2003). Furthermore, referring to the Public Value Framework, which is represented in Figure 3.1, an organization creates public value if it is able to expand Support and Authorization, through presidents’ relationships, visibility with general public, relations with government and credibility with civil society actors. Moreover, public value is created if the government organization is able to build operational capacity, in terms of productivity, efficiency, organizational learning and innovation. Public Value is defined in terms of vision, mission, strategic goals and activities and outputs, which create outcomes.</w:t>
      </w:r>
    </w:p>
    <w:p w14:paraId="5DAFB508" w14:textId="4045E4DF" w:rsidR="00F4092B" w:rsidRPr="00F4092B" w:rsidRDefault="00F4092B" w:rsidP="006B16EE">
      <w:pPr>
        <w:autoSpaceDE w:val="0"/>
        <w:autoSpaceDN w:val="0"/>
        <w:adjustRightInd w:val="0"/>
        <w:spacing w:line="480" w:lineRule="auto"/>
        <w:jc w:val="both"/>
        <w:rPr>
          <w:rFonts w:ascii="Times" w:hAnsi="Times" w:cs="Times"/>
          <w:color w:val="000000"/>
        </w:rPr>
      </w:pPr>
      <w:r>
        <w:rPr>
          <w:lang w:val="en-US"/>
        </w:rPr>
        <w:t xml:space="preserve">Moore’s Public Value Framework can be integrated by Competing Values Approach (Talbot, 2008). From this perspective Trust and Legitimacy is put in the center of a diagrammatic representation: “It legitimizes the raising of public funds to carry out collective action projects that the market would not provide. In a more general view, it raises social capital by increasing overall levels of Trust in society” (Talbot, 2008, p.4). </w:t>
      </w:r>
    </w:p>
    <w:p w14:paraId="38C0E666" w14:textId="70724B5C" w:rsidR="00F4092B" w:rsidRDefault="00F4092B" w:rsidP="00F4092B">
      <w:pPr>
        <w:spacing w:line="480" w:lineRule="auto"/>
        <w:jc w:val="both"/>
        <w:rPr>
          <w:lang w:val="en-US"/>
        </w:rPr>
      </w:pPr>
      <w:r>
        <w:rPr>
          <w:lang w:val="en-US"/>
        </w:rPr>
        <w:t>Beyond Trust and Legitimacy, in order to create public value and be effective and efficient, any organization needs a lot of different re</w:t>
      </w:r>
      <w:r w:rsidR="0076685E">
        <w:rPr>
          <w:lang w:val="en-US"/>
        </w:rPr>
        <w:t>sources. In fact, according to RDT</w:t>
      </w:r>
      <w:r>
        <w:rPr>
          <w:lang w:val="en-US"/>
        </w:rPr>
        <w:t>, institutional effectiveness and efficiency depends on the leaders’ ability to secure financial resources needed for universities (Drezner and Huehls, 2014). This means that higher education institutions are highly dependent on external sources and the environment in which they operate is complex and really competitive. Hence, university’s leaders have to develop their autonomy and their legitimacy to get these important resources, winning the competition and establishing long-term relationships based on mutual trust (Chan, 2015).</w:t>
      </w:r>
    </w:p>
    <w:p w14:paraId="5B539F82" w14:textId="16F56392" w:rsidR="00F4092B" w:rsidRDefault="00F4092B" w:rsidP="00F4092B">
      <w:pPr>
        <w:spacing w:line="480" w:lineRule="auto"/>
        <w:jc w:val="both"/>
        <w:rPr>
          <w:lang w:val="en-US"/>
        </w:rPr>
      </w:pPr>
      <w:r>
        <w:rPr>
          <w:lang w:val="en-US"/>
        </w:rPr>
        <w:t xml:space="preserve">The “Conceptual model for research in higher education philanthropy” (Figure </w:t>
      </w:r>
      <w:r w:rsidR="006B02B0">
        <w:rPr>
          <w:lang w:val="en-US"/>
        </w:rPr>
        <w:t>3.</w:t>
      </w:r>
      <w:r>
        <w:rPr>
          <w:lang w:val="en-US"/>
        </w:rPr>
        <w:t xml:space="preserve">2), developed by Chan (2015), referring to </w:t>
      </w:r>
      <w:r w:rsidR="008E5FF3">
        <w:rPr>
          <w:lang w:val="en-US"/>
        </w:rPr>
        <w:t>RDT</w:t>
      </w:r>
      <w:r>
        <w:rPr>
          <w:lang w:val="en-US"/>
        </w:rPr>
        <w:t xml:space="preserve">, underlines how all university’s people, involved in the fundraising process, depend on external environments in order to survive and grow as academic organizations. </w:t>
      </w:r>
    </w:p>
    <w:p w14:paraId="6EE43AC6" w14:textId="36500FF7" w:rsidR="00F4092B" w:rsidRDefault="00F4092B" w:rsidP="00F4092B">
      <w:pPr>
        <w:spacing w:line="480" w:lineRule="auto"/>
        <w:jc w:val="both"/>
        <w:rPr>
          <w:lang w:val="en-US"/>
        </w:rPr>
      </w:pPr>
      <w:r>
        <w:rPr>
          <w:lang w:val="en-US"/>
        </w:rPr>
        <w:t>The environments, with which the university’s leaders should relate, are both philanthropic organizations (associations, foundations, social enterprises…) and external groups of stakeholders (alumni, donors, corporate partners, community supporters…). These relationships and networks are the “condicio sine qua non” to ensure the necessary resources for innovation and growth within the university. Moreover, the model points out four critical f</w:t>
      </w:r>
      <w:r w:rsidR="006B16D5">
        <w:rPr>
          <w:lang w:val="en-US"/>
        </w:rPr>
        <w:t>orces that have an impact on fundraising process</w:t>
      </w:r>
      <w:r>
        <w:rPr>
          <w:lang w:val="en-US"/>
        </w:rPr>
        <w:t>:</w:t>
      </w:r>
    </w:p>
    <w:p w14:paraId="44AFA508" w14:textId="77777777" w:rsidR="00F4092B" w:rsidRPr="004D5C30" w:rsidRDefault="00F4092B" w:rsidP="00F4092B">
      <w:pPr>
        <w:pStyle w:val="Paragrafoelenco"/>
        <w:widowControl/>
        <w:numPr>
          <w:ilvl w:val="0"/>
          <w:numId w:val="9"/>
        </w:numPr>
        <w:suppressAutoHyphens w:val="0"/>
        <w:spacing w:line="480" w:lineRule="auto"/>
        <w:jc w:val="both"/>
        <w:rPr>
          <w:lang w:val="en-US"/>
        </w:rPr>
      </w:pPr>
      <w:r w:rsidRPr="004D5C30">
        <w:rPr>
          <w:lang w:val="en-US"/>
        </w:rPr>
        <w:t>Personal forces:</w:t>
      </w:r>
      <w:r>
        <w:rPr>
          <w:lang w:val="en-US"/>
        </w:rPr>
        <w:t xml:space="preserve"> academic leaders (presidents and deans) highly influence professional fundraisers in their decision-making process and in their capacity to get resources from nonprofit organizations and external stakeholders.</w:t>
      </w:r>
    </w:p>
    <w:p w14:paraId="215AFB5A" w14:textId="77777777" w:rsidR="00F4092B" w:rsidRDefault="00F4092B" w:rsidP="00F4092B">
      <w:pPr>
        <w:pStyle w:val="Paragrafoelenco"/>
        <w:widowControl/>
        <w:numPr>
          <w:ilvl w:val="0"/>
          <w:numId w:val="9"/>
        </w:numPr>
        <w:suppressAutoHyphens w:val="0"/>
        <w:spacing w:line="480" w:lineRule="auto"/>
        <w:jc w:val="both"/>
        <w:rPr>
          <w:lang w:val="en-US"/>
        </w:rPr>
      </w:pPr>
      <w:r>
        <w:rPr>
          <w:lang w:val="en-US"/>
        </w:rPr>
        <w:t>Role forces: president’s relationship with board of trustees and development officers is crucial for fundraising success; the president should balance competing needs and special interests within the university.</w:t>
      </w:r>
    </w:p>
    <w:p w14:paraId="3A695E33" w14:textId="77777777" w:rsidR="00F4092B" w:rsidRDefault="00F4092B" w:rsidP="00F4092B">
      <w:pPr>
        <w:pStyle w:val="Paragrafoelenco"/>
        <w:widowControl/>
        <w:numPr>
          <w:ilvl w:val="0"/>
          <w:numId w:val="9"/>
        </w:numPr>
        <w:suppressAutoHyphens w:val="0"/>
        <w:spacing w:line="480" w:lineRule="auto"/>
        <w:jc w:val="both"/>
        <w:rPr>
          <w:lang w:val="en-US"/>
        </w:rPr>
      </w:pPr>
      <w:r>
        <w:rPr>
          <w:lang w:val="en-US"/>
        </w:rPr>
        <w:t>Institutional forces: there should be strategic alignment between the fundraisers’ decision-making process and institutional goal and mission of the university.</w:t>
      </w:r>
    </w:p>
    <w:p w14:paraId="774F8E56" w14:textId="77777777" w:rsidR="00F4092B" w:rsidRDefault="00F4092B" w:rsidP="00F4092B">
      <w:pPr>
        <w:pStyle w:val="Paragrafoelenco"/>
        <w:widowControl/>
        <w:numPr>
          <w:ilvl w:val="0"/>
          <w:numId w:val="9"/>
        </w:numPr>
        <w:suppressAutoHyphens w:val="0"/>
        <w:spacing w:line="480" w:lineRule="auto"/>
        <w:jc w:val="both"/>
        <w:rPr>
          <w:lang w:val="en-US"/>
        </w:rPr>
      </w:pPr>
      <w:r>
        <w:rPr>
          <w:lang w:val="en-US"/>
        </w:rPr>
        <w:t>Environmental forces: universities have to establish inter-organizational relationships and cooperation (networks) within their external environments; a three-party relationships among institutional players (board of trustees, president and development officers), able to ensure institution alignment with fundraising requirements to the university, is more advisable.</w:t>
      </w:r>
    </w:p>
    <w:p w14:paraId="421461D8" w14:textId="77777777" w:rsidR="00F4092B" w:rsidRPr="00EB0628" w:rsidRDefault="00F4092B" w:rsidP="00F4092B">
      <w:pPr>
        <w:spacing w:line="480" w:lineRule="auto"/>
        <w:jc w:val="both"/>
        <w:rPr>
          <w:lang w:val="en-US"/>
        </w:rPr>
      </w:pPr>
      <w:r>
        <w:rPr>
          <w:lang w:val="en-US"/>
        </w:rPr>
        <w:t xml:space="preserve">These types of forces influence universities’ fundraisers and decision-making process at different levels. The main limit of this approach is that it does not explain the effects of the environments on the institutional structures, but it points out the key-role of partnership and network in supporting the mission and the aims of the institution. </w:t>
      </w:r>
    </w:p>
    <w:p w14:paraId="7AFAC5D2" w14:textId="77777777" w:rsidR="00F4092B" w:rsidRDefault="00F4092B" w:rsidP="00F4092B">
      <w:pPr>
        <w:spacing w:line="480" w:lineRule="auto"/>
        <w:jc w:val="both"/>
        <w:rPr>
          <w:b/>
          <w:lang w:val="en-US"/>
        </w:rPr>
      </w:pPr>
      <w:r>
        <w:rPr>
          <w:b/>
          <w:lang w:val="en-US"/>
        </w:rPr>
        <w:t>3.4 Theoretical models</w:t>
      </w:r>
    </w:p>
    <w:p w14:paraId="0183FAF6" w14:textId="73261AC4" w:rsidR="00F4092B" w:rsidRDefault="00F4092B" w:rsidP="00F4092B">
      <w:pPr>
        <w:spacing w:line="480" w:lineRule="auto"/>
        <w:jc w:val="both"/>
        <w:rPr>
          <w:lang w:val="en-US"/>
        </w:rPr>
      </w:pPr>
      <w:r>
        <w:rPr>
          <w:lang w:val="en-US"/>
        </w:rPr>
        <w:t>The perspective proposed by Hodson (2010) underlines the need of an organizational model for fundraising in public universities. In fact, as previously stated, fundraising is a process that involves different levels of the organization. As illustrated in figure 3</w:t>
      </w:r>
      <w:r w:rsidR="003906F4">
        <w:rPr>
          <w:lang w:val="en-US"/>
        </w:rPr>
        <w:t>.3</w:t>
      </w:r>
      <w:r>
        <w:rPr>
          <w:lang w:val="en-US"/>
        </w:rPr>
        <w:t xml:space="preserve">, presidents can increase their fundraising ability by engaging advisory boards at all levels of the university; these advisory boards are: governing board, foundation board and alumni board. On the other hand, deans involve departmental advisory boards in fundraising activities. All these boards operate not as independent units, but as a whole: this means that coordination among them is needed. The president carries out the role of coordinator, also taking part to departmental boards to show informal communications about the situation of the university and to try to align boards efforts in order to support the university strategy. </w:t>
      </w:r>
    </w:p>
    <w:p w14:paraId="3F3F519C" w14:textId="507DB859" w:rsidR="00F4092B" w:rsidRDefault="00F4092B" w:rsidP="00F4092B">
      <w:pPr>
        <w:spacing w:line="480" w:lineRule="auto"/>
        <w:jc w:val="both"/>
        <w:rPr>
          <w:lang w:val="en-US"/>
        </w:rPr>
      </w:pPr>
      <w:r>
        <w:rPr>
          <w:lang w:val="en-US"/>
        </w:rPr>
        <w:t>In order to make fundraising activities suc</w:t>
      </w:r>
      <w:r w:rsidR="008052C2">
        <w:rPr>
          <w:lang w:val="en-US"/>
        </w:rPr>
        <w:t>cessful, public universities have</w:t>
      </w:r>
      <w:r>
        <w:rPr>
          <w:lang w:val="en-US"/>
        </w:rPr>
        <w:t xml:space="preserve"> to endow themselves with professional fundraising staff, whose relationship with academic leaders is crucial (Hodson, 2010). First of all, fundraising staff is an </w:t>
      </w:r>
      <w:r w:rsidRPr="00302DDE">
        <w:rPr>
          <w:i/>
          <w:lang w:val="en-US"/>
        </w:rPr>
        <w:t>educator</w:t>
      </w:r>
      <w:r>
        <w:rPr>
          <w:lang w:val="en-US"/>
        </w:rPr>
        <w:t xml:space="preserve"> for presidents and deans, who are usually not prepared enough to be fundraisers of their institution. Moreover, fundraising unit is an </w:t>
      </w:r>
      <w:r w:rsidRPr="00302DDE">
        <w:rPr>
          <w:i/>
          <w:lang w:val="en-US"/>
        </w:rPr>
        <w:t>impresario</w:t>
      </w:r>
      <w:r>
        <w:rPr>
          <w:lang w:val="en-US"/>
        </w:rPr>
        <w:t xml:space="preserve">: it is responsible for organizing interactions between (potential) donors and academic leaders and for maintaining these relationships in the long-term. Furthermore, professional staff is a </w:t>
      </w:r>
      <w:r w:rsidRPr="00302DDE">
        <w:rPr>
          <w:i/>
          <w:lang w:val="en-US"/>
        </w:rPr>
        <w:t>consultant</w:t>
      </w:r>
      <w:r>
        <w:rPr>
          <w:lang w:val="en-US"/>
        </w:rPr>
        <w:t>, who works close to university’s presidents and deans, interacting with them daily, weekly or monthly.</w:t>
      </w:r>
    </w:p>
    <w:p w14:paraId="7B2AA7E2" w14:textId="77777777" w:rsidR="00F4092B" w:rsidRDefault="00F4092B" w:rsidP="00F4092B">
      <w:pPr>
        <w:spacing w:line="480" w:lineRule="auto"/>
        <w:jc w:val="both"/>
        <w:rPr>
          <w:lang w:val="en-US"/>
        </w:rPr>
      </w:pPr>
      <w:r>
        <w:rPr>
          <w:lang w:val="en-US"/>
        </w:rPr>
        <w:t>Fundraising is a process in which a lot of organizational units are involved: these ones include Marketing and Communications, Development and Alumni Relations. These functions usually work as isolated units (Stevick, 2010), even if they must be integrated, especially regarding fundraising activities. Again, the responsibility for a good integration among these functions is in charge of university’s presidents, who have to adopt organizational models useful to increase fundraising success. A possible solution could be the creation of a task force, in which selected members of the three organizational units can work together and with the fundraising staff, providing the necessary support to get private gifts.</w:t>
      </w:r>
    </w:p>
    <w:p w14:paraId="3E6CB372" w14:textId="417F354D" w:rsidR="00F4092B" w:rsidRPr="0031256B" w:rsidRDefault="00F4092B" w:rsidP="00F4092B">
      <w:pPr>
        <w:spacing w:line="480" w:lineRule="auto"/>
        <w:jc w:val="both"/>
        <w:rPr>
          <w:sz w:val="22"/>
          <w:szCs w:val="22"/>
          <w:lang w:val="en-US"/>
        </w:rPr>
      </w:pPr>
      <w:r>
        <w:rPr>
          <w:lang w:val="en-US"/>
        </w:rPr>
        <w:t>Moving the focus of analysis from the internal point of view to the external one</w:t>
      </w:r>
      <w:r w:rsidR="00FF6CB9">
        <w:rPr>
          <w:lang w:val="en-US"/>
        </w:rPr>
        <w:t>,</w:t>
      </w:r>
      <w:r>
        <w:rPr>
          <w:lang w:val="en-US"/>
        </w:rPr>
        <w:t xml:space="preserve"> the study proposes a theoretical model, elaborated integrating Moore’ Public Value Framework (2003) and Chan’s Conceptual Model based on RDT (2015), relating to the higher education philanthropy context (Figure </w:t>
      </w:r>
      <w:r w:rsidR="003906F4">
        <w:rPr>
          <w:lang w:val="en-US"/>
        </w:rPr>
        <w:t>3.</w:t>
      </w:r>
      <w:r>
        <w:rPr>
          <w:lang w:val="en-US"/>
        </w:rPr>
        <w:t xml:space="preserve">4). The model is a matrix, whose four areas include the critical forces for university’s fundraising success. The parameters used for the classification are “organizational capacity” and “trust and legitimacy”: signs “plus” and “minus” do not mean that the parameter is absolutely present or not, but they indicate if it is pivotal for the forces or not. In fact, any type of activity, whose aim is getting private donations, is based on “trust and legitimacy”: only if potential donors trust the institution, they will give money to its cause, legitimating it. Moreover, as previously stated, success fundraising campaigns require “organizational capacity” in order to align all the involved units to the strategy. Hence, signs indicate if the forces’ focus is on external issues, “trust and legitimacy”, or on the internal ones, “organizational capacity”. Environmental forces regard both inter-organizational (between the institution and the external environments) and intra-organizational (among board of trustees, president and development offices) relationships. Therefore, the focus must be both on “trust and legitimacy”, in order to establish long-term relationships, and on “organizational capacity”, which is needed in order to ensure strategic alignment. Institutional forces ensure strategic alignment, concerning the internal coherence of goals: from this point of view “organizational capacity” is more important. On the other hand, role forces are characterized by “trust and legitimacy” rather than “organizational capacity”: relationships between presidents and advisory boards are based on support and authorization, in order to make fundraising a successful activity. The difference between role forces and personal forces seems to be evanescent: the latter is influenced neither by “trust and legitimacy” nor by “organizational capacity”. In fact, it is based on personal and individual capabilities of presidents to influence professional fundraisers in their activities. </w:t>
      </w:r>
    </w:p>
    <w:p w14:paraId="6B2CE983" w14:textId="49A2A2C0" w:rsidR="00F4092B" w:rsidRDefault="00082021" w:rsidP="00F4092B">
      <w:pPr>
        <w:spacing w:line="480" w:lineRule="auto"/>
        <w:jc w:val="both"/>
        <w:rPr>
          <w:lang w:val="en-US"/>
        </w:rPr>
      </w:pPr>
      <w:r>
        <w:rPr>
          <w:lang w:val="en-US"/>
        </w:rPr>
        <w:t>Moreover</w:t>
      </w:r>
      <w:r w:rsidR="00F4092B">
        <w:rPr>
          <w:lang w:val="en-US"/>
        </w:rPr>
        <w:t>, in the center of the diagrammatic repres</w:t>
      </w:r>
      <w:r>
        <w:rPr>
          <w:lang w:val="en-US"/>
        </w:rPr>
        <w:t>entation (Figure 3.4), there is Public Value, since the model is elaborated combining the Strategic Triangle Framework (Moore, 2000) and RDT (Chan, 2010). More specifically, all the forces are involved in the fundraising process, whose output (money gathered) contributes to support university’s mission</w:t>
      </w:r>
      <w:r w:rsidR="00392E19">
        <w:rPr>
          <w:lang w:val="en-US"/>
        </w:rPr>
        <w:t xml:space="preserve"> (public value creation through its three functions). Furthermore, the adoption of organizational models for enhancing fundraising process, by integrating different functions (organizational capacity), and the establishment of relationships based on trust and legitimacy are both pivotal for creating public value. Academic leaders reach the latter (public value creation) only if they adopt the right combination of forces, according to the university’s characteristics and relationships with external stakeholders.</w:t>
      </w:r>
      <w:r w:rsidR="00FC19F7">
        <w:rPr>
          <w:lang w:val="en-US"/>
        </w:rPr>
        <w:t xml:space="preserve"> In fact</w:t>
      </w:r>
      <w:r>
        <w:rPr>
          <w:lang w:val="en-US"/>
        </w:rPr>
        <w:t>, a</w:t>
      </w:r>
      <w:r w:rsidR="00F4092B">
        <w:rPr>
          <w:lang w:val="en-US"/>
        </w:rPr>
        <w:t>ll the forces previously stated are not choices: they represent different steps of the fundraising process, which are characterized by several universities’ actors (academic leaders, professional fundraising staff, advisory boards) and by external stakeholders. All these actors interact, more or less, in order to establish long-term relationships, whose output is getting private donations. Since the higher education institutions considered by this study are public, the aim of their fundraising process is getting funds to support the three university functions, which realize public universities mission.</w:t>
      </w:r>
    </w:p>
    <w:p w14:paraId="61569066" w14:textId="77777777" w:rsidR="00F4092B" w:rsidRDefault="00F4092B" w:rsidP="00F4092B">
      <w:pPr>
        <w:spacing w:line="480" w:lineRule="auto"/>
        <w:jc w:val="both"/>
        <w:rPr>
          <w:sz w:val="22"/>
          <w:szCs w:val="22"/>
          <w:lang w:val="en-US"/>
        </w:rPr>
      </w:pPr>
    </w:p>
    <w:p w14:paraId="50EE7C2F" w14:textId="77777777" w:rsidR="00F4092B" w:rsidRDefault="00F4092B" w:rsidP="00F4092B">
      <w:pPr>
        <w:spacing w:line="480" w:lineRule="auto"/>
        <w:jc w:val="both"/>
        <w:rPr>
          <w:b/>
          <w:lang w:val="en-US"/>
        </w:rPr>
      </w:pPr>
      <w:r>
        <w:rPr>
          <w:b/>
          <w:lang w:val="en-US"/>
        </w:rPr>
        <w:t>3.5 Methodology</w:t>
      </w:r>
    </w:p>
    <w:p w14:paraId="681EFCD3" w14:textId="77777777" w:rsidR="00F4092B" w:rsidRDefault="00F4092B" w:rsidP="00F4092B">
      <w:pPr>
        <w:spacing w:line="480" w:lineRule="auto"/>
        <w:jc w:val="both"/>
        <w:rPr>
          <w:lang w:val="en-US"/>
        </w:rPr>
      </w:pPr>
      <w:r>
        <w:rPr>
          <w:lang w:val="en-US"/>
        </w:rPr>
        <w:t xml:space="preserve">The research aim is to understand the role of fundraising in the public universities’ value creation process. The context of analysis is the Italian public higher education one: a sample of 58 universities was considered from the Censis </w:t>
      </w:r>
      <w:r w:rsidRPr="00552A16">
        <w:rPr>
          <w:lang w:val="en-US"/>
        </w:rPr>
        <w:t>(</w:t>
      </w:r>
      <w:r>
        <w:rPr>
          <w:lang w:val="en-US"/>
        </w:rPr>
        <w:t>Social Study and Research I</w:t>
      </w:r>
      <w:r w:rsidRPr="00552A16">
        <w:rPr>
          <w:lang w:val="en-US"/>
        </w:rPr>
        <w:t>nstitute)</w:t>
      </w:r>
      <w:r>
        <w:t xml:space="preserve"> Public </w:t>
      </w:r>
      <w:r w:rsidRPr="00552A16">
        <w:rPr>
          <w:lang w:val="en-US"/>
        </w:rPr>
        <w:t>Universities</w:t>
      </w:r>
      <w:r>
        <w:t xml:space="preserve"> </w:t>
      </w:r>
      <w:r>
        <w:rPr>
          <w:lang w:val="en-US"/>
        </w:rPr>
        <w:t xml:space="preserve">Classification (2016). They are located in different Italian geographical areas and they are different in terms of size and availability of governmental resources. In the first step (preliminary analysis), the sample was analyzed according to the theoretical framework previously introduced, considering two dimensions: the organizational structure (Hodson, 2010; Stevick, 2010) and the role of fundraising in the university strategy (Chan, 2015). Since Censis Classification is based on variables like Structures, Scholarship and Grants, Communications, it is considered a good source of information about the Italian context. For each dimension, three variables have been chosen. </w:t>
      </w:r>
    </w:p>
    <w:p w14:paraId="07D61E1F" w14:textId="77777777" w:rsidR="00F4092B" w:rsidRDefault="00F4092B" w:rsidP="00F4092B">
      <w:pPr>
        <w:spacing w:line="480" w:lineRule="auto"/>
        <w:jc w:val="both"/>
        <w:rPr>
          <w:lang w:val="en-US"/>
        </w:rPr>
      </w:pPr>
      <w:r>
        <w:rPr>
          <w:lang w:val="en-US"/>
        </w:rPr>
        <w:t xml:space="preserve">Relating to the organizational structure, the analysis aim to verify if: </w:t>
      </w:r>
    </w:p>
    <w:p w14:paraId="3C4E3B37" w14:textId="56553C9D" w:rsidR="00F4092B" w:rsidRPr="0006620E" w:rsidRDefault="00F4092B" w:rsidP="00F4092B">
      <w:pPr>
        <w:pStyle w:val="Paragrafoelenco"/>
        <w:widowControl/>
        <w:numPr>
          <w:ilvl w:val="0"/>
          <w:numId w:val="10"/>
        </w:numPr>
        <w:suppressAutoHyphens w:val="0"/>
        <w:spacing w:line="480" w:lineRule="auto"/>
        <w:jc w:val="both"/>
        <w:rPr>
          <w:lang w:val="en-US"/>
        </w:rPr>
      </w:pPr>
      <w:r w:rsidRPr="0006620E">
        <w:rPr>
          <w:lang w:val="en-US"/>
        </w:rPr>
        <w:t>the organizational chart reflects</w:t>
      </w:r>
      <w:r w:rsidR="009C1651">
        <w:rPr>
          <w:lang w:val="en-US"/>
        </w:rPr>
        <w:t xml:space="preserve"> the</w:t>
      </w:r>
      <w:r w:rsidRPr="0006620E">
        <w:rPr>
          <w:lang w:val="en-US"/>
        </w:rPr>
        <w:t xml:space="preserve"> fundraising process; </w:t>
      </w:r>
    </w:p>
    <w:p w14:paraId="2042906A" w14:textId="77777777" w:rsidR="00F4092B" w:rsidRPr="0006620E" w:rsidRDefault="00F4092B" w:rsidP="00F4092B">
      <w:pPr>
        <w:pStyle w:val="Paragrafoelenco"/>
        <w:widowControl/>
        <w:numPr>
          <w:ilvl w:val="0"/>
          <w:numId w:val="10"/>
        </w:numPr>
        <w:suppressAutoHyphens w:val="0"/>
        <w:spacing w:line="480" w:lineRule="auto"/>
        <w:jc w:val="both"/>
      </w:pPr>
      <w:r w:rsidRPr="0006620E">
        <w:rPr>
          <w:lang w:val="en-US"/>
        </w:rPr>
        <w:t>the president has nominated a fundraising delegate</w:t>
      </w:r>
      <w:r>
        <w:rPr>
          <w:lang w:val="en-US"/>
        </w:rPr>
        <w:t>;</w:t>
      </w:r>
    </w:p>
    <w:p w14:paraId="34AAE769" w14:textId="77777777" w:rsidR="00F4092B" w:rsidRPr="0006620E" w:rsidRDefault="00F4092B" w:rsidP="00F4092B">
      <w:pPr>
        <w:pStyle w:val="Paragrafoelenco"/>
        <w:widowControl/>
        <w:numPr>
          <w:ilvl w:val="0"/>
          <w:numId w:val="10"/>
        </w:numPr>
        <w:suppressAutoHyphens w:val="0"/>
        <w:spacing w:line="480" w:lineRule="auto"/>
        <w:jc w:val="both"/>
      </w:pPr>
      <w:r w:rsidRPr="0006620E">
        <w:rPr>
          <w:lang w:val="en-US"/>
        </w:rPr>
        <w:t xml:space="preserve">there is a professional fundraising staff. </w:t>
      </w:r>
    </w:p>
    <w:p w14:paraId="1B7C63C4" w14:textId="77777777" w:rsidR="00F4092B" w:rsidRDefault="00F4092B" w:rsidP="00F4092B">
      <w:pPr>
        <w:spacing w:line="480" w:lineRule="auto"/>
        <w:jc w:val="both"/>
        <w:rPr>
          <w:lang w:val="en-US"/>
        </w:rPr>
      </w:pPr>
      <w:r w:rsidRPr="0006620E">
        <w:rPr>
          <w:lang w:val="en-US"/>
        </w:rPr>
        <w:t>For the second dimension, the study investigates</w:t>
      </w:r>
      <w:r>
        <w:rPr>
          <w:lang w:val="en-US"/>
        </w:rPr>
        <w:t>:</w:t>
      </w:r>
      <w:r w:rsidRPr="0006620E">
        <w:rPr>
          <w:lang w:val="en-US"/>
        </w:rPr>
        <w:t xml:space="preserve"> </w:t>
      </w:r>
    </w:p>
    <w:p w14:paraId="0E0C07A9" w14:textId="77777777" w:rsidR="00F4092B" w:rsidRPr="0006620E" w:rsidRDefault="00F4092B" w:rsidP="00F4092B">
      <w:pPr>
        <w:pStyle w:val="Paragrafoelenco"/>
        <w:widowControl/>
        <w:numPr>
          <w:ilvl w:val="0"/>
          <w:numId w:val="11"/>
        </w:numPr>
        <w:suppressAutoHyphens w:val="0"/>
        <w:spacing w:line="480" w:lineRule="auto"/>
        <w:jc w:val="both"/>
        <w:rPr>
          <w:lang w:val="en-US"/>
        </w:rPr>
      </w:pPr>
      <w:r w:rsidRPr="0006620E">
        <w:rPr>
          <w:lang w:val="en-US"/>
        </w:rPr>
        <w:t>the presence of a special fundraising webpage on the university’s official website</w:t>
      </w:r>
      <w:r>
        <w:rPr>
          <w:lang w:val="en-US"/>
        </w:rPr>
        <w:t>;</w:t>
      </w:r>
    </w:p>
    <w:p w14:paraId="7E8E8D5F" w14:textId="77777777" w:rsidR="00F4092B" w:rsidRDefault="00F4092B" w:rsidP="00F4092B">
      <w:pPr>
        <w:pStyle w:val="Paragrafoelenco"/>
        <w:widowControl/>
        <w:numPr>
          <w:ilvl w:val="0"/>
          <w:numId w:val="11"/>
        </w:numPr>
        <w:suppressAutoHyphens w:val="0"/>
        <w:spacing w:line="480" w:lineRule="auto"/>
        <w:jc w:val="both"/>
        <w:rPr>
          <w:lang w:val="en-US"/>
        </w:rPr>
      </w:pPr>
      <w:r w:rsidRPr="0006620E">
        <w:rPr>
          <w:lang w:val="en-US"/>
        </w:rPr>
        <w:t>the existence of specific fundraising objectives in the</w:t>
      </w:r>
      <w:r>
        <w:rPr>
          <w:lang w:val="en-US"/>
        </w:rPr>
        <w:t xml:space="preserve"> integrated</w:t>
      </w:r>
      <w:r w:rsidRPr="0006620E">
        <w:rPr>
          <w:lang w:val="en-US"/>
        </w:rPr>
        <w:t xml:space="preserve"> long-t</w:t>
      </w:r>
      <w:r>
        <w:rPr>
          <w:lang w:val="en-US"/>
        </w:rPr>
        <w:t xml:space="preserve">erm (3 years) strategic plans; </w:t>
      </w:r>
      <w:r w:rsidRPr="0006620E">
        <w:rPr>
          <w:lang w:val="en-US"/>
        </w:rPr>
        <w:t xml:space="preserve"> </w:t>
      </w:r>
    </w:p>
    <w:p w14:paraId="3DD27172" w14:textId="77777777" w:rsidR="00F4092B" w:rsidRDefault="00F4092B" w:rsidP="00F4092B">
      <w:pPr>
        <w:pStyle w:val="Paragrafoelenco"/>
        <w:widowControl/>
        <w:numPr>
          <w:ilvl w:val="0"/>
          <w:numId w:val="11"/>
        </w:numPr>
        <w:suppressAutoHyphens w:val="0"/>
        <w:spacing w:line="480" w:lineRule="auto"/>
        <w:jc w:val="both"/>
        <w:rPr>
          <w:lang w:val="en-US"/>
        </w:rPr>
      </w:pPr>
      <w:r w:rsidRPr="0006620E">
        <w:rPr>
          <w:lang w:val="en-US"/>
        </w:rPr>
        <w:t>the composition of a social report by the university.</w:t>
      </w:r>
    </w:p>
    <w:p w14:paraId="4D56E6AC" w14:textId="77777777" w:rsidR="00F4092B" w:rsidRPr="006B1AE5" w:rsidRDefault="00F4092B" w:rsidP="00F4092B">
      <w:pPr>
        <w:spacing w:line="480" w:lineRule="auto"/>
        <w:jc w:val="both"/>
        <w:rPr>
          <w:lang w:val="en-US"/>
        </w:rPr>
      </w:pPr>
      <w:r>
        <w:rPr>
          <w:lang w:val="en-US"/>
        </w:rPr>
        <w:t>Analysis results are useful to provide an overview of the state of the art of fundraising in the Italian public universities. Moreover, they point out which are the strengths and weaknesses of the system from fundraising’s perspective.</w:t>
      </w:r>
    </w:p>
    <w:p w14:paraId="19DC4089" w14:textId="77777777" w:rsidR="00F4092B" w:rsidRDefault="00F4092B" w:rsidP="00F4092B">
      <w:pPr>
        <w:spacing w:line="480" w:lineRule="auto"/>
        <w:jc w:val="both"/>
        <w:rPr>
          <w:lang w:val="en-US"/>
        </w:rPr>
      </w:pPr>
      <w:r>
        <w:rPr>
          <w:lang w:val="en-US"/>
        </w:rPr>
        <w:t>Furthermore, the study aims to analyze in deep the integrated long-term strategic plans through “Content Analysis” methodology (Krippendorff, 2004). A qualitative content analysis was chosen, based on a deductive method (Elo &amp; Kyngäs, 2008; Mayring, 2014). Only those plans with explicit and specific fundraising objectives were considered, using relevance sampling as selection techniques. The research adopts a “problem driven approach” (Krippendorff, 2004): once formulated the research questions aforementioned and established stable correlations through the theoretical models proposed in the previous paragraph, units of analysis were defined as the integrated long-term strategic plans. Categories were a priori defined, considering the theoretical framework delivered before (Schilling, 2006):</w:t>
      </w:r>
    </w:p>
    <w:p w14:paraId="31A47866" w14:textId="77777777" w:rsidR="00F4092B" w:rsidRDefault="00F4092B" w:rsidP="00F4092B">
      <w:pPr>
        <w:pStyle w:val="Paragrafoelenco"/>
        <w:widowControl/>
        <w:numPr>
          <w:ilvl w:val="0"/>
          <w:numId w:val="12"/>
        </w:numPr>
        <w:suppressAutoHyphens w:val="0"/>
        <w:spacing w:line="480" w:lineRule="auto"/>
        <w:jc w:val="both"/>
        <w:rPr>
          <w:lang w:val="en-US"/>
        </w:rPr>
      </w:pPr>
      <w:r>
        <w:rPr>
          <w:lang w:val="en-US"/>
        </w:rPr>
        <w:t>Environmental forces</w:t>
      </w:r>
    </w:p>
    <w:p w14:paraId="0DABB67A" w14:textId="77777777" w:rsidR="00F4092B" w:rsidRDefault="00F4092B" w:rsidP="00F4092B">
      <w:pPr>
        <w:pStyle w:val="Paragrafoelenco"/>
        <w:widowControl/>
        <w:numPr>
          <w:ilvl w:val="0"/>
          <w:numId w:val="12"/>
        </w:numPr>
        <w:suppressAutoHyphens w:val="0"/>
        <w:spacing w:line="480" w:lineRule="auto"/>
        <w:jc w:val="both"/>
        <w:rPr>
          <w:lang w:val="en-US"/>
        </w:rPr>
      </w:pPr>
      <w:r>
        <w:rPr>
          <w:lang w:val="en-US"/>
        </w:rPr>
        <w:t>Institutional forces</w:t>
      </w:r>
    </w:p>
    <w:p w14:paraId="0F841C7F" w14:textId="77777777" w:rsidR="00F4092B" w:rsidRDefault="00F4092B" w:rsidP="00F4092B">
      <w:pPr>
        <w:pStyle w:val="Paragrafoelenco"/>
        <w:widowControl/>
        <w:numPr>
          <w:ilvl w:val="0"/>
          <w:numId w:val="12"/>
        </w:numPr>
        <w:suppressAutoHyphens w:val="0"/>
        <w:spacing w:line="480" w:lineRule="auto"/>
        <w:jc w:val="both"/>
        <w:rPr>
          <w:lang w:val="en-US"/>
        </w:rPr>
      </w:pPr>
      <w:r>
        <w:rPr>
          <w:lang w:val="en-US"/>
        </w:rPr>
        <w:t>Role forces</w:t>
      </w:r>
    </w:p>
    <w:p w14:paraId="5A45F420" w14:textId="77777777" w:rsidR="00F4092B" w:rsidRDefault="00F4092B" w:rsidP="00F4092B">
      <w:pPr>
        <w:pStyle w:val="Paragrafoelenco"/>
        <w:widowControl/>
        <w:numPr>
          <w:ilvl w:val="0"/>
          <w:numId w:val="12"/>
        </w:numPr>
        <w:suppressAutoHyphens w:val="0"/>
        <w:spacing w:line="480" w:lineRule="auto"/>
        <w:jc w:val="both"/>
        <w:rPr>
          <w:lang w:val="en-US"/>
        </w:rPr>
      </w:pPr>
      <w:r>
        <w:rPr>
          <w:lang w:val="en-US"/>
        </w:rPr>
        <w:t>Personal forces (Chan, 2015).</w:t>
      </w:r>
    </w:p>
    <w:p w14:paraId="48B34E1C" w14:textId="5534CDBE" w:rsidR="00F4092B" w:rsidRDefault="00F4092B" w:rsidP="00F4092B">
      <w:pPr>
        <w:spacing w:line="480" w:lineRule="auto"/>
        <w:jc w:val="both"/>
        <w:rPr>
          <w:lang w:val="en-US"/>
        </w:rPr>
      </w:pPr>
      <w:r>
        <w:rPr>
          <w:lang w:val="en-US"/>
        </w:rPr>
        <w:t xml:space="preserve">Table </w:t>
      </w:r>
      <w:r w:rsidR="00725B42">
        <w:rPr>
          <w:lang w:val="en-US"/>
        </w:rPr>
        <w:t>3.5</w:t>
      </w:r>
      <w:r>
        <w:rPr>
          <w:lang w:val="en-US"/>
        </w:rPr>
        <w:t xml:space="preserve"> represents the categories, previously defined, and the coding rules used to analyze the coding units (integrated long-term strategic plans) (Mayring, 2014).</w:t>
      </w:r>
    </w:p>
    <w:p w14:paraId="4A9652BA" w14:textId="217BB1E4" w:rsidR="00F4092B" w:rsidRDefault="00F4092B" w:rsidP="00F4092B">
      <w:pPr>
        <w:spacing w:line="480" w:lineRule="auto"/>
        <w:jc w:val="both"/>
        <w:rPr>
          <w:lang w:val="en-US"/>
        </w:rPr>
      </w:pPr>
      <w:r>
        <w:rPr>
          <w:lang w:val="en-US"/>
        </w:rPr>
        <w:t>In order to analyze texts and link them to the right category, a codebook was defined, focusing on coding rules (Neuendorf, 2002). Coding units’ analysis was delivered through the support of a web-based software, QCAmap, which allow</w:t>
      </w:r>
      <w:r w:rsidR="00A61ACB">
        <w:rPr>
          <w:lang w:val="en-US"/>
        </w:rPr>
        <w:t>s</w:t>
      </w:r>
      <w:r>
        <w:rPr>
          <w:lang w:val="en-US"/>
        </w:rPr>
        <w:t xml:space="preserve"> testing several text units, like university’s strategic plans, linking them to specific research questions and to theory-based categories (deductive content analysis).</w:t>
      </w:r>
    </w:p>
    <w:p w14:paraId="03F09060" w14:textId="77777777" w:rsidR="00F4092B" w:rsidRPr="00B85835" w:rsidRDefault="00F4092B" w:rsidP="00F4092B">
      <w:pPr>
        <w:spacing w:line="480" w:lineRule="auto"/>
        <w:jc w:val="both"/>
        <w:rPr>
          <w:lang w:val="en-US"/>
        </w:rPr>
      </w:pPr>
      <w:r>
        <w:rPr>
          <w:lang w:val="en-US"/>
        </w:rPr>
        <w:t xml:space="preserve">The aim of the analysis is to understand in which part of the matrix, described in the previous paragraph, Italian public universities are located. </w:t>
      </w:r>
    </w:p>
    <w:p w14:paraId="3EDF6E72" w14:textId="77777777" w:rsidR="00F4092B" w:rsidRDefault="00F4092B" w:rsidP="00F4092B">
      <w:pPr>
        <w:spacing w:line="480" w:lineRule="auto"/>
        <w:jc w:val="both"/>
        <w:rPr>
          <w:b/>
          <w:lang w:val="en-US"/>
        </w:rPr>
      </w:pPr>
    </w:p>
    <w:p w14:paraId="1C9CCE67" w14:textId="77777777" w:rsidR="00F4092B" w:rsidRDefault="00F4092B" w:rsidP="00F4092B">
      <w:pPr>
        <w:spacing w:line="480" w:lineRule="auto"/>
        <w:jc w:val="both"/>
        <w:rPr>
          <w:b/>
          <w:lang w:val="en-US"/>
        </w:rPr>
      </w:pPr>
      <w:r>
        <w:rPr>
          <w:b/>
          <w:lang w:val="en-US"/>
        </w:rPr>
        <w:t>3.6 The Italian public universities context</w:t>
      </w:r>
    </w:p>
    <w:p w14:paraId="46A707BB" w14:textId="77777777" w:rsidR="00F4092B" w:rsidRDefault="00F4092B" w:rsidP="00F4092B">
      <w:pPr>
        <w:spacing w:line="480" w:lineRule="auto"/>
        <w:jc w:val="both"/>
        <w:rPr>
          <w:b/>
          <w:i/>
          <w:lang w:val="en-US"/>
        </w:rPr>
      </w:pPr>
      <w:r>
        <w:rPr>
          <w:b/>
          <w:i/>
          <w:lang w:val="en-US"/>
        </w:rPr>
        <w:t>3.6.1 Background</w:t>
      </w:r>
    </w:p>
    <w:p w14:paraId="10E06143" w14:textId="5A314C6F" w:rsidR="00F4092B" w:rsidRDefault="00F4092B" w:rsidP="00F4092B">
      <w:pPr>
        <w:spacing w:line="480" w:lineRule="auto"/>
        <w:jc w:val="both"/>
        <w:rPr>
          <w:iCs/>
          <w:lang w:val="en-US"/>
        </w:rPr>
      </w:pPr>
      <w:r w:rsidRPr="00986B18">
        <w:rPr>
          <w:iCs/>
          <w:lang w:val="en-US"/>
        </w:rPr>
        <w:t>The economic crisis started in 2008</w:t>
      </w:r>
      <w:r>
        <w:rPr>
          <w:iCs/>
          <w:lang w:val="en-US"/>
        </w:rPr>
        <w:t xml:space="preserve"> in the USA and, then, in Europe has</w:t>
      </w:r>
      <w:r w:rsidRPr="00986B18">
        <w:rPr>
          <w:iCs/>
          <w:lang w:val="en-US"/>
        </w:rPr>
        <w:t xml:space="preserve"> had a crucial impact on the society.</w:t>
      </w:r>
      <w:r>
        <w:rPr>
          <w:iCs/>
          <w:lang w:val="en-US"/>
        </w:rPr>
        <w:t xml:space="preserve"> Even European universities have suffered for changes introduced by this situation and, in order to answer to the new emerging challenges, they had to assume a greater autonomy and responsibility from academic, financial and organizational point of view. Since 2008 universities have the responsibility of educating people for the complexity of modern society, developing their abilities and capabilities (Paleari et al., 2014). Moreover, Italian public universities have to cope with significant reductions in public expenses caused both by the crisis and by the introduction of some market-oriented mechanism, like performance-based funding (Donina et al., 2015). Hence, they have been trying to find new funding sources and tools, like, for example, European or national research funding opportunities, third party contracts with private enterprises and philanthropic activities. Relating to the last ones, universities can interact with potential donors through four fundraising models. The first one is called “Major Gift”: it represents the most important and common fundraising approach for the majority of universities. It is focused on efforts needed to attract donations from philanthropists belonging to the higher social classes. It is characterized by the commitment of university’s leadership, which manages the development of processes and relationships with wealthy people, in order to get “big-size” donations. University’s leaders must be supported by the organization t</w:t>
      </w:r>
      <w:r w:rsidR="00AB3C87">
        <w:rPr>
          <w:iCs/>
          <w:lang w:val="en-US"/>
        </w:rPr>
        <w:t>h</w:t>
      </w:r>
      <w:r>
        <w:rPr>
          <w:iCs/>
          <w:lang w:val="en-US"/>
        </w:rPr>
        <w:t xml:space="preserve">rough a good communication among different group of internal stakeholders (managers, employees, students, professors, researchers) (Sacco, 2006). </w:t>
      </w:r>
    </w:p>
    <w:p w14:paraId="0AFFF008" w14:textId="4FFA29FB" w:rsidR="00F4092B" w:rsidRDefault="00F4092B" w:rsidP="00F4092B">
      <w:pPr>
        <w:spacing w:line="480" w:lineRule="auto"/>
        <w:jc w:val="both"/>
        <w:rPr>
          <w:iCs/>
          <w:lang w:val="en-US"/>
        </w:rPr>
      </w:pPr>
      <w:r>
        <w:rPr>
          <w:iCs/>
          <w:lang w:val="en-US"/>
        </w:rPr>
        <w:t>Moreover, the “Foundation Research” model is similar to the activity carried out by the researchers or universit</w:t>
      </w:r>
      <w:r w:rsidR="00307EAE">
        <w:rPr>
          <w:iCs/>
          <w:lang w:val="en-US"/>
        </w:rPr>
        <w:t>y’s leaders, who seek support for financing</w:t>
      </w:r>
      <w:r>
        <w:rPr>
          <w:iCs/>
          <w:lang w:val="en-US"/>
        </w:rPr>
        <w:t xml:space="preserve"> research projects respectively in their own area of interest. They have to communicate with public institutions (like, for example, the Ministry of Education, University and Research) or with big private foundations (as Cariplo Foundation), characterized by strict rules and policies, in addition to very specific selection’s criteria. These communication activities aim at interesting and engaging these organizations in order to get their support for research’s activities. Therefore, universities have internal structures and functions, whose task is to establish connections with these external institutions, in order to inform them about research projects that need financial support. Donations are used to finance research activities, also by sustaining scholarships for PhDs and research fellows. The sums of money got by applying this model are crucial, but they are usually lower then those associated with “Major Gift” model (Sargeant &amp; Jay, 2014). </w:t>
      </w:r>
    </w:p>
    <w:p w14:paraId="17A80839" w14:textId="23C43F54" w:rsidR="00F4092B" w:rsidRDefault="00F4092B" w:rsidP="00F4092B">
      <w:pPr>
        <w:spacing w:line="480" w:lineRule="auto"/>
        <w:jc w:val="both"/>
        <w:rPr>
          <w:iCs/>
          <w:lang w:val="en-US"/>
        </w:rPr>
      </w:pPr>
      <w:r>
        <w:rPr>
          <w:iCs/>
          <w:lang w:val="en-US"/>
        </w:rPr>
        <w:t>Then, the “Multi-Mode” model refers to the several interactions that characterize the relationships between the different types of university’s actors and non-profit organizations, like foundations, or private enterprises. The latters are considered as philanthropic sources of funding: donations are addressed to specific purposes, like research projects or scholarships. These relationships a</w:t>
      </w:r>
      <w:r w:rsidR="00F41507">
        <w:rPr>
          <w:iCs/>
          <w:lang w:val="en-US"/>
        </w:rPr>
        <w:t>re based on the communication of</w:t>
      </w:r>
      <w:r>
        <w:rPr>
          <w:iCs/>
          <w:lang w:val="en-US"/>
        </w:rPr>
        <w:t xml:space="preserve"> all the useful information for the external stakeholders, like foundations or profit organizations, in order to attract and convince them to support the university’s activities (</w:t>
      </w:r>
      <w:r>
        <w:t>Pérez-Esparrells</w:t>
      </w:r>
      <w:r w:rsidRPr="00CA210F">
        <w:t xml:space="preserve"> &amp; Torre</w:t>
      </w:r>
      <w:r>
        <w:rPr>
          <w:iCs/>
          <w:lang w:val="en-US"/>
        </w:rPr>
        <w:t>, 2012).</w:t>
      </w:r>
    </w:p>
    <w:p w14:paraId="245037B8" w14:textId="0615B2BE" w:rsidR="00F4092B" w:rsidRDefault="00F4092B" w:rsidP="00F4092B">
      <w:pPr>
        <w:spacing w:line="480" w:lineRule="auto"/>
        <w:jc w:val="both"/>
        <w:rPr>
          <w:iCs/>
          <w:lang w:val="en-US"/>
        </w:rPr>
      </w:pPr>
      <w:r>
        <w:rPr>
          <w:iCs/>
          <w:lang w:val="en-US"/>
        </w:rPr>
        <w:t>Finally, the last model is the “Alumni” one, which allows searching for potential donors among members of alumni associations. The aim is getting small donations from a huge group of people, in order to support general institutions’ activities, whose characteristics are not specified to donors. This me</w:t>
      </w:r>
      <w:r w:rsidR="00F41507">
        <w:rPr>
          <w:iCs/>
          <w:lang w:val="en-US"/>
        </w:rPr>
        <w:t>ans that the university asks a donation that is</w:t>
      </w:r>
      <w:r>
        <w:rPr>
          <w:iCs/>
          <w:lang w:val="en-US"/>
        </w:rPr>
        <w:t xml:space="preserve"> addressed to the university as a whole, making this model different from the others models aforementioned, where donations are addressed to specific projects. The strategy of this model is similar to that of “direct marketing”, but the aim is not the promotion of a good or a service, but to attract university’s alumni through long-distance communication (by e-mail or phone calls). They idea is to ask them support as a form of gratitude towards the university for the education received (</w:t>
      </w:r>
      <w:r>
        <w:t>Pérez-Esparrells</w:t>
      </w:r>
      <w:r w:rsidRPr="00CA210F">
        <w:t xml:space="preserve"> &amp; Torre</w:t>
      </w:r>
      <w:r>
        <w:rPr>
          <w:iCs/>
          <w:lang w:val="en-US"/>
        </w:rPr>
        <w:t>, 2012).</w:t>
      </w:r>
    </w:p>
    <w:p w14:paraId="34764C7C" w14:textId="636F1779" w:rsidR="00F4092B" w:rsidRDefault="00F4092B" w:rsidP="00F4092B">
      <w:pPr>
        <w:spacing w:line="480" w:lineRule="auto"/>
        <w:jc w:val="both"/>
        <w:rPr>
          <w:iCs/>
          <w:lang w:val="en-US"/>
        </w:rPr>
      </w:pPr>
      <w:r>
        <w:rPr>
          <w:iCs/>
          <w:lang w:val="en-US"/>
        </w:rPr>
        <w:t>The four models are all based on a long-term vision, being fundraising a complex process, which requires time and resources to obtain tangible results. Hence, universities’ fundraising activities require the definition of a strategy, which highlights capabilities that distingu</w:t>
      </w:r>
      <w:r w:rsidR="00F41507">
        <w:rPr>
          <w:iCs/>
          <w:lang w:val="en-US"/>
        </w:rPr>
        <w:t>ish an</w:t>
      </w:r>
      <w:r>
        <w:rPr>
          <w:iCs/>
          <w:lang w:val="en-US"/>
        </w:rPr>
        <w:t xml:space="preserve"> institution form the others. All university’s actors are engaged in the fundraising process in order to promote all university’s activities and attract donations. Another important element is the geographic location of the university, as the legal and tax system, which can make fundraising process easier, or government</w:t>
      </w:r>
      <w:r w:rsidR="00C3536C">
        <w:rPr>
          <w:iCs/>
          <w:lang w:val="en-US"/>
        </w:rPr>
        <w:t>’s</w:t>
      </w:r>
      <w:r>
        <w:rPr>
          <w:iCs/>
          <w:lang w:val="en-US"/>
        </w:rPr>
        <w:t xml:space="preserve"> will to promote philanthropy. Relating to the latter, the European Commission has carried out a survey on a sample of 164 universities in 24 countries of the European Union in order to understand which is the trend in promoting fundraising activities and success. This research has highlighted that 77% of the universities use</w:t>
      </w:r>
      <w:r w:rsidR="00F37659">
        <w:rPr>
          <w:iCs/>
          <w:lang w:val="en-US"/>
        </w:rPr>
        <w:t>s</w:t>
      </w:r>
      <w:r>
        <w:rPr>
          <w:iCs/>
          <w:lang w:val="en-US"/>
        </w:rPr>
        <w:t xml:space="preserve"> philanthropic revenues to support research, but only six of them gather more than € 10 million per year. Moreover, 44% get</w:t>
      </w:r>
      <w:r w:rsidR="00F37659">
        <w:rPr>
          <w:iCs/>
          <w:lang w:val="en-US"/>
        </w:rPr>
        <w:t>s</w:t>
      </w:r>
      <w:r>
        <w:rPr>
          <w:iCs/>
          <w:lang w:val="en-US"/>
        </w:rPr>
        <w:t xml:space="preserve"> less than one million per year, whereas almost 55% is not able to calculate how much it manage to obtain from fundraising activities. Hence, in Europe the development and</w:t>
      </w:r>
      <w:r w:rsidR="00F37659">
        <w:rPr>
          <w:iCs/>
          <w:lang w:val="en-US"/>
        </w:rPr>
        <w:t xml:space="preserve"> use of fundraising processes are</w:t>
      </w:r>
      <w:r>
        <w:rPr>
          <w:iCs/>
          <w:lang w:val="en-US"/>
        </w:rPr>
        <w:t xml:space="preserve"> not so relevant, since only 51% of the universities has formal rules and policies for fundraising. Furthermore, 32% of them is </w:t>
      </w:r>
      <w:r w:rsidR="006C5D98">
        <w:rPr>
          <w:iCs/>
          <w:lang w:val="en-US"/>
        </w:rPr>
        <w:t>not endowed by a system for measuring</w:t>
      </w:r>
      <w:r>
        <w:rPr>
          <w:iCs/>
          <w:lang w:val="en-US"/>
        </w:rPr>
        <w:t xml:space="preserve"> and control</w:t>
      </w:r>
      <w:r w:rsidR="006C5D98">
        <w:rPr>
          <w:iCs/>
          <w:lang w:val="en-US"/>
        </w:rPr>
        <w:t>ling</w:t>
      </w:r>
      <w:r>
        <w:rPr>
          <w:iCs/>
          <w:lang w:val="en-US"/>
        </w:rPr>
        <w:t xml:space="preserve"> fundraising performance. In addition to this, only the half of the sample has an up-to-date database to store and manage the donors’ information. In fact, only 56% regularly communicates results got thanks to the fundraising activities and the relating impact to its donors. Vice versa, 90% of the sample finds a way to be grateful to its supporters. </w:t>
      </w:r>
    </w:p>
    <w:p w14:paraId="39610531" w14:textId="77777777" w:rsidR="00F4092B" w:rsidRPr="00386F7D" w:rsidRDefault="00F4092B" w:rsidP="00F4092B">
      <w:pPr>
        <w:spacing w:line="480" w:lineRule="auto"/>
        <w:jc w:val="both"/>
        <w:rPr>
          <w:b/>
          <w:lang w:val="en-US"/>
        </w:rPr>
      </w:pPr>
    </w:p>
    <w:p w14:paraId="5A1101F7" w14:textId="77777777" w:rsidR="00F4092B" w:rsidRPr="00F55423" w:rsidRDefault="00F4092B" w:rsidP="00F4092B">
      <w:pPr>
        <w:spacing w:line="480" w:lineRule="auto"/>
        <w:jc w:val="both"/>
        <w:rPr>
          <w:b/>
          <w:i/>
          <w:lang w:val="en-US"/>
        </w:rPr>
      </w:pPr>
      <w:r>
        <w:rPr>
          <w:b/>
          <w:i/>
          <w:lang w:val="en-US"/>
        </w:rPr>
        <w:t>3.6.2 Preliminary sample analysis</w:t>
      </w:r>
    </w:p>
    <w:p w14:paraId="5985406A" w14:textId="1C71CA55" w:rsidR="00F4092B" w:rsidRDefault="00F4092B" w:rsidP="00F4092B">
      <w:pPr>
        <w:spacing w:line="480" w:lineRule="auto"/>
        <w:jc w:val="both"/>
        <w:rPr>
          <w:lang w:val="en-US"/>
        </w:rPr>
      </w:pPr>
      <w:r>
        <w:rPr>
          <w:lang w:val="en-US"/>
        </w:rPr>
        <w:t>The sample, made up by 58 universities, is analyzed considering two dimension of analysis: organizational structure and role of fundraising in the strategy. Both are investigated by three variables, as stated in the methodology paragraph. Relating to the first dimension, from the point of view of the organizational chart, the study highlights the lack of a structure that takes into consideration the fundraising process</w:t>
      </w:r>
      <w:r w:rsidR="00725B42">
        <w:rPr>
          <w:lang w:val="en-US"/>
        </w:rPr>
        <w:t xml:space="preserve"> (column “Org. Chart” in table 3.6</w:t>
      </w:r>
      <w:r>
        <w:rPr>
          <w:lang w:val="en-US"/>
        </w:rPr>
        <w:t xml:space="preserve">). Only 4 universities on 58 (7%) adopt an organizational chart comparable to that one illustrated in figure </w:t>
      </w:r>
      <w:r w:rsidR="003906F4">
        <w:rPr>
          <w:lang w:val="en-US"/>
        </w:rPr>
        <w:t>3.</w:t>
      </w:r>
      <w:r>
        <w:rPr>
          <w:lang w:val="en-US"/>
        </w:rPr>
        <w:t>3. From the perspective of academic leadership, 6 presidents out 58 (10%) have nominated a delegate, responsible for fundraising performan</w:t>
      </w:r>
      <w:r w:rsidR="00725B42">
        <w:rPr>
          <w:lang w:val="en-US"/>
        </w:rPr>
        <w:t>ce (column “Delegate” in table 3.6</w:t>
      </w:r>
      <w:r>
        <w:rPr>
          <w:lang w:val="en-US"/>
        </w:rPr>
        <w:t xml:space="preserve">). A different situation is linked to </w:t>
      </w:r>
      <w:r w:rsidR="004E75EF">
        <w:rPr>
          <w:lang w:val="en-US"/>
        </w:rPr>
        <w:t xml:space="preserve">the </w:t>
      </w:r>
      <w:r>
        <w:rPr>
          <w:lang w:val="en-US"/>
        </w:rPr>
        <w:t>presence of a fundraising professional staff (62%), which regards 36 universities o</w:t>
      </w:r>
      <w:r w:rsidR="00725B42">
        <w:rPr>
          <w:lang w:val="en-US"/>
        </w:rPr>
        <w:t>ut 58 (column “Staff” in table 3.6</w:t>
      </w:r>
      <w:r>
        <w:rPr>
          <w:lang w:val="en-US"/>
        </w:rPr>
        <w:t xml:space="preserve">). This organizational unit is dedicated to the research function support, both from the point of view of getting funds by applying to regional, national or European competition announcements and from reporting perspective. </w:t>
      </w:r>
    </w:p>
    <w:p w14:paraId="6804FA9F" w14:textId="508AD8DD" w:rsidR="00F4092B" w:rsidRDefault="00F4092B" w:rsidP="00F4092B">
      <w:pPr>
        <w:spacing w:line="480" w:lineRule="auto"/>
        <w:jc w:val="both"/>
        <w:rPr>
          <w:lang w:val="en-US"/>
        </w:rPr>
      </w:pPr>
      <w:r>
        <w:rPr>
          <w:lang w:val="en-US"/>
        </w:rPr>
        <w:t>Relating to the second dimension, 48 universi</w:t>
      </w:r>
      <w:r w:rsidR="002D17BD">
        <w:rPr>
          <w:lang w:val="en-US"/>
        </w:rPr>
        <w:t>ty’s official websites (72%) have</w:t>
      </w:r>
      <w:r>
        <w:rPr>
          <w:lang w:val="en-US"/>
        </w:rPr>
        <w:t xml:space="preserve"> a webpage (column “Website” in table </w:t>
      </w:r>
      <w:r w:rsidR="00725B42">
        <w:rPr>
          <w:lang w:val="en-US"/>
        </w:rPr>
        <w:t>3.6</w:t>
      </w:r>
      <w:r>
        <w:rPr>
          <w:lang w:val="en-US"/>
        </w:rPr>
        <w:t>), which is focused on fundraising. It contains all the information about private gifts, sponsorships, and bequests. In some cases, there is a summary of what the university has done with past donations and what is going to do with the new ones. The integrated long-term strategic plans include fundraising objectives in 43 institutions (74%) on 58 (co</w:t>
      </w:r>
      <w:r w:rsidR="00725B42">
        <w:rPr>
          <w:lang w:val="en-US"/>
        </w:rPr>
        <w:t>lumn “Strategic Plan” in table 3.6</w:t>
      </w:r>
      <w:r>
        <w:rPr>
          <w:lang w:val="en-US"/>
        </w:rPr>
        <w:t>): in most cases, these objectives are addressed to the research function, while in others are more general. Only 6 universities out 58 (10%) publish a social report every year (c</w:t>
      </w:r>
      <w:r w:rsidR="00725B42">
        <w:rPr>
          <w:lang w:val="en-US"/>
        </w:rPr>
        <w:t>olumn “Social Report” in table 3.6</w:t>
      </w:r>
      <w:r>
        <w:rPr>
          <w:lang w:val="en-US"/>
        </w:rPr>
        <w:t xml:space="preserve">). This data refers to 2015: it is important to underline that in the previous years some of the universities, which now do not use this document, used to provide it to their stakeholders. </w:t>
      </w:r>
    </w:p>
    <w:p w14:paraId="76745F4A" w14:textId="77777777" w:rsidR="00F4092B" w:rsidRPr="0028330E" w:rsidRDefault="00F4092B" w:rsidP="00F4092B">
      <w:pPr>
        <w:spacing w:line="480" w:lineRule="auto"/>
        <w:jc w:val="both"/>
        <w:rPr>
          <w:color w:val="FF0000"/>
          <w:lang w:val="en-US"/>
        </w:rPr>
      </w:pPr>
      <w:r>
        <w:rPr>
          <w:lang w:val="en-US"/>
        </w:rPr>
        <w:t>Hence, from the organizational capabilities perspective, the most important variable is fundraising professional staff (62% of the sample), whereas the other organizational factors are not significant. Besides, considering the role of fundraising in the university’s strategy, the presence of specific fundraising objectives in the integrated long-term strategic plans is considered pivotal.</w:t>
      </w:r>
      <w:r>
        <w:rPr>
          <w:color w:val="FF0000"/>
          <w:lang w:val="en-US"/>
        </w:rPr>
        <w:t xml:space="preserve"> </w:t>
      </w:r>
      <w:r>
        <w:rPr>
          <w:lang w:val="en-US"/>
        </w:rPr>
        <w:t>This is the reason why it is interesting to analyze them through content analysis methodology. Obviously, this analysis regards only those universities that included fundraising objectives in their plans (74% of the sample).</w:t>
      </w:r>
    </w:p>
    <w:p w14:paraId="697883AE" w14:textId="77777777" w:rsidR="00F4092B" w:rsidRPr="00B34A7F" w:rsidRDefault="00F4092B" w:rsidP="00F4092B">
      <w:pPr>
        <w:spacing w:line="480" w:lineRule="auto"/>
        <w:jc w:val="both"/>
        <w:rPr>
          <w:lang w:val="en-US"/>
        </w:rPr>
      </w:pPr>
    </w:p>
    <w:p w14:paraId="4F609655" w14:textId="77777777" w:rsidR="00F4092B" w:rsidRDefault="00F4092B" w:rsidP="00F4092B">
      <w:pPr>
        <w:spacing w:line="480" w:lineRule="auto"/>
        <w:jc w:val="both"/>
        <w:rPr>
          <w:b/>
          <w:i/>
          <w:lang w:val="en-US"/>
        </w:rPr>
      </w:pPr>
      <w:r>
        <w:rPr>
          <w:b/>
          <w:i/>
          <w:lang w:val="en-US"/>
        </w:rPr>
        <w:t xml:space="preserve">3.6.3 </w:t>
      </w:r>
      <w:r w:rsidRPr="00FB3944">
        <w:rPr>
          <w:b/>
          <w:i/>
          <w:lang w:val="en-US"/>
        </w:rPr>
        <w:t>Content Analysis results</w:t>
      </w:r>
    </w:p>
    <w:p w14:paraId="477418D7" w14:textId="7E67B070" w:rsidR="00F4092B" w:rsidRDefault="00F4092B" w:rsidP="00F4092B">
      <w:pPr>
        <w:spacing w:line="480" w:lineRule="auto"/>
        <w:jc w:val="both"/>
        <w:rPr>
          <w:noProof/>
          <w:lang w:val="en-US"/>
        </w:rPr>
      </w:pPr>
      <w:r w:rsidRPr="00187ABE">
        <w:rPr>
          <w:noProof/>
          <w:lang w:val="en-US"/>
        </w:rPr>
        <w:t>Content analysis considers 43 integrated long-term strategic plans. Even if the percentage of universities that provide a fundraising webpage is quite significant (72% of the preliminary analysis sample), the study prefers to focus on the strategic plans, because they provide programs for the future governance of the universities. Hence</w:t>
      </w:r>
      <w:r>
        <w:rPr>
          <w:noProof/>
          <w:lang w:val="en-US"/>
        </w:rPr>
        <w:t>, analyz</w:t>
      </w:r>
      <w:r w:rsidRPr="00187ABE">
        <w:rPr>
          <w:noProof/>
          <w:lang w:val="en-US"/>
        </w:rPr>
        <w:t xml:space="preserve">ing them, it is possible to understand which kind of policies </w:t>
      </w:r>
      <w:r>
        <w:rPr>
          <w:noProof/>
          <w:lang w:val="en-US"/>
        </w:rPr>
        <w:t xml:space="preserve">and strategy </w:t>
      </w:r>
      <w:r w:rsidR="008737E4">
        <w:rPr>
          <w:noProof/>
          <w:lang w:val="en-US"/>
        </w:rPr>
        <w:t>I</w:t>
      </w:r>
      <w:r w:rsidRPr="00187ABE">
        <w:rPr>
          <w:noProof/>
          <w:lang w:val="en-US"/>
        </w:rPr>
        <w:t xml:space="preserve">talian universities would like to adopt, considering the fundraising issue as more and more important to get their mission. </w:t>
      </w:r>
    </w:p>
    <w:p w14:paraId="4E4BA397" w14:textId="7A313C98" w:rsidR="00F4092B" w:rsidRDefault="00F4092B" w:rsidP="00F4092B">
      <w:pPr>
        <w:spacing w:line="480" w:lineRule="auto"/>
        <w:jc w:val="both"/>
        <w:rPr>
          <w:noProof/>
          <w:lang w:val="en-US"/>
        </w:rPr>
      </w:pPr>
      <w:r>
        <w:rPr>
          <w:noProof/>
          <w:lang w:val="en-US"/>
        </w:rPr>
        <w:t>The strategic plans have been analyzed according to the conent analysis methodology previously shown and considering the coding rules aforementioned. According this approach, each univeristy, whose plan was analyzed, is categorized as shown in Table 3</w:t>
      </w:r>
      <w:r w:rsidR="00725B42">
        <w:rPr>
          <w:noProof/>
          <w:lang w:val="en-US"/>
        </w:rPr>
        <w:t>.7</w:t>
      </w:r>
      <w:r>
        <w:rPr>
          <w:noProof/>
          <w:lang w:val="en-US"/>
        </w:rPr>
        <w:t xml:space="preserve">. </w:t>
      </w:r>
    </w:p>
    <w:p w14:paraId="589A27D2" w14:textId="6AE8A901" w:rsidR="00F4092B" w:rsidRDefault="00F4092B" w:rsidP="00F4092B">
      <w:pPr>
        <w:spacing w:line="480" w:lineRule="auto"/>
        <w:jc w:val="both"/>
        <w:rPr>
          <w:lang w:val="en-US"/>
        </w:rPr>
      </w:pPr>
      <w:r>
        <w:rPr>
          <w:lang w:val="en-US"/>
        </w:rPr>
        <w:t>The first category, “environmental forces”, includes 16 universities (37% of the sample): fundraising objectives are linked to inter-organizational relationships, cooperation and networking with external environment’s stakeholders, like other public institutions or private companies. 14% of the sample is categorized as “institutional forces” (6 universities): fundraising goals are shared throughout the organizational chart and levels. The decision-making process is based on</w:t>
      </w:r>
      <w:r w:rsidR="008737E4">
        <w:rPr>
          <w:lang w:val="en-US"/>
        </w:rPr>
        <w:t xml:space="preserve"> the</w:t>
      </w:r>
      <w:r>
        <w:rPr>
          <w:lang w:val="en-US"/>
        </w:rPr>
        <w:t xml:space="preserve"> strategic alignment, according to which fundraising objectives should be aligned to institutional goals and mission. Moreover, 8 universities out of 43 (19%) are included in the “role forces” category: academic leaders’ role should balance special interests and competing needs, which could arise in their relationships with boards of trustees and development officers. Eventually, 30% of the sample (13 universities) is categorized as “personal forces”: fundraising objectives are not based on institutional connections between universities’ presidents and external stakeholder. This means that fundraising objectives are linked to personal relationships and are based on the academic leaders’ influence on the professional fundraisers in the decision-making process. </w:t>
      </w:r>
    </w:p>
    <w:p w14:paraId="2CF699FA" w14:textId="77777777" w:rsidR="00F4092B" w:rsidRDefault="00F4092B" w:rsidP="00F4092B">
      <w:pPr>
        <w:spacing w:line="480" w:lineRule="auto"/>
        <w:jc w:val="both"/>
        <w:rPr>
          <w:lang w:val="en-US"/>
        </w:rPr>
      </w:pPr>
    </w:p>
    <w:p w14:paraId="0B7DDAE0" w14:textId="77777777" w:rsidR="00F4092B" w:rsidRPr="00E32D9C" w:rsidRDefault="00F4092B" w:rsidP="00F4092B">
      <w:pPr>
        <w:spacing w:line="480" w:lineRule="auto"/>
        <w:jc w:val="both"/>
        <w:rPr>
          <w:lang w:val="en-US"/>
        </w:rPr>
      </w:pPr>
      <w:r>
        <w:rPr>
          <w:b/>
          <w:lang w:val="en-US"/>
        </w:rPr>
        <w:t xml:space="preserve">3.7 Discussion </w:t>
      </w:r>
    </w:p>
    <w:p w14:paraId="764268B0" w14:textId="565EA052" w:rsidR="00F4092B" w:rsidRDefault="00F4092B" w:rsidP="00F4092B">
      <w:pPr>
        <w:spacing w:line="480" w:lineRule="auto"/>
        <w:jc w:val="both"/>
        <w:rPr>
          <w:lang w:val="en-US"/>
        </w:rPr>
      </w:pPr>
      <w:r>
        <w:rPr>
          <w:lang w:val="en-US"/>
        </w:rPr>
        <w:t>The theoretical framework considered and the models (figures 3</w:t>
      </w:r>
      <w:r w:rsidR="003906F4">
        <w:rPr>
          <w:lang w:val="en-US"/>
        </w:rPr>
        <w:t>.3</w:t>
      </w:r>
      <w:r>
        <w:rPr>
          <w:lang w:val="en-US"/>
        </w:rPr>
        <w:t xml:space="preserve"> and </w:t>
      </w:r>
      <w:r w:rsidR="003906F4">
        <w:rPr>
          <w:lang w:val="en-US"/>
        </w:rPr>
        <w:t>3.</w:t>
      </w:r>
      <w:r w:rsidR="002D6D99">
        <w:rPr>
          <w:lang w:val="en-US"/>
        </w:rPr>
        <w:t>4) delivered by this study</w:t>
      </w:r>
      <w:r>
        <w:rPr>
          <w:lang w:val="en-US"/>
        </w:rPr>
        <w:t xml:space="preserve"> underline the importance of organizational capabilities in order to achieve fundraising objectives. Moreover, fundraising is a process that needs an organizational structure characterized by integration, among different functions, and multidisciplinary competences (Stevick, 2010). Academic leaders have to be able to coordinate integration processes, in order to make the university’s structure aligned with its strategy and, so, with its mission.</w:t>
      </w:r>
    </w:p>
    <w:p w14:paraId="6CB7134F" w14:textId="77777777" w:rsidR="00F4092B" w:rsidRDefault="00F4092B" w:rsidP="00F4092B">
      <w:pPr>
        <w:spacing w:line="480" w:lineRule="auto"/>
        <w:jc w:val="both"/>
        <w:rPr>
          <w:lang w:val="en-US"/>
        </w:rPr>
      </w:pPr>
      <w:r>
        <w:rPr>
          <w:lang w:val="en-US"/>
        </w:rPr>
        <w:t xml:space="preserve">The preliminary sample analysis highlights the lack of these organizational capabilities in the Italian context. First of all, most of organizational charts (93%) are based only on functions and not on processes, making structure be quite rigid and not integrated. Moreover, academic leaders do not yet consider fundraising a managerial tool to achieve university’s mission, since most of them (90%) do not nominate delegates in charge of getting private gifts. From another perspective, presidents, deans and university’s top manager grasp the importance of fundraising function within the academic context, since 62% of the sample has a professional staff. Usually, these teams are dedicated to support the research function in terms of fundraising activities, rather than teaching and outreach. </w:t>
      </w:r>
    </w:p>
    <w:p w14:paraId="466CA2C7" w14:textId="07393AB7" w:rsidR="00F4092B" w:rsidRDefault="00F4092B" w:rsidP="00F4092B">
      <w:pPr>
        <w:spacing w:line="480" w:lineRule="auto"/>
        <w:jc w:val="both"/>
        <w:rPr>
          <w:lang w:val="en-US"/>
        </w:rPr>
      </w:pPr>
      <w:r>
        <w:rPr>
          <w:lang w:val="en-US"/>
        </w:rPr>
        <w:t>Anyway, higher education institutions need funds in order to carry out their activities and governments cannot ensure all the financial resources needed (Srnka et al., 2013; Drezner and Huehls, 2014). Academic leaders are aware of this situation and, again, this is witnessed by the preliminary sample analysis. A high percentage of websites (72%) provide</w:t>
      </w:r>
      <w:r w:rsidR="002D6D99">
        <w:rPr>
          <w:lang w:val="en-US"/>
        </w:rPr>
        <w:t>s</w:t>
      </w:r>
      <w:r>
        <w:rPr>
          <w:lang w:val="en-US"/>
        </w:rPr>
        <w:t xml:space="preserve"> quite punctual information about how to donate and the activities that need to be funded. Moreover, they summarize fundraising results (accountability) in terms of projects supported (Eckert and Pollack, 2000). Usually, these activities concern with the research function rather than the teaching or the outreach ones. This is confirmed also by the analysis, since most of integrated long-term strategic plans include fundraising objectives (74%) in order to get research aims, funding new projects and positions. A small percentage of sample’s universities (10%) use social reports as a tool of institutional communication with their stakeholders. This means that communication and relationships are not formally established, but are the result of personal efforts by academic leaders. This could be an issue, since individual relationships do not ensure a constant flow of private gifts (Hodson, 2010). In fact, there should be a balance between personal and formal links to the external environments (Chan, 2010). This is supported by the theoretical model (figure </w:t>
      </w:r>
      <w:r w:rsidR="003906F4">
        <w:rPr>
          <w:lang w:val="en-US"/>
        </w:rPr>
        <w:t>3.</w:t>
      </w:r>
      <w:r>
        <w:rPr>
          <w:lang w:val="en-US"/>
        </w:rPr>
        <w:t xml:space="preserve">4), which represents all the steps of the fundraising process, involving both organizational capabilities and trust and legitimacy. Social reports could be useful in order to get support and authorization from external environments (Chan, 2015), balancing all the forces involved. </w:t>
      </w:r>
    </w:p>
    <w:p w14:paraId="50AD877B" w14:textId="4BEEB330" w:rsidR="00F4092B" w:rsidRDefault="00F4092B" w:rsidP="00F4092B">
      <w:pPr>
        <w:spacing w:line="480" w:lineRule="auto"/>
        <w:jc w:val="both"/>
        <w:rPr>
          <w:lang w:val="en-US"/>
        </w:rPr>
      </w:pPr>
      <w:r>
        <w:rPr>
          <w:lang w:val="en-US"/>
        </w:rPr>
        <w:t xml:space="preserve">Deductive content analysis allows to categorize each integrated long-term strategic plans and, hence, universities (43) within the four areas represented in the theoretical model’s matrix (Figure </w:t>
      </w:r>
      <w:r w:rsidR="003906F4">
        <w:rPr>
          <w:lang w:val="en-US"/>
        </w:rPr>
        <w:t>3.</w:t>
      </w:r>
      <w:r>
        <w:rPr>
          <w:lang w:val="en-US"/>
        </w:rPr>
        <w:t xml:space="preserve">4). The analysis points out that most universities (37%) are categorized as “environmental forces”: this means that they are aware of their fundraising needs and assess strategic objectives considering both the organizational issues and the importance of trust and legitimacy’s role in and out of the university’s structure (Pfeffer and Salanicik, 1978; Chan, 2015). It is worthwhile to underline the fact that 30% of the strategic plans analyzed are included within “personal forces” area: these universities do not consider the importance of institutional relationships with external environment, focusing on </w:t>
      </w:r>
      <w:r w:rsidR="005A5825">
        <w:rPr>
          <w:lang w:val="en-US"/>
        </w:rPr>
        <w:t xml:space="preserve">the </w:t>
      </w:r>
      <w:r>
        <w:rPr>
          <w:lang w:val="en-US"/>
        </w:rPr>
        <w:t xml:space="preserve">internal ones. They concentrate on the role of academic leaders in influencing the decision-making process of the professional fundraising staff, rather than establishing internal connections based on trust and legitimacy (Hodson, 2010; Chan, 2015). Furthermore, universities categorized as “institutional forces” are 6 (14%): fundraising objectives are strategically aligned with the institutional mission. Moreover, “role forces” area includes 19% of the universities (8): fundraising success is based on the academic leaders relationships with the board of trustees and development officers. These connections are based on trust and legitimacy among the internal actors (Moore, 1995; Moore, 2000; Moore, 2003).  </w:t>
      </w:r>
    </w:p>
    <w:p w14:paraId="2C3355B2" w14:textId="30684893" w:rsidR="00F4092B" w:rsidRDefault="00F4092B" w:rsidP="00F4092B">
      <w:pPr>
        <w:spacing w:line="480" w:lineRule="auto"/>
        <w:jc w:val="both"/>
        <w:rPr>
          <w:lang w:val="en-US"/>
        </w:rPr>
      </w:pPr>
      <w:r>
        <w:rPr>
          <w:lang w:val="en-US"/>
        </w:rPr>
        <w:t>The content analysis results points out that 19 out of 43 universities (44%) state explicit fundraising objectives, using the word “fundraising” even in the Italian written strategic plans. This reflects the importance of considering fundraising as a strategic activity and process, which is able to support university’s strategy. The latter, on the other hand, include</w:t>
      </w:r>
      <w:r w:rsidR="00E703BA">
        <w:rPr>
          <w:lang w:val="en-US"/>
        </w:rPr>
        <w:t>s</w:t>
      </w:r>
      <w:r>
        <w:rPr>
          <w:lang w:val="en-US"/>
        </w:rPr>
        <w:t xml:space="preserve"> the former as one of the most important objective in order to get the institutional mission, but not as a managerial tool. In fact, only 14% of the universities are categorized as “institutional forces”, hence showing the lack of those organizational capabilities that are crucial to develop an organizational chart consistent with the fundraising process (Hodson, 2010; Stevick, 2010). Moreover, fundraising effectiveness is linked to organizational capabilities like the presence of an organizational chart consistent with the fundraising process, the nomination of a fundraising delegate, the constitution of a fundraising professional function and the strategic alignment in the decision making-process. The analysis underlines the lack of these organizat</w:t>
      </w:r>
      <w:r w:rsidR="00E703BA">
        <w:rPr>
          <w:lang w:val="en-US"/>
        </w:rPr>
        <w:t>ional capabilities: only 7% has</w:t>
      </w:r>
      <w:r>
        <w:rPr>
          <w:lang w:val="en-US"/>
        </w:rPr>
        <w:t xml:space="preserve"> a process-based organizational chart and 10% have a delegate. On the other hand, 62% has a professional fundraising staff, which, however, is linked only with the research function. Finally, the decision-making process is not strategically aligned: only 14% is “institutional forces” categorized, whereas 19% is included under “role forces” category and 30% under “personal forces” one. The “environmental forces” category includes 37% of the sample, reflecting the organizational capabilities previously stated. However, this category is mainly focused on those organizational capabilities associated with the relationships with the external environment and stakeholders (Moore, 1995; Moore, 2000; Moore, 2003; Chan; 2015). </w:t>
      </w:r>
    </w:p>
    <w:p w14:paraId="3868CE1D" w14:textId="75B3C841" w:rsidR="00E95E7D" w:rsidRDefault="00B757E6" w:rsidP="00F4092B">
      <w:pPr>
        <w:spacing w:line="480" w:lineRule="auto"/>
        <w:jc w:val="both"/>
        <w:rPr>
          <w:lang w:val="en-US"/>
        </w:rPr>
      </w:pPr>
      <w:r>
        <w:rPr>
          <w:lang w:val="en-US"/>
        </w:rPr>
        <w:t xml:space="preserve">The situation previously shown and discussed is also linked to the cost-benefit-ratios analysis, which is often perceived as negative by academic leaders and managers. In fact, the assumption stated in the theoretical background of this chapter, according to which fundraising has to be a priority for university’s officials, is not fully supported by the evidences of this chapter. This is proved by the fact that 30% of the sample is categorized as “personal forces”, since most relationships with external stakeholders are based firstly on reciprocal trust in people that belong to the university’s organization. </w:t>
      </w:r>
      <w:r w:rsidR="000145CE">
        <w:rPr>
          <w:lang w:val="en-US"/>
        </w:rPr>
        <w:t>Hence, these relationship</w:t>
      </w:r>
      <w:r w:rsidR="00BF2BAB">
        <w:rPr>
          <w:lang w:val="en-US"/>
        </w:rPr>
        <w:t xml:space="preserve">s are designed as personal ones, linked to individuals rather than to the institution. However, the fact that 37% of the sample is categorized as “environmental forces” witnesses that universities are changing their approach to fundraising as a process. </w:t>
      </w:r>
      <w:r w:rsidR="00A869A9">
        <w:rPr>
          <w:lang w:val="en-US"/>
        </w:rPr>
        <w:t xml:space="preserve">Therefore, universities prefer adopting flexible organizational charts (organization capacity) and enhancing institutional relationships (trust and legitimacy in the university as an institution). Then, </w:t>
      </w:r>
      <w:r w:rsidR="00FE61E8">
        <w:rPr>
          <w:lang w:val="en-US"/>
        </w:rPr>
        <w:t>the relating future scenario is expected to change: from “personal forces” to “environmental” ones</w:t>
      </w:r>
      <w:r w:rsidR="00CA4AB9">
        <w:rPr>
          <w:lang w:val="en-US"/>
        </w:rPr>
        <w:t>, passing from “role” and “institutional forces”. Hence, in the future a growing organizational capability by academic leaders and managers will be desirable, together with relationships base</w:t>
      </w:r>
      <w:r w:rsidR="005F47BA">
        <w:rPr>
          <w:lang w:val="en-US"/>
        </w:rPr>
        <w:t>d</w:t>
      </w:r>
      <w:r w:rsidR="00CA4AB9">
        <w:rPr>
          <w:lang w:val="en-US"/>
        </w:rPr>
        <w:t xml:space="preserve"> on trust in the university as an institution legitimized by the value that it wants to create for its internal and external stakeholders.</w:t>
      </w:r>
      <w:r w:rsidR="00ED4FCE">
        <w:rPr>
          <w:lang w:val="en-US"/>
        </w:rPr>
        <w:t xml:space="preserve"> Finally, the analysis of the fundraising cost-benefit-ratios will become more and more positive, since fundraising is a strategic process for value creation not only for the money gathered, but also for all its “indirect benefits”, such as communication of universities values to the whole society and advertising of the university itself. These are the reasons why universities’ leaders have to i</w:t>
      </w:r>
      <w:r w:rsidR="0099408F">
        <w:rPr>
          <w:lang w:val="en-US"/>
        </w:rPr>
        <w:t xml:space="preserve">nvest in fundraising activities, not considering “euros got for euros spent in fundraising” as the only one performance metric. </w:t>
      </w:r>
    </w:p>
    <w:p w14:paraId="486B699A" w14:textId="77777777" w:rsidR="00F4092B" w:rsidRDefault="00F4092B" w:rsidP="00F4092B">
      <w:pPr>
        <w:spacing w:line="480" w:lineRule="auto"/>
        <w:jc w:val="both"/>
        <w:rPr>
          <w:lang w:val="en-US"/>
        </w:rPr>
      </w:pPr>
    </w:p>
    <w:p w14:paraId="5BBF0DEA" w14:textId="77777777" w:rsidR="00F4092B" w:rsidRDefault="00F4092B" w:rsidP="00F4092B">
      <w:pPr>
        <w:spacing w:line="480" w:lineRule="auto"/>
        <w:jc w:val="both"/>
        <w:rPr>
          <w:b/>
          <w:lang w:val="en-US"/>
        </w:rPr>
      </w:pPr>
      <w:r>
        <w:rPr>
          <w:b/>
          <w:lang w:val="en-US"/>
        </w:rPr>
        <w:t>3.8 Conclusion</w:t>
      </w:r>
    </w:p>
    <w:p w14:paraId="4B85A319" w14:textId="0715CD56" w:rsidR="00F4092B" w:rsidRPr="003F5A91" w:rsidRDefault="00F4092B" w:rsidP="00F4092B">
      <w:pPr>
        <w:spacing w:line="480" w:lineRule="auto"/>
        <w:jc w:val="both"/>
        <w:rPr>
          <w:lang w:val="en-US"/>
        </w:rPr>
      </w:pPr>
      <w:r>
        <w:rPr>
          <w:lang w:val="en-US"/>
        </w:rPr>
        <w:t>From the theoretical point of view, t</w:t>
      </w:r>
      <w:r w:rsidRPr="003F5A91">
        <w:rPr>
          <w:lang w:val="en-US"/>
        </w:rPr>
        <w:t xml:space="preserve">he paper highlights how fundraising effectiveness depends on commitment of University’s government and on organizational capabilities developed by University. </w:t>
      </w:r>
      <w:r>
        <w:rPr>
          <w:lang w:val="en-US"/>
        </w:rPr>
        <w:t xml:space="preserve">A governmental institution creates public value if it realizes its mission (Moore, 2000): for a public higher education institution it means that it has to carry out its functions (research, teaching and outreach) and this is the reason why public value is in the center of the diagrammatic representation (figure </w:t>
      </w:r>
      <w:r w:rsidR="003906F4">
        <w:rPr>
          <w:lang w:val="en-US"/>
        </w:rPr>
        <w:t>3.</w:t>
      </w:r>
      <w:r>
        <w:rPr>
          <w:lang w:val="en-US"/>
        </w:rPr>
        <w:t>4). Being increasingly lacking the governmental financial support, universities are calling for private funding, in order to ensure their services. Moreover, the empirical analysis highlights the fundraising’s strategic role in backing up universities’ functions, especially research (Hodson, 2010; Chan, 2015). Furthermore, the Italian public higher education is focused on getting funds from regional, national or European competitive announcements, rather than asking for private support. Besides, this lack of fundraising culture is witnessed also by the scarce presence of alumni boards in the Italian public universities. Alumni boards are pivotal to plan and assess a successful fundraising campaign (Hodson, 2010; Stevick, 2010).</w:t>
      </w:r>
    </w:p>
    <w:p w14:paraId="60CECECC" w14:textId="77777777" w:rsidR="00F4092B" w:rsidRDefault="00F4092B" w:rsidP="00F4092B">
      <w:pPr>
        <w:spacing w:line="480" w:lineRule="auto"/>
        <w:jc w:val="both"/>
        <w:rPr>
          <w:lang w:val="en-US"/>
        </w:rPr>
      </w:pPr>
      <w:r>
        <w:rPr>
          <w:lang w:val="en-US"/>
        </w:rPr>
        <w:t>From the organizational capacity perspective, p</w:t>
      </w:r>
      <w:r w:rsidRPr="00B377E8">
        <w:rPr>
          <w:lang w:val="en-US"/>
        </w:rPr>
        <w:t>ublic universities need strategic alignment to ensure that strategic management is carrying out strategic plans, being coherent with the strategy (Kaplan and Norton, 2006; Chan, 2015).</w:t>
      </w:r>
      <w:r w:rsidRPr="009C2EB9">
        <w:rPr>
          <w:color w:val="FF0000"/>
          <w:lang w:val="en-US"/>
        </w:rPr>
        <w:t xml:space="preserve"> </w:t>
      </w:r>
      <w:r w:rsidRPr="00143D8D">
        <w:rPr>
          <w:lang w:val="en-US"/>
        </w:rPr>
        <w:t>From this point of view the Italian academic sector is not mature enough: organizational structures must be less rigid and more reactive to fundraising process, encouraging integration and adopting a multidisciplinary approach</w:t>
      </w:r>
      <w:r>
        <w:rPr>
          <w:lang w:val="en-US"/>
        </w:rPr>
        <w:t xml:space="preserve"> (Stevick, 2010)</w:t>
      </w:r>
      <w:r w:rsidRPr="00143D8D">
        <w:rPr>
          <w:lang w:val="en-US"/>
        </w:rPr>
        <w:t>.</w:t>
      </w:r>
      <w:r w:rsidRPr="009C2EB9">
        <w:rPr>
          <w:color w:val="FF0000"/>
          <w:lang w:val="en-US"/>
        </w:rPr>
        <w:t xml:space="preserve"> </w:t>
      </w:r>
      <w:r w:rsidRPr="00143D8D">
        <w:rPr>
          <w:lang w:val="en-US"/>
        </w:rPr>
        <w:t>Moreover, accountability tools, as social reports, should be adopted to incre</w:t>
      </w:r>
      <w:r>
        <w:rPr>
          <w:lang w:val="en-US"/>
        </w:rPr>
        <w:t>ase support and authorization from</w:t>
      </w:r>
      <w:r w:rsidRPr="00143D8D">
        <w:rPr>
          <w:lang w:val="en-US"/>
        </w:rPr>
        <w:t xml:space="preserve"> the external stakeholders</w:t>
      </w:r>
      <w:r>
        <w:rPr>
          <w:lang w:val="en-US"/>
        </w:rPr>
        <w:t xml:space="preserve"> (Moore, 1995; Moore 2000; Moore, 2003)</w:t>
      </w:r>
      <w:r w:rsidRPr="00143D8D">
        <w:rPr>
          <w:lang w:val="en-US"/>
        </w:rPr>
        <w:t xml:space="preserve">. </w:t>
      </w:r>
    </w:p>
    <w:p w14:paraId="77671B67" w14:textId="48820A30" w:rsidR="00CD786D" w:rsidRPr="00FA634D" w:rsidRDefault="00F4092B" w:rsidP="00F4092B">
      <w:pPr>
        <w:spacing w:line="480" w:lineRule="auto"/>
        <w:jc w:val="both"/>
        <w:rPr>
          <w:lang w:val="en-US"/>
        </w:rPr>
      </w:pPr>
      <w:r>
        <w:rPr>
          <w:lang w:val="en-US"/>
        </w:rPr>
        <w:t xml:space="preserve">This research is an analysis of the state of the art of the Italian public higher education context, in terms of fundraising role in strategic planning and management. It is an exploratory and qualitative study, which could be further investigated through quantitative analysis. It would be interesting to examine in depth the relationship between fundraising objectives and universities organizational size (number of students) or the geographical areas where the universities are located. Besides, a quantitative content analysis of integrated long-term strategic plans (or other strategic planning documents) could be useful to assess results got by this research (Krippendorff, 2004a; Krippendorff, 2004b; Krippendorff, 2004c). </w:t>
      </w:r>
    </w:p>
    <w:p w14:paraId="2D814B42" w14:textId="77777777" w:rsidR="00CB7F89" w:rsidRDefault="00CB7F89" w:rsidP="00F4092B">
      <w:pPr>
        <w:spacing w:line="480" w:lineRule="auto"/>
        <w:jc w:val="both"/>
        <w:rPr>
          <w:b/>
          <w:lang w:val="en-US"/>
        </w:rPr>
      </w:pPr>
    </w:p>
    <w:p w14:paraId="5430F77F" w14:textId="77777777" w:rsidR="00CB7F89" w:rsidRDefault="00CB7F89" w:rsidP="00F4092B">
      <w:pPr>
        <w:spacing w:line="480" w:lineRule="auto"/>
        <w:jc w:val="both"/>
        <w:rPr>
          <w:b/>
          <w:lang w:val="en-US"/>
        </w:rPr>
      </w:pPr>
    </w:p>
    <w:p w14:paraId="0423C663" w14:textId="66FE4243" w:rsidR="00F4092B" w:rsidRDefault="006B02B0" w:rsidP="00F4092B">
      <w:pPr>
        <w:spacing w:line="480" w:lineRule="auto"/>
        <w:jc w:val="both"/>
        <w:rPr>
          <w:b/>
          <w:lang w:val="en-US"/>
        </w:rPr>
      </w:pPr>
      <w:r>
        <w:rPr>
          <w:noProof/>
          <w:lang w:eastAsia="it-IT" w:bidi="ar-SA"/>
        </w:rPr>
        <w:drawing>
          <wp:anchor distT="0" distB="0" distL="114300" distR="114300" simplePos="0" relativeHeight="251665408" behindDoc="0" locked="0" layoutInCell="1" allowOverlap="1" wp14:anchorId="75EBE0F4" wp14:editId="4340FA80">
            <wp:simplePos x="0" y="0"/>
            <wp:positionH relativeFrom="margin">
              <wp:posOffset>1714500</wp:posOffset>
            </wp:positionH>
            <wp:positionV relativeFrom="margin">
              <wp:posOffset>342900</wp:posOffset>
            </wp:positionV>
            <wp:extent cx="2286000" cy="3073400"/>
            <wp:effectExtent l="76200" t="76200" r="152400" b="152400"/>
            <wp:wrapSquare wrapText="bothSides"/>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oore (2003).pdf"/>
                    <pic:cNvPicPr/>
                  </pic:nvPicPr>
                  <pic:blipFill rotWithShape="1">
                    <a:blip r:embed="rId15">
                      <a:extLst>
                        <a:ext uri="{28A0092B-C50C-407E-A947-70E740481C1C}">
                          <a14:useLocalDpi xmlns:a14="http://schemas.microsoft.com/office/drawing/2010/main" val="0"/>
                        </a:ext>
                      </a:extLst>
                    </a:blip>
                    <a:srcRect l="17721" t="28564" r="18322" b="10678"/>
                    <a:stretch/>
                  </pic:blipFill>
                  <pic:spPr bwMode="auto">
                    <a:xfrm>
                      <a:off x="0" y="0"/>
                      <a:ext cx="2286000" cy="30734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V relativeFrom="margin">
              <wp14:pctHeight>0</wp14:pctHeight>
            </wp14:sizeRelV>
          </wp:anchor>
        </w:drawing>
      </w:r>
      <w:r w:rsidR="00F4092B">
        <w:rPr>
          <w:b/>
          <w:lang w:val="en-US"/>
        </w:rPr>
        <w:t>3.9. Tables and Figures</w:t>
      </w:r>
    </w:p>
    <w:p w14:paraId="6C65CAFB" w14:textId="44E381FB" w:rsidR="00F4092B" w:rsidRPr="00F4092B" w:rsidRDefault="00F4092B" w:rsidP="00F4092B">
      <w:pPr>
        <w:spacing w:line="480" w:lineRule="auto"/>
        <w:jc w:val="both"/>
        <w:rPr>
          <w:lang w:val="en-US"/>
        </w:rPr>
      </w:pPr>
    </w:p>
    <w:p w14:paraId="1CBDA92B" w14:textId="24A52DFB" w:rsidR="006E0F7E" w:rsidRPr="0085360C" w:rsidRDefault="006E0F7E" w:rsidP="00F4092B">
      <w:pPr>
        <w:spacing w:line="480" w:lineRule="auto"/>
        <w:jc w:val="both"/>
        <w:rPr>
          <w:b/>
          <w:lang w:val="en-US"/>
        </w:rPr>
      </w:pPr>
    </w:p>
    <w:p w14:paraId="6E785D5F" w14:textId="0C1CDD5F" w:rsidR="0085360C" w:rsidRPr="00EC2B7F" w:rsidRDefault="0085360C" w:rsidP="00F4092B">
      <w:pPr>
        <w:spacing w:line="480" w:lineRule="auto"/>
        <w:jc w:val="center"/>
        <w:rPr>
          <w:b/>
          <w:lang w:val="en-US"/>
        </w:rPr>
      </w:pPr>
    </w:p>
    <w:p w14:paraId="08EA17B8" w14:textId="1BEDBA06" w:rsidR="0085360C" w:rsidRDefault="0085360C" w:rsidP="0036540B">
      <w:pPr>
        <w:spacing w:line="480" w:lineRule="auto"/>
        <w:rPr>
          <w:lang w:val="en-US"/>
        </w:rPr>
      </w:pPr>
    </w:p>
    <w:p w14:paraId="29F70DD8" w14:textId="77777777" w:rsidR="00F4092B" w:rsidRDefault="00F4092B" w:rsidP="0036540B">
      <w:pPr>
        <w:spacing w:line="480" w:lineRule="auto"/>
        <w:rPr>
          <w:lang w:val="en-US"/>
        </w:rPr>
      </w:pPr>
    </w:p>
    <w:p w14:paraId="05DAE46D" w14:textId="77777777" w:rsidR="00F4092B" w:rsidRDefault="00F4092B" w:rsidP="0036540B">
      <w:pPr>
        <w:spacing w:line="480" w:lineRule="auto"/>
        <w:rPr>
          <w:lang w:val="en-US"/>
        </w:rPr>
      </w:pPr>
    </w:p>
    <w:p w14:paraId="3979CB9E" w14:textId="77777777" w:rsidR="00F4092B" w:rsidRDefault="00F4092B" w:rsidP="0036540B">
      <w:pPr>
        <w:spacing w:line="480" w:lineRule="auto"/>
        <w:rPr>
          <w:lang w:val="en-US"/>
        </w:rPr>
      </w:pPr>
    </w:p>
    <w:p w14:paraId="108531B6" w14:textId="77777777" w:rsidR="00F4092B" w:rsidRDefault="00F4092B" w:rsidP="0036540B">
      <w:pPr>
        <w:spacing w:line="480" w:lineRule="auto"/>
        <w:rPr>
          <w:lang w:val="en-US"/>
        </w:rPr>
      </w:pPr>
    </w:p>
    <w:p w14:paraId="60D0C744" w14:textId="77777777" w:rsidR="00F4092B" w:rsidRDefault="00F4092B" w:rsidP="0036540B">
      <w:pPr>
        <w:spacing w:line="480" w:lineRule="auto"/>
        <w:rPr>
          <w:lang w:val="en-US"/>
        </w:rPr>
      </w:pPr>
    </w:p>
    <w:p w14:paraId="2ED6EB80" w14:textId="77777777" w:rsidR="006B02B0" w:rsidRDefault="006B02B0" w:rsidP="00F4092B">
      <w:pPr>
        <w:spacing w:line="480" w:lineRule="auto"/>
        <w:jc w:val="both"/>
        <w:rPr>
          <w:lang w:val="en-US"/>
        </w:rPr>
      </w:pPr>
    </w:p>
    <w:p w14:paraId="051FF6AE" w14:textId="56668782" w:rsidR="00F4092B" w:rsidRPr="00472B6B" w:rsidRDefault="00F4092B" w:rsidP="00F4092B">
      <w:pPr>
        <w:spacing w:line="480" w:lineRule="auto"/>
        <w:jc w:val="both"/>
        <w:rPr>
          <w:lang w:val="en-US"/>
        </w:rPr>
      </w:pPr>
      <w:r w:rsidRPr="00472B6B">
        <w:rPr>
          <w:lang w:val="en-US"/>
        </w:rPr>
        <w:t>Figure 3.1: Public Value Framework for Accountability and Performance Management (Moore, 2003, p. 23).</w:t>
      </w:r>
    </w:p>
    <w:p w14:paraId="425EAE65" w14:textId="77777777" w:rsidR="00F4092B" w:rsidRDefault="00F4092B" w:rsidP="0036540B">
      <w:pPr>
        <w:spacing w:line="480" w:lineRule="auto"/>
        <w:rPr>
          <w:lang w:val="en-US"/>
        </w:rPr>
      </w:pPr>
    </w:p>
    <w:p w14:paraId="16F135B5" w14:textId="77777777" w:rsidR="006B02B0" w:rsidRDefault="006B02B0" w:rsidP="0036540B">
      <w:pPr>
        <w:spacing w:line="480" w:lineRule="auto"/>
        <w:rPr>
          <w:lang w:val="en-US"/>
        </w:rPr>
      </w:pPr>
    </w:p>
    <w:p w14:paraId="3EA629CF" w14:textId="77777777" w:rsidR="006B02B0" w:rsidRDefault="006B02B0" w:rsidP="0036540B">
      <w:pPr>
        <w:spacing w:line="480" w:lineRule="auto"/>
        <w:rPr>
          <w:lang w:val="en-US"/>
        </w:rPr>
      </w:pPr>
    </w:p>
    <w:p w14:paraId="079EC7DD" w14:textId="77777777" w:rsidR="006B02B0" w:rsidRDefault="006B02B0" w:rsidP="0036540B">
      <w:pPr>
        <w:spacing w:line="480" w:lineRule="auto"/>
        <w:rPr>
          <w:lang w:val="en-US"/>
        </w:rPr>
      </w:pPr>
    </w:p>
    <w:p w14:paraId="71661EB5" w14:textId="77777777" w:rsidR="006B02B0" w:rsidRDefault="006B02B0" w:rsidP="0036540B">
      <w:pPr>
        <w:spacing w:line="480" w:lineRule="auto"/>
        <w:rPr>
          <w:lang w:val="en-US"/>
        </w:rPr>
      </w:pPr>
    </w:p>
    <w:p w14:paraId="75B4F325" w14:textId="77777777" w:rsidR="006B02B0" w:rsidRDefault="006B02B0" w:rsidP="0036540B">
      <w:pPr>
        <w:spacing w:line="480" w:lineRule="auto"/>
        <w:rPr>
          <w:lang w:val="en-US"/>
        </w:rPr>
      </w:pPr>
    </w:p>
    <w:p w14:paraId="39E0DA23" w14:textId="77777777" w:rsidR="006B02B0" w:rsidRDefault="006B02B0" w:rsidP="0036540B">
      <w:pPr>
        <w:spacing w:line="480" w:lineRule="auto"/>
        <w:rPr>
          <w:lang w:val="en-US"/>
        </w:rPr>
      </w:pPr>
    </w:p>
    <w:p w14:paraId="021D48C2" w14:textId="77777777" w:rsidR="006B02B0" w:rsidRDefault="006B02B0" w:rsidP="0036540B">
      <w:pPr>
        <w:spacing w:line="480" w:lineRule="auto"/>
        <w:rPr>
          <w:lang w:val="en-US"/>
        </w:rPr>
      </w:pPr>
    </w:p>
    <w:p w14:paraId="387CFE5D" w14:textId="77777777" w:rsidR="006B02B0" w:rsidRDefault="006B02B0" w:rsidP="0036540B">
      <w:pPr>
        <w:spacing w:line="480" w:lineRule="auto"/>
        <w:rPr>
          <w:lang w:val="en-US"/>
        </w:rPr>
      </w:pPr>
    </w:p>
    <w:p w14:paraId="2E36FEFE" w14:textId="77777777" w:rsidR="006B02B0" w:rsidRDefault="006B02B0" w:rsidP="0036540B">
      <w:pPr>
        <w:spacing w:line="480" w:lineRule="auto"/>
        <w:rPr>
          <w:lang w:val="en-US"/>
        </w:rPr>
      </w:pPr>
    </w:p>
    <w:p w14:paraId="0EE13283" w14:textId="77777777" w:rsidR="006B02B0" w:rsidRDefault="006B02B0" w:rsidP="0036540B">
      <w:pPr>
        <w:spacing w:line="480" w:lineRule="auto"/>
        <w:rPr>
          <w:lang w:val="en-US"/>
        </w:rPr>
      </w:pPr>
    </w:p>
    <w:p w14:paraId="705B9611" w14:textId="77777777" w:rsidR="006B02B0" w:rsidRDefault="006B02B0" w:rsidP="0036540B">
      <w:pPr>
        <w:spacing w:line="480" w:lineRule="auto"/>
        <w:rPr>
          <w:lang w:val="en-US"/>
        </w:rPr>
      </w:pPr>
    </w:p>
    <w:p w14:paraId="7B9ADABA" w14:textId="77777777" w:rsidR="006B02B0" w:rsidRDefault="006B02B0" w:rsidP="0036540B">
      <w:pPr>
        <w:spacing w:line="480" w:lineRule="auto"/>
        <w:rPr>
          <w:lang w:val="en-US"/>
        </w:rPr>
      </w:pPr>
    </w:p>
    <w:p w14:paraId="17EC35BC" w14:textId="20D81194" w:rsidR="006B02B0" w:rsidRDefault="006B02B0" w:rsidP="006B02B0">
      <w:pPr>
        <w:spacing w:line="480" w:lineRule="auto"/>
        <w:jc w:val="both"/>
        <w:rPr>
          <w:sz w:val="22"/>
          <w:szCs w:val="22"/>
          <w:lang w:val="en-US"/>
        </w:rPr>
      </w:pPr>
      <w:r>
        <w:rPr>
          <w:noProof/>
          <w:lang w:eastAsia="it-IT" w:bidi="ar-SA"/>
        </w:rPr>
        <w:drawing>
          <wp:anchor distT="0" distB="0" distL="114300" distR="114300" simplePos="0" relativeHeight="251667456" behindDoc="0" locked="0" layoutInCell="1" allowOverlap="1" wp14:anchorId="17DDA04D" wp14:editId="03E12684">
            <wp:simplePos x="0" y="0"/>
            <wp:positionH relativeFrom="margin">
              <wp:posOffset>276860</wp:posOffset>
            </wp:positionH>
            <wp:positionV relativeFrom="margin">
              <wp:posOffset>304800</wp:posOffset>
            </wp:positionV>
            <wp:extent cx="5359400" cy="3810000"/>
            <wp:effectExtent l="76200" t="76200" r="152400" b="152400"/>
            <wp:wrapSquare wrapText="bothSides"/>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udying_Philanthropy_and_Fundraising_in (2016).pdf"/>
                    <pic:cNvPicPr/>
                  </pic:nvPicPr>
                  <pic:blipFill>
                    <a:blip r:embed="rId16">
                      <a:extLst>
                        <a:ext uri="{28A0092B-C50C-407E-A947-70E740481C1C}">
                          <a14:useLocalDpi xmlns:a14="http://schemas.microsoft.com/office/drawing/2010/main" val="0"/>
                        </a:ext>
                      </a:extLst>
                    </a:blip>
                    <a:stretch>
                      <a:fillRect/>
                    </a:stretch>
                  </pic:blipFill>
                  <pic:spPr>
                    <a:xfrm>
                      <a:off x="0" y="0"/>
                      <a:ext cx="5359400" cy="381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V relativeFrom="margin">
              <wp14:pctHeight>0</wp14:pctHeight>
            </wp14:sizeRelV>
          </wp:anchor>
        </w:drawing>
      </w:r>
    </w:p>
    <w:p w14:paraId="06154FAA" w14:textId="22B89276" w:rsidR="006B02B0" w:rsidRPr="00472B6B" w:rsidRDefault="006B02B0" w:rsidP="006B02B0">
      <w:pPr>
        <w:spacing w:line="480" w:lineRule="auto"/>
        <w:jc w:val="both"/>
        <w:rPr>
          <w:lang w:val="en-US"/>
        </w:rPr>
      </w:pPr>
      <w:r w:rsidRPr="00472B6B">
        <w:rPr>
          <w:lang w:val="en-US"/>
        </w:rPr>
        <w:t>Figure 3.2: Conceptual model for research in higher education philanthropy: inter-organizational relations between higher education organizations and pri</w:t>
      </w:r>
      <w:r w:rsidR="001B67B4">
        <w:rPr>
          <w:lang w:val="en-US"/>
        </w:rPr>
        <w:t>vate funders in the context of Resource Dependence T</w:t>
      </w:r>
      <w:r w:rsidRPr="00472B6B">
        <w:rPr>
          <w:lang w:val="en-US"/>
        </w:rPr>
        <w:t>heory (Chan, 2015, p. 9).</w:t>
      </w:r>
    </w:p>
    <w:p w14:paraId="7EC60D0C" w14:textId="64AECC14" w:rsidR="006B02B0" w:rsidRPr="00472B6B" w:rsidRDefault="006B02B0" w:rsidP="0036540B">
      <w:pPr>
        <w:spacing w:line="480" w:lineRule="auto"/>
        <w:rPr>
          <w:lang w:val="en-US"/>
        </w:rPr>
      </w:pPr>
    </w:p>
    <w:p w14:paraId="499327B1" w14:textId="77777777" w:rsidR="00CD786D" w:rsidRDefault="00CD786D" w:rsidP="0036540B">
      <w:pPr>
        <w:spacing w:line="480" w:lineRule="auto"/>
        <w:rPr>
          <w:lang w:val="en-US"/>
        </w:rPr>
      </w:pPr>
    </w:p>
    <w:p w14:paraId="2D669315" w14:textId="77777777" w:rsidR="00CD786D" w:rsidRDefault="00CD786D" w:rsidP="0036540B">
      <w:pPr>
        <w:spacing w:line="480" w:lineRule="auto"/>
        <w:rPr>
          <w:lang w:val="en-US"/>
        </w:rPr>
      </w:pPr>
    </w:p>
    <w:p w14:paraId="5325680A" w14:textId="77777777" w:rsidR="00CD786D" w:rsidRDefault="00CD786D" w:rsidP="0036540B">
      <w:pPr>
        <w:spacing w:line="480" w:lineRule="auto"/>
        <w:rPr>
          <w:lang w:val="en-US"/>
        </w:rPr>
      </w:pPr>
    </w:p>
    <w:p w14:paraId="5D15388C" w14:textId="77777777" w:rsidR="00CD786D" w:rsidRDefault="00CD786D" w:rsidP="0036540B">
      <w:pPr>
        <w:spacing w:line="480" w:lineRule="auto"/>
        <w:rPr>
          <w:lang w:val="en-US"/>
        </w:rPr>
      </w:pPr>
    </w:p>
    <w:p w14:paraId="122748CD" w14:textId="77777777" w:rsidR="00CD786D" w:rsidRDefault="00CD786D" w:rsidP="0036540B">
      <w:pPr>
        <w:spacing w:line="480" w:lineRule="auto"/>
        <w:rPr>
          <w:lang w:val="en-US"/>
        </w:rPr>
      </w:pPr>
    </w:p>
    <w:p w14:paraId="08209035" w14:textId="77777777" w:rsidR="00CD786D" w:rsidRDefault="00CD786D" w:rsidP="0036540B">
      <w:pPr>
        <w:spacing w:line="480" w:lineRule="auto"/>
        <w:rPr>
          <w:lang w:val="en-US"/>
        </w:rPr>
      </w:pPr>
    </w:p>
    <w:p w14:paraId="22C74D36" w14:textId="77777777" w:rsidR="00CD786D" w:rsidRDefault="00CD786D" w:rsidP="0036540B">
      <w:pPr>
        <w:spacing w:line="480" w:lineRule="auto"/>
        <w:rPr>
          <w:lang w:val="en-US"/>
        </w:rPr>
      </w:pPr>
    </w:p>
    <w:p w14:paraId="52E9CCA2" w14:textId="6E5C4FA5" w:rsidR="00CD786D" w:rsidRDefault="00CD786D" w:rsidP="0036540B">
      <w:pPr>
        <w:spacing w:line="480" w:lineRule="auto"/>
        <w:rPr>
          <w:lang w:val="en-US"/>
        </w:rPr>
      </w:pPr>
      <w:r>
        <w:rPr>
          <w:noProof/>
          <w:lang w:eastAsia="it-IT" w:bidi="ar-SA"/>
        </w:rPr>
        <w:drawing>
          <wp:inline distT="0" distB="0" distL="0" distR="0" wp14:anchorId="66686340" wp14:editId="06FC9067">
            <wp:extent cx="5755640" cy="3392170"/>
            <wp:effectExtent l="76200" t="76200" r="162560" b="16383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iapositiva1.jpg"/>
                    <pic:cNvPicPr/>
                  </pic:nvPicPr>
                  <pic:blipFill>
                    <a:blip r:embed="rId17">
                      <a:extLst>
                        <a:ext uri="{28A0092B-C50C-407E-A947-70E740481C1C}">
                          <a14:useLocalDpi xmlns:a14="http://schemas.microsoft.com/office/drawing/2010/main" val="0"/>
                        </a:ext>
                      </a:extLst>
                    </a:blip>
                    <a:stretch>
                      <a:fillRect/>
                    </a:stretch>
                  </pic:blipFill>
                  <pic:spPr>
                    <a:xfrm>
                      <a:off x="0" y="0"/>
                      <a:ext cx="5755640" cy="33921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9D4D04E" w14:textId="1EBB268E" w:rsidR="00CD786D" w:rsidRPr="00472B6B" w:rsidRDefault="00CD786D" w:rsidP="00CD786D">
      <w:pPr>
        <w:spacing w:line="480" w:lineRule="auto"/>
        <w:jc w:val="both"/>
        <w:rPr>
          <w:lang w:val="en-US"/>
        </w:rPr>
      </w:pPr>
      <w:r w:rsidRPr="00472B6B">
        <w:rPr>
          <w:lang w:val="en-US"/>
        </w:rPr>
        <w:t>Figure 3.</w:t>
      </w:r>
      <w:r w:rsidR="00472B6B">
        <w:rPr>
          <w:lang w:val="en-US"/>
        </w:rPr>
        <w:t>3:</w:t>
      </w:r>
      <w:r w:rsidRPr="00472B6B">
        <w:rPr>
          <w:lang w:val="en-US"/>
        </w:rPr>
        <w:t xml:space="preserve"> Fundraising organizational model for Public Universities</w:t>
      </w:r>
      <w:r w:rsidR="00D76338">
        <w:rPr>
          <w:lang w:val="en-US"/>
        </w:rPr>
        <w:t>.</w:t>
      </w:r>
      <w:r w:rsidRPr="00472B6B">
        <w:rPr>
          <w:lang w:val="en-US"/>
        </w:rPr>
        <w:t xml:space="preserve"> </w:t>
      </w:r>
    </w:p>
    <w:p w14:paraId="223C83FB" w14:textId="77777777" w:rsidR="00CD786D" w:rsidRDefault="00CD786D" w:rsidP="0036540B">
      <w:pPr>
        <w:spacing w:line="480" w:lineRule="auto"/>
        <w:rPr>
          <w:lang w:val="en-US"/>
        </w:rPr>
      </w:pPr>
    </w:p>
    <w:p w14:paraId="7E1F89C8" w14:textId="77777777" w:rsidR="00321D30" w:rsidRDefault="00321D30" w:rsidP="0036540B">
      <w:pPr>
        <w:spacing w:line="480" w:lineRule="auto"/>
        <w:rPr>
          <w:lang w:val="en-US"/>
        </w:rPr>
      </w:pPr>
    </w:p>
    <w:p w14:paraId="1AF5C175" w14:textId="77777777" w:rsidR="00321D30" w:rsidRDefault="00321D30" w:rsidP="0036540B">
      <w:pPr>
        <w:spacing w:line="480" w:lineRule="auto"/>
        <w:rPr>
          <w:lang w:val="en-US"/>
        </w:rPr>
      </w:pPr>
    </w:p>
    <w:p w14:paraId="610B6C76" w14:textId="77777777" w:rsidR="00321D30" w:rsidRDefault="00321D30" w:rsidP="0036540B">
      <w:pPr>
        <w:spacing w:line="480" w:lineRule="auto"/>
        <w:rPr>
          <w:lang w:val="en-US"/>
        </w:rPr>
      </w:pPr>
    </w:p>
    <w:p w14:paraId="01EF7063" w14:textId="77777777" w:rsidR="00321D30" w:rsidRDefault="00321D30" w:rsidP="0036540B">
      <w:pPr>
        <w:spacing w:line="480" w:lineRule="auto"/>
        <w:rPr>
          <w:lang w:val="en-US"/>
        </w:rPr>
      </w:pPr>
    </w:p>
    <w:p w14:paraId="59B7371E" w14:textId="77777777" w:rsidR="00321D30" w:rsidRDefault="00321D30" w:rsidP="0036540B">
      <w:pPr>
        <w:spacing w:line="480" w:lineRule="auto"/>
        <w:rPr>
          <w:lang w:val="en-US"/>
        </w:rPr>
      </w:pPr>
    </w:p>
    <w:p w14:paraId="64CA59BB" w14:textId="77777777" w:rsidR="00321D30" w:rsidRDefault="00321D30" w:rsidP="0036540B">
      <w:pPr>
        <w:spacing w:line="480" w:lineRule="auto"/>
        <w:rPr>
          <w:lang w:val="en-US"/>
        </w:rPr>
      </w:pPr>
    </w:p>
    <w:p w14:paraId="41E157FD" w14:textId="77777777" w:rsidR="00321D30" w:rsidRDefault="00321D30" w:rsidP="0036540B">
      <w:pPr>
        <w:spacing w:line="480" w:lineRule="auto"/>
        <w:rPr>
          <w:lang w:val="en-US"/>
        </w:rPr>
      </w:pPr>
    </w:p>
    <w:p w14:paraId="0E4CC53C" w14:textId="77777777" w:rsidR="00321D30" w:rsidRDefault="00321D30" w:rsidP="0036540B">
      <w:pPr>
        <w:spacing w:line="480" w:lineRule="auto"/>
        <w:rPr>
          <w:lang w:val="en-US"/>
        </w:rPr>
      </w:pPr>
    </w:p>
    <w:p w14:paraId="32374486" w14:textId="77777777" w:rsidR="00321D30" w:rsidRDefault="00321D30" w:rsidP="0036540B">
      <w:pPr>
        <w:spacing w:line="480" w:lineRule="auto"/>
        <w:rPr>
          <w:lang w:val="en-US"/>
        </w:rPr>
      </w:pPr>
    </w:p>
    <w:p w14:paraId="0D4C853A" w14:textId="77777777" w:rsidR="00321D30" w:rsidRDefault="00321D30" w:rsidP="0036540B">
      <w:pPr>
        <w:spacing w:line="480" w:lineRule="auto"/>
        <w:rPr>
          <w:lang w:val="en-US"/>
        </w:rPr>
      </w:pPr>
    </w:p>
    <w:p w14:paraId="4B9FAC8E" w14:textId="77777777" w:rsidR="00321D30" w:rsidRDefault="00321D30" w:rsidP="0036540B">
      <w:pPr>
        <w:spacing w:line="480" w:lineRule="auto"/>
        <w:rPr>
          <w:lang w:val="en-US"/>
        </w:rPr>
      </w:pPr>
    </w:p>
    <w:p w14:paraId="47AB9D0D" w14:textId="77777777" w:rsidR="00321D30" w:rsidRDefault="00321D30" w:rsidP="0036540B">
      <w:pPr>
        <w:spacing w:line="480" w:lineRule="auto"/>
        <w:rPr>
          <w:lang w:val="en-US"/>
        </w:rPr>
      </w:pPr>
    </w:p>
    <w:p w14:paraId="1DB4D0EB" w14:textId="77777777" w:rsidR="00321D30" w:rsidRDefault="00321D30" w:rsidP="0036540B">
      <w:pPr>
        <w:spacing w:line="480" w:lineRule="auto"/>
        <w:rPr>
          <w:lang w:val="en-US"/>
        </w:rPr>
      </w:pPr>
    </w:p>
    <w:p w14:paraId="3CBF8F01" w14:textId="3C34783A" w:rsidR="00321D30" w:rsidRDefault="00321D30" w:rsidP="0036540B">
      <w:pPr>
        <w:spacing w:line="480" w:lineRule="auto"/>
        <w:rPr>
          <w:lang w:val="en-US"/>
        </w:rPr>
      </w:pPr>
      <w:r>
        <w:rPr>
          <w:noProof/>
          <w:lang w:eastAsia="it-IT" w:bidi="ar-SA"/>
        </w:rPr>
        <w:drawing>
          <wp:inline distT="0" distB="0" distL="0" distR="0" wp14:anchorId="43F52861" wp14:editId="49FEF7DB">
            <wp:extent cx="5755640" cy="2579370"/>
            <wp:effectExtent l="76200" t="76200" r="162560" b="16383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iapositiva2.jpg"/>
                    <pic:cNvPicPr/>
                  </pic:nvPicPr>
                  <pic:blipFill>
                    <a:blip r:embed="rId18">
                      <a:extLst>
                        <a:ext uri="{28A0092B-C50C-407E-A947-70E740481C1C}">
                          <a14:useLocalDpi xmlns:a14="http://schemas.microsoft.com/office/drawing/2010/main" val="0"/>
                        </a:ext>
                      </a:extLst>
                    </a:blip>
                    <a:stretch>
                      <a:fillRect/>
                    </a:stretch>
                  </pic:blipFill>
                  <pic:spPr>
                    <a:xfrm>
                      <a:off x="0" y="0"/>
                      <a:ext cx="5755640" cy="25793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544B3E4" w14:textId="442B72C4" w:rsidR="00FD277F" w:rsidRPr="00AC3D9E" w:rsidRDefault="00FD277F" w:rsidP="00FD277F">
      <w:pPr>
        <w:spacing w:line="480" w:lineRule="auto"/>
        <w:jc w:val="both"/>
        <w:rPr>
          <w:lang w:val="en-US"/>
        </w:rPr>
      </w:pPr>
      <w:r w:rsidRPr="00AC3D9E">
        <w:rPr>
          <w:lang w:val="en-US"/>
        </w:rPr>
        <w:t>Figure 3.4: Fundraising forces matrix for Higher Education (Elaboration from Moore (2003) and Chan (2015)).</w:t>
      </w:r>
    </w:p>
    <w:p w14:paraId="1BDDE5B8" w14:textId="77777777" w:rsidR="00321D30" w:rsidRDefault="00321D30" w:rsidP="0036540B">
      <w:pPr>
        <w:spacing w:line="480" w:lineRule="auto"/>
        <w:rPr>
          <w:lang w:val="en-US"/>
        </w:rPr>
      </w:pPr>
    </w:p>
    <w:p w14:paraId="759398C7" w14:textId="77777777" w:rsidR="00CB7F89" w:rsidRDefault="00CB7F89" w:rsidP="0036540B">
      <w:pPr>
        <w:spacing w:line="480" w:lineRule="auto"/>
        <w:rPr>
          <w:lang w:val="en-US"/>
        </w:rPr>
      </w:pPr>
    </w:p>
    <w:p w14:paraId="3A58FBBC" w14:textId="77777777" w:rsidR="00CB7F89" w:rsidRDefault="00CB7F89" w:rsidP="0036540B">
      <w:pPr>
        <w:spacing w:line="480" w:lineRule="auto"/>
        <w:rPr>
          <w:lang w:val="en-US"/>
        </w:rPr>
      </w:pPr>
    </w:p>
    <w:p w14:paraId="02BE3571" w14:textId="77777777" w:rsidR="00CB7F89" w:rsidRDefault="00CB7F89" w:rsidP="0036540B">
      <w:pPr>
        <w:spacing w:line="480" w:lineRule="auto"/>
        <w:rPr>
          <w:lang w:val="en-US"/>
        </w:rPr>
      </w:pPr>
    </w:p>
    <w:p w14:paraId="5614D0DE" w14:textId="77777777" w:rsidR="00CB7F89" w:rsidRDefault="00CB7F89" w:rsidP="0036540B">
      <w:pPr>
        <w:spacing w:line="480" w:lineRule="auto"/>
        <w:rPr>
          <w:lang w:val="en-US"/>
        </w:rPr>
      </w:pPr>
    </w:p>
    <w:p w14:paraId="779DC3EB" w14:textId="77777777" w:rsidR="00CB7F89" w:rsidRDefault="00CB7F89" w:rsidP="0036540B">
      <w:pPr>
        <w:spacing w:line="480" w:lineRule="auto"/>
        <w:rPr>
          <w:lang w:val="en-US"/>
        </w:rPr>
      </w:pPr>
    </w:p>
    <w:p w14:paraId="7A71F518" w14:textId="77777777" w:rsidR="00CB7F89" w:rsidRDefault="00CB7F89" w:rsidP="0036540B">
      <w:pPr>
        <w:spacing w:line="480" w:lineRule="auto"/>
        <w:rPr>
          <w:lang w:val="en-US"/>
        </w:rPr>
      </w:pPr>
    </w:p>
    <w:p w14:paraId="00D49B20" w14:textId="77777777" w:rsidR="00CB7F89" w:rsidRDefault="00CB7F89" w:rsidP="0036540B">
      <w:pPr>
        <w:spacing w:line="480" w:lineRule="auto"/>
        <w:rPr>
          <w:lang w:val="en-US"/>
        </w:rPr>
      </w:pPr>
    </w:p>
    <w:p w14:paraId="774FC269" w14:textId="77777777" w:rsidR="00CB7F89" w:rsidRDefault="00CB7F89" w:rsidP="0036540B">
      <w:pPr>
        <w:spacing w:line="480" w:lineRule="auto"/>
        <w:rPr>
          <w:lang w:val="en-US"/>
        </w:rPr>
      </w:pPr>
    </w:p>
    <w:p w14:paraId="49E2214B" w14:textId="77777777" w:rsidR="00CB7F89" w:rsidRDefault="00CB7F89" w:rsidP="0036540B">
      <w:pPr>
        <w:spacing w:line="480" w:lineRule="auto"/>
        <w:rPr>
          <w:lang w:val="en-US"/>
        </w:rPr>
      </w:pPr>
    </w:p>
    <w:p w14:paraId="032415E3" w14:textId="77777777" w:rsidR="00CB7F89" w:rsidRDefault="00CB7F89" w:rsidP="0036540B">
      <w:pPr>
        <w:spacing w:line="480" w:lineRule="auto"/>
        <w:rPr>
          <w:lang w:val="en-US"/>
        </w:rPr>
      </w:pPr>
    </w:p>
    <w:p w14:paraId="1A685E90" w14:textId="77777777" w:rsidR="00CB7F89" w:rsidRDefault="00CB7F89" w:rsidP="0036540B">
      <w:pPr>
        <w:spacing w:line="480" w:lineRule="auto"/>
        <w:rPr>
          <w:lang w:val="en-US"/>
        </w:rPr>
      </w:pPr>
    </w:p>
    <w:p w14:paraId="31007D87" w14:textId="77777777" w:rsidR="00CB7F89" w:rsidRDefault="00CB7F89" w:rsidP="0036540B">
      <w:pPr>
        <w:spacing w:line="480" w:lineRule="auto"/>
        <w:rPr>
          <w:lang w:val="en-US"/>
        </w:rPr>
      </w:pPr>
    </w:p>
    <w:p w14:paraId="7ADC6BE5" w14:textId="77777777" w:rsidR="00CB7F89" w:rsidRDefault="00CB7F89" w:rsidP="0036540B">
      <w:pPr>
        <w:spacing w:line="480" w:lineRule="auto"/>
        <w:rPr>
          <w:lang w:val="en-US"/>
        </w:rPr>
      </w:pPr>
    </w:p>
    <w:p w14:paraId="752437CF" w14:textId="77777777" w:rsidR="00CB7F89" w:rsidRDefault="00CB7F89" w:rsidP="0036540B">
      <w:pPr>
        <w:spacing w:line="480" w:lineRule="auto"/>
        <w:rPr>
          <w:lang w:val="en-US"/>
        </w:rPr>
      </w:pPr>
    </w:p>
    <w:p w14:paraId="2AC27AD8" w14:textId="097DF7B7" w:rsidR="00321D30" w:rsidRDefault="00CB7F89" w:rsidP="0036540B">
      <w:pPr>
        <w:spacing w:line="480" w:lineRule="auto"/>
        <w:rPr>
          <w:lang w:val="en-US"/>
        </w:rPr>
      </w:pPr>
      <w:r>
        <w:rPr>
          <w:noProof/>
          <w:lang w:eastAsia="it-IT" w:bidi="ar-SA"/>
        </w:rPr>
        <w:drawing>
          <wp:inline distT="0" distB="0" distL="0" distR="0" wp14:anchorId="4094D02B" wp14:editId="549A7E95">
            <wp:extent cx="5755640" cy="1038225"/>
            <wp:effectExtent l="0" t="0" r="10160" b="3175"/>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5640" cy="1038225"/>
                    </a:xfrm>
                    <a:prstGeom prst="rect">
                      <a:avLst/>
                    </a:prstGeom>
                    <a:noFill/>
                    <a:ln>
                      <a:noFill/>
                    </a:ln>
                  </pic:spPr>
                </pic:pic>
              </a:graphicData>
            </a:graphic>
          </wp:inline>
        </w:drawing>
      </w:r>
    </w:p>
    <w:p w14:paraId="666F4DCC" w14:textId="7A3A973F" w:rsidR="00AC3D9E" w:rsidRPr="00AC3D9E" w:rsidRDefault="00AC3D9E" w:rsidP="00AC3D9E">
      <w:pPr>
        <w:spacing w:line="480" w:lineRule="auto"/>
        <w:jc w:val="both"/>
        <w:rPr>
          <w:lang w:val="en-US"/>
        </w:rPr>
      </w:pPr>
      <w:r>
        <w:rPr>
          <w:lang w:val="en-US"/>
        </w:rPr>
        <w:t>Table 3.5:</w:t>
      </w:r>
      <w:r w:rsidRPr="00AC3D9E">
        <w:rPr>
          <w:lang w:val="en-US"/>
        </w:rPr>
        <w:t xml:space="preserve"> Categories and coding rules for deductive content analysis.</w:t>
      </w:r>
    </w:p>
    <w:p w14:paraId="31CED287" w14:textId="77777777" w:rsidR="00AC3D9E" w:rsidRDefault="00AC3D9E" w:rsidP="0036540B">
      <w:pPr>
        <w:spacing w:line="480" w:lineRule="auto"/>
        <w:rPr>
          <w:lang w:val="en-US"/>
        </w:rPr>
      </w:pPr>
    </w:p>
    <w:p w14:paraId="6864B17A" w14:textId="77777777" w:rsidR="00AC3D9E" w:rsidRDefault="00AC3D9E" w:rsidP="0036540B">
      <w:pPr>
        <w:spacing w:line="480" w:lineRule="auto"/>
        <w:rPr>
          <w:lang w:val="en-US"/>
        </w:rPr>
      </w:pPr>
    </w:p>
    <w:p w14:paraId="79F976A6" w14:textId="77777777" w:rsidR="00AC3D9E" w:rsidRDefault="00AC3D9E" w:rsidP="0036540B">
      <w:pPr>
        <w:spacing w:line="480" w:lineRule="auto"/>
        <w:rPr>
          <w:lang w:val="en-US"/>
        </w:rPr>
      </w:pPr>
    </w:p>
    <w:p w14:paraId="7249BCA2" w14:textId="77777777" w:rsidR="00AC3D9E" w:rsidRDefault="00AC3D9E" w:rsidP="0036540B">
      <w:pPr>
        <w:spacing w:line="480" w:lineRule="auto"/>
        <w:rPr>
          <w:lang w:val="en-US"/>
        </w:rPr>
      </w:pPr>
    </w:p>
    <w:p w14:paraId="11D67649" w14:textId="77777777" w:rsidR="00AC3D9E" w:rsidRDefault="00AC3D9E" w:rsidP="0036540B">
      <w:pPr>
        <w:spacing w:line="480" w:lineRule="auto"/>
        <w:rPr>
          <w:lang w:val="en-US"/>
        </w:rPr>
      </w:pPr>
    </w:p>
    <w:p w14:paraId="6B84837E" w14:textId="77777777" w:rsidR="00AC3D9E" w:rsidRDefault="00AC3D9E" w:rsidP="0036540B">
      <w:pPr>
        <w:spacing w:line="480" w:lineRule="auto"/>
        <w:rPr>
          <w:lang w:val="en-US"/>
        </w:rPr>
      </w:pPr>
    </w:p>
    <w:p w14:paraId="55B562B9" w14:textId="77777777" w:rsidR="00AC3D9E" w:rsidRDefault="00AC3D9E" w:rsidP="0036540B">
      <w:pPr>
        <w:spacing w:line="480" w:lineRule="auto"/>
        <w:rPr>
          <w:lang w:val="en-US"/>
        </w:rPr>
      </w:pPr>
    </w:p>
    <w:p w14:paraId="2A99270E" w14:textId="77777777" w:rsidR="00AC3D9E" w:rsidRDefault="00AC3D9E" w:rsidP="0036540B">
      <w:pPr>
        <w:spacing w:line="480" w:lineRule="auto"/>
        <w:rPr>
          <w:lang w:val="en-US"/>
        </w:rPr>
      </w:pPr>
    </w:p>
    <w:p w14:paraId="507C0160" w14:textId="77777777" w:rsidR="00AC3D9E" w:rsidRDefault="00AC3D9E" w:rsidP="0036540B">
      <w:pPr>
        <w:spacing w:line="480" w:lineRule="auto"/>
        <w:rPr>
          <w:lang w:val="en-US"/>
        </w:rPr>
      </w:pPr>
    </w:p>
    <w:p w14:paraId="404DB00B" w14:textId="77777777" w:rsidR="00AC3D9E" w:rsidRDefault="00AC3D9E" w:rsidP="0036540B">
      <w:pPr>
        <w:spacing w:line="480" w:lineRule="auto"/>
        <w:rPr>
          <w:lang w:val="en-US"/>
        </w:rPr>
      </w:pPr>
    </w:p>
    <w:p w14:paraId="7F676C9C" w14:textId="77777777" w:rsidR="00AC3D9E" w:rsidRDefault="00AC3D9E" w:rsidP="0036540B">
      <w:pPr>
        <w:spacing w:line="480" w:lineRule="auto"/>
        <w:rPr>
          <w:lang w:val="en-US"/>
        </w:rPr>
      </w:pPr>
    </w:p>
    <w:p w14:paraId="3DBE9BFA" w14:textId="77777777" w:rsidR="00AC3D9E" w:rsidRDefault="00AC3D9E" w:rsidP="0036540B">
      <w:pPr>
        <w:spacing w:line="480" w:lineRule="auto"/>
        <w:rPr>
          <w:lang w:val="en-US"/>
        </w:rPr>
      </w:pPr>
    </w:p>
    <w:p w14:paraId="547290AC" w14:textId="77777777" w:rsidR="00AC3D9E" w:rsidRDefault="00AC3D9E" w:rsidP="0036540B">
      <w:pPr>
        <w:spacing w:line="480" w:lineRule="auto"/>
        <w:rPr>
          <w:lang w:val="en-US"/>
        </w:rPr>
      </w:pPr>
    </w:p>
    <w:p w14:paraId="4A2501EE" w14:textId="77777777" w:rsidR="00AC3D9E" w:rsidRDefault="00AC3D9E" w:rsidP="0036540B">
      <w:pPr>
        <w:spacing w:line="480" w:lineRule="auto"/>
        <w:rPr>
          <w:lang w:val="en-US"/>
        </w:rPr>
      </w:pPr>
    </w:p>
    <w:p w14:paraId="08C7F370" w14:textId="77777777" w:rsidR="00AC3D9E" w:rsidRDefault="00AC3D9E" w:rsidP="0036540B">
      <w:pPr>
        <w:spacing w:line="480" w:lineRule="auto"/>
        <w:rPr>
          <w:lang w:val="en-US"/>
        </w:rPr>
      </w:pPr>
    </w:p>
    <w:p w14:paraId="79D2B958" w14:textId="77777777" w:rsidR="00AC3D9E" w:rsidRDefault="00AC3D9E" w:rsidP="0036540B">
      <w:pPr>
        <w:spacing w:line="480" w:lineRule="auto"/>
        <w:rPr>
          <w:lang w:val="en-US"/>
        </w:rPr>
      </w:pPr>
    </w:p>
    <w:p w14:paraId="241D64E0" w14:textId="77777777" w:rsidR="00AC3D9E" w:rsidRDefault="00AC3D9E" w:rsidP="0036540B">
      <w:pPr>
        <w:spacing w:line="480" w:lineRule="auto"/>
        <w:rPr>
          <w:lang w:val="en-US"/>
        </w:rPr>
      </w:pPr>
    </w:p>
    <w:p w14:paraId="16B39B40" w14:textId="77777777" w:rsidR="00AC3D9E" w:rsidRDefault="00AC3D9E" w:rsidP="0036540B">
      <w:pPr>
        <w:spacing w:line="480" w:lineRule="auto"/>
        <w:rPr>
          <w:lang w:val="en-US"/>
        </w:rPr>
      </w:pPr>
    </w:p>
    <w:p w14:paraId="0357B0BC" w14:textId="77777777" w:rsidR="00AC3D9E" w:rsidRDefault="00AC3D9E" w:rsidP="0036540B">
      <w:pPr>
        <w:spacing w:line="480" w:lineRule="auto"/>
        <w:rPr>
          <w:lang w:val="en-US"/>
        </w:rPr>
      </w:pPr>
    </w:p>
    <w:p w14:paraId="5623BE8A" w14:textId="77777777" w:rsidR="00AC3D9E" w:rsidRDefault="00AC3D9E" w:rsidP="0036540B">
      <w:pPr>
        <w:spacing w:line="480" w:lineRule="auto"/>
        <w:rPr>
          <w:lang w:val="en-US"/>
        </w:rPr>
      </w:pPr>
    </w:p>
    <w:p w14:paraId="37CEBA7C" w14:textId="77777777" w:rsidR="00AC3D9E" w:rsidRDefault="00AC3D9E" w:rsidP="0036540B">
      <w:pPr>
        <w:spacing w:line="480" w:lineRule="auto"/>
        <w:rPr>
          <w:lang w:val="en-US"/>
        </w:rPr>
      </w:pPr>
    </w:p>
    <w:p w14:paraId="2180A303" w14:textId="768023D1" w:rsidR="00AC3D9E" w:rsidRDefault="00D30A6C" w:rsidP="0036540B">
      <w:pPr>
        <w:spacing w:line="480" w:lineRule="auto"/>
        <w:rPr>
          <w:lang w:val="en-US"/>
        </w:rPr>
      </w:pPr>
      <w:r>
        <w:rPr>
          <w:noProof/>
          <w:sz w:val="22"/>
          <w:szCs w:val="22"/>
          <w:lang w:eastAsia="it-IT" w:bidi="ar-SA"/>
        </w:rPr>
        <w:drawing>
          <wp:anchor distT="0" distB="0" distL="114300" distR="114300" simplePos="0" relativeHeight="251669504" behindDoc="0" locked="0" layoutInCell="1" allowOverlap="1" wp14:anchorId="5BCC9AD4" wp14:editId="2CEAFE7D">
            <wp:simplePos x="0" y="0"/>
            <wp:positionH relativeFrom="margin">
              <wp:posOffset>1028700</wp:posOffset>
            </wp:positionH>
            <wp:positionV relativeFrom="margin">
              <wp:posOffset>-114300</wp:posOffset>
            </wp:positionV>
            <wp:extent cx="3637280" cy="6447155"/>
            <wp:effectExtent l="0" t="0" r="0" b="4445"/>
            <wp:wrapSquare wrapText="bothSides"/>
            <wp:docPr id="2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37280" cy="64471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EFA7DA2" w14:textId="77777777" w:rsidR="00AC3D9E" w:rsidRDefault="00AC3D9E" w:rsidP="0036540B">
      <w:pPr>
        <w:spacing w:line="480" w:lineRule="auto"/>
        <w:rPr>
          <w:lang w:val="en-US"/>
        </w:rPr>
      </w:pPr>
    </w:p>
    <w:p w14:paraId="4AB29DFF" w14:textId="77777777" w:rsidR="00AC3D9E" w:rsidRDefault="00AC3D9E" w:rsidP="0036540B">
      <w:pPr>
        <w:spacing w:line="480" w:lineRule="auto"/>
        <w:rPr>
          <w:lang w:val="en-US"/>
        </w:rPr>
      </w:pPr>
    </w:p>
    <w:p w14:paraId="416419ED" w14:textId="77777777" w:rsidR="00AC3D9E" w:rsidRDefault="00AC3D9E" w:rsidP="0036540B">
      <w:pPr>
        <w:spacing w:line="480" w:lineRule="auto"/>
        <w:rPr>
          <w:lang w:val="en-US"/>
        </w:rPr>
      </w:pPr>
    </w:p>
    <w:p w14:paraId="38436E38" w14:textId="77777777" w:rsidR="00AC3D9E" w:rsidRDefault="00AC3D9E" w:rsidP="0036540B">
      <w:pPr>
        <w:spacing w:line="480" w:lineRule="auto"/>
        <w:rPr>
          <w:lang w:val="en-US"/>
        </w:rPr>
      </w:pPr>
    </w:p>
    <w:p w14:paraId="0DE81B03" w14:textId="77777777" w:rsidR="00AC3D9E" w:rsidRDefault="00AC3D9E" w:rsidP="0036540B">
      <w:pPr>
        <w:spacing w:line="480" w:lineRule="auto"/>
        <w:rPr>
          <w:lang w:val="en-US"/>
        </w:rPr>
      </w:pPr>
    </w:p>
    <w:p w14:paraId="1C60EC34" w14:textId="77777777" w:rsidR="00AC3D9E" w:rsidRDefault="00AC3D9E" w:rsidP="0036540B">
      <w:pPr>
        <w:spacing w:line="480" w:lineRule="auto"/>
        <w:rPr>
          <w:lang w:val="en-US"/>
        </w:rPr>
      </w:pPr>
    </w:p>
    <w:p w14:paraId="4D523D83" w14:textId="77777777" w:rsidR="00AC3D9E" w:rsidRDefault="00AC3D9E" w:rsidP="0036540B">
      <w:pPr>
        <w:spacing w:line="480" w:lineRule="auto"/>
        <w:rPr>
          <w:lang w:val="en-US"/>
        </w:rPr>
      </w:pPr>
    </w:p>
    <w:p w14:paraId="670EB463" w14:textId="77777777" w:rsidR="00AC3D9E" w:rsidRDefault="00AC3D9E" w:rsidP="0036540B">
      <w:pPr>
        <w:spacing w:line="480" w:lineRule="auto"/>
        <w:rPr>
          <w:lang w:val="en-US"/>
        </w:rPr>
      </w:pPr>
    </w:p>
    <w:p w14:paraId="3A2B2616" w14:textId="77777777" w:rsidR="00AC3D9E" w:rsidRDefault="00AC3D9E" w:rsidP="0036540B">
      <w:pPr>
        <w:spacing w:line="480" w:lineRule="auto"/>
        <w:rPr>
          <w:lang w:val="en-US"/>
        </w:rPr>
      </w:pPr>
    </w:p>
    <w:p w14:paraId="2460F7F4" w14:textId="77777777" w:rsidR="00AC3D9E" w:rsidRDefault="00AC3D9E" w:rsidP="0036540B">
      <w:pPr>
        <w:spacing w:line="480" w:lineRule="auto"/>
        <w:rPr>
          <w:lang w:val="en-US"/>
        </w:rPr>
      </w:pPr>
    </w:p>
    <w:p w14:paraId="37151CF0" w14:textId="77777777" w:rsidR="00AC3D9E" w:rsidRDefault="00AC3D9E" w:rsidP="0036540B">
      <w:pPr>
        <w:spacing w:line="480" w:lineRule="auto"/>
        <w:rPr>
          <w:lang w:val="en-US"/>
        </w:rPr>
      </w:pPr>
    </w:p>
    <w:p w14:paraId="40040019" w14:textId="77777777" w:rsidR="00AC3D9E" w:rsidRDefault="00AC3D9E" w:rsidP="0036540B">
      <w:pPr>
        <w:spacing w:line="480" w:lineRule="auto"/>
        <w:rPr>
          <w:lang w:val="en-US"/>
        </w:rPr>
      </w:pPr>
    </w:p>
    <w:p w14:paraId="7484A1E9" w14:textId="77777777" w:rsidR="00AC3D9E" w:rsidRDefault="00AC3D9E" w:rsidP="0036540B">
      <w:pPr>
        <w:spacing w:line="480" w:lineRule="auto"/>
        <w:rPr>
          <w:lang w:val="en-US"/>
        </w:rPr>
      </w:pPr>
    </w:p>
    <w:p w14:paraId="1F4457E4" w14:textId="77777777" w:rsidR="00AC3D9E" w:rsidRDefault="00AC3D9E" w:rsidP="0036540B">
      <w:pPr>
        <w:spacing w:line="480" w:lineRule="auto"/>
        <w:rPr>
          <w:lang w:val="en-US"/>
        </w:rPr>
      </w:pPr>
    </w:p>
    <w:p w14:paraId="1BEC7D34" w14:textId="77777777" w:rsidR="00AC3D9E" w:rsidRDefault="00AC3D9E" w:rsidP="0036540B">
      <w:pPr>
        <w:spacing w:line="480" w:lineRule="auto"/>
        <w:rPr>
          <w:lang w:val="en-US"/>
        </w:rPr>
      </w:pPr>
    </w:p>
    <w:p w14:paraId="5A8BF048" w14:textId="77777777" w:rsidR="00AC3D9E" w:rsidRDefault="00AC3D9E" w:rsidP="0036540B">
      <w:pPr>
        <w:spacing w:line="480" w:lineRule="auto"/>
        <w:rPr>
          <w:lang w:val="en-US"/>
        </w:rPr>
      </w:pPr>
    </w:p>
    <w:p w14:paraId="458DE36E" w14:textId="77777777" w:rsidR="00AC3D9E" w:rsidRDefault="00AC3D9E" w:rsidP="0036540B">
      <w:pPr>
        <w:spacing w:line="480" w:lineRule="auto"/>
        <w:rPr>
          <w:lang w:val="en-US"/>
        </w:rPr>
      </w:pPr>
    </w:p>
    <w:p w14:paraId="6F5AD4AA" w14:textId="77777777" w:rsidR="00AC3D9E" w:rsidRDefault="00AC3D9E" w:rsidP="0036540B">
      <w:pPr>
        <w:spacing w:line="480" w:lineRule="auto"/>
        <w:rPr>
          <w:lang w:val="en-US"/>
        </w:rPr>
      </w:pPr>
    </w:p>
    <w:p w14:paraId="703ABCB2" w14:textId="16BC3FDB" w:rsidR="00AC3D9E" w:rsidRPr="00AC3D9E" w:rsidRDefault="00AC3D9E" w:rsidP="00AC3D9E">
      <w:pPr>
        <w:spacing w:line="480" w:lineRule="auto"/>
        <w:jc w:val="both"/>
        <w:rPr>
          <w:lang w:val="en-US"/>
        </w:rPr>
      </w:pPr>
      <w:r>
        <w:rPr>
          <w:lang w:val="en-US"/>
        </w:rPr>
        <w:t>Table 3.6</w:t>
      </w:r>
      <w:r w:rsidRPr="00AC3D9E">
        <w:rPr>
          <w:lang w:val="en-US"/>
        </w:rPr>
        <w:t>. Preliminary analysis results</w:t>
      </w:r>
    </w:p>
    <w:p w14:paraId="71DEA30F" w14:textId="77777777" w:rsidR="00D30A6C" w:rsidRDefault="00D30A6C" w:rsidP="0036540B">
      <w:pPr>
        <w:spacing w:line="480" w:lineRule="auto"/>
        <w:rPr>
          <w:lang w:val="en-US"/>
        </w:rPr>
      </w:pPr>
    </w:p>
    <w:p w14:paraId="05225B02" w14:textId="77777777" w:rsidR="00D30A6C" w:rsidRDefault="00D30A6C" w:rsidP="0036540B">
      <w:pPr>
        <w:spacing w:line="480" w:lineRule="auto"/>
        <w:rPr>
          <w:lang w:val="en-US"/>
        </w:rPr>
      </w:pPr>
    </w:p>
    <w:p w14:paraId="120A0637" w14:textId="77777777" w:rsidR="00D30A6C" w:rsidRDefault="00D30A6C" w:rsidP="0036540B">
      <w:pPr>
        <w:spacing w:line="480" w:lineRule="auto"/>
        <w:rPr>
          <w:lang w:val="en-US"/>
        </w:rPr>
      </w:pPr>
    </w:p>
    <w:p w14:paraId="259D1F15" w14:textId="77777777" w:rsidR="00D30A6C" w:rsidRDefault="00D30A6C" w:rsidP="0036540B">
      <w:pPr>
        <w:spacing w:line="480" w:lineRule="auto"/>
        <w:rPr>
          <w:lang w:val="en-US"/>
        </w:rPr>
      </w:pPr>
    </w:p>
    <w:p w14:paraId="2BC3AFDF" w14:textId="77777777" w:rsidR="00D30A6C" w:rsidRDefault="00D30A6C" w:rsidP="0036540B">
      <w:pPr>
        <w:spacing w:line="480" w:lineRule="auto"/>
        <w:rPr>
          <w:lang w:val="en-US"/>
        </w:rPr>
      </w:pPr>
    </w:p>
    <w:p w14:paraId="2F0197BF" w14:textId="0FA22ADA" w:rsidR="00D30A6C" w:rsidRDefault="00725B42" w:rsidP="0036540B">
      <w:pPr>
        <w:spacing w:line="480" w:lineRule="auto"/>
        <w:rPr>
          <w:lang w:val="en-US"/>
        </w:rPr>
      </w:pPr>
      <w:r>
        <w:rPr>
          <w:noProof/>
          <w:lang w:eastAsia="it-IT" w:bidi="ar-SA"/>
        </w:rPr>
        <w:drawing>
          <wp:anchor distT="0" distB="0" distL="114300" distR="114300" simplePos="0" relativeHeight="251671552" behindDoc="0" locked="0" layoutInCell="1" allowOverlap="1" wp14:anchorId="69AF382E" wp14:editId="30B49B64">
            <wp:simplePos x="0" y="0"/>
            <wp:positionH relativeFrom="margin">
              <wp:posOffset>1257300</wp:posOffset>
            </wp:positionH>
            <wp:positionV relativeFrom="margin">
              <wp:posOffset>-32385</wp:posOffset>
            </wp:positionV>
            <wp:extent cx="3053080" cy="4147185"/>
            <wp:effectExtent l="0" t="0" r="0" b="0"/>
            <wp:wrapSquare wrapText="bothSides"/>
            <wp:docPr id="9"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53080" cy="41471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B274683" w14:textId="77777777" w:rsidR="00D30A6C" w:rsidRDefault="00D30A6C" w:rsidP="0036540B">
      <w:pPr>
        <w:spacing w:line="480" w:lineRule="auto"/>
        <w:rPr>
          <w:lang w:val="en-US"/>
        </w:rPr>
      </w:pPr>
    </w:p>
    <w:p w14:paraId="5CC8FE68" w14:textId="77777777" w:rsidR="00D30A6C" w:rsidRDefault="00D30A6C" w:rsidP="0036540B">
      <w:pPr>
        <w:spacing w:line="480" w:lineRule="auto"/>
        <w:rPr>
          <w:lang w:val="en-US"/>
        </w:rPr>
      </w:pPr>
    </w:p>
    <w:p w14:paraId="25D4CE80" w14:textId="77777777" w:rsidR="00D30A6C" w:rsidRDefault="00D30A6C" w:rsidP="0036540B">
      <w:pPr>
        <w:spacing w:line="480" w:lineRule="auto"/>
        <w:rPr>
          <w:lang w:val="en-US"/>
        </w:rPr>
      </w:pPr>
    </w:p>
    <w:p w14:paraId="7002BB7F" w14:textId="77777777" w:rsidR="00D30A6C" w:rsidRDefault="00D30A6C" w:rsidP="0036540B">
      <w:pPr>
        <w:spacing w:line="480" w:lineRule="auto"/>
        <w:rPr>
          <w:lang w:val="en-US"/>
        </w:rPr>
      </w:pPr>
    </w:p>
    <w:p w14:paraId="33DFDD6A" w14:textId="77777777" w:rsidR="00D30A6C" w:rsidRDefault="00D30A6C" w:rsidP="0036540B">
      <w:pPr>
        <w:spacing w:line="480" w:lineRule="auto"/>
        <w:rPr>
          <w:lang w:val="en-US"/>
        </w:rPr>
      </w:pPr>
    </w:p>
    <w:p w14:paraId="2E3E031A" w14:textId="77777777" w:rsidR="00D30A6C" w:rsidRDefault="00D30A6C" w:rsidP="0036540B">
      <w:pPr>
        <w:spacing w:line="480" w:lineRule="auto"/>
        <w:rPr>
          <w:lang w:val="en-US"/>
        </w:rPr>
      </w:pPr>
    </w:p>
    <w:p w14:paraId="1C09BCE3" w14:textId="77777777" w:rsidR="00D30A6C" w:rsidRDefault="00D30A6C" w:rsidP="0036540B">
      <w:pPr>
        <w:spacing w:line="480" w:lineRule="auto"/>
        <w:rPr>
          <w:lang w:val="en-US"/>
        </w:rPr>
      </w:pPr>
    </w:p>
    <w:p w14:paraId="3CA00C09" w14:textId="77777777" w:rsidR="00D30A6C" w:rsidRDefault="00D30A6C" w:rsidP="0036540B">
      <w:pPr>
        <w:spacing w:line="480" w:lineRule="auto"/>
        <w:rPr>
          <w:lang w:val="en-US"/>
        </w:rPr>
      </w:pPr>
    </w:p>
    <w:p w14:paraId="62FA7841" w14:textId="77777777" w:rsidR="00D30A6C" w:rsidRDefault="00D30A6C" w:rsidP="0036540B">
      <w:pPr>
        <w:spacing w:line="480" w:lineRule="auto"/>
        <w:rPr>
          <w:lang w:val="en-US"/>
        </w:rPr>
      </w:pPr>
    </w:p>
    <w:p w14:paraId="3DE43E4A" w14:textId="77777777" w:rsidR="00D30A6C" w:rsidRDefault="00D30A6C" w:rsidP="0036540B">
      <w:pPr>
        <w:spacing w:line="480" w:lineRule="auto"/>
        <w:rPr>
          <w:lang w:val="en-US"/>
        </w:rPr>
      </w:pPr>
    </w:p>
    <w:p w14:paraId="5EAB3CC2" w14:textId="77777777" w:rsidR="00D30A6C" w:rsidRDefault="00D30A6C" w:rsidP="0036540B">
      <w:pPr>
        <w:spacing w:line="480" w:lineRule="auto"/>
        <w:rPr>
          <w:lang w:val="en-US"/>
        </w:rPr>
      </w:pPr>
    </w:p>
    <w:p w14:paraId="0EC7469B" w14:textId="77777777" w:rsidR="00D30A6C" w:rsidRDefault="00D30A6C" w:rsidP="0036540B">
      <w:pPr>
        <w:spacing w:line="480" w:lineRule="auto"/>
        <w:rPr>
          <w:lang w:val="en-US"/>
        </w:rPr>
      </w:pPr>
    </w:p>
    <w:p w14:paraId="0E2A7B42" w14:textId="0DEC618F" w:rsidR="00D30A6C" w:rsidRPr="00D30A6C" w:rsidRDefault="00D30A6C" w:rsidP="00D30A6C">
      <w:pPr>
        <w:spacing w:line="480" w:lineRule="auto"/>
        <w:jc w:val="both"/>
        <w:rPr>
          <w:lang w:val="en-US"/>
        </w:rPr>
      </w:pPr>
      <w:r w:rsidRPr="00D30A6C">
        <w:rPr>
          <w:lang w:val="en-US"/>
        </w:rPr>
        <w:t>Table 3.</w:t>
      </w:r>
      <w:r>
        <w:rPr>
          <w:lang w:val="en-US"/>
        </w:rPr>
        <w:t>7</w:t>
      </w:r>
      <w:r w:rsidRPr="00D30A6C">
        <w:rPr>
          <w:lang w:val="en-US"/>
        </w:rPr>
        <w:t xml:space="preserve"> Content analysis results.</w:t>
      </w:r>
    </w:p>
    <w:p w14:paraId="4DEE81AA" w14:textId="77777777" w:rsidR="00725B42" w:rsidRDefault="00725B42" w:rsidP="0036540B">
      <w:pPr>
        <w:spacing w:line="480" w:lineRule="auto"/>
        <w:rPr>
          <w:lang w:val="en-US"/>
        </w:rPr>
      </w:pPr>
    </w:p>
    <w:p w14:paraId="51F126B5" w14:textId="77777777" w:rsidR="00725B42" w:rsidRDefault="00725B42" w:rsidP="0036540B">
      <w:pPr>
        <w:spacing w:line="480" w:lineRule="auto"/>
        <w:rPr>
          <w:lang w:val="en-US"/>
        </w:rPr>
      </w:pPr>
    </w:p>
    <w:p w14:paraId="2B66C054" w14:textId="77777777" w:rsidR="00725B42" w:rsidRDefault="00725B42" w:rsidP="0036540B">
      <w:pPr>
        <w:spacing w:line="480" w:lineRule="auto"/>
        <w:rPr>
          <w:lang w:val="en-US"/>
        </w:rPr>
      </w:pPr>
    </w:p>
    <w:p w14:paraId="1FED1070" w14:textId="77777777" w:rsidR="00725B42" w:rsidRDefault="00725B42" w:rsidP="0036540B">
      <w:pPr>
        <w:spacing w:line="480" w:lineRule="auto"/>
        <w:rPr>
          <w:lang w:val="en-US"/>
        </w:rPr>
      </w:pPr>
    </w:p>
    <w:p w14:paraId="649C5BD2" w14:textId="77777777" w:rsidR="00725B42" w:rsidRDefault="00725B42" w:rsidP="0036540B">
      <w:pPr>
        <w:spacing w:line="480" w:lineRule="auto"/>
        <w:rPr>
          <w:lang w:val="en-US"/>
        </w:rPr>
      </w:pPr>
    </w:p>
    <w:p w14:paraId="5D7B7DE6" w14:textId="77777777" w:rsidR="00725B42" w:rsidRDefault="00725B42" w:rsidP="0036540B">
      <w:pPr>
        <w:spacing w:line="480" w:lineRule="auto"/>
        <w:rPr>
          <w:lang w:val="en-US"/>
        </w:rPr>
      </w:pPr>
    </w:p>
    <w:p w14:paraId="6599CEFF" w14:textId="77777777" w:rsidR="00725B42" w:rsidRDefault="00725B42" w:rsidP="0036540B">
      <w:pPr>
        <w:spacing w:line="480" w:lineRule="auto"/>
        <w:rPr>
          <w:lang w:val="en-US"/>
        </w:rPr>
      </w:pPr>
    </w:p>
    <w:p w14:paraId="58A702CC" w14:textId="77777777" w:rsidR="00725B42" w:rsidRDefault="00725B42" w:rsidP="0036540B">
      <w:pPr>
        <w:spacing w:line="480" w:lineRule="auto"/>
        <w:rPr>
          <w:lang w:val="en-US"/>
        </w:rPr>
      </w:pPr>
    </w:p>
    <w:p w14:paraId="1A23371C" w14:textId="77777777" w:rsidR="00725B42" w:rsidRDefault="00725B42" w:rsidP="0036540B">
      <w:pPr>
        <w:spacing w:line="480" w:lineRule="auto"/>
        <w:rPr>
          <w:lang w:val="en-US"/>
        </w:rPr>
      </w:pPr>
    </w:p>
    <w:p w14:paraId="5405EF55" w14:textId="77777777" w:rsidR="00725B42" w:rsidRDefault="00725B42" w:rsidP="0036540B">
      <w:pPr>
        <w:spacing w:line="480" w:lineRule="auto"/>
        <w:rPr>
          <w:lang w:val="en-US"/>
        </w:rPr>
      </w:pPr>
    </w:p>
    <w:p w14:paraId="02BB78A2" w14:textId="77777777" w:rsidR="00725B42" w:rsidRDefault="00725B42" w:rsidP="0036540B">
      <w:pPr>
        <w:spacing w:line="480" w:lineRule="auto"/>
        <w:rPr>
          <w:lang w:val="en-US"/>
        </w:rPr>
      </w:pPr>
    </w:p>
    <w:p w14:paraId="18A92EB2" w14:textId="77777777" w:rsidR="00725B42" w:rsidRDefault="00725B42" w:rsidP="00725B42">
      <w:pPr>
        <w:spacing w:line="480" w:lineRule="auto"/>
        <w:jc w:val="center"/>
        <w:rPr>
          <w:b/>
          <w:sz w:val="28"/>
          <w:szCs w:val="28"/>
          <w:lang w:val="en-US"/>
        </w:rPr>
      </w:pPr>
    </w:p>
    <w:p w14:paraId="2D71244D" w14:textId="77777777" w:rsidR="00725B42" w:rsidRDefault="00725B42" w:rsidP="00725B42">
      <w:pPr>
        <w:spacing w:line="480" w:lineRule="auto"/>
        <w:jc w:val="center"/>
        <w:rPr>
          <w:b/>
          <w:sz w:val="28"/>
          <w:szCs w:val="28"/>
          <w:lang w:val="en-US"/>
        </w:rPr>
      </w:pPr>
    </w:p>
    <w:p w14:paraId="688A7C4E" w14:textId="77777777" w:rsidR="00725B42" w:rsidRDefault="00725B42" w:rsidP="00725B42">
      <w:pPr>
        <w:spacing w:line="480" w:lineRule="auto"/>
        <w:jc w:val="center"/>
        <w:rPr>
          <w:b/>
          <w:sz w:val="28"/>
          <w:szCs w:val="28"/>
          <w:lang w:val="en-US"/>
        </w:rPr>
      </w:pPr>
    </w:p>
    <w:p w14:paraId="23CFB07A" w14:textId="77777777" w:rsidR="00725B42" w:rsidRDefault="00725B42" w:rsidP="00725B42">
      <w:pPr>
        <w:spacing w:line="480" w:lineRule="auto"/>
        <w:jc w:val="center"/>
        <w:rPr>
          <w:b/>
          <w:sz w:val="28"/>
          <w:szCs w:val="28"/>
          <w:lang w:val="en-US"/>
        </w:rPr>
      </w:pPr>
    </w:p>
    <w:p w14:paraId="71B200A0" w14:textId="77777777" w:rsidR="00725B42" w:rsidRDefault="00725B42" w:rsidP="00725B42">
      <w:pPr>
        <w:spacing w:line="480" w:lineRule="auto"/>
        <w:jc w:val="center"/>
        <w:rPr>
          <w:b/>
          <w:sz w:val="28"/>
          <w:szCs w:val="28"/>
          <w:lang w:val="en-US"/>
        </w:rPr>
      </w:pPr>
    </w:p>
    <w:p w14:paraId="54CEDED4" w14:textId="77777777" w:rsidR="00725B42" w:rsidRDefault="00725B42" w:rsidP="00725B42">
      <w:pPr>
        <w:spacing w:line="480" w:lineRule="auto"/>
        <w:jc w:val="center"/>
        <w:rPr>
          <w:b/>
          <w:sz w:val="28"/>
          <w:szCs w:val="28"/>
          <w:lang w:val="en-US"/>
        </w:rPr>
      </w:pPr>
    </w:p>
    <w:p w14:paraId="1F4749A7" w14:textId="77777777" w:rsidR="00725B42" w:rsidRDefault="00725B42" w:rsidP="00725B42">
      <w:pPr>
        <w:spacing w:line="480" w:lineRule="auto"/>
        <w:jc w:val="center"/>
        <w:rPr>
          <w:b/>
          <w:sz w:val="28"/>
          <w:szCs w:val="28"/>
          <w:lang w:val="en-US"/>
        </w:rPr>
      </w:pPr>
    </w:p>
    <w:p w14:paraId="0CE14EF5" w14:textId="77777777" w:rsidR="00725B42" w:rsidRDefault="00725B42" w:rsidP="00725B42">
      <w:pPr>
        <w:spacing w:line="480" w:lineRule="auto"/>
        <w:jc w:val="center"/>
        <w:rPr>
          <w:b/>
          <w:sz w:val="28"/>
          <w:szCs w:val="28"/>
          <w:lang w:val="en-US"/>
        </w:rPr>
      </w:pPr>
    </w:p>
    <w:p w14:paraId="3A9EC4D3" w14:textId="77777777" w:rsidR="00725B42" w:rsidRDefault="00725B42" w:rsidP="00725B42">
      <w:pPr>
        <w:spacing w:line="480" w:lineRule="auto"/>
        <w:jc w:val="center"/>
        <w:rPr>
          <w:b/>
          <w:sz w:val="28"/>
          <w:szCs w:val="28"/>
          <w:lang w:val="en-US"/>
        </w:rPr>
      </w:pPr>
    </w:p>
    <w:p w14:paraId="1BBA0D58" w14:textId="77777777" w:rsidR="00725B42" w:rsidRDefault="00725B42" w:rsidP="00725B42">
      <w:pPr>
        <w:spacing w:line="480" w:lineRule="auto"/>
        <w:jc w:val="center"/>
        <w:rPr>
          <w:b/>
          <w:sz w:val="28"/>
          <w:szCs w:val="28"/>
          <w:lang w:val="en-US"/>
        </w:rPr>
      </w:pPr>
    </w:p>
    <w:p w14:paraId="4B9E9D6B" w14:textId="77777777" w:rsidR="00725B42" w:rsidRDefault="00725B42" w:rsidP="00725B42">
      <w:pPr>
        <w:spacing w:line="480" w:lineRule="auto"/>
        <w:jc w:val="center"/>
        <w:rPr>
          <w:b/>
          <w:sz w:val="28"/>
          <w:szCs w:val="28"/>
          <w:lang w:val="en-US"/>
        </w:rPr>
      </w:pPr>
    </w:p>
    <w:p w14:paraId="1F09F168" w14:textId="77777777" w:rsidR="00725B42" w:rsidRDefault="00725B42" w:rsidP="00725B42">
      <w:pPr>
        <w:spacing w:line="480" w:lineRule="auto"/>
        <w:jc w:val="center"/>
        <w:rPr>
          <w:b/>
          <w:sz w:val="28"/>
          <w:szCs w:val="28"/>
          <w:lang w:val="en-US"/>
        </w:rPr>
      </w:pPr>
    </w:p>
    <w:p w14:paraId="5B7EECF5" w14:textId="77777777" w:rsidR="00725B42" w:rsidRDefault="00725B42" w:rsidP="00725B42">
      <w:pPr>
        <w:spacing w:line="480" w:lineRule="auto"/>
        <w:jc w:val="center"/>
        <w:rPr>
          <w:b/>
          <w:sz w:val="28"/>
          <w:szCs w:val="28"/>
          <w:lang w:val="en-US"/>
        </w:rPr>
      </w:pPr>
    </w:p>
    <w:p w14:paraId="2F556C77" w14:textId="77777777" w:rsidR="00725B42" w:rsidRDefault="00725B42" w:rsidP="00725B42">
      <w:pPr>
        <w:spacing w:line="480" w:lineRule="auto"/>
        <w:jc w:val="center"/>
        <w:rPr>
          <w:b/>
          <w:sz w:val="28"/>
          <w:szCs w:val="28"/>
          <w:lang w:val="en-US"/>
        </w:rPr>
      </w:pPr>
    </w:p>
    <w:p w14:paraId="7B2ED590" w14:textId="77777777" w:rsidR="00725B42" w:rsidRDefault="00725B42" w:rsidP="00725B42">
      <w:pPr>
        <w:spacing w:line="480" w:lineRule="auto"/>
        <w:jc w:val="center"/>
        <w:rPr>
          <w:b/>
          <w:sz w:val="28"/>
          <w:szCs w:val="28"/>
          <w:lang w:val="en-US"/>
        </w:rPr>
      </w:pPr>
    </w:p>
    <w:p w14:paraId="4EC3E854" w14:textId="77777777" w:rsidR="00725B42" w:rsidRDefault="00725B42" w:rsidP="00725B42">
      <w:pPr>
        <w:spacing w:line="480" w:lineRule="auto"/>
        <w:jc w:val="center"/>
        <w:rPr>
          <w:b/>
          <w:sz w:val="28"/>
          <w:szCs w:val="28"/>
          <w:lang w:val="en-US"/>
        </w:rPr>
      </w:pPr>
    </w:p>
    <w:p w14:paraId="4CB4B176" w14:textId="77777777" w:rsidR="00725B42" w:rsidRDefault="00725B42" w:rsidP="00725B42">
      <w:pPr>
        <w:spacing w:line="480" w:lineRule="auto"/>
        <w:jc w:val="center"/>
        <w:rPr>
          <w:b/>
          <w:sz w:val="28"/>
          <w:szCs w:val="28"/>
          <w:lang w:val="en-US"/>
        </w:rPr>
      </w:pPr>
    </w:p>
    <w:p w14:paraId="4B08D8A1" w14:textId="77777777" w:rsidR="00725B42" w:rsidRDefault="00725B42" w:rsidP="00725B42">
      <w:pPr>
        <w:spacing w:line="480" w:lineRule="auto"/>
        <w:jc w:val="center"/>
        <w:rPr>
          <w:b/>
          <w:sz w:val="28"/>
          <w:szCs w:val="28"/>
          <w:lang w:val="en-US"/>
        </w:rPr>
      </w:pPr>
    </w:p>
    <w:p w14:paraId="2D6B6D62" w14:textId="77777777" w:rsidR="00725B42" w:rsidRDefault="00725B42" w:rsidP="00725B42">
      <w:pPr>
        <w:spacing w:line="480" w:lineRule="auto"/>
        <w:jc w:val="center"/>
        <w:rPr>
          <w:b/>
          <w:sz w:val="28"/>
          <w:szCs w:val="28"/>
          <w:lang w:val="en-US"/>
        </w:rPr>
      </w:pPr>
    </w:p>
    <w:p w14:paraId="7C2769DB" w14:textId="77777777" w:rsidR="00725B42" w:rsidRDefault="00725B42" w:rsidP="00EB628E">
      <w:pPr>
        <w:spacing w:line="480" w:lineRule="auto"/>
        <w:rPr>
          <w:b/>
          <w:sz w:val="28"/>
          <w:szCs w:val="28"/>
          <w:lang w:val="en-US"/>
        </w:rPr>
      </w:pPr>
    </w:p>
    <w:p w14:paraId="3CC4A8A6" w14:textId="77777777" w:rsidR="00EB628E" w:rsidRDefault="00EB628E" w:rsidP="00EB628E">
      <w:pPr>
        <w:spacing w:line="480" w:lineRule="auto"/>
        <w:rPr>
          <w:b/>
          <w:sz w:val="28"/>
          <w:szCs w:val="28"/>
          <w:lang w:val="en-US"/>
        </w:rPr>
      </w:pPr>
    </w:p>
    <w:p w14:paraId="645F6CB5" w14:textId="77777777" w:rsidR="00381871" w:rsidRDefault="00381871" w:rsidP="00EB628E">
      <w:pPr>
        <w:spacing w:line="480" w:lineRule="auto"/>
        <w:rPr>
          <w:b/>
          <w:sz w:val="28"/>
          <w:szCs w:val="28"/>
          <w:lang w:val="en-US"/>
        </w:rPr>
      </w:pPr>
    </w:p>
    <w:p w14:paraId="018FF902" w14:textId="35267CED" w:rsidR="00725B42" w:rsidRPr="00740B0F" w:rsidRDefault="00725B42" w:rsidP="00725B42">
      <w:pPr>
        <w:spacing w:line="480" w:lineRule="auto"/>
        <w:jc w:val="center"/>
        <w:rPr>
          <w:b/>
          <w:sz w:val="28"/>
          <w:szCs w:val="28"/>
          <w:lang w:val="en-US"/>
        </w:rPr>
      </w:pPr>
      <w:r>
        <w:rPr>
          <w:b/>
          <w:sz w:val="28"/>
          <w:szCs w:val="28"/>
          <w:lang w:val="en-US"/>
        </w:rPr>
        <w:t>Chapter 4</w:t>
      </w:r>
    </w:p>
    <w:p w14:paraId="0E14A439" w14:textId="072DB028" w:rsidR="00725B42" w:rsidRPr="00A03210" w:rsidRDefault="00725B42" w:rsidP="00725B42">
      <w:pPr>
        <w:spacing w:line="480" w:lineRule="auto"/>
        <w:jc w:val="center"/>
        <w:rPr>
          <w:rFonts w:cs="Times New Roman"/>
          <w:b/>
          <w:sz w:val="28"/>
          <w:szCs w:val="28"/>
        </w:rPr>
      </w:pPr>
      <w:r w:rsidRPr="00A03210">
        <w:rPr>
          <w:rFonts w:cs="Times New Roman"/>
          <w:b/>
          <w:sz w:val="28"/>
          <w:szCs w:val="28"/>
          <w:lang w:val="en-US"/>
        </w:rPr>
        <w:t>Exploring the Fundraising Role in the Value Creation Process of Public Universities</w:t>
      </w:r>
    </w:p>
    <w:p w14:paraId="10D4EBD6" w14:textId="678FB867" w:rsidR="00AC3D9E" w:rsidRDefault="00AC3D9E" w:rsidP="00725B42">
      <w:pPr>
        <w:spacing w:line="480" w:lineRule="auto"/>
        <w:jc w:val="center"/>
        <w:rPr>
          <w:lang w:val="en-US"/>
        </w:rPr>
      </w:pPr>
    </w:p>
    <w:p w14:paraId="4897A686" w14:textId="77777777" w:rsidR="00725B42" w:rsidRPr="00725B42" w:rsidRDefault="00725B42" w:rsidP="00725B42">
      <w:pPr>
        <w:spacing w:line="480" w:lineRule="auto"/>
        <w:jc w:val="both"/>
        <w:rPr>
          <w:b/>
        </w:rPr>
      </w:pPr>
      <w:r w:rsidRPr="00725B42">
        <w:rPr>
          <w:b/>
        </w:rPr>
        <w:t xml:space="preserve">4.1 </w:t>
      </w:r>
      <w:r w:rsidRPr="00725B42">
        <w:rPr>
          <w:b/>
          <w:lang w:val="en-US"/>
        </w:rPr>
        <w:t>Introduction</w:t>
      </w:r>
      <w:r w:rsidRPr="00725B42">
        <w:rPr>
          <w:b/>
        </w:rPr>
        <w:t xml:space="preserve"> </w:t>
      </w:r>
    </w:p>
    <w:p w14:paraId="7CDC4941" w14:textId="2353D337" w:rsidR="00725B42" w:rsidRPr="00725B42" w:rsidRDefault="00725B42" w:rsidP="00725B42">
      <w:pPr>
        <w:spacing w:line="480" w:lineRule="auto"/>
        <w:jc w:val="both"/>
        <w:rPr>
          <w:lang w:val="en-US"/>
        </w:rPr>
      </w:pPr>
      <w:r w:rsidRPr="00725B42">
        <w:rPr>
          <w:lang w:val="en-US"/>
        </w:rPr>
        <w:t>The mission of a public university</w:t>
      </w:r>
      <w:r w:rsidR="00C12A8B">
        <w:rPr>
          <w:lang w:val="en-US"/>
        </w:rPr>
        <w:t xml:space="preserve"> is defined as the delivery of research, teaching and o</w:t>
      </w:r>
      <w:r w:rsidRPr="00725B42">
        <w:rPr>
          <w:lang w:val="en-US"/>
        </w:rPr>
        <w:t xml:space="preserve">utreach activities, with the aim of contributing to the social, cultural and economic development, through the application of the knowledge acquired by the university itself or by technology and know-how transfer’s actions (Link et al., 2007; Meoli &amp; Vismara, 2016; Paleari et al., 2015). Within this context, public universities consider several means and tools to reach the institutional objectives defined by their mission. From the financial point of view, the governmental support is a </w:t>
      </w:r>
      <w:r w:rsidRPr="00725B42">
        <w:rPr>
          <w:i/>
          <w:lang w:val="en-US"/>
        </w:rPr>
        <w:t xml:space="preserve">conditio sine qua non </w:t>
      </w:r>
      <w:r w:rsidRPr="00725B42">
        <w:rPr>
          <w:lang w:val="en-US"/>
        </w:rPr>
        <w:t>to ensure the services that public universities are supposed to delivery. In fact, from this perspective, universities output and outcome are considered as public goods (Bonaccorsi, 2003; Bonardo et al., 2010; 2011; Marginson, 20</w:t>
      </w:r>
      <w:r w:rsidR="00C12A8B">
        <w:rPr>
          <w:lang w:val="en-US"/>
        </w:rPr>
        <w:t>06). Moreover, focusing on the r</w:t>
      </w:r>
      <w:r w:rsidRPr="00725B42">
        <w:rPr>
          <w:lang w:val="en-US"/>
        </w:rPr>
        <w:t>esearch function and especially on the basic research, it is necessary for the development of results useful to obtain new scientific discoveries in all fields of study, crucial for the whole society. Furthermore, the applied research and the technology development, in spite of their capability to be included in the selling of goods and services, cannot be sustained only by private investments, considering knowledge transfer’s ease and patent’s issues (</w:t>
      </w:r>
      <w:r w:rsidRPr="00725B42">
        <w:t>Audretsch</w:t>
      </w:r>
      <w:r w:rsidRPr="00725B42">
        <w:rPr>
          <w:lang w:val="en-US"/>
        </w:rPr>
        <w:t xml:space="preserve"> et al., 2014; Cassia et al., 2013; Meoli et al., 2013). Hence, the governmental actions in regularly financing research activities are justified: otherwise, scientific research couldn’t be sustainable, undermining the relating and further knowledge and empirical developments, which are not predictable </w:t>
      </w:r>
      <w:r w:rsidRPr="00725B42">
        <w:rPr>
          <w:i/>
          <w:lang w:val="en-US"/>
        </w:rPr>
        <w:t>ex ante</w:t>
      </w:r>
      <w:r w:rsidRPr="00725B42">
        <w:rPr>
          <w:lang w:val="en-US"/>
        </w:rPr>
        <w:t xml:space="preserve"> (Benavente et al., 2012; Bozeman &amp; Gaughan, 2007; Defazio et al., 2009). Therefore, the lack of governmental support, especially relating to</w:t>
      </w:r>
      <w:r w:rsidR="00C12A8B">
        <w:rPr>
          <w:lang w:val="en-US"/>
        </w:rPr>
        <w:t xml:space="preserve"> the r</w:t>
      </w:r>
      <w:r w:rsidRPr="00725B42">
        <w:rPr>
          <w:lang w:val="en-US"/>
        </w:rPr>
        <w:t>esearch function, can also affect private investment</w:t>
      </w:r>
      <w:r w:rsidR="009032B9">
        <w:rPr>
          <w:lang w:val="en-US"/>
        </w:rPr>
        <w:t>s</w:t>
      </w:r>
      <w:r w:rsidRPr="00725B42">
        <w:rPr>
          <w:lang w:val="en-US"/>
        </w:rPr>
        <w:t xml:space="preserve"> in university. In fact, private enterprises face issues like the imitation likelihood of the results got by investments in innovation, from one point of view, and the positive consequences of these results, whose outcome is not available only to the single investor (Cattaneo et al., 2014; Lejpras, 2014). This lead to the need of public intervention in support universities’ fun</w:t>
      </w:r>
      <w:r w:rsidR="009032B9">
        <w:rPr>
          <w:lang w:val="en-US"/>
        </w:rPr>
        <w:t>ctions, especially considering research and d</w:t>
      </w:r>
      <w:r w:rsidRPr="00725B42">
        <w:rPr>
          <w:lang w:val="en-US"/>
        </w:rPr>
        <w:t xml:space="preserve">evelopment activities, under different perspectives, like human and intellectual capital, patents, incentives and funding. </w:t>
      </w:r>
    </w:p>
    <w:p w14:paraId="29F33601" w14:textId="77777777" w:rsidR="00725B42" w:rsidRPr="00725B42" w:rsidRDefault="00725B42" w:rsidP="00725B42">
      <w:pPr>
        <w:spacing w:line="480" w:lineRule="auto"/>
        <w:jc w:val="both"/>
        <w:rPr>
          <w:lang w:val="en-US"/>
        </w:rPr>
      </w:pPr>
      <w:r w:rsidRPr="00725B42">
        <w:rPr>
          <w:lang w:val="en-US"/>
        </w:rPr>
        <w:t xml:space="preserve">Within this scenario, the governmental support is defined as a mix of actions. Moreover, basic and applied research is delivered in each field of study, especially in the universities and within public research entities. It is produced by different levels of private sector (enterprises) involvement, but it calls for public and non-profit support. Hence, research is sustained by a mix of actors, in addition to the aforementioned mix of actions. The former ensures not only a development in knowledge creation otherwise not achievable, but also an innovation, in terms of empirical and tangible results, within the “production” system. Besides, the latter positively affect productivity and development for the whole society (Bonaccorsi, 2003; Fritsch &amp; Aamoucke, 2013; Paleari et al., 2015). Therefore, within the Italian public universities’ context, considering the crucial role that University has for society at large, a deeper investigation about governmental financial support and alternative forms of fundraising is desirable. </w:t>
      </w:r>
    </w:p>
    <w:p w14:paraId="726B93B6" w14:textId="1F337756" w:rsidR="00725B42" w:rsidRPr="00725B42" w:rsidRDefault="00725B42" w:rsidP="00725B42">
      <w:pPr>
        <w:spacing w:line="480" w:lineRule="auto"/>
        <w:jc w:val="both"/>
        <w:rPr>
          <w:lang w:val="en-US"/>
        </w:rPr>
      </w:pPr>
      <w:r w:rsidRPr="00725B42">
        <w:rPr>
          <w:lang w:val="en-US"/>
        </w:rPr>
        <w:t>Literature about fundraising in the higher education context is quite rich and investigates the topic from several perspectives, like fundraising success’ factors (Freeman, 2010; Tang, 2010), institutional and organizational changes due to the introduction of fundraising practices (Farley, 2018; Kimball, 2014; Scott, 2013) fundraising donors’ behavior and donation drivers (Drezner, 2013; Eckel et al. 2017; Freeland et al., 2015; Rohayati et al., 2016; Stephenson &amp; Yerger, 2014; Tsunoda, 2010), and new forms of fundraising as crowdfunding (Marshall, 2013; Wieck et al., 2015). Unfortunately, literature has not given enough importance to the relationship between the fundraising tools, chosen by the university to get funds, and objectives, in terms of output and outcome, that they want to support by those fundraising means. This chapter seeks to fill this literature gap. The aim of the former is to understand if there is a relationship between fundraising characteristics and university’s output and outcome, in terms of three university’s function</w:t>
      </w:r>
      <w:r w:rsidR="009032B9">
        <w:rPr>
          <w:lang w:val="en-US"/>
        </w:rPr>
        <w:t>s</w:t>
      </w:r>
      <w:r w:rsidRPr="00725B42">
        <w:rPr>
          <w:lang w:val="en-US"/>
        </w:rPr>
        <w:t>. Moreover, this study is focused on the Italian public universities and on fundraising as a mean to reach university’s objectives (in terms of output and outcome), through sustaining university’s functions. In order to reach the research aim, the research questions are formulated as follows:</w:t>
      </w:r>
    </w:p>
    <w:p w14:paraId="240E94AC" w14:textId="40530403" w:rsidR="00725B42" w:rsidRPr="00530A0B" w:rsidRDefault="00725B42" w:rsidP="00530A0B">
      <w:pPr>
        <w:pStyle w:val="Paragrafoelenco"/>
        <w:numPr>
          <w:ilvl w:val="0"/>
          <w:numId w:val="23"/>
        </w:numPr>
        <w:spacing w:line="480" w:lineRule="auto"/>
        <w:jc w:val="both"/>
        <w:rPr>
          <w:lang w:val="en-US"/>
        </w:rPr>
      </w:pPr>
      <w:r w:rsidRPr="00530A0B">
        <w:rPr>
          <w:lang w:val="en-US"/>
        </w:rPr>
        <w:t>Is fundraising able to influence university’s outcome in terms of three university’s functions?</w:t>
      </w:r>
    </w:p>
    <w:p w14:paraId="5E6A3F28" w14:textId="250AE0BC" w:rsidR="00725B42" w:rsidRPr="00530A0B" w:rsidRDefault="00725B42" w:rsidP="00530A0B">
      <w:pPr>
        <w:pStyle w:val="Paragrafoelenco"/>
        <w:numPr>
          <w:ilvl w:val="0"/>
          <w:numId w:val="23"/>
        </w:numPr>
        <w:spacing w:line="480" w:lineRule="auto"/>
        <w:jc w:val="both"/>
        <w:rPr>
          <w:lang w:val="en-US"/>
        </w:rPr>
      </w:pPr>
      <w:r w:rsidRPr="00530A0B">
        <w:rPr>
          <w:lang w:val="en-US"/>
        </w:rPr>
        <w:t>Which are the fundraising features that have an impact on university’s outcome?</w:t>
      </w:r>
    </w:p>
    <w:p w14:paraId="2D05D5F9" w14:textId="0020A21D" w:rsidR="00725B42" w:rsidRPr="00725B42" w:rsidRDefault="009032B9" w:rsidP="00725B42">
      <w:pPr>
        <w:spacing w:line="480" w:lineRule="auto"/>
        <w:jc w:val="both"/>
        <w:rPr>
          <w:lang w:val="en-US"/>
        </w:rPr>
      </w:pPr>
      <w:r>
        <w:rPr>
          <w:lang w:val="en-US"/>
        </w:rPr>
        <w:t>Hence</w:t>
      </w:r>
      <w:r w:rsidR="00725B42" w:rsidRPr="00725B42">
        <w:rPr>
          <w:lang w:val="en-US"/>
        </w:rPr>
        <w:t xml:space="preserve">, nine interviews to different academic fundraising delegates and managers were run. They were analyzed by grounded theory methodology (Charmaz, 2006; Glaser, 1978; Glaser &amp; Strauss, 1967; Strauss, 1987; Strauss &amp; Corbin, 1990), in order to develop a grounded theory from the collection and interpretation of the data gathered </w:t>
      </w:r>
      <w:r>
        <w:rPr>
          <w:lang w:val="en-US"/>
        </w:rPr>
        <w:t>(</w:t>
      </w:r>
      <w:r w:rsidR="00725B42" w:rsidRPr="00725B42">
        <w:rPr>
          <w:lang w:val="en-US"/>
        </w:rPr>
        <w:t xml:space="preserve">Flick, 2014). </w:t>
      </w:r>
    </w:p>
    <w:p w14:paraId="53EE6F46" w14:textId="229F1520" w:rsidR="00725B42" w:rsidRPr="00725B42" w:rsidRDefault="00725B42" w:rsidP="00725B42">
      <w:pPr>
        <w:spacing w:line="480" w:lineRule="auto"/>
        <w:jc w:val="both"/>
        <w:rPr>
          <w:lang w:val="en-US"/>
        </w:rPr>
      </w:pPr>
      <w:r w:rsidRPr="00725B42">
        <w:rPr>
          <w:lang w:val="en-US"/>
        </w:rPr>
        <w:t>Results refer to the alternative fundraising tools’ dissemination and features throughout Italian public universities. Hence, a map of the main means used to gather funds by the universities aforementioned is delivered. Moreover, the interviews’ analysis allows examining in depth the strategies and the plans to face the severely decrease of governmental funding, from one perspective, and the introduction of performance-based funding, from another perspective. Finally, the fundraising tools’ features are considered in relation to their effect on university’s output and outcome, always considering the university’s functions.</w:t>
      </w:r>
    </w:p>
    <w:p w14:paraId="7D2FA4A5" w14:textId="7E547535" w:rsidR="00725B42" w:rsidRPr="00725B42" w:rsidRDefault="00725B42" w:rsidP="00725B42">
      <w:pPr>
        <w:spacing w:line="480" w:lineRule="auto"/>
        <w:jc w:val="both"/>
        <w:rPr>
          <w:lang w:val="en-US"/>
        </w:rPr>
      </w:pPr>
      <w:r w:rsidRPr="00725B42">
        <w:rPr>
          <w:lang w:val="en-US"/>
        </w:rPr>
        <w:t>The chapter starts with a literature review about all the changes occurred, since 2008, within the Italian higher education system and cause by the huge economic crisis started in 2008</w:t>
      </w:r>
      <w:r w:rsidR="006874CB">
        <w:rPr>
          <w:lang w:val="en-US"/>
        </w:rPr>
        <w:t>,</w:t>
      </w:r>
      <w:r w:rsidRPr="00725B42">
        <w:rPr>
          <w:lang w:val="en-US"/>
        </w:rPr>
        <w:t xml:space="preserve"> from one point of view, and by the introduction of some market-oriented mechanisms, like performance-based funding, from another point of view. This section ended with a framework relating to the definition of the university’s performance in terms of output and outcome. Literature review’s paragraph is followed by the methodology one. Afterwards, the </w:t>
      </w:r>
      <w:r w:rsidR="006874CB">
        <w:rPr>
          <w:lang w:val="en-US"/>
        </w:rPr>
        <w:t>empirical analysis is presented</w:t>
      </w:r>
      <w:r w:rsidRPr="00725B42">
        <w:rPr>
          <w:lang w:val="en-US"/>
        </w:rPr>
        <w:t xml:space="preserve"> and discussed. Finally, some general conclusions, limitations and further development are proposed. </w:t>
      </w:r>
    </w:p>
    <w:p w14:paraId="27CC5471" w14:textId="77777777" w:rsidR="00725B42" w:rsidRPr="00725B42" w:rsidRDefault="00725B42" w:rsidP="00725B42">
      <w:pPr>
        <w:spacing w:line="480" w:lineRule="auto"/>
        <w:jc w:val="both"/>
        <w:rPr>
          <w:lang w:val="en-US"/>
        </w:rPr>
      </w:pPr>
    </w:p>
    <w:p w14:paraId="64D02853" w14:textId="77777777" w:rsidR="00725B42" w:rsidRPr="00725B42" w:rsidRDefault="00725B42" w:rsidP="00725B42">
      <w:pPr>
        <w:spacing w:line="480" w:lineRule="auto"/>
        <w:jc w:val="both"/>
        <w:rPr>
          <w:b/>
        </w:rPr>
      </w:pPr>
      <w:r w:rsidRPr="00725B42">
        <w:rPr>
          <w:b/>
        </w:rPr>
        <w:t xml:space="preserve">4.2 Background </w:t>
      </w:r>
    </w:p>
    <w:p w14:paraId="20A7D79D" w14:textId="7ABA2645" w:rsidR="00725B42" w:rsidRPr="00725B42" w:rsidRDefault="00725B42" w:rsidP="00725B42">
      <w:pPr>
        <w:spacing w:line="480" w:lineRule="auto"/>
        <w:jc w:val="both"/>
        <w:rPr>
          <w:lang w:val="en-US"/>
        </w:rPr>
      </w:pPr>
      <w:r w:rsidRPr="00725B42">
        <w:rPr>
          <w:lang w:val="en-US"/>
        </w:rPr>
        <w:t xml:space="preserve">Within Italian public universities, </w:t>
      </w:r>
      <w:r w:rsidR="006874CB" w:rsidRPr="00725B42">
        <w:rPr>
          <w:lang w:val="en-US"/>
        </w:rPr>
        <w:t>only fees got by students cannot sustain expenses</w:t>
      </w:r>
      <w:r w:rsidRPr="00725B42">
        <w:rPr>
          <w:lang w:val="en-US"/>
        </w:rPr>
        <w:t xml:space="preserve"> and even the governmental support is not sufficient to guarantee the financial sustainability of these institutions (Clark, 2003). In fact, since 2008, the governmental support started to decrease because of the cut in public expenditure (Donina et al., 2013; Lehmann et al., 2017). Moreover, in 2009 some market-oriented mechanisms were introduced to improve the quality of Italian higher education system (Cattaneo et al., 2016; Donina et al. 2013; Lehmann et al., 2017). Among the former, performance-based funding aims at rewarding universities that perform better, in term of research, teaching and outreach quality, by giving them more funds than those whose performances are lower (Cattaneo et al., 2016). Hence, all public universities, more or less, started facing new funding challenges. This is the reason why they had to turn to competition-based funding, like that promoted by the European Union, the Ministry of Education, University and Research (MIUR) and by other public or private (non profit) entities, at national or international level. These actions are mainly addressed to support research (Abramo et al., 2012; Rebora &amp; Turri, 2013). </w:t>
      </w:r>
    </w:p>
    <w:p w14:paraId="6207653E" w14:textId="77777777" w:rsidR="00725B42" w:rsidRPr="00725B42" w:rsidRDefault="00725B42" w:rsidP="00725B42">
      <w:pPr>
        <w:spacing w:line="480" w:lineRule="auto"/>
        <w:jc w:val="both"/>
        <w:rPr>
          <w:lang w:val="en-US"/>
        </w:rPr>
      </w:pPr>
      <w:r w:rsidRPr="00725B42">
        <w:rPr>
          <w:lang w:val="en-US"/>
        </w:rPr>
        <w:t>From the Italian governmental financial support point of view, there are two tools: the ordinary financing fund (Fondo di Finanziamento Ordinario – FFO) and the public research institutions fund (Fondo per gli Enti pubblici di Ricerca – FOE). The former is the main public funding tool to cover the expenses of universities that depend on MIUR. Then, the latter is addressed to public research entities monitored by MIUR. Moreover, according to the Law 537 (December 24</w:t>
      </w:r>
      <w:r w:rsidRPr="00725B42">
        <w:rPr>
          <w:vertAlign w:val="superscript"/>
          <w:lang w:val="en-US"/>
        </w:rPr>
        <w:t>th</w:t>
      </w:r>
      <w:r w:rsidRPr="00725B42">
        <w:rPr>
          <w:lang w:val="en-US"/>
        </w:rPr>
        <w:t xml:space="preserve"> 1993), FFO can be used to cover the expenses related to all the university’s institutional activities, including those for teaching and non-teaching human resources, for the maintenance of the university’s buildings and for scientific research, excluding the part addressed to national research projects, for which there are periodical competition-based calls. Moreover, this law states that FFO can cover expenses to build new university’s infrastructures and to purchase scientific equipment. Finally even specific activities and projects, including new teaching initiatives, can be financed by FFO. </w:t>
      </w:r>
    </w:p>
    <w:p w14:paraId="50C3F91A" w14:textId="6ABA8117" w:rsidR="00725B42" w:rsidRPr="00725B42" w:rsidRDefault="00725B42" w:rsidP="00725B42">
      <w:pPr>
        <w:spacing w:line="480" w:lineRule="auto"/>
        <w:jc w:val="both"/>
        <w:rPr>
          <w:lang w:val="en-US"/>
        </w:rPr>
      </w:pPr>
      <w:r w:rsidRPr="00725B42">
        <w:rPr>
          <w:lang w:val="en-US"/>
        </w:rPr>
        <w:t>The Law 537 has been modifie</w:t>
      </w:r>
      <w:r w:rsidR="006874CB">
        <w:rPr>
          <w:lang w:val="en-US"/>
        </w:rPr>
        <w:t>d several ti</w:t>
      </w:r>
      <w:r w:rsidRPr="00725B42">
        <w:rPr>
          <w:lang w:val="en-US"/>
        </w:rPr>
        <w:t>mes since 1993: in 2010 it is stated that a minimum of 7% of FFO, with increases in the following years, is distributed among the universities</w:t>
      </w:r>
      <w:r w:rsidR="00CC549D">
        <w:rPr>
          <w:lang w:val="en-US"/>
        </w:rPr>
        <w:t xml:space="preserve"> in relation to the quality of teaching and results of t</w:t>
      </w:r>
      <w:r w:rsidRPr="00725B42">
        <w:rPr>
          <w:lang w:val="en-US"/>
        </w:rPr>
        <w:t>eaching processes, to the quality of scientific research, and, finally to the quality, e</w:t>
      </w:r>
      <w:r w:rsidR="00CC549D">
        <w:rPr>
          <w:lang w:val="en-US"/>
        </w:rPr>
        <w:t>ffectiveness and efficiency of t</w:t>
      </w:r>
      <w:r w:rsidRPr="00725B42">
        <w:rPr>
          <w:lang w:val="en-US"/>
        </w:rPr>
        <w:t>eaching locations. This percentage is defined as “reward percentage” (Quota premiale) and it has been increased till 20% in 2016. Moreover, the Law specifies that “reward percentage” can be increased till 30% as maximum. Hence, the distribution of this percentage among universities is regulated by the quality and the conditions of the services delivered. Nonetheless, since 2008 the introduction of the performance-based funding measures aforementioned has been associated with a decrease in governmental funding for universities. From 2008 to 2015 governmental funding has decreased of 13,9%. This trend has been interrupted in 2017, when public funding slightly improved (Lehmann et al., 2017).</w:t>
      </w:r>
    </w:p>
    <w:p w14:paraId="093844C6" w14:textId="5C7DB02F" w:rsidR="00725B42" w:rsidRPr="00725B42" w:rsidRDefault="00725B42" w:rsidP="00725B42">
      <w:pPr>
        <w:spacing w:line="480" w:lineRule="auto"/>
        <w:jc w:val="both"/>
        <w:rPr>
          <w:lang w:val="en-US"/>
        </w:rPr>
      </w:pPr>
      <w:r w:rsidRPr="00725B42">
        <w:rPr>
          <w:lang w:val="en-US"/>
        </w:rPr>
        <w:t>Hence, recent years highlight a stable decrease of “basic percentage” of FFO towards an increase of “reward percentage”, according to the New Public Management logic (De Boer et al., 2007; Hood, 1991; 1995; Kettl, 1997; Leisyte &amp; Kizniene, 2006). This governmental funding strategy aims at developing and encouraging the effectiveness and efficiency of un</w:t>
      </w:r>
      <w:r w:rsidR="00397CDD">
        <w:rPr>
          <w:lang w:val="en-US"/>
        </w:rPr>
        <w:t>iversities’ quality in term of teaching, research and o</w:t>
      </w:r>
      <w:r w:rsidRPr="00725B42">
        <w:rPr>
          <w:lang w:val="en-US"/>
        </w:rPr>
        <w:t>utreach functions (Abramo et al., 2012; Cantele &amp; Campedelli, 2013; Cattaneo et al., 2016; Osuna et al., 2011). Following this reasoning, the governmental funding depends also on university’s performance according to each function and, hence, on its outputs and outcomes, that are both determined by inputs (resources). In fact, “reward percentage” is distributed as fo</w:t>
      </w:r>
      <w:r w:rsidR="002941EA">
        <w:rPr>
          <w:lang w:val="en-US"/>
        </w:rPr>
        <w:t>llows: 70% on the basis of the r</w:t>
      </w:r>
      <w:r w:rsidRPr="00725B42">
        <w:rPr>
          <w:lang w:val="en-US"/>
        </w:rPr>
        <w:t>esearch function’s performance, according to the results evaluated by the Research Quality Evaluation (Valutazione delle Qualità della Ricerca – VQR); 10% according to quality of recruitment of researchers and professors; 20% accor</w:t>
      </w:r>
      <w:r w:rsidR="00771234">
        <w:rPr>
          <w:lang w:val="en-US"/>
        </w:rPr>
        <w:t>ding to performance in term of t</w:t>
      </w:r>
      <w:r w:rsidRPr="00725B42">
        <w:rPr>
          <w:lang w:val="en-US"/>
        </w:rPr>
        <w:t xml:space="preserve">eaching internalization (Francesconi &amp; Guarini, 2017). Therefore, university’s outputs and outcome are several and they are quite complex to be defined (Czarniawska &amp; Gennel, 2002; Cugini &amp; Pilonato, 2006). According </w:t>
      </w:r>
      <w:r w:rsidR="00D94889">
        <w:rPr>
          <w:lang w:val="en-US"/>
        </w:rPr>
        <w:t>to Harris (1998), Teaching and r</w:t>
      </w:r>
      <w:r w:rsidRPr="00725B42">
        <w:rPr>
          <w:lang w:val="en-US"/>
        </w:rPr>
        <w:t xml:space="preserve">esearch’s output and outcome are not so easy to be identified, since their </w:t>
      </w:r>
      <w:r w:rsidR="006E60FD">
        <w:rPr>
          <w:lang w:val="en-US"/>
        </w:rPr>
        <w:t>intangible features. Moreover, research and t</w:t>
      </w:r>
      <w:r w:rsidRPr="00725B42">
        <w:rPr>
          <w:lang w:val="en-US"/>
        </w:rPr>
        <w:t xml:space="preserve">eaching functions are not independent from each other since they involve the same actors (professors) and they are both supported by the same administrative structure (Minelli et al. 2002; Neumann &amp; Guthrie, 2002). Relating to the difference between output and outcome, the former is defined as products or services delivered by an organization, whereas the latter is the long-term effect of these products/services. Since outcome is not completely ascribable to a single organization, being determined by the interaction of several actors, some scholars include only output in the university’s performance definition (Riccaboni et al., 1999). On the contrary, others considers also outcome(s). However, if university output(s) can be easily measured and identified, relating to outcome(s) the debate is still open among scholars. Furthermore, performance indicators are more focused on input and output, rather than outcome (Aversano et al. 2017; Cugini &amp; Pilonato, 2006). </w:t>
      </w:r>
    </w:p>
    <w:p w14:paraId="4EB309BD" w14:textId="45BB5312" w:rsidR="00725B42" w:rsidRPr="00725B42" w:rsidRDefault="00725B42" w:rsidP="00725B42">
      <w:pPr>
        <w:spacing w:line="480" w:lineRule="auto"/>
        <w:jc w:val="both"/>
        <w:rPr>
          <w:lang w:val="en-US"/>
        </w:rPr>
      </w:pPr>
      <w:r w:rsidRPr="00725B42">
        <w:rPr>
          <w:lang w:val="en-US"/>
        </w:rPr>
        <w:t xml:space="preserve">This is the public funding’s state of the art of the Italian higher Education system. </w:t>
      </w:r>
      <w:r w:rsidR="00ED4C66">
        <w:rPr>
          <w:lang w:val="en-US"/>
        </w:rPr>
        <w:t>Hence, t</w:t>
      </w:r>
      <w:r w:rsidRPr="00725B42">
        <w:rPr>
          <w:lang w:val="en-US"/>
        </w:rPr>
        <w:t xml:space="preserve">he progressive reduction of “basic percentage” of FFO and an increasing of “reward percentage” has brought public universities to seek for new sources of alternative funding. Following this reasoning, universities can choose among several fundraising tools: Alumni Associations and university’s Foundation support (Daly, 2013; Freeland et al., 2015; McDearmon, 2010; Scott, 2013; Yan &amp; Luo, 2015), private fundraising, towards natural people (Eckel et al., 2017; Rohayati et al., 2016; Stinson &amp; Howard, 2010; Wu &amp; Brown, 2010) and legal entities as enterprises (Foroudastan &amp; Saxby, 2004; Huynh, 2016), 5x1000 (Corsi &amp; Magnier, 2016), and competition based-funding (Cattaneo et al., 2016). </w:t>
      </w:r>
    </w:p>
    <w:p w14:paraId="45897F23" w14:textId="77777777" w:rsidR="00725B42" w:rsidRPr="00725B42" w:rsidRDefault="00725B42" w:rsidP="00725B42">
      <w:pPr>
        <w:spacing w:line="480" w:lineRule="auto"/>
        <w:jc w:val="both"/>
        <w:rPr>
          <w:lang w:val="en-US"/>
        </w:rPr>
      </w:pPr>
      <w:r w:rsidRPr="00725B42">
        <w:rPr>
          <w:lang w:val="en-US"/>
        </w:rPr>
        <w:t xml:space="preserve">More specifically, Alumni Associations are non-profit organizations, whose mission is the creation and promotion of a social and relations’ network of students and graduates, based on a sense of membership to the university and the support to graduates (Scott, 2013). Alumni Associations usually gather funds by the organization of cultural events, workshops, seminars, often in partnership with linked non-profit organizations, as professional and entrepreneurial associations, and by the launch of innovative projects in the scientific, economic, cultural and social fields (Daly, 2013). These funds are later transferred to the university in order to support specific projects, which are usually communicated to donors (McDearmon, 2010). Then, even the university’s Foundation is a non-profit organization, whose aim is to sustain the university by pursuing its institutional objectives as the purchase of most convenient goods and services and the development of support activities as teaching and scientific research. University’s Foundation receives governmental and private (by contracts and agreements) funds (Marlin et al., 2009). Other sources of funding are the teaching, research and technology-transfer activities, in addition to the management of the academic buildings. Hence, university’s Foundation supports university both by running all these activities and by financing some projects with the funds gathered (Morozova et al., 2016). </w:t>
      </w:r>
    </w:p>
    <w:p w14:paraId="46DF35A2" w14:textId="77777777" w:rsidR="00725B42" w:rsidRPr="00725B42" w:rsidRDefault="00725B42" w:rsidP="00725B42">
      <w:pPr>
        <w:spacing w:line="480" w:lineRule="auto"/>
        <w:jc w:val="both"/>
        <w:rPr>
          <w:lang w:val="en-US"/>
        </w:rPr>
      </w:pPr>
      <w:r w:rsidRPr="00725B42">
        <w:rPr>
          <w:lang w:val="en-US"/>
        </w:rPr>
        <w:t xml:space="preserve">Moreover, private fundraising towards natural people and legal entities assume the will by the university to include among its institutional and strategic objectives the </w:t>
      </w:r>
      <w:r w:rsidRPr="00725B42">
        <w:rPr>
          <w:i/>
          <w:lang w:val="en-US"/>
        </w:rPr>
        <w:t>“dialogue with the whole society”</w:t>
      </w:r>
      <w:r w:rsidRPr="00725B42">
        <w:rPr>
          <w:lang w:val="en-US"/>
        </w:rPr>
        <w:t xml:space="preserve">. Relating to fundraising oriented to involve natural people as donors, public universities have to communicate the value they create, by their three functions, for the society. Furthermore, a greater attention must be put on those values, created by the universities, able to increase social, political and economic conditions, especially considering cultural and education development (Caton &amp; Mistriner, 2016; Paleari et al., 2015). Besides, from the perspective of fundraising relating to legal entities, as enterprises, the tool is technology-transfer oriented to the evaluation, protection and commercialization of the technology developed by the research projects run by the university’s departments (Cassia et al., 2014; Horta et al., 2018). </w:t>
      </w:r>
    </w:p>
    <w:p w14:paraId="7C197279" w14:textId="77777777" w:rsidR="00725B42" w:rsidRPr="00725B42" w:rsidRDefault="00725B42" w:rsidP="00725B42">
      <w:pPr>
        <w:spacing w:line="480" w:lineRule="auto"/>
        <w:jc w:val="both"/>
        <w:rPr>
          <w:lang w:val="en-US"/>
        </w:rPr>
      </w:pPr>
      <w:r w:rsidRPr="00725B42">
        <w:rPr>
          <w:lang w:val="en-US"/>
        </w:rPr>
        <w:t>Then, 5x1000 is a subsidiary fiscal action, introduced and regulated by Law 266 (December 23</w:t>
      </w:r>
      <w:r w:rsidRPr="00725B42">
        <w:rPr>
          <w:vertAlign w:val="superscript"/>
          <w:lang w:val="en-US"/>
        </w:rPr>
        <w:t>rd</w:t>
      </w:r>
      <w:r w:rsidRPr="00725B42">
        <w:rPr>
          <w:lang w:val="en-US"/>
        </w:rPr>
        <w:t xml:space="preserve"> 2005). The taxpayers (natural people) can address a percentage of five per thousand, of the tax on personal income, to support: non-profit organizations, universities and scientific research, and health research. Hence, relating to public universities, this fundraising tool can be used only to sustain research function. </w:t>
      </w:r>
    </w:p>
    <w:p w14:paraId="77497800" w14:textId="29A030DA" w:rsidR="00725B42" w:rsidRPr="00725B42" w:rsidRDefault="00725B42" w:rsidP="00725B42">
      <w:pPr>
        <w:spacing w:line="480" w:lineRule="auto"/>
        <w:jc w:val="both"/>
        <w:rPr>
          <w:lang w:val="en-US"/>
        </w:rPr>
      </w:pPr>
      <w:r w:rsidRPr="00725B42">
        <w:rPr>
          <w:lang w:val="en-US"/>
        </w:rPr>
        <w:t xml:space="preserve">Finally, competition-based funding regards all the funding opportunities that are addressed to </w:t>
      </w:r>
      <w:r w:rsidR="00C00425">
        <w:rPr>
          <w:lang w:val="en-US"/>
        </w:rPr>
        <w:t xml:space="preserve">a </w:t>
      </w:r>
      <w:r w:rsidRPr="00725B42">
        <w:rPr>
          <w:lang w:val="en-US"/>
        </w:rPr>
        <w:t xml:space="preserve">specific field of study and, hence, to the most important research areas. These initiatives are promoted at national, by MIUR, local entities and authorities, foundations, and international level, by European Union (with programs like Horizon 2020, Creative Europe, Fundamental Rights and Justice, Marie Sklodowska-Curie, ERC, etc.). As for 5x1000, even this fundraising tool is addressed to the research funding and support (Cattaneo et al., 2016; Donina et al., 2015).  </w:t>
      </w:r>
    </w:p>
    <w:p w14:paraId="588D9581" w14:textId="77777777" w:rsidR="00725B42" w:rsidRPr="00725B42" w:rsidRDefault="00725B42" w:rsidP="00725B42">
      <w:pPr>
        <w:spacing w:line="480" w:lineRule="auto"/>
        <w:jc w:val="both"/>
      </w:pPr>
    </w:p>
    <w:p w14:paraId="4AAD594B" w14:textId="77777777" w:rsidR="00725B42" w:rsidRPr="00725B42" w:rsidRDefault="00725B42" w:rsidP="00725B42">
      <w:pPr>
        <w:spacing w:line="480" w:lineRule="auto"/>
        <w:jc w:val="both"/>
        <w:rPr>
          <w:b/>
          <w:lang w:val="en-US"/>
        </w:rPr>
      </w:pPr>
      <w:r w:rsidRPr="00725B42">
        <w:rPr>
          <w:b/>
          <w:lang w:val="en-US"/>
        </w:rPr>
        <w:t xml:space="preserve">4.3 Methodology </w:t>
      </w:r>
    </w:p>
    <w:p w14:paraId="77476D81" w14:textId="77777777" w:rsidR="00725B42" w:rsidRPr="00725B42" w:rsidRDefault="00725B42" w:rsidP="00725B42">
      <w:pPr>
        <w:spacing w:line="480" w:lineRule="auto"/>
        <w:jc w:val="both"/>
        <w:rPr>
          <w:lang w:val="en-US"/>
        </w:rPr>
      </w:pPr>
      <w:r w:rsidRPr="00725B42">
        <w:rPr>
          <w:lang w:val="en-US"/>
        </w:rPr>
        <w:t>From the epistemological perspective, this chapter is based on a mixed approach: both quantitative (questionnaire) (Sudman et al. 1996) and qualitative (interviews) (Fattore, 2005) methods have been used. Hence, the empirical analysis is split into two steps. First of all, a questionnaire, made up by five questions, was sent by e-mail to a sample of 58 Italian public universities. The sample is taken from the Censis (Social Study and Research Institute)</w:t>
      </w:r>
      <w:r w:rsidRPr="00725B42">
        <w:t xml:space="preserve"> Public </w:t>
      </w:r>
      <w:r w:rsidRPr="00725B42">
        <w:rPr>
          <w:lang w:val="en-US"/>
        </w:rPr>
        <w:t>Universities</w:t>
      </w:r>
      <w:r w:rsidRPr="00725B42">
        <w:t xml:space="preserve"> </w:t>
      </w:r>
      <w:r w:rsidRPr="00725B42">
        <w:rPr>
          <w:lang w:val="en-US"/>
        </w:rPr>
        <w:t xml:space="preserve">Classification (2016). Furthermore, the universities are located in different Italian geographical areas and they are different in terms of size and availability of governmental resources. </w:t>
      </w:r>
    </w:p>
    <w:p w14:paraId="0A40F736" w14:textId="77777777" w:rsidR="00725B42" w:rsidRPr="00725B42" w:rsidRDefault="00725B42" w:rsidP="00725B42">
      <w:pPr>
        <w:spacing w:line="480" w:lineRule="auto"/>
        <w:jc w:val="both"/>
        <w:rPr>
          <w:lang w:val="en-US"/>
        </w:rPr>
      </w:pPr>
      <w:r w:rsidRPr="00725B42">
        <w:rPr>
          <w:lang w:val="en-US"/>
        </w:rPr>
        <w:t>Therefore, the questionnaire is organized as follows:</w:t>
      </w:r>
    </w:p>
    <w:p w14:paraId="79588424" w14:textId="77777777" w:rsidR="00725B42" w:rsidRPr="00725B42" w:rsidRDefault="00725B42" w:rsidP="00725B42">
      <w:pPr>
        <w:numPr>
          <w:ilvl w:val="0"/>
          <w:numId w:val="14"/>
        </w:numPr>
        <w:spacing w:line="480" w:lineRule="auto"/>
        <w:jc w:val="both"/>
        <w:rPr>
          <w:lang w:val="en-US"/>
        </w:rPr>
      </w:pPr>
      <w:r w:rsidRPr="00725B42">
        <w:rPr>
          <w:lang w:val="en-US"/>
        </w:rPr>
        <w:t xml:space="preserve">Which fundraising activities are carried out within your university, in addition to the FFO (including “basic percentage” and “reward percentage”)? </w:t>
      </w:r>
    </w:p>
    <w:p w14:paraId="53D25BC1" w14:textId="77777777" w:rsidR="00725B42" w:rsidRPr="00725B42" w:rsidRDefault="00725B42" w:rsidP="00725B42">
      <w:pPr>
        <w:spacing w:line="480" w:lineRule="auto"/>
        <w:jc w:val="both"/>
        <w:rPr>
          <w:lang w:val="en-US"/>
        </w:rPr>
      </w:pPr>
      <w:r w:rsidRPr="00725B42">
        <w:t xml:space="preserve">□ </w:t>
      </w:r>
      <w:r w:rsidRPr="00725B42">
        <w:rPr>
          <w:lang w:val="en-US"/>
        </w:rPr>
        <w:t>Fundraising through Alumni Associations and/or University Foundation support.</w:t>
      </w:r>
    </w:p>
    <w:p w14:paraId="4816CC8F" w14:textId="77777777" w:rsidR="00725B42" w:rsidRPr="00725B42" w:rsidRDefault="00725B42" w:rsidP="00725B42">
      <w:pPr>
        <w:spacing w:line="480" w:lineRule="auto"/>
        <w:jc w:val="both"/>
        <w:rPr>
          <w:lang w:val="en-US"/>
        </w:rPr>
      </w:pPr>
      <w:r w:rsidRPr="00725B42">
        <w:rPr>
          <w:lang w:val="en-US"/>
        </w:rPr>
        <w:t xml:space="preserve">□ Private Fundraising (natural people or legal entities). </w:t>
      </w:r>
    </w:p>
    <w:p w14:paraId="29DEC495" w14:textId="77777777" w:rsidR="00793FB4" w:rsidRDefault="00725B42" w:rsidP="00725B42">
      <w:pPr>
        <w:spacing w:line="480" w:lineRule="auto"/>
        <w:jc w:val="both"/>
        <w:rPr>
          <w:lang w:val="en-US"/>
        </w:rPr>
      </w:pPr>
      <w:r w:rsidRPr="00725B42">
        <w:rPr>
          <w:lang w:val="en-US"/>
        </w:rPr>
        <w:t>□ 5x1000</w:t>
      </w:r>
    </w:p>
    <w:p w14:paraId="2DB274CC" w14:textId="62285B26" w:rsidR="00725B42" w:rsidRPr="00725B42" w:rsidRDefault="00725B42" w:rsidP="00725B42">
      <w:pPr>
        <w:spacing w:line="480" w:lineRule="auto"/>
        <w:jc w:val="both"/>
        <w:rPr>
          <w:lang w:val="en-US"/>
        </w:rPr>
      </w:pPr>
      <w:r w:rsidRPr="00725B42">
        <w:rPr>
          <w:lang w:val="en-US"/>
        </w:rPr>
        <w:t xml:space="preserve"> Fundraising. </w:t>
      </w:r>
    </w:p>
    <w:p w14:paraId="323790B3" w14:textId="77777777" w:rsidR="00725B42" w:rsidRPr="00725B42" w:rsidRDefault="00725B42" w:rsidP="00725B42">
      <w:pPr>
        <w:spacing w:line="480" w:lineRule="auto"/>
        <w:jc w:val="both"/>
        <w:rPr>
          <w:lang w:val="en-US"/>
        </w:rPr>
      </w:pPr>
      <w:r w:rsidRPr="00725B42">
        <w:rPr>
          <w:lang w:val="en-US"/>
        </w:rPr>
        <w:t xml:space="preserve">□ Competition-based funding. </w:t>
      </w:r>
    </w:p>
    <w:p w14:paraId="18B6EDA9" w14:textId="77777777" w:rsidR="00725B42" w:rsidRPr="00725B42" w:rsidRDefault="00725B42" w:rsidP="00725B42">
      <w:pPr>
        <w:numPr>
          <w:ilvl w:val="0"/>
          <w:numId w:val="14"/>
        </w:numPr>
        <w:spacing w:line="480" w:lineRule="auto"/>
        <w:jc w:val="both"/>
        <w:rPr>
          <w:lang w:val="en-US"/>
        </w:rPr>
      </w:pPr>
      <w:r w:rsidRPr="00725B42">
        <w:rPr>
          <w:lang w:val="en-US"/>
        </w:rPr>
        <w:t>Is there a “Fundraising Office”, which is in charge for raising funds for your university as main activity and task?</w:t>
      </w:r>
    </w:p>
    <w:p w14:paraId="3CC81C93" w14:textId="77777777" w:rsidR="00725B42" w:rsidRPr="00725B42" w:rsidRDefault="00725B42" w:rsidP="00F80A0F">
      <w:pPr>
        <w:numPr>
          <w:ilvl w:val="0"/>
          <w:numId w:val="13"/>
        </w:numPr>
        <w:spacing w:line="480" w:lineRule="auto"/>
        <w:ind w:left="284"/>
        <w:jc w:val="both"/>
        <w:rPr>
          <w:lang w:val="en-US"/>
        </w:rPr>
      </w:pPr>
      <w:r w:rsidRPr="00725B42">
        <w:rPr>
          <w:lang w:val="en-US"/>
        </w:rPr>
        <w:t xml:space="preserve">□ Yes. </w:t>
      </w:r>
    </w:p>
    <w:p w14:paraId="63FD055F" w14:textId="77777777" w:rsidR="00725B42" w:rsidRPr="00725B42" w:rsidRDefault="00725B42" w:rsidP="00766733">
      <w:pPr>
        <w:numPr>
          <w:ilvl w:val="0"/>
          <w:numId w:val="13"/>
        </w:numPr>
        <w:spacing w:line="480" w:lineRule="auto"/>
        <w:ind w:left="284"/>
        <w:jc w:val="both"/>
        <w:rPr>
          <w:lang w:val="en-US"/>
        </w:rPr>
      </w:pPr>
      <w:r w:rsidRPr="00725B42">
        <w:rPr>
          <w:lang w:val="en-US"/>
        </w:rPr>
        <w:t>□ No.</w:t>
      </w:r>
    </w:p>
    <w:p w14:paraId="7CC402C5" w14:textId="77777777" w:rsidR="00725B42" w:rsidRPr="00725B42" w:rsidRDefault="00725B42" w:rsidP="00725B42">
      <w:pPr>
        <w:numPr>
          <w:ilvl w:val="0"/>
          <w:numId w:val="14"/>
        </w:numPr>
        <w:spacing w:line="480" w:lineRule="auto"/>
        <w:jc w:val="both"/>
        <w:rPr>
          <w:lang w:val="en-US"/>
        </w:rPr>
      </w:pPr>
      <w:r w:rsidRPr="00725B42">
        <w:rPr>
          <w:lang w:val="en-US"/>
        </w:rPr>
        <w:t>If there is a “Fundraising Office”, to which function is dedicated this activity?</w:t>
      </w:r>
    </w:p>
    <w:p w14:paraId="06AB4A0A" w14:textId="77777777" w:rsidR="00725B42" w:rsidRPr="00725B42" w:rsidRDefault="00725B42" w:rsidP="00725B42">
      <w:pPr>
        <w:spacing w:line="480" w:lineRule="auto"/>
        <w:jc w:val="both"/>
        <w:rPr>
          <w:lang w:val="en-US"/>
        </w:rPr>
      </w:pPr>
      <w:r w:rsidRPr="00725B42">
        <w:rPr>
          <w:lang w:val="en-US"/>
        </w:rPr>
        <w:t>□ Research.</w:t>
      </w:r>
    </w:p>
    <w:p w14:paraId="74440885" w14:textId="77777777" w:rsidR="00725B42" w:rsidRPr="00725B42" w:rsidRDefault="00725B42" w:rsidP="00725B42">
      <w:pPr>
        <w:spacing w:line="480" w:lineRule="auto"/>
        <w:jc w:val="both"/>
        <w:rPr>
          <w:lang w:val="en-US"/>
        </w:rPr>
      </w:pPr>
      <w:r w:rsidRPr="00725B42">
        <w:rPr>
          <w:lang w:val="en-US"/>
        </w:rPr>
        <w:t>□ Teaching.</w:t>
      </w:r>
    </w:p>
    <w:p w14:paraId="7107BA91" w14:textId="77777777" w:rsidR="00725B42" w:rsidRPr="00725B42" w:rsidRDefault="00725B42" w:rsidP="00725B42">
      <w:pPr>
        <w:spacing w:line="480" w:lineRule="auto"/>
        <w:jc w:val="both"/>
        <w:rPr>
          <w:lang w:val="en-US"/>
        </w:rPr>
      </w:pPr>
      <w:r w:rsidRPr="00725B42">
        <w:rPr>
          <w:lang w:val="en-US"/>
        </w:rPr>
        <w:t>□ Outreach.</w:t>
      </w:r>
    </w:p>
    <w:p w14:paraId="508D4E60" w14:textId="77777777" w:rsidR="00725B42" w:rsidRPr="00725B42" w:rsidRDefault="00725B42" w:rsidP="00725B42">
      <w:pPr>
        <w:numPr>
          <w:ilvl w:val="0"/>
          <w:numId w:val="14"/>
        </w:numPr>
        <w:spacing w:line="480" w:lineRule="auto"/>
        <w:jc w:val="both"/>
        <w:rPr>
          <w:lang w:val="en-US"/>
        </w:rPr>
      </w:pPr>
      <w:r w:rsidRPr="00725B42">
        <w:rPr>
          <w:lang w:val="en-US"/>
        </w:rPr>
        <w:t>Do you know a new form of fundraising called crowdfunding?</w:t>
      </w:r>
    </w:p>
    <w:p w14:paraId="5804A2E6" w14:textId="77777777" w:rsidR="00725B42" w:rsidRPr="00725B42" w:rsidRDefault="00725B42" w:rsidP="00725B42">
      <w:pPr>
        <w:spacing w:line="480" w:lineRule="auto"/>
        <w:jc w:val="both"/>
        <w:rPr>
          <w:lang w:val="en-US"/>
        </w:rPr>
      </w:pPr>
      <w:r w:rsidRPr="00725B42">
        <w:rPr>
          <w:lang w:val="en-US"/>
        </w:rPr>
        <w:t xml:space="preserve">□ Yes. </w:t>
      </w:r>
    </w:p>
    <w:p w14:paraId="44EA2C38" w14:textId="77777777" w:rsidR="00725B42" w:rsidRPr="00725B42" w:rsidRDefault="00725B42" w:rsidP="00725B42">
      <w:pPr>
        <w:spacing w:line="480" w:lineRule="auto"/>
        <w:jc w:val="both"/>
        <w:rPr>
          <w:lang w:val="en-US"/>
        </w:rPr>
      </w:pPr>
      <w:r w:rsidRPr="00725B42">
        <w:rPr>
          <w:lang w:val="en-US"/>
        </w:rPr>
        <w:t>□ No.</w:t>
      </w:r>
    </w:p>
    <w:p w14:paraId="66AF31F0" w14:textId="77777777" w:rsidR="00725B42" w:rsidRPr="00725B42" w:rsidRDefault="00725B42" w:rsidP="00725B42">
      <w:pPr>
        <w:numPr>
          <w:ilvl w:val="0"/>
          <w:numId w:val="14"/>
        </w:numPr>
        <w:spacing w:line="480" w:lineRule="auto"/>
        <w:jc w:val="both"/>
        <w:rPr>
          <w:lang w:val="en-US"/>
        </w:rPr>
      </w:pPr>
      <w:r w:rsidRPr="00725B42">
        <w:rPr>
          <w:lang w:val="en-US"/>
        </w:rPr>
        <w:t>If you know what crowdfunding is, are you going to:</w:t>
      </w:r>
    </w:p>
    <w:p w14:paraId="6A1BBCF8" w14:textId="77777777" w:rsidR="00725B42" w:rsidRPr="00725B42" w:rsidRDefault="00725B42" w:rsidP="00725B42">
      <w:pPr>
        <w:spacing w:line="480" w:lineRule="auto"/>
        <w:jc w:val="both"/>
        <w:rPr>
          <w:lang w:val="en-US"/>
        </w:rPr>
      </w:pPr>
      <w:r w:rsidRPr="00725B42">
        <w:rPr>
          <w:lang w:val="en-US"/>
        </w:rPr>
        <w:t>□ Implement your own crowdfunding platform to support your university’s projects.</w:t>
      </w:r>
    </w:p>
    <w:p w14:paraId="452D6ECE" w14:textId="77777777" w:rsidR="00725B42" w:rsidRPr="00725B42" w:rsidRDefault="00725B42" w:rsidP="00725B42">
      <w:pPr>
        <w:spacing w:line="480" w:lineRule="auto"/>
        <w:jc w:val="both"/>
        <w:rPr>
          <w:lang w:val="en-US"/>
        </w:rPr>
      </w:pPr>
      <w:r w:rsidRPr="00725B42">
        <w:rPr>
          <w:lang w:val="en-US"/>
        </w:rPr>
        <w:t>□ Use already developed platform as customers to support your university’s projects.</w:t>
      </w:r>
    </w:p>
    <w:p w14:paraId="7B00A036" w14:textId="451C40CD" w:rsidR="00725B42" w:rsidRPr="00725B42" w:rsidRDefault="00725B42" w:rsidP="00725B42">
      <w:pPr>
        <w:spacing w:line="480" w:lineRule="auto"/>
        <w:jc w:val="both"/>
        <w:rPr>
          <w:lang w:val="en-US"/>
        </w:rPr>
      </w:pPr>
      <w:r w:rsidRPr="00725B42">
        <w:rPr>
          <w:lang w:val="en-US"/>
        </w:rPr>
        <w:t>The questionnaire’s structure and contents are simple and easily understandable, in order to get a higher number of responses from the universities considered by the analysis. The questionnaire is focused on the fundraising’s process and activities (first question), staff (second question), tools (fourth and fifth question) and, above all, the function(s) to which it is addressed (third question). Moreover, in order to have as many feedbacks as possible, all the responses are anonymous: hence, it is not possible to identify which university has answered to the questionnaire, but only the number of feedbacks. Within each university’s organizational structure, the questionnaire has been addressed to the Research and Outreach Offices. They a</w:t>
      </w:r>
      <w:r w:rsidR="00793FB4">
        <w:rPr>
          <w:lang w:val="en-US"/>
        </w:rPr>
        <w:t>re the staff in dealt with the research funding and r</w:t>
      </w:r>
      <w:r w:rsidRPr="00725B42">
        <w:rPr>
          <w:lang w:val="en-US"/>
        </w:rPr>
        <w:t>esearch results promotion, supporting the development of innovative planning activities, starting coordination mechanisms useful to reinforce the interdependencies among the different activities of funding levels (international, national and local).</w:t>
      </w:r>
    </w:p>
    <w:p w14:paraId="620F2D7A" w14:textId="77777777" w:rsidR="00725B42" w:rsidRPr="00725B42" w:rsidRDefault="00725B42" w:rsidP="00725B42">
      <w:pPr>
        <w:spacing w:line="480" w:lineRule="auto"/>
        <w:jc w:val="both"/>
        <w:rPr>
          <w:lang w:val="en-US"/>
        </w:rPr>
      </w:pPr>
      <w:r w:rsidRPr="00725B42">
        <w:rPr>
          <w:lang w:val="en-US"/>
        </w:rPr>
        <w:t xml:space="preserve">The questionnaire was addressed to 58 universities, but only 11 of them decided to answer to the questions and send back it. Hence the response rate is 19%. This is considered a reliable statistic unit, albeit scant, in relation to the aforementioned sample considered for this study. The universities have been contacted through a univocal procedure and, hence, the probability to obtain a response from the universities is the same for all the questionnaire’s recipients. It has been used a simple casual sample method: hence, each statistic unit has the same probability to be included in the sample (Groves et al., 2011). Finally, for each question it is possible to indicate more than one item. </w:t>
      </w:r>
    </w:p>
    <w:p w14:paraId="242150FD" w14:textId="6D1555BA" w:rsidR="00B23E69" w:rsidRDefault="00725B42" w:rsidP="00725B42">
      <w:pPr>
        <w:spacing w:line="480" w:lineRule="auto"/>
        <w:jc w:val="both"/>
        <w:rPr>
          <w:lang w:val="en-US"/>
        </w:rPr>
      </w:pPr>
      <w:r w:rsidRPr="00725B42">
        <w:rPr>
          <w:lang w:val="en-US"/>
        </w:rPr>
        <w:t xml:space="preserve">Moreover, the second step of the empirical analysis of this chapter considers a sample of twelve Italian public universities, selected from the Censis </w:t>
      </w:r>
      <w:r w:rsidRPr="00725B42">
        <w:t xml:space="preserve">Public </w:t>
      </w:r>
      <w:r w:rsidRPr="00725B42">
        <w:rPr>
          <w:lang w:val="en-US"/>
        </w:rPr>
        <w:t>Universities</w:t>
      </w:r>
      <w:r w:rsidRPr="00725B42">
        <w:t xml:space="preserve"> </w:t>
      </w:r>
      <w:r w:rsidRPr="00725B42">
        <w:rPr>
          <w:lang w:val="en-US"/>
        </w:rPr>
        <w:t xml:space="preserve">Classification (2016), considering the presence of a President’s Fundraising Delegate (five) and of a Fundraising office (eleven) and manager (fourteen) within the organizational structure of each university. </w:t>
      </w:r>
      <w:r w:rsidR="00B23E69">
        <w:rPr>
          <w:lang w:val="en-US"/>
        </w:rPr>
        <w:t>More specifically, three of the universities used for the second step of the analysis (interviews) are also included in the first one (questionnaires). Moreover, two of them are located in Northern Italy, whereas four in the central regions and, finally, only one in the Southern part of the country. Besides, they are also different in terms of size and financial conditions, but these features, together with additional ones, will be better shown in the next paragraph.</w:t>
      </w:r>
    </w:p>
    <w:p w14:paraId="7B5096E1" w14:textId="07406718" w:rsidR="00725B42" w:rsidRPr="00725B42" w:rsidRDefault="00B23E69" w:rsidP="00725B42">
      <w:pPr>
        <w:spacing w:line="480" w:lineRule="auto"/>
        <w:jc w:val="both"/>
        <w:rPr>
          <w:lang w:val="en-US"/>
        </w:rPr>
      </w:pPr>
      <w:r>
        <w:rPr>
          <w:lang w:val="en-US"/>
        </w:rPr>
        <w:t>Then</w:t>
      </w:r>
      <w:r w:rsidR="00725B42" w:rsidRPr="00725B42">
        <w:rPr>
          <w:lang w:val="en-US"/>
        </w:rPr>
        <w:t xml:space="preserve">, the availability to be interviewed of each person included in the study was verified and, finally, nine people (three Delegates and six managers) from seven universities accepted to be interviewed. Hence, the second step of the analysis, carried out by this chapter, includes nine semi-structured interviews to Presidents’ Fundraising Delegates and Managers (Cardano, 2003). </w:t>
      </w:r>
    </w:p>
    <w:p w14:paraId="5DB935B7" w14:textId="77777777" w:rsidR="00725B42" w:rsidRPr="00725B42" w:rsidRDefault="00725B42" w:rsidP="00725B42">
      <w:pPr>
        <w:spacing w:line="480" w:lineRule="auto"/>
        <w:jc w:val="both"/>
        <w:rPr>
          <w:lang w:val="en-US"/>
        </w:rPr>
      </w:pPr>
      <w:r w:rsidRPr="00725B42">
        <w:rPr>
          <w:lang w:val="en-US"/>
        </w:rPr>
        <w:t>More specifically, the interviews are organized as follows:</w:t>
      </w:r>
    </w:p>
    <w:p w14:paraId="254E909D" w14:textId="77777777" w:rsidR="00725B42" w:rsidRPr="00725B42" w:rsidRDefault="00725B42" w:rsidP="00725B42">
      <w:pPr>
        <w:numPr>
          <w:ilvl w:val="0"/>
          <w:numId w:val="15"/>
        </w:numPr>
        <w:spacing w:line="480" w:lineRule="auto"/>
        <w:jc w:val="both"/>
        <w:rPr>
          <w:lang w:val="en-US"/>
        </w:rPr>
      </w:pPr>
      <w:r w:rsidRPr="00725B42">
        <w:rPr>
          <w:lang w:val="en-US"/>
        </w:rPr>
        <w:t>How do you define the fundraising process, in general and within your academic environment?</w:t>
      </w:r>
    </w:p>
    <w:p w14:paraId="520E966C" w14:textId="77777777" w:rsidR="00725B42" w:rsidRPr="00725B42" w:rsidRDefault="00725B42" w:rsidP="00725B42">
      <w:pPr>
        <w:numPr>
          <w:ilvl w:val="0"/>
          <w:numId w:val="15"/>
        </w:numPr>
        <w:spacing w:line="480" w:lineRule="auto"/>
        <w:jc w:val="both"/>
        <w:rPr>
          <w:lang w:val="en-US"/>
        </w:rPr>
      </w:pPr>
      <w:r w:rsidRPr="00725B42">
        <w:rPr>
          <w:lang w:val="en-US"/>
        </w:rPr>
        <w:t>How does this process develop throughout your university? Which organizational units does it involve? Is there collaboration between administrative units and researchers/professors?</w:t>
      </w:r>
    </w:p>
    <w:p w14:paraId="14ADA0B4" w14:textId="77777777" w:rsidR="00725B42" w:rsidRPr="00725B42" w:rsidRDefault="00725B42" w:rsidP="00725B42">
      <w:pPr>
        <w:numPr>
          <w:ilvl w:val="0"/>
          <w:numId w:val="15"/>
        </w:numPr>
        <w:spacing w:line="480" w:lineRule="auto"/>
        <w:jc w:val="both"/>
        <w:rPr>
          <w:lang w:val="en-US"/>
        </w:rPr>
      </w:pPr>
      <w:r w:rsidRPr="00725B42">
        <w:rPr>
          <w:lang w:val="en-US"/>
        </w:rPr>
        <w:t xml:space="preserve">Is there some form of coordination between “central fundraising” (carried out by the administrative units together with academic leaders) and “departmental fundraising” (carried by each Department and single researcher/professor)? </w:t>
      </w:r>
    </w:p>
    <w:p w14:paraId="63FAC958" w14:textId="77777777" w:rsidR="00725B42" w:rsidRPr="00725B42" w:rsidRDefault="00725B42" w:rsidP="00725B42">
      <w:pPr>
        <w:numPr>
          <w:ilvl w:val="0"/>
          <w:numId w:val="15"/>
        </w:numPr>
        <w:spacing w:line="480" w:lineRule="auto"/>
        <w:jc w:val="both"/>
        <w:rPr>
          <w:lang w:val="en-US"/>
        </w:rPr>
      </w:pPr>
      <w:r w:rsidRPr="00725B42">
        <w:rPr>
          <w:lang w:val="en-US"/>
        </w:rPr>
        <w:t xml:space="preserve">Which fundraising tools are used in your university? Why were they chosen? </w:t>
      </w:r>
    </w:p>
    <w:p w14:paraId="270B1867" w14:textId="77777777" w:rsidR="00725B42" w:rsidRPr="00725B42" w:rsidRDefault="00725B42" w:rsidP="00725B42">
      <w:pPr>
        <w:numPr>
          <w:ilvl w:val="0"/>
          <w:numId w:val="15"/>
        </w:numPr>
        <w:spacing w:line="480" w:lineRule="auto"/>
        <w:jc w:val="both"/>
        <w:rPr>
          <w:lang w:val="en-US"/>
        </w:rPr>
      </w:pPr>
      <w:r w:rsidRPr="00725B42">
        <w:rPr>
          <w:lang w:val="en-US"/>
        </w:rPr>
        <w:t xml:space="preserve">Which is fundraising process output? Are there some indicators used by governance to measure and evaluate this output? </w:t>
      </w:r>
    </w:p>
    <w:p w14:paraId="6FB3DC51" w14:textId="4FF89EC2" w:rsidR="00725B42" w:rsidRPr="00725B42" w:rsidRDefault="00725B42" w:rsidP="00725B42">
      <w:pPr>
        <w:numPr>
          <w:ilvl w:val="0"/>
          <w:numId w:val="15"/>
        </w:numPr>
        <w:spacing w:line="480" w:lineRule="auto"/>
        <w:jc w:val="both"/>
        <w:rPr>
          <w:lang w:val="en-US"/>
        </w:rPr>
      </w:pPr>
      <w:r w:rsidRPr="00725B42">
        <w:rPr>
          <w:lang w:val="en-US"/>
        </w:rPr>
        <w:t>Is this output addressed to a specific university’s functi</w:t>
      </w:r>
      <w:r w:rsidR="005A2DA8">
        <w:rPr>
          <w:lang w:val="en-US"/>
        </w:rPr>
        <w:t>on or does it regard all them (teaching, research and o</w:t>
      </w:r>
      <w:r w:rsidRPr="00725B42">
        <w:rPr>
          <w:lang w:val="en-US"/>
        </w:rPr>
        <w:t xml:space="preserve">utreach)? In the second case, which are the criteria used to distribute the resources gathered by fundraising? </w:t>
      </w:r>
    </w:p>
    <w:p w14:paraId="6217F268" w14:textId="77777777" w:rsidR="00725B42" w:rsidRPr="00725B42" w:rsidRDefault="00725B42" w:rsidP="00725B42">
      <w:pPr>
        <w:numPr>
          <w:ilvl w:val="0"/>
          <w:numId w:val="15"/>
        </w:numPr>
        <w:spacing w:line="480" w:lineRule="auto"/>
        <w:jc w:val="both"/>
        <w:rPr>
          <w:lang w:val="en-US"/>
        </w:rPr>
      </w:pPr>
      <w:r w:rsidRPr="00725B42">
        <w:rPr>
          <w:lang w:val="en-US"/>
        </w:rPr>
        <w:t xml:space="preserve">What type of outcome was the university able to reach thanks to fundraising activities? </w:t>
      </w:r>
    </w:p>
    <w:p w14:paraId="4BBB57AC" w14:textId="017B3744" w:rsidR="00725B42" w:rsidRDefault="00725B42" w:rsidP="00725B42">
      <w:pPr>
        <w:numPr>
          <w:ilvl w:val="0"/>
          <w:numId w:val="15"/>
        </w:numPr>
        <w:spacing w:line="480" w:lineRule="auto"/>
        <w:jc w:val="both"/>
        <w:rPr>
          <w:lang w:val="en-US"/>
        </w:rPr>
      </w:pPr>
      <w:r w:rsidRPr="00725B42">
        <w:rPr>
          <w:lang w:val="en-US"/>
        </w:rPr>
        <w:t>Can fundraising be considered a tool able to support university’s mission and, hence, its function</w:t>
      </w:r>
      <w:r w:rsidR="00D9456C">
        <w:rPr>
          <w:lang w:val="en-US"/>
        </w:rPr>
        <w:t>s</w:t>
      </w:r>
      <w:r w:rsidRPr="00725B42">
        <w:rPr>
          <w:lang w:val="en-US"/>
        </w:rPr>
        <w:t xml:space="preserve"> in a sustainable way? </w:t>
      </w:r>
    </w:p>
    <w:p w14:paraId="14713853" w14:textId="23C8AE66" w:rsidR="00B31E45" w:rsidRDefault="00B31E45" w:rsidP="00725B42">
      <w:pPr>
        <w:numPr>
          <w:ilvl w:val="0"/>
          <w:numId w:val="15"/>
        </w:numPr>
        <w:spacing w:line="480" w:lineRule="auto"/>
        <w:jc w:val="both"/>
        <w:rPr>
          <w:lang w:val="en-US"/>
        </w:rPr>
      </w:pPr>
      <w:r>
        <w:rPr>
          <w:lang w:val="en-US"/>
        </w:rPr>
        <w:t>What problems do the fundraising activities of your university face and why?</w:t>
      </w:r>
    </w:p>
    <w:p w14:paraId="4EDD8874" w14:textId="55A86C85" w:rsidR="00B31E45" w:rsidRDefault="00B31E45" w:rsidP="00725B42">
      <w:pPr>
        <w:numPr>
          <w:ilvl w:val="0"/>
          <w:numId w:val="15"/>
        </w:numPr>
        <w:spacing w:line="480" w:lineRule="auto"/>
        <w:jc w:val="both"/>
        <w:rPr>
          <w:lang w:val="en-US"/>
        </w:rPr>
      </w:pPr>
      <w:r>
        <w:rPr>
          <w:lang w:val="en-US"/>
        </w:rPr>
        <w:t>How could/would you improve the fundraising activities of your university?</w:t>
      </w:r>
    </w:p>
    <w:p w14:paraId="2F511BE8" w14:textId="3916230F" w:rsidR="00B31E45" w:rsidRPr="00725B42" w:rsidRDefault="00B31E45" w:rsidP="00725B42">
      <w:pPr>
        <w:numPr>
          <w:ilvl w:val="0"/>
          <w:numId w:val="15"/>
        </w:numPr>
        <w:spacing w:line="480" w:lineRule="auto"/>
        <w:jc w:val="both"/>
        <w:rPr>
          <w:lang w:val="en-US"/>
        </w:rPr>
      </w:pPr>
      <w:r>
        <w:rPr>
          <w:lang w:val="en-US"/>
        </w:rPr>
        <w:t>Where do you see the fundraising activities of your university in ten years?</w:t>
      </w:r>
    </w:p>
    <w:p w14:paraId="6D1F3DCB" w14:textId="68A72FF6" w:rsidR="00725B42" w:rsidRPr="00725B42" w:rsidRDefault="00725B42" w:rsidP="00725B42">
      <w:pPr>
        <w:spacing w:line="480" w:lineRule="auto"/>
        <w:jc w:val="both"/>
        <w:rPr>
          <w:lang w:val="en-US"/>
        </w:rPr>
      </w:pPr>
      <w:r w:rsidRPr="00725B42">
        <w:rPr>
          <w:lang w:val="en-US"/>
        </w:rPr>
        <w:t>Moreover, the interviews last sixty minutes on average and were recorded in order to preserve all the contents. Afterwards</w:t>
      </w:r>
      <w:r w:rsidR="00D9456C">
        <w:rPr>
          <w:lang w:val="en-US"/>
        </w:rPr>
        <w:t>,</w:t>
      </w:r>
      <w:r w:rsidRPr="00725B42">
        <w:rPr>
          <w:lang w:val="en-US"/>
        </w:rPr>
        <w:t xml:space="preserve"> they were completely transcript and, then analyzed, according the grounded theory methodology (Flick, 2014). The first phase of this analysis is </w:t>
      </w:r>
      <w:r w:rsidRPr="00725B42">
        <w:rPr>
          <w:i/>
          <w:lang w:val="en-US"/>
        </w:rPr>
        <w:t>coding</w:t>
      </w:r>
      <w:r w:rsidRPr="00725B42">
        <w:rPr>
          <w:lang w:val="en-US"/>
        </w:rPr>
        <w:t>, which is the process for analyzing the materials collected in order to develop a grounded theory (Glaser, 1978; Glaser &amp; Strauss, 1967; Strauss, 1987; Strauss &amp; Corbin, 1990; Charmaz, 2006). Furthermore, coding can be split into three steps: open coding, axial coding and selective coding (Strauss and Corbin, 1990). The first step consists in segmenting data in units of meaning (single words, sentences…) in order to attach codes to them. Afterwards</w:t>
      </w:r>
      <w:r w:rsidR="00D9456C">
        <w:rPr>
          <w:lang w:val="en-US"/>
        </w:rPr>
        <w:t>,</w:t>
      </w:r>
      <w:r w:rsidRPr="00725B42">
        <w:rPr>
          <w:lang w:val="en-US"/>
        </w:rPr>
        <w:t xml:space="preserve"> these codes are grouped around the phenomena included in the data and relevant to answer to the research questions. The output of this process is a list of categories linked to the codes and whose contents are codes. Then, the next step is axial coding, whose output is the elaboration of the relation</w:t>
      </w:r>
      <w:r w:rsidR="00D9456C">
        <w:rPr>
          <w:lang w:val="en-US"/>
        </w:rPr>
        <w:t>ship</w:t>
      </w:r>
      <w:r w:rsidRPr="00725B42">
        <w:rPr>
          <w:lang w:val="en-US"/>
        </w:rPr>
        <w:t xml:space="preserve">s between categories previously identified. This step of the analysis is summarized in the Paradigm Model (figure </w:t>
      </w:r>
      <w:r w:rsidR="00721712">
        <w:rPr>
          <w:lang w:val="en-US"/>
        </w:rPr>
        <w:t>4.</w:t>
      </w:r>
      <w:r w:rsidRPr="00725B42">
        <w:rPr>
          <w:lang w:val="en-US"/>
        </w:rPr>
        <w:t>1) delivered by Strauss and Corbin (1990).</w:t>
      </w:r>
    </w:p>
    <w:p w14:paraId="146472C9" w14:textId="77777777" w:rsidR="00725B42" w:rsidRPr="00725B42" w:rsidRDefault="00725B42" w:rsidP="00725B42">
      <w:pPr>
        <w:spacing w:line="480" w:lineRule="auto"/>
        <w:jc w:val="both"/>
        <w:rPr>
          <w:lang w:val="en-US"/>
        </w:rPr>
      </w:pPr>
      <w:r w:rsidRPr="00725B42">
        <w:rPr>
          <w:lang w:val="en-US"/>
        </w:rPr>
        <w:t>This model is based on two axes: the first goes from causes of the phenomenon to the consequences of the phenomenon, whereas the other one links the conditions of the context where the phenomenon is studied with the strategies of actors involved in the phenomenon. Hence, axial coding allows selecting the categories that are most relevant in order to answer to the research questions. Then, the last step is selective coding, which take the analysis to a higher level of abstraction. The output of this step is the elaboration and formulation of one central category and one central phenomenon.</w:t>
      </w:r>
    </w:p>
    <w:p w14:paraId="6C944F86" w14:textId="77777777" w:rsidR="00725B42" w:rsidRPr="00725B42" w:rsidRDefault="00725B42" w:rsidP="00725B42">
      <w:pPr>
        <w:spacing w:line="480" w:lineRule="auto"/>
        <w:jc w:val="both"/>
        <w:rPr>
          <w:lang w:val="en-US"/>
        </w:rPr>
      </w:pPr>
      <w:r w:rsidRPr="00725B42">
        <w:rPr>
          <w:lang w:val="en-US"/>
        </w:rPr>
        <w:t>Finally, once grouped the data according to coding paradigm and individuated the most important categories and phenomena, it is possible to describe the theory under certain conditions, which the researchers must specify. Hence, the theory is formulated and checked with the data gathered and analyzed. The process ends when the theoretical saturation is reached (Strauss &amp; Corbin, 1990; Flick, 2014).</w:t>
      </w:r>
    </w:p>
    <w:p w14:paraId="10BBC4F7" w14:textId="77777777" w:rsidR="00725B42" w:rsidRPr="00725B42" w:rsidRDefault="00725B42" w:rsidP="00725B42">
      <w:pPr>
        <w:spacing w:line="480" w:lineRule="auto"/>
        <w:jc w:val="both"/>
        <w:rPr>
          <w:lang w:val="en-US"/>
        </w:rPr>
      </w:pPr>
    </w:p>
    <w:p w14:paraId="0E7FDFD2" w14:textId="77777777" w:rsidR="00725B42" w:rsidRPr="00725B42" w:rsidRDefault="00725B42" w:rsidP="00725B42">
      <w:pPr>
        <w:spacing w:line="480" w:lineRule="auto"/>
        <w:jc w:val="both"/>
        <w:rPr>
          <w:b/>
        </w:rPr>
      </w:pPr>
      <w:r w:rsidRPr="00725B42">
        <w:rPr>
          <w:b/>
        </w:rPr>
        <w:t>4.4 Analysis</w:t>
      </w:r>
    </w:p>
    <w:p w14:paraId="5ABA3595" w14:textId="77777777" w:rsidR="00725B42" w:rsidRPr="00725B42" w:rsidRDefault="00725B42" w:rsidP="00725B42">
      <w:pPr>
        <w:spacing w:line="480" w:lineRule="auto"/>
        <w:jc w:val="both"/>
        <w:rPr>
          <w:b/>
          <w:i/>
        </w:rPr>
      </w:pPr>
      <w:r w:rsidRPr="00725B42">
        <w:rPr>
          <w:b/>
          <w:i/>
        </w:rPr>
        <w:t>4.4.1 Background</w:t>
      </w:r>
    </w:p>
    <w:p w14:paraId="34A67B1B" w14:textId="77777777" w:rsidR="00725B42" w:rsidRPr="00725B42" w:rsidRDefault="00725B42" w:rsidP="00725B42">
      <w:pPr>
        <w:spacing w:line="480" w:lineRule="auto"/>
        <w:jc w:val="both"/>
        <w:rPr>
          <w:lang w:val="en-US"/>
        </w:rPr>
      </w:pPr>
      <w:r w:rsidRPr="00725B42">
        <w:rPr>
          <w:lang w:val="en-US"/>
        </w:rPr>
        <w:t xml:space="preserve">Before presenting the results of the empirical analysis, it is worthwhile to provide an overview about the universities included in this study. Each university will be indicated with a Greek alphabet letter, in order to preserve the anonymity of each interviewee. </w:t>
      </w:r>
    </w:p>
    <w:p w14:paraId="71CD9CD0" w14:textId="77777777" w:rsidR="00725B42" w:rsidRPr="00725B42" w:rsidRDefault="00725B42" w:rsidP="00725B42">
      <w:pPr>
        <w:spacing w:line="480" w:lineRule="auto"/>
        <w:jc w:val="both"/>
        <w:rPr>
          <w:lang w:val="en-US"/>
        </w:rPr>
      </w:pPr>
    </w:p>
    <w:p w14:paraId="7805C7E0" w14:textId="77777777" w:rsidR="00725B42" w:rsidRPr="00725B42" w:rsidRDefault="00725B42" w:rsidP="00725B42">
      <w:pPr>
        <w:spacing w:line="480" w:lineRule="auto"/>
        <w:jc w:val="both"/>
        <w:rPr>
          <w:i/>
          <w:lang w:val="en-US"/>
        </w:rPr>
      </w:pPr>
      <w:r w:rsidRPr="00725B42">
        <w:rPr>
          <w:i/>
          <w:lang w:val="en-US"/>
        </w:rPr>
        <w:t>University Alpha</w:t>
      </w:r>
    </w:p>
    <w:p w14:paraId="10D1E75F" w14:textId="72C94A14" w:rsidR="00725B42" w:rsidRPr="00725B42" w:rsidRDefault="00725B42" w:rsidP="00725B42">
      <w:pPr>
        <w:spacing w:line="480" w:lineRule="auto"/>
        <w:jc w:val="both"/>
        <w:rPr>
          <w:lang w:val="en-US"/>
        </w:rPr>
      </w:pPr>
      <w:r w:rsidRPr="00725B42">
        <w:rPr>
          <w:lang w:val="en-US"/>
        </w:rPr>
        <w:t>It was founded more than 500 years ago and it has more than 100 thousand students, 4 thousand researchers and professors, in addition to almost 4 thousand administrative employees. Its mission is to contribute to the society and knowledge development through research, high quality teaching and international cooperation. In fact, the most important international rakings consider this university one of the best i</w:t>
      </w:r>
      <w:r w:rsidR="00ED116E">
        <w:rPr>
          <w:lang w:val="en-US"/>
        </w:rPr>
        <w:t>n the world for the quality of research and t</w:t>
      </w:r>
      <w:r w:rsidRPr="00725B42">
        <w:rPr>
          <w:lang w:val="en-US"/>
        </w:rPr>
        <w:t>eaching. Moreover, from the organizational point of view, it has endowed with 11 faculties, 63 departments and several research centers. The central administration is organized in areas, offices and sectors. Furthermore, the President together with a Vice-President and a group of Pro-Presidents and Delegates composes the governance team. Therefore, among them there is a Fundraising Delegate who works with the Fundraising manager and its team, in addition to an external non profit organization. Both Fundraising Delegate and Fundraising manager agreed to be interviewed.</w:t>
      </w:r>
    </w:p>
    <w:p w14:paraId="5FA5D8E3" w14:textId="77777777" w:rsidR="00725B42" w:rsidRPr="00725B42" w:rsidRDefault="00725B42" w:rsidP="00725B42">
      <w:pPr>
        <w:spacing w:line="480" w:lineRule="auto"/>
        <w:jc w:val="both"/>
        <w:rPr>
          <w:lang w:val="en-US"/>
        </w:rPr>
      </w:pPr>
    </w:p>
    <w:p w14:paraId="787E7133" w14:textId="77777777" w:rsidR="00725B42" w:rsidRPr="00725B42" w:rsidRDefault="00725B42" w:rsidP="00725B42">
      <w:pPr>
        <w:spacing w:line="480" w:lineRule="auto"/>
        <w:jc w:val="both"/>
        <w:rPr>
          <w:i/>
          <w:lang w:val="en-US"/>
        </w:rPr>
      </w:pPr>
      <w:r w:rsidRPr="00725B42">
        <w:rPr>
          <w:i/>
          <w:lang w:val="en-US"/>
        </w:rPr>
        <w:t>University Beta</w:t>
      </w:r>
    </w:p>
    <w:p w14:paraId="25C9B195" w14:textId="77777777" w:rsidR="00725B42" w:rsidRPr="00725B42" w:rsidRDefault="00725B42" w:rsidP="00725B42">
      <w:pPr>
        <w:spacing w:line="480" w:lineRule="auto"/>
        <w:jc w:val="both"/>
        <w:rPr>
          <w:lang w:val="en-US"/>
        </w:rPr>
      </w:pPr>
      <w:r w:rsidRPr="00725B42">
        <w:rPr>
          <w:lang w:val="en-US"/>
        </w:rPr>
        <w:t>It was one of the most ancient universities in Italy, Europe and in the world, with more than 20 thousand students and 2 thousand researchers, professors and administrative employees. It is endowed with 18 departments, two faculties, and a college system, which make University Beta unique in Italy. The President together with a Vice-President and a group of Pro-Presidents and Delegates composes the governance team. Therefore, among them there is Fundraising Delegate who works with the Fundraising manager and its team. Moreover, this university is endowed with a crowdfunding platform, managed by the aforementioned team and its manager. Only the Fundraising Delegate agreed to be interviewed.</w:t>
      </w:r>
    </w:p>
    <w:p w14:paraId="45AE64F0" w14:textId="77777777" w:rsidR="00725B42" w:rsidRPr="00725B42" w:rsidRDefault="00725B42" w:rsidP="00725B42">
      <w:pPr>
        <w:spacing w:line="480" w:lineRule="auto"/>
        <w:jc w:val="both"/>
        <w:rPr>
          <w:lang w:val="en-US"/>
        </w:rPr>
      </w:pPr>
    </w:p>
    <w:p w14:paraId="4E6333C9" w14:textId="77777777" w:rsidR="00725B42" w:rsidRPr="00725B42" w:rsidRDefault="00725B42" w:rsidP="00725B42">
      <w:pPr>
        <w:spacing w:line="480" w:lineRule="auto"/>
        <w:jc w:val="both"/>
        <w:rPr>
          <w:i/>
          <w:lang w:val="en-US"/>
        </w:rPr>
      </w:pPr>
      <w:r w:rsidRPr="00725B42">
        <w:rPr>
          <w:i/>
          <w:lang w:val="en-US"/>
        </w:rPr>
        <w:t>University Gamma</w:t>
      </w:r>
    </w:p>
    <w:p w14:paraId="4EC695BD" w14:textId="77777777" w:rsidR="00725B42" w:rsidRPr="00725B42" w:rsidRDefault="00725B42" w:rsidP="00725B42">
      <w:pPr>
        <w:spacing w:line="480" w:lineRule="auto"/>
        <w:jc w:val="both"/>
        <w:rPr>
          <w:lang w:val="en-US"/>
        </w:rPr>
      </w:pPr>
      <w:r w:rsidRPr="00725B42">
        <w:rPr>
          <w:lang w:val="en-US"/>
        </w:rPr>
        <w:t>Characterized by an interesting story and academic tradition, it was officially instituted only in the ‘70s of the XX Century. It has five faculties, with almost 17 thousand students and more than one thousand among researchers/professors and administrative employees. The President together with a Vice-President and a group of Pro-Presidents and Delegates composes the governance team. Therefore, among them there is Fundraising Delegate who works with the Fundraising manager and its team. However, the latter is focused exclusively on the Research support. Only the Fundraising Delegate, who was nominated in 2013 as a strategy to face the issue linked to the economic crisis and to some natural catastrophes that interested the geographical area where the university is located, agreed to be interviewed.</w:t>
      </w:r>
    </w:p>
    <w:p w14:paraId="336B46D5" w14:textId="77777777" w:rsidR="00725B42" w:rsidRPr="00725B42" w:rsidRDefault="00725B42" w:rsidP="00725B42">
      <w:pPr>
        <w:spacing w:line="480" w:lineRule="auto"/>
        <w:jc w:val="both"/>
        <w:rPr>
          <w:lang w:val="en-US"/>
        </w:rPr>
      </w:pPr>
    </w:p>
    <w:p w14:paraId="358924AF" w14:textId="77777777" w:rsidR="00725B42" w:rsidRPr="00725B42" w:rsidRDefault="00725B42" w:rsidP="00725B42">
      <w:pPr>
        <w:spacing w:line="480" w:lineRule="auto"/>
        <w:jc w:val="both"/>
        <w:rPr>
          <w:i/>
          <w:lang w:val="en-US"/>
        </w:rPr>
      </w:pPr>
      <w:r w:rsidRPr="00725B42">
        <w:rPr>
          <w:i/>
          <w:lang w:val="en-US"/>
        </w:rPr>
        <w:t>University Delta</w:t>
      </w:r>
    </w:p>
    <w:p w14:paraId="6951161A" w14:textId="29AFF9F0" w:rsidR="00725B42" w:rsidRPr="00725B42" w:rsidRDefault="00725B42" w:rsidP="00725B42">
      <w:pPr>
        <w:spacing w:line="480" w:lineRule="auto"/>
        <w:jc w:val="both"/>
        <w:rPr>
          <w:lang w:val="en-US"/>
        </w:rPr>
      </w:pPr>
      <w:r w:rsidRPr="00725B42">
        <w:rPr>
          <w:lang w:val="en-US"/>
        </w:rPr>
        <w:t>It was born at the end of the ‘90s of the XX Century, being one of the youngest universities in Italy. It has 14 departments and two schools, with more than 20 thousand students. Among the governance team members there isn’t any Fundraising Delegate. Nonetheless, there is a fundraising office, whose aim is to</w:t>
      </w:r>
      <w:r w:rsidR="005868FF">
        <w:rPr>
          <w:lang w:val="en-US"/>
        </w:rPr>
        <w:t xml:space="preserve"> seek for support addressed to r</w:t>
      </w:r>
      <w:r w:rsidRPr="00725B42">
        <w:rPr>
          <w:lang w:val="en-US"/>
        </w:rPr>
        <w:t>esearch function. Moreover, University Delta has started to use a crowdfunding platform to support both students and researchers, in addition to the academic spin-off</w:t>
      </w:r>
      <w:r w:rsidR="005868FF">
        <w:rPr>
          <w:lang w:val="en-US"/>
        </w:rPr>
        <w:t>s</w:t>
      </w:r>
      <w:r w:rsidRPr="00725B42">
        <w:rPr>
          <w:lang w:val="en-US"/>
        </w:rPr>
        <w:t>. The Fundraising Manager, whose one of the main tasks is the coordination of</w:t>
      </w:r>
      <w:r w:rsidR="005868FF">
        <w:rPr>
          <w:lang w:val="en-US"/>
        </w:rPr>
        <w:t xml:space="preserve"> the</w:t>
      </w:r>
      <w:r w:rsidRPr="00725B42">
        <w:rPr>
          <w:lang w:val="en-US"/>
        </w:rPr>
        <w:t xml:space="preserve"> fundraising process, agreed to be interviewed.</w:t>
      </w:r>
    </w:p>
    <w:p w14:paraId="66C9DD0D" w14:textId="77777777" w:rsidR="00725B42" w:rsidRPr="00725B42" w:rsidRDefault="00725B42" w:rsidP="00725B42">
      <w:pPr>
        <w:spacing w:line="480" w:lineRule="auto"/>
        <w:jc w:val="both"/>
        <w:rPr>
          <w:lang w:val="en-US"/>
        </w:rPr>
      </w:pPr>
    </w:p>
    <w:p w14:paraId="6932345B" w14:textId="77777777" w:rsidR="00725B42" w:rsidRPr="00725B42" w:rsidRDefault="00725B42" w:rsidP="00725B42">
      <w:pPr>
        <w:spacing w:line="480" w:lineRule="auto"/>
        <w:jc w:val="both"/>
        <w:rPr>
          <w:i/>
          <w:lang w:val="en-US"/>
        </w:rPr>
      </w:pPr>
      <w:r w:rsidRPr="00725B42">
        <w:rPr>
          <w:i/>
          <w:lang w:val="en-US"/>
        </w:rPr>
        <w:t>University Epsilon</w:t>
      </w:r>
    </w:p>
    <w:p w14:paraId="460F71D5" w14:textId="22091AF1" w:rsidR="00725B42" w:rsidRPr="00725B42" w:rsidRDefault="00725B42" w:rsidP="00725B42">
      <w:pPr>
        <w:spacing w:line="480" w:lineRule="auto"/>
        <w:jc w:val="both"/>
        <w:rPr>
          <w:lang w:val="en-US"/>
        </w:rPr>
      </w:pPr>
      <w:r w:rsidRPr="00725B42">
        <w:rPr>
          <w:lang w:val="en-US"/>
        </w:rPr>
        <w:t>It was founded in the XIV Century, being one of the oldest universities in Italy and Europe. It is endowed with 9 faculties and 15 departments, with more than 20 thousand students. Among the governance team members there isn’t any Fundraising Delegate. Nonetheless, there is a fundraising office, in</w:t>
      </w:r>
      <w:r w:rsidR="005868FF">
        <w:rPr>
          <w:lang w:val="en-US"/>
        </w:rPr>
        <w:t>stituted in 2017, whose aim is</w:t>
      </w:r>
      <w:r w:rsidRPr="00725B42">
        <w:rPr>
          <w:lang w:val="en-US"/>
        </w:rPr>
        <w:t>, first of all, to seek for support addressed t</w:t>
      </w:r>
      <w:r w:rsidR="005868FF">
        <w:rPr>
          <w:lang w:val="en-US"/>
        </w:rPr>
        <w:t>o the r</w:t>
      </w:r>
      <w:r w:rsidRPr="00725B42">
        <w:rPr>
          <w:lang w:val="en-US"/>
        </w:rPr>
        <w:t>esearch function and public engagement. Two Fundraising Managers agreed to be interviewed (they</w:t>
      </w:r>
      <w:r w:rsidR="005868FF">
        <w:rPr>
          <w:lang w:val="en-US"/>
        </w:rPr>
        <w:t xml:space="preserve"> are</w:t>
      </w:r>
      <w:r w:rsidRPr="00725B42">
        <w:rPr>
          <w:lang w:val="en-US"/>
        </w:rPr>
        <w:t xml:space="preserve"> responsi</w:t>
      </w:r>
      <w:r w:rsidR="005868FF">
        <w:rPr>
          <w:lang w:val="en-US"/>
        </w:rPr>
        <w:t>ble for the aforementioned task</w:t>
      </w:r>
      <w:r w:rsidRPr="00725B42">
        <w:rPr>
          <w:lang w:val="en-US"/>
        </w:rPr>
        <w:t xml:space="preserve">s). </w:t>
      </w:r>
    </w:p>
    <w:p w14:paraId="598ECBFF" w14:textId="77777777" w:rsidR="00725B42" w:rsidRPr="00725B42" w:rsidRDefault="00725B42" w:rsidP="00725B42">
      <w:pPr>
        <w:spacing w:line="480" w:lineRule="auto"/>
        <w:jc w:val="both"/>
        <w:rPr>
          <w:lang w:val="en-US"/>
        </w:rPr>
      </w:pPr>
    </w:p>
    <w:p w14:paraId="5634EAC0" w14:textId="77777777" w:rsidR="00725B42" w:rsidRPr="00725B42" w:rsidRDefault="00725B42" w:rsidP="00725B42">
      <w:pPr>
        <w:spacing w:line="480" w:lineRule="auto"/>
        <w:jc w:val="both"/>
        <w:rPr>
          <w:i/>
          <w:lang w:val="en-US"/>
        </w:rPr>
      </w:pPr>
      <w:r w:rsidRPr="00725B42">
        <w:rPr>
          <w:i/>
          <w:lang w:val="en-US"/>
        </w:rPr>
        <w:t>University Zeta</w:t>
      </w:r>
    </w:p>
    <w:p w14:paraId="471E9DEB" w14:textId="525B5934" w:rsidR="00725B42" w:rsidRPr="00725B42" w:rsidRDefault="00725B42" w:rsidP="00725B42">
      <w:pPr>
        <w:spacing w:line="480" w:lineRule="auto"/>
        <w:jc w:val="both"/>
        <w:rPr>
          <w:lang w:val="en-US"/>
        </w:rPr>
      </w:pPr>
      <w:r w:rsidRPr="00725B42">
        <w:rPr>
          <w:lang w:val="en-US"/>
        </w:rPr>
        <w:t>It is one of the oldest universities in Italy and Europe, since it was founded at the end of the XIV Century. It has 12 departments and one faculty, with more than 10 thousand students. Its mission is to educated high skilled people, aware of their abilities and capabilities, proactive and open-minded. Among the governance team members there is a Fundraising Delegate, who has been nominated really recently. The Delegate works together with an office, which has been in charge of fundraising tasks since the beginning of 2018, when a new organizational chart was implemented. Hence</w:t>
      </w:r>
      <w:r w:rsidR="005868FF">
        <w:rPr>
          <w:lang w:val="en-US"/>
        </w:rPr>
        <w:t>,</w:t>
      </w:r>
      <w:r w:rsidRPr="00725B42">
        <w:rPr>
          <w:lang w:val="en-US"/>
        </w:rPr>
        <w:t xml:space="preserve"> University Zeta is facing an explorative phase relating to fundraising decisions and strategies. However the Fundraising Manager agreed to be interviewed. </w:t>
      </w:r>
    </w:p>
    <w:p w14:paraId="7C9D15DC" w14:textId="77777777" w:rsidR="00725B42" w:rsidRPr="00725B42" w:rsidRDefault="00725B42" w:rsidP="00725B42">
      <w:pPr>
        <w:spacing w:line="480" w:lineRule="auto"/>
        <w:jc w:val="both"/>
        <w:rPr>
          <w:lang w:val="en-US"/>
        </w:rPr>
      </w:pPr>
    </w:p>
    <w:p w14:paraId="315CA2CB" w14:textId="77777777" w:rsidR="00725B42" w:rsidRPr="00725B42" w:rsidRDefault="00725B42" w:rsidP="00725B42">
      <w:pPr>
        <w:spacing w:line="480" w:lineRule="auto"/>
        <w:jc w:val="both"/>
        <w:rPr>
          <w:i/>
          <w:lang w:val="en-US"/>
        </w:rPr>
      </w:pPr>
      <w:r w:rsidRPr="00725B42">
        <w:rPr>
          <w:i/>
          <w:lang w:val="en-US"/>
        </w:rPr>
        <w:t>University Eta</w:t>
      </w:r>
    </w:p>
    <w:p w14:paraId="49DE019D" w14:textId="3D829E46" w:rsidR="00725B42" w:rsidRPr="00725B42" w:rsidRDefault="00725B42" w:rsidP="00725B42">
      <w:pPr>
        <w:spacing w:line="480" w:lineRule="auto"/>
        <w:jc w:val="both"/>
        <w:rPr>
          <w:lang w:val="en-US"/>
        </w:rPr>
      </w:pPr>
      <w:r w:rsidRPr="00725B42">
        <w:rPr>
          <w:lang w:val="en-US"/>
        </w:rPr>
        <w:t>This is a technical university that was founded in the middle of XIX Century. It has more than 40 thousand students, with more than one thousand researchers/professors likewise administrative employ</w:t>
      </w:r>
      <w:r w:rsidR="0079069B">
        <w:rPr>
          <w:lang w:val="en-US"/>
        </w:rPr>
        <w:t>ees. Its mission is to develop teaching and r</w:t>
      </w:r>
      <w:r w:rsidRPr="00725B42">
        <w:rPr>
          <w:lang w:val="en-US"/>
        </w:rPr>
        <w:t>esearch in term</w:t>
      </w:r>
      <w:r w:rsidR="002B6537">
        <w:rPr>
          <w:lang w:val="en-US"/>
        </w:rPr>
        <w:t>s</w:t>
      </w:r>
      <w:r w:rsidRPr="00725B42">
        <w:rPr>
          <w:lang w:val="en-US"/>
        </w:rPr>
        <w:t xml:space="preserve"> of quality and innovation, through a crucial relationship with the economic and entrepreneurial actors of the geographical area where it is located. Among the governance team members there isn’t any Fundraising Delegate. Nonetheless, there is a fundraising office, whose Fundraising Manager agreed to be interviewed. </w:t>
      </w:r>
    </w:p>
    <w:p w14:paraId="64F0C2E4" w14:textId="77777777" w:rsidR="00725B42" w:rsidRPr="00725B42" w:rsidRDefault="00725B42" w:rsidP="00725B42">
      <w:pPr>
        <w:spacing w:line="480" w:lineRule="auto"/>
        <w:jc w:val="both"/>
        <w:rPr>
          <w:lang w:val="en-US"/>
        </w:rPr>
      </w:pPr>
    </w:p>
    <w:p w14:paraId="0371A363" w14:textId="77777777" w:rsidR="00725B42" w:rsidRPr="00725B42" w:rsidRDefault="00725B42" w:rsidP="00725B42">
      <w:pPr>
        <w:spacing w:line="480" w:lineRule="auto"/>
        <w:jc w:val="both"/>
        <w:rPr>
          <w:b/>
          <w:i/>
          <w:lang w:val="en-US"/>
        </w:rPr>
      </w:pPr>
      <w:r w:rsidRPr="00725B42">
        <w:rPr>
          <w:b/>
          <w:i/>
          <w:lang w:val="en-US"/>
        </w:rPr>
        <w:t>4.4.2 Results</w:t>
      </w:r>
    </w:p>
    <w:p w14:paraId="3995B86D" w14:textId="77777777" w:rsidR="00725B42" w:rsidRPr="00725B42" w:rsidRDefault="00725B42" w:rsidP="00725B42">
      <w:pPr>
        <w:spacing w:line="480" w:lineRule="auto"/>
        <w:jc w:val="both"/>
        <w:rPr>
          <w:lang w:val="en-US"/>
        </w:rPr>
      </w:pPr>
      <w:r w:rsidRPr="00725B42">
        <w:rPr>
          <w:lang w:val="en-US"/>
        </w:rPr>
        <w:t xml:space="preserve">The results got by the analysis of questionnaire are a preliminary investigation about fundraising practices within Italian public universities. </w:t>
      </w:r>
    </w:p>
    <w:p w14:paraId="3FD0EE90" w14:textId="1784C655" w:rsidR="00725B42" w:rsidRPr="00725B42" w:rsidRDefault="00725B42" w:rsidP="00725B42">
      <w:pPr>
        <w:spacing w:line="480" w:lineRule="auto"/>
        <w:jc w:val="both"/>
        <w:rPr>
          <w:lang w:val="en-US"/>
        </w:rPr>
      </w:pPr>
      <w:r w:rsidRPr="00725B42">
        <w:rPr>
          <w:lang w:val="en-US"/>
        </w:rPr>
        <w:t>The first question is focused on fundraising activities carried out by the universities: the most c</w:t>
      </w:r>
      <w:r w:rsidR="002B6537">
        <w:rPr>
          <w:lang w:val="en-US"/>
        </w:rPr>
        <w:t>onsidered by them</w:t>
      </w:r>
      <w:r w:rsidRPr="00725B42">
        <w:rPr>
          <w:lang w:val="en-US"/>
        </w:rPr>
        <w:t xml:space="preserve"> is 5x1000. In fact, 100% of the universities gather funds by 5x1000 campaigns. Moreover, 40% states that the Alumni Association or the University Foundation supports the university by transferring funds to it. Furthermore, 20% carries out Private Fundraising activities, addressed to natural people and/or legal entities. Finally, 100% of the uni</w:t>
      </w:r>
      <w:r w:rsidR="003E58DA">
        <w:rPr>
          <w:lang w:val="en-US"/>
        </w:rPr>
        <w:t>versities seek to run competition</w:t>
      </w:r>
      <w:r w:rsidRPr="00725B42">
        <w:rPr>
          <w:lang w:val="en-US"/>
        </w:rPr>
        <w:t xml:space="preserve">-based funding activities. </w:t>
      </w:r>
    </w:p>
    <w:p w14:paraId="4D5CD04C" w14:textId="5711807C" w:rsidR="00725B42" w:rsidRPr="00725B42" w:rsidRDefault="00725B42" w:rsidP="00725B42">
      <w:pPr>
        <w:spacing w:line="480" w:lineRule="auto"/>
        <w:jc w:val="both"/>
        <w:rPr>
          <w:lang w:val="en-US"/>
        </w:rPr>
      </w:pPr>
      <w:r w:rsidRPr="00725B42">
        <w:rPr>
          <w:lang w:val="en-US"/>
        </w:rPr>
        <w:t xml:space="preserve">Relating to the second question, only 10% of the responses state that it is endowed with a “Fundraising Office”, which has fundraising activities among its main tasks. Hence, 90% has no unit dedicated to fundraising activities and tasks. Among those ones that have declared to have a “Fundraising Office”, 100% states that it is devoted to </w:t>
      </w:r>
      <w:r w:rsidR="00DC7026">
        <w:rPr>
          <w:lang w:val="en-US"/>
        </w:rPr>
        <w:t>research and o</w:t>
      </w:r>
      <w:r w:rsidRPr="00725B42">
        <w:rPr>
          <w:lang w:val="en-US"/>
        </w:rPr>
        <w:t xml:space="preserve">utreach functions. </w:t>
      </w:r>
    </w:p>
    <w:p w14:paraId="7CAFC01C" w14:textId="3EEF9A42" w:rsidR="00725B42" w:rsidRPr="00725B42" w:rsidRDefault="00725B42" w:rsidP="00725B42">
      <w:pPr>
        <w:spacing w:line="480" w:lineRule="auto"/>
        <w:jc w:val="both"/>
        <w:rPr>
          <w:lang w:val="en-US"/>
        </w:rPr>
      </w:pPr>
      <w:r w:rsidRPr="00725B42">
        <w:rPr>
          <w:lang w:val="en-US"/>
        </w:rPr>
        <w:t>The</w:t>
      </w:r>
      <w:r w:rsidR="00DC7026">
        <w:rPr>
          <w:lang w:val="en-US"/>
        </w:rPr>
        <w:t>n</w:t>
      </w:r>
      <w:r w:rsidRPr="00725B42">
        <w:rPr>
          <w:lang w:val="en-US"/>
        </w:rPr>
        <w:t>, referring to the fourth question, 90% of the universities declare to know what is crowdfunding, whereas 10% is not familiar with this fundraising tool. Among the former, 55,5% does not answer to</w:t>
      </w:r>
      <w:r w:rsidR="00F64246">
        <w:rPr>
          <w:lang w:val="en-US"/>
        </w:rPr>
        <w:t xml:space="preserve"> the</w:t>
      </w:r>
      <w:r w:rsidRPr="00725B42">
        <w:rPr>
          <w:lang w:val="en-US"/>
        </w:rPr>
        <w:t xml:space="preserve"> fifth question, avoiding communicating any plans for the future in term of fundraising practice. Then, 11,1% states that they are going to sign some contracts with existing and ongoing crowdfunding platforms to get funds for the university. Eventually, 22,2% is going to implement its own platform.</w:t>
      </w:r>
    </w:p>
    <w:p w14:paraId="7D69DD77" w14:textId="77777777" w:rsidR="00725B42" w:rsidRPr="00725B42" w:rsidRDefault="00725B42" w:rsidP="00725B42">
      <w:pPr>
        <w:spacing w:line="480" w:lineRule="auto"/>
        <w:jc w:val="both"/>
        <w:rPr>
          <w:lang w:val="en-US"/>
        </w:rPr>
      </w:pPr>
      <w:r w:rsidRPr="00725B42">
        <w:rPr>
          <w:lang w:val="en-US"/>
        </w:rPr>
        <w:t xml:space="preserve">Then, the results got by the analysis of the interviews through grounded theory methodology represents the core of this paragraph. Moreover, the </w:t>
      </w:r>
      <w:r w:rsidRPr="00725B42">
        <w:rPr>
          <w:i/>
          <w:lang w:val="en-US"/>
        </w:rPr>
        <w:t xml:space="preserve">coding </w:t>
      </w:r>
      <w:r w:rsidRPr="00725B42">
        <w:rPr>
          <w:lang w:val="en-US"/>
        </w:rPr>
        <w:t xml:space="preserve">phases allow individuating the main categories of the analysis according to the research questions and objectives. The first group of categories relates to the definition of fundraising as a process and it is summarized as follows. </w:t>
      </w:r>
    </w:p>
    <w:p w14:paraId="616222A1" w14:textId="77777777" w:rsidR="00725B42" w:rsidRPr="00725B42" w:rsidRDefault="00725B42" w:rsidP="00725B42">
      <w:pPr>
        <w:spacing w:line="480" w:lineRule="auto"/>
        <w:jc w:val="both"/>
        <w:rPr>
          <w:lang w:val="en-US"/>
        </w:rPr>
      </w:pPr>
    </w:p>
    <w:p w14:paraId="0CD752D5" w14:textId="77777777" w:rsidR="00725B42" w:rsidRPr="00725B42" w:rsidRDefault="00725B42" w:rsidP="00725B42">
      <w:pPr>
        <w:spacing w:line="480" w:lineRule="auto"/>
        <w:jc w:val="both"/>
        <w:rPr>
          <w:i/>
          <w:lang w:val="en-US"/>
        </w:rPr>
      </w:pPr>
      <w:r w:rsidRPr="00725B42">
        <w:rPr>
          <w:i/>
          <w:lang w:val="en-US"/>
        </w:rPr>
        <w:t>(a) Fundraising as a problematic process</w:t>
      </w:r>
    </w:p>
    <w:p w14:paraId="3B916EC6" w14:textId="77777777" w:rsidR="00725B42" w:rsidRPr="00725B42" w:rsidRDefault="00725B42" w:rsidP="00725B42">
      <w:pPr>
        <w:spacing w:line="480" w:lineRule="auto"/>
        <w:jc w:val="both"/>
        <w:rPr>
          <w:lang w:val="en-US"/>
        </w:rPr>
      </w:pPr>
      <w:r w:rsidRPr="00725B42">
        <w:rPr>
          <w:lang w:val="en-US"/>
        </w:rPr>
        <w:t>Fundraising is seen as a problem, a fragmented activity that must become a process. An obstacle is the bureaucratic aspect of public sector, which need a solution. Moreover, fundraising is a basic activity and a means to interact with the entrepreneurial world. Then, fundraising activities involve several organizational units: research office, technology transfer office and internalization office. This implies coordination and dialogue among offices and officers. However, coordination is difficult and possible only in theory, but in practice there are bureaucratic barriers, typical of public sector. Administrative offices are insufficient and there are inconsistent rules. Furthermore, some professors/researchers are not collaborative at all and do not want to share information with other university’s actors. This is an issue, because it can involve errors in the fundraising activities.</w:t>
      </w:r>
    </w:p>
    <w:p w14:paraId="55538103" w14:textId="6241E7D3" w:rsidR="00725B42" w:rsidRPr="00725B42" w:rsidRDefault="00725B42" w:rsidP="00725B42">
      <w:pPr>
        <w:spacing w:line="480" w:lineRule="auto"/>
        <w:jc w:val="both"/>
        <w:rPr>
          <w:lang w:val="en-US"/>
        </w:rPr>
      </w:pPr>
      <w:r w:rsidRPr="00725B42">
        <w:rPr>
          <w:lang w:val="en-US"/>
        </w:rPr>
        <w:t xml:space="preserve">Besides, the coordination between central administration and departments is a secondary problem. Usually departments carry out fundraising activities by third party contracts and external collaborations. Administrative employees collaborate to these contracts and collaborations, even through economic incentives. However, there </w:t>
      </w:r>
      <w:r w:rsidR="00FD0996">
        <w:rPr>
          <w:lang w:val="en-US"/>
        </w:rPr>
        <w:t xml:space="preserve">are </w:t>
      </w:r>
      <w:r w:rsidR="0079287C">
        <w:rPr>
          <w:lang w:val="en-US"/>
        </w:rPr>
        <w:t>rules that</w:t>
      </w:r>
      <w:r w:rsidRPr="00725B42">
        <w:rPr>
          <w:lang w:val="en-US"/>
        </w:rPr>
        <w:t xml:space="preserve"> are totally inconsistent with third party logic and, hence, a deregulation is needed.</w:t>
      </w:r>
    </w:p>
    <w:p w14:paraId="7F893D2F" w14:textId="77777777" w:rsidR="00725B42" w:rsidRPr="00725B42" w:rsidRDefault="00725B42" w:rsidP="00725B42">
      <w:pPr>
        <w:spacing w:line="480" w:lineRule="auto"/>
        <w:jc w:val="both"/>
        <w:rPr>
          <w:lang w:val="en-US"/>
        </w:rPr>
      </w:pPr>
    </w:p>
    <w:p w14:paraId="4EFD1FE5" w14:textId="77777777" w:rsidR="00725B42" w:rsidRPr="00725B42" w:rsidRDefault="00725B42" w:rsidP="00725B42">
      <w:pPr>
        <w:spacing w:line="480" w:lineRule="auto"/>
        <w:jc w:val="both"/>
        <w:rPr>
          <w:i/>
          <w:lang w:val="en-US"/>
        </w:rPr>
      </w:pPr>
      <w:r w:rsidRPr="00725B42">
        <w:rPr>
          <w:i/>
          <w:lang w:val="en-US"/>
        </w:rPr>
        <w:t>(b) Fundraising as a process characterized by complexity</w:t>
      </w:r>
    </w:p>
    <w:p w14:paraId="5FBD7CB7" w14:textId="060FF1EE" w:rsidR="00725B42" w:rsidRPr="00725B42" w:rsidRDefault="00725B42" w:rsidP="00725B42">
      <w:pPr>
        <w:spacing w:line="480" w:lineRule="auto"/>
        <w:jc w:val="both"/>
        <w:rPr>
          <w:lang w:val="en-US"/>
        </w:rPr>
      </w:pPr>
      <w:r w:rsidRPr="00725B42">
        <w:rPr>
          <w:lang w:val="en-US"/>
        </w:rPr>
        <w:t xml:space="preserve">There is no structured definition of fundraising process, because it is seen as a continuous activity, as a tool within a context that has changed. In this situation, the solution is the collaboration between public and private sector, with </w:t>
      </w:r>
      <w:r w:rsidR="0079287C">
        <w:rPr>
          <w:lang w:val="en-US"/>
        </w:rPr>
        <w:t xml:space="preserve">the </w:t>
      </w:r>
      <w:r w:rsidRPr="00725B42">
        <w:rPr>
          <w:lang w:val="en-US"/>
        </w:rPr>
        <w:t xml:space="preserve">aim to find new funding opportunities. Moreover, fundraising is a promotion and step-by-step activity, whose context is not only university, but also the geographical area where it is located. The condition </w:t>
      </w:r>
      <w:r w:rsidRPr="00725B42">
        <w:rPr>
          <w:i/>
          <w:lang w:val="en-US"/>
        </w:rPr>
        <w:t>sine qua non</w:t>
      </w:r>
      <w:r w:rsidRPr="00725B42">
        <w:rPr>
          <w:lang w:val="en-US"/>
        </w:rPr>
        <w:t xml:space="preserve"> to make good causes supported is reciprocal knowledge. Hence, the aim is stakeholders’ sponsorship. Therefore, fundraising is a complex, articulated and non-routine process, which includes the interaction of different actors, that belong or not to the university, in addition to very complex activities. Finally, fundraising is an articulated and structured process, which invo</w:t>
      </w:r>
      <w:r w:rsidR="00626E38">
        <w:rPr>
          <w:lang w:val="en-US"/>
        </w:rPr>
        <w:t>lve the collaboration with the A</w:t>
      </w:r>
      <w:r w:rsidRPr="00725B42">
        <w:rPr>
          <w:lang w:val="en-US"/>
        </w:rPr>
        <w:t>lumni association, which support scholarships or specific projects. Private fundraising is based on loyalty towards university and stable communication campaigns addressed to donors, among whom there are the most important ones that are top alumni and circle of donors. The link between the Alumni association and the university is based on fundraising process, since the association supports the university through regular donations of membership fees. However there is scarce collaboration between professors/researchers and employees.</w:t>
      </w:r>
    </w:p>
    <w:p w14:paraId="0366613C" w14:textId="77777777" w:rsidR="00725B42" w:rsidRPr="00725B42" w:rsidRDefault="00725B42" w:rsidP="00725B42">
      <w:pPr>
        <w:spacing w:line="480" w:lineRule="auto"/>
        <w:jc w:val="both"/>
        <w:rPr>
          <w:lang w:val="en-US"/>
        </w:rPr>
      </w:pPr>
      <w:r w:rsidRPr="00725B42">
        <w:rPr>
          <w:lang w:val="en-US"/>
        </w:rPr>
        <w:t>Fundraising is a top-down process, which involves university organizational structure at central, departmental and single researcher level. In order to find out new funding opportunities able to satisfy researchers’ needs, it is important to have some information’s filters and networks, punctual information and triangulation among central administration, researchers, and single departments’ research managers. Hence, it is important to encourage autonomy of single researchers and, at the same time, collaboration at all levels.</w:t>
      </w:r>
    </w:p>
    <w:p w14:paraId="09ACEBBB" w14:textId="3CABA766" w:rsidR="00725B42" w:rsidRPr="00725B42" w:rsidRDefault="00725B42" w:rsidP="00725B42">
      <w:pPr>
        <w:spacing w:line="480" w:lineRule="auto"/>
        <w:jc w:val="both"/>
        <w:rPr>
          <w:lang w:val="en-US"/>
        </w:rPr>
      </w:pPr>
      <w:r w:rsidRPr="00725B42">
        <w:rPr>
          <w:lang w:val="en-US"/>
        </w:rPr>
        <w:t>Furthermore, there is an ideal workflow with all actors and activities involved in the fundraising process, which is characterized by the collaboration between administrative employees and professors/researchers. The formers are responsible for money management (central administration) and auditing (research office) and reporting activities (departments’ administrative offices), whereas the latters deal with project administration and management. Hence, a strong integration between roles and c</w:t>
      </w:r>
      <w:r w:rsidR="00626E38">
        <w:rPr>
          <w:lang w:val="en-US"/>
        </w:rPr>
        <w:t>ompetences is needed. Besides, f</w:t>
      </w:r>
      <w:r w:rsidRPr="00725B42">
        <w:rPr>
          <w:lang w:val="en-US"/>
        </w:rPr>
        <w:t>undraising involves several units of the</w:t>
      </w:r>
      <w:r w:rsidR="00A82A82">
        <w:rPr>
          <w:lang w:val="en-US"/>
        </w:rPr>
        <w:t xml:space="preserve"> university: f</w:t>
      </w:r>
      <w:r w:rsidRPr="00725B42">
        <w:rPr>
          <w:lang w:val="en-US"/>
        </w:rPr>
        <w:t>ront office, logistic office, communication office, public relations office, Rector’s administrative office and departments. Hence, collaboration is a crucial element. However, collaboration is case-sensitive, since professors do not always collaborate with administrative employees or external entities like enterprises.</w:t>
      </w:r>
    </w:p>
    <w:p w14:paraId="49DC0980" w14:textId="77777777" w:rsidR="00725B42" w:rsidRPr="00725B42" w:rsidRDefault="00725B42" w:rsidP="00725B42">
      <w:pPr>
        <w:spacing w:line="480" w:lineRule="auto"/>
        <w:jc w:val="both"/>
        <w:rPr>
          <w:lang w:val="en-US"/>
        </w:rPr>
      </w:pPr>
      <w:r w:rsidRPr="00725B42">
        <w:rPr>
          <w:lang w:val="en-US"/>
        </w:rPr>
        <w:t>Relating to the coordination between fundraising at a central level and the one at departmental level, there is a double coordination: the first is the hierarchical one, where all the units, which support departments, report to the finance area; the second is the functional one, according to which each unit report to its function. The double coordination seeks to reach a higher efficiency. However, coordination is difficult and needs academic leaders’ action.</w:t>
      </w:r>
    </w:p>
    <w:p w14:paraId="19653F8E" w14:textId="77777777" w:rsidR="00725B42" w:rsidRPr="00725B42" w:rsidRDefault="00725B42" w:rsidP="00725B42">
      <w:pPr>
        <w:spacing w:line="480" w:lineRule="auto"/>
        <w:jc w:val="both"/>
        <w:rPr>
          <w:lang w:val="en-US"/>
        </w:rPr>
      </w:pPr>
    </w:p>
    <w:p w14:paraId="5C43EC12" w14:textId="77777777" w:rsidR="00725B42" w:rsidRPr="00725B42" w:rsidRDefault="00725B42" w:rsidP="00725B42">
      <w:pPr>
        <w:spacing w:line="480" w:lineRule="auto"/>
        <w:jc w:val="both"/>
        <w:rPr>
          <w:i/>
          <w:lang w:val="en-US"/>
        </w:rPr>
      </w:pPr>
      <w:r w:rsidRPr="00725B42">
        <w:rPr>
          <w:i/>
          <w:lang w:val="en-US"/>
        </w:rPr>
        <w:t>(c) Fundraising as a dual process</w:t>
      </w:r>
    </w:p>
    <w:p w14:paraId="34C4654D" w14:textId="5D7C0141" w:rsidR="00725B42" w:rsidRPr="00725B42" w:rsidRDefault="00725B42" w:rsidP="00725B42">
      <w:pPr>
        <w:spacing w:line="480" w:lineRule="auto"/>
        <w:jc w:val="both"/>
        <w:rPr>
          <w:lang w:val="en-US"/>
        </w:rPr>
      </w:pPr>
      <w:r w:rsidRPr="00725B42">
        <w:rPr>
          <w:lang w:val="en-US"/>
        </w:rPr>
        <w:t>Universities must consider the competitive announcements at local, national and international level. Fundraising is a dual process, which involve</w:t>
      </w:r>
      <w:r w:rsidR="00D8768D">
        <w:rPr>
          <w:lang w:val="en-US"/>
        </w:rPr>
        <w:t>s</w:t>
      </w:r>
      <w:r w:rsidRPr="00725B42">
        <w:rPr>
          <w:lang w:val="en-US"/>
        </w:rPr>
        <w:t xml:space="preserve"> research groups and the identification of funding opportunities. In fact, universities are more and more interested in seeking new funding opportunities. Hence, they need information dissemination throughout the university, together with the assistance in screening these opportunities and to find a merge between research groups and competitive announcements. The output of this process is to deliver correct and competitive answers, thanks to the expertise acquired, in order to get research funds. Therefore, fundraising need</w:t>
      </w:r>
      <w:r w:rsidR="00D8768D">
        <w:rPr>
          <w:lang w:val="en-US"/>
        </w:rPr>
        <w:t>s</w:t>
      </w:r>
      <w:r w:rsidRPr="00725B42">
        <w:rPr>
          <w:lang w:val="en-US"/>
        </w:rPr>
        <w:t xml:space="preserve"> human resources dedicated to screen and write research projects according to </w:t>
      </w:r>
      <w:r w:rsidR="00D8768D">
        <w:rPr>
          <w:lang w:val="en-US"/>
        </w:rPr>
        <w:t xml:space="preserve">the </w:t>
      </w:r>
      <w:r w:rsidRPr="00725B42">
        <w:rPr>
          <w:lang w:val="en-US"/>
        </w:rPr>
        <w:t>thematic groups’ needs. Furthermore, synergies among departments are desirable, but, relating to this, it is worth to consider competition for scientific outcomes. Besides, there is a coordination between fundraising activities carried out by central administration and those ones run at departments</w:t>
      </w:r>
      <w:r w:rsidR="00D8768D">
        <w:rPr>
          <w:lang w:val="en-US"/>
        </w:rPr>
        <w:t>’</w:t>
      </w:r>
      <w:r w:rsidRPr="00725B42">
        <w:rPr>
          <w:lang w:val="en-US"/>
        </w:rPr>
        <w:t xml:space="preserve"> level, even if it is case-sensitive, since it depends on each department conditions and needs. </w:t>
      </w:r>
    </w:p>
    <w:p w14:paraId="6D6F10FD" w14:textId="77777777" w:rsidR="00725B42" w:rsidRPr="00725B42" w:rsidRDefault="00725B42" w:rsidP="00725B42">
      <w:pPr>
        <w:spacing w:line="480" w:lineRule="auto"/>
        <w:jc w:val="both"/>
        <w:rPr>
          <w:lang w:val="en-US"/>
        </w:rPr>
      </w:pPr>
    </w:p>
    <w:p w14:paraId="58EBA7D4" w14:textId="77777777" w:rsidR="00725B42" w:rsidRPr="00725B42" w:rsidRDefault="00725B42" w:rsidP="00725B42">
      <w:pPr>
        <w:spacing w:line="480" w:lineRule="auto"/>
        <w:jc w:val="both"/>
        <w:rPr>
          <w:i/>
          <w:lang w:val="en-US"/>
        </w:rPr>
      </w:pPr>
      <w:r w:rsidRPr="00725B42">
        <w:rPr>
          <w:i/>
          <w:lang w:val="en-US"/>
        </w:rPr>
        <w:t>(d) Fundraising as a new process, task and objective</w:t>
      </w:r>
    </w:p>
    <w:p w14:paraId="63925BD6" w14:textId="168F0106" w:rsidR="00725B42" w:rsidRPr="00725B42" w:rsidRDefault="00725B42" w:rsidP="00725B42">
      <w:pPr>
        <w:spacing w:line="480" w:lineRule="auto"/>
        <w:jc w:val="both"/>
        <w:rPr>
          <w:lang w:val="en-US"/>
        </w:rPr>
      </w:pPr>
      <w:r w:rsidRPr="00725B42">
        <w:rPr>
          <w:lang w:val="en-US"/>
        </w:rPr>
        <w:t xml:space="preserve">Fundraising is a new task and activity, recently considered one of the </w:t>
      </w:r>
      <w:r w:rsidR="00D8768D">
        <w:rPr>
          <w:lang w:val="en-US"/>
        </w:rPr>
        <w:t xml:space="preserve">university’s </w:t>
      </w:r>
      <w:r w:rsidRPr="00725B42">
        <w:rPr>
          <w:lang w:val="en-US"/>
        </w:rPr>
        <w:t>objectives. The strategy is still unclear and maybe it can involve crowdfunding, but still now it is not clear if the university can carry out such an activity. There is a new organizational structure devoted to fundraising activities, but it is still in a preliminary and explorative phase.</w:t>
      </w:r>
    </w:p>
    <w:p w14:paraId="00DA0932" w14:textId="77777777" w:rsidR="00725B42" w:rsidRPr="00725B42" w:rsidRDefault="00725B42" w:rsidP="00725B42">
      <w:pPr>
        <w:spacing w:line="480" w:lineRule="auto"/>
        <w:jc w:val="both"/>
        <w:rPr>
          <w:lang w:val="en-US"/>
        </w:rPr>
      </w:pPr>
      <w:r w:rsidRPr="00725B42">
        <w:rPr>
          <w:lang w:val="en-US"/>
        </w:rPr>
        <w:t xml:space="preserve">Moreover, after an explorative phase the coordination between departments and central administration is desirable, even if often there is no general coordination carried out by the academic leaders. A formal coordination is crucial to make relations with donors stable. </w:t>
      </w:r>
    </w:p>
    <w:p w14:paraId="479F7E95" w14:textId="77777777" w:rsidR="00725B42" w:rsidRPr="00725B42" w:rsidRDefault="00725B42" w:rsidP="00725B42">
      <w:pPr>
        <w:spacing w:line="480" w:lineRule="auto"/>
        <w:jc w:val="both"/>
        <w:rPr>
          <w:lang w:val="en-US"/>
        </w:rPr>
      </w:pPr>
    </w:p>
    <w:p w14:paraId="4CC7F58B" w14:textId="77777777" w:rsidR="00725B42" w:rsidRPr="00725B42" w:rsidRDefault="00725B42" w:rsidP="00725B42">
      <w:pPr>
        <w:spacing w:line="480" w:lineRule="auto"/>
        <w:jc w:val="both"/>
        <w:rPr>
          <w:lang w:val="en-US"/>
        </w:rPr>
      </w:pPr>
      <w:r w:rsidRPr="00725B42">
        <w:rPr>
          <w:lang w:val="en-US"/>
        </w:rPr>
        <w:t>The second group of categories regards the definition of fundraising tools and features. Results are shown as follows.</w:t>
      </w:r>
    </w:p>
    <w:p w14:paraId="2E23AB84" w14:textId="77777777" w:rsidR="00725B42" w:rsidRPr="00725B42" w:rsidRDefault="00725B42" w:rsidP="00725B42">
      <w:pPr>
        <w:spacing w:line="480" w:lineRule="auto"/>
        <w:jc w:val="both"/>
        <w:rPr>
          <w:i/>
          <w:lang w:val="en-US"/>
        </w:rPr>
      </w:pPr>
    </w:p>
    <w:p w14:paraId="2977AE83" w14:textId="67AAB20D" w:rsidR="00725B42" w:rsidRPr="00725B42" w:rsidRDefault="00F068D8" w:rsidP="00725B42">
      <w:pPr>
        <w:spacing w:line="480" w:lineRule="auto"/>
        <w:jc w:val="both"/>
        <w:rPr>
          <w:i/>
          <w:lang w:val="en-US"/>
        </w:rPr>
      </w:pPr>
      <w:r>
        <w:rPr>
          <w:i/>
          <w:lang w:val="en-US"/>
        </w:rPr>
        <w:t xml:space="preserve">(a) </w:t>
      </w:r>
      <w:r w:rsidR="00725B42" w:rsidRPr="00725B42">
        <w:rPr>
          <w:i/>
          <w:lang w:val="en-US"/>
        </w:rPr>
        <w:t xml:space="preserve">Third party contracts and external collaborations with partnership between public and private sector </w:t>
      </w:r>
    </w:p>
    <w:p w14:paraId="6F6E9CF9" w14:textId="323A7705" w:rsidR="00725B42" w:rsidRPr="00725B42" w:rsidRDefault="00725B42" w:rsidP="00725B42">
      <w:pPr>
        <w:spacing w:line="480" w:lineRule="auto"/>
        <w:jc w:val="both"/>
        <w:rPr>
          <w:lang w:val="en-US"/>
        </w:rPr>
      </w:pPr>
      <w:r w:rsidRPr="00725B42">
        <w:rPr>
          <w:lang w:val="en-US"/>
        </w:rPr>
        <w:t>Depar</w:t>
      </w:r>
      <w:r w:rsidR="00D8768D">
        <w:rPr>
          <w:lang w:val="en-US"/>
        </w:rPr>
        <w:t>tments, especially those relating to</w:t>
      </w:r>
      <w:r w:rsidRPr="00725B42">
        <w:rPr>
          <w:lang w:val="en-US"/>
        </w:rPr>
        <w:t xml:space="preserve"> technology and sciences, usually use these fundraising tools. Moreover, even research groups and single researchers/professors carry out third party contracts and external collaborations. Hence, these tools are not so easily institutionalized, because they are often based on personal relationships. Furthermore</w:t>
      </w:r>
      <w:r w:rsidR="00D8768D">
        <w:rPr>
          <w:lang w:val="en-US"/>
        </w:rPr>
        <w:t>,</w:t>
      </w:r>
      <w:r w:rsidRPr="00725B42">
        <w:rPr>
          <w:lang w:val="en-US"/>
        </w:rPr>
        <w:t xml:space="preserve"> both tools are important but they are not the main source of external funds.</w:t>
      </w:r>
    </w:p>
    <w:p w14:paraId="0188DDF1" w14:textId="77777777" w:rsidR="00725B42" w:rsidRPr="00725B42" w:rsidRDefault="00725B42" w:rsidP="00725B42">
      <w:pPr>
        <w:spacing w:line="480" w:lineRule="auto"/>
        <w:jc w:val="both"/>
        <w:rPr>
          <w:lang w:val="en-US"/>
        </w:rPr>
      </w:pPr>
    </w:p>
    <w:p w14:paraId="7AB72629" w14:textId="1A7D9177" w:rsidR="00725B42" w:rsidRPr="00725B42" w:rsidRDefault="00F068D8" w:rsidP="00725B42">
      <w:pPr>
        <w:spacing w:line="480" w:lineRule="auto"/>
        <w:jc w:val="both"/>
        <w:rPr>
          <w:i/>
          <w:lang w:val="en-US"/>
        </w:rPr>
      </w:pPr>
      <w:r>
        <w:rPr>
          <w:i/>
          <w:lang w:val="en-US"/>
        </w:rPr>
        <w:t xml:space="preserve">(b) </w:t>
      </w:r>
      <w:r w:rsidR="00725B42" w:rsidRPr="00725B42">
        <w:rPr>
          <w:i/>
          <w:lang w:val="en-US"/>
        </w:rPr>
        <w:t>Agreements with public entities, private enterprises and non-profit organizations</w:t>
      </w:r>
    </w:p>
    <w:p w14:paraId="5F3FFB43" w14:textId="54711AB2" w:rsidR="00725B42" w:rsidRPr="00725B42" w:rsidRDefault="00725B42" w:rsidP="00725B42">
      <w:pPr>
        <w:spacing w:line="480" w:lineRule="auto"/>
        <w:jc w:val="both"/>
        <w:rPr>
          <w:lang w:val="en-US"/>
        </w:rPr>
      </w:pPr>
      <w:r w:rsidRPr="00725B42">
        <w:rPr>
          <w:lang w:val="en-US"/>
        </w:rPr>
        <w:t xml:space="preserve">These tools are used by the university as </w:t>
      </w:r>
      <w:r w:rsidR="00D8768D">
        <w:rPr>
          <w:lang w:val="en-US"/>
        </w:rPr>
        <w:t xml:space="preserve">a </w:t>
      </w:r>
      <w:r w:rsidRPr="00725B42">
        <w:rPr>
          <w:lang w:val="en-US"/>
        </w:rPr>
        <w:t>whole: the central administration is usually in charge for agreements</w:t>
      </w:r>
      <w:r w:rsidR="00D8768D">
        <w:rPr>
          <w:lang w:val="en-US"/>
        </w:rPr>
        <w:t>’</w:t>
      </w:r>
      <w:r w:rsidRPr="00725B42">
        <w:rPr>
          <w:lang w:val="en-US"/>
        </w:rPr>
        <w:t xml:space="preserve"> management. It is not a fundraising tool in the real sense of the world, since these agreements do not involve a monetary support, but they include some benefits for the university and its internal stakeholders (students, researchers, professors and employees).</w:t>
      </w:r>
    </w:p>
    <w:p w14:paraId="33DC4BE1" w14:textId="77777777" w:rsidR="00F068D8" w:rsidRDefault="00F068D8" w:rsidP="00725B42">
      <w:pPr>
        <w:spacing w:line="480" w:lineRule="auto"/>
        <w:jc w:val="both"/>
        <w:rPr>
          <w:lang w:val="en-US"/>
        </w:rPr>
      </w:pPr>
    </w:p>
    <w:p w14:paraId="27E0A2AC" w14:textId="4D00EF5F" w:rsidR="00725B42" w:rsidRPr="00725B42" w:rsidRDefault="00F068D8" w:rsidP="00725B42">
      <w:pPr>
        <w:spacing w:line="480" w:lineRule="auto"/>
        <w:jc w:val="both"/>
        <w:rPr>
          <w:i/>
          <w:lang w:val="en-US"/>
        </w:rPr>
      </w:pPr>
      <w:r w:rsidRPr="00F068D8">
        <w:rPr>
          <w:i/>
          <w:lang w:val="en-US"/>
        </w:rPr>
        <w:t>(c)</w:t>
      </w:r>
      <w:r>
        <w:rPr>
          <w:lang w:val="en-US"/>
        </w:rPr>
        <w:t xml:space="preserve"> </w:t>
      </w:r>
      <w:r w:rsidR="00725B42" w:rsidRPr="00725B42">
        <w:rPr>
          <w:i/>
          <w:lang w:val="en-US"/>
        </w:rPr>
        <w:t>Private fundraising</w:t>
      </w:r>
    </w:p>
    <w:p w14:paraId="6FCD5C59" w14:textId="77777777" w:rsidR="00725B42" w:rsidRPr="00725B42" w:rsidRDefault="00725B42" w:rsidP="00725B42">
      <w:pPr>
        <w:spacing w:line="480" w:lineRule="auto"/>
        <w:jc w:val="both"/>
        <w:rPr>
          <w:lang w:val="en-US"/>
        </w:rPr>
      </w:pPr>
      <w:r w:rsidRPr="00725B42">
        <w:rPr>
          <w:lang w:val="en-US"/>
        </w:rPr>
        <w:t xml:space="preserve">This fundraising tool is addressed both to natural people and legal entities. It involves activities like public engagement events with the aim to convince external stakeholders and possible donors to support university’s good causes. It is usually managed at a central level, but it can be carried out also by departments. </w:t>
      </w:r>
    </w:p>
    <w:p w14:paraId="345CC78E" w14:textId="77777777" w:rsidR="00725B42" w:rsidRPr="00725B42" w:rsidRDefault="00725B42" w:rsidP="00725B42">
      <w:pPr>
        <w:spacing w:line="480" w:lineRule="auto"/>
        <w:jc w:val="both"/>
        <w:rPr>
          <w:lang w:val="en-US"/>
        </w:rPr>
      </w:pPr>
    </w:p>
    <w:p w14:paraId="66606AED" w14:textId="37EBECB9" w:rsidR="00725B42" w:rsidRPr="00725B42" w:rsidRDefault="00F068D8" w:rsidP="00725B42">
      <w:pPr>
        <w:spacing w:line="480" w:lineRule="auto"/>
        <w:jc w:val="both"/>
        <w:rPr>
          <w:i/>
          <w:lang w:val="en-US"/>
        </w:rPr>
      </w:pPr>
      <w:r>
        <w:rPr>
          <w:i/>
          <w:lang w:val="en-US"/>
        </w:rPr>
        <w:t xml:space="preserve">(d) </w:t>
      </w:r>
      <w:r w:rsidR="00725B42" w:rsidRPr="00725B42">
        <w:rPr>
          <w:i/>
          <w:lang w:val="en-US"/>
        </w:rPr>
        <w:t>Competitive-based funding at international, national and regional level</w:t>
      </w:r>
    </w:p>
    <w:p w14:paraId="1BF2E5DC" w14:textId="255CA286" w:rsidR="00725B42" w:rsidRPr="00725B42" w:rsidRDefault="00725B42" w:rsidP="00725B42">
      <w:pPr>
        <w:spacing w:line="480" w:lineRule="auto"/>
        <w:jc w:val="both"/>
        <w:rPr>
          <w:lang w:val="en-US"/>
        </w:rPr>
      </w:pPr>
      <w:r w:rsidRPr="00725B42">
        <w:rPr>
          <w:lang w:val="en-US"/>
        </w:rPr>
        <w:t xml:space="preserve">This is the main source of funding, after FFO. It is managed at </w:t>
      </w:r>
      <w:r w:rsidR="00DC5DAE">
        <w:rPr>
          <w:lang w:val="en-US"/>
        </w:rPr>
        <w:t xml:space="preserve">a </w:t>
      </w:r>
      <w:r w:rsidRPr="00725B42">
        <w:rPr>
          <w:lang w:val="en-US"/>
        </w:rPr>
        <w:t xml:space="preserve">central level from the administrative point of view, whereas research ideas and projects are developed at departmental/research group/single researcher/professor level. </w:t>
      </w:r>
    </w:p>
    <w:p w14:paraId="5068E1A4" w14:textId="77777777" w:rsidR="00725B42" w:rsidRPr="00725B42" w:rsidRDefault="00725B42" w:rsidP="00725B42">
      <w:pPr>
        <w:spacing w:line="480" w:lineRule="auto"/>
        <w:jc w:val="both"/>
        <w:rPr>
          <w:lang w:val="en-US"/>
        </w:rPr>
      </w:pPr>
    </w:p>
    <w:p w14:paraId="62A53DAC" w14:textId="70E54D8B" w:rsidR="00725B42" w:rsidRPr="00725B42" w:rsidRDefault="00F068D8" w:rsidP="00725B42">
      <w:pPr>
        <w:spacing w:line="480" w:lineRule="auto"/>
        <w:jc w:val="both"/>
        <w:rPr>
          <w:i/>
          <w:lang w:val="en-US"/>
        </w:rPr>
      </w:pPr>
      <w:r>
        <w:rPr>
          <w:i/>
          <w:lang w:val="en-US"/>
        </w:rPr>
        <w:t xml:space="preserve">(e) </w:t>
      </w:r>
      <w:r w:rsidR="00725B42" w:rsidRPr="00725B42">
        <w:rPr>
          <w:i/>
          <w:lang w:val="en-US"/>
        </w:rPr>
        <w:t>5x1000</w:t>
      </w:r>
    </w:p>
    <w:p w14:paraId="783BDB4E" w14:textId="77777777" w:rsidR="00725B42" w:rsidRPr="00725B42" w:rsidRDefault="00725B42" w:rsidP="00725B42">
      <w:pPr>
        <w:spacing w:line="480" w:lineRule="auto"/>
        <w:jc w:val="both"/>
        <w:rPr>
          <w:lang w:val="en-US"/>
        </w:rPr>
      </w:pPr>
      <w:r w:rsidRPr="00725B42">
        <w:rPr>
          <w:lang w:val="en-US"/>
        </w:rPr>
        <w:t>It is a fundraising tool used by all universities and managed at a central level. Sources gathered by 5x1000 campaigns can only be used for supporting research.</w:t>
      </w:r>
    </w:p>
    <w:p w14:paraId="2B5927CA" w14:textId="77777777" w:rsidR="00725B42" w:rsidRPr="00725B42" w:rsidRDefault="00725B42" w:rsidP="00725B42">
      <w:pPr>
        <w:spacing w:line="480" w:lineRule="auto"/>
        <w:jc w:val="both"/>
        <w:rPr>
          <w:lang w:val="en-US"/>
        </w:rPr>
      </w:pPr>
    </w:p>
    <w:p w14:paraId="16582BF4" w14:textId="726763BE" w:rsidR="00725B42" w:rsidRPr="00725B42" w:rsidRDefault="00294C85" w:rsidP="00725B42">
      <w:pPr>
        <w:spacing w:line="480" w:lineRule="auto"/>
        <w:jc w:val="both"/>
        <w:rPr>
          <w:i/>
          <w:lang w:val="en-US"/>
        </w:rPr>
      </w:pPr>
      <w:r>
        <w:rPr>
          <w:i/>
          <w:lang w:val="en-US"/>
        </w:rPr>
        <w:t>(f</w:t>
      </w:r>
      <w:r w:rsidR="005005B7">
        <w:rPr>
          <w:i/>
          <w:lang w:val="en-US"/>
        </w:rPr>
        <w:t xml:space="preserve">) </w:t>
      </w:r>
      <w:r w:rsidR="00725B42" w:rsidRPr="00725B42">
        <w:rPr>
          <w:i/>
          <w:lang w:val="en-US"/>
        </w:rPr>
        <w:t>Alumni Association</w:t>
      </w:r>
    </w:p>
    <w:p w14:paraId="4F9AF2A0" w14:textId="1D78742D" w:rsidR="00725B42" w:rsidRPr="00725B42" w:rsidRDefault="00725B42" w:rsidP="00725B42">
      <w:pPr>
        <w:spacing w:line="480" w:lineRule="auto"/>
        <w:jc w:val="both"/>
        <w:rPr>
          <w:lang w:val="en-US"/>
        </w:rPr>
      </w:pPr>
      <w:r w:rsidRPr="00725B42">
        <w:rPr>
          <w:lang w:val="en-US"/>
        </w:rPr>
        <w:t>This fundraising tool is hard used by some universities and totally disre</w:t>
      </w:r>
      <w:r w:rsidR="005005B7">
        <w:rPr>
          <w:lang w:val="en-US"/>
        </w:rPr>
        <w:t>garded by others. Furthermore, A</w:t>
      </w:r>
      <w:r w:rsidRPr="00725B42">
        <w:rPr>
          <w:lang w:val="en-US"/>
        </w:rPr>
        <w:t>lumni association support depends on the sense of membership of alumni to the university an</w:t>
      </w:r>
      <w:r w:rsidR="00294C85">
        <w:rPr>
          <w:lang w:val="en-US"/>
        </w:rPr>
        <w:t>d this justifies</w:t>
      </w:r>
      <w:r w:rsidRPr="00725B42">
        <w:rPr>
          <w:lang w:val="en-US"/>
        </w:rPr>
        <w:t xml:space="preserve"> why the situation is completely different from an academic context to another. </w:t>
      </w:r>
    </w:p>
    <w:p w14:paraId="065ACCCE" w14:textId="77777777" w:rsidR="00725B42" w:rsidRPr="00725B42" w:rsidRDefault="00725B42" w:rsidP="00725B42">
      <w:pPr>
        <w:spacing w:line="480" w:lineRule="auto"/>
        <w:jc w:val="both"/>
        <w:rPr>
          <w:lang w:val="en-US"/>
        </w:rPr>
      </w:pPr>
    </w:p>
    <w:p w14:paraId="646FA4CB" w14:textId="036A6511" w:rsidR="00725B42" w:rsidRPr="00725B42" w:rsidRDefault="00294C85" w:rsidP="00725B42">
      <w:pPr>
        <w:spacing w:line="480" w:lineRule="auto"/>
        <w:jc w:val="both"/>
        <w:rPr>
          <w:i/>
          <w:lang w:val="en-US"/>
        </w:rPr>
      </w:pPr>
      <w:r>
        <w:rPr>
          <w:i/>
          <w:lang w:val="en-US"/>
        </w:rPr>
        <w:t xml:space="preserve">(g) </w:t>
      </w:r>
      <w:r w:rsidR="00725B42" w:rsidRPr="00725B42">
        <w:rPr>
          <w:i/>
          <w:lang w:val="en-US"/>
        </w:rPr>
        <w:t>Crowdfunding</w:t>
      </w:r>
    </w:p>
    <w:p w14:paraId="2A11F529" w14:textId="275A02CD" w:rsidR="00725B42" w:rsidRPr="00725B42" w:rsidRDefault="00725B42" w:rsidP="00725B42">
      <w:pPr>
        <w:spacing w:line="480" w:lineRule="auto"/>
        <w:jc w:val="both"/>
        <w:rPr>
          <w:lang w:val="en-US"/>
        </w:rPr>
      </w:pPr>
      <w:r w:rsidRPr="00725B42">
        <w:rPr>
          <w:lang w:val="en-US"/>
        </w:rPr>
        <w:t>This is the newest fundraising tool used only by some universities. Among different model of crowdfunding platforms, donation-based one is addresse</w:t>
      </w:r>
      <w:r w:rsidR="00DE7C9B">
        <w:rPr>
          <w:lang w:val="en-US"/>
        </w:rPr>
        <w:t>d to r</w:t>
      </w:r>
      <w:r w:rsidRPr="00725B42">
        <w:rPr>
          <w:lang w:val="en-US"/>
        </w:rPr>
        <w:t>esearch support, whereas, equity-based crowdfunding seek for funds to sustain academic spin-off</w:t>
      </w:r>
      <w:r w:rsidR="00DE7C9B">
        <w:rPr>
          <w:lang w:val="en-US"/>
        </w:rPr>
        <w:t>s</w:t>
      </w:r>
      <w:r w:rsidRPr="00725B42">
        <w:rPr>
          <w:lang w:val="en-US"/>
        </w:rPr>
        <w:t xml:space="preserve">. </w:t>
      </w:r>
    </w:p>
    <w:p w14:paraId="0DF6F193" w14:textId="77777777" w:rsidR="00725B42" w:rsidRPr="00725B42" w:rsidRDefault="00725B42" w:rsidP="00725B42">
      <w:pPr>
        <w:spacing w:line="480" w:lineRule="auto"/>
        <w:jc w:val="both"/>
        <w:rPr>
          <w:lang w:val="en-US"/>
        </w:rPr>
      </w:pPr>
    </w:p>
    <w:p w14:paraId="559E5969" w14:textId="77777777" w:rsidR="00725B42" w:rsidRPr="00725B42" w:rsidRDefault="00725B42" w:rsidP="00725B42">
      <w:pPr>
        <w:spacing w:line="480" w:lineRule="auto"/>
        <w:jc w:val="both"/>
        <w:rPr>
          <w:lang w:val="en-US"/>
        </w:rPr>
      </w:pPr>
      <w:r w:rsidRPr="00725B42">
        <w:rPr>
          <w:lang w:val="en-US"/>
        </w:rPr>
        <w:t xml:space="preserve">The third group of categories individuated by </w:t>
      </w:r>
      <w:r w:rsidRPr="00725B42">
        <w:rPr>
          <w:i/>
          <w:lang w:val="en-US"/>
        </w:rPr>
        <w:t xml:space="preserve">coding </w:t>
      </w:r>
      <w:r w:rsidRPr="00725B42">
        <w:rPr>
          <w:lang w:val="en-US"/>
        </w:rPr>
        <w:t>phase deals with the definition of fundraising output and its destination in terms of university’s functions. Results are shown as follows.</w:t>
      </w:r>
    </w:p>
    <w:p w14:paraId="36D8F626" w14:textId="77777777" w:rsidR="00725B42" w:rsidRPr="00725B42" w:rsidRDefault="00725B42" w:rsidP="00725B42">
      <w:pPr>
        <w:spacing w:line="480" w:lineRule="auto"/>
        <w:jc w:val="both"/>
        <w:rPr>
          <w:lang w:val="en-US"/>
        </w:rPr>
      </w:pPr>
    </w:p>
    <w:p w14:paraId="3C67E3F3" w14:textId="619786F6" w:rsidR="00725B42" w:rsidRPr="00725B42" w:rsidRDefault="004471F0" w:rsidP="00725B42">
      <w:pPr>
        <w:spacing w:line="480" w:lineRule="auto"/>
        <w:jc w:val="both"/>
        <w:rPr>
          <w:i/>
          <w:lang w:val="en-US"/>
        </w:rPr>
      </w:pPr>
      <w:r>
        <w:rPr>
          <w:i/>
          <w:lang w:val="en-US"/>
        </w:rPr>
        <w:t xml:space="preserve">(a) </w:t>
      </w:r>
      <w:r w:rsidR="00725B42" w:rsidRPr="00725B42">
        <w:rPr>
          <w:i/>
          <w:lang w:val="en-US"/>
        </w:rPr>
        <w:t>Qualitative Outputs</w:t>
      </w:r>
    </w:p>
    <w:p w14:paraId="78A0BA70" w14:textId="572E5D2A" w:rsidR="00725B42" w:rsidRPr="00725B42" w:rsidRDefault="00725B42" w:rsidP="00725B42">
      <w:pPr>
        <w:spacing w:line="480" w:lineRule="auto"/>
        <w:jc w:val="both"/>
        <w:rPr>
          <w:lang w:val="en-US"/>
        </w:rPr>
      </w:pPr>
      <w:r w:rsidRPr="00725B42">
        <w:rPr>
          <w:lang w:val="en-US"/>
        </w:rPr>
        <w:t>Fundraising can be useful to develop the quality of services delivered by the universities. Foll</w:t>
      </w:r>
      <w:r w:rsidR="004471F0">
        <w:rPr>
          <w:lang w:val="en-US"/>
        </w:rPr>
        <w:t>owing this reasoning, it is an o</w:t>
      </w:r>
      <w:r w:rsidRPr="00725B42">
        <w:rPr>
          <w:lang w:val="en-US"/>
        </w:rPr>
        <w:t xml:space="preserve">utreach tool, since it enables the university to establish long-lasting relationships and partnerships, based on knowledge, university’s promotion and dialogue with internal and external stakeholders through public engagement events. Qualitative outputs are addressed to all functions and, hence, there are not distribution criteria. They are not measurable and there are not indicators to measure them. </w:t>
      </w:r>
    </w:p>
    <w:p w14:paraId="491D60BC" w14:textId="77777777" w:rsidR="00725B42" w:rsidRPr="00725B42" w:rsidRDefault="00725B42" w:rsidP="00725B42">
      <w:pPr>
        <w:spacing w:line="480" w:lineRule="auto"/>
        <w:jc w:val="both"/>
        <w:rPr>
          <w:lang w:val="en-US"/>
        </w:rPr>
      </w:pPr>
    </w:p>
    <w:p w14:paraId="0714E47E" w14:textId="28B8F13F" w:rsidR="00725B42" w:rsidRPr="00725B42" w:rsidRDefault="004471F0" w:rsidP="00725B42">
      <w:pPr>
        <w:spacing w:line="480" w:lineRule="auto"/>
        <w:jc w:val="both"/>
        <w:rPr>
          <w:i/>
          <w:lang w:val="en-US"/>
        </w:rPr>
      </w:pPr>
      <w:r>
        <w:rPr>
          <w:i/>
          <w:lang w:val="en-US"/>
        </w:rPr>
        <w:t xml:space="preserve">(b) </w:t>
      </w:r>
      <w:r w:rsidR="00725B42" w:rsidRPr="00725B42">
        <w:rPr>
          <w:i/>
          <w:lang w:val="en-US"/>
        </w:rPr>
        <w:t>Quantitative Outputs</w:t>
      </w:r>
    </w:p>
    <w:p w14:paraId="478E613B" w14:textId="051E159C" w:rsidR="00725B42" w:rsidRPr="00725B42" w:rsidRDefault="00725B42" w:rsidP="00725B42">
      <w:pPr>
        <w:spacing w:line="480" w:lineRule="auto"/>
        <w:jc w:val="both"/>
        <w:rPr>
          <w:lang w:val="en-US"/>
        </w:rPr>
      </w:pPr>
      <w:r w:rsidRPr="00725B42">
        <w:rPr>
          <w:lang w:val="en-US"/>
        </w:rPr>
        <w:t>Fundraising is evaluated at a central level, relating to competitive-based funding, and at a departmental for the third party contracts. In the distribution of resources,</w:t>
      </w:r>
      <w:r w:rsidR="004471F0">
        <w:rPr>
          <w:lang w:val="en-US"/>
        </w:rPr>
        <w:t xml:space="preserve"> most of them are addressed to research, whereas t</w:t>
      </w:r>
      <w:r w:rsidRPr="00725B42">
        <w:rPr>
          <w:lang w:val="en-US"/>
        </w:rPr>
        <w:t xml:space="preserve">eaching is quite disregarded. Then, relating to competitive based-funding both participation rate and success rate are considered as fundraising performance indicators. Furthermore, the relation between these two rates is considered an indicator, in addition to the total amount of funding. </w:t>
      </w:r>
    </w:p>
    <w:p w14:paraId="3C34FBC3" w14:textId="602F2D86" w:rsidR="00725B42" w:rsidRPr="00725B42" w:rsidRDefault="00725B42" w:rsidP="00725B42">
      <w:pPr>
        <w:spacing w:line="480" w:lineRule="auto"/>
        <w:jc w:val="both"/>
        <w:rPr>
          <w:lang w:val="en-US"/>
        </w:rPr>
      </w:pPr>
      <w:r w:rsidRPr="00725B42">
        <w:rPr>
          <w:lang w:val="en-US"/>
        </w:rPr>
        <w:t>Quantitativ</w:t>
      </w:r>
      <w:r w:rsidR="004471F0">
        <w:rPr>
          <w:lang w:val="en-US"/>
        </w:rPr>
        <w:t>e outputs are addressed to the research and o</w:t>
      </w:r>
      <w:r w:rsidRPr="00725B42">
        <w:rPr>
          <w:lang w:val="en-US"/>
        </w:rPr>
        <w:t xml:space="preserve">utreach functions. Distribution criteria are not always clear and they depend on the fundraising tools used: for some it is not necessary to distribute sources since they are gathered by single department or researcher/professor. </w:t>
      </w:r>
    </w:p>
    <w:p w14:paraId="57AB2DD2" w14:textId="6F4DD078" w:rsidR="00725B42" w:rsidRPr="00725B42" w:rsidRDefault="00725B42" w:rsidP="00725B42">
      <w:pPr>
        <w:spacing w:line="480" w:lineRule="auto"/>
        <w:jc w:val="both"/>
        <w:rPr>
          <w:lang w:val="en-US"/>
        </w:rPr>
      </w:pPr>
      <w:r w:rsidRPr="00725B42">
        <w:rPr>
          <w:lang w:val="en-US"/>
        </w:rPr>
        <w:t xml:space="preserve">Relating to </w:t>
      </w:r>
      <w:r w:rsidR="005B13A9">
        <w:rPr>
          <w:lang w:val="en-US"/>
        </w:rPr>
        <w:t>the t</w:t>
      </w:r>
      <w:r w:rsidRPr="00725B42">
        <w:rPr>
          <w:lang w:val="en-US"/>
        </w:rPr>
        <w:t xml:space="preserve">eaching function, outputs are: education and graduation awards, scholarships and grants. Performance can be evaluated periodically in order to improve the process </w:t>
      </w:r>
      <w:r w:rsidRPr="00725B42">
        <w:rPr>
          <w:i/>
          <w:lang w:val="en-US"/>
        </w:rPr>
        <w:t>in itinere.</w:t>
      </w:r>
    </w:p>
    <w:p w14:paraId="5D09C427" w14:textId="77777777" w:rsidR="00725B42" w:rsidRPr="00725B42" w:rsidRDefault="00725B42" w:rsidP="00725B42">
      <w:pPr>
        <w:spacing w:line="480" w:lineRule="auto"/>
        <w:jc w:val="both"/>
        <w:rPr>
          <w:i/>
          <w:lang w:val="en-US"/>
        </w:rPr>
      </w:pPr>
    </w:p>
    <w:p w14:paraId="5AB6F777" w14:textId="77777777" w:rsidR="00725B42" w:rsidRPr="00725B42" w:rsidRDefault="00725B42" w:rsidP="00725B42">
      <w:pPr>
        <w:spacing w:line="480" w:lineRule="auto"/>
        <w:jc w:val="both"/>
        <w:rPr>
          <w:lang w:val="en-US"/>
        </w:rPr>
      </w:pPr>
      <w:r w:rsidRPr="00725B42">
        <w:rPr>
          <w:lang w:val="en-US"/>
        </w:rPr>
        <w:t>The fourth group of categories regards university’s outcome got by fundraising output. Results are summarized as follows.</w:t>
      </w:r>
    </w:p>
    <w:p w14:paraId="38406E44" w14:textId="77777777" w:rsidR="00725B42" w:rsidRPr="00725B42" w:rsidRDefault="00725B42" w:rsidP="00725B42">
      <w:pPr>
        <w:spacing w:line="480" w:lineRule="auto"/>
        <w:jc w:val="both"/>
        <w:rPr>
          <w:lang w:val="en-US"/>
        </w:rPr>
      </w:pPr>
    </w:p>
    <w:p w14:paraId="1AD2FEF9" w14:textId="17438667" w:rsidR="00725B42" w:rsidRPr="00725B42" w:rsidRDefault="005B13A9" w:rsidP="00725B42">
      <w:pPr>
        <w:spacing w:line="480" w:lineRule="auto"/>
        <w:jc w:val="both"/>
        <w:rPr>
          <w:i/>
          <w:lang w:val="en-US"/>
        </w:rPr>
      </w:pPr>
      <w:r>
        <w:rPr>
          <w:i/>
          <w:lang w:val="en-US"/>
        </w:rPr>
        <w:t xml:space="preserve">(a) </w:t>
      </w:r>
      <w:r w:rsidR="00725B42" w:rsidRPr="00725B42">
        <w:rPr>
          <w:i/>
          <w:lang w:val="en-US"/>
        </w:rPr>
        <w:t xml:space="preserve">Publications and patents </w:t>
      </w:r>
    </w:p>
    <w:p w14:paraId="2B8C48E3" w14:textId="7AA30045" w:rsidR="00725B42" w:rsidRPr="00725B42" w:rsidRDefault="00725B42" w:rsidP="00725B42">
      <w:pPr>
        <w:spacing w:line="480" w:lineRule="auto"/>
        <w:jc w:val="both"/>
        <w:rPr>
          <w:lang w:val="en-US"/>
        </w:rPr>
      </w:pPr>
      <w:r w:rsidRPr="00725B42">
        <w:rPr>
          <w:lang w:val="en-US"/>
        </w:rPr>
        <w:t>There are only a few researchers and professors who work exclusively with public funding (FFO). In order to publish their researches</w:t>
      </w:r>
      <w:r w:rsidR="005B13A9">
        <w:rPr>
          <w:lang w:val="en-US"/>
        </w:rPr>
        <w:t>, especially those relating to technology and s</w:t>
      </w:r>
      <w:r w:rsidRPr="00725B42">
        <w:rPr>
          <w:lang w:val="en-US"/>
        </w:rPr>
        <w:t>ciences they need extra funding, through different fundraising tools (competitive-based funding, third party contracts, external collaboration and crowdfunding). Then, intellectual property must seek legal protection t</w:t>
      </w:r>
      <w:r w:rsidR="00FC0182">
        <w:rPr>
          <w:lang w:val="en-US"/>
        </w:rPr>
        <w:t>h</w:t>
      </w:r>
      <w:r w:rsidRPr="00725B42">
        <w:rPr>
          <w:lang w:val="en-US"/>
        </w:rPr>
        <w:t>rough patents, which need important monetary resources to be obtained. Moreover, in Italian Higher Education Context, patents’ applications by public universities are only a few, since there is the Professor Privilege Law, which make</w:t>
      </w:r>
      <w:r w:rsidR="005B13A9">
        <w:rPr>
          <w:lang w:val="en-US"/>
        </w:rPr>
        <w:t>s</w:t>
      </w:r>
      <w:r w:rsidRPr="00725B42">
        <w:rPr>
          <w:lang w:val="en-US"/>
        </w:rPr>
        <w:t xml:space="preserve"> universities delegate to professors the patents’ application in order to avoid extra expenses. Hence, patents employment is not encouraged at all by the Higher Education system, especially if it is compared with other contexts</w:t>
      </w:r>
      <w:r w:rsidR="005B13A9">
        <w:rPr>
          <w:lang w:val="en-US"/>
        </w:rPr>
        <w:t xml:space="preserve"> and countries</w:t>
      </w:r>
      <w:r w:rsidRPr="00725B42">
        <w:rPr>
          <w:lang w:val="en-US"/>
        </w:rPr>
        <w:t xml:space="preserve">. </w:t>
      </w:r>
    </w:p>
    <w:p w14:paraId="3FD4E94F" w14:textId="77777777" w:rsidR="00725B42" w:rsidRPr="00725B42" w:rsidRDefault="00725B42" w:rsidP="00725B42">
      <w:pPr>
        <w:spacing w:line="480" w:lineRule="auto"/>
        <w:jc w:val="both"/>
        <w:rPr>
          <w:lang w:val="en-US"/>
        </w:rPr>
      </w:pPr>
    </w:p>
    <w:p w14:paraId="6607420E" w14:textId="6DC042FB" w:rsidR="00725B42" w:rsidRPr="00725B42" w:rsidRDefault="004D160C" w:rsidP="00725B42">
      <w:pPr>
        <w:spacing w:line="480" w:lineRule="auto"/>
        <w:jc w:val="both"/>
        <w:rPr>
          <w:i/>
          <w:lang w:val="en-US"/>
        </w:rPr>
      </w:pPr>
      <w:r>
        <w:rPr>
          <w:i/>
          <w:lang w:val="en-US"/>
        </w:rPr>
        <w:t xml:space="preserve">(b) </w:t>
      </w:r>
      <w:r w:rsidR="00725B42" w:rsidRPr="00725B42">
        <w:rPr>
          <w:i/>
          <w:lang w:val="en-US"/>
        </w:rPr>
        <w:t xml:space="preserve">Increase in number of graduate students and PhD. Students </w:t>
      </w:r>
    </w:p>
    <w:p w14:paraId="3F7E026E" w14:textId="77777777" w:rsidR="00725B42" w:rsidRPr="00725B42" w:rsidRDefault="00725B42" w:rsidP="00725B42">
      <w:pPr>
        <w:spacing w:line="480" w:lineRule="auto"/>
        <w:jc w:val="both"/>
        <w:rPr>
          <w:lang w:val="en-US"/>
        </w:rPr>
      </w:pPr>
      <w:r w:rsidRPr="00725B42">
        <w:rPr>
          <w:lang w:val="en-US"/>
        </w:rPr>
        <w:t>Often, fundraising outputs from Alumni Association is addressed to the support of students, who obtain best academic results or who are not able to afford university’s fees. Besides, this affects the increase in number of graduate students and the quality of these students. Relating to PhD. Students, they are often funded by fundraising outputs from 5x1000 campaigns and through grants provided by legal entities as public organizations, private enterprises or non-profit organizations.</w:t>
      </w:r>
    </w:p>
    <w:p w14:paraId="60300CA7" w14:textId="77777777" w:rsidR="00725B42" w:rsidRPr="00725B42" w:rsidRDefault="00725B42" w:rsidP="00725B42">
      <w:pPr>
        <w:spacing w:line="480" w:lineRule="auto"/>
        <w:jc w:val="both"/>
        <w:rPr>
          <w:lang w:val="en-US"/>
        </w:rPr>
      </w:pPr>
    </w:p>
    <w:p w14:paraId="2E624294" w14:textId="247CE25B" w:rsidR="00725B42" w:rsidRPr="00725B42" w:rsidRDefault="004D160C" w:rsidP="00725B42">
      <w:pPr>
        <w:spacing w:line="480" w:lineRule="auto"/>
        <w:jc w:val="both"/>
        <w:rPr>
          <w:i/>
          <w:lang w:val="en-US"/>
        </w:rPr>
      </w:pPr>
      <w:r>
        <w:rPr>
          <w:i/>
          <w:lang w:val="en-US"/>
        </w:rPr>
        <w:t xml:space="preserve">(c) </w:t>
      </w:r>
      <w:r w:rsidR="00725B42" w:rsidRPr="00725B42">
        <w:rPr>
          <w:i/>
          <w:lang w:val="en-US"/>
        </w:rPr>
        <w:t xml:space="preserve">Researchers recruitment </w:t>
      </w:r>
    </w:p>
    <w:p w14:paraId="0AA0EE6D" w14:textId="77777777" w:rsidR="00725B42" w:rsidRPr="00725B42" w:rsidRDefault="00725B42" w:rsidP="00725B42">
      <w:pPr>
        <w:spacing w:line="480" w:lineRule="auto"/>
        <w:jc w:val="both"/>
        <w:rPr>
          <w:lang w:val="en-US"/>
        </w:rPr>
      </w:pPr>
      <w:r w:rsidRPr="00725B42">
        <w:rPr>
          <w:lang w:val="en-US"/>
        </w:rPr>
        <w:t>Researchers recruitment is becoming harder and harder within public universities, also thanks to the reward-based funding. However, fundraising outputs from competitive-based funding is the main means to recruit researchers, especially the youngest ones. Furthermore, even third party contracts, external collaborations and private fundraising support researchers recruitment, but, usually, with a short-term perspective.</w:t>
      </w:r>
    </w:p>
    <w:p w14:paraId="5AE78A16" w14:textId="77777777" w:rsidR="00725B42" w:rsidRPr="00725B42" w:rsidRDefault="00725B42" w:rsidP="00725B42">
      <w:pPr>
        <w:spacing w:line="480" w:lineRule="auto"/>
        <w:jc w:val="both"/>
        <w:rPr>
          <w:i/>
          <w:lang w:val="en-US"/>
        </w:rPr>
      </w:pPr>
    </w:p>
    <w:p w14:paraId="7FA95A8F" w14:textId="2348CAD7" w:rsidR="00725B42" w:rsidRPr="00725B42" w:rsidRDefault="00536CFC" w:rsidP="00725B42">
      <w:pPr>
        <w:spacing w:line="480" w:lineRule="auto"/>
        <w:jc w:val="both"/>
        <w:rPr>
          <w:lang w:val="en-US"/>
        </w:rPr>
      </w:pPr>
      <w:r>
        <w:rPr>
          <w:lang w:val="en-US"/>
        </w:rPr>
        <w:t>The fifth</w:t>
      </w:r>
      <w:r w:rsidR="00725B42" w:rsidRPr="00725B42">
        <w:rPr>
          <w:lang w:val="en-US"/>
        </w:rPr>
        <w:t xml:space="preserve"> group of categories relates the fundraising capability to support university’s mission and its function towards sustainability. Results are shown as follows. </w:t>
      </w:r>
    </w:p>
    <w:p w14:paraId="1F0427B9" w14:textId="77777777" w:rsidR="00725B42" w:rsidRPr="00725B42" w:rsidRDefault="00725B42" w:rsidP="00725B42">
      <w:pPr>
        <w:spacing w:line="480" w:lineRule="auto"/>
        <w:jc w:val="both"/>
        <w:rPr>
          <w:lang w:val="en-US"/>
        </w:rPr>
      </w:pPr>
    </w:p>
    <w:p w14:paraId="7D749CC6" w14:textId="3A9A5EE4" w:rsidR="00725B42" w:rsidRPr="00725B42" w:rsidRDefault="00536CFC" w:rsidP="00725B42">
      <w:pPr>
        <w:spacing w:line="480" w:lineRule="auto"/>
        <w:jc w:val="both"/>
        <w:rPr>
          <w:i/>
          <w:lang w:val="en-US"/>
        </w:rPr>
      </w:pPr>
      <w:r>
        <w:rPr>
          <w:i/>
          <w:lang w:val="en-US"/>
        </w:rPr>
        <w:t xml:space="preserve">(a) </w:t>
      </w:r>
      <w:r w:rsidR="00725B42" w:rsidRPr="00725B42">
        <w:rPr>
          <w:i/>
          <w:lang w:val="en-US"/>
        </w:rPr>
        <w:t>Fundraising as a collateral tool</w:t>
      </w:r>
    </w:p>
    <w:p w14:paraId="7DAF5D73" w14:textId="77777777" w:rsidR="00725B42" w:rsidRPr="00725B42" w:rsidRDefault="00725B42" w:rsidP="00725B42">
      <w:pPr>
        <w:spacing w:line="480" w:lineRule="auto"/>
        <w:jc w:val="both"/>
        <w:rPr>
          <w:lang w:val="en-US"/>
        </w:rPr>
      </w:pPr>
      <w:r w:rsidRPr="00725B42">
        <w:rPr>
          <w:lang w:val="en-US"/>
        </w:rPr>
        <w:t>Fundraising cannot substitute public funding, even if the latter is no more sufficient to guarantee the university’s services delivery. Hence fundraising is collateral to public funding.</w:t>
      </w:r>
    </w:p>
    <w:p w14:paraId="4BA0F8FE" w14:textId="77777777" w:rsidR="00725B42" w:rsidRPr="00725B42" w:rsidRDefault="00725B42" w:rsidP="00725B42">
      <w:pPr>
        <w:spacing w:line="480" w:lineRule="auto"/>
        <w:jc w:val="both"/>
        <w:rPr>
          <w:lang w:val="en-US"/>
        </w:rPr>
      </w:pPr>
    </w:p>
    <w:p w14:paraId="797CF79F" w14:textId="4DD854CB" w:rsidR="00725B42" w:rsidRPr="00725B42" w:rsidRDefault="00C84D89" w:rsidP="00725B42">
      <w:pPr>
        <w:spacing w:line="480" w:lineRule="auto"/>
        <w:jc w:val="both"/>
        <w:rPr>
          <w:i/>
          <w:lang w:val="en-US"/>
        </w:rPr>
      </w:pPr>
      <w:r>
        <w:rPr>
          <w:i/>
          <w:lang w:val="en-US"/>
        </w:rPr>
        <w:t xml:space="preserve">(b) </w:t>
      </w:r>
      <w:r w:rsidR="00725B42" w:rsidRPr="00725B42">
        <w:rPr>
          <w:i/>
          <w:lang w:val="en-US"/>
        </w:rPr>
        <w:t>Fundraising as an inevitable process</w:t>
      </w:r>
    </w:p>
    <w:p w14:paraId="4A347650" w14:textId="6F0AACB9" w:rsidR="00725B42" w:rsidRPr="00725B42" w:rsidRDefault="00725B42" w:rsidP="00725B42">
      <w:pPr>
        <w:spacing w:line="480" w:lineRule="auto"/>
        <w:jc w:val="both"/>
        <w:rPr>
          <w:lang w:val="en-US"/>
        </w:rPr>
      </w:pPr>
      <w:r w:rsidRPr="00725B42">
        <w:rPr>
          <w:lang w:val="en-US"/>
        </w:rPr>
        <w:t>In spite of the numerous researchers’ tasks, fundraising has become a crucial tool to support university’s activities</w:t>
      </w:r>
      <w:r w:rsidR="00777DC5">
        <w:rPr>
          <w:lang w:val="en-US"/>
        </w:rPr>
        <w:t>, especially those relating to research and o</w:t>
      </w:r>
      <w:r w:rsidRPr="00725B42">
        <w:rPr>
          <w:lang w:val="en-US"/>
        </w:rPr>
        <w:t xml:space="preserve">utreach functions. Hence, today fundraising is an inevitable tool.  </w:t>
      </w:r>
    </w:p>
    <w:p w14:paraId="59ABB619" w14:textId="77777777" w:rsidR="00725B42" w:rsidRPr="00725B42" w:rsidRDefault="00725B42" w:rsidP="00725B42">
      <w:pPr>
        <w:spacing w:line="480" w:lineRule="auto"/>
        <w:jc w:val="both"/>
        <w:rPr>
          <w:lang w:val="en-US"/>
        </w:rPr>
      </w:pPr>
    </w:p>
    <w:p w14:paraId="2B75D186" w14:textId="1EAED42B" w:rsidR="00725B42" w:rsidRPr="00725B42" w:rsidRDefault="00C84D89" w:rsidP="00725B42">
      <w:pPr>
        <w:spacing w:line="480" w:lineRule="auto"/>
        <w:jc w:val="both"/>
        <w:rPr>
          <w:lang w:val="en-US"/>
        </w:rPr>
      </w:pPr>
      <w:r>
        <w:rPr>
          <w:i/>
          <w:lang w:val="en-US"/>
        </w:rPr>
        <w:t xml:space="preserve">(c) </w:t>
      </w:r>
      <w:r w:rsidR="00725B42" w:rsidRPr="00725B42">
        <w:rPr>
          <w:i/>
          <w:lang w:val="en-US"/>
        </w:rPr>
        <w:t>Fundraising as an indispensable process</w:t>
      </w:r>
    </w:p>
    <w:p w14:paraId="61F3BF7E" w14:textId="77777777" w:rsidR="00725B42" w:rsidRPr="00725B42" w:rsidRDefault="00725B42" w:rsidP="00725B42">
      <w:pPr>
        <w:spacing w:line="480" w:lineRule="auto"/>
        <w:jc w:val="both"/>
        <w:rPr>
          <w:lang w:val="en-US"/>
        </w:rPr>
      </w:pPr>
      <w:r w:rsidRPr="00725B42">
        <w:rPr>
          <w:lang w:val="en-US"/>
        </w:rPr>
        <w:t xml:space="preserve">Most of the research carried out by universities is done thanks to fundraising. FFO is not sufficient, becoming fundraising a indispensable process. It is not possible to say how fundraising can support university in a sustainable way. </w:t>
      </w:r>
    </w:p>
    <w:p w14:paraId="5F063F5B" w14:textId="77777777" w:rsidR="00725B42" w:rsidRPr="00725B42" w:rsidRDefault="00725B42" w:rsidP="00725B42">
      <w:pPr>
        <w:spacing w:line="480" w:lineRule="auto"/>
        <w:jc w:val="both"/>
        <w:rPr>
          <w:lang w:val="en-US"/>
        </w:rPr>
      </w:pPr>
    </w:p>
    <w:p w14:paraId="0DB96632" w14:textId="695E9DE8" w:rsidR="00725B42" w:rsidRPr="00725B42" w:rsidRDefault="00433E18" w:rsidP="00725B42">
      <w:pPr>
        <w:spacing w:line="480" w:lineRule="auto"/>
        <w:jc w:val="both"/>
        <w:rPr>
          <w:i/>
          <w:lang w:val="en-US"/>
        </w:rPr>
      </w:pPr>
      <w:r>
        <w:rPr>
          <w:i/>
          <w:lang w:val="en-US"/>
        </w:rPr>
        <w:t xml:space="preserve">(d) </w:t>
      </w:r>
      <w:r w:rsidR="00725B42" w:rsidRPr="00725B42">
        <w:rPr>
          <w:i/>
          <w:lang w:val="en-US"/>
        </w:rPr>
        <w:t xml:space="preserve">Fundraising as an effective way to support university </w:t>
      </w:r>
    </w:p>
    <w:p w14:paraId="1C92415E" w14:textId="78CC0609" w:rsidR="00725B42" w:rsidRDefault="00725B42" w:rsidP="00725B42">
      <w:pPr>
        <w:spacing w:line="480" w:lineRule="auto"/>
        <w:jc w:val="both"/>
        <w:rPr>
          <w:lang w:val="en-US"/>
        </w:rPr>
      </w:pPr>
      <w:r w:rsidRPr="00725B42">
        <w:rPr>
          <w:lang w:val="en-US"/>
        </w:rPr>
        <w:t xml:space="preserve">Managing academic activities only by FFO is really difficult. Fundraising office is fundamental, but it has to be structured and coordinated at a central level. Donations’ trend is </w:t>
      </w:r>
      <w:r w:rsidR="00C15901" w:rsidRPr="00725B42">
        <w:rPr>
          <w:lang w:val="en-US"/>
        </w:rPr>
        <w:t>positive and</w:t>
      </w:r>
      <w:r w:rsidRPr="00725B42">
        <w:rPr>
          <w:lang w:val="en-US"/>
        </w:rPr>
        <w:t xml:space="preserve"> effective.</w:t>
      </w:r>
    </w:p>
    <w:p w14:paraId="5991F176" w14:textId="77777777" w:rsidR="00155E7B" w:rsidRDefault="00155E7B" w:rsidP="00725B42">
      <w:pPr>
        <w:spacing w:line="480" w:lineRule="auto"/>
        <w:jc w:val="both"/>
        <w:rPr>
          <w:lang w:val="en-US"/>
        </w:rPr>
      </w:pPr>
    </w:p>
    <w:p w14:paraId="4EE92D15" w14:textId="40C74A97" w:rsidR="00155E7B" w:rsidRDefault="00155E7B" w:rsidP="00725B42">
      <w:pPr>
        <w:spacing w:line="480" w:lineRule="auto"/>
        <w:jc w:val="both"/>
        <w:rPr>
          <w:lang w:val="en-US"/>
        </w:rPr>
      </w:pPr>
      <w:r>
        <w:rPr>
          <w:lang w:val="en-US"/>
        </w:rPr>
        <w:t>The sixth group of categories regards the problems that fundraising has to face and, hence, in addition to possible improvements towards fundraising process in order to avoid these issues</w:t>
      </w:r>
      <w:r w:rsidR="00FE7DB6">
        <w:rPr>
          <w:lang w:val="en-US"/>
        </w:rPr>
        <w:t>. Results are summarized in the following statements.</w:t>
      </w:r>
    </w:p>
    <w:p w14:paraId="15FA5CD0" w14:textId="77777777" w:rsidR="00FE7DB6" w:rsidRDefault="00FE7DB6" w:rsidP="00725B42">
      <w:pPr>
        <w:spacing w:line="480" w:lineRule="auto"/>
        <w:jc w:val="both"/>
        <w:rPr>
          <w:lang w:val="en-US"/>
        </w:rPr>
      </w:pPr>
    </w:p>
    <w:p w14:paraId="38855115" w14:textId="45C5327B" w:rsidR="00FE7DB6" w:rsidRPr="00FE7DB6" w:rsidRDefault="00FE7DB6" w:rsidP="00FE7DB6">
      <w:pPr>
        <w:spacing w:line="480" w:lineRule="auto"/>
        <w:jc w:val="both"/>
        <w:rPr>
          <w:i/>
          <w:lang w:val="en-US"/>
        </w:rPr>
      </w:pPr>
      <w:r>
        <w:rPr>
          <w:i/>
          <w:lang w:val="en-US"/>
        </w:rPr>
        <w:t xml:space="preserve">(a) </w:t>
      </w:r>
      <w:r w:rsidRPr="00FE7DB6">
        <w:rPr>
          <w:i/>
          <w:lang w:val="en-US"/>
        </w:rPr>
        <w:t>Prejudice towards fundraising</w:t>
      </w:r>
    </w:p>
    <w:p w14:paraId="0A25A195" w14:textId="708DF917" w:rsidR="00FE7DB6" w:rsidRDefault="00FE7DB6" w:rsidP="00FE7DB6">
      <w:pPr>
        <w:spacing w:line="480" w:lineRule="auto"/>
        <w:jc w:val="both"/>
        <w:rPr>
          <w:lang w:val="en-US"/>
        </w:rPr>
      </w:pPr>
      <w:r>
        <w:rPr>
          <w:lang w:val="en-US"/>
        </w:rPr>
        <w:t>Among some of the university’s employees fundraising unit is often seen as an office whose task is simply to organize social events. This is partly true, but reality is quite different. The organization of social events is an important task, but it is not the only one. In fact, the maintenance of strategic relationships with external stakeholders is pivotal and this is the everyday work of a fundraiser. In addition to this, fundraising staff has always to build new relations with new stakeholders and potential donors, trying to communicate the importance of financial support for university’s activities. The prejudice aforementioned can be overcome only if all the organization’s employees are informed about fundraising activities and involved in the process as internal stakeholders.</w:t>
      </w:r>
    </w:p>
    <w:p w14:paraId="4B074279" w14:textId="77777777" w:rsidR="00FE7DB6" w:rsidRDefault="00FE7DB6" w:rsidP="00FE7DB6">
      <w:pPr>
        <w:spacing w:line="480" w:lineRule="auto"/>
        <w:jc w:val="both"/>
        <w:rPr>
          <w:lang w:val="en-US"/>
        </w:rPr>
      </w:pPr>
    </w:p>
    <w:p w14:paraId="1199DF18" w14:textId="6DED8991" w:rsidR="00FE7DB6" w:rsidRDefault="00FE7DB6" w:rsidP="00FE7DB6">
      <w:pPr>
        <w:spacing w:line="480" w:lineRule="auto"/>
        <w:jc w:val="both"/>
        <w:rPr>
          <w:i/>
          <w:lang w:val="en-US"/>
        </w:rPr>
      </w:pPr>
      <w:r>
        <w:rPr>
          <w:i/>
          <w:lang w:val="en-US"/>
        </w:rPr>
        <w:t>(b) Cost-benefit-ratios analysis</w:t>
      </w:r>
    </w:p>
    <w:p w14:paraId="4BD4637A" w14:textId="6A2AF8AB" w:rsidR="00637F64" w:rsidRDefault="00FE7DB6" w:rsidP="00FE7DB6">
      <w:pPr>
        <w:spacing w:line="480" w:lineRule="auto"/>
        <w:jc w:val="both"/>
        <w:rPr>
          <w:lang w:val="en-US"/>
        </w:rPr>
      </w:pPr>
      <w:r>
        <w:rPr>
          <w:lang w:val="en-US"/>
        </w:rPr>
        <w:t>In order to get funds, universities have to invest in the fundraising process, creating a fundraising office (if it does not exist yet), assigning to it a professional staff and endowing it with adequate financial resources, necessary to organize all the activities whose aim is to raise funds. Hence, “in order to get money, you have to spend money”</w:t>
      </w:r>
      <w:r w:rsidR="00F74124">
        <w:rPr>
          <w:lang w:val="en-US"/>
        </w:rPr>
        <w:t>. However, it is hard to say how much money a university has to invest in the fundraising process. Obviously, an assessment of fundraising performance is needed</w:t>
      </w:r>
      <w:r w:rsidR="005769CD">
        <w:rPr>
          <w:lang w:val="en-US"/>
        </w:rPr>
        <w:t>, focusing on the cost-benefit-</w:t>
      </w:r>
      <w:r w:rsidR="00F74124">
        <w:rPr>
          <w:lang w:val="en-US"/>
        </w:rPr>
        <w:t xml:space="preserve">ratios analysis, in order to understand if fundraising is effective and efficient. However, benefits are not only represented by financial resources raised, but there are also some additional benefits, as the marketing and communication function of fundraising. Therefore, </w:t>
      </w:r>
      <w:r w:rsidR="00637F64">
        <w:rPr>
          <w:lang w:val="en-US"/>
        </w:rPr>
        <w:t>it is desirable that universities leaders take into consideration these fundraising features in their analysis.</w:t>
      </w:r>
    </w:p>
    <w:p w14:paraId="44A3F26B" w14:textId="77777777" w:rsidR="00637F64" w:rsidRDefault="00637F64" w:rsidP="00FE7DB6">
      <w:pPr>
        <w:spacing w:line="480" w:lineRule="auto"/>
        <w:jc w:val="both"/>
        <w:rPr>
          <w:lang w:val="en-US"/>
        </w:rPr>
      </w:pPr>
    </w:p>
    <w:p w14:paraId="3D6CA44B" w14:textId="5D180A13" w:rsidR="00637F64" w:rsidRDefault="00637F64" w:rsidP="00FE7DB6">
      <w:pPr>
        <w:spacing w:line="480" w:lineRule="auto"/>
        <w:jc w:val="both"/>
        <w:rPr>
          <w:lang w:val="en-US"/>
        </w:rPr>
      </w:pPr>
      <w:r>
        <w:rPr>
          <w:lang w:val="en-US"/>
        </w:rPr>
        <w:t xml:space="preserve">Finally, the last group of categories relates </w:t>
      </w:r>
      <w:r w:rsidR="00195FBF">
        <w:rPr>
          <w:lang w:val="en-US"/>
        </w:rPr>
        <w:t xml:space="preserve">to </w:t>
      </w:r>
      <w:r>
        <w:rPr>
          <w:lang w:val="en-US"/>
        </w:rPr>
        <w:t>the fundraising future scenarios. They are shown as follows.</w:t>
      </w:r>
    </w:p>
    <w:p w14:paraId="5239558D" w14:textId="77777777" w:rsidR="00637F64" w:rsidRDefault="00637F64" w:rsidP="00FE7DB6">
      <w:pPr>
        <w:spacing w:line="480" w:lineRule="auto"/>
        <w:jc w:val="both"/>
        <w:rPr>
          <w:lang w:val="en-US"/>
        </w:rPr>
      </w:pPr>
    </w:p>
    <w:p w14:paraId="2941F140" w14:textId="7E448AD3" w:rsidR="00FE7DB6" w:rsidRPr="00637F64" w:rsidRDefault="00637F64" w:rsidP="00637F64">
      <w:pPr>
        <w:spacing w:line="480" w:lineRule="auto"/>
        <w:jc w:val="both"/>
        <w:rPr>
          <w:i/>
          <w:lang w:val="en-US"/>
        </w:rPr>
      </w:pPr>
      <w:r>
        <w:rPr>
          <w:i/>
          <w:lang w:val="en-US"/>
        </w:rPr>
        <w:t xml:space="preserve">(a) </w:t>
      </w:r>
      <w:r w:rsidRPr="00637F64">
        <w:rPr>
          <w:i/>
          <w:lang w:val="en-US"/>
        </w:rPr>
        <w:t>Fundraising as a strategic tool to achieve university’s mission</w:t>
      </w:r>
      <w:r w:rsidR="00F74124" w:rsidRPr="00637F64">
        <w:rPr>
          <w:i/>
          <w:lang w:val="en-US"/>
        </w:rPr>
        <w:t xml:space="preserve"> </w:t>
      </w:r>
    </w:p>
    <w:p w14:paraId="6CC9374A" w14:textId="372B7E46" w:rsidR="00637F64" w:rsidRDefault="00284D82" w:rsidP="00637F64">
      <w:pPr>
        <w:spacing w:line="480" w:lineRule="auto"/>
        <w:jc w:val="both"/>
        <w:rPr>
          <w:lang w:val="en-US"/>
        </w:rPr>
      </w:pPr>
      <w:r>
        <w:rPr>
          <w:lang w:val="en-US"/>
        </w:rPr>
        <w:t>Fundraising will be more and more important in order to guarantee the delivery of university’s services. If now it is mainly focused on research, in the future it will regard also outreach, in terms of relationships that universities have to cultivate with the environment where they operate. Then, even teaching could be support by fundraising, especially form the facilities point of view. Hence, leaders will boot fundraising as a managerial tool to achieve universities mission, focusing also on the organizational chart, to enhance this process.</w:t>
      </w:r>
    </w:p>
    <w:p w14:paraId="3B39E5A3" w14:textId="77777777" w:rsidR="00284D82" w:rsidRDefault="00284D82" w:rsidP="00637F64">
      <w:pPr>
        <w:spacing w:line="480" w:lineRule="auto"/>
        <w:jc w:val="both"/>
        <w:rPr>
          <w:lang w:val="en-US"/>
        </w:rPr>
      </w:pPr>
    </w:p>
    <w:p w14:paraId="1A981807" w14:textId="0D1984B5" w:rsidR="00284D82" w:rsidRDefault="00284D82" w:rsidP="00637F64">
      <w:pPr>
        <w:spacing w:line="480" w:lineRule="auto"/>
        <w:jc w:val="both"/>
        <w:rPr>
          <w:i/>
          <w:lang w:val="en-US"/>
        </w:rPr>
      </w:pPr>
      <w:r>
        <w:rPr>
          <w:i/>
          <w:lang w:val="en-US"/>
        </w:rPr>
        <w:t>(b) Fundraising as a collateral tool</w:t>
      </w:r>
    </w:p>
    <w:p w14:paraId="57DE7ACA" w14:textId="13494EC5" w:rsidR="00284D82" w:rsidRDefault="00047D6F" w:rsidP="00637F64">
      <w:pPr>
        <w:spacing w:line="480" w:lineRule="auto"/>
        <w:jc w:val="both"/>
        <w:rPr>
          <w:lang w:val="en-US"/>
        </w:rPr>
      </w:pPr>
      <w:r>
        <w:rPr>
          <w:lang w:val="en-US"/>
        </w:rPr>
        <w:t xml:space="preserve">Fundraising </w:t>
      </w:r>
      <w:r w:rsidR="00BD1332">
        <w:rPr>
          <w:lang w:val="en-US"/>
        </w:rPr>
        <w:t>is and will be even more crucial to achieve university’s goals. However, it is not possible to think that academic institutions can base their activities exclusively on</w:t>
      </w:r>
      <w:r w:rsidR="00996ED6">
        <w:rPr>
          <w:lang w:val="en-US"/>
        </w:rPr>
        <w:t xml:space="preserve"> the</w:t>
      </w:r>
      <w:r w:rsidR="00BD1332">
        <w:rPr>
          <w:lang w:val="en-US"/>
        </w:rPr>
        <w:t xml:space="preserve"> fundraising process. Therefor</w:t>
      </w:r>
      <w:r w:rsidR="00BE6DBD">
        <w:rPr>
          <w:lang w:val="en-US"/>
        </w:rPr>
        <w:t>e</w:t>
      </w:r>
      <w:r w:rsidR="00BD1332">
        <w:rPr>
          <w:lang w:val="en-US"/>
        </w:rPr>
        <w:t>, an addi</w:t>
      </w:r>
      <w:r w:rsidR="00F3472F">
        <w:rPr>
          <w:lang w:val="en-US"/>
        </w:rPr>
        <w:t>tional effort towards competition</w:t>
      </w:r>
      <w:r w:rsidR="00BD1332">
        <w:rPr>
          <w:lang w:val="en-US"/>
        </w:rPr>
        <w:t xml:space="preserve"> based funding is desirable, in addition to a growing support from governmental funding. Within this perspective, fundraising is a collateral tool that sustain</w:t>
      </w:r>
      <w:r w:rsidR="00DC7031">
        <w:rPr>
          <w:lang w:val="en-US"/>
        </w:rPr>
        <w:t>s</w:t>
      </w:r>
      <w:r w:rsidR="005067BE">
        <w:rPr>
          <w:lang w:val="en-US"/>
        </w:rPr>
        <w:t xml:space="preserve"> universities for</w:t>
      </w:r>
      <w:r w:rsidR="00BD1332">
        <w:rPr>
          <w:lang w:val="en-US"/>
        </w:rPr>
        <w:t xml:space="preserve"> guaranteeing only some services, as scholarships and specific research projects.</w:t>
      </w:r>
    </w:p>
    <w:p w14:paraId="31DD6E14" w14:textId="77777777" w:rsidR="00BD1332" w:rsidRDefault="00BD1332" w:rsidP="00637F64">
      <w:pPr>
        <w:spacing w:line="480" w:lineRule="auto"/>
        <w:jc w:val="both"/>
        <w:rPr>
          <w:lang w:val="en-US"/>
        </w:rPr>
      </w:pPr>
    </w:p>
    <w:p w14:paraId="7C0BDCA2" w14:textId="0C300496" w:rsidR="00BD1332" w:rsidRDefault="00BD1332" w:rsidP="00637F64">
      <w:pPr>
        <w:spacing w:line="480" w:lineRule="auto"/>
        <w:jc w:val="both"/>
        <w:rPr>
          <w:i/>
          <w:lang w:val="en-US"/>
        </w:rPr>
      </w:pPr>
      <w:r>
        <w:rPr>
          <w:i/>
          <w:lang w:val="en-US"/>
        </w:rPr>
        <w:t>(c) Fundraising as a marketing tool</w:t>
      </w:r>
    </w:p>
    <w:p w14:paraId="684DCFF6" w14:textId="2DC4C22C" w:rsidR="00BD1332" w:rsidRPr="00BD1332" w:rsidRDefault="00BD1332" w:rsidP="00637F64">
      <w:pPr>
        <w:spacing w:line="480" w:lineRule="auto"/>
        <w:jc w:val="both"/>
        <w:rPr>
          <w:lang w:val="en-US"/>
        </w:rPr>
      </w:pPr>
      <w:r>
        <w:rPr>
          <w:lang w:val="en-US"/>
        </w:rPr>
        <w:t xml:space="preserve">Fundraising </w:t>
      </w:r>
      <w:r w:rsidR="00DC7031">
        <w:rPr>
          <w:lang w:val="en-US"/>
        </w:rPr>
        <w:t>is not only a means to get funds, but it is also a communication and marketing tool, useful to make universities more visible for external stakeholders. Hence, universities should invest in it since, beyond gathering extra funds for several activities, it is able to engage different stakeholders in the value creation process.</w:t>
      </w:r>
    </w:p>
    <w:p w14:paraId="31E26547" w14:textId="77777777" w:rsidR="00725B42" w:rsidRPr="00725B42" w:rsidRDefault="00725B42" w:rsidP="00725B42">
      <w:pPr>
        <w:spacing w:line="480" w:lineRule="auto"/>
        <w:jc w:val="both"/>
        <w:rPr>
          <w:lang w:val="en-US"/>
        </w:rPr>
      </w:pPr>
    </w:p>
    <w:p w14:paraId="55541C20" w14:textId="77777777" w:rsidR="00725B42" w:rsidRPr="00725B42" w:rsidRDefault="00725B42" w:rsidP="00725B42">
      <w:pPr>
        <w:spacing w:line="480" w:lineRule="auto"/>
        <w:jc w:val="both"/>
        <w:rPr>
          <w:lang w:val="en-US"/>
        </w:rPr>
      </w:pPr>
      <w:r w:rsidRPr="00725B42">
        <w:rPr>
          <w:b/>
          <w:lang w:val="en-US"/>
        </w:rPr>
        <w:t xml:space="preserve">4.5 Discussion </w:t>
      </w:r>
    </w:p>
    <w:p w14:paraId="16C7CE78" w14:textId="128A180B" w:rsidR="00725B42" w:rsidRPr="00725B42" w:rsidRDefault="00725B42" w:rsidP="00725B42">
      <w:pPr>
        <w:spacing w:line="480" w:lineRule="auto"/>
        <w:jc w:val="both"/>
        <w:rPr>
          <w:lang w:val="en-US"/>
        </w:rPr>
      </w:pPr>
      <w:r w:rsidRPr="00725B42">
        <w:rPr>
          <w:lang w:val="en-US"/>
        </w:rPr>
        <w:t>The analysis of the questionnaires and the interviews underlines how different (from dimension</w:t>
      </w:r>
      <w:r w:rsidR="00433E18">
        <w:rPr>
          <w:lang w:val="en-US"/>
        </w:rPr>
        <w:t>’</w:t>
      </w:r>
      <w:r w:rsidRPr="00725B42">
        <w:rPr>
          <w:lang w:val="en-US"/>
        </w:rPr>
        <w:t xml:space="preserve">s perspective and governance/management structure) public universities have been reacting to the public funding decrease through different strategies and means (Phillips et al., 1996). </w:t>
      </w:r>
    </w:p>
    <w:p w14:paraId="0A489914" w14:textId="38D2CBBA" w:rsidR="00725B42" w:rsidRPr="00725B42" w:rsidRDefault="00725B42" w:rsidP="00725B42">
      <w:pPr>
        <w:spacing w:line="480" w:lineRule="auto"/>
        <w:jc w:val="both"/>
        <w:rPr>
          <w:lang w:val="en-US"/>
        </w:rPr>
      </w:pPr>
      <w:r w:rsidRPr="00725B42">
        <w:rPr>
          <w:lang w:val="en-US"/>
        </w:rPr>
        <w:t xml:space="preserve">Relating to the analysis of the questionnaires, the first </w:t>
      </w:r>
      <w:r w:rsidR="00433E18">
        <w:rPr>
          <w:lang w:val="en-US"/>
        </w:rPr>
        <w:t>(</w:t>
      </w:r>
      <w:r w:rsidRPr="00725B42">
        <w:rPr>
          <w:lang w:val="en-US"/>
        </w:rPr>
        <w:t>quite obvious</w:t>
      </w:r>
      <w:r w:rsidR="00433E18">
        <w:rPr>
          <w:lang w:val="en-US"/>
        </w:rPr>
        <w:t>)</w:t>
      </w:r>
      <w:r w:rsidRPr="00725B42">
        <w:rPr>
          <w:lang w:val="en-US"/>
        </w:rPr>
        <w:t xml:space="preserve"> result is that the most used fundraising tool is 5x1000 (100%). This is a fundraising tool established by law and c</w:t>
      </w:r>
      <w:r w:rsidR="005A3DF3">
        <w:rPr>
          <w:lang w:val="en-US"/>
        </w:rPr>
        <w:t>ompulsory addressed to support r</w:t>
      </w:r>
      <w:r w:rsidRPr="00725B42">
        <w:rPr>
          <w:lang w:val="en-US"/>
        </w:rPr>
        <w:t>esearch function, whose output depends, though, on university’s 5x1000 campaigns (Corsi &amp; Magnier, 2016). This result is confirmed also by interviews, which, however, focuses the attention on other fundraising tools. Moreover, fundraising activities carried out by Alumni Associations and University’s Foundation are considered as crucial ones (40%), even if this fact is partially confirmed by interviews (Daly, 2013; Freeland et al., 2015; McDearmon, 2010; Scott, 2013; Yan &amp; Luo, 2015). Relating to private fundraising, it is the least used one (20%). In fact, most universities (90%) declare that they are not endowed with a professional fundraising staff dedicated to attract a monitor universities donors, like natural people (Eckel et al., 2017; Rohayati et al., 2016; Stinson &amp; Howard, 2010; Wu &amp; Brown, 2010) and legal entities (Foroudastan &amp; Saxby, 2004; Huynh, 2016). Then, competition-based funding is becoming more and more crucial for guarantee</w:t>
      </w:r>
      <w:r w:rsidR="005A3DF3">
        <w:rPr>
          <w:lang w:val="en-US"/>
        </w:rPr>
        <w:t>ing</w:t>
      </w:r>
      <w:r w:rsidRPr="00725B42">
        <w:rPr>
          <w:lang w:val="en-US"/>
        </w:rPr>
        <w:t xml:space="preserve"> the delivery of university’s services, since all them declare to use this fundraising tool (100%) and have a professional staff dedicated to find out funding opportunities and to support researchers in funding appropriation. In fact</w:t>
      </w:r>
      <w:r w:rsidR="005A3DF3">
        <w:rPr>
          <w:lang w:val="en-US"/>
        </w:rPr>
        <w:t>,</w:t>
      </w:r>
      <w:r w:rsidRPr="00725B42">
        <w:rPr>
          <w:lang w:val="en-US"/>
        </w:rPr>
        <w:t xml:space="preserve"> in the period of time from 2011 to 2013, 43% of research funding was from competition-based funding at European and national level, where 57% was provided by FFO, FFE and other public sources (Bonaccorsi, 2003). </w:t>
      </w:r>
    </w:p>
    <w:p w14:paraId="1E2552AF" w14:textId="3470E054" w:rsidR="00725B42" w:rsidRPr="00725B42" w:rsidRDefault="00725B42" w:rsidP="00725B42">
      <w:pPr>
        <w:spacing w:line="480" w:lineRule="auto"/>
        <w:jc w:val="both"/>
        <w:rPr>
          <w:lang w:val="en-US"/>
        </w:rPr>
      </w:pPr>
      <w:r w:rsidRPr="00725B42">
        <w:rPr>
          <w:lang w:val="en-US"/>
        </w:rPr>
        <w:t>Finally, crowdfunding as a fundraising tool is known by most of the universities that accepted to fill the questionnaire (90%), but most of them do not declare any plans for the future regarding this tool. Interviews confirm this behavior, since the phenomenon is relatively new and there are no clear decisions from university’s governance. Moreover, it can be more efficient to sign up contracts with existing platform rather than developing an in-house and totally owned by university crowdfunding platform. However, most universities prefer the second option (22,2%) in order to answer to the researchers/professors mentality to avoid market-orie</w:t>
      </w:r>
      <w:r w:rsidR="005A3DF3">
        <w:rPr>
          <w:lang w:val="en-US"/>
        </w:rPr>
        <w:t>nted tools in order to support r</w:t>
      </w:r>
      <w:r w:rsidRPr="00725B42">
        <w:rPr>
          <w:lang w:val="en-US"/>
        </w:rPr>
        <w:t xml:space="preserve">esearch function (Kwiek, 2008). </w:t>
      </w:r>
    </w:p>
    <w:p w14:paraId="18E1C2D1" w14:textId="4508EA03" w:rsidR="00725B42" w:rsidRPr="00725B42" w:rsidRDefault="005A3DF3" w:rsidP="00725B42">
      <w:pPr>
        <w:spacing w:line="480" w:lineRule="auto"/>
        <w:jc w:val="both"/>
        <w:rPr>
          <w:lang w:val="en-US"/>
        </w:rPr>
      </w:pPr>
      <w:r>
        <w:rPr>
          <w:lang w:val="en-US"/>
        </w:rPr>
        <w:t xml:space="preserve">The analysis of the interviews, </w:t>
      </w:r>
      <w:r w:rsidR="00725B42" w:rsidRPr="00725B42">
        <w:rPr>
          <w:lang w:val="en-US"/>
        </w:rPr>
        <w:t>through grounded theory methodology</w:t>
      </w:r>
      <w:r>
        <w:rPr>
          <w:lang w:val="en-US"/>
        </w:rPr>
        <w:t>,</w:t>
      </w:r>
      <w:r w:rsidR="00725B42" w:rsidRPr="00725B42">
        <w:rPr>
          <w:lang w:val="en-US"/>
        </w:rPr>
        <w:t xml:space="preserve"> allows to better answer to the research questions previously stated. First of all, fundraising is considered a process, which can be problematic, complex, dual or new, according to the internal conditions of each university (Clark, 2003). Obviously, in order to have a fundraising output and an effect on university’s outcome, this process must be defined and structured within the organizational chart of the university, with specific tasks for all actors involved (Tindall, 2008; Sporn, 2001). The interviewees cite all the fundraising tools (third party contracts and external collaborations with partnership between public and private sector; agreements with public entities, private enterprises and non-profit organizations; private fundraising; competitive based-funding; 5x1000; alumni association; crowdfunding) considered by these study. More specifically, they underline the difference in terms of fundraising outputs, which can be qualitative or quantitative. The former are determined by the contracts, collaborations, agreements and public engagement events. Furthermore, they are addressed to all functions, since it is difficult to define distribution criteria. However</w:t>
      </w:r>
      <w:r>
        <w:rPr>
          <w:lang w:val="en-US"/>
        </w:rPr>
        <w:t>,</w:t>
      </w:r>
      <w:r w:rsidR="00725B42" w:rsidRPr="00725B42">
        <w:rPr>
          <w:lang w:val="en-US"/>
        </w:rPr>
        <w:t xml:space="preserve"> these outputs can be considered </w:t>
      </w:r>
      <w:r>
        <w:rPr>
          <w:lang w:val="en-US"/>
        </w:rPr>
        <w:t>o</w:t>
      </w:r>
      <w:r w:rsidR="00725B42" w:rsidRPr="00725B42">
        <w:rPr>
          <w:lang w:val="en-US"/>
        </w:rPr>
        <w:t xml:space="preserve">utreach means. Then, quantitative outputs are mainly from competitive-based funding and are obviously addressed to </w:t>
      </w:r>
      <w:r>
        <w:rPr>
          <w:lang w:val="en-US"/>
        </w:rPr>
        <w:t>the r</w:t>
      </w:r>
      <w:r w:rsidR="00725B42" w:rsidRPr="00725B42">
        <w:rPr>
          <w:lang w:val="en-US"/>
        </w:rPr>
        <w:t xml:space="preserve">esearch function. Teaching is mainly supported by Alumni Association, but only in certain universities, and private fundraising, even if this is a little percentage compared with universities’ needs. </w:t>
      </w:r>
    </w:p>
    <w:p w14:paraId="27FB8B18" w14:textId="14BC4DA8" w:rsidR="00725B42" w:rsidRPr="00725B42" w:rsidRDefault="00725B42" w:rsidP="00725B42">
      <w:pPr>
        <w:spacing w:line="480" w:lineRule="auto"/>
        <w:jc w:val="both"/>
        <w:rPr>
          <w:lang w:val="en-US"/>
        </w:rPr>
      </w:pPr>
      <w:r w:rsidRPr="00725B42">
        <w:rPr>
          <w:lang w:val="en-US"/>
        </w:rPr>
        <w:t xml:space="preserve">Relating to outcome it interesting to observe that some interviewees have not a clear idea of the differences between output and outcome. This is also confirmed by the literature (Czarniawska &amp; Gennel, 2002; Cugini &amp; Pilonato, 2006). However, other universities are able to identify fundraising output and evaluate them through specific indicators, in addition to the university’s outcomes recognition (publications and patents; increase in number </w:t>
      </w:r>
      <w:r w:rsidR="000648C6">
        <w:rPr>
          <w:lang w:val="en-US"/>
        </w:rPr>
        <w:t>of graduated students and PhD. s</w:t>
      </w:r>
      <w:r w:rsidRPr="00725B42">
        <w:rPr>
          <w:lang w:val="en-US"/>
        </w:rPr>
        <w:t>tudents; researchers recruitment). What is really interesting to point out is the capability to establish a relationship between fundraising output (qualitative and quantit</w:t>
      </w:r>
      <w:r w:rsidR="000648C6">
        <w:rPr>
          <w:lang w:val="en-US"/>
        </w:rPr>
        <w:t>ative) and university’s outcome</w:t>
      </w:r>
      <w:r w:rsidRPr="00725B42">
        <w:rPr>
          <w:lang w:val="en-US"/>
        </w:rPr>
        <w:t xml:space="preserve">. Besides, the most </w:t>
      </w:r>
      <w:r w:rsidR="000648C6">
        <w:rPr>
          <w:lang w:val="en-US"/>
        </w:rPr>
        <w:t>supported function seems to be research, followed by teaching and o</w:t>
      </w:r>
      <w:r w:rsidRPr="00725B42">
        <w:rPr>
          <w:lang w:val="en-US"/>
        </w:rPr>
        <w:t>utreach.</w:t>
      </w:r>
    </w:p>
    <w:p w14:paraId="142CD1C9" w14:textId="1678BDA0" w:rsidR="00C749FE" w:rsidRDefault="000648C6" w:rsidP="00725B42">
      <w:pPr>
        <w:spacing w:line="480" w:lineRule="auto"/>
        <w:jc w:val="both"/>
        <w:rPr>
          <w:lang w:val="en-US"/>
        </w:rPr>
      </w:pPr>
      <w:r>
        <w:rPr>
          <w:lang w:val="en-US"/>
        </w:rPr>
        <w:t>Then, r</w:t>
      </w:r>
      <w:r w:rsidR="00725B42" w:rsidRPr="00725B42">
        <w:rPr>
          <w:lang w:val="en-US"/>
        </w:rPr>
        <w:t>elating to the fundraising capability to support university’s mission, the universities’ behaviors go from a passive approach (fundraising as a inevitable and indispensable process), where they seek for funds only to guarantee the delivery of academic services, to a collateral process that works together with public funding, to an effective way to support university’s mission, enabling it to dev</w:t>
      </w:r>
      <w:r>
        <w:rPr>
          <w:lang w:val="en-US"/>
        </w:rPr>
        <w:t>elop its services also through o</w:t>
      </w:r>
      <w:r w:rsidR="00725B42" w:rsidRPr="00725B42">
        <w:rPr>
          <w:lang w:val="en-US"/>
        </w:rPr>
        <w:t>utreach.</w:t>
      </w:r>
    </w:p>
    <w:p w14:paraId="310F600B" w14:textId="3B05B9AF" w:rsidR="00C749FE" w:rsidRPr="00725B42" w:rsidRDefault="00C749FE" w:rsidP="00725B42">
      <w:pPr>
        <w:spacing w:line="480" w:lineRule="auto"/>
        <w:jc w:val="both"/>
        <w:rPr>
          <w:lang w:val="en-US"/>
        </w:rPr>
      </w:pPr>
      <w:r>
        <w:rPr>
          <w:lang w:val="en-US"/>
        </w:rPr>
        <w:t xml:space="preserve">Moreover, prejudice against fundraising is the most surprising issue faced by fundraising professionals. This witnesses the scarcity of organizational capacity that does not reflect an effective communication throughout the organization. Hence, </w:t>
      </w:r>
      <w:r w:rsidR="00153F22">
        <w:rPr>
          <w:lang w:val="en-US"/>
        </w:rPr>
        <w:t>strategic alignment is lacking. Then, what is not really surprising is the cost-benefit-ratios analysis as fundraising assessment by universities’ leaders. It reflects the New Public Management paradigm and logic. However, this perspective has been overcoming, making other benefits emerge more than in the past. Therefore, the future fundraising scenario would be different from the current one. From one perspective, it is becoming a strategic activity to reach university’s goals, but, at the same time, it is not sustainable to focus and invest only in the fundraising process. Fundraising must be integrated by a stable government support together with a greater effort by the universities towards competitive based funding.</w:t>
      </w:r>
    </w:p>
    <w:p w14:paraId="2B1C26B1" w14:textId="77777777" w:rsidR="00725B42" w:rsidRPr="00725B42" w:rsidRDefault="00725B42" w:rsidP="00725B42">
      <w:pPr>
        <w:spacing w:line="480" w:lineRule="auto"/>
        <w:jc w:val="both"/>
      </w:pPr>
    </w:p>
    <w:p w14:paraId="72051051" w14:textId="77777777" w:rsidR="00725B42" w:rsidRPr="00725B42" w:rsidRDefault="00725B42" w:rsidP="00725B42">
      <w:pPr>
        <w:numPr>
          <w:ilvl w:val="1"/>
          <w:numId w:val="16"/>
        </w:numPr>
        <w:spacing w:line="480" w:lineRule="auto"/>
        <w:jc w:val="both"/>
        <w:rPr>
          <w:b/>
          <w:lang w:val="en-US"/>
        </w:rPr>
      </w:pPr>
      <w:r w:rsidRPr="00725B42">
        <w:rPr>
          <w:b/>
          <w:lang w:val="en-US"/>
        </w:rPr>
        <w:t xml:space="preserve">Conclusion </w:t>
      </w:r>
    </w:p>
    <w:p w14:paraId="474FE039" w14:textId="5E71820D" w:rsidR="00725B42" w:rsidRPr="00725B42" w:rsidRDefault="00725B42" w:rsidP="00725B42">
      <w:pPr>
        <w:spacing w:line="480" w:lineRule="auto"/>
        <w:jc w:val="both"/>
        <w:rPr>
          <w:lang w:val="en-US"/>
        </w:rPr>
      </w:pPr>
      <w:r w:rsidRPr="00725B42">
        <w:rPr>
          <w:lang w:val="en-US"/>
        </w:rPr>
        <w:t>This chapter aims to understand which are the fundraising culture and behavior within Italian public universities. Moreover, it seek to investigate the fundraising tools and features that affect university’s performance and, hence, if it is able to support university’s mission in a sustainable way. Results underline the awareness of universities to consider fundraising as a crucial process to get resources in order to support unive</w:t>
      </w:r>
      <w:r w:rsidR="00BA4CBE">
        <w:rPr>
          <w:lang w:val="en-US"/>
        </w:rPr>
        <w:t>rsities’ functions, especially r</w:t>
      </w:r>
      <w:r w:rsidRPr="00725B42">
        <w:rPr>
          <w:lang w:val="en-US"/>
        </w:rPr>
        <w:t xml:space="preserve">esearch </w:t>
      </w:r>
      <w:r w:rsidR="00BA4CBE">
        <w:rPr>
          <w:lang w:val="en-US"/>
        </w:rPr>
        <w:t xml:space="preserve">one </w:t>
      </w:r>
      <w:r w:rsidRPr="00725B42">
        <w:rPr>
          <w:lang w:val="en-US"/>
        </w:rPr>
        <w:t>(Caboni, 2010). Then, it can sustain university’s mission by a mix of fundraising tools, which support in a different way the three functions. Hence, these tools can be considered as collateral to public funding (“basic percentage” of FFO and “reward percentage” of FFO</w:t>
      </w:r>
      <w:r w:rsidR="00D11973">
        <w:rPr>
          <w:lang w:val="en-US"/>
        </w:rPr>
        <w:t>)</w:t>
      </w:r>
      <w:r w:rsidRPr="00725B42">
        <w:rPr>
          <w:lang w:val="en-US"/>
        </w:rPr>
        <w:t xml:space="preserve">, but, at the same time, they are necessary to guarantee the value that public universities create for society (Paleari et al., 2015). Furthermore, most of the universities that agreed to be interviewed are those who are considered as pioneers of fundraising (and also crowdfunding). The fact that within this sample there is confusion about some key-concepts, show that the Italian Higher Education context is still in the early days of fundraising practices and culture. In fact, in order to guarantee financial sustainability, public funding is not enough and the use of fundraising tools has become necessary. Besides, fundraising must be considered a tool </w:t>
      </w:r>
      <w:r w:rsidR="00024C1B">
        <w:rPr>
          <w:lang w:val="en-US"/>
        </w:rPr>
        <w:t>that enables universities</w:t>
      </w:r>
      <w:r w:rsidRPr="00725B42">
        <w:rPr>
          <w:lang w:val="en-US"/>
        </w:rPr>
        <w:t xml:space="preserve"> to be sustainable in their value creation process (Perez-Esparrells &amp; Torre, 2012). Moreover, universities are starting to consider a new and innovative fundraising tool as crowdfunding (Colasanti et al., 2018). </w:t>
      </w:r>
    </w:p>
    <w:p w14:paraId="5E59BAA7" w14:textId="77777777" w:rsidR="00725B42" w:rsidRPr="00725B42" w:rsidRDefault="00725B42" w:rsidP="00725B42">
      <w:pPr>
        <w:spacing w:line="480" w:lineRule="auto"/>
        <w:jc w:val="both"/>
        <w:rPr>
          <w:lang w:val="en-US"/>
        </w:rPr>
      </w:pPr>
      <w:r w:rsidRPr="00725B42">
        <w:rPr>
          <w:lang w:val="en-US"/>
        </w:rPr>
        <w:t>The main limitations of this study is the fact that the sample considered both by the questionnaires’ analysis and by interviewees’ one is not enough to completely understand and explain the fundraising behavior of Italian public universities, in addition to their consideration of the tool as a support for university’s mission through its functions.</w:t>
      </w:r>
    </w:p>
    <w:p w14:paraId="335A919A" w14:textId="69E785CA" w:rsidR="00725B42" w:rsidRPr="00725B42" w:rsidRDefault="00725B42" w:rsidP="00725B42">
      <w:pPr>
        <w:spacing w:line="480" w:lineRule="auto"/>
        <w:jc w:val="both"/>
        <w:rPr>
          <w:lang w:val="en-US"/>
        </w:rPr>
      </w:pPr>
      <w:r w:rsidRPr="00725B42">
        <w:rPr>
          <w:lang w:val="en-US"/>
        </w:rPr>
        <w:t>It will be interesting to further develop this study by investigating the reasons why other universities are not endowed with a professional fu</w:t>
      </w:r>
      <w:r w:rsidR="00024C1B">
        <w:rPr>
          <w:lang w:val="en-US"/>
        </w:rPr>
        <w:t>ndraising staff and why they do</w:t>
      </w:r>
      <w:r w:rsidRPr="00725B42">
        <w:rPr>
          <w:lang w:val="en-US"/>
        </w:rPr>
        <w:t xml:space="preserve"> not</w:t>
      </w:r>
      <w:r w:rsidR="00024C1B">
        <w:rPr>
          <w:lang w:val="en-US"/>
        </w:rPr>
        <w:t xml:space="preserve"> consider</w:t>
      </w:r>
      <w:r w:rsidRPr="00725B42">
        <w:rPr>
          <w:lang w:val="en-US"/>
        </w:rPr>
        <w:t xml:space="preserve"> fundraising as an effective tool to sustain university’s function. Moreover, within the “pioneers”, a deeper analysis of </w:t>
      </w:r>
      <w:r w:rsidR="00CF0A56" w:rsidRPr="00725B42">
        <w:rPr>
          <w:lang w:val="en-US"/>
        </w:rPr>
        <w:t>interviewees’</w:t>
      </w:r>
      <w:r w:rsidRPr="00725B42">
        <w:rPr>
          <w:lang w:val="en-US"/>
        </w:rPr>
        <w:t xml:space="preserve"> text by qualitative content analysis could bring to a map of fundraising culture, investigating “Ba” of words (Magliacani &amp; Madeo, 2018). </w:t>
      </w:r>
    </w:p>
    <w:p w14:paraId="7ECBB57C" w14:textId="77777777" w:rsidR="00725B42" w:rsidRDefault="00725B42" w:rsidP="00725B42">
      <w:pPr>
        <w:spacing w:line="480" w:lineRule="auto"/>
        <w:jc w:val="both"/>
        <w:rPr>
          <w:lang w:val="en-US"/>
        </w:rPr>
      </w:pPr>
    </w:p>
    <w:p w14:paraId="3AC3D461" w14:textId="77777777" w:rsidR="00826E43" w:rsidRDefault="00826E43" w:rsidP="00725B42">
      <w:pPr>
        <w:spacing w:line="480" w:lineRule="auto"/>
        <w:jc w:val="both"/>
        <w:rPr>
          <w:lang w:val="en-US"/>
        </w:rPr>
      </w:pPr>
    </w:p>
    <w:p w14:paraId="05B76A61" w14:textId="77777777" w:rsidR="00826E43" w:rsidRDefault="00826E43" w:rsidP="00725B42">
      <w:pPr>
        <w:spacing w:line="480" w:lineRule="auto"/>
        <w:jc w:val="both"/>
        <w:rPr>
          <w:lang w:val="en-US"/>
        </w:rPr>
      </w:pPr>
    </w:p>
    <w:p w14:paraId="6878B63F" w14:textId="77777777" w:rsidR="00826E43" w:rsidRDefault="00826E43" w:rsidP="00725B42">
      <w:pPr>
        <w:spacing w:line="480" w:lineRule="auto"/>
        <w:jc w:val="both"/>
        <w:rPr>
          <w:lang w:val="en-US"/>
        </w:rPr>
      </w:pPr>
    </w:p>
    <w:p w14:paraId="3BDA591C" w14:textId="77777777" w:rsidR="00381871" w:rsidRDefault="00381871" w:rsidP="00725B42">
      <w:pPr>
        <w:spacing w:line="480" w:lineRule="auto"/>
        <w:jc w:val="both"/>
        <w:rPr>
          <w:lang w:val="en-US"/>
        </w:rPr>
      </w:pPr>
    </w:p>
    <w:p w14:paraId="73C7A53A" w14:textId="12E13CF8" w:rsidR="00CF60A9" w:rsidRPr="00CF60A9" w:rsidRDefault="00CF60A9" w:rsidP="00725B42">
      <w:pPr>
        <w:spacing w:line="480" w:lineRule="auto"/>
        <w:jc w:val="both"/>
        <w:rPr>
          <w:b/>
          <w:lang w:val="en-US"/>
        </w:rPr>
      </w:pPr>
      <w:r w:rsidRPr="00CF60A9">
        <w:rPr>
          <w:b/>
          <w:lang w:val="en-US"/>
        </w:rPr>
        <w:t>4.7 Tables and Figures</w:t>
      </w:r>
    </w:p>
    <w:p w14:paraId="711AC7DE" w14:textId="2B727D58" w:rsidR="00826E43" w:rsidRDefault="00826E43" w:rsidP="00725B42">
      <w:pPr>
        <w:spacing w:line="480" w:lineRule="auto"/>
        <w:jc w:val="both"/>
        <w:rPr>
          <w:lang w:val="en-US"/>
        </w:rPr>
      </w:pPr>
      <w:r w:rsidRPr="00725B42">
        <w:rPr>
          <w:noProof/>
          <w:lang w:eastAsia="it-IT" w:bidi="ar-SA"/>
        </w:rPr>
        <w:drawing>
          <wp:inline distT="0" distB="0" distL="0" distR="0" wp14:anchorId="623F6FCF" wp14:editId="3220CE63">
            <wp:extent cx="5755640" cy="2856090"/>
            <wp:effectExtent l="0" t="0" r="1016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jpg"/>
                    <pic:cNvPicPr/>
                  </pic:nvPicPr>
                  <pic:blipFill rotWithShape="1">
                    <a:blip r:embed="rId22">
                      <a:extLst>
                        <a:ext uri="{28A0092B-C50C-407E-A947-70E740481C1C}">
                          <a14:useLocalDpi xmlns:a14="http://schemas.microsoft.com/office/drawing/2010/main" val="0"/>
                        </a:ext>
                      </a:extLst>
                    </a:blip>
                    <a:srcRect t="17392" b="16442"/>
                    <a:stretch/>
                  </pic:blipFill>
                  <pic:spPr bwMode="auto">
                    <a:xfrm>
                      <a:off x="0" y="0"/>
                      <a:ext cx="5755640" cy="2856090"/>
                    </a:xfrm>
                    <a:prstGeom prst="rect">
                      <a:avLst/>
                    </a:prstGeom>
                    <a:ln>
                      <a:noFill/>
                    </a:ln>
                    <a:extLst>
                      <a:ext uri="{53640926-AAD7-44d8-BBD7-CCE9431645EC}">
                        <a14:shadowObscured xmlns:a14="http://schemas.microsoft.com/office/drawing/2010/main"/>
                      </a:ext>
                    </a:extLst>
                  </pic:spPr>
                </pic:pic>
              </a:graphicData>
            </a:graphic>
          </wp:inline>
        </w:drawing>
      </w:r>
    </w:p>
    <w:p w14:paraId="6745CD9D" w14:textId="58658141" w:rsidR="00EB4409" w:rsidRPr="00EB4409" w:rsidRDefault="00EB4409" w:rsidP="00EB4409">
      <w:pPr>
        <w:spacing w:line="480" w:lineRule="auto"/>
        <w:jc w:val="both"/>
        <w:rPr>
          <w:lang w:val="en-US"/>
        </w:rPr>
      </w:pPr>
      <w:r w:rsidRPr="00EB4409">
        <w:rPr>
          <w:lang w:val="en-US"/>
        </w:rPr>
        <w:t xml:space="preserve">Figure </w:t>
      </w:r>
      <w:r>
        <w:rPr>
          <w:lang w:val="en-US"/>
        </w:rPr>
        <w:t>4.1:</w:t>
      </w:r>
      <w:r w:rsidRPr="00EB4409">
        <w:rPr>
          <w:lang w:val="en-US"/>
        </w:rPr>
        <w:t xml:space="preserve"> The Paradigm Model (source: Strauss &amp; Corbin, 1990).</w:t>
      </w:r>
    </w:p>
    <w:p w14:paraId="69A48316" w14:textId="77777777" w:rsidR="00EB4409" w:rsidRDefault="00EB4409" w:rsidP="00725B42">
      <w:pPr>
        <w:spacing w:line="480" w:lineRule="auto"/>
        <w:jc w:val="both"/>
        <w:rPr>
          <w:lang w:val="en-US"/>
        </w:rPr>
      </w:pPr>
    </w:p>
    <w:p w14:paraId="27C1E71F" w14:textId="77777777" w:rsidR="002B52B1" w:rsidRDefault="002B52B1" w:rsidP="00725B42">
      <w:pPr>
        <w:spacing w:line="480" w:lineRule="auto"/>
        <w:jc w:val="both"/>
        <w:rPr>
          <w:lang w:val="en-US"/>
        </w:rPr>
      </w:pPr>
    </w:p>
    <w:p w14:paraId="54CC5D36" w14:textId="77777777" w:rsidR="002B52B1" w:rsidRDefault="002B52B1" w:rsidP="00725B42">
      <w:pPr>
        <w:spacing w:line="480" w:lineRule="auto"/>
        <w:jc w:val="both"/>
        <w:rPr>
          <w:lang w:val="en-US"/>
        </w:rPr>
      </w:pPr>
    </w:p>
    <w:p w14:paraId="3F20CF5D" w14:textId="77777777" w:rsidR="002B52B1" w:rsidRDefault="002B52B1" w:rsidP="00725B42">
      <w:pPr>
        <w:spacing w:line="480" w:lineRule="auto"/>
        <w:jc w:val="both"/>
        <w:rPr>
          <w:lang w:val="en-US"/>
        </w:rPr>
      </w:pPr>
    </w:p>
    <w:p w14:paraId="68BFE817" w14:textId="77777777" w:rsidR="002B52B1" w:rsidRDefault="002B52B1" w:rsidP="00725B42">
      <w:pPr>
        <w:spacing w:line="480" w:lineRule="auto"/>
        <w:jc w:val="both"/>
        <w:rPr>
          <w:lang w:val="en-US"/>
        </w:rPr>
      </w:pPr>
    </w:p>
    <w:p w14:paraId="2537BB3C" w14:textId="77777777" w:rsidR="002B52B1" w:rsidRDefault="002B52B1" w:rsidP="00725B42">
      <w:pPr>
        <w:spacing w:line="480" w:lineRule="auto"/>
        <w:jc w:val="both"/>
        <w:rPr>
          <w:lang w:val="en-US"/>
        </w:rPr>
      </w:pPr>
    </w:p>
    <w:p w14:paraId="6616B075" w14:textId="77777777" w:rsidR="002B52B1" w:rsidRDefault="002B52B1" w:rsidP="00725B42">
      <w:pPr>
        <w:spacing w:line="480" w:lineRule="auto"/>
        <w:jc w:val="both"/>
        <w:rPr>
          <w:lang w:val="en-US"/>
        </w:rPr>
      </w:pPr>
    </w:p>
    <w:p w14:paraId="0F7C532C" w14:textId="77777777" w:rsidR="002B52B1" w:rsidRDefault="002B52B1" w:rsidP="00725B42">
      <w:pPr>
        <w:spacing w:line="480" w:lineRule="auto"/>
        <w:jc w:val="both"/>
        <w:rPr>
          <w:lang w:val="en-US"/>
        </w:rPr>
      </w:pPr>
    </w:p>
    <w:p w14:paraId="2F8F6A38" w14:textId="77777777" w:rsidR="002B52B1" w:rsidRDefault="002B52B1" w:rsidP="00725B42">
      <w:pPr>
        <w:spacing w:line="480" w:lineRule="auto"/>
        <w:jc w:val="both"/>
        <w:rPr>
          <w:lang w:val="en-US"/>
        </w:rPr>
      </w:pPr>
    </w:p>
    <w:p w14:paraId="2BEAB8C4" w14:textId="77777777" w:rsidR="002B52B1" w:rsidRDefault="002B52B1" w:rsidP="00725B42">
      <w:pPr>
        <w:spacing w:line="480" w:lineRule="auto"/>
        <w:jc w:val="both"/>
        <w:rPr>
          <w:lang w:val="en-US"/>
        </w:rPr>
      </w:pPr>
    </w:p>
    <w:p w14:paraId="66BF098C" w14:textId="77777777" w:rsidR="002B52B1" w:rsidRDefault="002B52B1" w:rsidP="00725B42">
      <w:pPr>
        <w:spacing w:line="480" w:lineRule="auto"/>
        <w:jc w:val="both"/>
        <w:rPr>
          <w:lang w:val="en-US"/>
        </w:rPr>
      </w:pPr>
    </w:p>
    <w:p w14:paraId="49DE319A" w14:textId="77777777" w:rsidR="002B52B1" w:rsidRDefault="002B52B1" w:rsidP="00725B42">
      <w:pPr>
        <w:spacing w:line="480" w:lineRule="auto"/>
        <w:jc w:val="both"/>
        <w:rPr>
          <w:lang w:val="en-US"/>
        </w:rPr>
      </w:pPr>
    </w:p>
    <w:p w14:paraId="6C21B071" w14:textId="77777777" w:rsidR="002B52B1" w:rsidRDefault="002B52B1" w:rsidP="00725B42">
      <w:pPr>
        <w:spacing w:line="480" w:lineRule="auto"/>
        <w:jc w:val="both"/>
        <w:rPr>
          <w:lang w:val="en-US"/>
        </w:rPr>
      </w:pPr>
    </w:p>
    <w:p w14:paraId="637AD489" w14:textId="77777777" w:rsidR="002B52B1" w:rsidRDefault="002B52B1" w:rsidP="00725B42">
      <w:pPr>
        <w:spacing w:line="480" w:lineRule="auto"/>
        <w:jc w:val="both"/>
        <w:rPr>
          <w:lang w:val="en-US"/>
        </w:rPr>
      </w:pPr>
    </w:p>
    <w:p w14:paraId="7A3884C7" w14:textId="77777777" w:rsidR="002B52B1" w:rsidRDefault="002B52B1" w:rsidP="00725B42">
      <w:pPr>
        <w:spacing w:line="480" w:lineRule="auto"/>
        <w:jc w:val="both"/>
        <w:rPr>
          <w:lang w:val="en-US"/>
        </w:rPr>
      </w:pPr>
    </w:p>
    <w:p w14:paraId="3A567B75" w14:textId="77777777" w:rsidR="00954CBE" w:rsidRDefault="00954CBE" w:rsidP="002B52B1">
      <w:pPr>
        <w:spacing w:line="480" w:lineRule="auto"/>
        <w:jc w:val="center"/>
        <w:rPr>
          <w:b/>
          <w:sz w:val="28"/>
          <w:szCs w:val="28"/>
          <w:lang w:val="en-US"/>
        </w:rPr>
      </w:pPr>
    </w:p>
    <w:p w14:paraId="22CAFADE" w14:textId="77777777" w:rsidR="00954CBE" w:rsidRDefault="00954CBE" w:rsidP="002B52B1">
      <w:pPr>
        <w:spacing w:line="480" w:lineRule="auto"/>
        <w:jc w:val="center"/>
        <w:rPr>
          <w:b/>
          <w:sz w:val="28"/>
          <w:szCs w:val="28"/>
          <w:lang w:val="en-US"/>
        </w:rPr>
      </w:pPr>
    </w:p>
    <w:p w14:paraId="6006D570" w14:textId="77777777" w:rsidR="00954CBE" w:rsidRDefault="00954CBE" w:rsidP="002B52B1">
      <w:pPr>
        <w:spacing w:line="480" w:lineRule="auto"/>
        <w:jc w:val="center"/>
        <w:rPr>
          <w:b/>
          <w:sz w:val="28"/>
          <w:szCs w:val="28"/>
          <w:lang w:val="en-US"/>
        </w:rPr>
      </w:pPr>
    </w:p>
    <w:p w14:paraId="01370BC6" w14:textId="77777777" w:rsidR="00954CBE" w:rsidRDefault="00954CBE" w:rsidP="002B52B1">
      <w:pPr>
        <w:spacing w:line="480" w:lineRule="auto"/>
        <w:jc w:val="center"/>
        <w:rPr>
          <w:b/>
          <w:sz w:val="28"/>
          <w:szCs w:val="28"/>
          <w:lang w:val="en-US"/>
        </w:rPr>
      </w:pPr>
    </w:p>
    <w:p w14:paraId="37CB557D" w14:textId="77777777" w:rsidR="00954CBE" w:rsidRDefault="00954CBE" w:rsidP="002B52B1">
      <w:pPr>
        <w:spacing w:line="480" w:lineRule="auto"/>
        <w:jc w:val="center"/>
        <w:rPr>
          <w:b/>
          <w:sz w:val="28"/>
          <w:szCs w:val="28"/>
          <w:lang w:val="en-US"/>
        </w:rPr>
      </w:pPr>
    </w:p>
    <w:p w14:paraId="0E9B7CD9" w14:textId="77777777" w:rsidR="00954CBE" w:rsidRDefault="00954CBE" w:rsidP="002B52B1">
      <w:pPr>
        <w:spacing w:line="480" w:lineRule="auto"/>
        <w:jc w:val="center"/>
        <w:rPr>
          <w:b/>
          <w:sz w:val="28"/>
          <w:szCs w:val="28"/>
          <w:lang w:val="en-US"/>
        </w:rPr>
      </w:pPr>
    </w:p>
    <w:p w14:paraId="7E114700" w14:textId="77777777" w:rsidR="00954CBE" w:rsidRDefault="00954CBE" w:rsidP="002B52B1">
      <w:pPr>
        <w:spacing w:line="480" w:lineRule="auto"/>
        <w:jc w:val="center"/>
        <w:rPr>
          <w:b/>
          <w:sz w:val="28"/>
          <w:szCs w:val="28"/>
          <w:lang w:val="en-US"/>
        </w:rPr>
      </w:pPr>
    </w:p>
    <w:p w14:paraId="77DDD7B6" w14:textId="77777777" w:rsidR="00954CBE" w:rsidRDefault="00954CBE" w:rsidP="002B52B1">
      <w:pPr>
        <w:spacing w:line="480" w:lineRule="auto"/>
        <w:jc w:val="center"/>
        <w:rPr>
          <w:b/>
          <w:sz w:val="28"/>
          <w:szCs w:val="28"/>
          <w:lang w:val="en-US"/>
        </w:rPr>
      </w:pPr>
    </w:p>
    <w:p w14:paraId="14A9661E" w14:textId="77777777" w:rsidR="00954CBE" w:rsidRDefault="00954CBE" w:rsidP="002B52B1">
      <w:pPr>
        <w:spacing w:line="480" w:lineRule="auto"/>
        <w:jc w:val="center"/>
        <w:rPr>
          <w:b/>
          <w:sz w:val="28"/>
          <w:szCs w:val="28"/>
          <w:lang w:val="en-US"/>
        </w:rPr>
      </w:pPr>
    </w:p>
    <w:p w14:paraId="41BF5042" w14:textId="77777777" w:rsidR="00954CBE" w:rsidRDefault="00954CBE" w:rsidP="002B52B1">
      <w:pPr>
        <w:spacing w:line="480" w:lineRule="auto"/>
        <w:jc w:val="center"/>
        <w:rPr>
          <w:b/>
          <w:sz w:val="28"/>
          <w:szCs w:val="28"/>
          <w:lang w:val="en-US"/>
        </w:rPr>
      </w:pPr>
    </w:p>
    <w:p w14:paraId="6376D921" w14:textId="77777777" w:rsidR="00954CBE" w:rsidRDefault="00954CBE" w:rsidP="002B52B1">
      <w:pPr>
        <w:spacing w:line="480" w:lineRule="auto"/>
        <w:jc w:val="center"/>
        <w:rPr>
          <w:b/>
          <w:sz w:val="28"/>
          <w:szCs w:val="28"/>
          <w:lang w:val="en-US"/>
        </w:rPr>
      </w:pPr>
    </w:p>
    <w:p w14:paraId="6174A911" w14:textId="77777777" w:rsidR="00954CBE" w:rsidRDefault="00954CBE" w:rsidP="002B52B1">
      <w:pPr>
        <w:spacing w:line="480" w:lineRule="auto"/>
        <w:jc w:val="center"/>
        <w:rPr>
          <w:b/>
          <w:sz w:val="28"/>
          <w:szCs w:val="28"/>
          <w:lang w:val="en-US"/>
        </w:rPr>
      </w:pPr>
    </w:p>
    <w:p w14:paraId="5386E876" w14:textId="77777777" w:rsidR="00954CBE" w:rsidRDefault="00954CBE" w:rsidP="002B52B1">
      <w:pPr>
        <w:spacing w:line="480" w:lineRule="auto"/>
        <w:jc w:val="center"/>
        <w:rPr>
          <w:b/>
          <w:sz w:val="28"/>
          <w:szCs w:val="28"/>
          <w:lang w:val="en-US"/>
        </w:rPr>
      </w:pPr>
    </w:p>
    <w:p w14:paraId="7990D74C" w14:textId="77777777" w:rsidR="00954CBE" w:rsidRDefault="00954CBE" w:rsidP="002B52B1">
      <w:pPr>
        <w:spacing w:line="480" w:lineRule="auto"/>
        <w:jc w:val="center"/>
        <w:rPr>
          <w:b/>
          <w:sz w:val="28"/>
          <w:szCs w:val="28"/>
          <w:lang w:val="en-US"/>
        </w:rPr>
      </w:pPr>
    </w:p>
    <w:p w14:paraId="44A0760C" w14:textId="77777777" w:rsidR="00954CBE" w:rsidRDefault="00954CBE" w:rsidP="002B52B1">
      <w:pPr>
        <w:spacing w:line="480" w:lineRule="auto"/>
        <w:jc w:val="center"/>
        <w:rPr>
          <w:b/>
          <w:sz w:val="28"/>
          <w:szCs w:val="28"/>
          <w:lang w:val="en-US"/>
        </w:rPr>
      </w:pPr>
    </w:p>
    <w:p w14:paraId="5ADD7284" w14:textId="77777777" w:rsidR="00954CBE" w:rsidRDefault="00954CBE" w:rsidP="002B52B1">
      <w:pPr>
        <w:spacing w:line="480" w:lineRule="auto"/>
        <w:jc w:val="center"/>
        <w:rPr>
          <w:b/>
          <w:sz w:val="28"/>
          <w:szCs w:val="28"/>
          <w:lang w:val="en-US"/>
        </w:rPr>
      </w:pPr>
    </w:p>
    <w:p w14:paraId="7C7F08B7" w14:textId="77777777" w:rsidR="00954CBE" w:rsidRDefault="00954CBE" w:rsidP="002B52B1">
      <w:pPr>
        <w:spacing w:line="480" w:lineRule="auto"/>
        <w:jc w:val="center"/>
        <w:rPr>
          <w:b/>
          <w:sz w:val="28"/>
          <w:szCs w:val="28"/>
          <w:lang w:val="en-US"/>
        </w:rPr>
      </w:pPr>
    </w:p>
    <w:p w14:paraId="307E61B9" w14:textId="77777777" w:rsidR="00954CBE" w:rsidRDefault="00954CBE" w:rsidP="002B52B1">
      <w:pPr>
        <w:spacing w:line="480" w:lineRule="auto"/>
        <w:jc w:val="center"/>
        <w:rPr>
          <w:b/>
          <w:sz w:val="28"/>
          <w:szCs w:val="28"/>
          <w:lang w:val="en-US"/>
        </w:rPr>
      </w:pPr>
    </w:p>
    <w:p w14:paraId="7B77B8D1" w14:textId="77777777" w:rsidR="00954CBE" w:rsidRDefault="00954CBE" w:rsidP="002B52B1">
      <w:pPr>
        <w:spacing w:line="480" w:lineRule="auto"/>
        <w:jc w:val="center"/>
        <w:rPr>
          <w:b/>
          <w:sz w:val="28"/>
          <w:szCs w:val="28"/>
          <w:lang w:val="en-US"/>
        </w:rPr>
      </w:pPr>
    </w:p>
    <w:p w14:paraId="3AFA161F" w14:textId="77777777" w:rsidR="00954CBE" w:rsidRDefault="00954CBE" w:rsidP="002B52B1">
      <w:pPr>
        <w:spacing w:line="480" w:lineRule="auto"/>
        <w:jc w:val="center"/>
        <w:rPr>
          <w:b/>
          <w:sz w:val="28"/>
          <w:szCs w:val="28"/>
          <w:lang w:val="en-US"/>
        </w:rPr>
      </w:pPr>
    </w:p>
    <w:p w14:paraId="272F8831" w14:textId="77777777" w:rsidR="00954CBE" w:rsidRDefault="00954CBE" w:rsidP="002B52B1">
      <w:pPr>
        <w:spacing w:line="480" w:lineRule="auto"/>
        <w:jc w:val="center"/>
        <w:rPr>
          <w:b/>
          <w:sz w:val="28"/>
          <w:szCs w:val="28"/>
          <w:lang w:val="en-US"/>
        </w:rPr>
      </w:pPr>
    </w:p>
    <w:p w14:paraId="1C9E2B81" w14:textId="77777777" w:rsidR="003A4889" w:rsidRDefault="003A4889" w:rsidP="002B52B1">
      <w:pPr>
        <w:spacing w:line="480" w:lineRule="auto"/>
        <w:jc w:val="center"/>
        <w:rPr>
          <w:b/>
          <w:sz w:val="28"/>
          <w:szCs w:val="28"/>
          <w:lang w:val="en-US"/>
        </w:rPr>
      </w:pPr>
    </w:p>
    <w:p w14:paraId="5CABD47D" w14:textId="32DAE67A" w:rsidR="002B52B1" w:rsidRPr="00740B0F" w:rsidRDefault="002B52B1" w:rsidP="002B52B1">
      <w:pPr>
        <w:spacing w:line="480" w:lineRule="auto"/>
        <w:jc w:val="center"/>
        <w:rPr>
          <w:b/>
          <w:sz w:val="28"/>
          <w:szCs w:val="28"/>
          <w:lang w:val="en-US"/>
        </w:rPr>
      </w:pPr>
      <w:r>
        <w:rPr>
          <w:b/>
          <w:sz w:val="28"/>
          <w:szCs w:val="28"/>
          <w:lang w:val="en-US"/>
        </w:rPr>
        <w:t>Chapter 5</w:t>
      </w:r>
    </w:p>
    <w:p w14:paraId="59F9D4CC" w14:textId="51B7A12A" w:rsidR="002B52B1" w:rsidRPr="00D221F4" w:rsidRDefault="002B52B1" w:rsidP="002B52B1">
      <w:pPr>
        <w:spacing w:line="480" w:lineRule="auto"/>
        <w:jc w:val="center"/>
        <w:rPr>
          <w:rFonts w:cs="Times New Roman"/>
          <w:b/>
          <w:sz w:val="28"/>
          <w:szCs w:val="28"/>
          <w:lang w:val="en-US"/>
        </w:rPr>
      </w:pPr>
      <w:r w:rsidRPr="00D221F4">
        <w:rPr>
          <w:rFonts w:cs="Times New Roman"/>
          <w:b/>
          <w:sz w:val="28"/>
          <w:szCs w:val="28"/>
          <w:lang w:val="en-US"/>
        </w:rPr>
        <w:t>The Role of Crowdfunding for New Funding Challenges in Public Universities: an Italian Case Study</w:t>
      </w:r>
    </w:p>
    <w:p w14:paraId="654AAD8B" w14:textId="77777777" w:rsidR="002B52B1" w:rsidRDefault="002B52B1" w:rsidP="00725B42">
      <w:pPr>
        <w:spacing w:line="480" w:lineRule="auto"/>
        <w:jc w:val="both"/>
        <w:rPr>
          <w:lang w:val="en-US"/>
        </w:rPr>
      </w:pPr>
    </w:p>
    <w:p w14:paraId="2186C199" w14:textId="77777777" w:rsidR="00037A11" w:rsidRDefault="00037A11" w:rsidP="00A11C14">
      <w:pPr>
        <w:spacing w:line="480" w:lineRule="auto"/>
        <w:jc w:val="both"/>
        <w:rPr>
          <w:rFonts w:cs="Times New Roman"/>
          <w:b/>
          <w:lang w:val="en-US"/>
        </w:rPr>
      </w:pPr>
      <w:r>
        <w:rPr>
          <w:rFonts w:cs="Times New Roman"/>
          <w:b/>
          <w:lang w:val="en-US"/>
        </w:rPr>
        <w:t>5.1 Introduction</w:t>
      </w:r>
    </w:p>
    <w:p w14:paraId="49BDCC25" w14:textId="49C9F9B5" w:rsidR="00037A11" w:rsidRDefault="00037A11" w:rsidP="00A11C14">
      <w:pPr>
        <w:spacing w:line="480" w:lineRule="auto"/>
        <w:jc w:val="both"/>
        <w:rPr>
          <w:rFonts w:cs="Times New Roman"/>
          <w:lang w:val="en-US"/>
        </w:rPr>
      </w:pPr>
      <w:r w:rsidRPr="003A4086">
        <w:rPr>
          <w:rFonts w:cs="Times New Roman"/>
          <w:lang w:val="en-US"/>
        </w:rPr>
        <w:t>In 2007 a financial crisis, later called “The Great Recession”, started in the USA, spreading out, in 2008, throughout Europe</w:t>
      </w:r>
      <w:r w:rsidRPr="009003CD">
        <w:rPr>
          <w:rFonts w:cs="Times New Roman"/>
          <w:lang w:val="en-US"/>
        </w:rPr>
        <w:t>,</w:t>
      </w:r>
      <w:r>
        <w:rPr>
          <w:rFonts w:cs="Times New Roman"/>
          <w:color w:val="FF0000"/>
          <w:lang w:val="en-US"/>
        </w:rPr>
        <w:t xml:space="preserve"> </w:t>
      </w:r>
      <w:r w:rsidRPr="003A4086">
        <w:rPr>
          <w:rFonts w:cs="Times New Roman"/>
          <w:lang w:val="en-US"/>
        </w:rPr>
        <w:t>including Italy.</w:t>
      </w:r>
      <w:r>
        <w:rPr>
          <w:rFonts w:cs="Times New Roman"/>
          <w:color w:val="FF0000"/>
          <w:lang w:val="en-US"/>
        </w:rPr>
        <w:t xml:space="preserve"> </w:t>
      </w:r>
      <w:r w:rsidRPr="003A4086">
        <w:rPr>
          <w:rFonts w:cs="Times New Roman"/>
          <w:lang w:val="en-US"/>
        </w:rPr>
        <w:t>One of the main effects of this situation was a dramatic dec</w:t>
      </w:r>
      <w:r>
        <w:rPr>
          <w:rFonts w:cs="Times New Roman"/>
          <w:lang w:val="en-US"/>
        </w:rPr>
        <w:t>line in national budget, which causes</w:t>
      </w:r>
      <w:r w:rsidRPr="003A4086">
        <w:rPr>
          <w:rFonts w:cs="Times New Roman"/>
          <w:lang w:val="en-US"/>
        </w:rPr>
        <w:t xml:space="preserve"> a drastic reduction in public spending</w:t>
      </w:r>
      <w:r>
        <w:rPr>
          <w:rFonts w:cs="Times New Roman"/>
          <w:lang w:val="en-US"/>
        </w:rPr>
        <w:t>, affecting the whole public sector and, therefore, public universities. Relating to the latter, getting their mission became hard, since state funding was the main financial sources for this type of organizations in Italy (Lehmann et al., 2017)</w:t>
      </w:r>
      <w:r w:rsidRPr="004B1CA0">
        <w:rPr>
          <w:rFonts w:cs="Times New Roman"/>
          <w:lang w:val="en-US"/>
        </w:rPr>
        <w:t>.</w:t>
      </w:r>
      <w:r>
        <w:rPr>
          <w:rFonts w:cs="Times New Roman"/>
          <w:lang w:val="en-US"/>
        </w:rPr>
        <w:t xml:space="preserve"> Furthermore, within the Italian higher education context, the implementation of market-oriented mechanisms started in 2009, like performance-based funding, has introduced competition in a weakly competitive environment, with the aim to allocate resources more efficiently (Cattaneo et al., 2016). Hence, public universities have started to deal with new challenges, trying to guarantee the services they pr</w:t>
      </w:r>
      <w:r w:rsidR="00E45E00">
        <w:rPr>
          <w:rFonts w:cs="Times New Roman"/>
          <w:lang w:val="en-US"/>
        </w:rPr>
        <w:t>ovide through their functions (t</w:t>
      </w:r>
      <w:r>
        <w:rPr>
          <w:rFonts w:cs="Times New Roman"/>
          <w:lang w:val="en-US"/>
        </w:rPr>
        <w:t xml:space="preserve">eaching, </w:t>
      </w:r>
      <w:r w:rsidR="00E45E00">
        <w:rPr>
          <w:rFonts w:cs="Times New Roman"/>
          <w:lang w:val="en-US"/>
        </w:rPr>
        <w:t>research and o</w:t>
      </w:r>
      <w:r>
        <w:rPr>
          <w:rFonts w:cs="Times New Roman"/>
          <w:lang w:val="en-US"/>
        </w:rPr>
        <w:t xml:space="preserve">utreach). </w:t>
      </w:r>
    </w:p>
    <w:p w14:paraId="114D7ED0" w14:textId="5A6CB888" w:rsidR="00037A11" w:rsidRDefault="00037A11" w:rsidP="00A11C14">
      <w:pPr>
        <w:spacing w:line="480" w:lineRule="auto"/>
        <w:jc w:val="both"/>
        <w:rPr>
          <w:rFonts w:cs="Times New Roman"/>
          <w:lang w:val="en-US"/>
        </w:rPr>
      </w:pPr>
      <w:r>
        <w:rPr>
          <w:rFonts w:cs="Times New Roman"/>
          <w:lang w:val="en-US"/>
        </w:rPr>
        <w:t xml:space="preserve">Following this reasoning, the aims of this chapter are to understand which are the new funding challenges of public universities and to explore the role of innovative means of fundraising, as crowdfunding. The context of the analysis is the Italian one and, more specifically, </w:t>
      </w:r>
      <w:r w:rsidR="00E45E00">
        <w:rPr>
          <w:rFonts w:cs="Times New Roman"/>
          <w:lang w:val="en-US"/>
        </w:rPr>
        <w:t xml:space="preserve">the </w:t>
      </w:r>
      <w:r>
        <w:rPr>
          <w:rFonts w:cs="Times New Roman"/>
          <w:lang w:val="en-US"/>
        </w:rPr>
        <w:t>University of Pavia. The choice of this case study is given to its the pioneering role in developing and managing its own crowdfunding platform, being the first in Italy and Europe and one of the firsts in the world. Moreover, this university is affected by a centuries-old fundraising tradition, which goes back till 1875, when the first Un</w:t>
      </w:r>
      <w:r w:rsidR="007F783C">
        <w:rPr>
          <w:rFonts w:cs="Times New Roman"/>
          <w:lang w:val="en-US"/>
        </w:rPr>
        <w:t>iversity of Pavia’s benefactor</w:t>
      </w:r>
      <w:r>
        <w:rPr>
          <w:rFonts w:cs="Times New Roman"/>
          <w:lang w:val="en-US"/>
        </w:rPr>
        <w:t xml:space="preserve"> died and decided to leave all his belongings to the university. Afterwards, several donors sustained </w:t>
      </w:r>
      <w:r w:rsidR="009E57E9">
        <w:rPr>
          <w:rFonts w:cs="Times New Roman"/>
          <w:lang w:val="en-US"/>
        </w:rPr>
        <w:t xml:space="preserve">the </w:t>
      </w:r>
      <w:r>
        <w:rPr>
          <w:rFonts w:cs="Times New Roman"/>
          <w:lang w:val="en-US"/>
        </w:rPr>
        <w:t xml:space="preserve">University of Pavia, passing through the institution of education and graduation awards, which support students and graduates in their education career. Furthermore, the last evolution of this peculiar fundraising culture is the development of a totally in-house managed crowfunding platform, with the main aim of sustaining research projects. The platform is run by the university’s fundraising office, which collaborates with the crowdfunding projects’ leaders as a sort of fundraising counselor. In order to better understand the implications of this case study’s analysis, the empirical section of this chapter is integrated by two interviews, one to the president’s fundraising delegate and one to the fundraising officer of University of Pavia. Data gathered by interviews have been processed by content analysis, which make the most important topics come out, without modifying the contents of each answer (Mayring, 2014). </w:t>
      </w:r>
    </w:p>
    <w:p w14:paraId="65069D18" w14:textId="17F01C2A" w:rsidR="00037A11" w:rsidRDefault="00037A11" w:rsidP="00A11C14">
      <w:pPr>
        <w:spacing w:line="480" w:lineRule="auto"/>
        <w:jc w:val="both"/>
        <w:rPr>
          <w:rFonts w:cs="Times New Roman"/>
          <w:lang w:val="en-US"/>
        </w:rPr>
      </w:pPr>
      <w:r>
        <w:rPr>
          <w:rFonts w:cs="Times New Roman"/>
          <w:lang w:val="en-US"/>
        </w:rPr>
        <w:t xml:space="preserve">Eventually, this case study is particularly meaningful because, although there is no legal obligation to disclosure crowdfunding outcomes, </w:t>
      </w:r>
      <w:r w:rsidR="009E57E9">
        <w:rPr>
          <w:rFonts w:cs="Times New Roman"/>
          <w:lang w:val="en-US"/>
        </w:rPr>
        <w:t xml:space="preserve">the </w:t>
      </w:r>
      <w:r>
        <w:rPr>
          <w:rFonts w:cs="Times New Roman"/>
          <w:lang w:val="en-US"/>
        </w:rPr>
        <w:t xml:space="preserve">University of Pavia tries to communicate them to its stakeholders and donors through digital tools and accountability workshops. This is not common for crowdfunding platforms and, additionally, for universities. </w:t>
      </w:r>
    </w:p>
    <w:p w14:paraId="49C59003" w14:textId="77777777" w:rsidR="00037A11" w:rsidRDefault="00037A11" w:rsidP="00A11C14">
      <w:pPr>
        <w:spacing w:line="480" w:lineRule="auto"/>
        <w:jc w:val="both"/>
        <w:rPr>
          <w:rFonts w:cs="Times New Roman"/>
          <w:lang w:val="en-US"/>
        </w:rPr>
      </w:pPr>
      <w:r>
        <w:rPr>
          <w:rFonts w:cs="Times New Roman"/>
          <w:lang w:val="en-US"/>
        </w:rPr>
        <w:t>Within this context of analysis, stakeholders are not considered as passive actors, but they could be part of the universities value creation process. Hence, organizational borders become evanescent and partnerships are desirable to reach a sustainable development. O</w:t>
      </w:r>
      <w:r w:rsidRPr="008538F4">
        <w:rPr>
          <w:rFonts w:cs="Times New Roman"/>
          <w:lang w:val="en-US"/>
        </w:rPr>
        <w:t>n this basis the study</w:t>
      </w:r>
      <w:r>
        <w:rPr>
          <w:rFonts w:cs="Times New Roman"/>
          <w:lang w:val="en-US"/>
        </w:rPr>
        <w:t xml:space="preserve"> aim to answer to the following research questions: </w:t>
      </w:r>
    </w:p>
    <w:p w14:paraId="3B32AB51" w14:textId="2A7D618E" w:rsidR="00037A11" w:rsidRPr="009227A5" w:rsidRDefault="00037A11" w:rsidP="009227A5">
      <w:pPr>
        <w:pStyle w:val="Paragrafoelenco"/>
        <w:widowControl/>
        <w:numPr>
          <w:ilvl w:val="0"/>
          <w:numId w:val="24"/>
        </w:numPr>
        <w:suppressAutoHyphens w:val="0"/>
        <w:spacing w:line="480" w:lineRule="auto"/>
        <w:jc w:val="both"/>
        <w:rPr>
          <w:rFonts w:cs="Times New Roman"/>
          <w:lang w:val="en-US"/>
        </w:rPr>
      </w:pPr>
      <w:r w:rsidRPr="009227A5">
        <w:rPr>
          <w:rFonts w:cs="Times New Roman"/>
          <w:lang w:val="en-US"/>
        </w:rPr>
        <w:t>Can crowdfunding be an innovation tool useful to support public universities’ mission?</w:t>
      </w:r>
    </w:p>
    <w:p w14:paraId="21E30F4E" w14:textId="313331FB" w:rsidR="00037A11" w:rsidRPr="009227A5" w:rsidRDefault="00037A11" w:rsidP="009227A5">
      <w:pPr>
        <w:pStyle w:val="Paragrafoelenco"/>
        <w:widowControl/>
        <w:numPr>
          <w:ilvl w:val="0"/>
          <w:numId w:val="24"/>
        </w:numPr>
        <w:suppressAutoHyphens w:val="0"/>
        <w:spacing w:line="480" w:lineRule="auto"/>
        <w:jc w:val="both"/>
        <w:rPr>
          <w:rFonts w:cs="Times New Roman"/>
          <w:lang w:val="en-US"/>
        </w:rPr>
      </w:pPr>
      <w:r w:rsidRPr="009227A5">
        <w:rPr>
          <w:rFonts w:cs="Times New Roman"/>
          <w:lang w:val="en-US"/>
        </w:rPr>
        <w:t>Which university’s functions can crowdfunding successfully support, involving stakeholders in the value co-creation process?</w:t>
      </w:r>
    </w:p>
    <w:p w14:paraId="1ECEE4C0" w14:textId="77777777" w:rsidR="00037A11" w:rsidRPr="006A548A" w:rsidRDefault="00037A11" w:rsidP="00A11C14">
      <w:pPr>
        <w:spacing w:line="480" w:lineRule="auto"/>
        <w:jc w:val="both"/>
        <w:rPr>
          <w:rFonts w:cs="Times New Roman"/>
          <w:color w:val="FF0000"/>
          <w:lang w:val="en-US"/>
        </w:rPr>
      </w:pPr>
      <w:r w:rsidRPr="006A548A">
        <w:rPr>
          <w:rFonts w:cs="Times New Roman"/>
          <w:lang w:val="en-US"/>
        </w:rPr>
        <w:t>Results</w:t>
      </w:r>
      <w:r w:rsidRPr="006A548A">
        <w:rPr>
          <w:rFonts w:cs="Times New Roman"/>
          <w:color w:val="FF0000"/>
          <w:lang w:val="en-US"/>
        </w:rPr>
        <w:t xml:space="preserve"> </w:t>
      </w:r>
      <w:r w:rsidRPr="006A548A">
        <w:rPr>
          <w:rFonts w:cs="Times New Roman"/>
          <w:lang w:val="en-US"/>
        </w:rPr>
        <w:t xml:space="preserve">underline that fundraising culture is changing within public universities, being this phenomenon more and more affected by several forms of innovation, like crowdfunding one. However, this process is in the early stage of its life and numerous changes and developments are expected, even in the public context. Furthermore, the case study shows that crowdfunding supports research function mainly, rather than teaching and outreach ones. Indeed, the most successful crowdfunding projects are those that are easier to be communicated to potential donors. They are those that are able to involve stakeholders in the university’s value creation process. </w:t>
      </w:r>
      <w:r>
        <w:rPr>
          <w:rFonts w:cs="Times New Roman"/>
          <w:lang w:val="en-US"/>
        </w:rPr>
        <w:t xml:space="preserve">The research seeks to contribute to the value co-creation framework within public universities context. </w:t>
      </w:r>
    </w:p>
    <w:p w14:paraId="022A632F" w14:textId="77777777" w:rsidR="00037A11" w:rsidRPr="00FF11FF" w:rsidRDefault="00037A11" w:rsidP="00A11C14">
      <w:pPr>
        <w:spacing w:line="480" w:lineRule="auto"/>
        <w:jc w:val="both"/>
        <w:rPr>
          <w:rFonts w:cs="Times New Roman"/>
          <w:lang w:val="en-US"/>
        </w:rPr>
      </w:pPr>
      <w:r>
        <w:rPr>
          <w:rFonts w:cs="Times New Roman"/>
          <w:lang w:val="en-US"/>
        </w:rPr>
        <w:t xml:space="preserve">The chapter starts with a literature review about new challenges in funding public universities, like crowdfunding, which is an innovative means to raise funds both in entrepreneurial and in public and non profit context. This section is followed by the methodology paragraph. Afterwards, the case study is presented, analyzed and discussed. Finally, some general conclusions, limitations and further development are proposed. </w:t>
      </w:r>
    </w:p>
    <w:p w14:paraId="2F2BB5DA" w14:textId="77777777" w:rsidR="00037A11" w:rsidRPr="004500E7" w:rsidRDefault="00037A11" w:rsidP="00A11C14">
      <w:pPr>
        <w:spacing w:line="480" w:lineRule="auto"/>
        <w:jc w:val="both"/>
        <w:rPr>
          <w:rFonts w:cs="Times New Roman"/>
          <w:b/>
          <w:color w:val="FF0000"/>
          <w:lang w:val="en-US"/>
        </w:rPr>
      </w:pPr>
    </w:p>
    <w:p w14:paraId="3AEC3361" w14:textId="77777777" w:rsidR="00037A11" w:rsidRDefault="00037A11" w:rsidP="00A11C14">
      <w:pPr>
        <w:spacing w:line="480" w:lineRule="auto"/>
        <w:jc w:val="both"/>
        <w:rPr>
          <w:rFonts w:cs="Times New Roman"/>
          <w:b/>
          <w:lang w:val="en-US"/>
        </w:rPr>
      </w:pPr>
      <w:r>
        <w:rPr>
          <w:rFonts w:cs="Times New Roman"/>
          <w:b/>
          <w:lang w:val="en-US"/>
        </w:rPr>
        <w:t>5.2 Background</w:t>
      </w:r>
    </w:p>
    <w:p w14:paraId="127BF026" w14:textId="101B2433" w:rsidR="00037A11" w:rsidRDefault="00037A11" w:rsidP="00A11C14">
      <w:pPr>
        <w:spacing w:line="480" w:lineRule="auto"/>
        <w:jc w:val="both"/>
        <w:rPr>
          <w:rFonts w:cs="Times New Roman"/>
          <w:lang w:val="en-US"/>
        </w:rPr>
      </w:pPr>
      <w:r>
        <w:rPr>
          <w:rFonts w:cs="Times New Roman"/>
          <w:lang w:val="en-US"/>
        </w:rPr>
        <w:t>Nowadays, sustainability in public sector has become a crucial topic, especially after the “Big Recession” of 2008: this concept assumes a proclivity to changes and transformation</w:t>
      </w:r>
      <w:r w:rsidR="004C4735">
        <w:rPr>
          <w:rFonts w:cs="Times New Roman"/>
          <w:lang w:val="en-US"/>
        </w:rPr>
        <w:t>s</w:t>
      </w:r>
      <w:r>
        <w:rPr>
          <w:rFonts w:cs="Times New Roman"/>
          <w:lang w:val="en-US"/>
        </w:rPr>
        <w:t xml:space="preserve"> in order to get sustainable development (Hales, 2008; Lozano, 2006; 2010; Wright, 2010; Wright &amp; Wilton, 2012; Wright &amp; Horst, 2013). Moreover, sustainability is an interdisciplinary and multi-faceted concept that has to be pursued by universities (Ferrer-Balas et al., 2008). Furthermore, relating to public universities, an innovation rethinking process is needed, both within the organizations and in their relationships with external stakeholders (Lozano, 2006a; Vickers &amp; Kouzmin, 2001; Weenen, 2000;). Moreover, leadership and vision towards changes and long-term transformations, even caused by society’s needs, should characterize a sustainable university.  Besides, according to Ferrer-Balas et al. (2008) one of the main external drivers for university transformation are sources of funding, which often drive university activities, especially from external funders point of view. On this basis, sustainability reporting supports universities in communicating to their stakeholders efforts relating to economic, environmental and social dimensions (Lozano, 2011). Moreover, being the Italian higher education context characterized by a competition based funding, government bodies are willing to finance sustainability-focused research. </w:t>
      </w:r>
    </w:p>
    <w:p w14:paraId="37B8A877" w14:textId="71397199" w:rsidR="00037A11" w:rsidRDefault="00037A11" w:rsidP="00A11C14">
      <w:pPr>
        <w:spacing w:line="480" w:lineRule="auto"/>
        <w:jc w:val="both"/>
        <w:rPr>
          <w:rFonts w:cs="Times New Roman"/>
          <w:lang w:val="en-US"/>
        </w:rPr>
      </w:pPr>
      <w:r>
        <w:rPr>
          <w:rFonts w:cs="Times New Roman"/>
          <w:lang w:val="en-US"/>
        </w:rPr>
        <w:t>However, even if public higher education institutions have shown several efforts to be more sustainable, barriers still exist (Lotz-Sisitka, 2004; Lozano, 2006b; Ferrer-Balas et al. 2010). If sustainability is a strategic goal, all university’s stakeholders, both internal and external, have to be involved in the value creation process (McMillin &amp; Dyball, 2009; Wright &amp; Horst, 2013). According to Wright &amp; Horst (2013), universities and their stakeholders have to share the same sustainability definition and concept, recognizing the key-role of higher education sector for society development through its function</w:t>
      </w:r>
      <w:r w:rsidR="0047015B">
        <w:rPr>
          <w:rFonts w:cs="Times New Roman"/>
          <w:lang w:val="en-US"/>
        </w:rPr>
        <w:t xml:space="preserve">s. </w:t>
      </w:r>
      <w:r>
        <w:rPr>
          <w:rFonts w:cs="Times New Roman"/>
          <w:lang w:val="en-US"/>
        </w:rPr>
        <w:t xml:space="preserve">Eventually, a sustainable university includes sustainability in education and research activities, being a model for other public institutions. </w:t>
      </w:r>
    </w:p>
    <w:p w14:paraId="42239BB9" w14:textId="77777777" w:rsidR="00037A11" w:rsidRDefault="00037A11" w:rsidP="00A11C14">
      <w:pPr>
        <w:spacing w:line="480" w:lineRule="auto"/>
        <w:jc w:val="both"/>
        <w:rPr>
          <w:rFonts w:cs="Times New Roman"/>
          <w:lang w:val="en-US"/>
        </w:rPr>
      </w:pPr>
      <w:r>
        <w:rPr>
          <w:rFonts w:cs="Times New Roman"/>
          <w:lang w:val="en-US"/>
        </w:rPr>
        <w:t xml:space="preserve">Traditionally public sector has always been seen as inhospitable to innovation, being characterized by asymmetric incentives (low rewards for successful innovations versus punishment for unsuccessful ones), the lack of venture capital and by adverse selection of innovative individuals (Borins, 2001; Sorensen &amp; Torfing, 2011). However, since 2008 the situation have changed dramatically, calling for innovative public institutions. Hence, even higher education sector is considered as part of this transformation. </w:t>
      </w:r>
    </w:p>
    <w:p w14:paraId="6B19CE6A" w14:textId="77777777" w:rsidR="00037A11" w:rsidRDefault="00037A11" w:rsidP="00A11C14">
      <w:pPr>
        <w:spacing w:line="480" w:lineRule="auto"/>
        <w:jc w:val="both"/>
        <w:rPr>
          <w:rFonts w:cs="Times New Roman"/>
          <w:lang w:val="en-US"/>
        </w:rPr>
      </w:pPr>
      <w:r>
        <w:rPr>
          <w:rFonts w:cs="Times New Roman"/>
          <w:lang w:val="en-US"/>
        </w:rPr>
        <w:t xml:space="preserve">According to Bloch and Bugge (2013), innovation </w:t>
      </w:r>
      <w:r w:rsidRPr="0084374C">
        <w:rPr>
          <w:rFonts w:cs="Times New Roman"/>
          <w:i/>
          <w:lang w:val="en-US"/>
        </w:rPr>
        <w:t>“is the implementation of a significant change in the way your organization operates or in the products it provides</w:t>
      </w:r>
      <w:r w:rsidRPr="0084374C">
        <w:rPr>
          <w:rFonts w:cs="Times New Roman"/>
          <w:lang w:val="en-US"/>
        </w:rPr>
        <w:t xml:space="preserve">. </w:t>
      </w:r>
      <w:r w:rsidRPr="0084374C">
        <w:rPr>
          <w:rFonts w:cs="Times New Roman"/>
          <w:i/>
          <w:lang w:val="en-US"/>
        </w:rPr>
        <w:t>Innovations comprise new or significant changes to services and goods, operational processes, organizational methods, or the way your organization communicates with users”</w:t>
      </w:r>
      <w:r>
        <w:rPr>
          <w:rFonts w:cs="Times New Roman"/>
          <w:lang w:val="en-US"/>
        </w:rPr>
        <w:t xml:space="preserve"> (p.143). Therefore, organizations should consider: product innovation, process innovation, organizational innovation and communication innovation. Moreover, within the public sector context, it is possible to state an additional concept: social innovation. It is defined as </w:t>
      </w:r>
      <w:r w:rsidRPr="0084374C">
        <w:rPr>
          <w:rFonts w:cs="Times New Roman"/>
          <w:i/>
          <w:lang w:val="en-US"/>
        </w:rPr>
        <w:t>“the creation of long-lasting outcomes that a</w:t>
      </w:r>
      <w:r>
        <w:rPr>
          <w:rFonts w:cs="Times New Roman"/>
          <w:i/>
          <w:lang w:val="en-US"/>
        </w:rPr>
        <w:t xml:space="preserve">im to address societal needs by fundamentally </w:t>
      </w:r>
      <w:r w:rsidRPr="0084374C">
        <w:rPr>
          <w:rFonts w:cs="Times New Roman"/>
          <w:i/>
          <w:lang w:val="en-US"/>
        </w:rPr>
        <w:t xml:space="preserve">changing the relationships, positions and rules between involved stakeholders, through an open process of </w:t>
      </w:r>
      <w:r>
        <w:rPr>
          <w:rFonts w:cs="Times New Roman"/>
          <w:i/>
          <w:lang w:val="en-US"/>
        </w:rPr>
        <w:t>participation</w:t>
      </w:r>
      <w:r w:rsidRPr="0084374C">
        <w:rPr>
          <w:rFonts w:cs="Times New Roman"/>
          <w:i/>
          <w:lang w:val="en-US"/>
        </w:rPr>
        <w:t>,</w:t>
      </w:r>
      <w:r>
        <w:rPr>
          <w:rFonts w:cs="Times New Roman"/>
          <w:i/>
          <w:lang w:val="en-US"/>
        </w:rPr>
        <w:t xml:space="preserve"> exchange and collaboration with relevant stakeholders,</w:t>
      </w:r>
      <w:r w:rsidRPr="0084374C">
        <w:rPr>
          <w:rFonts w:cs="Times New Roman"/>
          <w:i/>
          <w:lang w:val="en-US"/>
        </w:rPr>
        <w:t xml:space="preserve"> including end-users, thereby crossing organizational boundaries</w:t>
      </w:r>
      <w:r>
        <w:rPr>
          <w:rFonts w:cs="Times New Roman"/>
          <w:i/>
          <w:lang w:val="en-US"/>
        </w:rPr>
        <w:t xml:space="preserve"> and jurisdictions</w:t>
      </w:r>
      <w:r w:rsidRPr="0084374C">
        <w:rPr>
          <w:rFonts w:cs="Times New Roman"/>
          <w:i/>
          <w:lang w:val="en-US"/>
        </w:rPr>
        <w:t>”</w:t>
      </w:r>
      <w:r>
        <w:rPr>
          <w:rFonts w:cs="Times New Roman"/>
          <w:lang w:val="en-US"/>
        </w:rPr>
        <w:t xml:space="preserve"> (Voorberg et al., 2015, p. 1334). The inclusion of end-users in the value creation process implies co-creation.</w:t>
      </w:r>
    </w:p>
    <w:p w14:paraId="581099EA" w14:textId="77777777" w:rsidR="00037A11" w:rsidRDefault="00037A11" w:rsidP="00A11C14">
      <w:pPr>
        <w:spacing w:line="480" w:lineRule="auto"/>
        <w:jc w:val="both"/>
        <w:rPr>
          <w:rFonts w:cs="Times New Roman"/>
          <w:lang w:val="en-US"/>
        </w:rPr>
      </w:pPr>
      <w:r>
        <w:rPr>
          <w:rFonts w:cs="Times New Roman"/>
          <w:lang w:val="en-US"/>
        </w:rPr>
        <w:t xml:space="preserve">Literature about innovation in public sector defines innovation as a bottom-up phenomenon, rather than a top-down one (Borins, 2001; Hartley 2005; Sorensen and Torfing, 2011; Szkuta et al., 2014). According to Borins (2001), the conditions that lead to public management innovation are: political system’s initiatives, new leadership, crisis, internal problems and new opportunities. Relating to the context considered by this study, a combination of previously mentioned innovation’s conditions could have contributed to the definition of a new scenario. Moreover, an innovative organization, even if it is a public institution, should take some risks becoming effective and quickly correcting and learning from its errors (Borins, 2001). </w:t>
      </w:r>
    </w:p>
    <w:p w14:paraId="0FED84F2" w14:textId="77777777" w:rsidR="00037A11" w:rsidRDefault="00037A11" w:rsidP="00A11C14">
      <w:pPr>
        <w:spacing w:line="480" w:lineRule="auto"/>
        <w:jc w:val="both"/>
        <w:rPr>
          <w:rFonts w:cs="Times New Roman"/>
          <w:lang w:val="en-US"/>
        </w:rPr>
      </w:pPr>
      <w:r>
        <w:rPr>
          <w:rFonts w:cs="Times New Roman"/>
          <w:lang w:val="en-US"/>
        </w:rPr>
        <w:t xml:space="preserve">Additionally, Hartley (2005) states that it is possible to distinguish among: product innovation (new products), service innovation (new ways to provide services to users), process innovation (new design of organizational process), position innovation (new contexts or users), strategic innovation (new goals), governance innovation (new ways of stakeholders engagement), and rhetorical innovation (new forms of communication). Furthermore, within public sector, innovation is needed when it contributes to increase public value quality and efficiency, in order to get the mission of the organization (Hartley, 2005). </w:t>
      </w:r>
    </w:p>
    <w:p w14:paraId="2611F0B6" w14:textId="7A22F4F2" w:rsidR="00037A11" w:rsidRDefault="00037A11" w:rsidP="00A11C14">
      <w:pPr>
        <w:spacing w:line="480" w:lineRule="auto"/>
        <w:jc w:val="both"/>
        <w:rPr>
          <w:rFonts w:cs="Times New Roman"/>
          <w:lang w:val="en-US"/>
        </w:rPr>
      </w:pPr>
      <w:r>
        <w:rPr>
          <w:rFonts w:cs="Times New Roman"/>
          <w:lang w:val="en-US"/>
        </w:rPr>
        <w:t>Besides, several scholars argue that public innovation in not determined by single-actors, but it needs collaborative interaction among private and public actors, like individuals, public authorities, private companies and nonprofit organizations (Csikszentmihalyi, 1997; Borins, 2001; Sorensen &amp; Torfing, 2011). Hence, collaboration is crucial for innovation, especially within public sector. According to Sorensen &amp; Torfing (2011), there are different strategies for collaboration: cultivation strategy (among employees), replication strategy (among public institutions), partnership strategy (between public and private organizations), network strategy (horizontal interaction among relevant actors in terms of expertise and resources), and open-source strategy (it produce</w:t>
      </w:r>
      <w:r w:rsidR="00A8613C">
        <w:rPr>
          <w:rFonts w:cs="Times New Roman"/>
          <w:lang w:val="en-US"/>
        </w:rPr>
        <w:t>s</w:t>
      </w:r>
      <w:r>
        <w:rPr>
          <w:rFonts w:cs="Times New Roman"/>
          <w:lang w:val="en-US"/>
        </w:rPr>
        <w:t xml:space="preserve"> innovation by the Internet, inviting co-creators to help solving a specific problem). Moreover, collaboration is based on tangible results for the stakeholders involved (Szkuta et al., 2014).</w:t>
      </w:r>
    </w:p>
    <w:p w14:paraId="194C43D2" w14:textId="77777777" w:rsidR="00037A11" w:rsidRDefault="00037A11" w:rsidP="00A11C14">
      <w:pPr>
        <w:spacing w:line="480" w:lineRule="auto"/>
        <w:jc w:val="both"/>
        <w:rPr>
          <w:rFonts w:cs="Times New Roman"/>
          <w:lang w:val="en-US"/>
        </w:rPr>
      </w:pPr>
      <w:r>
        <w:rPr>
          <w:rFonts w:cs="Times New Roman"/>
          <w:lang w:val="en-US"/>
        </w:rPr>
        <w:t xml:space="preserve">Considering the theoretical framework aforementioned, the study introduces the definition of crowdfunding </w:t>
      </w:r>
      <w:r w:rsidRPr="00577396">
        <w:rPr>
          <w:rFonts w:cs="Times New Roman"/>
          <w:lang w:val="en-US"/>
        </w:rPr>
        <w:t xml:space="preserve">as </w:t>
      </w:r>
      <w:r w:rsidRPr="00577396">
        <w:rPr>
          <w:rFonts w:cs="Times New Roman"/>
          <w:i/>
          <w:lang w:val="en-US"/>
        </w:rPr>
        <w:t>“an open call, essentially through the Internet, for the provision of financial resources either in</w:t>
      </w:r>
      <w:r>
        <w:rPr>
          <w:rFonts w:cs="Times New Roman"/>
          <w:i/>
          <w:lang w:val="en-US"/>
        </w:rPr>
        <w:t xml:space="preserve"> </w:t>
      </w:r>
      <w:r w:rsidRPr="00577396">
        <w:rPr>
          <w:rFonts w:cs="Times New Roman"/>
          <w:i/>
          <w:lang w:val="en-US"/>
        </w:rPr>
        <w:t>form of donations (without rewards) or in exchange for some form of reward and/or voting right in order to support initiatives for specific purposes”</w:t>
      </w:r>
      <w:r>
        <w:rPr>
          <w:rFonts w:cs="Times New Roman"/>
          <w:i/>
          <w:lang w:val="en-US"/>
        </w:rPr>
        <w:t xml:space="preserve"> </w:t>
      </w:r>
      <w:r>
        <w:rPr>
          <w:rFonts w:cs="Times New Roman"/>
          <w:lang w:val="en-US"/>
        </w:rPr>
        <w:t xml:space="preserve">(Lambert &amp; Schwienbacher; </w:t>
      </w:r>
      <w:r w:rsidRPr="00577396">
        <w:rPr>
          <w:rFonts w:cs="Times New Roman"/>
          <w:lang w:val="en-US"/>
        </w:rPr>
        <w:t>2010).</w:t>
      </w:r>
      <w:r>
        <w:rPr>
          <w:rFonts w:cs="Times New Roman"/>
          <w:lang w:val="en-US"/>
        </w:rPr>
        <w:t xml:space="preserve"> Hence, crowdfunding can be considered a co-creation tool, even within the public higher education sector.</w:t>
      </w:r>
    </w:p>
    <w:p w14:paraId="1DD290A1" w14:textId="1AC86502" w:rsidR="00037A11" w:rsidRDefault="00037A11" w:rsidP="00A11C14">
      <w:pPr>
        <w:spacing w:line="480" w:lineRule="auto"/>
        <w:jc w:val="both"/>
        <w:rPr>
          <w:rFonts w:cs="Times New Roman"/>
          <w:lang w:val="en-US"/>
        </w:rPr>
      </w:pPr>
      <w:r>
        <w:rPr>
          <w:rFonts w:cs="Times New Roman"/>
          <w:lang w:val="en-US"/>
        </w:rPr>
        <w:t>In 2006, Howe and Robinson introduced for the first time the term “crowdfunding”. For more than ten year several studies have been pro</w:t>
      </w:r>
      <w:r w:rsidR="003C1EA7">
        <w:rPr>
          <w:rFonts w:cs="Times New Roman"/>
          <w:lang w:val="en-US"/>
        </w:rPr>
        <w:t>po</w:t>
      </w:r>
      <w:r>
        <w:rPr>
          <w:rFonts w:cs="Times New Roman"/>
          <w:lang w:val="en-US"/>
        </w:rPr>
        <w:t xml:space="preserve">sed about this topic, which is relatively new and quite far to reach maturity in the academic context. According to Halaburda &amp; Yehezel (2016), crowdfunding can be defined as a two sided mediated market, within which three main actors operate: projects proponents, who seek capitals for different scopes, donors, who provide capitals to the proponents, and crowdfunding platforms, which are the intermediaries. </w:t>
      </w:r>
    </w:p>
    <w:p w14:paraId="320332F3" w14:textId="60F3331B" w:rsidR="00037A11" w:rsidRDefault="00037A11" w:rsidP="00A11C14">
      <w:pPr>
        <w:spacing w:line="480" w:lineRule="auto"/>
        <w:jc w:val="both"/>
        <w:rPr>
          <w:rFonts w:cs="Times New Roman"/>
          <w:lang w:val="en-US"/>
        </w:rPr>
      </w:pPr>
      <w:r>
        <w:rPr>
          <w:rFonts w:cs="Times New Roman"/>
          <w:lang w:val="en-US"/>
        </w:rPr>
        <w:t>The operating principle could be summarized as follows: through a public call, projects proponents submit their idea to the “crowd”, which is composed by a large pool of individuals, known as donors or funders. This call usually takes place on the Internet, t</w:t>
      </w:r>
      <w:r w:rsidR="00F41470">
        <w:rPr>
          <w:rFonts w:cs="Times New Roman"/>
          <w:lang w:val="en-US"/>
        </w:rPr>
        <w:t>h</w:t>
      </w:r>
      <w:r>
        <w:rPr>
          <w:rFonts w:cs="Times New Roman"/>
          <w:lang w:val="en-US"/>
        </w:rPr>
        <w:t>rough specific online platforms (</w:t>
      </w:r>
      <w:r w:rsidRPr="00106F30">
        <w:rPr>
          <w:rFonts w:cs="Times New Roman"/>
          <w:lang w:val="en-US"/>
        </w:rPr>
        <w:t>Kleeman et al., 2008; Schwienbacher &amp; Larralde, 2012</w:t>
      </w:r>
      <w:r>
        <w:rPr>
          <w:rFonts w:cs="Times New Roman"/>
          <w:lang w:val="en-US"/>
        </w:rPr>
        <w:t>; Belleflamme et al. 2013a</w:t>
      </w:r>
      <w:r w:rsidRPr="00106F30">
        <w:rPr>
          <w:rFonts w:cs="Times New Roman"/>
          <w:lang w:val="en-US"/>
        </w:rPr>
        <w:t>, Casadesus-Masanell &amp; Llanes, 2015</w:t>
      </w:r>
      <w:r>
        <w:rPr>
          <w:rFonts w:cs="Times New Roman"/>
          <w:lang w:val="en-US"/>
        </w:rPr>
        <w:t>). Once registered to the platform, project proponents should provide a description of the crowdfunding campaign, especially in terms of output and outcome, the goal (funding target) and, if needed, intermediate results. All these information should persuade potential donors to fund the project during the campaign. Usually, there is a minimum amount of money that a backer can send, but not a maximum. A crowdfunding projects lasts for a short time, usually some weeks. Moreover, platforms can have different operating rules: some of them let projects proponents to keep the money gathered only if the campaign reaches the goal or a certain</w:t>
      </w:r>
      <w:r w:rsidR="00E767B7">
        <w:rPr>
          <w:rFonts w:cs="Times New Roman"/>
          <w:lang w:val="en-US"/>
        </w:rPr>
        <w:t xml:space="preserve"> percentage of it; others allow</w:t>
      </w:r>
      <w:r>
        <w:rPr>
          <w:rFonts w:cs="Times New Roman"/>
          <w:lang w:val="en-US"/>
        </w:rPr>
        <w:t xml:space="preserve"> them keeping all the money raised during the call, ignoring the required budget fixed at the beginning of the project. The first type of platforms is called “all-or-nothing” model or “threshold pledge” model (Hemer, 2011), whereas the latter is known as “keep-it-all” model or “keep-what you get” model </w:t>
      </w:r>
      <w:r w:rsidRPr="005C5D90">
        <w:rPr>
          <w:rFonts w:cs="Times New Roman"/>
          <w:lang w:val="en-US"/>
        </w:rPr>
        <w:t>(Wash &amp; Solomon, 2014).</w:t>
      </w:r>
    </w:p>
    <w:p w14:paraId="3FC6728A" w14:textId="77777777" w:rsidR="00037A11" w:rsidRDefault="00037A11" w:rsidP="00A11C14">
      <w:pPr>
        <w:spacing w:line="480" w:lineRule="auto"/>
        <w:jc w:val="both"/>
        <w:rPr>
          <w:rFonts w:cs="Times New Roman"/>
          <w:color w:val="FF0000"/>
          <w:lang w:val="en-US"/>
        </w:rPr>
      </w:pPr>
      <w:r>
        <w:rPr>
          <w:rFonts w:cs="Times New Roman"/>
          <w:lang w:val="en-US"/>
        </w:rPr>
        <w:t xml:space="preserve">Furthermore, different types of crowdfunding platforms models have been identified: </w:t>
      </w:r>
      <w:r w:rsidRPr="00B474AF">
        <w:rPr>
          <w:rFonts w:cs="Times New Roman"/>
          <w:lang w:val="en-US"/>
        </w:rPr>
        <w:t>donation-based crowdfunding, reward-based crowdfunding, loan-based crowdfunding and equity-based crowdfunding (Giudici et al. 2012, Mollick, 2013).</w:t>
      </w:r>
      <w:r>
        <w:rPr>
          <w:rFonts w:cs="Times New Roman"/>
          <w:lang w:val="en-US"/>
        </w:rPr>
        <w:t xml:space="preserve"> For each of this model, a different level of involvement characterizes projects’ funders </w:t>
      </w:r>
      <w:r w:rsidRPr="00D92936">
        <w:rPr>
          <w:rFonts w:cs="Times New Roman"/>
          <w:lang w:val="en-US"/>
        </w:rPr>
        <w:t>(Schwienbacher &amp; Larralde, 2012</w:t>
      </w:r>
      <w:r>
        <w:rPr>
          <w:rFonts w:cs="Times New Roman"/>
          <w:lang w:val="en-US"/>
        </w:rPr>
        <w:t xml:space="preserve">). Relating to the equity model, backers are considered as shareholders who invest capitals in a business (usually an innovative one), hoping to receive dividends (Futko, 2014). Besides, within the loan-based model, funders lend their money to individual(s) who would not access to traditional debt institutions, expecting a repayment in term of interests (Meyskens &amp; Bird, 2015). In reward-based model, backers support projects in order to get a tangible or intangible benefit from the proponents (individuals or start-ups). Finally, the donation model considers donors as philanthropists who do not have any expectations for their support (Mollick, 2014). This is the crowdfunding platform model on which this study is focused in order to answer to the research questions aforementioned. </w:t>
      </w:r>
    </w:p>
    <w:p w14:paraId="3B24DEF1" w14:textId="2EA61FB0" w:rsidR="00037A11" w:rsidRDefault="00037A11" w:rsidP="00A11C14">
      <w:pPr>
        <w:spacing w:line="480" w:lineRule="auto"/>
        <w:jc w:val="both"/>
        <w:rPr>
          <w:rFonts w:cs="Times New Roman"/>
          <w:lang w:val="en-US"/>
        </w:rPr>
      </w:pPr>
      <w:r>
        <w:rPr>
          <w:rFonts w:cs="Times New Roman"/>
          <w:lang w:val="en-US"/>
        </w:rPr>
        <w:t>The main innovation introduced by crowdfunding is the possibility to open the funding support to a “crowd”, which is a wide group of funders, capable of providing a limited financial contribution to a single or defined set of projects. Moreover, within donation-based platforms, all those wealthy people who are willing to donate their money to a good cause, expecting no type of return, compose the “crowd” (Belleflamme et al., 2013b</w:t>
      </w:r>
      <w:r w:rsidRPr="00CB7EDE">
        <w:rPr>
          <w:rFonts w:cs="Times New Roman"/>
          <w:lang w:val="en-US"/>
        </w:rPr>
        <w:t>).</w:t>
      </w:r>
      <w:r>
        <w:rPr>
          <w:rFonts w:cs="Times New Roman"/>
          <w:lang w:val="en-US"/>
        </w:rPr>
        <w:t xml:space="preserve"> According to Meyskens &amp; Bird (2015), </w:t>
      </w:r>
      <w:r w:rsidR="00E767B7">
        <w:rPr>
          <w:rFonts w:cs="Times New Roman"/>
          <w:lang w:val="en-US"/>
        </w:rPr>
        <w:t xml:space="preserve">the </w:t>
      </w:r>
      <w:r>
        <w:rPr>
          <w:rFonts w:cs="Times New Roman"/>
          <w:lang w:val="en-US"/>
        </w:rPr>
        <w:t>donation-based model creates high social value, but low economic value. Indeed, donors are not interested in generating income, since they are focused on the social benefit created by their donations. On this basis, this model is suitable for public universities funding, especially t</w:t>
      </w:r>
      <w:r w:rsidR="004535DA">
        <w:rPr>
          <w:rFonts w:cs="Times New Roman"/>
          <w:lang w:val="en-US"/>
        </w:rPr>
        <w:t>o support r</w:t>
      </w:r>
      <w:r>
        <w:rPr>
          <w:rFonts w:cs="Times New Roman"/>
          <w:lang w:val="en-US"/>
        </w:rPr>
        <w:t xml:space="preserve">esearch function. Therefore, crowdfunding could be the tool through which higher education institutions can engage a larger “crowd”, by encouraging transparency and accountability (Wheat et al., 2013). This is the way to reduce distance between scientists and nonscientists, involving the latter in the university and research value creation process. </w:t>
      </w:r>
    </w:p>
    <w:p w14:paraId="10898FFB" w14:textId="77777777" w:rsidR="00037A11" w:rsidRDefault="00037A11" w:rsidP="00A11C14">
      <w:pPr>
        <w:spacing w:line="480" w:lineRule="auto"/>
        <w:jc w:val="both"/>
        <w:rPr>
          <w:rFonts w:cs="Times New Roman"/>
          <w:b/>
          <w:lang w:val="en-US"/>
        </w:rPr>
      </w:pPr>
    </w:p>
    <w:p w14:paraId="08654E27" w14:textId="77777777" w:rsidR="00037A11" w:rsidRDefault="00037A11" w:rsidP="00A11C14">
      <w:pPr>
        <w:spacing w:line="480" w:lineRule="auto"/>
        <w:jc w:val="both"/>
        <w:rPr>
          <w:rFonts w:cs="Times New Roman"/>
          <w:b/>
          <w:lang w:val="en-US"/>
        </w:rPr>
      </w:pPr>
      <w:r>
        <w:rPr>
          <w:rFonts w:cs="Times New Roman"/>
          <w:b/>
          <w:lang w:val="en-US"/>
        </w:rPr>
        <w:t>5.3 Methodology</w:t>
      </w:r>
    </w:p>
    <w:p w14:paraId="3173E9F6" w14:textId="2566CFA7" w:rsidR="00037A11" w:rsidRPr="001835F4" w:rsidRDefault="00037A11" w:rsidP="00A11C14">
      <w:pPr>
        <w:spacing w:line="480" w:lineRule="auto"/>
        <w:jc w:val="both"/>
        <w:rPr>
          <w:rFonts w:cs="Times New Roman"/>
        </w:rPr>
      </w:pPr>
      <w:r w:rsidRPr="001835F4">
        <w:rPr>
          <w:rFonts w:cs="Times New Roman"/>
          <w:lang w:val="en-US"/>
        </w:rPr>
        <w:t>From the epistemological</w:t>
      </w:r>
      <w:r>
        <w:rPr>
          <w:rFonts w:cs="Times New Roman"/>
          <w:lang w:val="en-US"/>
        </w:rPr>
        <w:t xml:space="preserve"> point of view, this study is based on an interpretative approach, fitting with qualitative studies </w:t>
      </w:r>
      <w:r w:rsidRPr="001835F4">
        <w:rPr>
          <w:rFonts w:cs="Times New Roman"/>
        </w:rPr>
        <w:t>(Fattore</w:t>
      </w:r>
      <w:r>
        <w:rPr>
          <w:rFonts w:cs="Times New Roman"/>
        </w:rPr>
        <w:t>,</w:t>
      </w:r>
      <w:r w:rsidRPr="001835F4">
        <w:rPr>
          <w:rFonts w:cs="Times New Roman"/>
        </w:rPr>
        <w:t xml:space="preserve"> 2005). </w:t>
      </w:r>
      <w:r w:rsidRPr="009C6D6B">
        <w:rPr>
          <w:rFonts w:cs="Times New Roman"/>
          <w:lang w:val="en-US"/>
        </w:rPr>
        <w:t xml:space="preserve">The empirical analysis is focused on an explorative </w:t>
      </w:r>
      <w:r>
        <w:rPr>
          <w:rFonts w:cs="Times New Roman"/>
          <w:lang w:val="en-US"/>
        </w:rPr>
        <w:t xml:space="preserve">case </w:t>
      </w:r>
      <w:r w:rsidRPr="009C6D6B">
        <w:rPr>
          <w:rFonts w:cs="Times New Roman"/>
          <w:lang w:val="en-US"/>
        </w:rPr>
        <w:t xml:space="preserve">study: this method allows to </w:t>
      </w:r>
      <w:r>
        <w:rPr>
          <w:rFonts w:cs="Times New Roman"/>
          <w:lang w:val="en-US"/>
        </w:rPr>
        <w:t>get a deepen knowledge and awareness about</w:t>
      </w:r>
      <w:r w:rsidRPr="009C6D6B">
        <w:rPr>
          <w:rFonts w:cs="Times New Roman"/>
          <w:lang w:val="en-US"/>
        </w:rPr>
        <w:t xml:space="preserve"> the context of analysis.  </w:t>
      </w:r>
      <w:r w:rsidRPr="00AA4180">
        <w:rPr>
          <w:rFonts w:cs="Times New Roman"/>
          <w:lang w:val="en-US"/>
        </w:rPr>
        <w:t>Moreover, it enable</w:t>
      </w:r>
      <w:r>
        <w:rPr>
          <w:rFonts w:cs="Times New Roman"/>
          <w:lang w:val="en-US"/>
        </w:rPr>
        <w:t>s</w:t>
      </w:r>
      <w:r w:rsidRPr="00AA4180">
        <w:rPr>
          <w:rFonts w:cs="Times New Roman"/>
          <w:lang w:val="en-US"/>
        </w:rPr>
        <w:t xml:space="preserve"> to </w:t>
      </w:r>
      <w:r>
        <w:rPr>
          <w:rFonts w:cs="Times New Roman"/>
          <w:lang w:val="en-US"/>
        </w:rPr>
        <w:t>investigate situations</w:t>
      </w:r>
      <w:r w:rsidRPr="00AA4180">
        <w:rPr>
          <w:rFonts w:cs="Times New Roman"/>
          <w:lang w:val="en-US"/>
        </w:rPr>
        <w:t xml:space="preserve"> characterized by the fact that there is not a clear distinction between </w:t>
      </w:r>
      <w:r w:rsidR="00277702">
        <w:rPr>
          <w:rFonts w:cs="Times New Roman"/>
          <w:lang w:val="en-US"/>
        </w:rPr>
        <w:t xml:space="preserve">the </w:t>
      </w:r>
      <w:r w:rsidRPr="00AA4180">
        <w:rPr>
          <w:rFonts w:cs="Times New Roman"/>
          <w:lang w:val="en-US"/>
        </w:rPr>
        <w:t xml:space="preserve">context and </w:t>
      </w:r>
      <w:r w:rsidR="00277702">
        <w:rPr>
          <w:rFonts w:cs="Times New Roman"/>
          <w:lang w:val="en-US"/>
        </w:rPr>
        <w:t xml:space="preserve">the </w:t>
      </w:r>
      <w:r w:rsidRPr="00AA4180">
        <w:rPr>
          <w:rFonts w:cs="Times New Roman"/>
          <w:lang w:val="en-US"/>
        </w:rPr>
        <w:t xml:space="preserve">phenomenon, which is the subject of the research. </w:t>
      </w:r>
      <w:r w:rsidRPr="001835F4">
        <w:rPr>
          <w:rFonts w:cs="Times New Roman"/>
        </w:rPr>
        <w:t xml:space="preserve">(Yin 2003). </w:t>
      </w:r>
    </w:p>
    <w:p w14:paraId="46E35A42" w14:textId="74390724" w:rsidR="00037A11" w:rsidRDefault="00037A11" w:rsidP="00A11C14">
      <w:pPr>
        <w:spacing w:line="480" w:lineRule="auto"/>
        <w:jc w:val="both"/>
        <w:rPr>
          <w:rFonts w:cs="Times New Roman"/>
          <w:lang w:val="en-US"/>
        </w:rPr>
      </w:pPr>
      <w:r w:rsidRPr="00DE2219">
        <w:rPr>
          <w:rFonts w:cs="Times New Roman"/>
          <w:lang w:val="en-US"/>
        </w:rPr>
        <w:t>This</w:t>
      </w:r>
      <w:r>
        <w:rPr>
          <w:rFonts w:cs="Times New Roman"/>
          <w:lang w:val="en-US"/>
        </w:rPr>
        <w:t xml:space="preserve"> study analyzes the case </w:t>
      </w:r>
      <w:r w:rsidRPr="00DE2219">
        <w:rPr>
          <w:rFonts w:cs="Times New Roman"/>
          <w:lang w:val="en-US"/>
        </w:rPr>
        <w:t>study of an Italian un</w:t>
      </w:r>
      <w:r>
        <w:rPr>
          <w:rFonts w:cs="Times New Roman"/>
          <w:lang w:val="en-US"/>
        </w:rPr>
        <w:t xml:space="preserve">iversity, which is </w:t>
      </w:r>
      <w:r w:rsidR="00277702">
        <w:rPr>
          <w:rFonts w:cs="Times New Roman"/>
          <w:lang w:val="en-US"/>
        </w:rPr>
        <w:t xml:space="preserve">the </w:t>
      </w:r>
      <w:r>
        <w:rPr>
          <w:rFonts w:cs="Times New Roman"/>
          <w:lang w:val="en-US"/>
        </w:rPr>
        <w:t>University of Pavia</w:t>
      </w:r>
      <w:r w:rsidRPr="00DE2219">
        <w:rPr>
          <w:rFonts w:cs="Times New Roman"/>
          <w:lang w:val="en-US"/>
        </w:rPr>
        <w:t>.</w:t>
      </w:r>
      <w:r>
        <w:rPr>
          <w:rFonts w:cs="Times New Roman"/>
        </w:rPr>
        <w:t xml:space="preserve"> </w:t>
      </w:r>
      <w:r w:rsidRPr="00DE2219">
        <w:rPr>
          <w:rFonts w:cs="Times New Roman"/>
          <w:lang w:val="en-US"/>
        </w:rPr>
        <w:t>It was chosen because it is the only</w:t>
      </w:r>
      <w:r>
        <w:rPr>
          <w:rFonts w:cs="Times New Roman"/>
          <w:lang w:val="en-US"/>
        </w:rPr>
        <w:t xml:space="preserve"> and the first public</w:t>
      </w:r>
      <w:r w:rsidRPr="00DE2219">
        <w:rPr>
          <w:rFonts w:cs="Times New Roman"/>
          <w:lang w:val="en-US"/>
        </w:rPr>
        <w:t xml:space="preserve"> university that has developed its own crowdfunding platform</w:t>
      </w:r>
      <w:r>
        <w:rPr>
          <w:rFonts w:cs="Times New Roman"/>
          <w:lang w:val="en-US"/>
        </w:rPr>
        <w:t xml:space="preserve"> (donation based) in Italy and in Europe, in addition to be one of the firsts in the world. Moreover, this platform is totally in-house managed by the professional fundraising university’s staff, which is supervised by the Delegate of the university’s President. Only 10% of Italian universities have a Fundraising Delegate for the President. Moreover, 62% of them have a professional staff dealing with fundraising issues. Nonetheless, most of them handle all the process linked with the competition announcements at regional, national and European level, supporting researchers with all bureaucratic issues regarding the funds’ appropriation. </w:t>
      </w:r>
    </w:p>
    <w:p w14:paraId="1B0A724A" w14:textId="230A0582" w:rsidR="00037A11" w:rsidRDefault="00037A11" w:rsidP="00A11C14">
      <w:pPr>
        <w:spacing w:line="480" w:lineRule="auto"/>
        <w:jc w:val="both"/>
        <w:rPr>
          <w:rFonts w:cs="Times New Roman"/>
        </w:rPr>
      </w:pPr>
      <w:r>
        <w:rPr>
          <w:rFonts w:cs="Times New Roman"/>
          <w:lang w:val="en-US"/>
        </w:rPr>
        <w:t xml:space="preserve">When, in 2014, University of Pavia’s President decided to develop a </w:t>
      </w:r>
      <w:r w:rsidR="008003A2">
        <w:rPr>
          <w:rFonts w:cs="Times New Roman"/>
          <w:lang w:val="en-US"/>
        </w:rPr>
        <w:t>donation-based and</w:t>
      </w:r>
      <w:r>
        <w:rPr>
          <w:rFonts w:cs="Times New Roman"/>
          <w:lang w:val="en-US"/>
        </w:rPr>
        <w:t xml:space="preserve"> totally in house managed crowdfunding platform</w:t>
      </w:r>
      <w:r w:rsidR="00521051">
        <w:rPr>
          <w:rFonts w:cs="Times New Roman"/>
          <w:lang w:val="en-US"/>
        </w:rPr>
        <w:t>,</w:t>
      </w:r>
      <w:r>
        <w:rPr>
          <w:rFonts w:cs="Times New Roman"/>
          <w:lang w:val="en-US"/>
        </w:rPr>
        <w:t xml:space="preserve"> that was a pioneer strategic decision. In fact, in the following years, crowdfunding sector developed fast and with outstanding results in term of money raised. Till the end of 2017, Italian platforms have gathered </w:t>
      </w:r>
      <w:r w:rsidRPr="006E3C14">
        <w:rPr>
          <w:rFonts w:cs="Times New Roman"/>
        </w:rPr>
        <w:t>€ 133.197.153,17</w:t>
      </w:r>
      <w:r>
        <w:rPr>
          <w:rFonts w:cs="Times New Roman"/>
        </w:rPr>
        <w:t xml:space="preserve">, </w:t>
      </w:r>
      <w:r w:rsidRPr="006E3C14">
        <w:rPr>
          <w:rFonts w:cs="Times New Roman"/>
          <w:lang w:val="en-US"/>
        </w:rPr>
        <w:t>supporting 15.915 projects</w:t>
      </w:r>
      <w:r>
        <w:rPr>
          <w:rFonts w:cs="Times New Roman"/>
          <w:lang w:val="en-US"/>
        </w:rPr>
        <w:t>. Moreover, donation and reward platforms are the most numerous in the Italian context, with the highest number of funded projects (8.515). Within crowdfunding context, donation and reward based platforms are the second in term of funds raised till the end of 2017 (€ 34.224.746) (Starteed, 2018).</w:t>
      </w:r>
    </w:p>
    <w:p w14:paraId="7ACF5254" w14:textId="77777777" w:rsidR="00037A11" w:rsidRDefault="00037A11" w:rsidP="00A11C14">
      <w:pPr>
        <w:spacing w:line="480" w:lineRule="auto"/>
        <w:jc w:val="both"/>
        <w:rPr>
          <w:rFonts w:cs="Times New Roman"/>
          <w:lang w:val="en-US"/>
        </w:rPr>
      </w:pPr>
      <w:r w:rsidRPr="000D3C4A">
        <w:rPr>
          <w:rFonts w:cs="Times New Roman"/>
          <w:lang w:val="en-US"/>
        </w:rPr>
        <w:t>Furthermore, considering the theoretical framework afore</w:t>
      </w:r>
      <w:r>
        <w:rPr>
          <w:rFonts w:cs="Times New Roman"/>
          <w:lang w:val="en-US"/>
        </w:rPr>
        <w:t xml:space="preserve">mentioned, the case </w:t>
      </w:r>
      <w:r w:rsidRPr="000D3C4A">
        <w:rPr>
          <w:rFonts w:cs="Times New Roman"/>
          <w:lang w:val="en-US"/>
        </w:rPr>
        <w:t>study is particularly interesting because of the role of its stakeholder</w:t>
      </w:r>
      <w:r>
        <w:rPr>
          <w:rFonts w:cs="Times New Roman"/>
          <w:lang w:val="en-US"/>
        </w:rPr>
        <w:t>s</w:t>
      </w:r>
      <w:r w:rsidRPr="000D3C4A">
        <w:rPr>
          <w:rFonts w:cs="Times New Roman"/>
          <w:lang w:val="en-US"/>
        </w:rPr>
        <w:t xml:space="preserve"> in the value creation process. First of all,</w:t>
      </w:r>
      <w:r>
        <w:rPr>
          <w:rFonts w:cs="Times New Roman"/>
          <w:lang w:val="en-US"/>
        </w:rPr>
        <w:t xml:space="preserve"> University of Pavia has organized more than 80 “public engagement events”, from the end of 2014 to the end of 2017. These events are linked to both on-line crowdfunding campaigns, with the aim to promote them, and to more general fundraising scopes, in order to get money for good causes.</w:t>
      </w:r>
    </w:p>
    <w:p w14:paraId="7E964B5C" w14:textId="329F2140" w:rsidR="00037A11" w:rsidRDefault="00037A11" w:rsidP="00A11C14">
      <w:pPr>
        <w:spacing w:line="480" w:lineRule="auto"/>
        <w:jc w:val="both"/>
        <w:rPr>
          <w:rFonts w:cs="Times New Roman"/>
          <w:lang w:val="en-US"/>
        </w:rPr>
      </w:pPr>
      <w:r>
        <w:rPr>
          <w:rFonts w:cs="Times New Roman"/>
          <w:lang w:val="en-US"/>
        </w:rPr>
        <w:t>Besides, the crowdfunding platform of University of Pavia, called Universitiamo, has been able to involve 2.464 donors (data refers to the end of 2017): they are individuals, private companies, public authorities and non-profit organizations. Since 2014, all they contribute to gathe</w:t>
      </w:r>
      <w:r w:rsidR="00D675A1">
        <w:rPr>
          <w:rFonts w:cs="Times New Roman"/>
          <w:lang w:val="en-US"/>
        </w:rPr>
        <w:t>r € 533.079, supporting mainly r</w:t>
      </w:r>
      <w:r>
        <w:rPr>
          <w:rFonts w:cs="Times New Roman"/>
          <w:lang w:val="en-US"/>
        </w:rPr>
        <w:t>esearch fun</w:t>
      </w:r>
      <w:r w:rsidR="00147F83">
        <w:rPr>
          <w:rFonts w:cs="Times New Roman"/>
          <w:lang w:val="en-US"/>
        </w:rPr>
        <w:t>ction and, to a lesser extent, outreach and t</w:t>
      </w:r>
      <w:r>
        <w:rPr>
          <w:rFonts w:cs="Times New Roman"/>
          <w:lang w:val="en-US"/>
        </w:rPr>
        <w:t xml:space="preserve">eaching. Moreover, according to Starteed Report (2018), within 46 donation and reward platforms, </w:t>
      </w:r>
      <w:r w:rsidR="00147F83">
        <w:rPr>
          <w:rFonts w:cs="Times New Roman"/>
          <w:lang w:val="en-US"/>
        </w:rPr>
        <w:t xml:space="preserve">the </w:t>
      </w:r>
      <w:r>
        <w:rPr>
          <w:rFonts w:cs="Times New Roman"/>
          <w:lang w:val="en-US"/>
        </w:rPr>
        <w:t xml:space="preserve">University of Pavia is the tenth in term of money raised till the end of 2017. </w:t>
      </w:r>
    </w:p>
    <w:p w14:paraId="66D60985" w14:textId="7F93884B" w:rsidR="00037A11" w:rsidRDefault="00037A11" w:rsidP="00A11C14">
      <w:pPr>
        <w:spacing w:line="480" w:lineRule="auto"/>
        <w:jc w:val="both"/>
        <w:rPr>
          <w:rFonts w:cs="Times New Roman"/>
          <w:lang w:val="en-US"/>
        </w:rPr>
      </w:pPr>
      <w:r>
        <w:rPr>
          <w:rFonts w:cs="Times New Roman"/>
          <w:lang w:val="en-US"/>
        </w:rPr>
        <w:t>The empirical analysis is in</w:t>
      </w:r>
      <w:r w:rsidR="00147F83">
        <w:rPr>
          <w:rFonts w:cs="Times New Roman"/>
          <w:lang w:val="en-US"/>
        </w:rPr>
        <w:t>tegrated by two semi-structured and</w:t>
      </w:r>
      <w:r>
        <w:rPr>
          <w:rFonts w:cs="Times New Roman"/>
          <w:lang w:val="en-US"/>
        </w:rPr>
        <w:t xml:space="preserve"> face-to-face interviews, in order to understand the state of the art of the fundraising and crowdfunding culture within </w:t>
      </w:r>
      <w:r w:rsidR="00147F83">
        <w:rPr>
          <w:rFonts w:cs="Times New Roman"/>
          <w:lang w:val="en-US"/>
        </w:rPr>
        <w:t xml:space="preserve">the </w:t>
      </w:r>
      <w:r>
        <w:rPr>
          <w:rFonts w:cs="Times New Roman"/>
          <w:lang w:val="en-US"/>
        </w:rPr>
        <w:t xml:space="preserve">University of Pavia’s context (Cardano, 2002). The interviews lasted twenty minutes on average and they have been recorded with the interviewees’ permission. On this basis, it was possible to get clear and precise information (Corbetta, 2003). </w:t>
      </w:r>
    </w:p>
    <w:p w14:paraId="3C383252" w14:textId="77777777" w:rsidR="00037A11" w:rsidRDefault="00037A11" w:rsidP="00A11C14">
      <w:pPr>
        <w:spacing w:line="480" w:lineRule="auto"/>
        <w:jc w:val="both"/>
        <w:rPr>
          <w:rFonts w:cs="Times New Roman"/>
          <w:lang w:val="en-US"/>
        </w:rPr>
      </w:pPr>
      <w:r>
        <w:rPr>
          <w:rFonts w:cs="Times New Roman"/>
          <w:lang w:val="en-US"/>
        </w:rPr>
        <w:t xml:space="preserve">Data provided by these interviews have been processed by content analysis methodology, which allows obtaining significant information from textual sources (Neundorf, 2016). It is articulated in several phases and it has to be based on a conceptual structure with a well-designed research hypothesis. Hence, in the preliminary stage of the analysis process it is required to formulate all the questions of the interview, taking into consideration the literature about the research topic (Krippendorff, 2004). </w:t>
      </w:r>
    </w:p>
    <w:p w14:paraId="52EF490E" w14:textId="77777777" w:rsidR="00037A11" w:rsidRDefault="00037A11" w:rsidP="00A11C14">
      <w:pPr>
        <w:spacing w:line="480" w:lineRule="auto"/>
        <w:jc w:val="both"/>
        <w:rPr>
          <w:rFonts w:cs="Times New Roman"/>
          <w:lang w:val="en-US"/>
        </w:rPr>
      </w:pPr>
      <w:r>
        <w:rPr>
          <w:rFonts w:cs="Times New Roman"/>
          <w:lang w:val="en-US"/>
        </w:rPr>
        <w:t>The first person to be interviewed is the President’s Institutional Fundraising Delegate, Professor Arianna Arisi Rota, who answered to these questions:</w:t>
      </w:r>
    </w:p>
    <w:p w14:paraId="40D2930D" w14:textId="14184AC6" w:rsidR="00037A11" w:rsidRDefault="00037A11" w:rsidP="00A11C14">
      <w:pPr>
        <w:pStyle w:val="Paragrafoelenco"/>
        <w:widowControl/>
        <w:numPr>
          <w:ilvl w:val="0"/>
          <w:numId w:val="18"/>
        </w:numPr>
        <w:suppressAutoHyphens w:val="0"/>
        <w:spacing w:line="480" w:lineRule="auto"/>
        <w:jc w:val="both"/>
        <w:rPr>
          <w:rFonts w:cs="Times New Roman"/>
          <w:lang w:val="en-US"/>
        </w:rPr>
      </w:pPr>
      <w:r>
        <w:rPr>
          <w:rFonts w:cs="Times New Roman"/>
          <w:lang w:val="en-US"/>
        </w:rPr>
        <w:t xml:space="preserve">What are the stages of fundraising and crowdfunding process run in </w:t>
      </w:r>
      <w:r w:rsidR="00147F83">
        <w:rPr>
          <w:rFonts w:cs="Times New Roman"/>
          <w:lang w:val="en-US"/>
        </w:rPr>
        <w:t xml:space="preserve">the </w:t>
      </w:r>
      <w:r>
        <w:rPr>
          <w:rFonts w:cs="Times New Roman"/>
          <w:lang w:val="en-US"/>
        </w:rPr>
        <w:t xml:space="preserve">University of Pavia? Which is the output of this process and </w:t>
      </w:r>
      <w:r w:rsidR="00147F83">
        <w:rPr>
          <w:rFonts w:cs="Times New Roman"/>
          <w:lang w:val="en-US"/>
        </w:rPr>
        <w:t>are there</w:t>
      </w:r>
      <w:r>
        <w:rPr>
          <w:rFonts w:cs="Times New Roman"/>
          <w:lang w:val="en-US"/>
        </w:rPr>
        <w:t xml:space="preserve"> some key performance indicators used by governance to measure and control it?</w:t>
      </w:r>
    </w:p>
    <w:p w14:paraId="696021F4" w14:textId="70BB8329" w:rsidR="00037A11" w:rsidRDefault="00037A11" w:rsidP="00A11C14">
      <w:pPr>
        <w:pStyle w:val="Paragrafoelenco"/>
        <w:widowControl/>
        <w:numPr>
          <w:ilvl w:val="0"/>
          <w:numId w:val="18"/>
        </w:numPr>
        <w:suppressAutoHyphens w:val="0"/>
        <w:spacing w:line="480" w:lineRule="auto"/>
        <w:jc w:val="both"/>
        <w:rPr>
          <w:rFonts w:cs="Times New Roman"/>
          <w:lang w:val="en-US"/>
        </w:rPr>
      </w:pPr>
      <w:r>
        <w:rPr>
          <w:rFonts w:cs="Times New Roman"/>
          <w:lang w:val="en-US"/>
        </w:rPr>
        <w:t xml:space="preserve">Which is the university’s function to which fundraising and crowdfunding activities is dedicated </w:t>
      </w:r>
      <w:r w:rsidR="00E829DC">
        <w:rPr>
          <w:rFonts w:cs="Times New Roman"/>
          <w:lang w:val="en-US"/>
        </w:rPr>
        <w:t>(research, teaching, o</w:t>
      </w:r>
      <w:r>
        <w:rPr>
          <w:rFonts w:cs="Times New Roman"/>
          <w:lang w:val="en-US"/>
        </w:rPr>
        <w:t>utreach)? Are there some criteria to distribute these resources?</w:t>
      </w:r>
    </w:p>
    <w:p w14:paraId="28036B61" w14:textId="77777777" w:rsidR="00037A11" w:rsidRPr="00FA7FEE" w:rsidRDefault="00037A11" w:rsidP="00A11C14">
      <w:pPr>
        <w:pStyle w:val="Paragrafoelenco"/>
        <w:widowControl/>
        <w:numPr>
          <w:ilvl w:val="0"/>
          <w:numId w:val="18"/>
        </w:numPr>
        <w:suppressAutoHyphens w:val="0"/>
        <w:spacing w:line="480" w:lineRule="auto"/>
        <w:jc w:val="both"/>
        <w:rPr>
          <w:rFonts w:cs="Times New Roman"/>
          <w:lang w:val="en-US"/>
        </w:rPr>
      </w:pPr>
      <w:r>
        <w:rPr>
          <w:rFonts w:cs="Times New Roman"/>
          <w:lang w:val="en-US"/>
        </w:rPr>
        <w:t>What outcomes have been achieved from fundraising and crowdfunding point of view? Is crowdfunding a useful tool to support university’s mission and a sustainable development?</w:t>
      </w:r>
    </w:p>
    <w:p w14:paraId="263B24A2" w14:textId="77777777" w:rsidR="00037A11" w:rsidRDefault="00037A11" w:rsidP="00A11C14">
      <w:pPr>
        <w:spacing w:line="480" w:lineRule="auto"/>
        <w:jc w:val="both"/>
        <w:rPr>
          <w:rFonts w:cs="Times New Roman"/>
          <w:lang w:val="en-US"/>
        </w:rPr>
      </w:pPr>
      <w:r>
        <w:rPr>
          <w:rFonts w:cs="Times New Roman"/>
          <w:lang w:val="en-US"/>
        </w:rPr>
        <w:t>The second interviewee is the Fundraising and Promotion activities Manager, Ilaria Cabrini, who answered to the following questions:</w:t>
      </w:r>
    </w:p>
    <w:p w14:paraId="45F91DC3" w14:textId="64A3A6AA" w:rsidR="00037A11" w:rsidRDefault="00037A11" w:rsidP="00A11C14">
      <w:pPr>
        <w:pStyle w:val="Paragrafoelenco"/>
        <w:widowControl/>
        <w:numPr>
          <w:ilvl w:val="0"/>
          <w:numId w:val="19"/>
        </w:numPr>
        <w:suppressAutoHyphens w:val="0"/>
        <w:spacing w:line="480" w:lineRule="auto"/>
        <w:jc w:val="both"/>
        <w:rPr>
          <w:rFonts w:cs="Times New Roman"/>
          <w:lang w:val="en-US"/>
        </w:rPr>
      </w:pPr>
      <w:r>
        <w:rPr>
          <w:rFonts w:cs="Times New Roman"/>
          <w:lang w:val="en-US"/>
        </w:rPr>
        <w:t xml:space="preserve">Which are the main features of </w:t>
      </w:r>
      <w:r w:rsidR="00E829DC">
        <w:rPr>
          <w:rFonts w:cs="Times New Roman"/>
          <w:lang w:val="en-US"/>
        </w:rPr>
        <w:t xml:space="preserve">the </w:t>
      </w:r>
      <w:r>
        <w:rPr>
          <w:rFonts w:cs="Times New Roman"/>
          <w:lang w:val="en-US"/>
        </w:rPr>
        <w:t>University of Pavia’s crowdfunding platform (Universitiamo)?</w:t>
      </w:r>
    </w:p>
    <w:p w14:paraId="00F7A38D" w14:textId="77777777" w:rsidR="00037A11" w:rsidRDefault="00037A11" w:rsidP="00A11C14">
      <w:pPr>
        <w:pStyle w:val="Paragrafoelenco"/>
        <w:widowControl/>
        <w:numPr>
          <w:ilvl w:val="0"/>
          <w:numId w:val="19"/>
        </w:numPr>
        <w:suppressAutoHyphens w:val="0"/>
        <w:spacing w:line="480" w:lineRule="auto"/>
        <w:jc w:val="both"/>
        <w:rPr>
          <w:rFonts w:cs="Times New Roman"/>
          <w:lang w:val="en-US"/>
        </w:rPr>
      </w:pPr>
      <w:r>
        <w:rPr>
          <w:rFonts w:cs="Times New Roman"/>
          <w:lang w:val="en-US"/>
        </w:rPr>
        <w:t>Which are the main strengths of this platform? And the main weaknesses?</w:t>
      </w:r>
    </w:p>
    <w:p w14:paraId="374A064E" w14:textId="74D94D6A" w:rsidR="00037A11" w:rsidRDefault="00037A11" w:rsidP="00A11C14">
      <w:pPr>
        <w:pStyle w:val="Paragrafoelenco"/>
        <w:widowControl/>
        <w:numPr>
          <w:ilvl w:val="0"/>
          <w:numId w:val="19"/>
        </w:numPr>
        <w:suppressAutoHyphens w:val="0"/>
        <w:spacing w:line="480" w:lineRule="auto"/>
        <w:jc w:val="both"/>
        <w:rPr>
          <w:rFonts w:cs="Times New Roman"/>
          <w:lang w:val="en-US"/>
        </w:rPr>
      </w:pPr>
      <w:r>
        <w:rPr>
          <w:rFonts w:cs="Times New Roman"/>
          <w:lang w:val="en-US"/>
        </w:rPr>
        <w:t>Does the platform support a specific fu</w:t>
      </w:r>
      <w:r w:rsidR="00E829DC">
        <w:rPr>
          <w:rFonts w:cs="Times New Roman"/>
          <w:lang w:val="en-US"/>
        </w:rPr>
        <w:t>nction of the university, like research, rather than teaching and o</w:t>
      </w:r>
      <w:r>
        <w:rPr>
          <w:rFonts w:cs="Times New Roman"/>
          <w:lang w:val="en-US"/>
        </w:rPr>
        <w:t>utreach? Are there topics that are more donors’ appealing than others? Why?</w:t>
      </w:r>
    </w:p>
    <w:p w14:paraId="2DE0AD03" w14:textId="77777777" w:rsidR="00037A11" w:rsidRDefault="00037A11" w:rsidP="00A11C14">
      <w:pPr>
        <w:pStyle w:val="Paragrafoelenco"/>
        <w:widowControl/>
        <w:numPr>
          <w:ilvl w:val="0"/>
          <w:numId w:val="19"/>
        </w:numPr>
        <w:suppressAutoHyphens w:val="0"/>
        <w:spacing w:line="480" w:lineRule="auto"/>
        <w:jc w:val="both"/>
        <w:rPr>
          <w:rFonts w:cs="Times New Roman"/>
          <w:lang w:val="en-US"/>
        </w:rPr>
      </w:pPr>
      <w:r>
        <w:rPr>
          <w:rFonts w:cs="Times New Roman"/>
          <w:lang w:val="en-US"/>
        </w:rPr>
        <w:t>Which efforts should projects’ leaders do in order to reach the goal?</w:t>
      </w:r>
    </w:p>
    <w:p w14:paraId="1F5A26C1" w14:textId="77777777" w:rsidR="00037A11" w:rsidRPr="003A4684" w:rsidRDefault="00037A11" w:rsidP="00A11C14">
      <w:pPr>
        <w:pStyle w:val="Paragrafoelenco"/>
        <w:widowControl/>
        <w:numPr>
          <w:ilvl w:val="0"/>
          <w:numId w:val="19"/>
        </w:numPr>
        <w:suppressAutoHyphens w:val="0"/>
        <w:spacing w:line="480" w:lineRule="auto"/>
        <w:jc w:val="both"/>
        <w:rPr>
          <w:rFonts w:cs="Times New Roman"/>
          <w:lang w:val="en-US"/>
        </w:rPr>
      </w:pPr>
      <w:r>
        <w:rPr>
          <w:rFonts w:cs="Times New Roman"/>
          <w:lang w:val="en-US"/>
        </w:rPr>
        <w:t xml:space="preserve"> Does the university report the results got by Universitiamo to its stakeholders and donors’?</w:t>
      </w:r>
    </w:p>
    <w:p w14:paraId="608D8BB5" w14:textId="2FB1C27A" w:rsidR="00037A11" w:rsidRDefault="00037A11" w:rsidP="00A11C14">
      <w:pPr>
        <w:spacing w:line="480" w:lineRule="auto"/>
        <w:jc w:val="both"/>
        <w:rPr>
          <w:rFonts w:cs="Times New Roman"/>
          <w:lang w:val="en-US"/>
        </w:rPr>
      </w:pPr>
      <w:r>
        <w:rPr>
          <w:rFonts w:cs="Times New Roman"/>
          <w:lang w:val="en-US"/>
        </w:rPr>
        <w:t>The questions are the input of the content analysis delivered by this chapter. The process starts from the analysis of the answers and it</w:t>
      </w:r>
      <w:r w:rsidR="006363F3">
        <w:rPr>
          <w:rFonts w:cs="Times New Roman"/>
          <w:lang w:val="en-US"/>
        </w:rPr>
        <w:t xml:space="preserve"> is</w:t>
      </w:r>
      <w:r>
        <w:rPr>
          <w:rFonts w:cs="Times New Roman"/>
          <w:lang w:val="en-US"/>
        </w:rPr>
        <w:t xml:space="preserve"> articulated in five phases, developed by the two researchers, in order to have relevant and reliable results (Schilling, 2006). The first phase is the raw data transcription. In order to develop this phase, the researcher has to follow some rules, like deleting dialecticisms, observing pauses and sounds during the interview (this rules was not considered by this study because it deals with other disciplines like, for example, Psychology) and making the transcription clear and coherent. The following phase is the conversion of raw data into condensed records: at this stage it is possible to deduct the dimensions to categorize interviews’ results starting from questions. The categories of analysis are not taken from the literature, but they are delivered from the interview analysis itself. Following the Inductive Content Analysis scheme, they are </w:t>
      </w:r>
      <w:r w:rsidRPr="009D650E">
        <w:rPr>
          <w:rFonts w:cs="Times New Roman"/>
          <w:i/>
          <w:lang w:val="en-US"/>
        </w:rPr>
        <w:t>a priori</w:t>
      </w:r>
      <w:r w:rsidR="00953047">
        <w:rPr>
          <w:rFonts w:cs="Times New Roman"/>
          <w:lang w:val="en-US"/>
        </w:rPr>
        <w:t xml:space="preserve"> defined, rather than</w:t>
      </w:r>
      <w:r>
        <w:rPr>
          <w:rFonts w:cs="Times New Roman"/>
          <w:lang w:val="en-US"/>
        </w:rPr>
        <w:t xml:space="preserve"> derived from the literature, since the relatively recent introduction of the crowfunding phenomenon into </w:t>
      </w:r>
      <w:r w:rsidR="00F07768">
        <w:rPr>
          <w:rFonts w:cs="Times New Roman"/>
          <w:lang w:val="en-US"/>
        </w:rPr>
        <w:t xml:space="preserve">the </w:t>
      </w:r>
      <w:r>
        <w:rPr>
          <w:rFonts w:cs="Times New Roman"/>
          <w:lang w:val="en-US"/>
        </w:rPr>
        <w:t>academic studies (Elo &amp; Kyngäs, 2008; Mayring, 2014; Miles &amp; Hubermann, 1994). Afterwards, units of analysis are individuated. Each of them is defined as a piece of text</w:t>
      </w:r>
      <w:r w:rsidRPr="00BB6091">
        <w:rPr>
          <w:rFonts w:cs="Times New Roman"/>
          <w:lang w:val="en-US"/>
        </w:rPr>
        <w:t xml:space="preserve"> </w:t>
      </w:r>
      <w:r>
        <w:rPr>
          <w:rFonts w:cs="Times New Roman"/>
          <w:lang w:val="en-US"/>
        </w:rPr>
        <w:t>understandable by itself and containing an idea or information (Tesch, 1990). For these interviews two units of analysis are considered: statements (the biggest text components categorized) and words (the smallest one). Defined these preliminary concepts, raw data have been “condensed”, reducing them in quantity terms, but maintaining essential contents (Schilling, 2006). Hence, each answer is reduced, taking into consideration the biggest text components (statements). Then, the latter is reduced one more time, in order to get the smallest text components (words). Moreover, in the fourth phase, they are categorized according to categories defined in the second phase. This stage is crucial and the categorization must be justified by researchers’ evaluations relating to the meaning attributed to the words. The latters can be ascribed to more than one category. In the last phase, the output of content analysis is delivered and, for this research, consists of a conceptual map, where concepts and logic relations included in the interviews are summarized. Results will be interpreted and discussed taking into consideration this map (Schilling, 2006).</w:t>
      </w:r>
    </w:p>
    <w:p w14:paraId="3135978A" w14:textId="77777777" w:rsidR="00037A11" w:rsidRDefault="00037A11" w:rsidP="00A11C14">
      <w:pPr>
        <w:spacing w:line="480" w:lineRule="auto"/>
        <w:jc w:val="both"/>
        <w:rPr>
          <w:rFonts w:cs="Times New Roman"/>
        </w:rPr>
      </w:pPr>
      <w:r w:rsidRPr="0015202D">
        <w:rPr>
          <w:rFonts w:cs="Times New Roman"/>
        </w:rPr>
        <w:tab/>
      </w:r>
    </w:p>
    <w:p w14:paraId="70035B7A" w14:textId="77777777" w:rsidR="00037A11" w:rsidRPr="000D3C4A" w:rsidRDefault="00037A11" w:rsidP="00A11C14">
      <w:pPr>
        <w:spacing w:line="480" w:lineRule="auto"/>
        <w:jc w:val="both"/>
        <w:rPr>
          <w:rFonts w:cs="Times New Roman"/>
          <w:b/>
          <w:lang w:val="en-US"/>
        </w:rPr>
      </w:pPr>
      <w:r>
        <w:rPr>
          <w:rFonts w:cs="Times New Roman"/>
          <w:b/>
          <w:lang w:val="en-US"/>
        </w:rPr>
        <w:t>5.4 Case-</w:t>
      </w:r>
      <w:r w:rsidRPr="000D3C4A">
        <w:rPr>
          <w:rFonts w:cs="Times New Roman"/>
          <w:b/>
          <w:lang w:val="en-US"/>
        </w:rPr>
        <w:t>study</w:t>
      </w:r>
    </w:p>
    <w:p w14:paraId="4BD94910" w14:textId="77777777" w:rsidR="00037A11" w:rsidRPr="000D3C4A" w:rsidRDefault="00037A11" w:rsidP="00A11C14">
      <w:pPr>
        <w:spacing w:line="480" w:lineRule="auto"/>
        <w:jc w:val="both"/>
        <w:rPr>
          <w:rFonts w:cs="Times New Roman"/>
          <w:b/>
          <w:i/>
          <w:lang w:val="en-US"/>
        </w:rPr>
      </w:pPr>
      <w:r>
        <w:rPr>
          <w:rFonts w:cs="Times New Roman"/>
          <w:b/>
          <w:i/>
          <w:lang w:val="en-US"/>
        </w:rPr>
        <w:t>5.4.1 University of Pavia</w:t>
      </w:r>
      <w:r w:rsidRPr="000D3C4A">
        <w:rPr>
          <w:rFonts w:cs="Times New Roman"/>
          <w:b/>
          <w:i/>
          <w:lang w:val="en-US"/>
        </w:rPr>
        <w:t>: overview</w:t>
      </w:r>
    </w:p>
    <w:p w14:paraId="69D4BA76" w14:textId="07694550" w:rsidR="00037A11" w:rsidRDefault="000D34A7" w:rsidP="00A11C14">
      <w:pPr>
        <w:spacing w:line="480" w:lineRule="auto"/>
        <w:jc w:val="both"/>
        <w:rPr>
          <w:rFonts w:cs="Times New Roman"/>
          <w:lang w:val="en-US"/>
        </w:rPr>
      </w:pPr>
      <w:r>
        <w:rPr>
          <w:rFonts w:cs="Times New Roman"/>
          <w:lang w:val="en-US"/>
        </w:rPr>
        <w:t xml:space="preserve">The </w:t>
      </w:r>
      <w:r w:rsidR="00037A11">
        <w:rPr>
          <w:rFonts w:cs="Times New Roman"/>
          <w:lang w:val="en-US"/>
        </w:rPr>
        <w:t>University of Pavia</w:t>
      </w:r>
      <w:r w:rsidR="00037A11" w:rsidRPr="000D3C4A">
        <w:rPr>
          <w:rFonts w:cs="Times New Roman"/>
          <w:lang w:val="en-US"/>
        </w:rPr>
        <w:t xml:space="preserve"> is a public higher education institution, located in Lombardy (Northern Italy). It is one of the oldest universities in Europe, established in 1361 as </w:t>
      </w:r>
      <w:r w:rsidR="00037A11" w:rsidRPr="000D3C4A">
        <w:rPr>
          <w:rFonts w:cs="Times New Roman"/>
          <w:i/>
          <w:lang w:val="en-US"/>
        </w:rPr>
        <w:t xml:space="preserve">Studium Generale </w:t>
      </w:r>
      <w:r w:rsidR="00037A11" w:rsidRPr="000D3C4A">
        <w:rPr>
          <w:rFonts w:cs="Times New Roman"/>
          <w:lang w:val="en-US"/>
        </w:rPr>
        <w:t>by Emperor Charles IV. For 657 years</w:t>
      </w:r>
      <w:r w:rsidR="00037A11">
        <w:rPr>
          <w:rFonts w:cs="Times New Roman"/>
          <w:lang w:val="en-US"/>
        </w:rPr>
        <w:t xml:space="preserve"> several important and famous profes</w:t>
      </w:r>
      <w:r>
        <w:rPr>
          <w:rFonts w:cs="Times New Roman"/>
          <w:lang w:val="en-US"/>
        </w:rPr>
        <w:t>sors have passed by this university</w:t>
      </w:r>
      <w:r w:rsidR="00037A11">
        <w:rPr>
          <w:rFonts w:cs="Times New Roman"/>
          <w:lang w:val="en-US"/>
        </w:rPr>
        <w:t xml:space="preserve">, introducing pivotal discoveries and innovations in different scientific sectors, like Medicine, Engineering, Antiquities and Literature. The first Italian Nobel prize (in Physiology and Medicine) was given to Camillo Golgi, professor at </w:t>
      </w:r>
      <w:r>
        <w:rPr>
          <w:rFonts w:cs="Times New Roman"/>
          <w:lang w:val="en-US"/>
        </w:rPr>
        <w:t>the University of Pavia</w:t>
      </w:r>
      <w:r w:rsidR="00037A11">
        <w:rPr>
          <w:rFonts w:cs="Times New Roman"/>
          <w:lang w:val="en-US"/>
        </w:rPr>
        <w:t xml:space="preserve">, for the “Golgi complex” discovery. </w:t>
      </w:r>
    </w:p>
    <w:p w14:paraId="21021DEE" w14:textId="19E0487B" w:rsidR="00037A11" w:rsidRDefault="00037A11" w:rsidP="00A11C14">
      <w:pPr>
        <w:spacing w:line="480" w:lineRule="auto"/>
        <w:jc w:val="both"/>
        <w:rPr>
          <w:rFonts w:cs="Times New Roman"/>
          <w:lang w:val="en-US"/>
        </w:rPr>
      </w:pPr>
      <w:r>
        <w:rPr>
          <w:rFonts w:cs="Times New Roman"/>
          <w:lang w:val="en-US"/>
        </w:rPr>
        <w:t>Nowa</w:t>
      </w:r>
      <w:r w:rsidR="000D34A7">
        <w:rPr>
          <w:rFonts w:cs="Times New Roman"/>
          <w:lang w:val="en-US"/>
        </w:rPr>
        <w:t>days, University of Pavia is a research and t</w:t>
      </w:r>
      <w:r>
        <w:rPr>
          <w:rFonts w:cs="Times New Roman"/>
          <w:lang w:val="en-US"/>
        </w:rPr>
        <w:t xml:space="preserve">eaching University, hosting more than 23.000 students, organized in eighteen departments, which offer bachelor and master’s degrees, PhD. programs and several schools in medical specialization. Research activities, carried out in departments, institutes, clinics, centers and laboratories, are managed and funded by several synergies with private (enterprises and companies) and public (municipalities, hospitals, regional authorities…) institutions. Furthermore, University of Pavia collaborates with numerous non-profit organizations, like Foundations and Alumni Association, which contribute to create a community around this higher education institution. Hence, </w:t>
      </w:r>
      <w:r w:rsidR="000D34A7">
        <w:rPr>
          <w:rFonts w:cs="Times New Roman"/>
          <w:lang w:val="en-US"/>
        </w:rPr>
        <w:t xml:space="preserve">the </w:t>
      </w:r>
      <w:r>
        <w:rPr>
          <w:rFonts w:cs="Times New Roman"/>
          <w:lang w:val="en-US"/>
        </w:rPr>
        <w:t xml:space="preserve">University of Pavia has been defined as a System, not only because of its important historical origins and top quality achievements, but, above all, because it is characterized by the presence of twenty colleges and residences, where Italian and foreigner students can find an accommodation for their higher education period. Four of these colleges are Historical Residence Halls recognized by the Ministry of Higher Education: they have a prestigious past and host the most brilliant students. The others are Students Residence Halls and were founded more recently by both public and private initiatives. Moreover, this System includes the University’s Museum Network (9 museums), where the historical and cultural heritage of the institution is collected. </w:t>
      </w:r>
    </w:p>
    <w:p w14:paraId="6942FDDD" w14:textId="19526D85" w:rsidR="00037A11" w:rsidRDefault="000D34A7" w:rsidP="00A11C14">
      <w:pPr>
        <w:spacing w:line="480" w:lineRule="auto"/>
        <w:jc w:val="both"/>
        <w:rPr>
          <w:rFonts w:cs="Times New Roman"/>
          <w:lang w:val="en-US"/>
        </w:rPr>
      </w:pPr>
      <w:r>
        <w:rPr>
          <w:rFonts w:cs="Times New Roman"/>
          <w:lang w:val="en-US"/>
        </w:rPr>
        <w:t xml:space="preserve">The </w:t>
      </w:r>
      <w:r w:rsidR="00037A11">
        <w:rPr>
          <w:rFonts w:cs="Times New Roman"/>
          <w:lang w:val="en-US"/>
        </w:rPr>
        <w:t>University of Pavia is the owner of all its architectural buildings, which are characterized by an important historical value. Well-to-do and forward-thinking citizens, alumni and well-known professors donated them to the university. They are all part of its cultural heritage. The first University of Pavia’s philanthropist was Luigi Porta (1800-1875), who graduated in Medicine and worked as full professor at this university. He left his whole belongings to the university as a gratitude action, being the first of several philanthropists of</w:t>
      </w:r>
      <w:r>
        <w:rPr>
          <w:rFonts w:cs="Times New Roman"/>
          <w:lang w:val="en-US"/>
        </w:rPr>
        <w:t xml:space="preserve"> the</w:t>
      </w:r>
      <w:r w:rsidR="00037A11">
        <w:rPr>
          <w:rFonts w:cs="Times New Roman"/>
          <w:lang w:val="en-US"/>
        </w:rPr>
        <w:t xml:space="preserve"> University of Pavia. </w:t>
      </w:r>
    </w:p>
    <w:p w14:paraId="4A11EF49" w14:textId="3806A95D" w:rsidR="00037A11" w:rsidRDefault="000D34A7" w:rsidP="00A11C14">
      <w:pPr>
        <w:spacing w:line="480" w:lineRule="auto"/>
        <w:jc w:val="both"/>
        <w:rPr>
          <w:rFonts w:cs="Times New Roman"/>
          <w:lang w:val="en-US"/>
        </w:rPr>
      </w:pPr>
      <w:r>
        <w:rPr>
          <w:rFonts w:cs="Times New Roman"/>
          <w:lang w:val="en-US"/>
        </w:rPr>
        <w:t xml:space="preserve">The </w:t>
      </w:r>
      <w:r w:rsidR="00037A11">
        <w:rPr>
          <w:rFonts w:cs="Times New Roman"/>
          <w:lang w:val="en-US"/>
        </w:rPr>
        <w:t xml:space="preserve">University of Pavia’s storytelling shows an important tradition of this institution in term of fundraising culture. Being characterized by a close link to the </w:t>
      </w:r>
      <w:r>
        <w:rPr>
          <w:rFonts w:cs="Times New Roman"/>
          <w:lang w:val="en-US"/>
        </w:rPr>
        <w:t xml:space="preserve">geographical </w:t>
      </w:r>
      <w:r w:rsidR="00037A11">
        <w:rPr>
          <w:rFonts w:cs="Times New Roman"/>
          <w:lang w:val="en-US"/>
        </w:rPr>
        <w:t>area where it is located and its citizens, this university has been able to make fundraising be one of its s</w:t>
      </w:r>
      <w:r w:rsidR="004D231D">
        <w:rPr>
          <w:rFonts w:cs="Times New Roman"/>
          <w:lang w:val="en-US"/>
        </w:rPr>
        <w:t>trategic activities to support teaching, research and o</w:t>
      </w:r>
      <w:r w:rsidR="00037A11">
        <w:rPr>
          <w:rFonts w:cs="Times New Roman"/>
          <w:lang w:val="en-US"/>
        </w:rPr>
        <w:t xml:space="preserve">utreach functions.  </w:t>
      </w:r>
    </w:p>
    <w:p w14:paraId="2D15A1DB" w14:textId="2A1B4D15" w:rsidR="00037A11" w:rsidRDefault="00D70017" w:rsidP="00A11C14">
      <w:pPr>
        <w:spacing w:line="480" w:lineRule="auto"/>
        <w:jc w:val="both"/>
        <w:rPr>
          <w:rFonts w:cs="Times New Roman"/>
          <w:lang w:val="en-US"/>
        </w:rPr>
      </w:pPr>
      <w:r>
        <w:rPr>
          <w:rFonts w:cs="Times New Roman"/>
          <w:lang w:val="en-US"/>
        </w:rPr>
        <w:t>From t</w:t>
      </w:r>
      <w:r w:rsidR="00037A11">
        <w:rPr>
          <w:rFonts w:cs="Times New Roman"/>
          <w:lang w:val="en-US"/>
        </w:rPr>
        <w:t xml:space="preserve">eaching point of view, </w:t>
      </w:r>
      <w:r>
        <w:rPr>
          <w:rFonts w:cs="Times New Roman"/>
          <w:lang w:val="en-US"/>
        </w:rPr>
        <w:t xml:space="preserve">the </w:t>
      </w:r>
      <w:r w:rsidR="00037A11">
        <w:rPr>
          <w:rFonts w:cs="Times New Roman"/>
          <w:lang w:val="en-US"/>
        </w:rPr>
        <w:t>University of Pavia supports its students with several education and graduation awards. They are announced every year with the aim to sustain very brilliant students (education awards) and graduates who stand out for top quality, scientific interests and novelty of their products about specific disciplinary areas, given scientific topics or themes that deserve additional research activities (graduation awards). Both education and graduation awards can be established by:</w:t>
      </w:r>
    </w:p>
    <w:p w14:paraId="31EF1C56" w14:textId="77777777" w:rsidR="00037A11" w:rsidRPr="004E082F" w:rsidRDefault="00037A11" w:rsidP="00A11C14">
      <w:pPr>
        <w:pStyle w:val="Paragrafoelenco"/>
        <w:widowControl/>
        <w:numPr>
          <w:ilvl w:val="0"/>
          <w:numId w:val="17"/>
        </w:numPr>
        <w:suppressAutoHyphens w:val="0"/>
        <w:spacing w:line="480" w:lineRule="auto"/>
        <w:jc w:val="both"/>
        <w:rPr>
          <w:rFonts w:cs="Times New Roman"/>
          <w:lang w:val="en-US"/>
        </w:rPr>
      </w:pPr>
      <w:r w:rsidRPr="004E082F">
        <w:rPr>
          <w:rFonts w:cs="Times New Roman"/>
          <w:lang w:val="en-US"/>
        </w:rPr>
        <w:t>the univers</w:t>
      </w:r>
      <w:r>
        <w:rPr>
          <w:rFonts w:cs="Times New Roman"/>
          <w:lang w:val="en-US"/>
        </w:rPr>
        <w:t>ity’s administrative board, by</w:t>
      </w:r>
      <w:r w:rsidRPr="004E082F">
        <w:rPr>
          <w:rFonts w:cs="Times New Roman"/>
          <w:lang w:val="en-US"/>
        </w:rPr>
        <w:t xml:space="preserve"> funds taken from bequests and donations specifically allocated by the financial report;</w:t>
      </w:r>
    </w:p>
    <w:p w14:paraId="3D1ED78C" w14:textId="77777777" w:rsidR="00037A11" w:rsidRPr="004E082F" w:rsidRDefault="00037A11" w:rsidP="00A11C14">
      <w:pPr>
        <w:pStyle w:val="Paragrafoelenco"/>
        <w:widowControl/>
        <w:numPr>
          <w:ilvl w:val="0"/>
          <w:numId w:val="17"/>
        </w:numPr>
        <w:suppressAutoHyphens w:val="0"/>
        <w:spacing w:line="480" w:lineRule="auto"/>
        <w:jc w:val="both"/>
        <w:rPr>
          <w:rFonts w:cs="Times New Roman"/>
          <w:lang w:val="en-US"/>
        </w:rPr>
      </w:pPr>
      <w:r>
        <w:rPr>
          <w:rFonts w:cs="Times New Roman"/>
          <w:lang w:val="en-US"/>
        </w:rPr>
        <w:t>the university’s departmental boards, by their funds;</w:t>
      </w:r>
    </w:p>
    <w:p w14:paraId="633FFA90" w14:textId="77777777" w:rsidR="00037A11" w:rsidRDefault="00037A11" w:rsidP="00A11C14">
      <w:pPr>
        <w:pStyle w:val="Paragrafoelenco"/>
        <w:widowControl/>
        <w:numPr>
          <w:ilvl w:val="0"/>
          <w:numId w:val="17"/>
        </w:numPr>
        <w:suppressAutoHyphens w:val="0"/>
        <w:spacing w:line="480" w:lineRule="auto"/>
        <w:jc w:val="both"/>
        <w:rPr>
          <w:rFonts w:cs="Times New Roman"/>
          <w:lang w:val="en-US"/>
        </w:rPr>
      </w:pPr>
      <w:r>
        <w:rPr>
          <w:rFonts w:cs="Times New Roman"/>
          <w:lang w:val="en-US"/>
        </w:rPr>
        <w:t>external entities (public authorities, profit and non profit organizations or natural people), by their own funds, without any commitment for the university.</w:t>
      </w:r>
    </w:p>
    <w:p w14:paraId="287C44F3" w14:textId="798CAB36" w:rsidR="00037A11" w:rsidRDefault="00037A11" w:rsidP="00A11C14">
      <w:pPr>
        <w:spacing w:line="480" w:lineRule="auto"/>
        <w:jc w:val="both"/>
        <w:rPr>
          <w:rFonts w:cs="Times New Roman"/>
          <w:lang w:val="en-US"/>
        </w:rPr>
      </w:pPr>
      <w:r>
        <w:rPr>
          <w:rFonts w:cs="Times New Roman"/>
          <w:lang w:val="en-US"/>
        </w:rPr>
        <w:t xml:space="preserve">Education and graduation awards are summarized in Table </w:t>
      </w:r>
      <w:r w:rsidR="005B4008">
        <w:rPr>
          <w:rFonts w:cs="Times New Roman"/>
          <w:lang w:val="en-US"/>
        </w:rPr>
        <w:t>5.</w:t>
      </w:r>
      <w:r>
        <w:rPr>
          <w:rFonts w:cs="Times New Roman"/>
          <w:lang w:val="en-US"/>
        </w:rPr>
        <w:t xml:space="preserve">1: each award is entitled to important personalities of </w:t>
      </w:r>
      <w:r w:rsidR="00D70017">
        <w:rPr>
          <w:rFonts w:cs="Times New Roman"/>
          <w:lang w:val="en-US"/>
        </w:rPr>
        <w:t xml:space="preserve">the </w:t>
      </w:r>
      <w:r>
        <w:rPr>
          <w:rFonts w:cs="Times New Roman"/>
          <w:lang w:val="en-US"/>
        </w:rPr>
        <w:t>University of Pavia and it is devoted to a particular scientific area. For each award there are one or more awards available for students/graduates and the amount can be different, from €1.000 to €30.000. The total number of education award is 21, for a total amount of €</w:t>
      </w:r>
      <w:r>
        <w:rPr>
          <w:rFonts w:cs="Times New Roman"/>
        </w:rPr>
        <w:t>112.800</w:t>
      </w:r>
      <w:r>
        <w:rPr>
          <w:rFonts w:cs="Times New Roman"/>
          <w:lang w:val="en-US"/>
        </w:rPr>
        <w:t>, whereas graduation awards are 28, for a total amount of €</w:t>
      </w:r>
      <w:r>
        <w:rPr>
          <w:rFonts w:cs="Times New Roman"/>
        </w:rPr>
        <w:t>76.335,00</w:t>
      </w:r>
      <w:r>
        <w:rPr>
          <w:rFonts w:cs="Times New Roman"/>
          <w:lang w:val="en-US"/>
        </w:rPr>
        <w:t xml:space="preserve">. Hence, </w:t>
      </w:r>
      <w:r w:rsidR="00D70017">
        <w:rPr>
          <w:rFonts w:cs="Times New Roman"/>
          <w:lang w:val="en-US"/>
        </w:rPr>
        <w:t xml:space="preserve">the </w:t>
      </w:r>
      <w:r>
        <w:rPr>
          <w:rFonts w:cs="Times New Roman"/>
          <w:lang w:val="en-US"/>
        </w:rPr>
        <w:t>University of Pavia announces 48 awards every year, supporting teaching function with €</w:t>
      </w:r>
      <w:r>
        <w:rPr>
          <w:rFonts w:cs="Times New Roman"/>
        </w:rPr>
        <w:t xml:space="preserve">189.135,00. </w:t>
      </w:r>
      <w:r w:rsidRPr="00FA257C">
        <w:rPr>
          <w:rFonts w:cs="Times New Roman"/>
          <w:lang w:val="en-US"/>
        </w:rPr>
        <w:t xml:space="preserve">As </w:t>
      </w:r>
      <w:r>
        <w:rPr>
          <w:rFonts w:cs="Times New Roman"/>
          <w:lang w:val="en-US"/>
        </w:rPr>
        <w:t xml:space="preserve">previously stated and shown in Table </w:t>
      </w:r>
      <w:r w:rsidR="005B4008">
        <w:rPr>
          <w:rFonts w:cs="Times New Roman"/>
          <w:lang w:val="en-US"/>
        </w:rPr>
        <w:t>5.</w:t>
      </w:r>
      <w:r>
        <w:rPr>
          <w:rFonts w:cs="Times New Roman"/>
          <w:lang w:val="en-US"/>
        </w:rPr>
        <w:t xml:space="preserve">1, awards can have different founder: most of them are established by the administrative board (in table </w:t>
      </w:r>
      <w:r w:rsidR="005B4008">
        <w:rPr>
          <w:rFonts w:cs="Times New Roman"/>
          <w:lang w:val="en-US"/>
        </w:rPr>
        <w:t>5.</w:t>
      </w:r>
      <w:r>
        <w:rPr>
          <w:rFonts w:cs="Times New Roman"/>
          <w:lang w:val="en-US"/>
        </w:rPr>
        <w:t xml:space="preserve">1: AB) (11) and by natural people (in table </w:t>
      </w:r>
      <w:r w:rsidR="005B4008">
        <w:rPr>
          <w:rFonts w:cs="Times New Roman"/>
          <w:lang w:val="en-US"/>
        </w:rPr>
        <w:t>5.</w:t>
      </w:r>
      <w:r>
        <w:rPr>
          <w:rFonts w:cs="Times New Roman"/>
          <w:lang w:val="en-US"/>
        </w:rPr>
        <w:t xml:space="preserve">1: EE NP). Departmental boards (in table 1: DB) offer only two awards, as non-profit organizations (in table </w:t>
      </w:r>
      <w:r w:rsidR="005B4008">
        <w:rPr>
          <w:rFonts w:cs="Times New Roman"/>
          <w:lang w:val="en-US"/>
        </w:rPr>
        <w:t>5.</w:t>
      </w:r>
      <w:r>
        <w:rPr>
          <w:rFonts w:cs="Times New Roman"/>
          <w:lang w:val="en-US"/>
        </w:rPr>
        <w:t xml:space="preserve">1: EE NONPROFIT). A private company sponsors only one award. Eventually, a joint venture between natural people and a public authority funds a graduation awards. </w:t>
      </w:r>
    </w:p>
    <w:p w14:paraId="142A3728" w14:textId="7E2AC64A" w:rsidR="00037A11" w:rsidRDefault="00D70017" w:rsidP="00A11C14">
      <w:pPr>
        <w:spacing w:line="480" w:lineRule="auto"/>
        <w:jc w:val="both"/>
        <w:rPr>
          <w:rFonts w:cs="Times New Roman"/>
          <w:lang w:val="en-US"/>
        </w:rPr>
      </w:pPr>
      <w:r>
        <w:rPr>
          <w:rFonts w:cs="Times New Roman"/>
          <w:lang w:val="en-US"/>
        </w:rPr>
        <w:t>Research and o</w:t>
      </w:r>
      <w:r w:rsidR="00037A11" w:rsidRPr="008B01D0">
        <w:rPr>
          <w:rFonts w:cs="Times New Roman"/>
          <w:lang w:val="en-US"/>
        </w:rPr>
        <w:t>utreach functions are funded, beyond the government funding, by the participation to competition announcements at regional (Cariplo), national (Prin) and European level (Horizon 2020). Moreover some public authorities (like municipalities and regional ones), private companies (operating in different business), non-profit organizations (foundations and associations) and natural people, by donations and bequests, contribute to support</w:t>
      </w:r>
      <w:r w:rsidR="00E32595">
        <w:rPr>
          <w:rFonts w:cs="Times New Roman"/>
          <w:lang w:val="en-US"/>
        </w:rPr>
        <w:t xml:space="preserve"> research and o</w:t>
      </w:r>
      <w:r w:rsidR="00037A11">
        <w:rPr>
          <w:rFonts w:cs="Times New Roman"/>
          <w:lang w:val="en-US"/>
        </w:rPr>
        <w:t>utreach activities carried out by</w:t>
      </w:r>
      <w:r w:rsidR="00472DF6">
        <w:rPr>
          <w:rFonts w:cs="Times New Roman"/>
          <w:lang w:val="en-US"/>
        </w:rPr>
        <w:t xml:space="preserve"> the</w:t>
      </w:r>
      <w:r w:rsidR="00037A11">
        <w:rPr>
          <w:rFonts w:cs="Times New Roman"/>
          <w:lang w:val="en-US"/>
        </w:rPr>
        <w:t xml:space="preserve"> University of Pavia. </w:t>
      </w:r>
    </w:p>
    <w:p w14:paraId="3292B720" w14:textId="77777777" w:rsidR="00037A11" w:rsidRDefault="00037A11" w:rsidP="00A11C14">
      <w:pPr>
        <w:spacing w:line="480" w:lineRule="auto"/>
        <w:jc w:val="both"/>
        <w:rPr>
          <w:rFonts w:cs="Times New Roman"/>
          <w:b/>
          <w:i/>
          <w:lang w:val="en-US"/>
        </w:rPr>
      </w:pPr>
    </w:p>
    <w:p w14:paraId="418805F1" w14:textId="77777777" w:rsidR="00037A11" w:rsidRPr="00260FFC" w:rsidRDefault="00037A11" w:rsidP="00A11C14">
      <w:pPr>
        <w:spacing w:line="480" w:lineRule="auto"/>
        <w:jc w:val="both"/>
        <w:rPr>
          <w:rFonts w:cs="Times New Roman"/>
          <w:b/>
          <w:i/>
          <w:lang w:val="en-US"/>
        </w:rPr>
      </w:pPr>
      <w:r>
        <w:rPr>
          <w:rFonts w:cs="Times New Roman"/>
          <w:b/>
          <w:i/>
          <w:lang w:val="en-US"/>
        </w:rPr>
        <w:t xml:space="preserve">5.4.2 </w:t>
      </w:r>
      <w:r w:rsidRPr="00260FFC">
        <w:rPr>
          <w:rFonts w:cs="Times New Roman"/>
          <w:b/>
          <w:i/>
          <w:lang w:val="en-US"/>
        </w:rPr>
        <w:t>Donation-based crowdfunding</w:t>
      </w:r>
      <w:r>
        <w:rPr>
          <w:rFonts w:cs="Times New Roman"/>
          <w:b/>
          <w:i/>
          <w:lang w:val="en-US"/>
        </w:rPr>
        <w:t>: Universitiamo by Unipv</w:t>
      </w:r>
    </w:p>
    <w:p w14:paraId="1A58B4B0" w14:textId="79D4DE39" w:rsidR="00037A11" w:rsidRDefault="00037A11" w:rsidP="00A11C14">
      <w:pPr>
        <w:spacing w:line="480" w:lineRule="auto"/>
        <w:jc w:val="both"/>
        <w:rPr>
          <w:rFonts w:cs="Times New Roman"/>
          <w:lang w:val="en-US"/>
        </w:rPr>
      </w:pPr>
      <w:r>
        <w:rPr>
          <w:rFonts w:cs="Times New Roman"/>
          <w:lang w:val="en-US"/>
        </w:rPr>
        <w:t>The case-</w:t>
      </w:r>
      <w:r w:rsidRPr="00895297">
        <w:rPr>
          <w:rFonts w:cs="Times New Roman"/>
          <w:lang w:val="en-US"/>
        </w:rPr>
        <w:t>study</w:t>
      </w:r>
      <w:r>
        <w:rPr>
          <w:rFonts w:cs="Times New Roman"/>
          <w:lang w:val="en-US"/>
        </w:rPr>
        <w:t>’s</w:t>
      </w:r>
      <w:r w:rsidRPr="00895297">
        <w:rPr>
          <w:rFonts w:cs="Times New Roman"/>
          <w:lang w:val="en-US"/>
        </w:rPr>
        <w:t xml:space="preserve"> overview shows clearly the “universe” of different and varied stak</w:t>
      </w:r>
      <w:r>
        <w:rPr>
          <w:rFonts w:cs="Times New Roman"/>
          <w:lang w:val="en-US"/>
        </w:rPr>
        <w:t>eholders with which University of Pavia</w:t>
      </w:r>
      <w:r w:rsidRPr="00895297">
        <w:rPr>
          <w:rFonts w:cs="Times New Roman"/>
          <w:lang w:val="en-US"/>
        </w:rPr>
        <w:t xml:space="preserve"> has established long-term relationships in term of fundraising. Within this context, in 2014 </w:t>
      </w:r>
      <w:r>
        <w:rPr>
          <w:rFonts w:cs="Times New Roman"/>
          <w:lang w:val="en-US"/>
        </w:rPr>
        <w:t>the Presi</w:t>
      </w:r>
      <w:r w:rsidRPr="00895297">
        <w:rPr>
          <w:rFonts w:cs="Times New Roman"/>
          <w:lang w:val="en-US"/>
        </w:rPr>
        <w:t xml:space="preserve">dent of the university decided to create a crowdfunding platform, </w:t>
      </w:r>
      <w:r>
        <w:rPr>
          <w:rFonts w:cs="Times New Roman"/>
          <w:lang w:val="en-US"/>
        </w:rPr>
        <w:t xml:space="preserve">called Universitiamo, </w:t>
      </w:r>
      <w:r w:rsidRPr="00895297">
        <w:rPr>
          <w:rFonts w:cs="Times New Roman"/>
          <w:lang w:val="en-US"/>
        </w:rPr>
        <w:t>totally owned</w:t>
      </w:r>
      <w:r>
        <w:rPr>
          <w:rFonts w:cs="Times New Roman"/>
          <w:lang w:val="en-US"/>
        </w:rPr>
        <w:t xml:space="preserve"> by the university</w:t>
      </w:r>
      <w:r w:rsidRPr="00895297">
        <w:rPr>
          <w:rFonts w:cs="Times New Roman"/>
          <w:lang w:val="en-US"/>
        </w:rPr>
        <w:t xml:space="preserve"> and </w:t>
      </w:r>
      <w:r w:rsidR="00324B3B">
        <w:rPr>
          <w:rFonts w:cs="Times New Roman"/>
          <w:lang w:val="en-US"/>
        </w:rPr>
        <w:t>in-</w:t>
      </w:r>
      <w:r w:rsidRPr="00895297">
        <w:rPr>
          <w:rFonts w:cs="Times New Roman"/>
          <w:lang w:val="en-US"/>
        </w:rPr>
        <w:t>house</w:t>
      </w:r>
      <w:r w:rsidRPr="00DE63A6">
        <w:rPr>
          <w:rFonts w:cs="Times New Roman"/>
          <w:lang w:val="en-US"/>
        </w:rPr>
        <w:t xml:space="preserve"> </w:t>
      </w:r>
      <w:r w:rsidRPr="00895297">
        <w:rPr>
          <w:rFonts w:cs="Times New Roman"/>
          <w:lang w:val="en-US"/>
        </w:rPr>
        <w:t xml:space="preserve">managed. It is a donation-based platform, operating with the </w:t>
      </w:r>
      <w:r w:rsidR="00324B3B">
        <w:rPr>
          <w:rFonts w:cs="Times New Roman"/>
          <w:lang w:val="en-US"/>
        </w:rPr>
        <w:t>“all-or-</w:t>
      </w:r>
      <w:r w:rsidRPr="00895297">
        <w:rPr>
          <w:rFonts w:cs="Times New Roman"/>
          <w:lang w:val="en-US"/>
        </w:rPr>
        <w:t>nothing</w:t>
      </w:r>
      <w:r w:rsidR="00324B3B">
        <w:rPr>
          <w:rFonts w:cs="Times New Roman"/>
          <w:lang w:val="en-US"/>
        </w:rPr>
        <w:t>”</w:t>
      </w:r>
      <w:r w:rsidRPr="00895297">
        <w:rPr>
          <w:rFonts w:cs="Times New Roman"/>
          <w:lang w:val="en-US"/>
        </w:rPr>
        <w:t xml:space="preserve"> system</w:t>
      </w:r>
      <w:r>
        <w:rPr>
          <w:rFonts w:cs="Times New Roman"/>
          <w:lang w:val="en-US"/>
        </w:rPr>
        <w:t>: projects must reach the 80% of the required budget at least, in order to receive their funds; otherwise money is not taken from donors. Hence, till the deadline of the project, donations are only a “promise” becoming so “real” only if the 80% of the budget is reached.</w:t>
      </w:r>
      <w:r w:rsidRPr="00895297">
        <w:rPr>
          <w:rFonts w:cs="Times New Roman"/>
          <w:lang w:val="en-US"/>
        </w:rPr>
        <w:t xml:space="preserve"> Through this platfor</w:t>
      </w:r>
      <w:r>
        <w:rPr>
          <w:rFonts w:cs="Times New Roman"/>
          <w:lang w:val="en-US"/>
        </w:rPr>
        <w:t>m, anyone can support not only research activities, regarding different scientific areas, but also teaching and outreach</w:t>
      </w:r>
      <w:r w:rsidR="004E7A49">
        <w:rPr>
          <w:rFonts w:cs="Times New Roman"/>
          <w:lang w:val="en-US"/>
        </w:rPr>
        <w:t xml:space="preserve"> ones</w:t>
      </w:r>
      <w:r>
        <w:rPr>
          <w:rFonts w:cs="Times New Roman"/>
          <w:lang w:val="en-US"/>
        </w:rPr>
        <w:t xml:space="preserve">, </w:t>
      </w:r>
      <w:r w:rsidRPr="00895297">
        <w:rPr>
          <w:rFonts w:cs="Times New Roman"/>
          <w:bCs/>
          <w:lang w:val="en-US"/>
        </w:rPr>
        <w:t>even with a small donation</w:t>
      </w:r>
      <w:r>
        <w:rPr>
          <w:rFonts w:cs="Times New Roman"/>
          <w:lang w:val="en-US"/>
        </w:rPr>
        <w:t xml:space="preserve"> (the minimum amount is € 5,00). Moreover, donors can choose to which project and team of researchers address their money, instead of </w:t>
      </w:r>
      <w:r w:rsidRPr="00895297">
        <w:rPr>
          <w:rFonts w:cs="Times New Roman"/>
          <w:lang w:val="en-US"/>
        </w:rPr>
        <w:t>donating to a gene</w:t>
      </w:r>
      <w:r>
        <w:rPr>
          <w:rFonts w:cs="Times New Roman"/>
          <w:lang w:val="en-US"/>
        </w:rPr>
        <w:t xml:space="preserve">ric and anonymous bank account. In fact, for each crowdfunding project, researchers’ names, surnames, positions and curricula vitae are available, beyond </w:t>
      </w:r>
      <w:r w:rsidRPr="00895297">
        <w:rPr>
          <w:rFonts w:cs="Times New Roman"/>
          <w:lang w:val="en-US"/>
        </w:rPr>
        <w:t>the s</w:t>
      </w:r>
      <w:r>
        <w:rPr>
          <w:rFonts w:cs="Times New Roman"/>
          <w:lang w:val="en-US"/>
        </w:rPr>
        <w:t xml:space="preserve">pecific purposes of their project, </w:t>
      </w:r>
      <w:r w:rsidRPr="00895297">
        <w:rPr>
          <w:rFonts w:cs="Times New Roman"/>
          <w:lang w:val="en-US"/>
        </w:rPr>
        <w:t>explained in an authoritative way, but simple to understand.</w:t>
      </w:r>
      <w:r>
        <w:rPr>
          <w:rFonts w:cs="Times New Roman"/>
          <w:lang w:val="en-US"/>
        </w:rPr>
        <w:t xml:space="preserve"> Furthermore, backers can stay updated, if they wish, about the progress</w:t>
      </w:r>
      <w:r w:rsidR="004E7A49">
        <w:rPr>
          <w:rFonts w:cs="Times New Roman"/>
          <w:lang w:val="en-US"/>
        </w:rPr>
        <w:t>es</w:t>
      </w:r>
      <w:r>
        <w:rPr>
          <w:rFonts w:cs="Times New Roman"/>
          <w:lang w:val="en-US"/>
        </w:rPr>
        <w:t xml:space="preserve"> of the project. </w:t>
      </w:r>
    </w:p>
    <w:p w14:paraId="58187803" w14:textId="16E04876" w:rsidR="00037A11" w:rsidRDefault="00037A11" w:rsidP="00A11C14">
      <w:pPr>
        <w:spacing w:line="480" w:lineRule="auto"/>
        <w:jc w:val="both"/>
        <w:rPr>
          <w:rFonts w:cs="Times New Roman"/>
          <w:lang w:val="en-US"/>
        </w:rPr>
      </w:pPr>
      <w:r>
        <w:rPr>
          <w:rFonts w:cs="Times New Roman"/>
          <w:bCs/>
          <w:lang w:val="en-US"/>
        </w:rPr>
        <w:t xml:space="preserve">The main aim of this platform is supporting </w:t>
      </w:r>
      <w:r w:rsidRPr="00895297">
        <w:rPr>
          <w:rFonts w:cs="Times New Roman"/>
          <w:lang w:val="en-US"/>
        </w:rPr>
        <w:t xml:space="preserve">research activity, </w:t>
      </w:r>
      <w:r>
        <w:rPr>
          <w:rFonts w:cs="Times New Roman"/>
          <w:lang w:val="en-US"/>
        </w:rPr>
        <w:t>especially that of</w:t>
      </w:r>
      <w:r w:rsidRPr="00895297">
        <w:rPr>
          <w:rFonts w:cs="Times New Roman"/>
          <w:lang w:val="en-US"/>
        </w:rPr>
        <w:t xml:space="preserve"> young researchers, smart minds that </w:t>
      </w:r>
      <w:r>
        <w:rPr>
          <w:rFonts w:cs="Times New Roman"/>
          <w:lang w:val="en-US"/>
        </w:rPr>
        <w:t xml:space="preserve">deserve additional backing by greater visibility. Universitiamo is </w:t>
      </w:r>
      <w:r w:rsidRPr="00895297">
        <w:rPr>
          <w:rFonts w:cs="Times New Roman"/>
          <w:lang w:val="en-US"/>
        </w:rPr>
        <w:t>especially designed for them.</w:t>
      </w:r>
      <w:r w:rsidR="005B4008">
        <w:rPr>
          <w:rFonts w:cs="Times New Roman"/>
          <w:lang w:val="en-US"/>
        </w:rPr>
        <w:t xml:space="preserve"> Figure 5.2</w:t>
      </w:r>
      <w:r>
        <w:rPr>
          <w:rFonts w:cs="Times New Roman"/>
          <w:lang w:val="en-US"/>
        </w:rPr>
        <w:t xml:space="preserve"> shows projects’ distribution according to university’s function: it is clear </w:t>
      </w:r>
      <w:r w:rsidR="004E7A49">
        <w:rPr>
          <w:rFonts w:cs="Times New Roman"/>
          <w:lang w:val="en-US"/>
        </w:rPr>
        <w:t>that most of campaigns concern r</w:t>
      </w:r>
      <w:r>
        <w:rPr>
          <w:rFonts w:cs="Times New Roman"/>
          <w:lang w:val="en-US"/>
        </w:rPr>
        <w:t xml:space="preserve">esearch activities. </w:t>
      </w:r>
    </w:p>
    <w:p w14:paraId="22E40E3E" w14:textId="6450C9B3" w:rsidR="00037A11" w:rsidRPr="00A84FF2" w:rsidRDefault="005B4008" w:rsidP="00A11C14">
      <w:pPr>
        <w:spacing w:line="480" w:lineRule="auto"/>
        <w:jc w:val="both"/>
      </w:pPr>
      <w:r>
        <w:rPr>
          <w:rFonts w:cs="Times New Roman"/>
          <w:lang w:val="en-US"/>
        </w:rPr>
        <w:t>This is the reason why Figure 5.3</w:t>
      </w:r>
      <w:r w:rsidR="00037A11">
        <w:rPr>
          <w:rFonts w:cs="Times New Roman"/>
          <w:lang w:val="en-US"/>
        </w:rPr>
        <w:t xml:space="preserve"> is focused on research projects: it points out the allocation </w:t>
      </w:r>
      <w:r w:rsidR="00E05AC7">
        <w:rPr>
          <w:rFonts w:cs="Times New Roman"/>
          <w:lang w:val="en-US"/>
        </w:rPr>
        <w:t>of this</w:t>
      </w:r>
      <w:r w:rsidR="00037A11">
        <w:rPr>
          <w:rFonts w:cs="Times New Roman"/>
          <w:lang w:val="en-US"/>
        </w:rPr>
        <w:t xml:space="preserve"> type of campaigns among the three Research macro areas: humanities and social sciences, technologies and sciences, and life sciences. The last one is the research sector that proposes more crowdfunding projects (47%), followed by technologies and sciences (31%) and, finally, by humanities and social sciences (22%). </w:t>
      </w:r>
    </w:p>
    <w:p w14:paraId="55B592AD" w14:textId="75A3841D" w:rsidR="00037A11" w:rsidRPr="001F5FA2" w:rsidRDefault="00037A11" w:rsidP="00A11C14">
      <w:pPr>
        <w:spacing w:line="480" w:lineRule="auto"/>
        <w:jc w:val="both"/>
        <w:rPr>
          <w:rFonts w:cs="Times New Roman"/>
          <w:lang w:val="en-US"/>
        </w:rPr>
      </w:pPr>
      <w:r>
        <w:rPr>
          <w:rFonts w:cs="Times New Roman"/>
          <w:lang w:val="en-US"/>
        </w:rPr>
        <w:t>I</w:t>
      </w:r>
      <w:r w:rsidRPr="00895297">
        <w:rPr>
          <w:rFonts w:cs="Times New Roman"/>
          <w:lang w:val="en-US"/>
        </w:rPr>
        <w:t>n the first three years of activity, the platform hosted about </w:t>
      </w:r>
      <w:r w:rsidRPr="00A305B9">
        <w:rPr>
          <w:rFonts w:cs="Times New Roman"/>
          <w:bCs/>
          <w:lang w:val="en-US"/>
        </w:rPr>
        <w:t>40</w:t>
      </w:r>
      <w:r w:rsidR="00E05AC7">
        <w:rPr>
          <w:rFonts w:cs="Times New Roman"/>
          <w:bCs/>
          <w:lang w:val="en-US"/>
        </w:rPr>
        <w:t xml:space="preserve"> projects: 36 of them regard r</w:t>
      </w:r>
      <w:r w:rsidRPr="00A305B9">
        <w:rPr>
          <w:rFonts w:cs="Times New Roman"/>
          <w:bCs/>
          <w:lang w:val="en-US"/>
        </w:rPr>
        <w:t>esearch</w:t>
      </w:r>
      <w:r>
        <w:rPr>
          <w:rFonts w:cs="Times New Roman"/>
          <w:bCs/>
          <w:lang w:val="en-US"/>
        </w:rPr>
        <w:t xml:space="preserve"> function, 3 concern</w:t>
      </w:r>
      <w:r w:rsidRPr="00A305B9">
        <w:rPr>
          <w:rFonts w:cs="Times New Roman"/>
          <w:lang w:val="en-US"/>
        </w:rPr>
        <w:t> </w:t>
      </w:r>
      <w:r w:rsidR="00E05AC7">
        <w:rPr>
          <w:rFonts w:cs="Times New Roman"/>
          <w:lang w:val="en-US"/>
        </w:rPr>
        <w:t>o</w:t>
      </w:r>
      <w:r>
        <w:rPr>
          <w:rFonts w:cs="Times New Roman"/>
          <w:lang w:val="en-US"/>
        </w:rPr>
        <w:t>utreach, whereas only one</w:t>
      </w:r>
      <w:r w:rsidR="00E05AC7">
        <w:rPr>
          <w:rFonts w:cs="Times New Roman"/>
          <w:lang w:val="en-US"/>
        </w:rPr>
        <w:t xml:space="preserve"> is a campaign that relates to t</w:t>
      </w:r>
      <w:r>
        <w:rPr>
          <w:rFonts w:cs="Times New Roman"/>
          <w:lang w:val="en-US"/>
        </w:rPr>
        <w:t>eaching function.</w:t>
      </w:r>
      <w:r w:rsidRPr="00895297">
        <w:rPr>
          <w:rFonts w:cs="Times New Roman"/>
          <w:lang w:val="en-US"/>
        </w:rPr>
        <w:t> </w:t>
      </w:r>
      <w:r>
        <w:rPr>
          <w:rFonts w:cs="Times New Roman"/>
          <w:lang w:val="en-US"/>
        </w:rPr>
        <w:t>Since 2014, the platform</w:t>
      </w:r>
      <w:r w:rsidRPr="00895297">
        <w:rPr>
          <w:rFonts w:cs="Times New Roman"/>
          <w:lang w:val="en-US"/>
        </w:rPr>
        <w:t xml:space="preserve"> has collected </w:t>
      </w:r>
      <w:r>
        <w:rPr>
          <w:rFonts w:cs="Times New Roman"/>
          <w:lang w:val="en-US"/>
        </w:rPr>
        <w:t>€ 533.079 from over 2.464 donors, with an average of € 206 per donor and an average of 95</w:t>
      </w:r>
      <w:r w:rsidRPr="00895297">
        <w:rPr>
          <w:rFonts w:cs="Times New Roman"/>
          <w:lang w:val="en-US"/>
        </w:rPr>
        <w:t xml:space="preserve"> donors per project.</w:t>
      </w:r>
      <w:r>
        <w:rPr>
          <w:rFonts w:cs="Times New Roman"/>
          <w:lang w:val="en-US"/>
        </w:rPr>
        <w:t xml:space="preserve"> Besides, 27 crowdfunding campaigns (68%) managed to reach the required budget and 16 of these (40%) was able to exceed the goal (getting more than 100% of the money asked to the “crowd”). Following the reaso</w:t>
      </w:r>
      <w:r w:rsidR="005B4008">
        <w:rPr>
          <w:rFonts w:cs="Times New Roman"/>
          <w:lang w:val="en-US"/>
        </w:rPr>
        <w:t>ning previously stated, Figure 5.4</w:t>
      </w:r>
      <w:r>
        <w:rPr>
          <w:rFonts w:cs="Times New Roman"/>
          <w:lang w:val="en-US"/>
        </w:rPr>
        <w:t xml:space="preserve"> shows</w:t>
      </w:r>
      <w:r w:rsidR="00324D03">
        <w:rPr>
          <w:rFonts w:cs="Times New Roman"/>
          <w:lang w:val="en-US"/>
        </w:rPr>
        <w:t xml:space="preserve"> the</w:t>
      </w:r>
      <w:r>
        <w:rPr>
          <w:rFonts w:cs="Times New Roman"/>
          <w:lang w:val="en-US"/>
        </w:rPr>
        <w:t xml:space="preserve"> projects’ success composition according to university’s functions: ag</w:t>
      </w:r>
      <w:r w:rsidR="00644E36">
        <w:rPr>
          <w:rFonts w:cs="Times New Roman"/>
          <w:lang w:val="en-US"/>
        </w:rPr>
        <w:t>ain, the most supported one is research (89%), followed by outreach (7%) and t</w:t>
      </w:r>
      <w:r>
        <w:rPr>
          <w:rFonts w:cs="Times New Roman"/>
          <w:lang w:val="en-US"/>
        </w:rPr>
        <w:t>eaching (4%).</w:t>
      </w:r>
    </w:p>
    <w:p w14:paraId="3FCB69A2" w14:textId="15FDB92B" w:rsidR="00037A11" w:rsidRDefault="00037A11" w:rsidP="00A11C14">
      <w:pPr>
        <w:spacing w:line="480" w:lineRule="auto"/>
        <w:jc w:val="both"/>
        <w:rPr>
          <w:rFonts w:cs="Times New Roman"/>
          <w:lang w:val="en-US"/>
        </w:rPr>
      </w:pPr>
      <w:r>
        <w:rPr>
          <w:rFonts w:cs="Times New Roman"/>
          <w:lang w:val="en-US"/>
        </w:rPr>
        <w:t xml:space="preserve">Moreover, considering </w:t>
      </w:r>
      <w:r w:rsidR="00644E36">
        <w:rPr>
          <w:rFonts w:cs="Times New Roman"/>
          <w:lang w:val="en-US"/>
        </w:rPr>
        <w:t>only r</w:t>
      </w:r>
      <w:r w:rsidR="005B4008">
        <w:rPr>
          <w:rFonts w:cs="Times New Roman"/>
          <w:lang w:val="en-US"/>
        </w:rPr>
        <w:t>esearch projects, Figure 5.5</w:t>
      </w:r>
      <w:r>
        <w:rPr>
          <w:rFonts w:cs="Times New Roman"/>
          <w:lang w:val="en-US"/>
        </w:rPr>
        <w:t xml:space="preserve"> underlines the differences in term of performance among the three macro areas. Furthermore, it points out, per each of the latter, number of on-line campaigns (blue column), number of projects able to reach at least 80% of required budget (red column) and, eventually, number of campaigns that exceed the budget (violet column).</w:t>
      </w:r>
    </w:p>
    <w:p w14:paraId="54C76F46" w14:textId="6FE56242" w:rsidR="00037A11" w:rsidRDefault="00037A11" w:rsidP="00A11C14">
      <w:pPr>
        <w:spacing w:line="480" w:lineRule="auto"/>
        <w:jc w:val="both"/>
        <w:rPr>
          <w:rFonts w:cs="Times New Roman"/>
          <w:lang w:val="en-US"/>
        </w:rPr>
      </w:pPr>
      <w:r>
        <w:rPr>
          <w:rFonts w:cs="Times New Roman"/>
          <w:lang w:val="en-US"/>
        </w:rPr>
        <w:t xml:space="preserve">Most successful projects regard life sciences research: 16% out of 17 campaigns reached the budget required and 75% exceeded the goal. Relating to technologies and sciences, more than 50% received the funds they asked to crowd, whereas only 50% of these overcame this amount of money. Finally, humanities and social sciences have the lowest success rate, since only two projects out of eight was able to gather at least 80% of the required budget. </w:t>
      </w:r>
    </w:p>
    <w:p w14:paraId="0204B4C3" w14:textId="77777777" w:rsidR="00037A11" w:rsidRDefault="00037A11" w:rsidP="00A11C14">
      <w:pPr>
        <w:spacing w:line="480" w:lineRule="auto"/>
        <w:jc w:val="both"/>
        <w:rPr>
          <w:rFonts w:cs="Times New Roman"/>
          <w:lang w:val="en-US"/>
        </w:rPr>
      </w:pPr>
    </w:p>
    <w:p w14:paraId="099758A3" w14:textId="77777777" w:rsidR="00037A11" w:rsidRPr="00F559CC" w:rsidRDefault="00037A11" w:rsidP="00A11C14">
      <w:pPr>
        <w:spacing w:line="480" w:lineRule="auto"/>
        <w:jc w:val="both"/>
        <w:rPr>
          <w:rFonts w:cs="Times New Roman"/>
          <w:b/>
          <w:i/>
          <w:lang w:val="en-US"/>
        </w:rPr>
      </w:pPr>
      <w:r>
        <w:rPr>
          <w:rFonts w:cs="Times New Roman"/>
          <w:b/>
          <w:i/>
          <w:lang w:val="en-US"/>
        </w:rPr>
        <w:t xml:space="preserve">5.4.3 </w:t>
      </w:r>
      <w:r w:rsidRPr="00F559CC">
        <w:rPr>
          <w:rFonts w:cs="Times New Roman"/>
          <w:b/>
          <w:i/>
          <w:lang w:val="en-US"/>
        </w:rPr>
        <w:t>Interviews</w:t>
      </w:r>
      <w:r>
        <w:rPr>
          <w:rFonts w:cs="Times New Roman"/>
          <w:b/>
          <w:i/>
          <w:lang w:val="en-US"/>
        </w:rPr>
        <w:t>: results</w:t>
      </w:r>
    </w:p>
    <w:p w14:paraId="0E3016C0" w14:textId="611B9E32" w:rsidR="00037A11" w:rsidRPr="00AD6A90" w:rsidRDefault="00037A11" w:rsidP="00A11C14">
      <w:pPr>
        <w:spacing w:line="480" w:lineRule="auto"/>
        <w:jc w:val="both"/>
        <w:rPr>
          <w:rFonts w:cs="Times New Roman"/>
          <w:lang w:val="en-US"/>
        </w:rPr>
      </w:pPr>
      <w:r>
        <w:rPr>
          <w:rFonts w:cs="Times New Roman"/>
          <w:lang w:val="en-US"/>
        </w:rPr>
        <w:t>According to the qualitative method used in this study, two interviews was conducted, in order to better understand if fundraising and crowdfunding are considered useful tools to support university’s mission and which function can they sustain for a sustainable development of the university itself. As previously stated, a conceptual map that summarized content analysi</w:t>
      </w:r>
      <w:r w:rsidR="005B4008">
        <w:rPr>
          <w:rFonts w:cs="Times New Roman"/>
          <w:lang w:val="en-US"/>
        </w:rPr>
        <w:t>s results is presented (Figure 5.6</w:t>
      </w:r>
      <w:r>
        <w:rPr>
          <w:rFonts w:cs="Times New Roman"/>
          <w:lang w:val="en-US"/>
        </w:rPr>
        <w:t>).</w:t>
      </w:r>
    </w:p>
    <w:p w14:paraId="31336501" w14:textId="55DA0449" w:rsidR="00037A11" w:rsidRDefault="00037A11" w:rsidP="00A11C14">
      <w:pPr>
        <w:spacing w:line="480" w:lineRule="auto"/>
        <w:jc w:val="both"/>
        <w:rPr>
          <w:rFonts w:cs="Times New Roman"/>
          <w:lang w:val="en-US"/>
        </w:rPr>
      </w:pPr>
      <w:r>
        <w:rPr>
          <w:rFonts w:cs="Times New Roman"/>
          <w:lang w:val="en-US"/>
        </w:rPr>
        <w:t xml:space="preserve">The blue boxes represent the categories arisen from the preliminary evaluation of the interviews by the researchers. The first one is the definition of </w:t>
      </w:r>
      <w:r w:rsidR="00F611BF">
        <w:rPr>
          <w:rFonts w:cs="Times New Roman"/>
          <w:lang w:val="en-US"/>
        </w:rPr>
        <w:t xml:space="preserve">the </w:t>
      </w:r>
      <w:r>
        <w:rPr>
          <w:rFonts w:cs="Times New Roman"/>
          <w:lang w:val="en-US"/>
        </w:rPr>
        <w:t>fundraising concept: it is defined as a new process, where several activities are included. The most important ones are</w:t>
      </w:r>
      <w:r w:rsidR="00F611BF">
        <w:rPr>
          <w:rFonts w:cs="Times New Roman"/>
          <w:lang w:val="en-US"/>
        </w:rPr>
        <w:t xml:space="preserve"> promotion of the university,</w:t>
      </w:r>
      <w:r>
        <w:rPr>
          <w:rFonts w:cs="Times New Roman"/>
          <w:lang w:val="en-US"/>
        </w:rPr>
        <w:t xml:space="preserve"> the services delivered and </w:t>
      </w:r>
      <w:r w:rsidR="00F611BF">
        <w:rPr>
          <w:rFonts w:cs="Times New Roman"/>
          <w:lang w:val="en-US"/>
        </w:rPr>
        <w:t xml:space="preserve">the </w:t>
      </w:r>
      <w:r>
        <w:rPr>
          <w:rFonts w:cs="Times New Roman"/>
          <w:lang w:val="en-US"/>
        </w:rPr>
        <w:t>development of the university itself. Moreover, this definition address</w:t>
      </w:r>
      <w:r w:rsidR="00F611BF">
        <w:rPr>
          <w:rFonts w:cs="Times New Roman"/>
          <w:lang w:val="en-US"/>
        </w:rPr>
        <w:t>es</w:t>
      </w:r>
      <w:r>
        <w:rPr>
          <w:rFonts w:cs="Times New Roman"/>
          <w:lang w:val="en-US"/>
        </w:rPr>
        <w:t xml:space="preserve"> fundraising as an institutional support to the three university’s functions. Furthermore, it is co</w:t>
      </w:r>
      <w:r w:rsidR="00F611BF">
        <w:rPr>
          <w:rFonts w:cs="Times New Roman"/>
          <w:lang w:val="en-US"/>
        </w:rPr>
        <w:t>nsidered a new tool to sustain o</w:t>
      </w:r>
      <w:r>
        <w:rPr>
          <w:rFonts w:cs="Times New Roman"/>
          <w:lang w:val="en-US"/>
        </w:rPr>
        <w:t>utreach, not only in the technology transfer process, but also as a way to start a dialogue with external stakeholders, like, for example, enterprises. Relat</w:t>
      </w:r>
      <w:r w:rsidR="00D97B4C">
        <w:rPr>
          <w:rFonts w:cs="Times New Roman"/>
          <w:lang w:val="en-US"/>
        </w:rPr>
        <w:t>ing to the fundraising function</w:t>
      </w:r>
      <w:r>
        <w:rPr>
          <w:rFonts w:cs="Times New Roman"/>
          <w:lang w:val="en-US"/>
        </w:rPr>
        <w:t xml:space="preserve">, it is considered as a communication tool of the university’s fundraising campaigns towards the external environment. Besides, it needs an organizational coordination, since it involves several </w:t>
      </w:r>
      <w:r w:rsidR="00D97B4C">
        <w:rPr>
          <w:rFonts w:cs="Times New Roman"/>
          <w:lang w:val="en-US"/>
        </w:rPr>
        <w:t>university’s</w:t>
      </w:r>
      <w:r>
        <w:rPr>
          <w:rFonts w:cs="Times New Roman"/>
          <w:lang w:val="en-US"/>
        </w:rPr>
        <w:t xml:space="preserve"> departments. Finally</w:t>
      </w:r>
      <w:r w:rsidR="00D97B4C">
        <w:rPr>
          <w:rFonts w:cs="Times New Roman"/>
          <w:lang w:val="en-US"/>
        </w:rPr>
        <w:t>,</w:t>
      </w:r>
      <w:r>
        <w:rPr>
          <w:rFonts w:cs="Times New Roman"/>
          <w:lang w:val="en-US"/>
        </w:rPr>
        <w:t xml:space="preserve"> the main function of fundraising</w:t>
      </w:r>
      <w:r w:rsidR="00031AD8">
        <w:rPr>
          <w:rFonts w:cs="Times New Roman"/>
          <w:lang w:val="en-US"/>
        </w:rPr>
        <w:t>,</w:t>
      </w:r>
      <w:r>
        <w:rPr>
          <w:rFonts w:cs="Times New Roman"/>
          <w:lang w:val="en-US"/>
        </w:rPr>
        <w:t xml:space="preserve"> in</w:t>
      </w:r>
      <w:r w:rsidR="00031AD8">
        <w:rPr>
          <w:rFonts w:cs="Times New Roman"/>
          <w:lang w:val="en-US"/>
        </w:rPr>
        <w:t xml:space="preserve"> the</w:t>
      </w:r>
      <w:r>
        <w:rPr>
          <w:rFonts w:cs="Times New Roman"/>
          <w:lang w:val="en-US"/>
        </w:rPr>
        <w:t xml:space="preserve"> University of Pavia</w:t>
      </w:r>
      <w:r w:rsidR="00031AD8">
        <w:rPr>
          <w:rFonts w:cs="Times New Roman"/>
          <w:lang w:val="en-US"/>
        </w:rPr>
        <w:t>, is supporting r</w:t>
      </w:r>
      <w:r>
        <w:rPr>
          <w:rFonts w:cs="Times New Roman"/>
          <w:lang w:val="en-US"/>
        </w:rPr>
        <w:t xml:space="preserve">esearch. </w:t>
      </w:r>
    </w:p>
    <w:p w14:paraId="1BB6B002" w14:textId="4105AC26" w:rsidR="00037A11" w:rsidRDefault="00037A11" w:rsidP="00A11C14">
      <w:pPr>
        <w:spacing w:line="480" w:lineRule="auto"/>
        <w:jc w:val="both"/>
        <w:rPr>
          <w:rFonts w:cs="Times New Roman"/>
          <w:lang w:val="en-US"/>
        </w:rPr>
      </w:pPr>
      <w:r>
        <w:rPr>
          <w:rFonts w:cs="Times New Roman"/>
          <w:lang w:val="en-US"/>
        </w:rPr>
        <w:t>As previously stated, fundraising is defined as a process that include</w:t>
      </w:r>
      <w:r w:rsidR="00206AC5">
        <w:rPr>
          <w:rFonts w:cs="Times New Roman"/>
          <w:lang w:val="en-US"/>
        </w:rPr>
        <w:t>s</w:t>
      </w:r>
      <w:r>
        <w:rPr>
          <w:rFonts w:cs="Times New Roman"/>
          <w:lang w:val="en-US"/>
        </w:rPr>
        <w:t xml:space="preserve"> numerous activities, like communication inside and outside the university and strategic coordination to develop the process in an effective way. Besides, this proc</w:t>
      </w:r>
      <w:r w:rsidR="00206AC5">
        <w:rPr>
          <w:rFonts w:cs="Times New Roman"/>
          <w:lang w:val="en-US"/>
        </w:rPr>
        <w:t>ess is mainly addressed to the r</w:t>
      </w:r>
      <w:r>
        <w:rPr>
          <w:rFonts w:cs="Times New Roman"/>
          <w:lang w:val="en-US"/>
        </w:rPr>
        <w:t>esearch support. This fact is linked to the fundraising’s output, which is defined as knowledge creation through promotion of campaigns, institution of education and graduation awards and donations gathered by the university. This is considered a performance driver in term of social impact. Another output is the establishment of several partnerships with profit and nonprofit organizations and</w:t>
      </w:r>
      <w:r w:rsidR="00206AC5">
        <w:rPr>
          <w:rFonts w:cs="Times New Roman"/>
          <w:lang w:val="en-US"/>
        </w:rPr>
        <w:t>, from</w:t>
      </w:r>
      <w:r>
        <w:rPr>
          <w:rFonts w:cs="Times New Roman"/>
          <w:lang w:val="en-US"/>
        </w:rPr>
        <w:t xml:space="preserve"> this perspective</w:t>
      </w:r>
      <w:r w:rsidR="00206AC5">
        <w:rPr>
          <w:rFonts w:cs="Times New Roman"/>
          <w:lang w:val="en-US"/>
        </w:rPr>
        <w:t>,</w:t>
      </w:r>
      <w:r w:rsidR="00E50FF6">
        <w:rPr>
          <w:rFonts w:cs="Times New Roman"/>
          <w:lang w:val="en-US"/>
        </w:rPr>
        <w:t xml:space="preserve"> fundraising is also an o</w:t>
      </w:r>
      <w:r>
        <w:rPr>
          <w:rFonts w:cs="Times New Roman"/>
          <w:lang w:val="en-US"/>
        </w:rPr>
        <w:t xml:space="preserve">utreach tool. Moreover, </w:t>
      </w:r>
      <w:r w:rsidR="00E50FF6">
        <w:rPr>
          <w:rFonts w:cs="Times New Roman"/>
          <w:lang w:val="en-US"/>
        </w:rPr>
        <w:t xml:space="preserve">the </w:t>
      </w:r>
      <w:r>
        <w:rPr>
          <w:rFonts w:cs="Times New Roman"/>
          <w:lang w:val="en-US"/>
        </w:rPr>
        <w:t>University of Pavia tries to engage its stakeholder and perspective donors by organizing soc</w:t>
      </w:r>
      <w:r w:rsidR="00E50FF6">
        <w:rPr>
          <w:rFonts w:cs="Times New Roman"/>
          <w:lang w:val="en-US"/>
        </w:rPr>
        <w:t>ial events (public engagement).</w:t>
      </w:r>
      <w:r>
        <w:rPr>
          <w:rFonts w:cs="Times New Roman"/>
          <w:lang w:val="en-US"/>
        </w:rPr>
        <w:t xml:space="preserve"> These events are not only addressed to promotion, but they are the chance to communicate to internal and external stakeholders and donor</w:t>
      </w:r>
      <w:r w:rsidR="00F7653C">
        <w:rPr>
          <w:rFonts w:cs="Times New Roman"/>
          <w:lang w:val="en-US"/>
        </w:rPr>
        <w:t>s which results the university</w:t>
      </w:r>
      <w:r>
        <w:rPr>
          <w:rFonts w:cs="Times New Roman"/>
          <w:lang w:val="en-US"/>
        </w:rPr>
        <w:t xml:space="preserve"> has reached</w:t>
      </w:r>
      <w:r w:rsidR="003F150D">
        <w:rPr>
          <w:rFonts w:cs="Times New Roman"/>
          <w:lang w:val="en-US"/>
        </w:rPr>
        <w:t>,</w:t>
      </w:r>
      <w:r>
        <w:rPr>
          <w:rFonts w:cs="Times New Roman"/>
          <w:lang w:val="en-US"/>
        </w:rPr>
        <w:t xml:space="preserve"> thanks to </w:t>
      </w:r>
      <w:r w:rsidR="00E50FF6">
        <w:rPr>
          <w:rFonts w:cs="Times New Roman"/>
          <w:lang w:val="en-US"/>
        </w:rPr>
        <w:t xml:space="preserve">the </w:t>
      </w:r>
      <w:r>
        <w:rPr>
          <w:rFonts w:cs="Times New Roman"/>
          <w:lang w:val="en-US"/>
        </w:rPr>
        <w:t>fundraising campaign</w:t>
      </w:r>
      <w:r w:rsidR="00E50FF6">
        <w:rPr>
          <w:rFonts w:cs="Times New Roman"/>
          <w:lang w:val="en-US"/>
        </w:rPr>
        <w:t>s</w:t>
      </w:r>
      <w:r>
        <w:rPr>
          <w:rFonts w:cs="Times New Roman"/>
          <w:lang w:val="en-US"/>
        </w:rPr>
        <w:t>. However</w:t>
      </w:r>
      <w:r w:rsidR="00E50FF6">
        <w:rPr>
          <w:rFonts w:cs="Times New Roman"/>
          <w:lang w:val="en-US"/>
        </w:rPr>
        <w:t>,</w:t>
      </w:r>
      <w:r>
        <w:rPr>
          <w:rFonts w:cs="Times New Roman"/>
          <w:lang w:val="en-US"/>
        </w:rPr>
        <w:t xml:space="preserve"> formal social reporting and accountability need more time and it is not possible to communicate results, especially relating to</w:t>
      </w:r>
      <w:r w:rsidR="00E50FF6">
        <w:rPr>
          <w:rFonts w:cs="Times New Roman"/>
          <w:lang w:val="en-US"/>
        </w:rPr>
        <w:t xml:space="preserve"> the r</w:t>
      </w:r>
      <w:r>
        <w:rPr>
          <w:rFonts w:cs="Times New Roman"/>
          <w:lang w:val="en-US"/>
        </w:rPr>
        <w:t>esearch activities, immediately after th</w:t>
      </w:r>
      <w:r w:rsidR="00E50FF6">
        <w:rPr>
          <w:rFonts w:cs="Times New Roman"/>
          <w:lang w:val="en-US"/>
        </w:rPr>
        <w:t>e end of a fundraising campaign</w:t>
      </w:r>
      <w:r>
        <w:rPr>
          <w:rFonts w:cs="Times New Roman"/>
          <w:lang w:val="en-US"/>
        </w:rPr>
        <w:t xml:space="preserve">. Nonetheless, social reporting and accountability are considered key performance drivers in an openness perspective. Performance evaluation is also considered a mid-long period activity, which takes into consideration the fact that introducing a new activity, like fundraising, implies a learning-by-doing process for human resources included in the fundraising unit. </w:t>
      </w:r>
    </w:p>
    <w:p w14:paraId="4A8AEBA2" w14:textId="32B3BF17" w:rsidR="00037A11" w:rsidRDefault="00037A11" w:rsidP="00A11C14">
      <w:pPr>
        <w:spacing w:line="480" w:lineRule="auto"/>
        <w:jc w:val="both"/>
        <w:rPr>
          <w:rFonts w:cs="Times New Roman"/>
          <w:lang w:val="en-US"/>
        </w:rPr>
      </w:pPr>
      <w:r>
        <w:rPr>
          <w:rFonts w:cs="Times New Roman"/>
          <w:lang w:val="en-US"/>
        </w:rPr>
        <w:t xml:space="preserve">Eventually, crowdfunding is one of the most important innovations introduced by University of Pavia within the academic environment, being the first in Italy and Europe. It works as a donation-based platform, </w:t>
      </w:r>
      <w:r w:rsidR="00032D5C">
        <w:rPr>
          <w:rFonts w:cs="Times New Roman"/>
          <w:lang w:val="en-US"/>
        </w:rPr>
        <w:t>where people can contribute to r</w:t>
      </w:r>
      <w:r>
        <w:rPr>
          <w:rFonts w:cs="Times New Roman"/>
          <w:lang w:val="en-US"/>
        </w:rPr>
        <w:t>esearch by giving even small amounts of money. Following this</w:t>
      </w:r>
      <w:r w:rsidR="00032D5C">
        <w:rPr>
          <w:rFonts w:cs="Times New Roman"/>
          <w:lang w:val="en-US"/>
        </w:rPr>
        <w:t xml:space="preserve"> reasoning, it supports mainly r</w:t>
      </w:r>
      <w:r>
        <w:rPr>
          <w:rFonts w:cs="Times New Roman"/>
          <w:lang w:val="en-US"/>
        </w:rPr>
        <w:t xml:space="preserve">esearch function. It is able to engage the crowd and, hence, a huge number of stakeholders and donors (public engagement and participation). Being an online platform, its performance is strictly correlated with the university’s reputation, since it reaches stakeholders and donors that can be geographically far from Pavia and could not have had any direct experience of the university. Furthermore, communication abilities on digital tools and social networks are crucial for the crowdfunding campaigns’ success. The choice of using this kind of fundraising tool is a path to an “open” university for society. </w:t>
      </w:r>
    </w:p>
    <w:p w14:paraId="4E7E7473" w14:textId="77777777" w:rsidR="00037A11" w:rsidRDefault="00037A11" w:rsidP="00A11C14">
      <w:pPr>
        <w:spacing w:line="480" w:lineRule="auto"/>
        <w:jc w:val="both"/>
        <w:rPr>
          <w:rFonts w:cs="Times New Roman"/>
          <w:lang w:val="en-US"/>
        </w:rPr>
      </w:pPr>
    </w:p>
    <w:p w14:paraId="64464E5F" w14:textId="77777777" w:rsidR="00037A11" w:rsidRDefault="00037A11" w:rsidP="00A11C14">
      <w:pPr>
        <w:spacing w:line="480" w:lineRule="auto"/>
        <w:jc w:val="both"/>
        <w:rPr>
          <w:rFonts w:cs="Times New Roman"/>
          <w:b/>
          <w:lang w:val="en-US"/>
        </w:rPr>
      </w:pPr>
      <w:r>
        <w:rPr>
          <w:rFonts w:cs="Times New Roman"/>
          <w:b/>
          <w:lang w:val="en-US"/>
        </w:rPr>
        <w:t>5.5 Discussion</w:t>
      </w:r>
    </w:p>
    <w:p w14:paraId="7839703E" w14:textId="10C2EB60" w:rsidR="00037A11" w:rsidRDefault="00037A11" w:rsidP="00A11C14">
      <w:pPr>
        <w:spacing w:line="480" w:lineRule="auto"/>
        <w:jc w:val="both"/>
        <w:rPr>
          <w:rFonts w:cs="Times New Roman"/>
          <w:lang w:val="en-US"/>
        </w:rPr>
      </w:pPr>
      <w:r>
        <w:rPr>
          <w:rFonts w:cs="Times New Roman"/>
          <w:lang w:val="en-US"/>
        </w:rPr>
        <w:t>The case study analysis is particularly interesting because it allows a better understanding about how public universities can be more sustainable from financial and social point of view</w:t>
      </w:r>
      <w:r w:rsidRPr="00802D7C">
        <w:rPr>
          <w:rFonts w:cs="Times New Roman"/>
          <w:lang w:val="en-US"/>
        </w:rPr>
        <w:t xml:space="preserve"> </w:t>
      </w:r>
      <w:r>
        <w:rPr>
          <w:rFonts w:cs="Times New Roman"/>
          <w:lang w:val="en-US"/>
        </w:rPr>
        <w:t>(Vickers &amp; Kouzmin, 2001; Lozano, 2011). Indeed, case study’s overview demonstrates that most education and graduation awards are funded by bequests and donations, without any commitment for the university. Moreover, educ</w:t>
      </w:r>
      <w:r w:rsidR="00B65C91">
        <w:rPr>
          <w:rFonts w:cs="Times New Roman"/>
          <w:lang w:val="en-US"/>
        </w:rPr>
        <w:t>ation awards have an impact on t</w:t>
      </w:r>
      <w:r>
        <w:rPr>
          <w:rFonts w:cs="Times New Roman"/>
          <w:lang w:val="en-US"/>
        </w:rPr>
        <w:t>eaching function in term of output, since they support most brilliant student during their education course, contributing to maintain and increase the graduates number. Further</w:t>
      </w:r>
      <w:r w:rsidR="00652E6F">
        <w:rPr>
          <w:rFonts w:cs="Times New Roman"/>
          <w:lang w:val="en-US"/>
        </w:rPr>
        <w:t>more, graduation awards affect teaching and r</w:t>
      </w:r>
      <w:r>
        <w:rPr>
          <w:rFonts w:cs="Times New Roman"/>
          <w:lang w:val="en-US"/>
        </w:rPr>
        <w:t xml:space="preserve">esearch in term of outcome, as they sustain top quality graduates who have proven specific scientific interests or that deserves incentives to carry on their research activity. Besides, the composition of awards founders reveals the capability of </w:t>
      </w:r>
      <w:r w:rsidR="008170A7">
        <w:rPr>
          <w:rFonts w:cs="Times New Roman"/>
          <w:lang w:val="en-US"/>
        </w:rPr>
        <w:t xml:space="preserve">the </w:t>
      </w:r>
      <w:r>
        <w:rPr>
          <w:rFonts w:cs="Times New Roman"/>
          <w:lang w:val="en-US"/>
        </w:rPr>
        <w:t xml:space="preserve">University of Pavia to establish long-term relationships </w:t>
      </w:r>
      <w:r w:rsidRPr="00026F43">
        <w:rPr>
          <w:rFonts w:cs="Times New Roman"/>
          <w:lang w:val="en-US"/>
        </w:rPr>
        <w:t>with several stakeholders (public authorities, private companies, nonprofit organizations and natural people), involving them in the value creation process, becoming so a co-creation process</w:t>
      </w:r>
      <w:r>
        <w:rPr>
          <w:rFonts w:cs="Times New Roman"/>
          <w:lang w:val="en-US"/>
        </w:rPr>
        <w:t xml:space="preserve"> (McMillin &amp; Dyball, 2009; Wright &amp; Horst, 2013)</w:t>
      </w:r>
      <w:r w:rsidRPr="00026F43">
        <w:rPr>
          <w:rFonts w:cs="Times New Roman"/>
          <w:lang w:val="en-US"/>
        </w:rPr>
        <w:t>.</w:t>
      </w:r>
    </w:p>
    <w:p w14:paraId="4E9403A4" w14:textId="181F8505" w:rsidR="00037A11" w:rsidRDefault="00037A11" w:rsidP="00A11C14">
      <w:pPr>
        <w:spacing w:line="480" w:lineRule="auto"/>
        <w:jc w:val="both"/>
        <w:rPr>
          <w:rFonts w:cs="Times New Roman"/>
          <w:lang w:val="en-US"/>
        </w:rPr>
      </w:pPr>
      <w:r>
        <w:rPr>
          <w:rFonts w:cs="Times New Roman"/>
          <w:lang w:val="en-US"/>
        </w:rPr>
        <w:t xml:space="preserve">Within </w:t>
      </w:r>
      <w:r w:rsidR="000F354D">
        <w:rPr>
          <w:rFonts w:cs="Times New Roman"/>
          <w:lang w:val="en-US"/>
        </w:rPr>
        <w:t xml:space="preserve">the </w:t>
      </w:r>
      <w:r>
        <w:rPr>
          <w:rFonts w:cs="Times New Roman"/>
          <w:lang w:val="en-US"/>
        </w:rPr>
        <w:t xml:space="preserve">University of Pavia context, crowdfunding is an innovation tool useful to support university’s mission, since it is able to engage several and varied stakeholders, both directly, by public engagement events, and indirectly, by the crowdfunding platform itself and social networks (Csikszentmihalyi, 1997; Borins, 2001; Sorensen &amp; Torfing, 2011). Crowdfunding allows donors creating value together with the university, making them become part of scientific projects (Szkuta et al., 2014). Success rate of crowdfunding projects (68%) is higher than the national mean (50%) (Starteed, 2018): during the first year of the platform € 247.091 has been raised, followed by € 80.783 in the second one and, eventually, € 205.205 in the third one. This is a positive performance, in spite of the decrease in the second year, caused by the end of the “newness effect” and by the introduction of more humanities and social sciences’ projects. Indeed, the latters are less “crowd appealing” and are characterized by lower required budgets. Besides, during the third year, 21 campaigns have been proposed to the crowd, with a well-diversified funding goal, according to the project’s macro areas and target. </w:t>
      </w:r>
    </w:p>
    <w:p w14:paraId="1F5C9401" w14:textId="0C3ED382" w:rsidR="00037A11" w:rsidRDefault="00037A11" w:rsidP="00A11C14">
      <w:pPr>
        <w:spacing w:line="480" w:lineRule="auto"/>
        <w:jc w:val="both"/>
        <w:rPr>
          <w:rFonts w:cs="Times New Roman"/>
          <w:lang w:val="en-US"/>
        </w:rPr>
      </w:pPr>
      <w:r>
        <w:rPr>
          <w:rFonts w:cs="Times New Roman"/>
          <w:lang w:val="en-US"/>
        </w:rPr>
        <w:t xml:space="preserve">Therefore, in 2017 the platform became mature and grounded, thanks to a strategic selection activity of the projects, both in term of research macro areas and from required budget point of view (Meyskens &amp; Bird, 2015). Moreover, communication to the main stakeholders and donors is stable, through social networks and by specific accountability workshops (Wheat et al., 2013). Accountability is an important characteristic of Universitiamo, since there are no laws about this important issue. Despite this lack, </w:t>
      </w:r>
      <w:r w:rsidR="000F354D">
        <w:rPr>
          <w:rFonts w:cs="Times New Roman"/>
          <w:lang w:val="en-US"/>
        </w:rPr>
        <w:t xml:space="preserve">the </w:t>
      </w:r>
      <w:r>
        <w:rPr>
          <w:rFonts w:cs="Times New Roman"/>
          <w:lang w:val="en-US"/>
        </w:rPr>
        <w:t xml:space="preserve">University of Pavia has decided to establish a continuous dialogue with its stakeholders and donors through the organization of public engagement events, publishing social reports, communicating its results, also through the storytelling of most important crowdfunding success stories (Ferrer-Balas et al., 2008; Weenen, 2000; Lozano, 2006a; Lozano, 2011). </w:t>
      </w:r>
    </w:p>
    <w:p w14:paraId="3DA6B3A5" w14:textId="77777777" w:rsidR="00037A11" w:rsidRDefault="00037A11" w:rsidP="00A11C14">
      <w:pPr>
        <w:spacing w:line="480" w:lineRule="auto"/>
        <w:jc w:val="both"/>
        <w:rPr>
          <w:rFonts w:cs="Times New Roman"/>
          <w:lang w:val="en-US"/>
        </w:rPr>
      </w:pPr>
      <w:r>
        <w:rPr>
          <w:rFonts w:cs="Times New Roman"/>
          <w:lang w:val="en-US"/>
        </w:rPr>
        <w:t>The next evolution of the platform will be affected by a new strategy: it will host crowdfunding projects coming from other Italian universities e from municipalities (civic crowdfunding). Finally, University of Pavia will start an international fundraising campaign, with the aim to enlarge the stakeholders’ networks and to improve its value co-creation process (Borins, 2001; Hartley 2005; Sorensen and Torfing, 2011; Szkuta et al., 2014).</w:t>
      </w:r>
    </w:p>
    <w:p w14:paraId="3F468D25" w14:textId="0D7E0D2A" w:rsidR="00037A11" w:rsidRDefault="00037A11" w:rsidP="00A11C14">
      <w:pPr>
        <w:spacing w:line="480" w:lineRule="auto"/>
        <w:jc w:val="both"/>
        <w:rPr>
          <w:rFonts w:cs="Times New Roman"/>
          <w:lang w:val="en-US"/>
        </w:rPr>
      </w:pPr>
      <w:r>
        <w:rPr>
          <w:rFonts w:cs="Times New Roman"/>
          <w:lang w:val="en-US"/>
        </w:rPr>
        <w:t>Relating to the research questions aforementioned, this study is able to state that crowdfunding, within public higher education sector, is a process and strategic innovation tool. This is also confirmed by the content analysis results. Relating to the former, a new organizational model in term of fundraising was introduced, through the establishment of a professional staff. Moreover, crowdfunding is a strategic innovation since it establishes new objectives in terms of fundraising and stakeholders’ engagement (Hartley, 2005). However, from financial and social sustainability point of view, crowdfunding is a collateral tool, which should be combined with other “traditional” fundraising tools, which are adopted by University of Pavia (education and graduation awards, competitive announcements…) (Ferrer-Balas et al., 2008). This is confirmed by the fact that crowdfunding support</w:t>
      </w:r>
      <w:r w:rsidR="001658F6">
        <w:rPr>
          <w:rFonts w:cs="Times New Roman"/>
          <w:lang w:val="en-US"/>
        </w:rPr>
        <w:t>s</w:t>
      </w:r>
      <w:r>
        <w:rPr>
          <w:rFonts w:cs="Times New Roman"/>
          <w:lang w:val="en-US"/>
        </w:rPr>
        <w:t xml:space="preserve"> mainly </w:t>
      </w:r>
      <w:r w:rsidR="001658F6">
        <w:rPr>
          <w:rFonts w:cs="Times New Roman"/>
          <w:lang w:val="en-US"/>
        </w:rPr>
        <w:t>the research function rather than teaching and o</w:t>
      </w:r>
      <w:r>
        <w:rPr>
          <w:rFonts w:cs="Times New Roman"/>
          <w:lang w:val="en-US"/>
        </w:rPr>
        <w:t xml:space="preserve">utreach. Instead, these are successfully sustained by other fundraising means, which are able to involve stakeholders in the university’s value creation process as well (Wheat et al., 2013).  </w:t>
      </w:r>
    </w:p>
    <w:p w14:paraId="10A193DE" w14:textId="78093F66" w:rsidR="00037A11" w:rsidRDefault="00037A11" w:rsidP="00A11C14">
      <w:pPr>
        <w:spacing w:line="480" w:lineRule="auto"/>
        <w:jc w:val="both"/>
        <w:rPr>
          <w:rFonts w:cs="Times New Roman"/>
          <w:lang w:val="en-US"/>
        </w:rPr>
      </w:pPr>
      <w:r>
        <w:rPr>
          <w:rFonts w:cs="Times New Roman"/>
          <w:lang w:val="en-US"/>
        </w:rPr>
        <w:t xml:space="preserve">Content analysis results of the interviews confirm previous statements. Furthermore, it points out the focus of fundraising process and activities on </w:t>
      </w:r>
      <w:r w:rsidR="006605BB">
        <w:rPr>
          <w:rFonts w:cs="Times New Roman"/>
          <w:lang w:val="en-US"/>
        </w:rPr>
        <w:t>the r</w:t>
      </w:r>
      <w:r>
        <w:rPr>
          <w:rFonts w:cs="Times New Roman"/>
          <w:lang w:val="en-US"/>
        </w:rPr>
        <w:t>esearch function. More specifically, in the definition of fundraising, interviewees state that it is addressed to all university’s function</w:t>
      </w:r>
      <w:r w:rsidR="00DE3CD8">
        <w:rPr>
          <w:rFonts w:cs="Times New Roman"/>
          <w:lang w:val="en-US"/>
        </w:rPr>
        <w:t>s</w:t>
      </w:r>
      <w:r>
        <w:rPr>
          <w:rFonts w:cs="Times New Roman"/>
          <w:lang w:val="en-US"/>
        </w:rPr>
        <w:t>. However, relating to fundraising’s functions, fundraising and, hence, crowdfu</w:t>
      </w:r>
      <w:r w:rsidR="00EC46B5">
        <w:rPr>
          <w:rFonts w:cs="Times New Roman"/>
          <w:lang w:val="en-US"/>
        </w:rPr>
        <w:t>nding are committed to support r</w:t>
      </w:r>
      <w:r>
        <w:rPr>
          <w:rFonts w:cs="Times New Roman"/>
          <w:lang w:val="en-US"/>
        </w:rPr>
        <w:t>esearch activities. Furt</w:t>
      </w:r>
      <w:r w:rsidR="00EC46B5">
        <w:rPr>
          <w:rFonts w:cs="Times New Roman"/>
          <w:lang w:val="en-US"/>
        </w:rPr>
        <w:t>hermore, it is described as an o</w:t>
      </w:r>
      <w:r>
        <w:rPr>
          <w:rFonts w:cs="Times New Roman"/>
          <w:lang w:val="en-US"/>
        </w:rPr>
        <w:t>utreach tool. Hence, it is possible to conclude that from an institutional point of view fundraising have to sustain all the three university’s function</w:t>
      </w:r>
      <w:r w:rsidR="00EC46B5">
        <w:rPr>
          <w:rFonts w:cs="Times New Roman"/>
          <w:lang w:val="en-US"/>
        </w:rPr>
        <w:t>s, but it only supports r</w:t>
      </w:r>
      <w:r>
        <w:rPr>
          <w:rFonts w:cs="Times New Roman"/>
          <w:lang w:val="en-US"/>
        </w:rPr>
        <w:t>esearch, since it is the area that most suffered from the cut of the governmental financial support (Lehmann et al., 2017).</w:t>
      </w:r>
      <w:r w:rsidR="00EC46B5">
        <w:rPr>
          <w:rFonts w:cs="Times New Roman"/>
          <w:lang w:val="en-US"/>
        </w:rPr>
        <w:t xml:space="preserve"> Moreover, it does not sustain o</w:t>
      </w:r>
      <w:r>
        <w:rPr>
          <w:rFonts w:cs="Times New Roman"/>
          <w:lang w:val="en-US"/>
        </w:rPr>
        <w:t>utreach function, since it is used to carry out this function in a mor</w:t>
      </w:r>
      <w:r w:rsidR="00EC46B5">
        <w:rPr>
          <w:rFonts w:cs="Times New Roman"/>
          <w:lang w:val="en-US"/>
        </w:rPr>
        <w:t>e effective way. Finally, from t</w:t>
      </w:r>
      <w:r>
        <w:rPr>
          <w:rFonts w:cs="Times New Roman"/>
          <w:lang w:val="en-US"/>
        </w:rPr>
        <w:t>eaching</w:t>
      </w:r>
      <w:r w:rsidR="00EC46B5">
        <w:rPr>
          <w:rFonts w:cs="Times New Roman"/>
          <w:lang w:val="en-US"/>
        </w:rPr>
        <w:t>’s</w:t>
      </w:r>
      <w:r>
        <w:rPr>
          <w:rFonts w:cs="Times New Roman"/>
          <w:lang w:val="en-US"/>
        </w:rPr>
        <w:t xml:space="preserve"> point of view</w:t>
      </w:r>
      <w:r w:rsidR="00EC46B5">
        <w:rPr>
          <w:rFonts w:cs="Times New Roman"/>
          <w:lang w:val="en-US"/>
        </w:rPr>
        <w:t>, the</w:t>
      </w:r>
      <w:r>
        <w:rPr>
          <w:rFonts w:cs="Times New Roman"/>
          <w:lang w:val="en-US"/>
        </w:rPr>
        <w:t xml:space="preserve"> University of Pavia’s fundraising activities support it through education and graduation awards, whereas crowdfunding contribution is really marginal.</w:t>
      </w:r>
    </w:p>
    <w:p w14:paraId="21B273CE" w14:textId="578F622B" w:rsidR="00037A11" w:rsidRDefault="00037A11" w:rsidP="00A11C14">
      <w:pPr>
        <w:spacing w:line="480" w:lineRule="auto"/>
        <w:jc w:val="both"/>
        <w:rPr>
          <w:rFonts w:cs="Times New Roman"/>
          <w:lang w:val="en-US"/>
        </w:rPr>
      </w:pPr>
      <w:r>
        <w:rPr>
          <w:rFonts w:cs="Times New Roman"/>
          <w:lang w:val="en-US"/>
        </w:rPr>
        <w:t xml:space="preserve">From the content analysis results it is possible to notice that interviewees consider fundraising and crowdfunding’s output and outcome as similar concept. In fact, they describe knowledge creation as an output, even if it is an outcome, since it is not delivered directly by the fundraising process, being it a secondary consequence. Following this reasoning, social impact is an outcome as well. More specifically, fundraising has not a social impact, but it contributes to make university acknowledged by society as a value creation producer (Paleari et al., 2015). Hence, social impact is determined by the university itself, which can use fundraising tools like crowdfunding as </w:t>
      </w:r>
      <w:r w:rsidR="009C778A">
        <w:rPr>
          <w:rFonts w:cs="Times New Roman"/>
          <w:lang w:val="en-US"/>
        </w:rPr>
        <w:t xml:space="preserve">a </w:t>
      </w:r>
      <w:r>
        <w:rPr>
          <w:rFonts w:cs="Times New Roman"/>
          <w:lang w:val="en-US"/>
        </w:rPr>
        <w:t>c</w:t>
      </w:r>
      <w:r w:rsidR="009C778A">
        <w:rPr>
          <w:rFonts w:cs="Times New Roman"/>
          <w:lang w:val="en-US"/>
        </w:rPr>
        <w:t>ommunication and promotion tool</w:t>
      </w:r>
      <w:r>
        <w:rPr>
          <w:rFonts w:cs="Times New Roman"/>
          <w:lang w:val="en-US"/>
        </w:rPr>
        <w:t>. Furthermore, social reporting and accountability ha</w:t>
      </w:r>
      <w:r w:rsidR="009C778A">
        <w:rPr>
          <w:rFonts w:cs="Times New Roman"/>
          <w:lang w:val="en-US"/>
        </w:rPr>
        <w:t>s a crucial role in making this tool</w:t>
      </w:r>
      <w:r>
        <w:rPr>
          <w:rFonts w:cs="Times New Roman"/>
          <w:lang w:val="en-US"/>
        </w:rPr>
        <w:t xml:space="preserve"> an effective way to support university’s mission and, hence, its functions. Besides, they contribute to build university’s reputation, which is a crucial element in determine fundraising and crowdfunding campaigns’ success. </w:t>
      </w:r>
    </w:p>
    <w:p w14:paraId="56117C9A" w14:textId="77777777" w:rsidR="00037A11" w:rsidRDefault="00037A11" w:rsidP="00A11C14">
      <w:pPr>
        <w:spacing w:line="480" w:lineRule="auto"/>
        <w:jc w:val="both"/>
        <w:rPr>
          <w:rFonts w:cs="Times New Roman"/>
          <w:lang w:val="en-US"/>
        </w:rPr>
      </w:pPr>
    </w:p>
    <w:p w14:paraId="77E606D2" w14:textId="77777777" w:rsidR="00037A11" w:rsidRPr="00A2121A" w:rsidRDefault="00037A11" w:rsidP="00A11C14">
      <w:pPr>
        <w:spacing w:line="480" w:lineRule="auto"/>
        <w:jc w:val="both"/>
        <w:rPr>
          <w:rFonts w:cs="Times New Roman"/>
          <w:lang w:val="en-US"/>
        </w:rPr>
      </w:pPr>
      <w:r>
        <w:rPr>
          <w:rFonts w:cs="Times New Roman"/>
          <w:b/>
          <w:lang w:val="en-US"/>
        </w:rPr>
        <w:t>5.6 Conclusions, limitations and further development</w:t>
      </w:r>
    </w:p>
    <w:p w14:paraId="4EA08F30" w14:textId="27121654" w:rsidR="00037A11" w:rsidRDefault="00037A11" w:rsidP="00A11C14">
      <w:pPr>
        <w:spacing w:line="480" w:lineRule="auto"/>
        <w:jc w:val="both"/>
        <w:rPr>
          <w:rFonts w:cs="Times New Roman"/>
          <w:lang w:val="en-US"/>
        </w:rPr>
      </w:pPr>
      <w:r>
        <w:rPr>
          <w:rFonts w:cs="Times New Roman"/>
          <w:lang w:val="en-US"/>
        </w:rPr>
        <w:t>This research is an explorative analysis of the crowdfunding role in supporting public universities facing new funding challenges, especially after the Big Recession. From this point of view crowdfunding is considered an innovation tool, wh</w:t>
      </w:r>
      <w:r w:rsidR="009C778A">
        <w:rPr>
          <w:rFonts w:cs="Times New Roman"/>
          <w:lang w:val="en-US"/>
        </w:rPr>
        <w:t>ich could successfully support r</w:t>
      </w:r>
      <w:r>
        <w:rPr>
          <w:rFonts w:cs="Times New Roman"/>
          <w:lang w:val="en-US"/>
        </w:rPr>
        <w:t>esearch function together with other fundrai</w:t>
      </w:r>
      <w:r w:rsidR="001417B3">
        <w:rPr>
          <w:rFonts w:cs="Times New Roman"/>
          <w:lang w:val="en-US"/>
        </w:rPr>
        <w:t>sing tools, devoted to sustain t</w:t>
      </w:r>
      <w:r>
        <w:rPr>
          <w:rFonts w:cs="Times New Roman"/>
          <w:lang w:val="en-US"/>
        </w:rPr>
        <w:t>eaching</w:t>
      </w:r>
      <w:r w:rsidR="001417B3">
        <w:rPr>
          <w:rFonts w:cs="Times New Roman"/>
          <w:lang w:val="en-US"/>
        </w:rPr>
        <w:t xml:space="preserve"> and o</w:t>
      </w:r>
      <w:r>
        <w:rPr>
          <w:rFonts w:cs="Times New Roman"/>
          <w:lang w:val="en-US"/>
        </w:rPr>
        <w:t xml:space="preserve">utreach. Hence, crowdfunding could be effective not only in term of raising funds, but also as stakeholders’ engagement tool. Moreover, donors are involved in the university’s value </w:t>
      </w:r>
      <w:r w:rsidR="001417B3">
        <w:rPr>
          <w:rFonts w:cs="Times New Roman"/>
          <w:lang w:val="en-US"/>
        </w:rPr>
        <w:t>creation process by supporting r</w:t>
      </w:r>
      <w:r>
        <w:rPr>
          <w:rFonts w:cs="Times New Roman"/>
          <w:lang w:val="en-US"/>
        </w:rPr>
        <w:t>esearch, being informed of its results and spreading them (Szkuta et al., 2014). O</w:t>
      </w:r>
      <w:r w:rsidR="001417B3">
        <w:rPr>
          <w:rFonts w:cs="Times New Roman"/>
          <w:lang w:val="en-US"/>
        </w:rPr>
        <w:t>n this basis, Universitiamo has</w:t>
      </w:r>
      <w:r>
        <w:rPr>
          <w:rFonts w:cs="Times New Roman"/>
          <w:lang w:val="en-US"/>
        </w:rPr>
        <w:t xml:space="preserve"> to c</w:t>
      </w:r>
      <w:r w:rsidR="001417B3">
        <w:rPr>
          <w:rFonts w:cs="Times New Roman"/>
          <w:lang w:val="en-US"/>
        </w:rPr>
        <w:t>ontinue to focus on supporting r</w:t>
      </w:r>
      <w:r>
        <w:rPr>
          <w:rFonts w:cs="Times New Roman"/>
          <w:lang w:val="en-US"/>
        </w:rPr>
        <w:t>esearch function, since results show that this is the context where success rate is higher, considering especially life sciences a</w:t>
      </w:r>
      <w:r w:rsidR="00852D95">
        <w:rPr>
          <w:rFonts w:cs="Times New Roman"/>
          <w:lang w:val="en-US"/>
        </w:rPr>
        <w:t>nd technologies macro areas of r</w:t>
      </w:r>
      <w:r>
        <w:rPr>
          <w:rFonts w:cs="Times New Roman"/>
          <w:lang w:val="en-US"/>
        </w:rPr>
        <w:t>esearch. Furthermore, for philanthropists’ point of view, donations are social investments, whose returns are distributed among individuals involved in a certain social environment. Indeed, University of Pavia’s donors give money to support research projects, which could have a positive impact on their life and background (Belleflamme et al., 2013b; Wheat et al., 2013; Szkuta et al., 2014; Meyskens &amp; Bird 2015).</w:t>
      </w:r>
    </w:p>
    <w:p w14:paraId="00A209AB" w14:textId="3CF96D27" w:rsidR="00037A11" w:rsidRDefault="00037A11" w:rsidP="00A11C14">
      <w:pPr>
        <w:spacing w:line="480" w:lineRule="auto"/>
        <w:jc w:val="both"/>
        <w:rPr>
          <w:rFonts w:cs="Times New Roman"/>
          <w:lang w:val="en-US"/>
        </w:rPr>
      </w:pPr>
      <w:r>
        <w:rPr>
          <w:rFonts w:cs="Times New Roman"/>
          <w:lang w:val="en-US"/>
        </w:rPr>
        <w:t>In spite of Hartley’s statement about the fact that innovation is a bottom-up process, within the case study analyzed by this research, it can be defined as a top-down pro</w:t>
      </w:r>
      <w:r w:rsidR="00852D95">
        <w:rPr>
          <w:rFonts w:cs="Times New Roman"/>
          <w:lang w:val="en-US"/>
        </w:rPr>
        <w:t>cess. Therefore, it depends on</w:t>
      </w:r>
      <w:r>
        <w:rPr>
          <w:rFonts w:cs="Times New Roman"/>
          <w:lang w:val="en-US"/>
        </w:rPr>
        <w:t xml:space="preserve"> the peculiar structure of Italian universities’ governance, which is quite rigid. Nonetheless,</w:t>
      </w:r>
      <w:r w:rsidR="00FF4C60">
        <w:rPr>
          <w:rFonts w:cs="Times New Roman"/>
          <w:lang w:val="en-US"/>
        </w:rPr>
        <w:t xml:space="preserve"> the</w:t>
      </w:r>
      <w:r>
        <w:rPr>
          <w:rFonts w:cs="Times New Roman"/>
          <w:lang w:val="en-US"/>
        </w:rPr>
        <w:t xml:space="preserve"> University of Pavia strategy is based on collaboration among different actors of society, like private companies, public authorities, nonprofit organizations and individuals. From fundraising point of view it adopts an open-source strategy, which include</w:t>
      </w:r>
      <w:r w:rsidR="00FF4C60">
        <w:rPr>
          <w:rFonts w:cs="Times New Roman"/>
          <w:lang w:val="en-US"/>
        </w:rPr>
        <w:t>s</w:t>
      </w:r>
      <w:r>
        <w:rPr>
          <w:rFonts w:cs="Times New Roman"/>
          <w:lang w:val="en-US"/>
        </w:rPr>
        <w:t xml:space="preserve"> innovation by the Internet (crowdfunding platform), inviting co-creators to help solving a specif</w:t>
      </w:r>
      <w:r w:rsidR="00FF4C60">
        <w:rPr>
          <w:rFonts w:cs="Times New Roman"/>
          <w:lang w:val="en-US"/>
        </w:rPr>
        <w:t>ic problem, that is supporting r</w:t>
      </w:r>
      <w:r>
        <w:rPr>
          <w:rFonts w:cs="Times New Roman"/>
          <w:lang w:val="en-US"/>
        </w:rPr>
        <w:t>esearch (Sorensen &amp; Torfing, 2011).</w:t>
      </w:r>
    </w:p>
    <w:p w14:paraId="6359A7CE" w14:textId="2F58B842" w:rsidR="00037A11" w:rsidRDefault="00037A11" w:rsidP="00A11C14">
      <w:pPr>
        <w:spacing w:line="480" w:lineRule="auto"/>
        <w:jc w:val="both"/>
        <w:rPr>
          <w:rFonts w:cs="Times New Roman"/>
          <w:lang w:val="en-US"/>
        </w:rPr>
      </w:pPr>
      <w:r>
        <w:rPr>
          <w:rFonts w:cs="Times New Roman"/>
          <w:lang w:val="en-US"/>
        </w:rPr>
        <w:t xml:space="preserve">Furthermore, the fact that support is mainly given to </w:t>
      </w:r>
      <w:r w:rsidR="00FF4C60">
        <w:rPr>
          <w:rFonts w:cs="Times New Roman"/>
          <w:lang w:val="en-US"/>
        </w:rPr>
        <w:t>the r</w:t>
      </w:r>
      <w:r>
        <w:rPr>
          <w:rFonts w:cs="Times New Roman"/>
          <w:lang w:val="en-US"/>
        </w:rPr>
        <w:t>esearch function is determine by some social, political and economic environment conditions and recent changes. Research is the function that has most suffered from the governmental financial cuts to public universities and to research activities in general (Italy). This situation has forced them to find out new financial sources to be integrated by the governmental ones. Results from new researches, especially within life sciences and technologies fields, could be really appealing from donors that want to socially invest their money to sustain a good cause. Besides, crowdfunding is the fundraising tool that could enable them to be involved in the university’s value creation process (Colasanti et al., 2018).</w:t>
      </w:r>
    </w:p>
    <w:p w14:paraId="5172322C" w14:textId="49BFD349" w:rsidR="00EE75B8" w:rsidRDefault="00EE75B8" w:rsidP="00A11C14">
      <w:pPr>
        <w:spacing w:line="480" w:lineRule="auto"/>
        <w:jc w:val="both"/>
        <w:rPr>
          <w:rFonts w:cs="Times New Roman"/>
          <w:lang w:val="en-US"/>
        </w:rPr>
      </w:pPr>
      <w:r>
        <w:rPr>
          <w:rFonts w:cs="Times New Roman"/>
          <w:lang w:val="en-US"/>
        </w:rPr>
        <w:t>Another interesting object of analysis is crowdfunding’s net contribution, which is useful to estimate the role of crowdfunding in term of efficiency. In fact, the cost of the initial investment of the platform must be considered as well as the running costs of the fundraising office. This can be a pivotal information to judge crowdfunding support to university’s mission achievement. However, universities’ behavior is not inspired by “voluntary disclosure approach” and they are quite reticent to communicate the crowdfunding costs to external and even (this is really surprising</w:t>
      </w:r>
      <w:r w:rsidR="009C38E4">
        <w:rPr>
          <w:rFonts w:cs="Times New Roman"/>
          <w:lang w:val="en-US"/>
        </w:rPr>
        <w:t>!</w:t>
      </w:r>
      <w:r>
        <w:rPr>
          <w:rFonts w:cs="Times New Roman"/>
          <w:lang w:val="en-US"/>
        </w:rPr>
        <w:t>) internal stakeholders. This fact is linked to the trend to focus the attention on output rather than input, overcoming that the input-output relationship has a deep impact on outcome, which is the value created by the university for society.</w:t>
      </w:r>
    </w:p>
    <w:p w14:paraId="01877D02" w14:textId="77777777" w:rsidR="00037A11" w:rsidRPr="00B921EE" w:rsidRDefault="00037A11" w:rsidP="00A11C14">
      <w:pPr>
        <w:spacing w:line="480" w:lineRule="auto"/>
        <w:jc w:val="both"/>
        <w:rPr>
          <w:rFonts w:cs="Times New Roman"/>
          <w:lang w:val="en-US"/>
        </w:rPr>
      </w:pPr>
      <w:r>
        <w:rPr>
          <w:rFonts w:cs="Times New Roman"/>
          <w:lang w:val="en-US"/>
        </w:rPr>
        <w:t xml:space="preserve">Obviously, results from this study relate to the context of analysis. Assuming that limitation, the research opens up a new trend about sustainability and innovation within public universities. </w:t>
      </w:r>
      <w:r>
        <w:rPr>
          <w:rFonts w:cs="Times New Roman"/>
          <w:lang w:val="en-GB"/>
        </w:rPr>
        <w:t xml:space="preserve">Further developments on this research path recommend the formulation of a theoretical framework, within the value co-creation mainstream. Moreover, some quantitative case study about the crowdfunding platform could allow reaching less interpretive results and more general ones. </w:t>
      </w:r>
      <w:r w:rsidRPr="00343C24">
        <w:rPr>
          <w:rFonts w:cs="Times New Roman"/>
          <w:lang w:val="en-GB"/>
        </w:rPr>
        <w:t>Lastly, the validity of those research propositions should be investi</w:t>
      </w:r>
      <w:r>
        <w:rPr>
          <w:rFonts w:cs="Times New Roman"/>
          <w:lang w:val="en-GB"/>
        </w:rPr>
        <w:t>gated in multiple case studies</w:t>
      </w:r>
      <w:r w:rsidRPr="00B921EE">
        <w:rPr>
          <w:rFonts w:cs="Times New Roman"/>
          <w:lang w:val="en-GB"/>
        </w:rPr>
        <w:t>,</w:t>
      </w:r>
      <w:r w:rsidRPr="00B921EE">
        <w:rPr>
          <w:rFonts w:cs="Times New Roman"/>
          <w:lang w:val="en-US"/>
        </w:rPr>
        <w:t xml:space="preserve"> by comparing public universities located in different countries</w:t>
      </w:r>
      <w:r>
        <w:rPr>
          <w:rFonts w:cs="Times New Roman"/>
          <w:lang w:val="en-US"/>
        </w:rPr>
        <w:t>.</w:t>
      </w:r>
      <w:r w:rsidRPr="00B921EE">
        <w:rPr>
          <w:rFonts w:cs="Times New Roman"/>
          <w:lang w:val="en-US"/>
        </w:rPr>
        <w:t xml:space="preserve"> </w:t>
      </w:r>
    </w:p>
    <w:p w14:paraId="0CAEA6AC" w14:textId="77777777" w:rsidR="002B52B1" w:rsidRDefault="002B52B1" w:rsidP="00725B42">
      <w:pPr>
        <w:spacing w:line="480" w:lineRule="auto"/>
        <w:jc w:val="both"/>
        <w:rPr>
          <w:lang w:val="en-US"/>
        </w:rPr>
      </w:pPr>
    </w:p>
    <w:p w14:paraId="680CB42F" w14:textId="77777777" w:rsidR="0013320A" w:rsidRDefault="0013320A" w:rsidP="00725B42">
      <w:pPr>
        <w:spacing w:line="480" w:lineRule="auto"/>
        <w:jc w:val="both"/>
        <w:rPr>
          <w:lang w:val="en-US"/>
        </w:rPr>
      </w:pPr>
    </w:p>
    <w:p w14:paraId="4A695666" w14:textId="77777777" w:rsidR="0013320A" w:rsidRDefault="0013320A" w:rsidP="00725B42">
      <w:pPr>
        <w:spacing w:line="480" w:lineRule="auto"/>
        <w:jc w:val="both"/>
        <w:rPr>
          <w:lang w:val="en-US"/>
        </w:rPr>
      </w:pPr>
    </w:p>
    <w:p w14:paraId="52495EF2" w14:textId="77777777" w:rsidR="001F5FA2" w:rsidRDefault="001F5FA2" w:rsidP="00725B42">
      <w:pPr>
        <w:spacing w:line="480" w:lineRule="auto"/>
        <w:jc w:val="both"/>
        <w:rPr>
          <w:lang w:val="en-US"/>
        </w:rPr>
      </w:pPr>
    </w:p>
    <w:p w14:paraId="0E4EAF37" w14:textId="77777777" w:rsidR="001F5FA2" w:rsidRDefault="001F5FA2" w:rsidP="00725B42">
      <w:pPr>
        <w:spacing w:line="480" w:lineRule="auto"/>
        <w:jc w:val="both"/>
        <w:rPr>
          <w:b/>
          <w:lang w:val="en-US"/>
        </w:rPr>
      </w:pPr>
    </w:p>
    <w:p w14:paraId="2CE19EB4" w14:textId="77777777" w:rsidR="00F96A45" w:rsidRDefault="00F96A45" w:rsidP="00725B42">
      <w:pPr>
        <w:spacing w:line="480" w:lineRule="auto"/>
        <w:jc w:val="both"/>
        <w:rPr>
          <w:b/>
          <w:lang w:val="en-US"/>
        </w:rPr>
      </w:pPr>
    </w:p>
    <w:p w14:paraId="66923AE0" w14:textId="77777777" w:rsidR="00F96A45" w:rsidRDefault="00F96A45" w:rsidP="00725B42">
      <w:pPr>
        <w:spacing w:line="480" w:lineRule="auto"/>
        <w:jc w:val="both"/>
        <w:rPr>
          <w:b/>
          <w:lang w:val="en-US"/>
        </w:rPr>
      </w:pPr>
    </w:p>
    <w:p w14:paraId="6FEFFEA0" w14:textId="77777777" w:rsidR="006269C1" w:rsidRDefault="006269C1" w:rsidP="00725B42">
      <w:pPr>
        <w:spacing w:line="480" w:lineRule="auto"/>
        <w:jc w:val="both"/>
        <w:rPr>
          <w:b/>
          <w:lang w:val="en-US"/>
        </w:rPr>
      </w:pPr>
    </w:p>
    <w:p w14:paraId="65083A7B" w14:textId="77777777" w:rsidR="006269C1" w:rsidRDefault="006269C1" w:rsidP="00725B42">
      <w:pPr>
        <w:spacing w:line="480" w:lineRule="auto"/>
        <w:jc w:val="both"/>
        <w:rPr>
          <w:b/>
          <w:lang w:val="en-US"/>
        </w:rPr>
      </w:pPr>
    </w:p>
    <w:p w14:paraId="07B8725B" w14:textId="77777777" w:rsidR="006269C1" w:rsidRDefault="006269C1" w:rsidP="00725B42">
      <w:pPr>
        <w:spacing w:line="480" w:lineRule="auto"/>
        <w:jc w:val="both"/>
        <w:rPr>
          <w:b/>
          <w:lang w:val="en-US"/>
        </w:rPr>
      </w:pPr>
    </w:p>
    <w:p w14:paraId="4A07AF3A" w14:textId="77777777" w:rsidR="006269C1" w:rsidRDefault="006269C1" w:rsidP="00725B42">
      <w:pPr>
        <w:spacing w:line="480" w:lineRule="auto"/>
        <w:jc w:val="both"/>
        <w:rPr>
          <w:b/>
          <w:lang w:val="en-US"/>
        </w:rPr>
      </w:pPr>
    </w:p>
    <w:p w14:paraId="23DA1751" w14:textId="77777777" w:rsidR="006269C1" w:rsidRDefault="006269C1" w:rsidP="00725B42">
      <w:pPr>
        <w:spacing w:line="480" w:lineRule="auto"/>
        <w:jc w:val="both"/>
        <w:rPr>
          <w:b/>
          <w:lang w:val="en-US"/>
        </w:rPr>
      </w:pPr>
    </w:p>
    <w:p w14:paraId="00BD50B4" w14:textId="77777777" w:rsidR="006269C1" w:rsidRDefault="006269C1" w:rsidP="00725B42">
      <w:pPr>
        <w:spacing w:line="480" w:lineRule="auto"/>
        <w:jc w:val="both"/>
        <w:rPr>
          <w:b/>
          <w:lang w:val="en-US"/>
        </w:rPr>
      </w:pPr>
    </w:p>
    <w:p w14:paraId="79CDA76F" w14:textId="77777777" w:rsidR="006269C1" w:rsidRDefault="006269C1" w:rsidP="00725B42">
      <w:pPr>
        <w:spacing w:line="480" w:lineRule="auto"/>
        <w:jc w:val="both"/>
        <w:rPr>
          <w:b/>
          <w:lang w:val="en-US"/>
        </w:rPr>
      </w:pPr>
    </w:p>
    <w:p w14:paraId="619D474F" w14:textId="77777777" w:rsidR="006269C1" w:rsidRDefault="006269C1" w:rsidP="00725B42">
      <w:pPr>
        <w:spacing w:line="480" w:lineRule="auto"/>
        <w:jc w:val="both"/>
        <w:rPr>
          <w:b/>
          <w:lang w:val="en-US"/>
        </w:rPr>
      </w:pPr>
    </w:p>
    <w:p w14:paraId="69C57BFC" w14:textId="77777777" w:rsidR="006269C1" w:rsidRDefault="006269C1" w:rsidP="00725B42">
      <w:pPr>
        <w:spacing w:line="480" w:lineRule="auto"/>
        <w:jc w:val="both"/>
        <w:rPr>
          <w:b/>
          <w:lang w:val="en-US"/>
        </w:rPr>
      </w:pPr>
    </w:p>
    <w:p w14:paraId="58326E07" w14:textId="77777777" w:rsidR="006269C1" w:rsidRDefault="006269C1" w:rsidP="00725B42">
      <w:pPr>
        <w:spacing w:line="480" w:lineRule="auto"/>
        <w:jc w:val="both"/>
        <w:rPr>
          <w:b/>
          <w:lang w:val="en-US"/>
        </w:rPr>
      </w:pPr>
    </w:p>
    <w:p w14:paraId="21B3E992" w14:textId="77777777" w:rsidR="006269C1" w:rsidRDefault="006269C1" w:rsidP="00725B42">
      <w:pPr>
        <w:spacing w:line="480" w:lineRule="auto"/>
        <w:jc w:val="both"/>
        <w:rPr>
          <w:b/>
          <w:lang w:val="en-US"/>
        </w:rPr>
      </w:pPr>
    </w:p>
    <w:p w14:paraId="0E145684" w14:textId="77777777" w:rsidR="006269C1" w:rsidRDefault="006269C1" w:rsidP="00725B42">
      <w:pPr>
        <w:spacing w:line="480" w:lineRule="auto"/>
        <w:jc w:val="both"/>
        <w:rPr>
          <w:b/>
          <w:lang w:val="en-US"/>
        </w:rPr>
      </w:pPr>
    </w:p>
    <w:p w14:paraId="3D47BC94" w14:textId="77777777" w:rsidR="006269C1" w:rsidRDefault="006269C1" w:rsidP="00725B42">
      <w:pPr>
        <w:spacing w:line="480" w:lineRule="auto"/>
        <w:jc w:val="both"/>
        <w:rPr>
          <w:b/>
          <w:lang w:val="en-US"/>
        </w:rPr>
      </w:pPr>
    </w:p>
    <w:p w14:paraId="041A3D34" w14:textId="77777777" w:rsidR="006269C1" w:rsidRDefault="006269C1" w:rsidP="00725B42">
      <w:pPr>
        <w:spacing w:line="480" w:lineRule="auto"/>
        <w:jc w:val="both"/>
        <w:rPr>
          <w:b/>
          <w:lang w:val="en-US"/>
        </w:rPr>
      </w:pPr>
    </w:p>
    <w:p w14:paraId="7DAAB9A5" w14:textId="77777777" w:rsidR="006269C1" w:rsidRDefault="006269C1" w:rsidP="00725B42">
      <w:pPr>
        <w:spacing w:line="480" w:lineRule="auto"/>
        <w:jc w:val="both"/>
        <w:rPr>
          <w:b/>
          <w:lang w:val="en-US"/>
        </w:rPr>
      </w:pPr>
    </w:p>
    <w:p w14:paraId="44A54E86" w14:textId="14C23D67" w:rsidR="0013320A" w:rsidRDefault="0013320A" w:rsidP="00725B42">
      <w:pPr>
        <w:spacing w:line="480" w:lineRule="auto"/>
        <w:jc w:val="both"/>
        <w:rPr>
          <w:b/>
          <w:lang w:val="en-US"/>
        </w:rPr>
      </w:pPr>
      <w:r w:rsidRPr="0013320A">
        <w:rPr>
          <w:b/>
          <w:lang w:val="en-US"/>
        </w:rPr>
        <w:t>5.7 Tables and Figures</w:t>
      </w:r>
    </w:p>
    <w:p w14:paraId="15870FF5" w14:textId="1277E65B" w:rsidR="00CC11F5" w:rsidRDefault="00CC11F5" w:rsidP="00725B42">
      <w:pPr>
        <w:spacing w:line="480" w:lineRule="auto"/>
        <w:jc w:val="both"/>
        <w:rPr>
          <w:b/>
          <w:lang w:val="en-US"/>
        </w:rPr>
      </w:pPr>
      <w:r>
        <w:rPr>
          <w:rFonts w:cs="Times New Roman"/>
          <w:noProof/>
          <w:lang w:eastAsia="it-IT" w:bidi="ar-SA"/>
        </w:rPr>
        <w:drawing>
          <wp:inline distT="0" distB="0" distL="0" distR="0" wp14:anchorId="1CCCF88B" wp14:editId="1FA5EBDC">
            <wp:extent cx="5755640" cy="3555446"/>
            <wp:effectExtent l="0" t="0" r="10160" b="635"/>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55640" cy="3555446"/>
                    </a:xfrm>
                    <a:prstGeom prst="rect">
                      <a:avLst/>
                    </a:prstGeom>
                    <a:noFill/>
                    <a:ln>
                      <a:noFill/>
                    </a:ln>
                  </pic:spPr>
                </pic:pic>
              </a:graphicData>
            </a:graphic>
          </wp:inline>
        </w:drawing>
      </w:r>
    </w:p>
    <w:p w14:paraId="7D6184D1" w14:textId="592BC3F4" w:rsidR="003E05BC" w:rsidRDefault="003E05BC" w:rsidP="003E05BC">
      <w:pPr>
        <w:spacing w:line="360" w:lineRule="auto"/>
        <w:jc w:val="both"/>
        <w:rPr>
          <w:rFonts w:cs="Times New Roman"/>
          <w:lang w:val="en-US"/>
        </w:rPr>
      </w:pPr>
      <w:r w:rsidRPr="003E05BC">
        <w:rPr>
          <w:rFonts w:cs="Times New Roman"/>
          <w:lang w:val="en-US"/>
        </w:rPr>
        <w:t xml:space="preserve">Table </w:t>
      </w:r>
      <w:r>
        <w:rPr>
          <w:rFonts w:cs="Times New Roman"/>
          <w:lang w:val="en-US"/>
        </w:rPr>
        <w:t>5.1:</w:t>
      </w:r>
      <w:r w:rsidRPr="003E05BC">
        <w:rPr>
          <w:rFonts w:cs="Times New Roman"/>
          <w:lang w:val="en-US"/>
        </w:rPr>
        <w:t xml:space="preserve"> Summary of Education and Graduation Awards by University of Pavia</w:t>
      </w:r>
    </w:p>
    <w:p w14:paraId="7F094A78" w14:textId="77777777" w:rsidR="003E05BC" w:rsidRDefault="003E05BC" w:rsidP="003E05BC">
      <w:pPr>
        <w:spacing w:line="360" w:lineRule="auto"/>
        <w:jc w:val="both"/>
        <w:rPr>
          <w:rFonts w:cs="Times New Roman"/>
          <w:lang w:val="en-US"/>
        </w:rPr>
      </w:pPr>
    </w:p>
    <w:p w14:paraId="227ACDD7" w14:textId="77777777" w:rsidR="003E05BC" w:rsidRDefault="003E05BC" w:rsidP="003E05BC">
      <w:pPr>
        <w:spacing w:line="360" w:lineRule="auto"/>
        <w:jc w:val="both"/>
        <w:rPr>
          <w:rFonts w:cs="Times New Roman"/>
          <w:lang w:val="en-US"/>
        </w:rPr>
      </w:pPr>
    </w:p>
    <w:p w14:paraId="5C37687A" w14:textId="77777777" w:rsidR="003E05BC" w:rsidRDefault="003E05BC" w:rsidP="003E05BC">
      <w:pPr>
        <w:spacing w:line="360" w:lineRule="auto"/>
        <w:jc w:val="both"/>
        <w:rPr>
          <w:rFonts w:cs="Times New Roman"/>
          <w:lang w:val="en-US"/>
        </w:rPr>
      </w:pPr>
    </w:p>
    <w:p w14:paraId="54AFF313" w14:textId="77777777" w:rsidR="003E05BC" w:rsidRDefault="003E05BC" w:rsidP="003E05BC">
      <w:pPr>
        <w:spacing w:line="360" w:lineRule="auto"/>
        <w:jc w:val="both"/>
        <w:rPr>
          <w:rFonts w:cs="Times New Roman"/>
          <w:lang w:val="en-US"/>
        </w:rPr>
      </w:pPr>
    </w:p>
    <w:p w14:paraId="7D0D092C" w14:textId="77777777" w:rsidR="003E05BC" w:rsidRDefault="003E05BC" w:rsidP="003E05BC">
      <w:pPr>
        <w:spacing w:line="360" w:lineRule="auto"/>
        <w:jc w:val="both"/>
        <w:rPr>
          <w:rFonts w:cs="Times New Roman"/>
          <w:lang w:val="en-US"/>
        </w:rPr>
      </w:pPr>
    </w:p>
    <w:p w14:paraId="7825E50D" w14:textId="77777777" w:rsidR="003E05BC" w:rsidRDefault="003E05BC" w:rsidP="003E05BC">
      <w:pPr>
        <w:spacing w:line="360" w:lineRule="auto"/>
        <w:jc w:val="both"/>
        <w:rPr>
          <w:rFonts w:cs="Times New Roman"/>
          <w:lang w:val="en-US"/>
        </w:rPr>
      </w:pPr>
    </w:p>
    <w:p w14:paraId="60D11E87" w14:textId="77777777" w:rsidR="003E05BC" w:rsidRDefault="003E05BC" w:rsidP="003E05BC">
      <w:pPr>
        <w:spacing w:line="360" w:lineRule="auto"/>
        <w:jc w:val="both"/>
        <w:rPr>
          <w:rFonts w:cs="Times New Roman"/>
          <w:lang w:val="en-US"/>
        </w:rPr>
      </w:pPr>
    </w:p>
    <w:p w14:paraId="518D1628" w14:textId="77777777" w:rsidR="003E05BC" w:rsidRDefault="003E05BC" w:rsidP="003E05BC">
      <w:pPr>
        <w:spacing w:line="360" w:lineRule="auto"/>
        <w:jc w:val="both"/>
        <w:rPr>
          <w:rFonts w:cs="Times New Roman"/>
          <w:lang w:val="en-US"/>
        </w:rPr>
      </w:pPr>
    </w:p>
    <w:p w14:paraId="2C97D2B3" w14:textId="77777777" w:rsidR="003E05BC" w:rsidRDefault="003E05BC" w:rsidP="003E05BC">
      <w:pPr>
        <w:spacing w:line="360" w:lineRule="auto"/>
        <w:jc w:val="both"/>
        <w:rPr>
          <w:rFonts w:cs="Times New Roman"/>
          <w:lang w:val="en-US"/>
        </w:rPr>
      </w:pPr>
    </w:p>
    <w:p w14:paraId="577AF285" w14:textId="77777777" w:rsidR="003E05BC" w:rsidRDefault="003E05BC" w:rsidP="003E05BC">
      <w:pPr>
        <w:spacing w:line="360" w:lineRule="auto"/>
        <w:jc w:val="both"/>
        <w:rPr>
          <w:rFonts w:cs="Times New Roman"/>
          <w:lang w:val="en-US"/>
        </w:rPr>
      </w:pPr>
    </w:p>
    <w:p w14:paraId="22B6BBD3" w14:textId="77777777" w:rsidR="003E05BC" w:rsidRDefault="003E05BC" w:rsidP="003E05BC">
      <w:pPr>
        <w:spacing w:line="360" w:lineRule="auto"/>
        <w:jc w:val="both"/>
        <w:rPr>
          <w:rFonts w:cs="Times New Roman"/>
          <w:lang w:val="en-US"/>
        </w:rPr>
      </w:pPr>
    </w:p>
    <w:p w14:paraId="57504985" w14:textId="77777777" w:rsidR="003E05BC" w:rsidRDefault="003E05BC" w:rsidP="003E05BC">
      <w:pPr>
        <w:spacing w:line="360" w:lineRule="auto"/>
        <w:jc w:val="both"/>
        <w:rPr>
          <w:rFonts w:cs="Times New Roman"/>
          <w:lang w:val="en-US"/>
        </w:rPr>
      </w:pPr>
    </w:p>
    <w:p w14:paraId="3E21522D" w14:textId="77777777" w:rsidR="003E05BC" w:rsidRDefault="003E05BC" w:rsidP="003E05BC">
      <w:pPr>
        <w:spacing w:line="360" w:lineRule="auto"/>
        <w:jc w:val="both"/>
        <w:rPr>
          <w:rFonts w:cs="Times New Roman"/>
          <w:lang w:val="en-US"/>
        </w:rPr>
      </w:pPr>
    </w:p>
    <w:p w14:paraId="1F5A608A" w14:textId="77777777" w:rsidR="003E05BC" w:rsidRDefault="003E05BC" w:rsidP="003E05BC">
      <w:pPr>
        <w:spacing w:line="360" w:lineRule="auto"/>
        <w:jc w:val="both"/>
        <w:rPr>
          <w:rFonts w:cs="Times New Roman"/>
          <w:lang w:val="en-US"/>
        </w:rPr>
      </w:pPr>
    </w:p>
    <w:p w14:paraId="69365FF4" w14:textId="77777777" w:rsidR="003E05BC" w:rsidRDefault="003E05BC" w:rsidP="003E05BC">
      <w:pPr>
        <w:spacing w:line="360" w:lineRule="auto"/>
        <w:jc w:val="both"/>
        <w:rPr>
          <w:rFonts w:cs="Times New Roman"/>
          <w:lang w:val="en-US"/>
        </w:rPr>
      </w:pPr>
    </w:p>
    <w:p w14:paraId="660BFAF7" w14:textId="77777777" w:rsidR="003E05BC" w:rsidRDefault="003E05BC" w:rsidP="003E05BC">
      <w:pPr>
        <w:spacing w:line="360" w:lineRule="auto"/>
        <w:jc w:val="both"/>
        <w:rPr>
          <w:rFonts w:cs="Times New Roman"/>
          <w:lang w:val="en-US"/>
        </w:rPr>
      </w:pPr>
    </w:p>
    <w:p w14:paraId="74A7C213" w14:textId="77777777" w:rsidR="003E05BC" w:rsidRDefault="003E05BC" w:rsidP="003E05BC">
      <w:pPr>
        <w:spacing w:line="360" w:lineRule="auto"/>
        <w:jc w:val="both"/>
        <w:rPr>
          <w:rFonts w:cs="Times New Roman"/>
          <w:lang w:val="en-US"/>
        </w:rPr>
      </w:pPr>
    </w:p>
    <w:p w14:paraId="62CD45C4" w14:textId="43FFAA0B" w:rsidR="003E05BC" w:rsidRPr="003E05BC" w:rsidRDefault="00490FAF" w:rsidP="003E05BC">
      <w:pPr>
        <w:spacing w:line="360" w:lineRule="auto"/>
        <w:jc w:val="both"/>
        <w:rPr>
          <w:rFonts w:cs="Times New Roman"/>
          <w:lang w:val="en-US"/>
        </w:rPr>
      </w:pPr>
      <w:r w:rsidRPr="00F40956">
        <w:rPr>
          <w:noProof/>
          <w:lang w:eastAsia="it-IT" w:bidi="ar-SA"/>
        </w:rPr>
        <w:drawing>
          <wp:anchor distT="0" distB="0" distL="114300" distR="114300" simplePos="0" relativeHeight="251678720" behindDoc="0" locked="0" layoutInCell="1" allowOverlap="1" wp14:anchorId="255A0B06" wp14:editId="585FECB7">
            <wp:simplePos x="0" y="0"/>
            <wp:positionH relativeFrom="margin">
              <wp:posOffset>1257300</wp:posOffset>
            </wp:positionH>
            <wp:positionV relativeFrom="margin">
              <wp:posOffset>241935</wp:posOffset>
            </wp:positionV>
            <wp:extent cx="2987675" cy="1815465"/>
            <wp:effectExtent l="0" t="0" r="9525" b="0"/>
            <wp:wrapSquare wrapText="bothSides"/>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87675" cy="1815465"/>
                    </a:xfrm>
                    <a:prstGeom prst="rect">
                      <a:avLst/>
                    </a:prstGeom>
                    <a:noFill/>
                    <a:ln>
                      <a:noFill/>
                    </a:ln>
                  </pic:spPr>
                </pic:pic>
              </a:graphicData>
            </a:graphic>
          </wp:anchor>
        </w:drawing>
      </w:r>
    </w:p>
    <w:p w14:paraId="2B984991" w14:textId="77777777" w:rsidR="00A84FF2" w:rsidRDefault="00A84FF2" w:rsidP="00725B42">
      <w:pPr>
        <w:spacing w:line="480" w:lineRule="auto"/>
        <w:jc w:val="both"/>
        <w:rPr>
          <w:b/>
          <w:lang w:val="en-US"/>
        </w:rPr>
      </w:pPr>
    </w:p>
    <w:p w14:paraId="0C4B1C97" w14:textId="77777777" w:rsidR="00A84FF2" w:rsidRDefault="00A84FF2" w:rsidP="00725B42">
      <w:pPr>
        <w:spacing w:line="480" w:lineRule="auto"/>
        <w:jc w:val="both"/>
        <w:rPr>
          <w:b/>
          <w:lang w:val="en-US"/>
        </w:rPr>
      </w:pPr>
    </w:p>
    <w:p w14:paraId="38948953" w14:textId="77777777" w:rsidR="00A84FF2" w:rsidRDefault="00A84FF2" w:rsidP="00725B42">
      <w:pPr>
        <w:spacing w:line="480" w:lineRule="auto"/>
        <w:jc w:val="both"/>
        <w:rPr>
          <w:b/>
          <w:lang w:val="en-US"/>
        </w:rPr>
      </w:pPr>
    </w:p>
    <w:p w14:paraId="3564FF08" w14:textId="77777777" w:rsidR="00A84FF2" w:rsidRDefault="00A84FF2" w:rsidP="00725B42">
      <w:pPr>
        <w:spacing w:line="480" w:lineRule="auto"/>
        <w:jc w:val="both"/>
        <w:rPr>
          <w:b/>
          <w:lang w:val="en-US"/>
        </w:rPr>
      </w:pPr>
    </w:p>
    <w:p w14:paraId="7E98B37D" w14:textId="77777777" w:rsidR="00A84FF2" w:rsidRDefault="00A84FF2" w:rsidP="00725B42">
      <w:pPr>
        <w:spacing w:line="480" w:lineRule="auto"/>
        <w:jc w:val="both"/>
        <w:rPr>
          <w:b/>
          <w:lang w:val="en-US"/>
        </w:rPr>
      </w:pPr>
    </w:p>
    <w:p w14:paraId="5CE6556F" w14:textId="77777777" w:rsidR="00A84FF2" w:rsidRDefault="00A84FF2" w:rsidP="00A84FF2">
      <w:pPr>
        <w:spacing w:line="360" w:lineRule="auto"/>
        <w:rPr>
          <w:rFonts w:cs="Times New Roman"/>
          <w:lang w:val="en-US"/>
        </w:rPr>
      </w:pPr>
    </w:p>
    <w:p w14:paraId="7A424F3A" w14:textId="74185E0B" w:rsidR="00A84FF2" w:rsidRPr="00A84FF2" w:rsidRDefault="00A84FF2" w:rsidP="00A84FF2">
      <w:pPr>
        <w:spacing w:line="360" w:lineRule="auto"/>
        <w:rPr>
          <w:rFonts w:cs="Times New Roman"/>
          <w:lang w:val="en-US"/>
        </w:rPr>
      </w:pPr>
      <w:r w:rsidRPr="00A84FF2">
        <w:rPr>
          <w:rFonts w:cs="Times New Roman"/>
          <w:lang w:val="en-US"/>
        </w:rPr>
        <w:t xml:space="preserve">Figure </w:t>
      </w:r>
      <w:r>
        <w:rPr>
          <w:rFonts w:cs="Times New Roman"/>
          <w:lang w:val="en-US"/>
        </w:rPr>
        <w:t>5.2</w:t>
      </w:r>
      <w:r w:rsidRPr="00A84FF2">
        <w:rPr>
          <w:rFonts w:cs="Times New Roman"/>
          <w:lang w:val="en-US"/>
        </w:rPr>
        <w:t>. Projects’ distribution according to university’s function</w:t>
      </w:r>
      <w:r w:rsidR="00A042C6">
        <w:rPr>
          <w:rFonts w:cs="Times New Roman"/>
          <w:lang w:val="en-US"/>
        </w:rPr>
        <w:t>s</w:t>
      </w:r>
    </w:p>
    <w:p w14:paraId="432ABD98" w14:textId="77777777" w:rsidR="00A84FF2" w:rsidRDefault="00A84FF2" w:rsidP="00725B42">
      <w:pPr>
        <w:spacing w:line="480" w:lineRule="auto"/>
        <w:jc w:val="both"/>
        <w:rPr>
          <w:b/>
          <w:lang w:val="en-US"/>
        </w:rPr>
      </w:pPr>
    </w:p>
    <w:p w14:paraId="59474942" w14:textId="77777777" w:rsidR="00490FAF" w:rsidRDefault="00490FAF" w:rsidP="00725B42">
      <w:pPr>
        <w:spacing w:line="480" w:lineRule="auto"/>
        <w:jc w:val="both"/>
        <w:rPr>
          <w:b/>
          <w:lang w:val="en-US"/>
        </w:rPr>
      </w:pPr>
    </w:p>
    <w:p w14:paraId="1ED2589F" w14:textId="77777777" w:rsidR="00490FAF" w:rsidRDefault="00490FAF" w:rsidP="00725B42">
      <w:pPr>
        <w:spacing w:line="480" w:lineRule="auto"/>
        <w:jc w:val="both"/>
        <w:rPr>
          <w:b/>
          <w:lang w:val="en-US"/>
        </w:rPr>
      </w:pPr>
    </w:p>
    <w:p w14:paraId="069E97F8" w14:textId="77777777" w:rsidR="00490FAF" w:rsidRDefault="00490FAF" w:rsidP="00725B42">
      <w:pPr>
        <w:spacing w:line="480" w:lineRule="auto"/>
        <w:jc w:val="both"/>
        <w:rPr>
          <w:b/>
          <w:lang w:val="en-US"/>
        </w:rPr>
      </w:pPr>
    </w:p>
    <w:p w14:paraId="0D38AE28" w14:textId="77777777" w:rsidR="00490FAF" w:rsidRDefault="00490FAF" w:rsidP="00725B42">
      <w:pPr>
        <w:spacing w:line="480" w:lineRule="auto"/>
        <w:jc w:val="both"/>
        <w:rPr>
          <w:b/>
          <w:lang w:val="en-US"/>
        </w:rPr>
      </w:pPr>
    </w:p>
    <w:p w14:paraId="527DFCB0" w14:textId="77777777" w:rsidR="00490FAF" w:rsidRDefault="00490FAF" w:rsidP="00725B42">
      <w:pPr>
        <w:spacing w:line="480" w:lineRule="auto"/>
        <w:jc w:val="both"/>
        <w:rPr>
          <w:b/>
          <w:lang w:val="en-US"/>
        </w:rPr>
      </w:pPr>
    </w:p>
    <w:p w14:paraId="4653C2B4" w14:textId="77777777" w:rsidR="00490FAF" w:rsidRDefault="00490FAF" w:rsidP="00725B42">
      <w:pPr>
        <w:spacing w:line="480" w:lineRule="auto"/>
        <w:jc w:val="both"/>
        <w:rPr>
          <w:b/>
          <w:lang w:val="en-US"/>
        </w:rPr>
      </w:pPr>
    </w:p>
    <w:p w14:paraId="16615A45" w14:textId="79155F8D" w:rsidR="00490FAF" w:rsidRDefault="00490FAF" w:rsidP="00725B42">
      <w:pPr>
        <w:spacing w:line="480" w:lineRule="auto"/>
        <w:jc w:val="both"/>
        <w:rPr>
          <w:b/>
          <w:lang w:val="en-US"/>
        </w:rPr>
      </w:pPr>
    </w:p>
    <w:p w14:paraId="2FD0CB9B" w14:textId="77777777" w:rsidR="00490FAF" w:rsidRDefault="00490FAF" w:rsidP="00725B42">
      <w:pPr>
        <w:spacing w:line="480" w:lineRule="auto"/>
        <w:jc w:val="both"/>
        <w:rPr>
          <w:b/>
          <w:lang w:val="en-US"/>
        </w:rPr>
      </w:pPr>
    </w:p>
    <w:p w14:paraId="781FB82C" w14:textId="77777777" w:rsidR="00490FAF" w:rsidRDefault="00490FAF" w:rsidP="00725B42">
      <w:pPr>
        <w:spacing w:line="480" w:lineRule="auto"/>
        <w:jc w:val="both"/>
        <w:rPr>
          <w:b/>
          <w:lang w:val="en-US"/>
        </w:rPr>
      </w:pPr>
    </w:p>
    <w:p w14:paraId="73E95908" w14:textId="77777777" w:rsidR="00490FAF" w:rsidRDefault="00490FAF" w:rsidP="00725B42">
      <w:pPr>
        <w:spacing w:line="480" w:lineRule="auto"/>
        <w:jc w:val="both"/>
        <w:rPr>
          <w:b/>
          <w:lang w:val="en-US"/>
        </w:rPr>
      </w:pPr>
    </w:p>
    <w:p w14:paraId="5A097B38" w14:textId="77777777" w:rsidR="00490FAF" w:rsidRDefault="00490FAF" w:rsidP="00725B42">
      <w:pPr>
        <w:spacing w:line="480" w:lineRule="auto"/>
        <w:jc w:val="both"/>
        <w:rPr>
          <w:b/>
          <w:lang w:val="en-US"/>
        </w:rPr>
      </w:pPr>
    </w:p>
    <w:p w14:paraId="38C9022A" w14:textId="77777777" w:rsidR="00490FAF" w:rsidRDefault="00490FAF" w:rsidP="00725B42">
      <w:pPr>
        <w:spacing w:line="480" w:lineRule="auto"/>
        <w:jc w:val="both"/>
        <w:rPr>
          <w:b/>
          <w:lang w:val="en-US"/>
        </w:rPr>
      </w:pPr>
    </w:p>
    <w:p w14:paraId="1264D18A" w14:textId="77777777" w:rsidR="00490FAF" w:rsidRDefault="00490FAF" w:rsidP="00725B42">
      <w:pPr>
        <w:spacing w:line="480" w:lineRule="auto"/>
        <w:jc w:val="both"/>
        <w:rPr>
          <w:b/>
          <w:lang w:val="en-US"/>
        </w:rPr>
      </w:pPr>
    </w:p>
    <w:p w14:paraId="40C74B2A" w14:textId="77777777" w:rsidR="00490FAF" w:rsidRDefault="00490FAF" w:rsidP="00725B42">
      <w:pPr>
        <w:spacing w:line="480" w:lineRule="auto"/>
        <w:jc w:val="both"/>
        <w:rPr>
          <w:b/>
          <w:lang w:val="en-US"/>
        </w:rPr>
      </w:pPr>
    </w:p>
    <w:p w14:paraId="389B4E4B" w14:textId="77777777" w:rsidR="00490FAF" w:rsidRDefault="00490FAF" w:rsidP="00725B42">
      <w:pPr>
        <w:spacing w:line="480" w:lineRule="auto"/>
        <w:jc w:val="both"/>
        <w:rPr>
          <w:b/>
          <w:lang w:val="en-US"/>
        </w:rPr>
      </w:pPr>
    </w:p>
    <w:p w14:paraId="39176A63" w14:textId="77777777" w:rsidR="00490FAF" w:rsidRDefault="00490FAF" w:rsidP="00725B42">
      <w:pPr>
        <w:spacing w:line="480" w:lineRule="auto"/>
        <w:jc w:val="both"/>
        <w:rPr>
          <w:b/>
          <w:lang w:val="en-US"/>
        </w:rPr>
      </w:pPr>
    </w:p>
    <w:p w14:paraId="52593B52" w14:textId="77777777" w:rsidR="00490FAF" w:rsidRDefault="00490FAF" w:rsidP="00725B42">
      <w:pPr>
        <w:spacing w:line="480" w:lineRule="auto"/>
        <w:jc w:val="both"/>
        <w:rPr>
          <w:b/>
          <w:lang w:val="en-US"/>
        </w:rPr>
      </w:pPr>
    </w:p>
    <w:p w14:paraId="6A553EB6" w14:textId="4B17B83C" w:rsidR="00424E01" w:rsidRDefault="00424E01" w:rsidP="00725B42">
      <w:pPr>
        <w:spacing w:line="480" w:lineRule="auto"/>
        <w:jc w:val="both"/>
        <w:rPr>
          <w:b/>
          <w:lang w:val="en-US"/>
        </w:rPr>
      </w:pPr>
    </w:p>
    <w:p w14:paraId="6353CD4B" w14:textId="6803A85E" w:rsidR="00424E01" w:rsidRDefault="001F5FA2" w:rsidP="00725B42">
      <w:pPr>
        <w:spacing w:line="480" w:lineRule="auto"/>
        <w:jc w:val="both"/>
        <w:rPr>
          <w:b/>
          <w:lang w:val="en-US"/>
        </w:rPr>
      </w:pPr>
      <w:r w:rsidRPr="004F5BFA">
        <w:rPr>
          <w:noProof/>
          <w:lang w:eastAsia="it-IT" w:bidi="ar-SA"/>
        </w:rPr>
        <w:drawing>
          <wp:anchor distT="0" distB="0" distL="114300" distR="114300" simplePos="0" relativeHeight="251680768" behindDoc="0" locked="0" layoutInCell="1" allowOverlap="1" wp14:anchorId="358F7D2A" wp14:editId="6F5EFE6E">
            <wp:simplePos x="0" y="0"/>
            <wp:positionH relativeFrom="margin">
              <wp:posOffset>1371600</wp:posOffset>
            </wp:positionH>
            <wp:positionV relativeFrom="margin">
              <wp:posOffset>356870</wp:posOffset>
            </wp:positionV>
            <wp:extent cx="2987675" cy="1814830"/>
            <wp:effectExtent l="0" t="0" r="9525" b="0"/>
            <wp:wrapSquare wrapText="bothSides"/>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87675" cy="1814830"/>
                    </a:xfrm>
                    <a:prstGeom prst="rect">
                      <a:avLst/>
                    </a:prstGeom>
                    <a:noFill/>
                    <a:ln>
                      <a:noFill/>
                    </a:ln>
                  </pic:spPr>
                </pic:pic>
              </a:graphicData>
            </a:graphic>
          </wp:anchor>
        </w:drawing>
      </w:r>
    </w:p>
    <w:p w14:paraId="20F795C8" w14:textId="77777777" w:rsidR="00424E01" w:rsidRDefault="00424E01" w:rsidP="00725B42">
      <w:pPr>
        <w:spacing w:line="480" w:lineRule="auto"/>
        <w:jc w:val="both"/>
        <w:rPr>
          <w:b/>
          <w:lang w:val="en-US"/>
        </w:rPr>
      </w:pPr>
    </w:p>
    <w:p w14:paraId="5539E3D6" w14:textId="77777777" w:rsidR="00424E01" w:rsidRDefault="00424E01" w:rsidP="00725B42">
      <w:pPr>
        <w:spacing w:line="480" w:lineRule="auto"/>
        <w:jc w:val="both"/>
        <w:rPr>
          <w:b/>
          <w:lang w:val="en-US"/>
        </w:rPr>
      </w:pPr>
    </w:p>
    <w:p w14:paraId="28E65BD7" w14:textId="77777777" w:rsidR="00424E01" w:rsidRDefault="00424E01" w:rsidP="00725B42">
      <w:pPr>
        <w:spacing w:line="480" w:lineRule="auto"/>
        <w:jc w:val="both"/>
        <w:rPr>
          <w:b/>
          <w:lang w:val="en-US"/>
        </w:rPr>
      </w:pPr>
    </w:p>
    <w:p w14:paraId="285E0B71" w14:textId="77777777" w:rsidR="00424E01" w:rsidRDefault="00424E01" w:rsidP="00725B42">
      <w:pPr>
        <w:spacing w:line="480" w:lineRule="auto"/>
        <w:jc w:val="both"/>
        <w:rPr>
          <w:b/>
          <w:lang w:val="en-US"/>
        </w:rPr>
      </w:pPr>
    </w:p>
    <w:p w14:paraId="3013607B" w14:textId="77777777" w:rsidR="001F5FA2" w:rsidRDefault="001F5FA2" w:rsidP="00424E01">
      <w:pPr>
        <w:spacing w:line="360" w:lineRule="auto"/>
        <w:jc w:val="both"/>
        <w:rPr>
          <w:rFonts w:cs="Times New Roman"/>
          <w:lang w:val="en-US"/>
        </w:rPr>
      </w:pPr>
    </w:p>
    <w:p w14:paraId="4D5D1F5E" w14:textId="113F738D" w:rsidR="00424E01" w:rsidRPr="00424E01" w:rsidRDefault="00424E01" w:rsidP="00424E01">
      <w:pPr>
        <w:spacing w:line="360" w:lineRule="auto"/>
        <w:jc w:val="both"/>
        <w:rPr>
          <w:rFonts w:cs="Times New Roman"/>
          <w:lang w:val="en-US"/>
        </w:rPr>
      </w:pPr>
      <w:r>
        <w:rPr>
          <w:rFonts w:cs="Times New Roman"/>
          <w:lang w:val="en-US"/>
        </w:rPr>
        <w:t>Figure 5.3:</w:t>
      </w:r>
      <w:r w:rsidRPr="00424E01">
        <w:rPr>
          <w:rFonts w:cs="Times New Roman"/>
          <w:lang w:val="en-US"/>
        </w:rPr>
        <w:t xml:space="preserve"> Campaigns’ allocation according to Research macro areas</w:t>
      </w:r>
    </w:p>
    <w:p w14:paraId="3AE9BAB4" w14:textId="77777777" w:rsidR="00424E01" w:rsidRDefault="00424E01" w:rsidP="00725B42">
      <w:pPr>
        <w:spacing w:line="480" w:lineRule="auto"/>
        <w:jc w:val="both"/>
        <w:rPr>
          <w:b/>
          <w:lang w:val="en-US"/>
        </w:rPr>
      </w:pPr>
    </w:p>
    <w:p w14:paraId="27568246" w14:textId="77777777" w:rsidR="001F5FA2" w:rsidRDefault="001F5FA2" w:rsidP="00725B42">
      <w:pPr>
        <w:spacing w:line="480" w:lineRule="auto"/>
        <w:jc w:val="both"/>
        <w:rPr>
          <w:b/>
          <w:lang w:val="en-US"/>
        </w:rPr>
      </w:pPr>
    </w:p>
    <w:p w14:paraId="3CD07B77" w14:textId="77777777" w:rsidR="001F5FA2" w:rsidRDefault="001F5FA2" w:rsidP="00725B42">
      <w:pPr>
        <w:spacing w:line="480" w:lineRule="auto"/>
        <w:jc w:val="both"/>
        <w:rPr>
          <w:b/>
          <w:lang w:val="en-US"/>
        </w:rPr>
      </w:pPr>
    </w:p>
    <w:p w14:paraId="251D5B60" w14:textId="77777777" w:rsidR="001F5FA2" w:rsidRDefault="001F5FA2" w:rsidP="00725B42">
      <w:pPr>
        <w:spacing w:line="480" w:lineRule="auto"/>
        <w:jc w:val="both"/>
        <w:rPr>
          <w:b/>
          <w:lang w:val="en-US"/>
        </w:rPr>
      </w:pPr>
    </w:p>
    <w:p w14:paraId="72472EDD" w14:textId="77777777" w:rsidR="001F5FA2" w:rsidRDefault="001F5FA2" w:rsidP="00725B42">
      <w:pPr>
        <w:spacing w:line="480" w:lineRule="auto"/>
        <w:jc w:val="both"/>
        <w:rPr>
          <w:b/>
          <w:lang w:val="en-US"/>
        </w:rPr>
      </w:pPr>
    </w:p>
    <w:p w14:paraId="2FDDCEF2" w14:textId="77777777" w:rsidR="001F5FA2" w:rsidRDefault="001F5FA2" w:rsidP="00725B42">
      <w:pPr>
        <w:spacing w:line="480" w:lineRule="auto"/>
        <w:jc w:val="both"/>
        <w:rPr>
          <w:b/>
          <w:lang w:val="en-US"/>
        </w:rPr>
      </w:pPr>
    </w:p>
    <w:p w14:paraId="6B58DABA" w14:textId="77777777" w:rsidR="001F5FA2" w:rsidRDefault="001F5FA2" w:rsidP="00725B42">
      <w:pPr>
        <w:spacing w:line="480" w:lineRule="auto"/>
        <w:jc w:val="both"/>
        <w:rPr>
          <w:b/>
          <w:lang w:val="en-US"/>
        </w:rPr>
      </w:pPr>
    </w:p>
    <w:p w14:paraId="4ACBEFFB" w14:textId="77777777" w:rsidR="001F5FA2" w:rsidRDefault="001F5FA2" w:rsidP="00725B42">
      <w:pPr>
        <w:spacing w:line="480" w:lineRule="auto"/>
        <w:jc w:val="both"/>
        <w:rPr>
          <w:b/>
          <w:lang w:val="en-US"/>
        </w:rPr>
      </w:pPr>
    </w:p>
    <w:p w14:paraId="0CC244EE" w14:textId="77777777" w:rsidR="001F5FA2" w:rsidRDefault="001F5FA2" w:rsidP="00725B42">
      <w:pPr>
        <w:spacing w:line="480" w:lineRule="auto"/>
        <w:jc w:val="both"/>
        <w:rPr>
          <w:b/>
          <w:lang w:val="en-US"/>
        </w:rPr>
      </w:pPr>
    </w:p>
    <w:p w14:paraId="13DB22A6" w14:textId="77777777" w:rsidR="001F5FA2" w:rsidRDefault="001F5FA2" w:rsidP="00725B42">
      <w:pPr>
        <w:spacing w:line="480" w:lineRule="auto"/>
        <w:jc w:val="both"/>
        <w:rPr>
          <w:b/>
          <w:lang w:val="en-US"/>
        </w:rPr>
      </w:pPr>
    </w:p>
    <w:p w14:paraId="58CCF905" w14:textId="77777777" w:rsidR="001F5FA2" w:rsidRDefault="001F5FA2" w:rsidP="00725B42">
      <w:pPr>
        <w:spacing w:line="480" w:lineRule="auto"/>
        <w:jc w:val="both"/>
        <w:rPr>
          <w:b/>
          <w:lang w:val="en-US"/>
        </w:rPr>
      </w:pPr>
    </w:p>
    <w:p w14:paraId="4A7A0FEE" w14:textId="77777777" w:rsidR="001F5FA2" w:rsidRDefault="001F5FA2" w:rsidP="00725B42">
      <w:pPr>
        <w:spacing w:line="480" w:lineRule="auto"/>
        <w:jc w:val="both"/>
        <w:rPr>
          <w:b/>
          <w:lang w:val="en-US"/>
        </w:rPr>
      </w:pPr>
    </w:p>
    <w:p w14:paraId="47C1F281" w14:textId="77777777" w:rsidR="001F5FA2" w:rsidRDefault="001F5FA2" w:rsidP="00725B42">
      <w:pPr>
        <w:spacing w:line="480" w:lineRule="auto"/>
        <w:jc w:val="both"/>
        <w:rPr>
          <w:b/>
          <w:lang w:val="en-US"/>
        </w:rPr>
      </w:pPr>
    </w:p>
    <w:p w14:paraId="76811EEB" w14:textId="77777777" w:rsidR="001F5FA2" w:rsidRDefault="001F5FA2" w:rsidP="00725B42">
      <w:pPr>
        <w:spacing w:line="480" w:lineRule="auto"/>
        <w:jc w:val="both"/>
        <w:rPr>
          <w:b/>
          <w:lang w:val="en-US"/>
        </w:rPr>
      </w:pPr>
    </w:p>
    <w:p w14:paraId="528C1854" w14:textId="77777777" w:rsidR="001F5FA2" w:rsidRDefault="001F5FA2" w:rsidP="00725B42">
      <w:pPr>
        <w:spacing w:line="480" w:lineRule="auto"/>
        <w:jc w:val="both"/>
        <w:rPr>
          <w:b/>
          <w:lang w:val="en-US"/>
        </w:rPr>
      </w:pPr>
    </w:p>
    <w:p w14:paraId="638E2B33" w14:textId="77777777" w:rsidR="001F5FA2" w:rsidRDefault="001F5FA2" w:rsidP="00725B42">
      <w:pPr>
        <w:spacing w:line="480" w:lineRule="auto"/>
        <w:jc w:val="both"/>
        <w:rPr>
          <w:b/>
          <w:lang w:val="en-US"/>
        </w:rPr>
      </w:pPr>
    </w:p>
    <w:p w14:paraId="601C37D0" w14:textId="77777777" w:rsidR="001F5FA2" w:rsidRDefault="001F5FA2" w:rsidP="00725B42">
      <w:pPr>
        <w:spacing w:line="480" w:lineRule="auto"/>
        <w:jc w:val="both"/>
        <w:rPr>
          <w:b/>
          <w:lang w:val="en-US"/>
        </w:rPr>
      </w:pPr>
    </w:p>
    <w:p w14:paraId="3596232B" w14:textId="77777777" w:rsidR="001F5FA2" w:rsidRDefault="001F5FA2" w:rsidP="00725B42">
      <w:pPr>
        <w:spacing w:line="480" w:lineRule="auto"/>
        <w:jc w:val="both"/>
        <w:rPr>
          <w:b/>
          <w:lang w:val="en-US"/>
        </w:rPr>
      </w:pPr>
    </w:p>
    <w:p w14:paraId="5BD00515" w14:textId="2A53AB76" w:rsidR="001F5FA2" w:rsidRDefault="001F5FA2" w:rsidP="00725B42">
      <w:pPr>
        <w:spacing w:line="480" w:lineRule="auto"/>
        <w:jc w:val="both"/>
        <w:rPr>
          <w:b/>
          <w:lang w:val="en-US"/>
        </w:rPr>
      </w:pPr>
      <w:r w:rsidRPr="004F5BFA">
        <w:rPr>
          <w:noProof/>
          <w:lang w:eastAsia="it-IT" w:bidi="ar-SA"/>
        </w:rPr>
        <w:drawing>
          <wp:anchor distT="0" distB="0" distL="114300" distR="114300" simplePos="0" relativeHeight="251682816" behindDoc="0" locked="0" layoutInCell="1" allowOverlap="1" wp14:anchorId="66E59E1D" wp14:editId="53B5D02E">
            <wp:simplePos x="0" y="0"/>
            <wp:positionH relativeFrom="margin">
              <wp:posOffset>1371600</wp:posOffset>
            </wp:positionH>
            <wp:positionV relativeFrom="margin">
              <wp:posOffset>342900</wp:posOffset>
            </wp:positionV>
            <wp:extent cx="2987675" cy="1806575"/>
            <wp:effectExtent l="0" t="0" r="9525" b="0"/>
            <wp:wrapSquare wrapText="bothSides"/>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87675" cy="1806575"/>
                    </a:xfrm>
                    <a:prstGeom prst="rect">
                      <a:avLst/>
                    </a:prstGeom>
                    <a:noFill/>
                    <a:ln>
                      <a:noFill/>
                    </a:ln>
                  </pic:spPr>
                </pic:pic>
              </a:graphicData>
            </a:graphic>
          </wp:anchor>
        </w:drawing>
      </w:r>
    </w:p>
    <w:p w14:paraId="565FD603" w14:textId="77777777" w:rsidR="001F5FA2" w:rsidRDefault="001F5FA2" w:rsidP="00725B42">
      <w:pPr>
        <w:spacing w:line="480" w:lineRule="auto"/>
        <w:jc w:val="both"/>
        <w:rPr>
          <w:b/>
          <w:lang w:val="en-US"/>
        </w:rPr>
      </w:pPr>
    </w:p>
    <w:p w14:paraId="696C5E10" w14:textId="76E76F64" w:rsidR="003E05BC" w:rsidRDefault="003E05BC" w:rsidP="00725B42">
      <w:pPr>
        <w:spacing w:line="480" w:lineRule="auto"/>
        <w:jc w:val="both"/>
        <w:rPr>
          <w:b/>
          <w:lang w:val="en-US"/>
        </w:rPr>
      </w:pPr>
    </w:p>
    <w:p w14:paraId="01005D3D" w14:textId="77777777" w:rsidR="001F5FA2" w:rsidRDefault="001F5FA2" w:rsidP="00725B42">
      <w:pPr>
        <w:spacing w:line="480" w:lineRule="auto"/>
        <w:jc w:val="both"/>
        <w:rPr>
          <w:b/>
          <w:lang w:val="en-US"/>
        </w:rPr>
      </w:pPr>
    </w:p>
    <w:p w14:paraId="0605AF8D" w14:textId="77777777" w:rsidR="001F5FA2" w:rsidRDefault="001F5FA2" w:rsidP="00725B42">
      <w:pPr>
        <w:spacing w:line="480" w:lineRule="auto"/>
        <w:jc w:val="both"/>
        <w:rPr>
          <w:b/>
          <w:lang w:val="en-US"/>
        </w:rPr>
      </w:pPr>
    </w:p>
    <w:p w14:paraId="232C6527" w14:textId="77777777" w:rsidR="001F5FA2" w:rsidRDefault="001F5FA2" w:rsidP="00725B42">
      <w:pPr>
        <w:spacing w:line="480" w:lineRule="auto"/>
        <w:jc w:val="both"/>
        <w:rPr>
          <w:b/>
          <w:lang w:val="en-US"/>
        </w:rPr>
      </w:pPr>
    </w:p>
    <w:p w14:paraId="79315F97" w14:textId="77777777" w:rsidR="001F5FA2" w:rsidRDefault="001F5FA2" w:rsidP="00725B42">
      <w:pPr>
        <w:spacing w:line="480" w:lineRule="auto"/>
        <w:jc w:val="both"/>
        <w:rPr>
          <w:b/>
          <w:lang w:val="en-US"/>
        </w:rPr>
      </w:pPr>
    </w:p>
    <w:p w14:paraId="1089CC41" w14:textId="20DE1499" w:rsidR="001F5FA2" w:rsidRPr="001F5FA2" w:rsidRDefault="001F5FA2" w:rsidP="001F5FA2">
      <w:pPr>
        <w:spacing w:line="360" w:lineRule="auto"/>
        <w:jc w:val="both"/>
        <w:rPr>
          <w:rFonts w:cs="Times New Roman"/>
          <w:lang w:val="en-US"/>
        </w:rPr>
      </w:pPr>
      <w:r>
        <w:rPr>
          <w:rFonts w:cs="Times New Roman"/>
          <w:lang w:val="en-US"/>
        </w:rPr>
        <w:t>Figure 5.4:</w:t>
      </w:r>
      <w:r w:rsidRPr="001F5FA2">
        <w:rPr>
          <w:rFonts w:cs="Times New Roman"/>
          <w:lang w:val="en-US"/>
        </w:rPr>
        <w:t xml:space="preserve"> Projects’ success composition according to university’s functions</w:t>
      </w:r>
    </w:p>
    <w:p w14:paraId="762D1D46" w14:textId="77777777" w:rsidR="001F5FA2" w:rsidRDefault="001F5FA2" w:rsidP="00725B42">
      <w:pPr>
        <w:spacing w:line="480" w:lineRule="auto"/>
        <w:jc w:val="both"/>
        <w:rPr>
          <w:b/>
          <w:lang w:val="en-US"/>
        </w:rPr>
      </w:pPr>
    </w:p>
    <w:p w14:paraId="02C8F373" w14:textId="77777777" w:rsidR="001F5FA2" w:rsidRDefault="001F5FA2" w:rsidP="00725B42">
      <w:pPr>
        <w:spacing w:line="480" w:lineRule="auto"/>
        <w:jc w:val="both"/>
        <w:rPr>
          <w:b/>
          <w:lang w:val="en-US"/>
        </w:rPr>
      </w:pPr>
    </w:p>
    <w:p w14:paraId="7230294A" w14:textId="77777777" w:rsidR="001F5FA2" w:rsidRDefault="001F5FA2" w:rsidP="00725B42">
      <w:pPr>
        <w:spacing w:line="480" w:lineRule="auto"/>
        <w:jc w:val="both"/>
        <w:rPr>
          <w:b/>
          <w:lang w:val="en-US"/>
        </w:rPr>
      </w:pPr>
    </w:p>
    <w:p w14:paraId="3CACE3A9" w14:textId="77777777" w:rsidR="001F5FA2" w:rsidRDefault="001F5FA2" w:rsidP="00725B42">
      <w:pPr>
        <w:spacing w:line="480" w:lineRule="auto"/>
        <w:jc w:val="both"/>
        <w:rPr>
          <w:b/>
          <w:lang w:val="en-US"/>
        </w:rPr>
      </w:pPr>
    </w:p>
    <w:p w14:paraId="4FA6AAD4" w14:textId="77777777" w:rsidR="001F5FA2" w:rsidRDefault="001F5FA2" w:rsidP="00725B42">
      <w:pPr>
        <w:spacing w:line="480" w:lineRule="auto"/>
        <w:jc w:val="both"/>
        <w:rPr>
          <w:b/>
          <w:lang w:val="en-US"/>
        </w:rPr>
      </w:pPr>
    </w:p>
    <w:p w14:paraId="47F45816" w14:textId="77777777" w:rsidR="001F5FA2" w:rsidRDefault="001F5FA2" w:rsidP="00725B42">
      <w:pPr>
        <w:spacing w:line="480" w:lineRule="auto"/>
        <w:jc w:val="both"/>
        <w:rPr>
          <w:b/>
          <w:lang w:val="en-US"/>
        </w:rPr>
      </w:pPr>
    </w:p>
    <w:p w14:paraId="03E4325E" w14:textId="77777777" w:rsidR="001F5FA2" w:rsidRDefault="001F5FA2" w:rsidP="00725B42">
      <w:pPr>
        <w:spacing w:line="480" w:lineRule="auto"/>
        <w:jc w:val="both"/>
        <w:rPr>
          <w:b/>
          <w:lang w:val="en-US"/>
        </w:rPr>
      </w:pPr>
    </w:p>
    <w:p w14:paraId="646CE29D" w14:textId="77777777" w:rsidR="001F5FA2" w:rsidRDefault="001F5FA2" w:rsidP="00725B42">
      <w:pPr>
        <w:spacing w:line="480" w:lineRule="auto"/>
        <w:jc w:val="both"/>
        <w:rPr>
          <w:b/>
          <w:lang w:val="en-US"/>
        </w:rPr>
      </w:pPr>
    </w:p>
    <w:p w14:paraId="403E9027" w14:textId="77777777" w:rsidR="001F5FA2" w:rsidRDefault="001F5FA2" w:rsidP="00725B42">
      <w:pPr>
        <w:spacing w:line="480" w:lineRule="auto"/>
        <w:jc w:val="both"/>
        <w:rPr>
          <w:b/>
          <w:lang w:val="en-US"/>
        </w:rPr>
      </w:pPr>
    </w:p>
    <w:p w14:paraId="3B2D1052" w14:textId="77777777" w:rsidR="001F5FA2" w:rsidRDefault="001F5FA2" w:rsidP="00725B42">
      <w:pPr>
        <w:spacing w:line="480" w:lineRule="auto"/>
        <w:jc w:val="both"/>
        <w:rPr>
          <w:b/>
          <w:lang w:val="en-US"/>
        </w:rPr>
      </w:pPr>
    </w:p>
    <w:p w14:paraId="4AD7DFB2" w14:textId="77777777" w:rsidR="001F5FA2" w:rsidRDefault="001F5FA2" w:rsidP="00725B42">
      <w:pPr>
        <w:spacing w:line="480" w:lineRule="auto"/>
        <w:jc w:val="both"/>
        <w:rPr>
          <w:b/>
          <w:lang w:val="en-US"/>
        </w:rPr>
      </w:pPr>
    </w:p>
    <w:p w14:paraId="56AD9B8F" w14:textId="77777777" w:rsidR="001F5FA2" w:rsidRDefault="001F5FA2" w:rsidP="00725B42">
      <w:pPr>
        <w:spacing w:line="480" w:lineRule="auto"/>
        <w:jc w:val="both"/>
        <w:rPr>
          <w:b/>
          <w:lang w:val="en-US"/>
        </w:rPr>
      </w:pPr>
    </w:p>
    <w:p w14:paraId="5D35AC5E" w14:textId="77777777" w:rsidR="001F5FA2" w:rsidRDefault="001F5FA2" w:rsidP="00725B42">
      <w:pPr>
        <w:spacing w:line="480" w:lineRule="auto"/>
        <w:jc w:val="both"/>
        <w:rPr>
          <w:b/>
          <w:lang w:val="en-US"/>
        </w:rPr>
      </w:pPr>
    </w:p>
    <w:p w14:paraId="6F226FCE" w14:textId="77777777" w:rsidR="001F5FA2" w:rsidRDefault="001F5FA2" w:rsidP="00725B42">
      <w:pPr>
        <w:spacing w:line="480" w:lineRule="auto"/>
        <w:jc w:val="both"/>
        <w:rPr>
          <w:b/>
          <w:lang w:val="en-US"/>
        </w:rPr>
      </w:pPr>
    </w:p>
    <w:p w14:paraId="172833FD" w14:textId="77777777" w:rsidR="001F5FA2" w:rsidRDefault="001F5FA2" w:rsidP="00725B42">
      <w:pPr>
        <w:spacing w:line="480" w:lineRule="auto"/>
        <w:jc w:val="both"/>
        <w:rPr>
          <w:b/>
          <w:lang w:val="en-US"/>
        </w:rPr>
      </w:pPr>
    </w:p>
    <w:p w14:paraId="7C5F3804" w14:textId="77777777" w:rsidR="001F5FA2" w:rsidRDefault="001F5FA2" w:rsidP="00725B42">
      <w:pPr>
        <w:spacing w:line="480" w:lineRule="auto"/>
        <w:jc w:val="both"/>
        <w:rPr>
          <w:b/>
          <w:lang w:val="en-US"/>
        </w:rPr>
      </w:pPr>
    </w:p>
    <w:p w14:paraId="6BF4D9C0" w14:textId="77777777" w:rsidR="001F5FA2" w:rsidRDefault="001F5FA2" w:rsidP="00725B42">
      <w:pPr>
        <w:spacing w:line="480" w:lineRule="auto"/>
        <w:jc w:val="both"/>
        <w:rPr>
          <w:b/>
          <w:lang w:val="en-US"/>
        </w:rPr>
      </w:pPr>
    </w:p>
    <w:p w14:paraId="64A5FE95" w14:textId="77777777" w:rsidR="001F5FA2" w:rsidRDefault="001F5FA2" w:rsidP="00725B42">
      <w:pPr>
        <w:spacing w:line="480" w:lineRule="auto"/>
        <w:jc w:val="both"/>
        <w:rPr>
          <w:b/>
          <w:lang w:val="en-US"/>
        </w:rPr>
      </w:pPr>
    </w:p>
    <w:p w14:paraId="240C8AF9" w14:textId="03F5DF12" w:rsidR="001F5FA2" w:rsidRDefault="001F5FA2" w:rsidP="00725B42">
      <w:pPr>
        <w:spacing w:line="480" w:lineRule="auto"/>
        <w:jc w:val="both"/>
        <w:rPr>
          <w:b/>
          <w:lang w:val="en-US"/>
        </w:rPr>
      </w:pPr>
      <w:r w:rsidRPr="00721446">
        <w:rPr>
          <w:noProof/>
          <w:lang w:eastAsia="it-IT" w:bidi="ar-SA"/>
        </w:rPr>
        <w:drawing>
          <wp:anchor distT="0" distB="0" distL="114300" distR="114300" simplePos="0" relativeHeight="251684864" behindDoc="0" locked="0" layoutInCell="1" allowOverlap="1" wp14:anchorId="4C2B7A8A" wp14:editId="0A7B5995">
            <wp:simplePos x="0" y="0"/>
            <wp:positionH relativeFrom="margin">
              <wp:posOffset>1257300</wp:posOffset>
            </wp:positionH>
            <wp:positionV relativeFrom="margin">
              <wp:posOffset>342900</wp:posOffset>
            </wp:positionV>
            <wp:extent cx="2987675" cy="1791335"/>
            <wp:effectExtent l="0" t="0" r="9525" b="12065"/>
            <wp:wrapSquare wrapText="bothSides"/>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87675" cy="1791335"/>
                    </a:xfrm>
                    <a:prstGeom prst="rect">
                      <a:avLst/>
                    </a:prstGeom>
                    <a:noFill/>
                    <a:ln>
                      <a:noFill/>
                    </a:ln>
                  </pic:spPr>
                </pic:pic>
              </a:graphicData>
            </a:graphic>
          </wp:anchor>
        </w:drawing>
      </w:r>
    </w:p>
    <w:p w14:paraId="103C276F" w14:textId="239AC7F6" w:rsidR="001F5FA2" w:rsidRDefault="001F5FA2" w:rsidP="00725B42">
      <w:pPr>
        <w:spacing w:line="480" w:lineRule="auto"/>
        <w:jc w:val="both"/>
        <w:rPr>
          <w:b/>
          <w:lang w:val="en-US"/>
        </w:rPr>
      </w:pPr>
    </w:p>
    <w:p w14:paraId="6EC190E8" w14:textId="77777777" w:rsidR="001F5FA2" w:rsidRDefault="001F5FA2" w:rsidP="00725B42">
      <w:pPr>
        <w:spacing w:line="480" w:lineRule="auto"/>
        <w:jc w:val="both"/>
        <w:rPr>
          <w:b/>
          <w:lang w:val="en-US"/>
        </w:rPr>
      </w:pPr>
    </w:p>
    <w:p w14:paraId="12E10E58" w14:textId="77777777" w:rsidR="001F5FA2" w:rsidRDefault="001F5FA2" w:rsidP="00725B42">
      <w:pPr>
        <w:spacing w:line="480" w:lineRule="auto"/>
        <w:jc w:val="both"/>
        <w:rPr>
          <w:b/>
          <w:lang w:val="en-US"/>
        </w:rPr>
      </w:pPr>
    </w:p>
    <w:p w14:paraId="5EEFF566" w14:textId="77777777" w:rsidR="001F5FA2" w:rsidRDefault="001F5FA2" w:rsidP="00725B42">
      <w:pPr>
        <w:spacing w:line="480" w:lineRule="auto"/>
        <w:jc w:val="both"/>
        <w:rPr>
          <w:b/>
          <w:lang w:val="en-US"/>
        </w:rPr>
      </w:pPr>
    </w:p>
    <w:p w14:paraId="36A62312" w14:textId="77777777" w:rsidR="001F5FA2" w:rsidRDefault="001F5FA2" w:rsidP="00725B42">
      <w:pPr>
        <w:spacing w:line="480" w:lineRule="auto"/>
        <w:jc w:val="both"/>
        <w:rPr>
          <w:b/>
          <w:lang w:val="en-US"/>
        </w:rPr>
      </w:pPr>
    </w:p>
    <w:p w14:paraId="1E9C3B4A" w14:textId="77777777" w:rsidR="001F5FA2" w:rsidRDefault="001F5FA2" w:rsidP="00725B42">
      <w:pPr>
        <w:spacing w:line="480" w:lineRule="auto"/>
        <w:jc w:val="both"/>
        <w:rPr>
          <w:b/>
          <w:lang w:val="en-US"/>
        </w:rPr>
      </w:pPr>
    </w:p>
    <w:p w14:paraId="0C5BB089" w14:textId="1A7BBA31" w:rsidR="001F5FA2" w:rsidRPr="001F5FA2" w:rsidRDefault="001F5FA2" w:rsidP="001F5FA2">
      <w:pPr>
        <w:spacing w:line="360" w:lineRule="auto"/>
        <w:jc w:val="both"/>
        <w:rPr>
          <w:rFonts w:cs="Times New Roman"/>
          <w:lang w:val="en-US"/>
        </w:rPr>
      </w:pPr>
      <w:r>
        <w:rPr>
          <w:rFonts w:cs="Times New Roman"/>
          <w:lang w:val="en-US"/>
        </w:rPr>
        <w:t>Figure 5.5:</w:t>
      </w:r>
      <w:r w:rsidRPr="001F5FA2">
        <w:rPr>
          <w:rFonts w:cs="Times New Roman"/>
          <w:lang w:val="en-US"/>
        </w:rPr>
        <w:t xml:space="preserve"> Platform performance according to Research macro areas</w:t>
      </w:r>
    </w:p>
    <w:p w14:paraId="17A2981C" w14:textId="77777777" w:rsidR="001F5FA2" w:rsidRDefault="001F5FA2" w:rsidP="00725B42">
      <w:pPr>
        <w:spacing w:line="480" w:lineRule="auto"/>
        <w:jc w:val="both"/>
        <w:rPr>
          <w:b/>
          <w:lang w:val="en-US"/>
        </w:rPr>
      </w:pPr>
    </w:p>
    <w:p w14:paraId="53B22763" w14:textId="77777777" w:rsidR="001F5FA2" w:rsidRDefault="001F5FA2" w:rsidP="00725B42">
      <w:pPr>
        <w:spacing w:line="480" w:lineRule="auto"/>
        <w:jc w:val="both"/>
        <w:rPr>
          <w:b/>
          <w:lang w:val="en-US"/>
        </w:rPr>
      </w:pPr>
    </w:p>
    <w:p w14:paraId="749DEA29" w14:textId="77777777" w:rsidR="001F5FA2" w:rsidRDefault="001F5FA2" w:rsidP="00725B42">
      <w:pPr>
        <w:spacing w:line="480" w:lineRule="auto"/>
        <w:jc w:val="both"/>
        <w:rPr>
          <w:b/>
          <w:lang w:val="en-US"/>
        </w:rPr>
      </w:pPr>
    </w:p>
    <w:p w14:paraId="692D27FE" w14:textId="77777777" w:rsidR="001F5FA2" w:rsidRDefault="001F5FA2" w:rsidP="00725B42">
      <w:pPr>
        <w:spacing w:line="480" w:lineRule="auto"/>
        <w:jc w:val="both"/>
        <w:rPr>
          <w:b/>
          <w:lang w:val="en-US"/>
        </w:rPr>
      </w:pPr>
    </w:p>
    <w:p w14:paraId="04643A48" w14:textId="77777777" w:rsidR="001F5FA2" w:rsidRDefault="001F5FA2" w:rsidP="00725B42">
      <w:pPr>
        <w:spacing w:line="480" w:lineRule="auto"/>
        <w:jc w:val="both"/>
        <w:rPr>
          <w:b/>
          <w:lang w:val="en-US"/>
        </w:rPr>
      </w:pPr>
    </w:p>
    <w:p w14:paraId="141C8B10" w14:textId="77777777" w:rsidR="001F5FA2" w:rsidRDefault="001F5FA2" w:rsidP="00725B42">
      <w:pPr>
        <w:spacing w:line="480" w:lineRule="auto"/>
        <w:jc w:val="both"/>
        <w:rPr>
          <w:b/>
          <w:lang w:val="en-US"/>
        </w:rPr>
      </w:pPr>
    </w:p>
    <w:p w14:paraId="260FB36A" w14:textId="77777777" w:rsidR="001F5FA2" w:rsidRDefault="001F5FA2" w:rsidP="00725B42">
      <w:pPr>
        <w:spacing w:line="480" w:lineRule="auto"/>
        <w:jc w:val="both"/>
        <w:rPr>
          <w:b/>
          <w:lang w:val="en-US"/>
        </w:rPr>
      </w:pPr>
    </w:p>
    <w:p w14:paraId="4362B1BD" w14:textId="77777777" w:rsidR="001F5FA2" w:rsidRDefault="001F5FA2" w:rsidP="00725B42">
      <w:pPr>
        <w:spacing w:line="480" w:lineRule="auto"/>
        <w:jc w:val="both"/>
        <w:rPr>
          <w:b/>
          <w:lang w:val="en-US"/>
        </w:rPr>
      </w:pPr>
    </w:p>
    <w:p w14:paraId="3C497D65" w14:textId="77777777" w:rsidR="001F5FA2" w:rsidRDefault="001F5FA2" w:rsidP="00725B42">
      <w:pPr>
        <w:spacing w:line="480" w:lineRule="auto"/>
        <w:jc w:val="both"/>
        <w:rPr>
          <w:b/>
          <w:lang w:val="en-US"/>
        </w:rPr>
      </w:pPr>
    </w:p>
    <w:p w14:paraId="6A5C6E72" w14:textId="77777777" w:rsidR="001F5FA2" w:rsidRDefault="001F5FA2" w:rsidP="00725B42">
      <w:pPr>
        <w:spacing w:line="480" w:lineRule="auto"/>
        <w:jc w:val="both"/>
        <w:rPr>
          <w:b/>
          <w:lang w:val="en-US"/>
        </w:rPr>
      </w:pPr>
    </w:p>
    <w:p w14:paraId="7705F4AF" w14:textId="77777777" w:rsidR="001F5FA2" w:rsidRDefault="001F5FA2" w:rsidP="00725B42">
      <w:pPr>
        <w:spacing w:line="480" w:lineRule="auto"/>
        <w:jc w:val="both"/>
        <w:rPr>
          <w:b/>
          <w:lang w:val="en-US"/>
        </w:rPr>
      </w:pPr>
    </w:p>
    <w:p w14:paraId="3A88E5A5" w14:textId="77777777" w:rsidR="001F5FA2" w:rsidRDefault="001F5FA2" w:rsidP="00725B42">
      <w:pPr>
        <w:spacing w:line="480" w:lineRule="auto"/>
        <w:jc w:val="both"/>
        <w:rPr>
          <w:b/>
          <w:lang w:val="en-US"/>
        </w:rPr>
      </w:pPr>
    </w:p>
    <w:p w14:paraId="30DEBF63" w14:textId="77777777" w:rsidR="001F5FA2" w:rsidRDefault="001F5FA2" w:rsidP="00725B42">
      <w:pPr>
        <w:spacing w:line="480" w:lineRule="auto"/>
        <w:jc w:val="both"/>
        <w:rPr>
          <w:b/>
          <w:lang w:val="en-US"/>
        </w:rPr>
      </w:pPr>
    </w:p>
    <w:p w14:paraId="6C6107A3" w14:textId="77777777" w:rsidR="001F5FA2" w:rsidRDefault="001F5FA2" w:rsidP="00725B42">
      <w:pPr>
        <w:spacing w:line="480" w:lineRule="auto"/>
        <w:jc w:val="both"/>
        <w:rPr>
          <w:b/>
          <w:lang w:val="en-US"/>
        </w:rPr>
      </w:pPr>
    </w:p>
    <w:p w14:paraId="616EEDC7" w14:textId="77777777" w:rsidR="001F5FA2" w:rsidRDefault="001F5FA2" w:rsidP="00725B42">
      <w:pPr>
        <w:spacing w:line="480" w:lineRule="auto"/>
        <w:jc w:val="both"/>
        <w:rPr>
          <w:b/>
          <w:lang w:val="en-US"/>
        </w:rPr>
      </w:pPr>
    </w:p>
    <w:p w14:paraId="77A4C4FB" w14:textId="77777777" w:rsidR="001F5FA2" w:rsidRDefault="001F5FA2" w:rsidP="00725B42">
      <w:pPr>
        <w:spacing w:line="480" w:lineRule="auto"/>
        <w:jc w:val="both"/>
        <w:rPr>
          <w:b/>
          <w:lang w:val="en-US"/>
        </w:rPr>
      </w:pPr>
    </w:p>
    <w:p w14:paraId="0725BB49" w14:textId="77777777" w:rsidR="001F5FA2" w:rsidRDefault="001F5FA2" w:rsidP="00725B42">
      <w:pPr>
        <w:spacing w:line="480" w:lineRule="auto"/>
        <w:jc w:val="both"/>
        <w:rPr>
          <w:b/>
          <w:lang w:val="en-US"/>
        </w:rPr>
      </w:pPr>
    </w:p>
    <w:p w14:paraId="4D8E9ACA" w14:textId="77777777" w:rsidR="001F5FA2" w:rsidRDefault="001F5FA2" w:rsidP="00725B42">
      <w:pPr>
        <w:spacing w:line="480" w:lineRule="auto"/>
        <w:jc w:val="both"/>
        <w:rPr>
          <w:b/>
          <w:lang w:val="en-US"/>
        </w:rPr>
      </w:pPr>
    </w:p>
    <w:p w14:paraId="4F2487C0" w14:textId="2B94E9D2" w:rsidR="001F5FA2" w:rsidRDefault="001F5FA2" w:rsidP="00725B42">
      <w:pPr>
        <w:spacing w:line="480" w:lineRule="auto"/>
        <w:jc w:val="both"/>
        <w:rPr>
          <w:b/>
          <w:lang w:val="en-US"/>
        </w:rPr>
      </w:pPr>
      <w:r>
        <w:rPr>
          <w:rFonts w:cs="Times New Roman"/>
          <w:noProof/>
          <w:lang w:eastAsia="it-IT" w:bidi="ar-SA"/>
        </w:rPr>
        <w:drawing>
          <wp:inline distT="0" distB="0" distL="0" distR="0" wp14:anchorId="0ADAE094" wp14:editId="70C04FDD">
            <wp:extent cx="5755640" cy="4316730"/>
            <wp:effectExtent l="76200" t="76200" r="162560" b="15367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nceptualmap_Contentanalysis.jpg"/>
                    <pic:cNvPicPr/>
                  </pic:nvPicPr>
                  <pic:blipFill>
                    <a:blip r:embed="rId28">
                      <a:extLst>
                        <a:ext uri="{28A0092B-C50C-407E-A947-70E740481C1C}">
                          <a14:useLocalDpi xmlns:a14="http://schemas.microsoft.com/office/drawing/2010/main" val="0"/>
                        </a:ext>
                      </a:extLst>
                    </a:blip>
                    <a:stretch>
                      <a:fillRect/>
                    </a:stretch>
                  </pic:blipFill>
                  <pic:spPr>
                    <a:xfrm>
                      <a:off x="0" y="0"/>
                      <a:ext cx="5755640" cy="43167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BA479BD" w14:textId="62C0C772" w:rsidR="001F5FA2" w:rsidRDefault="001F5FA2" w:rsidP="001F5FA2">
      <w:pPr>
        <w:spacing w:line="360" w:lineRule="auto"/>
        <w:jc w:val="both"/>
        <w:rPr>
          <w:rFonts w:cs="Times New Roman"/>
          <w:i/>
          <w:lang w:val="en-US"/>
        </w:rPr>
      </w:pPr>
      <w:r w:rsidRPr="00E45703">
        <w:rPr>
          <w:rFonts w:cs="Times New Roman"/>
          <w:lang w:val="en-US"/>
        </w:rPr>
        <w:t>Figure 5.</w:t>
      </w:r>
      <w:r>
        <w:rPr>
          <w:rFonts w:cs="Times New Roman"/>
          <w:lang w:val="en-US"/>
        </w:rPr>
        <w:t>6:</w:t>
      </w:r>
      <w:r w:rsidRPr="00E45703">
        <w:rPr>
          <w:rFonts w:cs="Times New Roman"/>
          <w:lang w:val="en-US"/>
        </w:rPr>
        <w:t xml:space="preserve"> </w:t>
      </w:r>
      <w:r w:rsidRPr="00A042C6">
        <w:rPr>
          <w:rFonts w:cs="Times New Roman"/>
          <w:lang w:val="en-US"/>
        </w:rPr>
        <w:t>A conceptual map of fundraising culture in University of Pavia.</w:t>
      </w:r>
    </w:p>
    <w:p w14:paraId="1CC4CBB8" w14:textId="77777777" w:rsidR="001F5FA2" w:rsidRDefault="001F5FA2" w:rsidP="00725B42">
      <w:pPr>
        <w:spacing w:line="480" w:lineRule="auto"/>
        <w:jc w:val="both"/>
        <w:rPr>
          <w:b/>
          <w:lang w:val="en-US"/>
        </w:rPr>
      </w:pPr>
    </w:p>
    <w:p w14:paraId="5F886FFA" w14:textId="77777777" w:rsidR="00A11C14" w:rsidRDefault="00A11C14" w:rsidP="00725B42">
      <w:pPr>
        <w:spacing w:line="480" w:lineRule="auto"/>
        <w:jc w:val="both"/>
        <w:rPr>
          <w:b/>
          <w:lang w:val="en-US"/>
        </w:rPr>
      </w:pPr>
    </w:p>
    <w:p w14:paraId="103CAEE7" w14:textId="77777777" w:rsidR="00A11C14" w:rsidRDefault="00A11C14" w:rsidP="00725B42">
      <w:pPr>
        <w:spacing w:line="480" w:lineRule="auto"/>
        <w:jc w:val="both"/>
        <w:rPr>
          <w:b/>
          <w:lang w:val="en-US"/>
        </w:rPr>
      </w:pPr>
    </w:p>
    <w:p w14:paraId="030E88AC" w14:textId="77777777" w:rsidR="00A11C14" w:rsidRDefault="00A11C14" w:rsidP="00725B42">
      <w:pPr>
        <w:spacing w:line="480" w:lineRule="auto"/>
        <w:jc w:val="both"/>
        <w:rPr>
          <w:b/>
          <w:lang w:val="en-US"/>
        </w:rPr>
      </w:pPr>
    </w:p>
    <w:p w14:paraId="5F9DDD2A" w14:textId="77777777" w:rsidR="00A11C14" w:rsidRDefault="00A11C14" w:rsidP="00725B42">
      <w:pPr>
        <w:spacing w:line="480" w:lineRule="auto"/>
        <w:jc w:val="both"/>
        <w:rPr>
          <w:b/>
          <w:lang w:val="en-US"/>
        </w:rPr>
      </w:pPr>
    </w:p>
    <w:p w14:paraId="463A7451" w14:textId="77777777" w:rsidR="00A11C14" w:rsidRDefault="00A11C14" w:rsidP="00725B42">
      <w:pPr>
        <w:spacing w:line="480" w:lineRule="auto"/>
        <w:jc w:val="both"/>
        <w:rPr>
          <w:b/>
          <w:lang w:val="en-US"/>
        </w:rPr>
      </w:pPr>
    </w:p>
    <w:p w14:paraId="4B8D3306" w14:textId="77777777" w:rsidR="00A11C14" w:rsidRDefault="00A11C14" w:rsidP="00725B42">
      <w:pPr>
        <w:spacing w:line="480" w:lineRule="auto"/>
        <w:jc w:val="both"/>
        <w:rPr>
          <w:b/>
          <w:lang w:val="en-US"/>
        </w:rPr>
      </w:pPr>
    </w:p>
    <w:p w14:paraId="02EB40BB" w14:textId="77777777" w:rsidR="00A11C14" w:rsidRDefault="00A11C14" w:rsidP="00725B42">
      <w:pPr>
        <w:spacing w:line="480" w:lineRule="auto"/>
        <w:jc w:val="both"/>
        <w:rPr>
          <w:b/>
          <w:lang w:val="en-US"/>
        </w:rPr>
      </w:pPr>
    </w:p>
    <w:p w14:paraId="161EE75B" w14:textId="77777777" w:rsidR="00A11C14" w:rsidRDefault="00A11C14" w:rsidP="00725B42">
      <w:pPr>
        <w:spacing w:line="480" w:lineRule="auto"/>
        <w:jc w:val="both"/>
        <w:rPr>
          <w:b/>
          <w:lang w:val="en-US"/>
        </w:rPr>
      </w:pPr>
    </w:p>
    <w:p w14:paraId="3A9E41FD" w14:textId="77777777" w:rsidR="00A11C14" w:rsidRDefault="00A11C14" w:rsidP="00725B42">
      <w:pPr>
        <w:spacing w:line="480" w:lineRule="auto"/>
        <w:jc w:val="both"/>
        <w:rPr>
          <w:b/>
          <w:lang w:val="en-US"/>
        </w:rPr>
      </w:pPr>
    </w:p>
    <w:p w14:paraId="64564CAB" w14:textId="77777777" w:rsidR="00A11C14" w:rsidRDefault="00A11C14" w:rsidP="00725B42">
      <w:pPr>
        <w:spacing w:line="480" w:lineRule="auto"/>
        <w:jc w:val="both"/>
        <w:rPr>
          <w:b/>
          <w:lang w:val="en-US"/>
        </w:rPr>
      </w:pPr>
    </w:p>
    <w:p w14:paraId="5DC81A14" w14:textId="77777777" w:rsidR="00A11C14" w:rsidRDefault="00A11C14" w:rsidP="00725B42">
      <w:pPr>
        <w:spacing w:line="480" w:lineRule="auto"/>
        <w:jc w:val="both"/>
        <w:rPr>
          <w:b/>
          <w:lang w:val="en-US"/>
        </w:rPr>
      </w:pPr>
    </w:p>
    <w:p w14:paraId="609D68ED" w14:textId="77777777" w:rsidR="00A11C14" w:rsidRDefault="00A11C14" w:rsidP="00725B42">
      <w:pPr>
        <w:spacing w:line="480" w:lineRule="auto"/>
        <w:jc w:val="both"/>
        <w:rPr>
          <w:b/>
          <w:lang w:val="en-US"/>
        </w:rPr>
      </w:pPr>
    </w:p>
    <w:p w14:paraId="11CF2903" w14:textId="77777777" w:rsidR="00A11C14" w:rsidRDefault="00A11C14" w:rsidP="00725B42">
      <w:pPr>
        <w:spacing w:line="480" w:lineRule="auto"/>
        <w:jc w:val="both"/>
        <w:rPr>
          <w:b/>
          <w:lang w:val="en-US"/>
        </w:rPr>
      </w:pPr>
    </w:p>
    <w:p w14:paraId="5365148E" w14:textId="77777777" w:rsidR="00A11C14" w:rsidRDefault="00A11C14" w:rsidP="00725B42">
      <w:pPr>
        <w:spacing w:line="480" w:lineRule="auto"/>
        <w:jc w:val="both"/>
        <w:rPr>
          <w:b/>
          <w:lang w:val="en-US"/>
        </w:rPr>
      </w:pPr>
    </w:p>
    <w:p w14:paraId="67D27BD4" w14:textId="77777777" w:rsidR="00A11C14" w:rsidRDefault="00A11C14" w:rsidP="00725B42">
      <w:pPr>
        <w:spacing w:line="480" w:lineRule="auto"/>
        <w:jc w:val="both"/>
        <w:rPr>
          <w:b/>
          <w:lang w:val="en-US"/>
        </w:rPr>
      </w:pPr>
    </w:p>
    <w:p w14:paraId="10E5519B" w14:textId="77777777" w:rsidR="00A11C14" w:rsidRDefault="00A11C14" w:rsidP="00725B42">
      <w:pPr>
        <w:spacing w:line="480" w:lineRule="auto"/>
        <w:jc w:val="both"/>
        <w:rPr>
          <w:b/>
          <w:lang w:val="en-US"/>
        </w:rPr>
      </w:pPr>
    </w:p>
    <w:p w14:paraId="487855C4" w14:textId="77777777" w:rsidR="00A11C14" w:rsidRDefault="00A11C14" w:rsidP="00725B42">
      <w:pPr>
        <w:spacing w:line="480" w:lineRule="auto"/>
        <w:jc w:val="both"/>
        <w:rPr>
          <w:b/>
          <w:lang w:val="en-US"/>
        </w:rPr>
      </w:pPr>
    </w:p>
    <w:p w14:paraId="4B7F0B5B" w14:textId="77777777" w:rsidR="00A11C14" w:rsidRDefault="00A11C14" w:rsidP="00725B42">
      <w:pPr>
        <w:spacing w:line="480" w:lineRule="auto"/>
        <w:jc w:val="both"/>
        <w:rPr>
          <w:b/>
          <w:lang w:val="en-US"/>
        </w:rPr>
      </w:pPr>
    </w:p>
    <w:p w14:paraId="63E38304" w14:textId="77777777" w:rsidR="00A11C14" w:rsidRDefault="00A11C14" w:rsidP="00725B42">
      <w:pPr>
        <w:spacing w:line="480" w:lineRule="auto"/>
        <w:jc w:val="both"/>
        <w:rPr>
          <w:b/>
          <w:lang w:val="en-US"/>
        </w:rPr>
      </w:pPr>
    </w:p>
    <w:p w14:paraId="2A260BF1" w14:textId="77777777" w:rsidR="00A11C14" w:rsidRDefault="00A11C14" w:rsidP="00725B42">
      <w:pPr>
        <w:spacing w:line="480" w:lineRule="auto"/>
        <w:jc w:val="both"/>
        <w:rPr>
          <w:b/>
          <w:lang w:val="en-US"/>
        </w:rPr>
      </w:pPr>
    </w:p>
    <w:p w14:paraId="10A4EE13" w14:textId="77777777" w:rsidR="00A11C14" w:rsidRDefault="00A11C14" w:rsidP="00725B42">
      <w:pPr>
        <w:spacing w:line="480" w:lineRule="auto"/>
        <w:jc w:val="both"/>
        <w:rPr>
          <w:b/>
          <w:lang w:val="en-US"/>
        </w:rPr>
      </w:pPr>
    </w:p>
    <w:p w14:paraId="224E1A5B" w14:textId="77777777" w:rsidR="00A11C14" w:rsidRDefault="00A11C14" w:rsidP="00725B42">
      <w:pPr>
        <w:spacing w:line="480" w:lineRule="auto"/>
        <w:jc w:val="both"/>
        <w:rPr>
          <w:b/>
          <w:lang w:val="en-US"/>
        </w:rPr>
      </w:pPr>
    </w:p>
    <w:p w14:paraId="2955EB87" w14:textId="77777777" w:rsidR="00A11C14" w:rsidRDefault="00A11C14" w:rsidP="00725B42">
      <w:pPr>
        <w:spacing w:line="480" w:lineRule="auto"/>
        <w:jc w:val="both"/>
        <w:rPr>
          <w:b/>
          <w:lang w:val="en-US"/>
        </w:rPr>
      </w:pPr>
    </w:p>
    <w:p w14:paraId="6039650B" w14:textId="77777777" w:rsidR="00A11C14" w:rsidRDefault="00A11C14" w:rsidP="00725B42">
      <w:pPr>
        <w:spacing w:line="480" w:lineRule="auto"/>
        <w:jc w:val="both"/>
        <w:rPr>
          <w:b/>
          <w:lang w:val="en-US"/>
        </w:rPr>
      </w:pPr>
    </w:p>
    <w:p w14:paraId="14E65062" w14:textId="77777777" w:rsidR="00A11C14" w:rsidRDefault="00A11C14" w:rsidP="00725B42">
      <w:pPr>
        <w:spacing w:line="480" w:lineRule="auto"/>
        <w:jc w:val="both"/>
        <w:rPr>
          <w:b/>
          <w:lang w:val="en-US"/>
        </w:rPr>
      </w:pPr>
    </w:p>
    <w:p w14:paraId="62A67CF7" w14:textId="77777777" w:rsidR="00A11C14" w:rsidRDefault="00A11C14" w:rsidP="00725B42">
      <w:pPr>
        <w:spacing w:line="480" w:lineRule="auto"/>
        <w:jc w:val="both"/>
        <w:rPr>
          <w:b/>
          <w:lang w:val="en-US"/>
        </w:rPr>
      </w:pPr>
    </w:p>
    <w:p w14:paraId="281506DE" w14:textId="77777777" w:rsidR="00A11C14" w:rsidRDefault="00A11C14" w:rsidP="00725B42">
      <w:pPr>
        <w:spacing w:line="480" w:lineRule="auto"/>
        <w:jc w:val="both"/>
        <w:rPr>
          <w:b/>
          <w:lang w:val="en-US"/>
        </w:rPr>
      </w:pPr>
    </w:p>
    <w:p w14:paraId="49B54525" w14:textId="77777777" w:rsidR="00A11C14" w:rsidRDefault="00A11C14" w:rsidP="00725B42">
      <w:pPr>
        <w:spacing w:line="480" w:lineRule="auto"/>
        <w:jc w:val="both"/>
        <w:rPr>
          <w:b/>
          <w:lang w:val="en-US"/>
        </w:rPr>
      </w:pPr>
    </w:p>
    <w:p w14:paraId="4A2A75C1" w14:textId="77777777" w:rsidR="00A11C14" w:rsidRDefault="00A11C14" w:rsidP="00725B42">
      <w:pPr>
        <w:spacing w:line="480" w:lineRule="auto"/>
        <w:jc w:val="both"/>
        <w:rPr>
          <w:b/>
          <w:lang w:val="en-US"/>
        </w:rPr>
      </w:pPr>
    </w:p>
    <w:p w14:paraId="59F45ABB" w14:textId="77777777" w:rsidR="00A11C14" w:rsidRDefault="00A11C14" w:rsidP="00725B42">
      <w:pPr>
        <w:spacing w:line="480" w:lineRule="auto"/>
        <w:jc w:val="both"/>
        <w:rPr>
          <w:b/>
          <w:lang w:val="en-US"/>
        </w:rPr>
      </w:pPr>
    </w:p>
    <w:p w14:paraId="0E49AE2C" w14:textId="77777777" w:rsidR="00A11C14" w:rsidRDefault="00A11C14" w:rsidP="00725B42">
      <w:pPr>
        <w:spacing w:line="480" w:lineRule="auto"/>
        <w:jc w:val="both"/>
        <w:rPr>
          <w:b/>
          <w:lang w:val="en-US"/>
        </w:rPr>
      </w:pPr>
    </w:p>
    <w:p w14:paraId="3BAB9996" w14:textId="77777777" w:rsidR="00A11C14" w:rsidRDefault="00A11C14" w:rsidP="00725B42">
      <w:pPr>
        <w:spacing w:line="480" w:lineRule="auto"/>
        <w:jc w:val="both"/>
        <w:rPr>
          <w:b/>
          <w:lang w:val="en-US"/>
        </w:rPr>
      </w:pPr>
    </w:p>
    <w:p w14:paraId="5FE9D432" w14:textId="77777777" w:rsidR="00A11C14" w:rsidRDefault="00A11C14" w:rsidP="00725B42">
      <w:pPr>
        <w:spacing w:line="480" w:lineRule="auto"/>
        <w:jc w:val="both"/>
        <w:rPr>
          <w:b/>
          <w:lang w:val="en-US"/>
        </w:rPr>
      </w:pPr>
    </w:p>
    <w:p w14:paraId="6DF58BC5" w14:textId="77777777" w:rsidR="008C4FB1" w:rsidRDefault="008C4FB1" w:rsidP="00725B42">
      <w:pPr>
        <w:spacing w:line="480" w:lineRule="auto"/>
        <w:jc w:val="both"/>
        <w:rPr>
          <w:b/>
          <w:lang w:val="en-US"/>
        </w:rPr>
      </w:pPr>
    </w:p>
    <w:p w14:paraId="2F36549B" w14:textId="77777777" w:rsidR="007F7A96" w:rsidRDefault="007F7A96" w:rsidP="00725B42">
      <w:pPr>
        <w:spacing w:line="480" w:lineRule="auto"/>
        <w:jc w:val="both"/>
        <w:rPr>
          <w:b/>
          <w:lang w:val="en-US"/>
        </w:rPr>
      </w:pPr>
    </w:p>
    <w:p w14:paraId="03F6A2BE" w14:textId="0F47EDF5" w:rsidR="00A11C14" w:rsidRPr="00740B0F" w:rsidRDefault="00D06EB8" w:rsidP="00A11C14">
      <w:pPr>
        <w:spacing w:line="480" w:lineRule="auto"/>
        <w:jc w:val="center"/>
        <w:rPr>
          <w:b/>
          <w:sz w:val="28"/>
          <w:szCs w:val="28"/>
          <w:lang w:val="en-US"/>
        </w:rPr>
      </w:pPr>
      <w:r>
        <w:rPr>
          <w:b/>
          <w:sz w:val="28"/>
          <w:szCs w:val="28"/>
          <w:lang w:val="en-US"/>
        </w:rPr>
        <w:t>Chapter 6</w:t>
      </w:r>
    </w:p>
    <w:p w14:paraId="27CDFC50" w14:textId="788A6E3A" w:rsidR="00A11C14" w:rsidRPr="00D221F4" w:rsidRDefault="00A11C14" w:rsidP="00A11C14">
      <w:pPr>
        <w:spacing w:line="480" w:lineRule="auto"/>
        <w:jc w:val="center"/>
        <w:rPr>
          <w:rFonts w:cs="Times New Roman"/>
          <w:b/>
          <w:sz w:val="28"/>
          <w:szCs w:val="28"/>
          <w:lang w:val="en-US"/>
        </w:rPr>
      </w:pPr>
      <w:r w:rsidRPr="00D221F4">
        <w:rPr>
          <w:rFonts w:cs="Times New Roman"/>
          <w:b/>
          <w:sz w:val="28"/>
          <w:szCs w:val="28"/>
          <w:lang w:val="en-US"/>
        </w:rPr>
        <w:t>Conclusion</w:t>
      </w:r>
    </w:p>
    <w:p w14:paraId="5E7EF562" w14:textId="77777777" w:rsidR="00973A9A" w:rsidRPr="00CF3C2E" w:rsidRDefault="00973A9A" w:rsidP="00003198">
      <w:pPr>
        <w:spacing w:line="480" w:lineRule="auto"/>
        <w:jc w:val="both"/>
        <w:rPr>
          <w:rFonts w:cs="Times New Roman"/>
          <w:b/>
          <w:lang w:val="en-US"/>
        </w:rPr>
      </w:pPr>
      <w:r w:rsidRPr="00CF3C2E">
        <w:rPr>
          <w:rFonts w:cs="Times New Roman"/>
          <w:b/>
          <w:lang w:val="en-US"/>
        </w:rPr>
        <w:t>6.1 Principal findings</w:t>
      </w:r>
      <w:r>
        <w:rPr>
          <w:rFonts w:cs="Times New Roman"/>
          <w:b/>
          <w:lang w:val="en-US"/>
        </w:rPr>
        <w:t xml:space="preserve"> and theoretical contributions</w:t>
      </w:r>
    </w:p>
    <w:p w14:paraId="47988F16" w14:textId="506F6260" w:rsidR="00973A9A" w:rsidRDefault="00973A9A" w:rsidP="00003198">
      <w:pPr>
        <w:spacing w:line="480" w:lineRule="auto"/>
        <w:jc w:val="both"/>
        <w:rPr>
          <w:rFonts w:cs="Times New Roman"/>
          <w:lang w:val="en-US"/>
        </w:rPr>
      </w:pPr>
      <w:r w:rsidRPr="006A3E92">
        <w:rPr>
          <w:rFonts w:cs="Times New Roman"/>
          <w:lang w:val="en-US"/>
        </w:rPr>
        <w:t>Governmental cuts in funding for higher education are requiring universit</w:t>
      </w:r>
      <w:r>
        <w:rPr>
          <w:rFonts w:cs="Times New Roman"/>
          <w:lang w:val="en-US"/>
        </w:rPr>
        <w:t>ies to seek other sources of fu</w:t>
      </w:r>
      <w:r w:rsidRPr="006A3E92">
        <w:rPr>
          <w:rFonts w:cs="Times New Roman"/>
          <w:lang w:val="en-US"/>
        </w:rPr>
        <w:t xml:space="preserve">nding. </w:t>
      </w:r>
      <w:r>
        <w:rPr>
          <w:rFonts w:cs="Times New Roman"/>
          <w:lang w:val="en-US"/>
        </w:rPr>
        <w:t>Hence, public universities</w:t>
      </w:r>
      <w:r w:rsidRPr="006A3E92">
        <w:rPr>
          <w:rFonts w:cs="Times New Roman"/>
          <w:lang w:val="en-US"/>
        </w:rPr>
        <w:t xml:space="preserve"> are becoming increasingly involved in fundraising to provide the needed </w:t>
      </w:r>
      <w:r>
        <w:rPr>
          <w:rFonts w:cs="Times New Roman"/>
          <w:lang w:val="en-US"/>
        </w:rPr>
        <w:t>financial resources</w:t>
      </w:r>
      <w:r w:rsidRPr="006A3E92">
        <w:rPr>
          <w:rFonts w:cs="Times New Roman"/>
          <w:lang w:val="en-US"/>
        </w:rPr>
        <w:t xml:space="preserve"> for operations and capital expenditures. This increased dependence on </w:t>
      </w:r>
      <w:r>
        <w:rPr>
          <w:rFonts w:cs="Times New Roman"/>
          <w:lang w:val="en-US"/>
        </w:rPr>
        <w:t xml:space="preserve">external </w:t>
      </w:r>
      <w:r w:rsidRPr="006A3E92">
        <w:rPr>
          <w:rFonts w:cs="Times New Roman"/>
          <w:lang w:val="en-US"/>
        </w:rPr>
        <w:t>private sources of funding</w:t>
      </w:r>
      <w:r>
        <w:rPr>
          <w:rFonts w:cs="Times New Roman"/>
          <w:lang w:val="en-US"/>
        </w:rPr>
        <w:t xml:space="preserve"> as support</w:t>
      </w:r>
      <w:r w:rsidRPr="006A3E92">
        <w:rPr>
          <w:rFonts w:cs="Times New Roman"/>
          <w:lang w:val="en-US"/>
        </w:rPr>
        <w:t xml:space="preserve"> emphasizes the need for more in depth</w:t>
      </w:r>
      <w:r>
        <w:rPr>
          <w:rFonts w:cs="Times New Roman"/>
          <w:lang w:val="en-US"/>
        </w:rPr>
        <w:t xml:space="preserve"> studies of public universities fu</w:t>
      </w:r>
      <w:r w:rsidRPr="006A3E92">
        <w:rPr>
          <w:rFonts w:cs="Times New Roman"/>
          <w:lang w:val="en-US"/>
        </w:rPr>
        <w:t xml:space="preserve">ndraising. </w:t>
      </w:r>
      <w:r w:rsidRPr="00CF3C2E">
        <w:rPr>
          <w:rFonts w:cs="Times New Roman"/>
          <w:lang w:val="en-US"/>
        </w:rPr>
        <w:t>The analysis of the state of the art of the literature shows that fundraising is a topic that deserves a multi-disciplinary and holistic approach relating to the focus of the analysis. Moreover, there are some themes (factors influencing fundraising success, organizational changes and institutional challenges introduced by fundraising practices, donors’ behavior and donations’ drivers, online fundraising and crowdfunding) that have been investigated more than others (fundraising effectiveness and efficiency, external engagement and external development, financial stability and growth, fundraising’s outcome, and fundraising regulation). Besides</w:t>
      </w:r>
      <w:r w:rsidR="001F4885">
        <w:rPr>
          <w:rFonts w:cs="Times New Roman"/>
          <w:lang w:val="en-US"/>
        </w:rPr>
        <w:t>,</w:t>
      </w:r>
      <w:r w:rsidRPr="00CF3C2E">
        <w:rPr>
          <w:rFonts w:cs="Times New Roman"/>
          <w:lang w:val="en-US"/>
        </w:rPr>
        <w:t xml:space="preserve"> some themes have been </w:t>
      </w:r>
      <w:r w:rsidR="001F4885">
        <w:rPr>
          <w:rFonts w:cs="Times New Roman"/>
          <w:lang w:val="en-US"/>
        </w:rPr>
        <w:t>investigate</w:t>
      </w:r>
      <w:r w:rsidR="00565FF4">
        <w:rPr>
          <w:rFonts w:cs="Times New Roman"/>
          <w:lang w:val="en-US"/>
        </w:rPr>
        <w:t>t</w:t>
      </w:r>
      <w:r w:rsidR="001F4885">
        <w:rPr>
          <w:rFonts w:cs="Times New Roman"/>
          <w:lang w:val="en-US"/>
        </w:rPr>
        <w:t xml:space="preserve"> by scientific literature on the topic</w:t>
      </w:r>
      <w:r w:rsidRPr="00CF3C2E">
        <w:rPr>
          <w:rFonts w:cs="Times New Roman"/>
          <w:lang w:val="en-US"/>
        </w:rPr>
        <w:t xml:space="preserve"> without any theoretical framework support. </w:t>
      </w:r>
    </w:p>
    <w:p w14:paraId="42B61AB4" w14:textId="557B3326" w:rsidR="00973A9A" w:rsidRDefault="00973A9A" w:rsidP="00003198">
      <w:pPr>
        <w:spacing w:line="480" w:lineRule="auto"/>
        <w:jc w:val="both"/>
        <w:rPr>
          <w:rFonts w:cs="Times New Roman"/>
          <w:lang w:val="en-US"/>
        </w:rPr>
      </w:pPr>
      <w:r>
        <w:rPr>
          <w:rFonts w:cs="Times New Roman"/>
          <w:lang w:val="en-US"/>
        </w:rPr>
        <w:t>Taking into consideration th</w:t>
      </w:r>
      <w:r w:rsidR="00565FF4">
        <w:rPr>
          <w:rFonts w:cs="Times New Roman"/>
          <w:lang w:val="en-US"/>
        </w:rPr>
        <w:t>e literature shown by this study</w:t>
      </w:r>
      <w:r w:rsidR="00C42414">
        <w:rPr>
          <w:rFonts w:cs="Times New Roman"/>
          <w:lang w:val="en-US"/>
        </w:rPr>
        <w:t xml:space="preserve"> (second chapter)</w:t>
      </w:r>
      <w:r w:rsidRPr="00CF3C2E">
        <w:rPr>
          <w:rFonts w:cs="Times New Roman"/>
          <w:lang w:val="en-US"/>
        </w:rPr>
        <w:t>, the aim of this thesis is to focus the analysis on fundraising as a means to support university’s outcome</w:t>
      </w:r>
      <w:r>
        <w:rPr>
          <w:rFonts w:cs="Times New Roman"/>
          <w:lang w:val="en-US"/>
        </w:rPr>
        <w:t xml:space="preserve"> delivere</w:t>
      </w:r>
      <w:r w:rsidR="00565FF4">
        <w:rPr>
          <w:rFonts w:cs="Times New Roman"/>
          <w:lang w:val="en-US"/>
        </w:rPr>
        <w:t>d through its three functions (teaching, research and o</w:t>
      </w:r>
      <w:r>
        <w:rPr>
          <w:rFonts w:cs="Times New Roman"/>
          <w:lang w:val="en-US"/>
        </w:rPr>
        <w:t>utreach)</w:t>
      </w:r>
      <w:r w:rsidRPr="00CF3C2E">
        <w:rPr>
          <w:rFonts w:cs="Times New Roman"/>
          <w:lang w:val="en-US"/>
        </w:rPr>
        <w:t>. This means that the investigation does not concern with fundraising’s outcome, but it deals with the impact of fundraising output on university’s outcome and, hence, on university’s mission. The assumption behind this study is the triangular relation among fundraising process’ output, university’s outcome and university’s mission</w:t>
      </w:r>
      <w:r>
        <w:rPr>
          <w:rFonts w:cs="Times New Roman"/>
          <w:lang w:val="en-US"/>
        </w:rPr>
        <w:t xml:space="preserve"> (Figure </w:t>
      </w:r>
      <w:r w:rsidR="005B4008">
        <w:rPr>
          <w:rFonts w:cs="Times New Roman"/>
          <w:lang w:val="en-US"/>
        </w:rPr>
        <w:t>6.</w:t>
      </w:r>
      <w:r>
        <w:rPr>
          <w:rFonts w:cs="Times New Roman"/>
          <w:lang w:val="en-US"/>
        </w:rPr>
        <w:t>1)</w:t>
      </w:r>
      <w:r w:rsidRPr="00CF3C2E">
        <w:rPr>
          <w:rFonts w:cs="Times New Roman"/>
          <w:lang w:val="en-US"/>
        </w:rPr>
        <w:t xml:space="preserve">. </w:t>
      </w:r>
    </w:p>
    <w:p w14:paraId="2D24F4D5" w14:textId="74250FF2" w:rsidR="00973A9A" w:rsidRDefault="00973A9A" w:rsidP="00003198">
      <w:pPr>
        <w:spacing w:line="480" w:lineRule="auto"/>
        <w:jc w:val="both"/>
        <w:rPr>
          <w:rFonts w:cs="Times New Roman"/>
          <w:lang w:val="en-US"/>
        </w:rPr>
      </w:pPr>
      <w:r>
        <w:rPr>
          <w:rFonts w:cs="Times New Roman"/>
          <w:lang w:val="en-US"/>
        </w:rPr>
        <w:t xml:space="preserve">Fundraising strategy is based on university’s needs in terms of financial resources crucial to guarantee the availability of </w:t>
      </w:r>
      <w:r w:rsidR="00B249E7">
        <w:rPr>
          <w:rFonts w:cs="Times New Roman"/>
          <w:lang w:val="en-US"/>
        </w:rPr>
        <w:t>the university’s services for</w:t>
      </w:r>
      <w:r>
        <w:rPr>
          <w:rFonts w:cs="Times New Roman"/>
          <w:lang w:val="en-US"/>
        </w:rPr>
        <w:t xml:space="preserve"> its stakeholders. The delivery of these services in an effective and efficient way represents the value that universities create for society and, hence its mission (Moore, 1995; 2000; 2003). The relation represented in figure </w:t>
      </w:r>
      <w:r w:rsidR="005B4008">
        <w:rPr>
          <w:rFonts w:cs="Times New Roman"/>
          <w:lang w:val="en-US"/>
        </w:rPr>
        <w:t>6.</w:t>
      </w:r>
      <w:r>
        <w:rPr>
          <w:rFonts w:cs="Times New Roman"/>
          <w:lang w:val="en-US"/>
        </w:rPr>
        <w:t xml:space="preserve">1 has not been investigated enough by the existing </w:t>
      </w:r>
      <w:r w:rsidRPr="00CF3C2E">
        <w:rPr>
          <w:rFonts w:cs="Times New Roman"/>
          <w:lang w:val="en-US"/>
        </w:rPr>
        <w:t>literature and</w:t>
      </w:r>
      <w:r>
        <w:rPr>
          <w:rFonts w:cs="Times New Roman"/>
          <w:lang w:val="en-US"/>
        </w:rPr>
        <w:t xml:space="preserve"> it</w:t>
      </w:r>
      <w:r w:rsidRPr="00CF3C2E">
        <w:rPr>
          <w:rFonts w:cs="Times New Roman"/>
          <w:lang w:val="en-US"/>
        </w:rPr>
        <w:t xml:space="preserve"> calls for further investigations and analyses. </w:t>
      </w:r>
      <w:r>
        <w:rPr>
          <w:rFonts w:cs="Times New Roman"/>
          <w:lang w:val="en-US"/>
        </w:rPr>
        <w:t>Therefore, t</w:t>
      </w:r>
      <w:r w:rsidRPr="00CF3C2E">
        <w:rPr>
          <w:rFonts w:cs="Times New Roman"/>
          <w:lang w:val="en-US"/>
        </w:rPr>
        <w:t>he research aim of this study is basically to understand, interpret and explain the fundraising phenomenon, process, a</w:t>
      </w:r>
      <w:r w:rsidR="00BD7545">
        <w:rPr>
          <w:rFonts w:cs="Times New Roman"/>
          <w:lang w:val="en-US"/>
        </w:rPr>
        <w:t>nd activities and how they work</w:t>
      </w:r>
      <w:r w:rsidRPr="00CF3C2E">
        <w:rPr>
          <w:rFonts w:cs="Times New Roman"/>
          <w:lang w:val="en-US"/>
        </w:rPr>
        <w:t xml:space="preserve"> within the Italian higher education context.</w:t>
      </w:r>
      <w:r>
        <w:rPr>
          <w:rFonts w:cs="Times New Roman"/>
          <w:lang w:val="en-US"/>
        </w:rPr>
        <w:t xml:space="preserve"> Then, in order to answer to the main research questions of this thesis, it starts from the Resource Dependence Theory framework, which has been quite well developed within universities’ context </w:t>
      </w:r>
      <w:r>
        <w:rPr>
          <w:lang w:val="en-US"/>
        </w:rPr>
        <w:t>(Drees &amp; Heugens, 2013; Hillman et al. 2009; Malatesta &amp; Smith, 2014, Pfeffer &amp; Salancik, 1878).</w:t>
      </w:r>
      <w:r>
        <w:rPr>
          <w:rFonts w:cs="Times New Roman"/>
          <w:lang w:val="en-US"/>
        </w:rPr>
        <w:t xml:space="preserve"> This approach has been further investigated by Chan (2015), who provided a c</w:t>
      </w:r>
      <w:r w:rsidRPr="001E38BC">
        <w:rPr>
          <w:rFonts w:cs="Times New Roman"/>
          <w:lang w:val="en-US"/>
        </w:rPr>
        <w:t>onceptual model for research i</w:t>
      </w:r>
      <w:r>
        <w:rPr>
          <w:rFonts w:cs="Times New Roman"/>
          <w:lang w:val="en-US"/>
        </w:rPr>
        <w:t>n higher education philanthropy, underlying</w:t>
      </w:r>
      <w:r w:rsidR="00410F81">
        <w:rPr>
          <w:rFonts w:cs="Times New Roman"/>
          <w:lang w:val="en-US"/>
        </w:rPr>
        <w:t xml:space="preserve"> the inter-organizational relationships</w:t>
      </w:r>
      <w:r w:rsidRPr="001E38BC">
        <w:rPr>
          <w:rFonts w:cs="Times New Roman"/>
          <w:lang w:val="en-US"/>
        </w:rPr>
        <w:t xml:space="preserve"> between higher education organizations and pri</w:t>
      </w:r>
      <w:r>
        <w:rPr>
          <w:rFonts w:cs="Times New Roman"/>
          <w:lang w:val="en-US"/>
        </w:rPr>
        <w:t xml:space="preserve">vate funders. </w:t>
      </w:r>
    </w:p>
    <w:p w14:paraId="7DD14FD0" w14:textId="19272155" w:rsidR="00973A9A" w:rsidRDefault="00973A9A" w:rsidP="00003198">
      <w:pPr>
        <w:spacing w:line="480" w:lineRule="auto"/>
        <w:jc w:val="both"/>
        <w:rPr>
          <w:rFonts w:cs="Times New Roman"/>
          <w:lang w:val="en-US"/>
        </w:rPr>
      </w:pPr>
      <w:r>
        <w:rPr>
          <w:rFonts w:cs="Times New Roman"/>
          <w:lang w:val="en-US"/>
        </w:rPr>
        <w:t>Furthermore, t</w:t>
      </w:r>
      <w:r w:rsidRPr="00CF3C2E">
        <w:rPr>
          <w:rFonts w:cs="Times New Roman"/>
          <w:lang w:val="en-US"/>
        </w:rPr>
        <w:t>he first essay of this paper (third chapter) discusses fundraising activities and processes within public higher education context, with a special focus on the role of university presidents and academic deans. In fact, fundraising is a shared responsibility among a wide group of institutional leaders (university’s presidents and deans</w:t>
      </w:r>
      <w:r>
        <w:rPr>
          <w:rFonts w:cs="Times New Roman"/>
          <w:lang w:val="en-US"/>
        </w:rPr>
        <w:t>).</w:t>
      </w:r>
      <w:r w:rsidRPr="00CF3C2E">
        <w:rPr>
          <w:rFonts w:cs="Times New Roman"/>
          <w:lang w:val="en-US"/>
        </w:rPr>
        <w:t xml:space="preserve"> Therefore, internal and external stakeholders expect them to lead the fundraising activity capably, visibly and credibly.</w:t>
      </w:r>
      <w:r>
        <w:rPr>
          <w:rFonts w:cs="Times New Roman"/>
          <w:lang w:val="en-US"/>
        </w:rPr>
        <w:t xml:space="preserve"> Hence, f</w:t>
      </w:r>
      <w:r w:rsidRPr="00CF3C2E">
        <w:rPr>
          <w:rFonts w:cs="Times New Roman"/>
          <w:lang w:val="en-US"/>
        </w:rPr>
        <w:t>undraising is a strategic process that regards a</w:t>
      </w:r>
      <w:r w:rsidR="009707CA">
        <w:rPr>
          <w:rFonts w:cs="Times New Roman"/>
          <w:lang w:val="en-US"/>
        </w:rPr>
        <w:t>ll the university’s functions</w:t>
      </w:r>
      <w:r w:rsidRPr="00CF3C2E">
        <w:rPr>
          <w:rFonts w:cs="Times New Roman"/>
          <w:lang w:val="en-US"/>
        </w:rPr>
        <w:t>, involving several actors, in</w:t>
      </w:r>
      <w:r w:rsidR="009707CA">
        <w:rPr>
          <w:rFonts w:cs="Times New Roman"/>
          <w:lang w:val="en-US"/>
        </w:rPr>
        <w:t>side</w:t>
      </w:r>
      <w:r w:rsidRPr="00CF3C2E">
        <w:rPr>
          <w:rFonts w:cs="Times New Roman"/>
          <w:lang w:val="en-US"/>
        </w:rPr>
        <w:t xml:space="preserve"> and out</w:t>
      </w:r>
      <w:r w:rsidR="009707CA">
        <w:rPr>
          <w:rFonts w:cs="Times New Roman"/>
          <w:lang w:val="en-US"/>
        </w:rPr>
        <w:t>side</w:t>
      </w:r>
      <w:r w:rsidRPr="00CF3C2E">
        <w:rPr>
          <w:rFonts w:cs="Times New Roman"/>
          <w:lang w:val="en-US"/>
        </w:rPr>
        <w:t xml:space="preserve"> the organizational boundaries (Chan, 2015).</w:t>
      </w:r>
      <w:r>
        <w:rPr>
          <w:rFonts w:cs="Times New Roman"/>
          <w:lang w:val="en-US"/>
        </w:rPr>
        <w:t xml:space="preserve"> </w:t>
      </w:r>
      <w:r w:rsidRPr="00CF3C2E">
        <w:rPr>
          <w:rFonts w:cs="Times New Roman"/>
          <w:lang w:val="en-US"/>
        </w:rPr>
        <w:t xml:space="preserve">In order to answer to the first </w:t>
      </w:r>
      <w:r>
        <w:rPr>
          <w:rFonts w:cs="Times New Roman"/>
          <w:lang w:val="en-US"/>
        </w:rPr>
        <w:t xml:space="preserve">research </w:t>
      </w:r>
      <w:r w:rsidRPr="00CF3C2E">
        <w:rPr>
          <w:rFonts w:cs="Times New Roman"/>
          <w:lang w:val="en-US"/>
        </w:rPr>
        <w:t>question</w:t>
      </w:r>
      <w:r>
        <w:rPr>
          <w:rFonts w:cs="Times New Roman"/>
          <w:lang w:val="en-US"/>
        </w:rPr>
        <w:t xml:space="preserve"> (of this chapter) </w:t>
      </w:r>
      <w:r w:rsidRPr="00CF3C2E">
        <w:rPr>
          <w:rFonts w:cs="Times New Roman"/>
          <w:lang w:val="en-US"/>
        </w:rPr>
        <w:t xml:space="preserve">an organizational model is delivered, while, for the second one, a theoretical model is developed, combining “strategic triangle” framework (Moore, 1995, 2000, 2003) and “resource dependency theory” (Chan, 2015; Pfeffer &amp; Salanik, 1978). </w:t>
      </w:r>
    </w:p>
    <w:p w14:paraId="61EFE6DB" w14:textId="1C2D3030" w:rsidR="00973A9A" w:rsidRDefault="00973A9A" w:rsidP="00003198">
      <w:pPr>
        <w:spacing w:line="480" w:lineRule="auto"/>
        <w:jc w:val="both"/>
        <w:rPr>
          <w:rFonts w:cs="Times New Roman"/>
          <w:lang w:val="en-US"/>
        </w:rPr>
      </w:pPr>
      <w:r w:rsidRPr="00CF3C2E">
        <w:rPr>
          <w:rFonts w:cs="Times New Roman"/>
          <w:lang w:val="en-US"/>
        </w:rPr>
        <w:t>From the theoretical point of view, the paper highlights how fundraising effectiveness depends on commi</w:t>
      </w:r>
      <w:r w:rsidR="00FD694A">
        <w:rPr>
          <w:rFonts w:cs="Times New Roman"/>
          <w:lang w:val="en-US"/>
        </w:rPr>
        <w:t>tment of university’s governance</w:t>
      </w:r>
      <w:r w:rsidRPr="00CF3C2E">
        <w:rPr>
          <w:rFonts w:cs="Times New Roman"/>
          <w:lang w:val="en-US"/>
        </w:rPr>
        <w:t xml:space="preserve"> and on organizational capabilities developed. A governmental institution creates public value if it realizes its mission (Moore, 2000): for a public higher education institution it means that it has to carry out its functions and this is the reason why public value is in the center of </w:t>
      </w:r>
      <w:r>
        <w:rPr>
          <w:rFonts w:cs="Times New Roman"/>
          <w:lang w:val="en-US"/>
        </w:rPr>
        <w:t xml:space="preserve">the diagrammatic representation. </w:t>
      </w:r>
      <w:r w:rsidRPr="00CF3C2E">
        <w:rPr>
          <w:rFonts w:cs="Times New Roman"/>
          <w:lang w:val="en-US"/>
        </w:rPr>
        <w:t>Being increasingly lacking the governmental financial support, universities are calling for private funding, in order to ensure their services. Moreover, the empirical analysis highlights the fundraising’s strategic role in backing up universities’ functions, especially research (Hodson, 2010; Chan, 2015). Furthermore, the Italian public higher education is focused on getting funds from regional, national or European competitive announcements, rather than asking for private support. Besides, this lack of fundraising culture is witnessed also by the scarce presence of alumni boards in the Italian public universities. Alumni boards are pivotal to plan and assess a successful fundraising campaign</w:t>
      </w:r>
      <w:r>
        <w:rPr>
          <w:rFonts w:cs="Times New Roman"/>
          <w:lang w:val="en-US"/>
        </w:rPr>
        <w:t xml:space="preserve"> (Hodson, 2010; Stevick, 2010).</w:t>
      </w:r>
    </w:p>
    <w:p w14:paraId="4B7848FB" w14:textId="77777777" w:rsidR="00973A9A" w:rsidRPr="00CF3C2E" w:rsidRDefault="00973A9A" w:rsidP="00003198">
      <w:pPr>
        <w:spacing w:line="480" w:lineRule="auto"/>
        <w:jc w:val="both"/>
        <w:rPr>
          <w:rFonts w:cs="Times New Roman"/>
          <w:lang w:val="en-US"/>
        </w:rPr>
      </w:pPr>
      <w:r w:rsidRPr="00CF3C2E">
        <w:rPr>
          <w:rFonts w:cs="Times New Roman"/>
          <w:lang w:val="en-US"/>
        </w:rPr>
        <w:t>From the organizational capacity perspective, public universities need strategic alignment to ensure that strategic management is carrying out strategic plans, being coherent with the strategy (Kaplan and Norton, 2006; Chan, 2015).</w:t>
      </w:r>
      <w:r w:rsidRPr="00CF3C2E">
        <w:rPr>
          <w:rFonts w:cs="Times New Roman"/>
          <w:color w:val="FF0000"/>
          <w:lang w:val="en-US"/>
        </w:rPr>
        <w:t xml:space="preserve"> </w:t>
      </w:r>
      <w:r w:rsidRPr="00CF3C2E">
        <w:rPr>
          <w:rFonts w:cs="Times New Roman"/>
          <w:lang w:val="en-US"/>
        </w:rPr>
        <w:t>From this point of view the Italian academic sector is not mature enough: organizational structures must be less rigid and more reactive to fundraising process, encouraging integration and adopting a multidisciplinary approach (Stevick, 2010).</w:t>
      </w:r>
      <w:r w:rsidRPr="00CF3C2E">
        <w:rPr>
          <w:rFonts w:cs="Times New Roman"/>
          <w:color w:val="FF0000"/>
          <w:lang w:val="en-US"/>
        </w:rPr>
        <w:t xml:space="preserve"> </w:t>
      </w:r>
      <w:r w:rsidRPr="00CF3C2E">
        <w:rPr>
          <w:rFonts w:cs="Times New Roman"/>
          <w:lang w:val="en-US"/>
        </w:rPr>
        <w:t xml:space="preserve">Moreover, accountability tools, as social reports, should be adopted to increase support and authorization from the external stakeholders (Moore, 1995; Moore 2000; Moore, 2003). </w:t>
      </w:r>
    </w:p>
    <w:p w14:paraId="6094B4D3" w14:textId="46995E83" w:rsidR="00973A9A" w:rsidRPr="00CF3C2E" w:rsidRDefault="00973A9A" w:rsidP="00003198">
      <w:pPr>
        <w:spacing w:line="480" w:lineRule="auto"/>
        <w:jc w:val="both"/>
        <w:rPr>
          <w:rFonts w:cs="Times New Roman"/>
          <w:lang w:val="en-US"/>
        </w:rPr>
      </w:pPr>
      <w:r>
        <w:rPr>
          <w:rFonts w:cs="Times New Roman"/>
          <w:lang w:val="en-US"/>
        </w:rPr>
        <w:t>Then, t</w:t>
      </w:r>
      <w:r w:rsidRPr="00CF3C2E">
        <w:rPr>
          <w:rFonts w:cs="Times New Roman"/>
          <w:lang w:val="en-US"/>
        </w:rPr>
        <w:t xml:space="preserve">he second essay (fourth chapter) is focused on fundraising as a means to reach the university’s outcome, through sustaining university’s functions. </w:t>
      </w:r>
      <w:r>
        <w:rPr>
          <w:rFonts w:cs="Times New Roman"/>
          <w:lang w:val="en-US"/>
        </w:rPr>
        <w:t>The aim of this essay</w:t>
      </w:r>
      <w:r w:rsidRPr="00CF3C2E">
        <w:rPr>
          <w:rFonts w:cs="Times New Roman"/>
          <w:lang w:val="en-US"/>
        </w:rPr>
        <w:t xml:space="preserve"> is to understand which are the fundraising characteristics that influence uni</w:t>
      </w:r>
      <w:r>
        <w:rPr>
          <w:rFonts w:cs="Times New Roman"/>
          <w:lang w:val="en-US"/>
        </w:rPr>
        <w:t>versity’s outcome</w:t>
      </w:r>
      <w:r w:rsidRPr="00CF3C2E">
        <w:rPr>
          <w:rFonts w:cs="Times New Roman"/>
          <w:lang w:val="en-US"/>
        </w:rPr>
        <w:t>. This chapter aims to understand which are the fundraising culture and behavior within Italian public universities. Moreover, it seek</w:t>
      </w:r>
      <w:r w:rsidR="009E7F3B">
        <w:rPr>
          <w:rFonts w:cs="Times New Roman"/>
          <w:lang w:val="en-US"/>
        </w:rPr>
        <w:t>s</w:t>
      </w:r>
      <w:r w:rsidRPr="00CF3C2E">
        <w:rPr>
          <w:rFonts w:cs="Times New Roman"/>
          <w:lang w:val="en-US"/>
        </w:rPr>
        <w:t xml:space="preserve"> to investigate the fundraising tools and features that affect university’s performance and, hence, if it is able to support university’s mission in a sustainable way. Results underline the awareness of universities to consider fundraising as a crucial process to get resources in order to support unive</w:t>
      </w:r>
      <w:r w:rsidR="009E7F3B">
        <w:rPr>
          <w:rFonts w:cs="Times New Roman"/>
          <w:lang w:val="en-US"/>
        </w:rPr>
        <w:t>rsities’ functions, especially r</w:t>
      </w:r>
      <w:r w:rsidRPr="00CF3C2E">
        <w:rPr>
          <w:rFonts w:cs="Times New Roman"/>
          <w:lang w:val="en-US"/>
        </w:rPr>
        <w:t>esearch (Caboni, 2010). Then, it can sustain university’s mission by a mix of fundraising tools, which support in a different way the three functions. Hence, these tools can be considered as collateral to public funding (“basic percentage” of FFO and “reward percentage” of FFO</w:t>
      </w:r>
      <w:r w:rsidR="006451C6">
        <w:rPr>
          <w:rFonts w:cs="Times New Roman"/>
          <w:lang w:val="en-US"/>
        </w:rPr>
        <w:t>)</w:t>
      </w:r>
      <w:r w:rsidRPr="00CF3C2E">
        <w:rPr>
          <w:rFonts w:cs="Times New Roman"/>
          <w:lang w:val="en-US"/>
        </w:rPr>
        <w:t>, but, at the same time, they are necessary to guarantee the value that public universities create for society (Paleari et al., 2015). Furthermore, most of the universities that agreed to be interviewed are those who are considered as pioneers of fundraising (and also crowdfunding). The fact that within this sample there is co</w:t>
      </w:r>
      <w:r w:rsidR="00530047">
        <w:rPr>
          <w:rFonts w:cs="Times New Roman"/>
          <w:lang w:val="en-US"/>
        </w:rPr>
        <w:t>nfusion about some key-concepts</w:t>
      </w:r>
      <w:r w:rsidRPr="00CF3C2E">
        <w:rPr>
          <w:rFonts w:cs="Times New Roman"/>
          <w:lang w:val="en-US"/>
        </w:rPr>
        <w:t xml:space="preserve"> show</w:t>
      </w:r>
      <w:r w:rsidR="00530047">
        <w:rPr>
          <w:rFonts w:cs="Times New Roman"/>
          <w:lang w:val="en-US"/>
        </w:rPr>
        <w:t>s</w:t>
      </w:r>
      <w:r w:rsidRPr="00CF3C2E">
        <w:rPr>
          <w:rFonts w:cs="Times New Roman"/>
          <w:lang w:val="en-US"/>
        </w:rPr>
        <w:t xml:space="preserve"> that the Italian Higher Education context is still in the early days of fundraising practices and culture. In fact, in order to guarantee financial sustainability, public funding is not enough and the use of fundraising tools has become necessary. Besides, fundraising must be considere</w:t>
      </w:r>
      <w:r w:rsidR="00D35081">
        <w:rPr>
          <w:rFonts w:cs="Times New Roman"/>
          <w:lang w:val="en-US"/>
        </w:rPr>
        <w:t>d a tool that enables universities</w:t>
      </w:r>
      <w:r w:rsidRPr="00CF3C2E">
        <w:rPr>
          <w:rFonts w:cs="Times New Roman"/>
          <w:lang w:val="en-US"/>
        </w:rPr>
        <w:t xml:space="preserve"> to be sustainable in their value creation process (Perez-Esparrells &amp; Torre, 2012). Moreover, universities are starting to consider a new and innovative fundraising tool as crowdfun</w:t>
      </w:r>
      <w:r>
        <w:rPr>
          <w:rFonts w:cs="Times New Roman"/>
          <w:lang w:val="en-US"/>
        </w:rPr>
        <w:t xml:space="preserve">ding (Colasanti et al., 2018). </w:t>
      </w:r>
    </w:p>
    <w:p w14:paraId="43E9F538" w14:textId="6D3175B6" w:rsidR="00973A9A" w:rsidRPr="00CF3C2E" w:rsidRDefault="00973A9A" w:rsidP="00003198">
      <w:pPr>
        <w:spacing w:line="480" w:lineRule="auto"/>
        <w:jc w:val="both"/>
        <w:rPr>
          <w:rFonts w:cs="Times New Roman"/>
          <w:lang w:val="en-US"/>
        </w:rPr>
      </w:pPr>
      <w:r>
        <w:rPr>
          <w:rFonts w:cs="Times New Roman"/>
          <w:lang w:val="en-US"/>
        </w:rPr>
        <w:t>Then</w:t>
      </w:r>
      <w:r w:rsidRPr="00CF3C2E">
        <w:rPr>
          <w:rFonts w:cs="Times New Roman"/>
          <w:lang w:val="en-US"/>
        </w:rPr>
        <w:t xml:space="preserve">, the third and last essay (fifth chapter) tries to extend knowledge about innovative forms of fundraising, as crowdfunding, within the </w:t>
      </w:r>
      <w:r>
        <w:rPr>
          <w:rFonts w:cs="Times New Roman"/>
          <w:lang w:val="en-US"/>
        </w:rPr>
        <w:t>public universities’</w:t>
      </w:r>
      <w:r w:rsidRPr="00CF3C2E">
        <w:rPr>
          <w:rFonts w:cs="Times New Roman"/>
          <w:lang w:val="en-US"/>
        </w:rPr>
        <w:t xml:space="preserve"> context. The case study</w:t>
      </w:r>
      <w:r>
        <w:rPr>
          <w:rFonts w:cs="Times New Roman"/>
          <w:lang w:val="en-US"/>
        </w:rPr>
        <w:t xml:space="preserve"> analyzed in this chapter</w:t>
      </w:r>
      <w:r w:rsidRPr="00CF3C2E">
        <w:rPr>
          <w:rFonts w:cs="Times New Roman"/>
          <w:lang w:val="en-US"/>
        </w:rPr>
        <w:t xml:space="preserve"> sh</w:t>
      </w:r>
      <w:r w:rsidR="00875909">
        <w:rPr>
          <w:rFonts w:cs="Times New Roman"/>
          <w:lang w:val="en-US"/>
        </w:rPr>
        <w:t>ows that crowdfunding supports r</w:t>
      </w:r>
      <w:r w:rsidRPr="00CF3C2E">
        <w:rPr>
          <w:rFonts w:cs="Times New Roman"/>
          <w:lang w:val="en-US"/>
        </w:rPr>
        <w:t>esearc</w:t>
      </w:r>
      <w:r w:rsidR="005A3926">
        <w:rPr>
          <w:rFonts w:cs="Times New Roman"/>
          <w:lang w:val="en-US"/>
        </w:rPr>
        <w:t>h function mainly, rather than teaching and o</w:t>
      </w:r>
      <w:r w:rsidRPr="00CF3C2E">
        <w:rPr>
          <w:rFonts w:cs="Times New Roman"/>
          <w:lang w:val="en-US"/>
        </w:rPr>
        <w:t xml:space="preserve">utreach. Indeed, the most successful crowdfunding projects are those that are easier to be communicated to potential donors. They are those that are able to involve university’s </w:t>
      </w:r>
      <w:r w:rsidR="001675F1">
        <w:rPr>
          <w:rFonts w:cs="Times New Roman"/>
          <w:lang w:val="en-US"/>
        </w:rPr>
        <w:t>stakeholders in the</w:t>
      </w:r>
      <w:r w:rsidRPr="00CF3C2E">
        <w:rPr>
          <w:rFonts w:cs="Times New Roman"/>
          <w:lang w:val="en-US"/>
        </w:rPr>
        <w:t xml:space="preserve"> value creat</w:t>
      </w:r>
      <w:r>
        <w:rPr>
          <w:rFonts w:cs="Times New Roman"/>
          <w:lang w:val="en-US"/>
        </w:rPr>
        <w:t xml:space="preserve">ion process. </w:t>
      </w:r>
      <w:r w:rsidRPr="00CF3C2E">
        <w:rPr>
          <w:rFonts w:cs="Times New Roman"/>
          <w:lang w:val="en-US"/>
        </w:rPr>
        <w:t>This research is an explorative analysis of the crowdfunding role in supporting public universities facing new funding challenges, especially after the Big Recession. From this point of view crowdfunding is considered an innovation tool, wh</w:t>
      </w:r>
      <w:r w:rsidR="009C7E13">
        <w:rPr>
          <w:rFonts w:cs="Times New Roman"/>
          <w:lang w:val="en-US"/>
        </w:rPr>
        <w:t>ich could successfully support r</w:t>
      </w:r>
      <w:r w:rsidRPr="00CF3C2E">
        <w:rPr>
          <w:rFonts w:cs="Times New Roman"/>
          <w:lang w:val="en-US"/>
        </w:rPr>
        <w:t>esearch function together with other fundraising tools, devoted to sustain</w:t>
      </w:r>
      <w:r w:rsidR="005B6060">
        <w:rPr>
          <w:rFonts w:cs="Times New Roman"/>
          <w:lang w:val="en-US"/>
        </w:rPr>
        <w:t xml:space="preserve"> teaching and o</w:t>
      </w:r>
      <w:r w:rsidRPr="00CF3C2E">
        <w:rPr>
          <w:rFonts w:cs="Times New Roman"/>
          <w:lang w:val="en-US"/>
        </w:rPr>
        <w:t xml:space="preserve">utreach. Hence, crowdfunding could be effective not only in term of raising funds, but also as stakeholders’ engagement tool. Moreover, donors are involved in the university’s value </w:t>
      </w:r>
      <w:r w:rsidR="007E4C23">
        <w:rPr>
          <w:rFonts w:cs="Times New Roman"/>
          <w:lang w:val="en-US"/>
        </w:rPr>
        <w:t>creation process by supporting r</w:t>
      </w:r>
      <w:r w:rsidRPr="00CF3C2E">
        <w:rPr>
          <w:rFonts w:cs="Times New Roman"/>
          <w:lang w:val="en-US"/>
        </w:rPr>
        <w:t>esearch, being informed of its results and spreading them (Szkuta et al., 2014). On this basis, Universitiamo have to c</w:t>
      </w:r>
      <w:r w:rsidR="007E4C23">
        <w:rPr>
          <w:rFonts w:cs="Times New Roman"/>
          <w:lang w:val="en-US"/>
        </w:rPr>
        <w:t>ontinue to focus on supporting r</w:t>
      </w:r>
      <w:r w:rsidRPr="00CF3C2E">
        <w:rPr>
          <w:rFonts w:cs="Times New Roman"/>
          <w:lang w:val="en-US"/>
        </w:rPr>
        <w:t>esearch function, since results show that this is the context where success rate is higher, considering especially life sciences and</w:t>
      </w:r>
      <w:r w:rsidR="007E4C23">
        <w:rPr>
          <w:rFonts w:cs="Times New Roman"/>
          <w:lang w:val="en-US"/>
        </w:rPr>
        <w:t xml:space="preserve"> technologies macro areas of r</w:t>
      </w:r>
      <w:r w:rsidRPr="00CF3C2E">
        <w:rPr>
          <w:rFonts w:cs="Times New Roman"/>
          <w:lang w:val="en-US"/>
        </w:rPr>
        <w:t xml:space="preserve">esearch. Furthermore, for philanthropists’ point of view, donations are social investments, whose returns are distributed among individuals involved in a certain social environment. Indeed, </w:t>
      </w:r>
      <w:r w:rsidR="002E509A">
        <w:rPr>
          <w:rFonts w:cs="Times New Roman"/>
          <w:lang w:val="en-US"/>
        </w:rPr>
        <w:t xml:space="preserve">the </w:t>
      </w:r>
      <w:r w:rsidRPr="00CF3C2E">
        <w:rPr>
          <w:rFonts w:cs="Times New Roman"/>
          <w:lang w:val="en-US"/>
        </w:rPr>
        <w:t>University of Pavia’s donors give money to support research projects, which could have a positive impact on their life and background (Belleflamme et al., 2013b; Wheat et al., 2013; Szkuta et al., 2014; Meyskens &amp; Bird 2015).</w:t>
      </w:r>
    </w:p>
    <w:p w14:paraId="017134C6" w14:textId="2C2652C1" w:rsidR="00973A9A" w:rsidRPr="00CF3C2E" w:rsidRDefault="00973A9A" w:rsidP="00003198">
      <w:pPr>
        <w:spacing w:line="480" w:lineRule="auto"/>
        <w:jc w:val="both"/>
        <w:rPr>
          <w:rFonts w:cs="Times New Roman"/>
          <w:lang w:val="en-US"/>
        </w:rPr>
      </w:pPr>
      <w:r w:rsidRPr="00CF3C2E">
        <w:rPr>
          <w:rFonts w:cs="Times New Roman"/>
          <w:lang w:val="en-US"/>
        </w:rPr>
        <w:t>In spite of Hartley’s statement about the fact that innovation is a bottom-up process, within the case study analyzed by this research, it can be defined as a top-down pro</w:t>
      </w:r>
      <w:r w:rsidR="002E509A">
        <w:rPr>
          <w:rFonts w:cs="Times New Roman"/>
          <w:lang w:val="en-US"/>
        </w:rPr>
        <w:t>cess. Therefore, it depends on</w:t>
      </w:r>
      <w:r w:rsidRPr="00CF3C2E">
        <w:rPr>
          <w:rFonts w:cs="Times New Roman"/>
          <w:lang w:val="en-US"/>
        </w:rPr>
        <w:t xml:space="preserve"> the peculiar structure of Italian universities’ governance, which is quite rigid. Nonetheless,</w:t>
      </w:r>
      <w:r w:rsidR="008E09AA">
        <w:rPr>
          <w:rFonts w:cs="Times New Roman"/>
          <w:lang w:val="en-US"/>
        </w:rPr>
        <w:t xml:space="preserve"> the</w:t>
      </w:r>
      <w:r w:rsidRPr="00CF3C2E">
        <w:rPr>
          <w:rFonts w:cs="Times New Roman"/>
          <w:lang w:val="en-US"/>
        </w:rPr>
        <w:t xml:space="preserve"> University of Pavia</w:t>
      </w:r>
      <w:r w:rsidR="008E09AA">
        <w:rPr>
          <w:rFonts w:cs="Times New Roman"/>
          <w:lang w:val="en-US"/>
        </w:rPr>
        <w:t>’s</w:t>
      </w:r>
      <w:r w:rsidRPr="00CF3C2E">
        <w:rPr>
          <w:rFonts w:cs="Times New Roman"/>
          <w:lang w:val="en-US"/>
        </w:rPr>
        <w:t xml:space="preserve"> strategy is based on collaboration among different actors of society, like private companies, public authorities, nonprofit organizations and individuals. From fundraising point of view it adopts an open-source strategy, which include</w:t>
      </w:r>
      <w:r w:rsidR="00D9159F">
        <w:rPr>
          <w:rFonts w:cs="Times New Roman"/>
          <w:lang w:val="en-US"/>
        </w:rPr>
        <w:t>s</w:t>
      </w:r>
      <w:r w:rsidRPr="00CF3C2E">
        <w:rPr>
          <w:rFonts w:cs="Times New Roman"/>
          <w:lang w:val="en-US"/>
        </w:rPr>
        <w:t xml:space="preserve"> innovation by the Internet (crowdfunding platform), inviting co-creators to help solving a specif</w:t>
      </w:r>
      <w:r w:rsidR="00D9159F">
        <w:rPr>
          <w:rFonts w:cs="Times New Roman"/>
          <w:lang w:val="en-US"/>
        </w:rPr>
        <w:t>ic problem, that is supporting r</w:t>
      </w:r>
      <w:r w:rsidRPr="00CF3C2E">
        <w:rPr>
          <w:rFonts w:cs="Times New Roman"/>
          <w:lang w:val="en-US"/>
        </w:rPr>
        <w:t>esearch (Sorensen &amp; Torfing, 2011).</w:t>
      </w:r>
    </w:p>
    <w:p w14:paraId="6F0231B8" w14:textId="4E537FCA" w:rsidR="00973A9A" w:rsidRPr="00CF3C2E" w:rsidRDefault="00973A9A" w:rsidP="00003198">
      <w:pPr>
        <w:spacing w:line="480" w:lineRule="auto"/>
        <w:jc w:val="both"/>
        <w:rPr>
          <w:rFonts w:cs="Times New Roman"/>
          <w:lang w:val="en-US"/>
        </w:rPr>
      </w:pPr>
      <w:r w:rsidRPr="00CF3C2E">
        <w:rPr>
          <w:rFonts w:cs="Times New Roman"/>
          <w:lang w:val="en-US"/>
        </w:rPr>
        <w:t>Furthermore, the fact t</w:t>
      </w:r>
      <w:r w:rsidR="00D9159F">
        <w:rPr>
          <w:rFonts w:cs="Times New Roman"/>
          <w:lang w:val="en-US"/>
        </w:rPr>
        <w:t>hat support is mainly given to r</w:t>
      </w:r>
      <w:r w:rsidRPr="00CF3C2E">
        <w:rPr>
          <w:rFonts w:cs="Times New Roman"/>
          <w:lang w:val="en-US"/>
        </w:rPr>
        <w:t>esearch function is determine by some social, political and economic environment conditions and recent changes. Research is the function that has most suffered from the governmental financial cuts to public universities and to research activities in general (Italy). This situation has forced them to find out new financial sources to be integrated by the governmental ones. Results from new researches, especially within life sciences and technologies fields, could be really appealing from donors that want to socially invest their money to sustain a good cause. Besides, crowdfunding is the fundraising tool that could enable them to be involved in the university’s value creation process (Colasanti et al., 2018).</w:t>
      </w:r>
    </w:p>
    <w:p w14:paraId="423A5CFA" w14:textId="08E18893" w:rsidR="00973A9A" w:rsidRDefault="00973A9A" w:rsidP="00003198">
      <w:pPr>
        <w:spacing w:line="480" w:lineRule="auto"/>
        <w:jc w:val="both"/>
        <w:rPr>
          <w:rFonts w:cs="Times New Roman"/>
          <w:lang w:val="en-US"/>
        </w:rPr>
      </w:pPr>
      <w:r>
        <w:rPr>
          <w:rFonts w:cs="Times New Roman"/>
          <w:lang w:val="en-US"/>
        </w:rPr>
        <w:t>Finally, the three aforementioned essays allow answering to the main research questions of this thesis. Taking into consideration the Italian higher education context, fundraising is partially integrated in the university’s strategy and institutional asset, in relation to its three functions. In fact, although fundraising objective</w:t>
      </w:r>
      <w:r w:rsidR="00D9159F">
        <w:rPr>
          <w:rFonts w:cs="Times New Roman"/>
          <w:lang w:val="en-US"/>
        </w:rPr>
        <w:t>s</w:t>
      </w:r>
      <w:r>
        <w:rPr>
          <w:rFonts w:cs="Times New Roman"/>
          <w:lang w:val="en-US"/>
        </w:rPr>
        <w:t xml:space="preserve"> are often included in the long-term planning documents and most universities are endowed with a fundraising professional staff, fundraising process and culture are in their first steps of development. Universities’ organizational chart</w:t>
      </w:r>
      <w:r w:rsidR="00D9159F">
        <w:rPr>
          <w:rFonts w:cs="Times New Roman"/>
          <w:lang w:val="en-US"/>
        </w:rPr>
        <w:t>s</w:t>
      </w:r>
      <w:r>
        <w:rPr>
          <w:rFonts w:cs="Times New Roman"/>
          <w:lang w:val="en-US"/>
        </w:rPr>
        <w:t xml:space="preserve"> and procedures are quite rigid and more focused on functions rather than processes. Moreover, coordination and integration throughout the organizational structure is still an issue for the academic leaders, especially for presidents, who are expected to be responsible for fundraising process and relating results. Furthermore, fundraising outputs are often dependent on personal relationships based on trust in the academic leaders, rather than be institutionalized by loyalty towards the universities. Then, even fundraising professional staff and units perceive fundraising as a inescapable process, having a passive behavior towards it, rather than a proactive one. However, the universities that are considered as pioneers wi</w:t>
      </w:r>
      <w:r w:rsidR="00A86513">
        <w:rPr>
          <w:rFonts w:cs="Times New Roman"/>
          <w:lang w:val="en-US"/>
        </w:rPr>
        <w:t>thin fundraising topic, attempt</w:t>
      </w:r>
      <w:r>
        <w:rPr>
          <w:rFonts w:cs="Times New Roman"/>
          <w:lang w:val="en-US"/>
        </w:rPr>
        <w:t xml:space="preserve"> to approach to the relating issues t</w:t>
      </w:r>
      <w:r w:rsidR="00A86513">
        <w:rPr>
          <w:rFonts w:cs="Times New Roman"/>
          <w:lang w:val="en-US"/>
        </w:rPr>
        <w:t>h</w:t>
      </w:r>
      <w:r>
        <w:rPr>
          <w:rFonts w:cs="Times New Roman"/>
          <w:lang w:val="en-US"/>
        </w:rPr>
        <w:t xml:space="preserve">rough an innovative tool that is crowdfunding. This fundraising means is still in its start-up phase, especially within higher education context. </w:t>
      </w:r>
    </w:p>
    <w:p w14:paraId="540DAEDF" w14:textId="022E8D72" w:rsidR="00973A9A" w:rsidRDefault="00973A9A" w:rsidP="00003198">
      <w:pPr>
        <w:spacing w:line="480" w:lineRule="auto"/>
        <w:jc w:val="both"/>
        <w:rPr>
          <w:rFonts w:cs="Times New Roman"/>
          <w:lang w:val="en-US"/>
        </w:rPr>
      </w:pPr>
      <w:r>
        <w:rPr>
          <w:rFonts w:cs="Times New Roman"/>
          <w:lang w:val="en-US"/>
        </w:rPr>
        <w:t>The consideration of fundraising as a crucial and strategic process even by public universities can have an important impact on university’s outcome and mission. First of all, fundraising outputs a</w:t>
      </w:r>
      <w:r w:rsidR="00A86513">
        <w:rPr>
          <w:rFonts w:cs="Times New Roman"/>
          <w:lang w:val="en-US"/>
        </w:rPr>
        <w:t>re mainly addressed to support research functions rather than teaching and o</w:t>
      </w:r>
      <w:r w:rsidR="006F0A98">
        <w:rPr>
          <w:rFonts w:cs="Times New Roman"/>
          <w:lang w:val="en-US"/>
        </w:rPr>
        <w:t>utreach ones. Then, t</w:t>
      </w:r>
      <w:r>
        <w:rPr>
          <w:rFonts w:cs="Times New Roman"/>
          <w:lang w:val="en-US"/>
        </w:rPr>
        <w:t>eaching activities are less sustained, whereas crowdf</w:t>
      </w:r>
      <w:r w:rsidR="006F0A98">
        <w:rPr>
          <w:rFonts w:cs="Times New Roman"/>
          <w:lang w:val="en-US"/>
        </w:rPr>
        <w:t>unding is sometimes seen as an o</w:t>
      </w:r>
      <w:r>
        <w:rPr>
          <w:rFonts w:cs="Times New Roman"/>
          <w:lang w:val="en-US"/>
        </w:rPr>
        <w:t>utreach tool, able to communicate the value that universities create for society. Hence, if the universities are still able to guarantee their services to society, although the governmental funding’s cuts, this is also thanks to fundraising process and activities</w:t>
      </w:r>
      <w:r w:rsidR="006F0A98">
        <w:rPr>
          <w:rFonts w:cs="Times New Roman"/>
          <w:lang w:val="en-US"/>
        </w:rPr>
        <w:t>, at list relating to the r</w:t>
      </w:r>
      <w:r>
        <w:rPr>
          <w:rFonts w:cs="Times New Roman"/>
          <w:lang w:val="en-US"/>
        </w:rPr>
        <w:t>esearch function.</w:t>
      </w:r>
    </w:p>
    <w:p w14:paraId="42474D98" w14:textId="77777777" w:rsidR="00973A9A" w:rsidRDefault="00973A9A" w:rsidP="00003198">
      <w:pPr>
        <w:spacing w:line="480" w:lineRule="auto"/>
        <w:jc w:val="both"/>
        <w:rPr>
          <w:rFonts w:cs="Times New Roman"/>
          <w:b/>
          <w:lang w:val="en-US"/>
        </w:rPr>
      </w:pPr>
    </w:p>
    <w:p w14:paraId="447887C6" w14:textId="77777777" w:rsidR="00973A9A" w:rsidRDefault="00973A9A" w:rsidP="00003198">
      <w:pPr>
        <w:spacing w:line="480" w:lineRule="auto"/>
        <w:jc w:val="both"/>
        <w:rPr>
          <w:rFonts w:cs="Times New Roman"/>
          <w:b/>
          <w:lang w:val="en-US"/>
        </w:rPr>
      </w:pPr>
      <w:r>
        <w:rPr>
          <w:rFonts w:cs="Times New Roman"/>
          <w:b/>
          <w:lang w:val="en-US"/>
        </w:rPr>
        <w:t>6.2</w:t>
      </w:r>
      <w:r w:rsidRPr="00CF3C2E">
        <w:rPr>
          <w:rFonts w:cs="Times New Roman"/>
          <w:b/>
          <w:lang w:val="en-US"/>
        </w:rPr>
        <w:t xml:space="preserve"> Methodological contribution</w:t>
      </w:r>
    </w:p>
    <w:p w14:paraId="5EFDA2AD" w14:textId="42D87F74" w:rsidR="00973A9A" w:rsidRDefault="00973A9A" w:rsidP="00003198">
      <w:pPr>
        <w:spacing w:line="480" w:lineRule="auto"/>
        <w:jc w:val="both"/>
        <w:rPr>
          <w:lang w:val="en-US"/>
        </w:rPr>
      </w:pPr>
      <w:r>
        <w:rPr>
          <w:lang w:val="en-US"/>
        </w:rPr>
        <w:t>From the methodological point of view, this thesis is based on a mixed approach, considering both qualitative methodologies</w:t>
      </w:r>
      <w:r w:rsidR="00F36FBF">
        <w:rPr>
          <w:lang w:val="en-US"/>
        </w:rPr>
        <w:t>,</w:t>
      </w:r>
      <w:r>
        <w:rPr>
          <w:lang w:val="en-US"/>
        </w:rPr>
        <w:t xml:space="preserve"> in all the essays</w:t>
      </w:r>
      <w:r w:rsidR="00F36FBF">
        <w:rPr>
          <w:lang w:val="en-US"/>
        </w:rPr>
        <w:t>,</w:t>
      </w:r>
      <w:r>
        <w:rPr>
          <w:lang w:val="en-US"/>
        </w:rPr>
        <w:t xml:space="preserve"> and quantitative ones, only in the fourth chapter. More specifically, the first essay (third chapter) aims to analyze in deep the integrated long-term strategic plans through “Content Analysis” methodology (Krippendorff, 2004). A qualitative content analysis was chosen, based on a deductive method (Elo &amp; Kyngäs, 2008; Mayring, 2014). The research adopts a “problem driven approach” (Krippendorff, 2004): once formulated the research questions and established stable correlations through the theoretical models proposed, units of analysis were defined as the integrated long-term strategic plans. Categories were a priori defined, considering the theoretical framework delivered (Schilling, 2006). Then, in order to analyze texts and link them to the right category, a codebook was defined, focusing on coding rules (Neuendorf, 2002). Coding units’ analysis was delivered through the support of a web-based software, QCAmap, which allow</w:t>
      </w:r>
      <w:r w:rsidR="00AF00FE">
        <w:rPr>
          <w:lang w:val="en-US"/>
        </w:rPr>
        <w:t>s</w:t>
      </w:r>
      <w:r>
        <w:rPr>
          <w:lang w:val="en-US"/>
        </w:rPr>
        <w:t xml:space="preserve"> testing several text units, like university’s strategic plans, linking them to specific research questions and to theory-based categories (deductive content analysis).</w:t>
      </w:r>
    </w:p>
    <w:p w14:paraId="4356A854" w14:textId="22C52FD3" w:rsidR="00973A9A" w:rsidRDefault="00973A9A" w:rsidP="00003198">
      <w:pPr>
        <w:spacing w:line="480" w:lineRule="auto"/>
        <w:jc w:val="both"/>
        <w:rPr>
          <w:rFonts w:cs="Times New Roman"/>
          <w:lang w:val="en-US"/>
        </w:rPr>
      </w:pPr>
      <w:r w:rsidRPr="00533D4E">
        <w:rPr>
          <w:rFonts w:cs="Times New Roman"/>
          <w:lang w:val="en-US"/>
        </w:rPr>
        <w:t>From the epistem</w:t>
      </w:r>
      <w:r>
        <w:rPr>
          <w:rFonts w:cs="Times New Roman"/>
          <w:lang w:val="en-US"/>
        </w:rPr>
        <w:t>ological perspective, the second essay (fourth chapter) is based on a mixed approach: both quantitative (questionnaire</w:t>
      </w:r>
      <w:r w:rsidR="00B066F9">
        <w:rPr>
          <w:rFonts w:cs="Times New Roman"/>
          <w:lang w:val="en-US"/>
        </w:rPr>
        <w:t>s</w:t>
      </w:r>
      <w:r>
        <w:rPr>
          <w:rFonts w:cs="Times New Roman"/>
          <w:lang w:val="en-US"/>
        </w:rPr>
        <w:t>) (Sudman et al. 1996) and qualitative (interviews) (Fattore, 2005)</w:t>
      </w:r>
      <w:r w:rsidRPr="00533D4E">
        <w:rPr>
          <w:rFonts w:cs="Times New Roman"/>
          <w:lang w:val="en-US"/>
        </w:rPr>
        <w:t xml:space="preserve"> </w:t>
      </w:r>
      <w:r>
        <w:rPr>
          <w:rFonts w:cs="Times New Roman"/>
          <w:lang w:val="en-US"/>
        </w:rPr>
        <w:t>methods have been used.</w:t>
      </w:r>
      <w:r w:rsidRPr="00533D4E">
        <w:rPr>
          <w:rFonts w:cs="Times New Roman"/>
          <w:lang w:val="en-US"/>
        </w:rPr>
        <w:t xml:space="preserve"> </w:t>
      </w:r>
      <w:r>
        <w:rPr>
          <w:rFonts w:cs="Times New Roman"/>
          <w:lang w:val="en-US"/>
        </w:rPr>
        <w:t>Hence</w:t>
      </w:r>
      <w:r w:rsidRPr="00533D4E">
        <w:rPr>
          <w:rFonts w:cs="Times New Roman"/>
          <w:lang w:val="en-US"/>
        </w:rPr>
        <w:t xml:space="preserve">, </w:t>
      </w:r>
      <w:r>
        <w:rPr>
          <w:rFonts w:cs="Times New Roman"/>
          <w:lang w:val="en-US"/>
        </w:rPr>
        <w:t>the empirical analysis is split into two steps. First of all, a questionnaire, made up by five questions, was sent by e-mail to a sample of 58 Italian public universities. Moreover, t</w:t>
      </w:r>
      <w:r w:rsidRPr="00044C71">
        <w:rPr>
          <w:rFonts w:cs="Times New Roman"/>
          <w:lang w:val="en-US"/>
        </w:rPr>
        <w:t>he</w:t>
      </w:r>
      <w:r>
        <w:rPr>
          <w:rFonts w:cs="Times New Roman"/>
          <w:lang w:val="en-US"/>
        </w:rPr>
        <w:t xml:space="preserve"> second step of the</w:t>
      </w:r>
      <w:r w:rsidRPr="00044C71">
        <w:rPr>
          <w:rFonts w:cs="Times New Roman"/>
          <w:lang w:val="en-US"/>
        </w:rPr>
        <w:t xml:space="preserve"> empirical analysis of this chapter considers a sample of twelve Italian public universities, selected from the Censis </w:t>
      </w:r>
      <w:r w:rsidRPr="00044C71">
        <w:rPr>
          <w:rFonts w:cs="Times New Roman"/>
        </w:rPr>
        <w:t xml:space="preserve">Public </w:t>
      </w:r>
      <w:r w:rsidRPr="00044C71">
        <w:rPr>
          <w:rFonts w:cs="Times New Roman"/>
          <w:lang w:val="en-US"/>
        </w:rPr>
        <w:t>Universities</w:t>
      </w:r>
      <w:r w:rsidRPr="00044C71">
        <w:rPr>
          <w:rFonts w:cs="Times New Roman"/>
        </w:rPr>
        <w:t xml:space="preserve"> </w:t>
      </w:r>
      <w:r w:rsidRPr="00044C71">
        <w:rPr>
          <w:rFonts w:cs="Times New Roman"/>
          <w:lang w:val="en-US"/>
        </w:rPr>
        <w:t>Classification (2016</w:t>
      </w:r>
      <w:r>
        <w:rPr>
          <w:rFonts w:cs="Times New Roman"/>
          <w:lang w:val="en-US"/>
        </w:rPr>
        <w:t>)</w:t>
      </w:r>
      <w:r w:rsidRPr="00044C71">
        <w:rPr>
          <w:rFonts w:cs="Times New Roman"/>
          <w:lang w:val="en-US"/>
        </w:rPr>
        <w:t xml:space="preserve">. Hence, the second step of the analysis includes nine semi-structured interviews to Presidents’ Fundraising Delegates and Managers (Cardano, 2003). </w:t>
      </w:r>
      <w:r>
        <w:rPr>
          <w:rFonts w:cs="Times New Roman"/>
          <w:lang w:val="en-US"/>
        </w:rPr>
        <w:t xml:space="preserve">These interviews are analyzed adopting the </w:t>
      </w:r>
      <w:r w:rsidRPr="00044C71">
        <w:rPr>
          <w:rFonts w:cs="Times New Roman"/>
          <w:lang w:val="en-US"/>
        </w:rPr>
        <w:t xml:space="preserve">grounded theory methodology (Flick, 2014). The first phase of this analysis is </w:t>
      </w:r>
      <w:r w:rsidRPr="00044C71">
        <w:rPr>
          <w:rFonts w:cs="Times New Roman"/>
          <w:i/>
          <w:lang w:val="en-US"/>
        </w:rPr>
        <w:t>coding</w:t>
      </w:r>
      <w:r w:rsidRPr="00044C71">
        <w:rPr>
          <w:rFonts w:cs="Times New Roman"/>
          <w:lang w:val="en-US"/>
        </w:rPr>
        <w:t xml:space="preserve">, which is the process for analyzing the materials collected in order to develop a grounded theory (Glaser, 1978; Glaser &amp; Strauss, 1967; Strauss, 1987; Strauss &amp; Corbin, 1990; Charmaz, 2006). Furthermore, coding can be split into three steps: open coding, axial coding and selective coding (Strauss and Corbin, 1990). The first step consists in segmenting data in units of meaning (single words, sentences…) in order to attach codes to them. Then, the next step is axial coding, whose output is the elaboration of the relations between categories previously identified. This step of the analysis is summarized </w:t>
      </w:r>
      <w:r>
        <w:rPr>
          <w:rFonts w:cs="Times New Roman"/>
          <w:lang w:val="en-US"/>
        </w:rPr>
        <w:t>in the Paradigm Model</w:t>
      </w:r>
      <w:r w:rsidRPr="00044C71">
        <w:rPr>
          <w:rFonts w:cs="Times New Roman"/>
          <w:lang w:val="en-US"/>
        </w:rPr>
        <w:t xml:space="preserve"> delivered by Strauss and Corbin (1990).</w:t>
      </w:r>
      <w:r>
        <w:rPr>
          <w:rFonts w:cs="Times New Roman"/>
          <w:lang w:val="en-US"/>
        </w:rPr>
        <w:t xml:space="preserve"> This model is based on two axes: the first goes from causes of the phenomenon to the consequences of the phenomenon, whereas the other one links the conditions of the context where the phenomenon is studied with the strategies of actors involved in the phenomenon. Hence, axial coding allows selecting the categories that are most relevant in order to answer to the research questions. Then, the last step is selective coding, which take the analysis to a higher level of abstraction. The output of this step is the elaboration and formulation of one central category and one central phenomenon. Finally, once grouped the data according to coding paradigm and individuated the most important categories and phenomena, it is possible to describe the theory under certain conditions, which the researchers must specify. Hence, the theory is formulated and checked with the data gathered and analyzed. The process ends when the theoretical saturation is reached (Strauss &amp; Corbin, 1990; Flick, 2014).</w:t>
      </w:r>
    </w:p>
    <w:p w14:paraId="6E84846A" w14:textId="6EA9631D" w:rsidR="00973A9A" w:rsidRPr="0061526B" w:rsidRDefault="00973A9A" w:rsidP="00003198">
      <w:pPr>
        <w:spacing w:line="480" w:lineRule="auto"/>
        <w:jc w:val="both"/>
        <w:rPr>
          <w:rFonts w:cs="Times New Roman"/>
        </w:rPr>
      </w:pPr>
      <w:r>
        <w:rPr>
          <w:rFonts w:cs="Times New Roman"/>
          <w:lang w:val="en-US"/>
        </w:rPr>
        <w:t>Relating to the third essay (fifth chapter), f</w:t>
      </w:r>
      <w:r w:rsidRPr="001835F4">
        <w:rPr>
          <w:rFonts w:cs="Times New Roman"/>
          <w:lang w:val="en-US"/>
        </w:rPr>
        <w:t>rom the epistemological</w:t>
      </w:r>
      <w:r>
        <w:rPr>
          <w:rFonts w:cs="Times New Roman"/>
          <w:lang w:val="en-US"/>
        </w:rPr>
        <w:t xml:space="preserve"> point of view, it is based on an interpretative approach, fitting with qualitative studies </w:t>
      </w:r>
      <w:r w:rsidRPr="001835F4">
        <w:rPr>
          <w:rFonts w:cs="Times New Roman"/>
        </w:rPr>
        <w:t>(Fattore</w:t>
      </w:r>
      <w:r>
        <w:rPr>
          <w:rFonts w:cs="Times New Roman"/>
        </w:rPr>
        <w:t>,</w:t>
      </w:r>
      <w:r w:rsidRPr="001835F4">
        <w:rPr>
          <w:rFonts w:cs="Times New Roman"/>
        </w:rPr>
        <w:t xml:space="preserve"> 2005). </w:t>
      </w:r>
      <w:r w:rsidRPr="009C6D6B">
        <w:rPr>
          <w:rFonts w:cs="Times New Roman"/>
          <w:lang w:val="en-US"/>
        </w:rPr>
        <w:t xml:space="preserve">The empirical analysis is focused on an explorative </w:t>
      </w:r>
      <w:r>
        <w:rPr>
          <w:rFonts w:cs="Times New Roman"/>
          <w:lang w:val="en-US"/>
        </w:rPr>
        <w:t xml:space="preserve">case </w:t>
      </w:r>
      <w:r w:rsidRPr="009C6D6B">
        <w:rPr>
          <w:rFonts w:cs="Times New Roman"/>
          <w:lang w:val="en-US"/>
        </w:rPr>
        <w:t xml:space="preserve">study: this method allows to </w:t>
      </w:r>
      <w:r>
        <w:rPr>
          <w:rFonts w:cs="Times New Roman"/>
          <w:lang w:val="en-US"/>
        </w:rPr>
        <w:t>get a deepen knowledge and awareness about</w:t>
      </w:r>
      <w:r w:rsidRPr="009C6D6B">
        <w:rPr>
          <w:rFonts w:cs="Times New Roman"/>
          <w:lang w:val="en-US"/>
        </w:rPr>
        <w:t xml:space="preserve"> the context of analysis.  </w:t>
      </w:r>
      <w:r w:rsidRPr="00AA4180">
        <w:rPr>
          <w:rFonts w:cs="Times New Roman"/>
          <w:lang w:val="en-US"/>
        </w:rPr>
        <w:t>Moreover, it enable</w:t>
      </w:r>
      <w:r>
        <w:rPr>
          <w:rFonts w:cs="Times New Roman"/>
          <w:lang w:val="en-US"/>
        </w:rPr>
        <w:t>s</w:t>
      </w:r>
      <w:r w:rsidRPr="00AA4180">
        <w:rPr>
          <w:rFonts w:cs="Times New Roman"/>
          <w:lang w:val="en-US"/>
        </w:rPr>
        <w:t xml:space="preserve"> to </w:t>
      </w:r>
      <w:r>
        <w:rPr>
          <w:rFonts w:cs="Times New Roman"/>
          <w:lang w:val="en-US"/>
        </w:rPr>
        <w:t>investigate situations</w:t>
      </w:r>
      <w:r w:rsidRPr="00AA4180">
        <w:rPr>
          <w:rFonts w:cs="Times New Roman"/>
          <w:lang w:val="en-US"/>
        </w:rPr>
        <w:t xml:space="preserve"> characterized by the fact that there is not a clear distinction between context and phenomenon, which is the subject of the research. </w:t>
      </w:r>
      <w:r w:rsidRPr="001835F4">
        <w:rPr>
          <w:rFonts w:cs="Times New Roman"/>
        </w:rPr>
        <w:t>(Yin</w:t>
      </w:r>
      <w:r w:rsidR="00B066F9">
        <w:rPr>
          <w:rFonts w:cs="Times New Roman"/>
        </w:rPr>
        <w:t>,</w:t>
      </w:r>
      <w:r w:rsidRPr="001835F4">
        <w:rPr>
          <w:rFonts w:cs="Times New Roman"/>
        </w:rPr>
        <w:t xml:space="preserve"> 2003). </w:t>
      </w:r>
      <w:r w:rsidRPr="00DE2219">
        <w:rPr>
          <w:rFonts w:cs="Times New Roman"/>
          <w:lang w:val="en-US"/>
        </w:rPr>
        <w:t>This</w:t>
      </w:r>
      <w:r>
        <w:rPr>
          <w:rFonts w:cs="Times New Roman"/>
          <w:lang w:val="en-US"/>
        </w:rPr>
        <w:t xml:space="preserve"> chapter analyzes the case </w:t>
      </w:r>
      <w:r w:rsidRPr="00DE2219">
        <w:rPr>
          <w:rFonts w:cs="Times New Roman"/>
          <w:lang w:val="en-US"/>
        </w:rPr>
        <w:t>study of an Italian un</w:t>
      </w:r>
      <w:r>
        <w:rPr>
          <w:rFonts w:cs="Times New Roman"/>
          <w:lang w:val="en-US"/>
        </w:rPr>
        <w:t xml:space="preserve">iversity, which is </w:t>
      </w:r>
      <w:r w:rsidR="00B066F9">
        <w:rPr>
          <w:rFonts w:cs="Times New Roman"/>
          <w:lang w:val="en-US"/>
        </w:rPr>
        <w:t xml:space="preserve">the </w:t>
      </w:r>
      <w:r>
        <w:rPr>
          <w:rFonts w:cs="Times New Roman"/>
          <w:lang w:val="en-US"/>
        </w:rPr>
        <w:t>University of Pavia</w:t>
      </w:r>
      <w:r w:rsidRPr="00DE2219">
        <w:rPr>
          <w:rFonts w:cs="Times New Roman"/>
          <w:lang w:val="en-US"/>
        </w:rPr>
        <w:t>.</w:t>
      </w:r>
      <w:r>
        <w:rPr>
          <w:rFonts w:cs="Times New Roman"/>
        </w:rPr>
        <w:t xml:space="preserve"> </w:t>
      </w:r>
      <w:r>
        <w:rPr>
          <w:rFonts w:cs="Times New Roman"/>
          <w:lang w:val="en-US"/>
        </w:rPr>
        <w:t>The empirical analysis is in</w:t>
      </w:r>
      <w:r w:rsidR="00B066F9">
        <w:rPr>
          <w:rFonts w:cs="Times New Roman"/>
          <w:lang w:val="en-US"/>
        </w:rPr>
        <w:t>tegrated by two semi-structured and</w:t>
      </w:r>
      <w:r>
        <w:rPr>
          <w:rFonts w:cs="Times New Roman"/>
          <w:lang w:val="en-US"/>
        </w:rPr>
        <w:t xml:space="preserve"> face-to-face interviews, in order to understand the state of the art of the fundraising and crowdfunding culture within</w:t>
      </w:r>
      <w:r w:rsidR="00B066F9">
        <w:rPr>
          <w:rFonts w:cs="Times New Roman"/>
          <w:lang w:val="en-US"/>
        </w:rPr>
        <w:t xml:space="preserve"> the</w:t>
      </w:r>
      <w:r>
        <w:rPr>
          <w:rFonts w:cs="Times New Roman"/>
          <w:lang w:val="en-US"/>
        </w:rPr>
        <w:t xml:space="preserve"> University of Pavia’s context (Cardano, 2002). On this basis, it was possible to get clear and precise information (Corbetta, 2003). Data provided by these interviews have been processed by content analysis methodology, which allows obtaining significant information from textual sources (Neundorf, 2016). It is articulated in several phases and it has to be based on a conceptual structure with a well-designed research hypothesis. Hence, in the preliminary stage of the analysis process it is required to formulate all the questions of the interview, taking into consideration the literature about the research topic (Krippendorff, 2004). The process starts from the analysis of the answers and it is articulated in five phases, developed by the two researchers, in order to have relevant and reliable results (Schilling, 2006). The categories of analysis are not taken from the literature, but they are delivered from the interview</w:t>
      </w:r>
      <w:r w:rsidR="00B066F9">
        <w:rPr>
          <w:rFonts w:cs="Times New Roman"/>
          <w:lang w:val="en-US"/>
        </w:rPr>
        <w:t>s’</w:t>
      </w:r>
      <w:r>
        <w:rPr>
          <w:rFonts w:cs="Times New Roman"/>
          <w:lang w:val="en-US"/>
        </w:rPr>
        <w:t xml:space="preserve"> analysis itself. Following the Inductive Content Analysis scheme, they are a priori de</w:t>
      </w:r>
      <w:r w:rsidR="009B53B7">
        <w:rPr>
          <w:rFonts w:cs="Times New Roman"/>
          <w:lang w:val="en-US"/>
        </w:rPr>
        <w:t>fined, rather than taken</w:t>
      </w:r>
      <w:r>
        <w:rPr>
          <w:rFonts w:cs="Times New Roman"/>
          <w:lang w:val="en-US"/>
        </w:rPr>
        <w:t xml:space="preserve"> from the literature, since the relatively recent introduction of the crowfunding phenomenon into </w:t>
      </w:r>
      <w:r w:rsidR="00BB37E1">
        <w:rPr>
          <w:rFonts w:cs="Times New Roman"/>
          <w:lang w:val="en-US"/>
        </w:rPr>
        <w:t xml:space="preserve">the </w:t>
      </w:r>
      <w:r>
        <w:rPr>
          <w:rFonts w:cs="Times New Roman"/>
          <w:lang w:val="en-US"/>
        </w:rPr>
        <w:t>academic studies (Elo &amp; Kyngäs, 2008; Mayring, 2014; Miles &amp; Hubermann, 1994). Afterwards, units of analysis are individuated. Each of them is defined as a piece of text</w:t>
      </w:r>
      <w:r w:rsidRPr="00BB6091">
        <w:rPr>
          <w:rFonts w:cs="Times New Roman"/>
          <w:lang w:val="en-US"/>
        </w:rPr>
        <w:t xml:space="preserve"> </w:t>
      </w:r>
      <w:r>
        <w:rPr>
          <w:rFonts w:cs="Times New Roman"/>
          <w:lang w:val="en-US"/>
        </w:rPr>
        <w:t>understandable by itself and containing an idea or information (Tesch, 1990). The output of content analysis consists of a conceptual map, where concepts and logic relations included in the interviews are summarized (Schilling, 2006).</w:t>
      </w:r>
    </w:p>
    <w:p w14:paraId="6CD8D7E8" w14:textId="77777777" w:rsidR="00973A9A" w:rsidRPr="00CF3C2E" w:rsidRDefault="00973A9A" w:rsidP="00003198">
      <w:pPr>
        <w:spacing w:line="480" w:lineRule="auto"/>
        <w:jc w:val="both"/>
        <w:rPr>
          <w:rFonts w:cs="Times New Roman"/>
          <w:lang w:val="en-US"/>
        </w:rPr>
      </w:pPr>
    </w:p>
    <w:p w14:paraId="55DFD3CB" w14:textId="77777777" w:rsidR="00973A9A" w:rsidRPr="00CF3C2E" w:rsidRDefault="00973A9A" w:rsidP="00003198">
      <w:pPr>
        <w:spacing w:line="480" w:lineRule="auto"/>
        <w:jc w:val="both"/>
        <w:rPr>
          <w:rFonts w:cs="Times New Roman"/>
          <w:b/>
          <w:lang w:val="en-US"/>
        </w:rPr>
      </w:pPr>
      <w:r>
        <w:rPr>
          <w:rFonts w:cs="Times New Roman"/>
          <w:b/>
          <w:lang w:val="en-US"/>
        </w:rPr>
        <w:t>6.3</w:t>
      </w:r>
      <w:r w:rsidRPr="00CF3C2E">
        <w:rPr>
          <w:rFonts w:cs="Times New Roman"/>
          <w:b/>
          <w:lang w:val="en-US"/>
        </w:rPr>
        <w:t xml:space="preserve"> Limitations and implications for further development </w:t>
      </w:r>
    </w:p>
    <w:p w14:paraId="06CCFDF9" w14:textId="4D1B2B57" w:rsidR="00973A9A" w:rsidRDefault="00973A9A" w:rsidP="00003198">
      <w:pPr>
        <w:spacing w:line="480" w:lineRule="auto"/>
        <w:jc w:val="both"/>
        <w:rPr>
          <w:rFonts w:cs="Times New Roman"/>
          <w:lang w:val="en-US"/>
        </w:rPr>
      </w:pPr>
      <w:r>
        <w:rPr>
          <w:rFonts w:cs="Times New Roman"/>
          <w:lang w:val="en-US"/>
        </w:rPr>
        <w:t>The first essay (third chapter)</w:t>
      </w:r>
      <w:r w:rsidRPr="00CF3C2E">
        <w:rPr>
          <w:rFonts w:cs="Times New Roman"/>
          <w:lang w:val="en-US"/>
        </w:rPr>
        <w:t xml:space="preserve"> is an analysis of the state of the art of the Italian public higher education cont</w:t>
      </w:r>
      <w:r w:rsidR="00BB37E1">
        <w:rPr>
          <w:rFonts w:cs="Times New Roman"/>
          <w:lang w:val="en-US"/>
        </w:rPr>
        <w:t>ext, in term</w:t>
      </w:r>
      <w:r w:rsidRPr="00CF3C2E">
        <w:rPr>
          <w:rFonts w:cs="Times New Roman"/>
          <w:lang w:val="en-US"/>
        </w:rPr>
        <w:t xml:space="preserve"> of fundraising role in strategic planning and management. It is an exploratory and qualitative study, which could be further investigated through quantitative analysis. It would be interesting to examine in depth the relationship between fundraising objectives and universities organizational size (number of students) or the geographical areas where the universities are located. Besides, a quantitative content analysis of integrated long-term strategic plans (or other strategic planning documents) could be useful to assess results got by this research (Krippendorff, 2004a; Krippendorff, 2004b; Krippendorff, 2004c). </w:t>
      </w:r>
    </w:p>
    <w:p w14:paraId="0137EA2A" w14:textId="73E0D234" w:rsidR="00973A9A" w:rsidRPr="00CF3C2E" w:rsidRDefault="00973A9A" w:rsidP="00003198">
      <w:pPr>
        <w:spacing w:line="480" w:lineRule="auto"/>
        <w:jc w:val="both"/>
        <w:rPr>
          <w:rFonts w:cs="Times New Roman"/>
          <w:lang w:val="en-US"/>
        </w:rPr>
      </w:pPr>
      <w:r>
        <w:rPr>
          <w:rFonts w:cs="Times New Roman"/>
          <w:lang w:val="en-US"/>
        </w:rPr>
        <w:t>Relating to the second essay (fourth chapter), t</w:t>
      </w:r>
      <w:r w:rsidR="00BB37E1">
        <w:rPr>
          <w:rFonts w:cs="Times New Roman"/>
          <w:lang w:val="en-US"/>
        </w:rPr>
        <w:t>he main limitation</w:t>
      </w:r>
      <w:r w:rsidRPr="00CF3C2E">
        <w:rPr>
          <w:rFonts w:cs="Times New Roman"/>
          <w:lang w:val="en-US"/>
        </w:rPr>
        <w:t xml:space="preserve"> of this study is the fact that the sample considered both by the questionnai</w:t>
      </w:r>
      <w:r w:rsidR="00BB37E1">
        <w:rPr>
          <w:rFonts w:cs="Times New Roman"/>
          <w:lang w:val="en-US"/>
        </w:rPr>
        <w:t>res’ analysis and by interview</w:t>
      </w:r>
      <w:r w:rsidRPr="00CF3C2E">
        <w:rPr>
          <w:rFonts w:cs="Times New Roman"/>
          <w:lang w:val="en-US"/>
        </w:rPr>
        <w:t>s’ one is not enough to completely understand and explain the fundraising behavior of Italian public universities, in addition to their consideration of the tool as a support for university’s mission through its functions.</w:t>
      </w:r>
      <w:r>
        <w:rPr>
          <w:rFonts w:cs="Times New Roman"/>
          <w:lang w:val="en-US"/>
        </w:rPr>
        <w:t xml:space="preserve"> It should</w:t>
      </w:r>
      <w:r w:rsidRPr="00CF3C2E">
        <w:rPr>
          <w:rFonts w:cs="Times New Roman"/>
          <w:lang w:val="en-US"/>
        </w:rPr>
        <w:t xml:space="preserve"> be interesting to further develop this study by investigating the reasons why other universities are not endowed with a professional fu</w:t>
      </w:r>
      <w:r w:rsidR="000170B6">
        <w:rPr>
          <w:rFonts w:cs="Times New Roman"/>
          <w:lang w:val="en-US"/>
        </w:rPr>
        <w:t>ndraising staff and why they do not consider</w:t>
      </w:r>
      <w:r w:rsidRPr="00CF3C2E">
        <w:rPr>
          <w:rFonts w:cs="Times New Roman"/>
          <w:lang w:val="en-US"/>
        </w:rPr>
        <w:t xml:space="preserve"> fundraising as an effective tool to sustain university’s function. Moreover, within the “pioneers”, </w:t>
      </w:r>
      <w:r w:rsidR="00990195">
        <w:rPr>
          <w:rFonts w:cs="Times New Roman"/>
          <w:lang w:val="en-US"/>
        </w:rPr>
        <w:t>a deeper analysis of the interview</w:t>
      </w:r>
      <w:r w:rsidRPr="00CF3C2E">
        <w:rPr>
          <w:rFonts w:cs="Times New Roman"/>
          <w:lang w:val="en-US"/>
        </w:rPr>
        <w:t>s’ text</w:t>
      </w:r>
      <w:r w:rsidR="00990195">
        <w:rPr>
          <w:rFonts w:cs="Times New Roman"/>
          <w:lang w:val="en-US"/>
        </w:rPr>
        <w:t>s</w:t>
      </w:r>
      <w:r w:rsidRPr="00CF3C2E">
        <w:rPr>
          <w:rFonts w:cs="Times New Roman"/>
          <w:lang w:val="en-US"/>
        </w:rPr>
        <w:t xml:space="preserve"> by qualitative content analysis could bring to a map of fundraising culture, investigating</w:t>
      </w:r>
      <w:r w:rsidR="00990195">
        <w:rPr>
          <w:rFonts w:cs="Times New Roman"/>
          <w:lang w:val="en-US"/>
        </w:rPr>
        <w:t xml:space="preserve"> the common and shared language in the</w:t>
      </w:r>
      <w:r w:rsidRPr="00CF3C2E">
        <w:rPr>
          <w:rFonts w:cs="Times New Roman"/>
          <w:lang w:val="en-US"/>
        </w:rPr>
        <w:t xml:space="preserve"> “Ba” of words (Magliacani &amp; Madeo, 2018). </w:t>
      </w:r>
    </w:p>
    <w:p w14:paraId="591F0348" w14:textId="31C844B1" w:rsidR="00973A9A" w:rsidRDefault="00F746F9" w:rsidP="00003198">
      <w:pPr>
        <w:spacing w:line="480" w:lineRule="auto"/>
        <w:jc w:val="both"/>
        <w:rPr>
          <w:rFonts w:cs="Times New Roman"/>
          <w:lang w:val="en-US"/>
        </w:rPr>
      </w:pPr>
      <w:r>
        <w:rPr>
          <w:rFonts w:cs="Times New Roman"/>
          <w:lang w:val="en-US"/>
        </w:rPr>
        <w:t>Then</w:t>
      </w:r>
      <w:r w:rsidR="00973A9A">
        <w:rPr>
          <w:rFonts w:cs="Times New Roman"/>
          <w:lang w:val="en-US"/>
        </w:rPr>
        <w:t>, the third essay (fifth chapter) shows results that mainly</w:t>
      </w:r>
      <w:r w:rsidR="00973A9A" w:rsidRPr="00CF3C2E">
        <w:rPr>
          <w:rFonts w:cs="Times New Roman"/>
          <w:lang w:val="en-US"/>
        </w:rPr>
        <w:t xml:space="preserve"> relate to the context of analysis. Assuming that limitation, the research opens up a new trend about sustainability and innovation within public universities. </w:t>
      </w:r>
      <w:r w:rsidR="00973A9A" w:rsidRPr="00CF3C2E">
        <w:rPr>
          <w:rFonts w:cs="Times New Roman"/>
          <w:lang w:val="en-GB"/>
        </w:rPr>
        <w:t>Further developments on this research path recommend the formulation of a theoretical framework, within the value co-creation mainstream. Moreover, some quantitative case study about the crowdfunding platform could allow reaching less interpretive results and more general ones. Lastly, the validity of those research propos</w:t>
      </w:r>
      <w:r w:rsidR="00821F0D">
        <w:rPr>
          <w:rFonts w:cs="Times New Roman"/>
          <w:lang w:val="en-GB"/>
        </w:rPr>
        <w:t>itions should be investigated by</w:t>
      </w:r>
      <w:r w:rsidR="00973A9A" w:rsidRPr="00CF3C2E">
        <w:rPr>
          <w:rFonts w:cs="Times New Roman"/>
          <w:lang w:val="en-GB"/>
        </w:rPr>
        <w:t xml:space="preserve"> multiple case studies,</w:t>
      </w:r>
      <w:r w:rsidR="00973A9A" w:rsidRPr="00CF3C2E">
        <w:rPr>
          <w:rFonts w:cs="Times New Roman"/>
          <w:lang w:val="en-US"/>
        </w:rPr>
        <w:t xml:space="preserve"> by comparing public universities l</w:t>
      </w:r>
      <w:r w:rsidR="00973A9A">
        <w:rPr>
          <w:rFonts w:cs="Times New Roman"/>
          <w:lang w:val="en-US"/>
        </w:rPr>
        <w:t xml:space="preserve">ocated in different countries. </w:t>
      </w:r>
    </w:p>
    <w:p w14:paraId="6B00115D" w14:textId="6BB25F96" w:rsidR="00F746F9" w:rsidRDefault="00F746F9" w:rsidP="00003198">
      <w:pPr>
        <w:spacing w:line="480" w:lineRule="auto"/>
        <w:jc w:val="both"/>
        <w:rPr>
          <w:rFonts w:cs="Times New Roman"/>
          <w:lang w:val="en-US"/>
        </w:rPr>
      </w:pPr>
      <w:r>
        <w:rPr>
          <w:rFonts w:cs="Times New Roman"/>
          <w:lang w:val="en-US"/>
        </w:rPr>
        <w:t>Finally, from a critical point of view, even the dark side of fundraising output must be taken into consideration by future research. In fact, a strong success of fundraising activities can lead to an additional reduction in public funding for universities (crowding-out-effect). This can be seen as an advantage from one hand, because it leads to fewer burdens for public budgets. However, from another perspective, it can be dangerous since it makes universities partially dependent on private interests, especially those of private companies. Universities’ leaders have to decide strategically to what extent they want this dependency and, hence, the right fundraising mix in terms of tools.</w:t>
      </w:r>
    </w:p>
    <w:p w14:paraId="03FACB7D" w14:textId="03C3C24A" w:rsidR="00F746F9" w:rsidRPr="00CF3C2E" w:rsidRDefault="00F746F9" w:rsidP="00003198">
      <w:pPr>
        <w:spacing w:line="480" w:lineRule="auto"/>
        <w:jc w:val="both"/>
        <w:rPr>
          <w:rFonts w:cs="Times New Roman"/>
          <w:lang w:val="en-US"/>
        </w:rPr>
      </w:pPr>
    </w:p>
    <w:p w14:paraId="0EB2B305" w14:textId="77777777" w:rsidR="00A11C14" w:rsidRDefault="00A11C14" w:rsidP="00003198">
      <w:pPr>
        <w:spacing w:line="480" w:lineRule="auto"/>
        <w:jc w:val="both"/>
        <w:rPr>
          <w:rFonts w:cs="Times New Roman"/>
          <w:b/>
          <w:lang w:val="en-US"/>
        </w:rPr>
      </w:pPr>
    </w:p>
    <w:p w14:paraId="71B395BD" w14:textId="77777777" w:rsidR="00A11C14" w:rsidRDefault="00A11C14" w:rsidP="00003198">
      <w:pPr>
        <w:spacing w:line="480" w:lineRule="auto"/>
        <w:jc w:val="both"/>
        <w:rPr>
          <w:rFonts w:cs="Times New Roman"/>
          <w:b/>
          <w:lang w:val="en-US"/>
        </w:rPr>
      </w:pPr>
    </w:p>
    <w:p w14:paraId="287E5EDA" w14:textId="77777777" w:rsidR="00A11C14" w:rsidRDefault="00A11C14" w:rsidP="00003198">
      <w:pPr>
        <w:spacing w:line="480" w:lineRule="auto"/>
        <w:jc w:val="both"/>
        <w:rPr>
          <w:b/>
          <w:lang w:val="en-US"/>
        </w:rPr>
      </w:pPr>
    </w:p>
    <w:p w14:paraId="4360414A" w14:textId="77777777" w:rsidR="00973A9A" w:rsidRDefault="00973A9A" w:rsidP="00003198">
      <w:pPr>
        <w:spacing w:line="480" w:lineRule="auto"/>
        <w:jc w:val="both"/>
        <w:rPr>
          <w:b/>
          <w:lang w:val="en-US"/>
        </w:rPr>
      </w:pPr>
    </w:p>
    <w:p w14:paraId="5EB58DA5" w14:textId="77777777" w:rsidR="00973A9A" w:rsidRDefault="00973A9A" w:rsidP="00003198">
      <w:pPr>
        <w:spacing w:line="480" w:lineRule="auto"/>
        <w:jc w:val="both"/>
        <w:rPr>
          <w:b/>
          <w:lang w:val="en-US"/>
        </w:rPr>
      </w:pPr>
    </w:p>
    <w:p w14:paraId="7607E401" w14:textId="77777777" w:rsidR="00973A9A" w:rsidRDefault="00973A9A" w:rsidP="00003198">
      <w:pPr>
        <w:spacing w:line="480" w:lineRule="auto"/>
        <w:jc w:val="both"/>
        <w:rPr>
          <w:b/>
          <w:lang w:val="en-US"/>
        </w:rPr>
      </w:pPr>
    </w:p>
    <w:p w14:paraId="27C2FE3D" w14:textId="77777777" w:rsidR="00973A9A" w:rsidRDefault="00973A9A" w:rsidP="00003198">
      <w:pPr>
        <w:spacing w:line="480" w:lineRule="auto"/>
        <w:jc w:val="both"/>
        <w:rPr>
          <w:b/>
          <w:lang w:val="en-US"/>
        </w:rPr>
      </w:pPr>
    </w:p>
    <w:p w14:paraId="7EA03802" w14:textId="77777777" w:rsidR="00973A9A" w:rsidRDefault="00973A9A" w:rsidP="00003198">
      <w:pPr>
        <w:spacing w:line="480" w:lineRule="auto"/>
        <w:jc w:val="both"/>
        <w:rPr>
          <w:b/>
          <w:lang w:val="en-US"/>
        </w:rPr>
      </w:pPr>
    </w:p>
    <w:p w14:paraId="63919A5D" w14:textId="77777777" w:rsidR="00973A9A" w:rsidRDefault="00973A9A" w:rsidP="00003198">
      <w:pPr>
        <w:spacing w:line="480" w:lineRule="auto"/>
        <w:jc w:val="both"/>
        <w:rPr>
          <w:b/>
          <w:lang w:val="en-US"/>
        </w:rPr>
      </w:pPr>
    </w:p>
    <w:p w14:paraId="63DBC284" w14:textId="77777777" w:rsidR="00973A9A" w:rsidRDefault="00973A9A" w:rsidP="00003198">
      <w:pPr>
        <w:spacing w:line="480" w:lineRule="auto"/>
        <w:jc w:val="both"/>
        <w:rPr>
          <w:b/>
          <w:lang w:val="en-US"/>
        </w:rPr>
      </w:pPr>
    </w:p>
    <w:p w14:paraId="00C22EE7" w14:textId="77777777" w:rsidR="00973A9A" w:rsidRDefault="00973A9A" w:rsidP="00003198">
      <w:pPr>
        <w:spacing w:line="480" w:lineRule="auto"/>
        <w:jc w:val="both"/>
        <w:rPr>
          <w:b/>
          <w:lang w:val="en-US"/>
        </w:rPr>
      </w:pPr>
    </w:p>
    <w:p w14:paraId="348E0B71" w14:textId="77777777" w:rsidR="00973A9A" w:rsidRDefault="00973A9A" w:rsidP="00003198">
      <w:pPr>
        <w:spacing w:line="480" w:lineRule="auto"/>
        <w:jc w:val="both"/>
        <w:rPr>
          <w:b/>
          <w:lang w:val="en-US"/>
        </w:rPr>
      </w:pPr>
    </w:p>
    <w:p w14:paraId="4AB886BA" w14:textId="77777777" w:rsidR="00003198" w:rsidRDefault="00003198" w:rsidP="00725B42">
      <w:pPr>
        <w:spacing w:line="480" w:lineRule="auto"/>
        <w:jc w:val="both"/>
        <w:rPr>
          <w:b/>
          <w:lang w:val="en-US"/>
        </w:rPr>
      </w:pPr>
    </w:p>
    <w:p w14:paraId="241562B1" w14:textId="77777777" w:rsidR="00003198" w:rsidRDefault="00003198" w:rsidP="00725B42">
      <w:pPr>
        <w:spacing w:line="480" w:lineRule="auto"/>
        <w:jc w:val="both"/>
        <w:rPr>
          <w:b/>
          <w:lang w:val="en-US"/>
        </w:rPr>
      </w:pPr>
    </w:p>
    <w:p w14:paraId="3509F4C8" w14:textId="77777777" w:rsidR="00F746F9" w:rsidRDefault="00F746F9" w:rsidP="00725B42">
      <w:pPr>
        <w:spacing w:line="480" w:lineRule="auto"/>
        <w:jc w:val="both"/>
        <w:rPr>
          <w:b/>
          <w:lang w:val="en-US"/>
        </w:rPr>
      </w:pPr>
    </w:p>
    <w:p w14:paraId="4859B861" w14:textId="5ACB6FB5" w:rsidR="00973A9A" w:rsidRDefault="00973A9A" w:rsidP="00725B42">
      <w:pPr>
        <w:spacing w:line="480" w:lineRule="auto"/>
        <w:jc w:val="both"/>
        <w:rPr>
          <w:b/>
          <w:lang w:val="en-US"/>
        </w:rPr>
      </w:pPr>
      <w:r>
        <w:rPr>
          <w:b/>
          <w:lang w:val="en-US"/>
        </w:rPr>
        <w:t>6.4 Tables and Figures</w:t>
      </w:r>
    </w:p>
    <w:p w14:paraId="35034DC6" w14:textId="4989573C" w:rsidR="00973A9A" w:rsidRDefault="00973A9A" w:rsidP="00725B42">
      <w:pPr>
        <w:spacing w:line="480" w:lineRule="auto"/>
        <w:jc w:val="both"/>
        <w:rPr>
          <w:b/>
          <w:lang w:val="en-US"/>
        </w:rPr>
      </w:pPr>
      <w:r>
        <w:rPr>
          <w:rFonts w:cs="Times New Roman"/>
          <w:noProof/>
          <w:lang w:eastAsia="it-IT" w:bidi="ar-SA"/>
        </w:rPr>
        <w:drawing>
          <wp:inline distT="0" distB="0" distL="0" distR="0" wp14:anchorId="34E46287" wp14:editId="38A4A4B1">
            <wp:extent cx="5717963" cy="2148205"/>
            <wp:effectExtent l="0" t="25400" r="0" b="86995"/>
            <wp:docPr id="34" name="Diagramma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2DA23E35" w14:textId="6BDAB68E" w:rsidR="00973A9A" w:rsidRPr="00973A9A" w:rsidRDefault="00973A9A" w:rsidP="00973A9A">
      <w:pPr>
        <w:spacing w:line="360" w:lineRule="auto"/>
        <w:jc w:val="both"/>
        <w:rPr>
          <w:rFonts w:cs="Times New Roman"/>
          <w:lang w:val="en-US"/>
        </w:rPr>
      </w:pPr>
      <w:r w:rsidRPr="00973A9A">
        <w:rPr>
          <w:rFonts w:cs="Times New Roman"/>
          <w:lang w:val="en-US"/>
        </w:rPr>
        <w:t xml:space="preserve">Figure </w:t>
      </w:r>
      <w:r>
        <w:rPr>
          <w:rFonts w:cs="Times New Roman"/>
          <w:lang w:val="en-US"/>
        </w:rPr>
        <w:t>6.1:</w:t>
      </w:r>
      <w:r w:rsidRPr="00973A9A">
        <w:rPr>
          <w:rFonts w:cs="Times New Roman"/>
          <w:lang w:val="en-US"/>
        </w:rPr>
        <w:t xml:space="preserve"> The triangular relation among fundraising process’ output, university’s outcome and university’s mission.</w:t>
      </w:r>
    </w:p>
    <w:p w14:paraId="09D4EF32" w14:textId="77777777" w:rsidR="00973A9A" w:rsidRDefault="00973A9A" w:rsidP="00725B42">
      <w:pPr>
        <w:spacing w:line="480" w:lineRule="auto"/>
        <w:jc w:val="both"/>
        <w:rPr>
          <w:b/>
          <w:lang w:val="en-US"/>
        </w:rPr>
      </w:pPr>
    </w:p>
    <w:p w14:paraId="5FFC0A20" w14:textId="77777777" w:rsidR="00AD1788" w:rsidRDefault="00AD1788" w:rsidP="00725B42">
      <w:pPr>
        <w:spacing w:line="480" w:lineRule="auto"/>
        <w:jc w:val="both"/>
        <w:rPr>
          <w:b/>
          <w:lang w:val="en-US"/>
        </w:rPr>
      </w:pPr>
    </w:p>
    <w:p w14:paraId="631D5267" w14:textId="77777777" w:rsidR="00AD1788" w:rsidRDefault="00AD1788" w:rsidP="00725B42">
      <w:pPr>
        <w:spacing w:line="480" w:lineRule="auto"/>
        <w:jc w:val="both"/>
        <w:rPr>
          <w:b/>
          <w:lang w:val="en-US"/>
        </w:rPr>
      </w:pPr>
    </w:p>
    <w:p w14:paraId="76EF1F05" w14:textId="77777777" w:rsidR="00AD1788" w:rsidRDefault="00AD1788" w:rsidP="00725B42">
      <w:pPr>
        <w:spacing w:line="480" w:lineRule="auto"/>
        <w:jc w:val="both"/>
        <w:rPr>
          <w:b/>
          <w:lang w:val="en-US"/>
        </w:rPr>
      </w:pPr>
    </w:p>
    <w:p w14:paraId="4E85E858" w14:textId="77777777" w:rsidR="00AD1788" w:rsidRDefault="00AD1788" w:rsidP="00725B42">
      <w:pPr>
        <w:spacing w:line="480" w:lineRule="auto"/>
        <w:jc w:val="both"/>
        <w:rPr>
          <w:b/>
          <w:lang w:val="en-US"/>
        </w:rPr>
      </w:pPr>
    </w:p>
    <w:p w14:paraId="022F569B" w14:textId="77777777" w:rsidR="00AD1788" w:rsidRDefault="00AD1788" w:rsidP="00725B42">
      <w:pPr>
        <w:spacing w:line="480" w:lineRule="auto"/>
        <w:jc w:val="both"/>
        <w:rPr>
          <w:b/>
          <w:lang w:val="en-US"/>
        </w:rPr>
      </w:pPr>
    </w:p>
    <w:p w14:paraId="6D1A3B97" w14:textId="77777777" w:rsidR="00AD1788" w:rsidRDefault="00AD1788" w:rsidP="00725B42">
      <w:pPr>
        <w:spacing w:line="480" w:lineRule="auto"/>
        <w:jc w:val="both"/>
        <w:rPr>
          <w:b/>
          <w:lang w:val="en-US"/>
        </w:rPr>
      </w:pPr>
    </w:p>
    <w:p w14:paraId="226D1468" w14:textId="77777777" w:rsidR="00AD1788" w:rsidRDefault="00AD1788" w:rsidP="00725B42">
      <w:pPr>
        <w:spacing w:line="480" w:lineRule="auto"/>
        <w:jc w:val="both"/>
        <w:rPr>
          <w:b/>
          <w:lang w:val="en-US"/>
        </w:rPr>
      </w:pPr>
    </w:p>
    <w:p w14:paraId="4DB4B09F" w14:textId="77777777" w:rsidR="00AD1788" w:rsidRDefault="00AD1788" w:rsidP="00725B42">
      <w:pPr>
        <w:spacing w:line="480" w:lineRule="auto"/>
        <w:jc w:val="both"/>
        <w:rPr>
          <w:b/>
          <w:lang w:val="en-US"/>
        </w:rPr>
      </w:pPr>
    </w:p>
    <w:p w14:paraId="27E8B19C" w14:textId="77777777" w:rsidR="00AD1788" w:rsidRDefault="00AD1788" w:rsidP="00725B42">
      <w:pPr>
        <w:spacing w:line="480" w:lineRule="auto"/>
        <w:jc w:val="both"/>
        <w:rPr>
          <w:b/>
          <w:lang w:val="en-US"/>
        </w:rPr>
      </w:pPr>
    </w:p>
    <w:p w14:paraId="24F26C17" w14:textId="77777777" w:rsidR="00AD1788" w:rsidRDefault="00AD1788" w:rsidP="00725B42">
      <w:pPr>
        <w:spacing w:line="480" w:lineRule="auto"/>
        <w:jc w:val="both"/>
        <w:rPr>
          <w:b/>
          <w:lang w:val="en-US"/>
        </w:rPr>
      </w:pPr>
    </w:p>
    <w:p w14:paraId="03296D99" w14:textId="77777777" w:rsidR="00AD1788" w:rsidRDefault="00AD1788" w:rsidP="00725B42">
      <w:pPr>
        <w:spacing w:line="480" w:lineRule="auto"/>
        <w:jc w:val="both"/>
        <w:rPr>
          <w:b/>
          <w:lang w:val="en-US"/>
        </w:rPr>
      </w:pPr>
    </w:p>
    <w:p w14:paraId="675E45BF" w14:textId="77777777" w:rsidR="00AD1788" w:rsidRDefault="00AD1788" w:rsidP="00725B42">
      <w:pPr>
        <w:spacing w:line="480" w:lineRule="auto"/>
        <w:jc w:val="both"/>
        <w:rPr>
          <w:b/>
          <w:lang w:val="en-US"/>
        </w:rPr>
      </w:pPr>
    </w:p>
    <w:p w14:paraId="26A68EF3" w14:textId="77777777" w:rsidR="00AD1788" w:rsidRDefault="00AD1788" w:rsidP="00725B42">
      <w:pPr>
        <w:spacing w:line="480" w:lineRule="auto"/>
        <w:jc w:val="both"/>
        <w:rPr>
          <w:b/>
          <w:lang w:val="en-US"/>
        </w:rPr>
      </w:pPr>
    </w:p>
    <w:p w14:paraId="5EC6D399" w14:textId="77777777" w:rsidR="00AD1788" w:rsidRDefault="00AD1788" w:rsidP="00725B42">
      <w:pPr>
        <w:spacing w:line="480" w:lineRule="auto"/>
        <w:jc w:val="both"/>
        <w:rPr>
          <w:b/>
          <w:lang w:val="en-US"/>
        </w:rPr>
      </w:pPr>
    </w:p>
    <w:p w14:paraId="0CB06DD3" w14:textId="77777777" w:rsidR="00AD1788" w:rsidRDefault="00AD1788" w:rsidP="00725B42">
      <w:pPr>
        <w:spacing w:line="480" w:lineRule="auto"/>
        <w:jc w:val="both"/>
        <w:rPr>
          <w:b/>
          <w:lang w:val="en-US"/>
        </w:rPr>
      </w:pPr>
    </w:p>
    <w:p w14:paraId="6771F7F0" w14:textId="77777777" w:rsidR="00AD1788" w:rsidRDefault="00AD1788" w:rsidP="00725B42">
      <w:pPr>
        <w:spacing w:line="480" w:lineRule="auto"/>
        <w:jc w:val="both"/>
        <w:rPr>
          <w:b/>
          <w:lang w:val="en-US"/>
        </w:rPr>
      </w:pPr>
    </w:p>
    <w:p w14:paraId="1A41AC8C" w14:textId="77777777" w:rsidR="00AD1788" w:rsidRDefault="00AD1788" w:rsidP="00725B42">
      <w:pPr>
        <w:spacing w:line="480" w:lineRule="auto"/>
        <w:jc w:val="both"/>
        <w:rPr>
          <w:b/>
          <w:lang w:val="en-US"/>
        </w:rPr>
      </w:pPr>
    </w:p>
    <w:p w14:paraId="64854216" w14:textId="77777777" w:rsidR="00AD1788" w:rsidRDefault="00AD1788" w:rsidP="00725B42">
      <w:pPr>
        <w:spacing w:line="480" w:lineRule="auto"/>
        <w:jc w:val="both"/>
        <w:rPr>
          <w:b/>
          <w:lang w:val="en-US"/>
        </w:rPr>
      </w:pPr>
    </w:p>
    <w:p w14:paraId="67452DEA" w14:textId="77777777" w:rsidR="00AD1788" w:rsidRDefault="00AD1788" w:rsidP="00725B42">
      <w:pPr>
        <w:spacing w:line="480" w:lineRule="auto"/>
        <w:jc w:val="both"/>
        <w:rPr>
          <w:b/>
          <w:lang w:val="en-US"/>
        </w:rPr>
      </w:pPr>
    </w:p>
    <w:p w14:paraId="63FF67BC" w14:textId="77777777" w:rsidR="00AD1788" w:rsidRDefault="00AD1788" w:rsidP="00725B42">
      <w:pPr>
        <w:spacing w:line="480" w:lineRule="auto"/>
        <w:jc w:val="both"/>
        <w:rPr>
          <w:b/>
          <w:lang w:val="en-US"/>
        </w:rPr>
      </w:pPr>
    </w:p>
    <w:p w14:paraId="583B8F8E" w14:textId="77777777" w:rsidR="00AD1788" w:rsidRDefault="00AD1788" w:rsidP="00725B42">
      <w:pPr>
        <w:spacing w:line="480" w:lineRule="auto"/>
        <w:jc w:val="both"/>
        <w:rPr>
          <w:b/>
          <w:lang w:val="en-US"/>
        </w:rPr>
      </w:pPr>
    </w:p>
    <w:p w14:paraId="7FFF28E0" w14:textId="77777777" w:rsidR="00AD1788" w:rsidRDefault="00AD1788" w:rsidP="00725B42">
      <w:pPr>
        <w:spacing w:line="480" w:lineRule="auto"/>
        <w:jc w:val="both"/>
        <w:rPr>
          <w:b/>
          <w:lang w:val="en-US"/>
        </w:rPr>
      </w:pPr>
    </w:p>
    <w:p w14:paraId="7AD027F6" w14:textId="77777777" w:rsidR="00AD1788" w:rsidRDefault="00AD1788" w:rsidP="00725B42">
      <w:pPr>
        <w:spacing w:line="480" w:lineRule="auto"/>
        <w:jc w:val="both"/>
        <w:rPr>
          <w:b/>
          <w:lang w:val="en-US"/>
        </w:rPr>
      </w:pPr>
    </w:p>
    <w:p w14:paraId="1E99FBAF" w14:textId="77777777" w:rsidR="00AD1788" w:rsidRDefault="00AD1788" w:rsidP="00725B42">
      <w:pPr>
        <w:spacing w:line="480" w:lineRule="auto"/>
        <w:jc w:val="both"/>
        <w:rPr>
          <w:b/>
          <w:lang w:val="en-US"/>
        </w:rPr>
      </w:pPr>
    </w:p>
    <w:p w14:paraId="14593108" w14:textId="77777777" w:rsidR="00AD1788" w:rsidRDefault="00AD1788" w:rsidP="00725B42">
      <w:pPr>
        <w:spacing w:line="480" w:lineRule="auto"/>
        <w:jc w:val="both"/>
        <w:rPr>
          <w:b/>
          <w:lang w:val="en-US"/>
        </w:rPr>
      </w:pPr>
    </w:p>
    <w:p w14:paraId="3CBACC2F" w14:textId="77777777" w:rsidR="00AD1788" w:rsidRDefault="00AD1788" w:rsidP="00725B42">
      <w:pPr>
        <w:spacing w:line="480" w:lineRule="auto"/>
        <w:jc w:val="both"/>
        <w:rPr>
          <w:b/>
          <w:lang w:val="en-US"/>
        </w:rPr>
      </w:pPr>
    </w:p>
    <w:p w14:paraId="6537FD77" w14:textId="77777777" w:rsidR="00AD1788" w:rsidRDefault="00AD1788" w:rsidP="00725B42">
      <w:pPr>
        <w:spacing w:line="480" w:lineRule="auto"/>
        <w:jc w:val="both"/>
        <w:rPr>
          <w:b/>
          <w:lang w:val="en-US"/>
        </w:rPr>
      </w:pPr>
    </w:p>
    <w:p w14:paraId="3003A8A1" w14:textId="77777777" w:rsidR="00AD1788" w:rsidRDefault="00AD1788" w:rsidP="00725B42">
      <w:pPr>
        <w:spacing w:line="480" w:lineRule="auto"/>
        <w:jc w:val="both"/>
        <w:rPr>
          <w:b/>
          <w:lang w:val="en-US"/>
        </w:rPr>
      </w:pPr>
    </w:p>
    <w:p w14:paraId="1768FFA2" w14:textId="77777777" w:rsidR="00AD1788" w:rsidRDefault="00AD1788" w:rsidP="00725B42">
      <w:pPr>
        <w:spacing w:line="480" w:lineRule="auto"/>
        <w:jc w:val="both"/>
        <w:rPr>
          <w:b/>
          <w:lang w:val="en-US"/>
        </w:rPr>
      </w:pPr>
    </w:p>
    <w:p w14:paraId="3223A6D8" w14:textId="77777777" w:rsidR="00AD1788" w:rsidRDefault="00AD1788" w:rsidP="00725B42">
      <w:pPr>
        <w:spacing w:line="480" w:lineRule="auto"/>
        <w:jc w:val="both"/>
        <w:rPr>
          <w:b/>
          <w:lang w:val="en-US"/>
        </w:rPr>
      </w:pPr>
    </w:p>
    <w:p w14:paraId="1CC480C4" w14:textId="77777777" w:rsidR="00AD1788" w:rsidRDefault="00AD1788" w:rsidP="00725B42">
      <w:pPr>
        <w:spacing w:line="480" w:lineRule="auto"/>
        <w:jc w:val="both"/>
        <w:rPr>
          <w:b/>
          <w:lang w:val="en-US"/>
        </w:rPr>
      </w:pPr>
    </w:p>
    <w:p w14:paraId="398C9FF1" w14:textId="77777777" w:rsidR="00AD1788" w:rsidRDefault="00AD1788" w:rsidP="00725B42">
      <w:pPr>
        <w:spacing w:line="480" w:lineRule="auto"/>
        <w:jc w:val="both"/>
        <w:rPr>
          <w:b/>
          <w:lang w:val="en-US"/>
        </w:rPr>
      </w:pPr>
    </w:p>
    <w:p w14:paraId="62E0B7FE" w14:textId="77777777" w:rsidR="00AD1788" w:rsidRDefault="00AD1788" w:rsidP="00725B42">
      <w:pPr>
        <w:spacing w:line="480" w:lineRule="auto"/>
        <w:jc w:val="both"/>
        <w:rPr>
          <w:b/>
          <w:lang w:val="en-US"/>
        </w:rPr>
      </w:pPr>
    </w:p>
    <w:p w14:paraId="61FF6423" w14:textId="77777777" w:rsidR="00AD1788" w:rsidRDefault="00AD1788" w:rsidP="00725B42">
      <w:pPr>
        <w:spacing w:line="480" w:lineRule="auto"/>
        <w:jc w:val="both"/>
        <w:rPr>
          <w:b/>
          <w:lang w:val="en-US"/>
        </w:rPr>
      </w:pPr>
    </w:p>
    <w:p w14:paraId="1DB17CE4" w14:textId="77777777" w:rsidR="00AD1788" w:rsidRDefault="00AD1788" w:rsidP="00725B42">
      <w:pPr>
        <w:spacing w:line="480" w:lineRule="auto"/>
        <w:jc w:val="both"/>
        <w:rPr>
          <w:b/>
          <w:lang w:val="en-US"/>
        </w:rPr>
      </w:pPr>
    </w:p>
    <w:p w14:paraId="3D10F911" w14:textId="77777777" w:rsidR="00AD1788" w:rsidRDefault="00AD1788" w:rsidP="00725B42">
      <w:pPr>
        <w:spacing w:line="480" w:lineRule="auto"/>
        <w:jc w:val="both"/>
        <w:rPr>
          <w:b/>
          <w:lang w:val="en-US"/>
        </w:rPr>
      </w:pPr>
    </w:p>
    <w:p w14:paraId="4F2FCA88" w14:textId="77777777" w:rsidR="00AD1788" w:rsidRDefault="00AD1788" w:rsidP="00725B42">
      <w:pPr>
        <w:spacing w:line="480" w:lineRule="auto"/>
        <w:jc w:val="both"/>
        <w:rPr>
          <w:b/>
          <w:lang w:val="en-US"/>
        </w:rPr>
      </w:pPr>
    </w:p>
    <w:p w14:paraId="77799693" w14:textId="77777777" w:rsidR="00AD1788" w:rsidRDefault="00AD1788" w:rsidP="00725B42">
      <w:pPr>
        <w:spacing w:line="480" w:lineRule="auto"/>
        <w:jc w:val="both"/>
        <w:rPr>
          <w:b/>
          <w:lang w:val="en-US"/>
        </w:rPr>
      </w:pPr>
    </w:p>
    <w:p w14:paraId="0E927712" w14:textId="77777777" w:rsidR="00AD1788" w:rsidRDefault="00AD1788" w:rsidP="00725B42">
      <w:pPr>
        <w:spacing w:line="480" w:lineRule="auto"/>
        <w:jc w:val="both"/>
        <w:rPr>
          <w:b/>
          <w:lang w:val="en-US"/>
        </w:rPr>
      </w:pPr>
    </w:p>
    <w:p w14:paraId="689D922E" w14:textId="77777777" w:rsidR="00AD1788" w:rsidRDefault="00AD1788" w:rsidP="00725B42">
      <w:pPr>
        <w:spacing w:line="480" w:lineRule="auto"/>
        <w:jc w:val="both"/>
        <w:rPr>
          <w:b/>
          <w:lang w:val="en-US"/>
        </w:rPr>
      </w:pPr>
    </w:p>
    <w:p w14:paraId="7FFDD9DB" w14:textId="7CE68D0F" w:rsidR="00AD1788" w:rsidRDefault="00AD1788" w:rsidP="00AD1788">
      <w:pPr>
        <w:spacing w:line="480" w:lineRule="auto"/>
        <w:jc w:val="center"/>
        <w:rPr>
          <w:b/>
          <w:sz w:val="28"/>
          <w:szCs w:val="28"/>
          <w:lang w:val="en-US"/>
        </w:rPr>
      </w:pPr>
      <w:r>
        <w:rPr>
          <w:b/>
          <w:sz w:val="28"/>
          <w:szCs w:val="28"/>
          <w:lang w:val="en-US"/>
        </w:rPr>
        <w:t>References</w:t>
      </w:r>
    </w:p>
    <w:p w14:paraId="156C9F35" w14:textId="77777777" w:rsidR="00E25B31" w:rsidRDefault="00E25B31" w:rsidP="00E25B31">
      <w:pPr>
        <w:spacing w:line="360" w:lineRule="auto"/>
        <w:ind w:left="709" w:hanging="709"/>
        <w:jc w:val="both"/>
        <w:rPr>
          <w:rFonts w:cs="Times New Roman"/>
        </w:rPr>
      </w:pPr>
      <w:r w:rsidRPr="000711A0">
        <w:rPr>
          <w:rFonts w:cs="Times New Roman"/>
        </w:rPr>
        <w:t>Abramo, G., D'Angelo, C. A., Ferretti, M., &amp; Parmentola, A. (2012). An individual</w:t>
      </w:r>
      <w:r w:rsidRPr="000711A0">
        <w:rPr>
          <w:rFonts w:ascii="Nueva Std Cond" w:hAnsi="Nueva Std Cond" w:cs="Nueva Std Cond"/>
        </w:rPr>
        <w:t>‐</w:t>
      </w:r>
      <w:r w:rsidRPr="000711A0">
        <w:rPr>
          <w:rFonts w:cs="Times New Roman"/>
        </w:rPr>
        <w:t>level assessment of the relationship between spin</w:t>
      </w:r>
      <w:r w:rsidRPr="000711A0">
        <w:rPr>
          <w:rFonts w:ascii="Nueva Std Cond" w:hAnsi="Nueva Std Cond" w:cs="Nueva Std Cond"/>
        </w:rPr>
        <w:t>‐</w:t>
      </w:r>
      <w:r w:rsidRPr="000711A0">
        <w:rPr>
          <w:rFonts w:cs="Times New Roman"/>
        </w:rPr>
        <w:t>off activities and research performance in universities. </w:t>
      </w:r>
      <w:r w:rsidRPr="000711A0">
        <w:rPr>
          <w:rFonts w:cs="Times New Roman"/>
          <w:i/>
          <w:iCs/>
        </w:rPr>
        <w:t>R&amp;D Management</w:t>
      </w:r>
      <w:r w:rsidRPr="000711A0">
        <w:rPr>
          <w:rFonts w:cs="Times New Roman"/>
        </w:rPr>
        <w:t>, </w:t>
      </w:r>
      <w:r w:rsidRPr="000711A0">
        <w:rPr>
          <w:rFonts w:cs="Times New Roman"/>
          <w:i/>
          <w:iCs/>
        </w:rPr>
        <w:t>42</w:t>
      </w:r>
      <w:r w:rsidRPr="000711A0">
        <w:rPr>
          <w:rFonts w:cs="Times New Roman"/>
        </w:rPr>
        <w:t>(3), 225-242.</w:t>
      </w:r>
    </w:p>
    <w:p w14:paraId="76BD7120" w14:textId="77777777" w:rsidR="006B39F8" w:rsidRDefault="006B39F8" w:rsidP="006B39F8">
      <w:pPr>
        <w:spacing w:line="360" w:lineRule="auto"/>
        <w:ind w:left="709" w:hanging="709"/>
        <w:jc w:val="both"/>
      </w:pPr>
      <w:r w:rsidRPr="00FD3F9E">
        <w:t>Ahlers, G. K., Cumming, D., Günther, C., &amp; Schweizer, D. (2015). Signaling in equity crowdfunding. </w:t>
      </w:r>
      <w:r w:rsidRPr="00FD3F9E">
        <w:rPr>
          <w:i/>
          <w:iCs/>
        </w:rPr>
        <w:t>Entrepreneurship Theory and Practice</w:t>
      </w:r>
      <w:r w:rsidRPr="00FD3F9E">
        <w:t>, </w:t>
      </w:r>
      <w:r w:rsidRPr="00FD3F9E">
        <w:rPr>
          <w:i/>
          <w:iCs/>
        </w:rPr>
        <w:t>39</w:t>
      </w:r>
      <w:r w:rsidRPr="00FD3F9E">
        <w:t>(4), 955-980.</w:t>
      </w:r>
    </w:p>
    <w:p w14:paraId="541648C2" w14:textId="05F1F727" w:rsidR="002C77F5" w:rsidRPr="00E25B31" w:rsidRDefault="006B39F8" w:rsidP="00E25B31">
      <w:pPr>
        <w:spacing w:line="360" w:lineRule="auto"/>
        <w:ind w:left="709" w:hanging="709"/>
        <w:jc w:val="both"/>
      </w:pPr>
      <w:r w:rsidRPr="0070112E">
        <w:t>Allison, T. H., Davis, B. C., Short, J. C., &amp; Webb, J. W. (2015). Crowdfunding in a prosocial microlending environment: Examining the role of intrinsic versus extrinsic cues. </w:t>
      </w:r>
      <w:r w:rsidRPr="0070112E">
        <w:rPr>
          <w:i/>
          <w:iCs/>
        </w:rPr>
        <w:t>Entrepreneurship Theory and Practice</w:t>
      </w:r>
      <w:r w:rsidRPr="0070112E">
        <w:t>, </w:t>
      </w:r>
      <w:r w:rsidRPr="0070112E">
        <w:rPr>
          <w:i/>
          <w:iCs/>
        </w:rPr>
        <w:t>39</w:t>
      </w:r>
      <w:r w:rsidRPr="0070112E">
        <w:t>(1), 53-73.</w:t>
      </w:r>
    </w:p>
    <w:p w14:paraId="7C42C151" w14:textId="77777777" w:rsidR="00E25B31" w:rsidRDefault="00E25B31" w:rsidP="00E25B31">
      <w:pPr>
        <w:spacing w:line="360" w:lineRule="auto"/>
        <w:ind w:left="709" w:hanging="709"/>
        <w:jc w:val="both"/>
        <w:rPr>
          <w:rFonts w:cs="Times New Roman"/>
        </w:rPr>
      </w:pPr>
      <w:r w:rsidRPr="00376CDA">
        <w:rPr>
          <w:rFonts w:cs="Times New Roman"/>
        </w:rPr>
        <w:t>Audretsch, D. B., Lehmann, E. E., &amp; Wright, M. (2014). Technology transfer in a global economy. </w:t>
      </w:r>
      <w:r w:rsidRPr="00376CDA">
        <w:rPr>
          <w:rFonts w:cs="Times New Roman"/>
          <w:i/>
          <w:iCs/>
        </w:rPr>
        <w:t>The Journal of Technology Transfer</w:t>
      </w:r>
      <w:r w:rsidRPr="00376CDA">
        <w:rPr>
          <w:rFonts w:cs="Times New Roman"/>
        </w:rPr>
        <w:t>, </w:t>
      </w:r>
      <w:r w:rsidRPr="00376CDA">
        <w:rPr>
          <w:rFonts w:cs="Times New Roman"/>
          <w:i/>
          <w:iCs/>
        </w:rPr>
        <w:t>39</w:t>
      </w:r>
      <w:r w:rsidRPr="00376CDA">
        <w:rPr>
          <w:rFonts w:cs="Times New Roman"/>
        </w:rPr>
        <w:t>(3), 301-312.</w:t>
      </w:r>
    </w:p>
    <w:p w14:paraId="5D1007FA" w14:textId="77777777" w:rsidR="00AA2840" w:rsidRDefault="00E25B31" w:rsidP="00AA2840">
      <w:pPr>
        <w:spacing w:line="360" w:lineRule="auto"/>
        <w:ind w:left="709" w:hanging="709"/>
        <w:jc w:val="both"/>
      </w:pPr>
      <w:r w:rsidRPr="00D2190A">
        <w:rPr>
          <w:rFonts w:cs="Times New Roman"/>
        </w:rPr>
        <w:t>Aversano, N., Rossi, F. M., &amp; Polcini, P. T. (2017). I sistemi di misurazione della performance nelle università: considerazioni critiche sul sistema italiano. </w:t>
      </w:r>
      <w:r w:rsidRPr="00D2190A">
        <w:rPr>
          <w:rFonts w:cs="Times New Roman"/>
          <w:i/>
          <w:iCs/>
        </w:rPr>
        <w:t>Management Control</w:t>
      </w:r>
      <w:r>
        <w:rPr>
          <w:rFonts w:cs="Times New Roman"/>
        </w:rPr>
        <w:t>, 1, 15-36.</w:t>
      </w:r>
      <w:r w:rsidR="00AA2840" w:rsidRPr="00AA2840">
        <w:t xml:space="preserve"> </w:t>
      </w:r>
    </w:p>
    <w:p w14:paraId="792A9CB3" w14:textId="77777777" w:rsidR="00505A8F" w:rsidRPr="00D25EC1" w:rsidRDefault="00505A8F" w:rsidP="00505A8F">
      <w:pPr>
        <w:spacing w:line="360" w:lineRule="auto"/>
        <w:ind w:left="709" w:hanging="709"/>
        <w:rPr>
          <w:lang w:val="en-US"/>
        </w:rPr>
      </w:pPr>
      <w:r w:rsidRPr="00D25EC1">
        <w:rPr>
          <w:lang w:val="en-US"/>
        </w:rPr>
        <w:t>Belleflamme, P., Lambert, T., &amp; Schwienbacher, A. (2013a). Individual crowdfunding practices. </w:t>
      </w:r>
      <w:r w:rsidRPr="00D25EC1">
        <w:rPr>
          <w:i/>
          <w:iCs/>
          <w:lang w:val="en-US"/>
        </w:rPr>
        <w:t>Venture Capital</w:t>
      </w:r>
      <w:r w:rsidRPr="00D25EC1">
        <w:rPr>
          <w:lang w:val="en-US"/>
        </w:rPr>
        <w:t>, </w:t>
      </w:r>
      <w:r w:rsidRPr="00D25EC1">
        <w:rPr>
          <w:iCs/>
          <w:lang w:val="en-US"/>
        </w:rPr>
        <w:t>15</w:t>
      </w:r>
      <w:r w:rsidRPr="00D25EC1">
        <w:rPr>
          <w:lang w:val="en-US"/>
        </w:rPr>
        <w:t>(4), 313-333.</w:t>
      </w:r>
    </w:p>
    <w:p w14:paraId="19D66F9C" w14:textId="77777777" w:rsidR="00505A8F" w:rsidRPr="00D25EC1" w:rsidRDefault="00505A8F" w:rsidP="00505A8F">
      <w:pPr>
        <w:spacing w:line="360" w:lineRule="auto"/>
        <w:ind w:left="709" w:hanging="709"/>
        <w:rPr>
          <w:lang w:val="en-US"/>
        </w:rPr>
      </w:pPr>
      <w:r w:rsidRPr="00D25EC1">
        <w:rPr>
          <w:lang w:val="en-US"/>
        </w:rPr>
        <w:t xml:space="preserve">Belleflamme, P., Lambert, T., &amp; Schwienbacher, A. (2013b). Crowdfunding: Tapping the right crowd. </w:t>
      </w:r>
      <w:r w:rsidRPr="00D25EC1">
        <w:rPr>
          <w:i/>
          <w:lang w:val="en-US"/>
        </w:rPr>
        <w:t>Journal of Business Venturing</w:t>
      </w:r>
      <w:r w:rsidRPr="00D25EC1">
        <w:rPr>
          <w:lang w:val="en-US"/>
        </w:rPr>
        <w:t>, 29(5), 585-609.</w:t>
      </w:r>
    </w:p>
    <w:p w14:paraId="3E865AD0" w14:textId="77777777" w:rsidR="001169EE" w:rsidRPr="001169EE" w:rsidRDefault="001169EE" w:rsidP="001169EE">
      <w:pPr>
        <w:spacing w:line="360" w:lineRule="auto"/>
        <w:ind w:left="709" w:hanging="709"/>
      </w:pPr>
      <w:r w:rsidRPr="001169EE">
        <w:t>Benavente, J. M., Crespi, G., Garone, L. F., &amp; Maffioli, A. (2012). The impact of national research funds: A regression discontinuity approach to the Chilean FONDECYT. </w:t>
      </w:r>
      <w:r w:rsidRPr="001169EE">
        <w:rPr>
          <w:i/>
          <w:iCs/>
        </w:rPr>
        <w:t>Research Policy</w:t>
      </w:r>
      <w:r w:rsidRPr="001169EE">
        <w:t>, </w:t>
      </w:r>
      <w:r w:rsidRPr="001169EE">
        <w:rPr>
          <w:i/>
          <w:iCs/>
        </w:rPr>
        <w:t>41</w:t>
      </w:r>
      <w:r w:rsidRPr="001169EE">
        <w:t>(8), 1461-1475.</w:t>
      </w:r>
    </w:p>
    <w:p w14:paraId="27FF3DC8" w14:textId="4356B96D" w:rsidR="00E25B31" w:rsidRPr="001169EE" w:rsidRDefault="00AA2840" w:rsidP="001169EE">
      <w:pPr>
        <w:spacing w:line="360" w:lineRule="auto"/>
        <w:ind w:left="709" w:hanging="709"/>
        <w:jc w:val="both"/>
      </w:pPr>
      <w:r w:rsidRPr="00753C9B">
        <w:t>Bennett, L. (2005). Creating partnerships that pay off. </w:t>
      </w:r>
      <w:r w:rsidRPr="00753C9B">
        <w:rPr>
          <w:i/>
          <w:iCs/>
        </w:rPr>
        <w:t>The Bottom Line</w:t>
      </w:r>
      <w:r w:rsidRPr="00753C9B">
        <w:t>, </w:t>
      </w:r>
      <w:r w:rsidRPr="00753C9B">
        <w:rPr>
          <w:i/>
          <w:iCs/>
        </w:rPr>
        <w:t>18</w:t>
      </w:r>
      <w:r w:rsidRPr="00753C9B">
        <w:t>(2), 92-94.</w:t>
      </w:r>
    </w:p>
    <w:p w14:paraId="0F711E1C" w14:textId="77777777" w:rsidR="00262927" w:rsidRPr="005C1AF7" w:rsidRDefault="00262927" w:rsidP="00262927">
      <w:pPr>
        <w:spacing w:line="360" w:lineRule="auto"/>
        <w:ind w:left="709" w:hanging="709"/>
        <w:jc w:val="both"/>
        <w:rPr>
          <w:rFonts w:cs="Times New Roman"/>
          <w:iCs/>
          <w:lang w:val="en-US"/>
        </w:rPr>
      </w:pPr>
      <w:r w:rsidRPr="005C1AF7">
        <w:rPr>
          <w:rFonts w:cs="Times New Roman"/>
          <w:iCs/>
          <w:lang w:val="en-US"/>
        </w:rPr>
        <w:t>Bifulco, R., &amp; Roselli, O. (Eds.). (2013). </w:t>
      </w:r>
      <w:r w:rsidRPr="005C1AF7">
        <w:rPr>
          <w:rFonts w:cs="Times New Roman"/>
          <w:i/>
          <w:iCs/>
          <w:lang w:val="en-US"/>
        </w:rPr>
        <w:t>Crisi economica e trasformazioni della dimensione giuridica: La costituzionalizzazione del pareggio di bilancio tra internazionalizzazione economica, processo di integrazione europea e sovranità nazionale</w:t>
      </w:r>
      <w:r w:rsidRPr="005C1AF7">
        <w:rPr>
          <w:rFonts w:cs="Times New Roman"/>
          <w:iCs/>
          <w:lang w:val="en-US"/>
        </w:rPr>
        <w:t> (Vol. 60). G Giappichelli Editore.</w:t>
      </w:r>
    </w:p>
    <w:p w14:paraId="20AECB41" w14:textId="77777777" w:rsidR="00505A8F" w:rsidRPr="00D25EC1" w:rsidRDefault="00505A8F" w:rsidP="00505A8F">
      <w:pPr>
        <w:spacing w:line="360" w:lineRule="auto"/>
        <w:ind w:left="709" w:hanging="709"/>
        <w:rPr>
          <w:lang w:val="en-US"/>
        </w:rPr>
      </w:pPr>
      <w:r w:rsidRPr="00D25EC1">
        <w:rPr>
          <w:lang w:val="en-US"/>
        </w:rPr>
        <w:t>Bloch, C., &amp; Bugge, M. M. (2013). Public sector innovation—From theory to measurement. </w:t>
      </w:r>
      <w:r w:rsidRPr="00D25EC1">
        <w:rPr>
          <w:i/>
          <w:iCs/>
          <w:lang w:val="en-US"/>
        </w:rPr>
        <w:t>Structural change and economic dynamics</w:t>
      </w:r>
      <w:r w:rsidRPr="00D25EC1">
        <w:rPr>
          <w:lang w:val="en-US"/>
        </w:rPr>
        <w:t>, </w:t>
      </w:r>
      <w:r w:rsidRPr="00D25EC1">
        <w:rPr>
          <w:iCs/>
          <w:lang w:val="en-US"/>
        </w:rPr>
        <w:t>27</w:t>
      </w:r>
      <w:r w:rsidRPr="00D25EC1">
        <w:rPr>
          <w:lang w:val="en-US"/>
        </w:rPr>
        <w:t>, 133-145.</w:t>
      </w:r>
    </w:p>
    <w:p w14:paraId="5EED5F63" w14:textId="77777777" w:rsidR="001169EE" w:rsidRPr="001169EE" w:rsidRDefault="001169EE" w:rsidP="001169EE">
      <w:pPr>
        <w:spacing w:line="360" w:lineRule="auto"/>
        <w:ind w:left="709" w:hanging="709"/>
      </w:pPr>
      <w:r w:rsidRPr="001169EE">
        <w:t>Bonaccorsi, A. (2003). </w:t>
      </w:r>
      <w:r w:rsidRPr="001169EE">
        <w:rPr>
          <w:i/>
          <w:iCs/>
        </w:rPr>
        <w:t>Il sistema della ricerca pubblica in Italia</w:t>
      </w:r>
      <w:r w:rsidRPr="001169EE">
        <w:t>. Milano: Franco Angeli.</w:t>
      </w:r>
    </w:p>
    <w:p w14:paraId="37557926" w14:textId="77777777" w:rsidR="001169EE" w:rsidRPr="001169EE" w:rsidRDefault="001169EE" w:rsidP="001169EE">
      <w:pPr>
        <w:spacing w:line="360" w:lineRule="auto"/>
        <w:ind w:left="709" w:hanging="709"/>
      </w:pPr>
      <w:r w:rsidRPr="001169EE">
        <w:t>Bonardo, D., Paleari, S., &amp; Vismara, S. (2010). The M&amp;A dynamics of European science-based entrepreneurial firms. </w:t>
      </w:r>
      <w:r w:rsidRPr="001169EE">
        <w:rPr>
          <w:i/>
          <w:iCs/>
        </w:rPr>
        <w:t>The Journal of Technology Transfer</w:t>
      </w:r>
      <w:r w:rsidRPr="001169EE">
        <w:t>, </w:t>
      </w:r>
      <w:r w:rsidRPr="001169EE">
        <w:rPr>
          <w:i/>
          <w:iCs/>
        </w:rPr>
        <w:t>35</w:t>
      </w:r>
      <w:r w:rsidRPr="001169EE">
        <w:t>(1), 141-180.</w:t>
      </w:r>
    </w:p>
    <w:p w14:paraId="65156B06" w14:textId="77777777" w:rsidR="001169EE" w:rsidRDefault="001169EE" w:rsidP="001169EE">
      <w:pPr>
        <w:spacing w:line="360" w:lineRule="auto"/>
        <w:ind w:left="709" w:hanging="709"/>
      </w:pPr>
      <w:r w:rsidRPr="001169EE">
        <w:t>Bonardo, D., Paleari, S., &amp; Vismara, S. (2011). Valuing University–Based Firms: The Effects of Academic Affiliation on IPO Performance. </w:t>
      </w:r>
      <w:r w:rsidRPr="001169EE">
        <w:rPr>
          <w:i/>
          <w:iCs/>
        </w:rPr>
        <w:t>Entrepreneurship Theory and Practice</w:t>
      </w:r>
      <w:r w:rsidRPr="001169EE">
        <w:t>, </w:t>
      </w:r>
      <w:r w:rsidRPr="001169EE">
        <w:rPr>
          <w:i/>
          <w:iCs/>
        </w:rPr>
        <w:t>35</w:t>
      </w:r>
      <w:r w:rsidRPr="001169EE">
        <w:t>(4), 755-776.</w:t>
      </w:r>
    </w:p>
    <w:p w14:paraId="1234B29C" w14:textId="719BA2DA" w:rsidR="0088676F" w:rsidRPr="0088676F" w:rsidRDefault="0088676F" w:rsidP="0088676F">
      <w:pPr>
        <w:spacing w:line="360" w:lineRule="auto"/>
        <w:ind w:left="709" w:hanging="709"/>
        <w:rPr>
          <w:lang w:val="en-US"/>
        </w:rPr>
      </w:pPr>
      <w:r w:rsidRPr="0088676F">
        <w:rPr>
          <w:lang w:val="en-US"/>
        </w:rPr>
        <w:t xml:space="preserve">Borins, S. (2001). Encouraging innovation in the public sector. </w:t>
      </w:r>
      <w:r w:rsidRPr="0088676F">
        <w:rPr>
          <w:i/>
          <w:lang w:val="en-US"/>
        </w:rPr>
        <w:t>Journal of Intellectual Capital</w:t>
      </w:r>
      <w:r w:rsidRPr="0088676F">
        <w:rPr>
          <w:lang w:val="en-US"/>
        </w:rPr>
        <w:t>, 2(3), 310-319.</w:t>
      </w:r>
    </w:p>
    <w:p w14:paraId="43FE91E2" w14:textId="77777777" w:rsidR="00AA2840" w:rsidRDefault="00AA2840" w:rsidP="00AA2840">
      <w:pPr>
        <w:spacing w:line="360" w:lineRule="auto"/>
        <w:ind w:left="709" w:hanging="709"/>
        <w:jc w:val="both"/>
      </w:pPr>
      <w:r w:rsidRPr="004936DC">
        <w:t>Bowman, N. (2010</w:t>
      </w:r>
      <w:r>
        <w:t>a</w:t>
      </w:r>
      <w:r w:rsidRPr="004936DC">
        <w:t>). Cultivating future fundraisers of color at Historically Black Colleges and Universities. </w:t>
      </w:r>
      <w:r w:rsidRPr="004936DC">
        <w:rPr>
          <w:i/>
          <w:iCs/>
        </w:rPr>
        <w:t>International Journal of Educational Advancement</w:t>
      </w:r>
      <w:r w:rsidRPr="004936DC">
        <w:t>, </w:t>
      </w:r>
      <w:r w:rsidRPr="004936DC">
        <w:rPr>
          <w:i/>
          <w:iCs/>
        </w:rPr>
        <w:t>10</w:t>
      </w:r>
      <w:r w:rsidRPr="004936DC">
        <w:t>(3), 230-234.</w:t>
      </w:r>
    </w:p>
    <w:p w14:paraId="182F6551" w14:textId="77777777" w:rsidR="00AA2840" w:rsidRDefault="00AA2840" w:rsidP="00AA2840">
      <w:pPr>
        <w:spacing w:line="360" w:lineRule="auto"/>
        <w:ind w:left="709" w:hanging="709"/>
        <w:jc w:val="both"/>
      </w:pPr>
      <w:r w:rsidRPr="00790388">
        <w:t>Bowman, N. (2010</w:t>
      </w:r>
      <w:r>
        <w:t>b</w:t>
      </w:r>
      <w:r w:rsidRPr="00790388">
        <w:t>). Fundraising during an economic downturn within the Historically Black College and University environment. </w:t>
      </w:r>
      <w:r w:rsidRPr="00790388">
        <w:rPr>
          <w:i/>
          <w:iCs/>
        </w:rPr>
        <w:t>International Journal of Educational Advancement</w:t>
      </w:r>
      <w:r w:rsidRPr="00790388">
        <w:t>, </w:t>
      </w:r>
      <w:r w:rsidRPr="00790388">
        <w:rPr>
          <w:i/>
          <w:iCs/>
        </w:rPr>
        <w:t>9</w:t>
      </w:r>
      <w:r w:rsidRPr="00790388">
        <w:t>(4), 266-272.</w:t>
      </w:r>
    </w:p>
    <w:p w14:paraId="3004B001" w14:textId="77777777" w:rsidR="001169EE" w:rsidRPr="001169EE" w:rsidRDefault="001169EE" w:rsidP="001169EE">
      <w:pPr>
        <w:spacing w:line="360" w:lineRule="auto"/>
        <w:ind w:left="709" w:hanging="709"/>
      </w:pPr>
      <w:r w:rsidRPr="001169EE">
        <w:t>Bozeman, B., &amp; Gaughan, M. (2007). Impacts of grants and contracts on academic researchers’ interactions with industry. </w:t>
      </w:r>
      <w:r w:rsidRPr="001169EE">
        <w:rPr>
          <w:i/>
          <w:iCs/>
        </w:rPr>
        <w:t>Research policy</w:t>
      </w:r>
      <w:r w:rsidRPr="001169EE">
        <w:t>, </w:t>
      </w:r>
      <w:r w:rsidRPr="001169EE">
        <w:rPr>
          <w:i/>
          <w:iCs/>
        </w:rPr>
        <w:t>36</w:t>
      </w:r>
      <w:r w:rsidRPr="001169EE">
        <w:t>(5), 694-707.</w:t>
      </w:r>
    </w:p>
    <w:p w14:paraId="6D4EA293" w14:textId="77777777" w:rsidR="00AA2840" w:rsidRDefault="00AA2840" w:rsidP="00AA2840">
      <w:pPr>
        <w:spacing w:line="360" w:lineRule="auto"/>
        <w:ind w:left="709" w:hanging="709"/>
        <w:jc w:val="both"/>
      </w:pPr>
      <w:r w:rsidRPr="00B27F6D">
        <w:t>Breen, O. B. (2012). The perks and perils of non-statutory fundraising regulatory regimes: An Anglo-Irish Perspective. </w:t>
      </w:r>
      <w:r w:rsidRPr="00B27F6D">
        <w:rPr>
          <w:i/>
          <w:iCs/>
        </w:rPr>
        <w:t>VOLUNTAS: International Journal of Voluntary and Nonprofit Organizations</w:t>
      </w:r>
      <w:r w:rsidRPr="00B27F6D">
        <w:t>, </w:t>
      </w:r>
      <w:r w:rsidRPr="00B27F6D">
        <w:rPr>
          <w:i/>
          <w:iCs/>
        </w:rPr>
        <w:t>23</w:t>
      </w:r>
      <w:r w:rsidRPr="00B27F6D">
        <w:t>(3), 763-790.</w:t>
      </w:r>
    </w:p>
    <w:p w14:paraId="7CBFCC8C" w14:textId="77777777" w:rsidR="00AA2840" w:rsidRDefault="00AA2840" w:rsidP="00AA2840">
      <w:pPr>
        <w:spacing w:line="360" w:lineRule="auto"/>
        <w:ind w:left="709" w:hanging="709"/>
        <w:jc w:val="both"/>
      </w:pPr>
      <w:r w:rsidRPr="007C44E5">
        <w:t>Breeze, B., Gouwenberg, B., Schuyt, T., &amp; Wilkinson, I. (2011). What role for public policy in promoting philanthropy? The case of EU universities. </w:t>
      </w:r>
      <w:r w:rsidRPr="007C44E5">
        <w:rPr>
          <w:i/>
          <w:iCs/>
        </w:rPr>
        <w:t>Public Management Review</w:t>
      </w:r>
      <w:r w:rsidRPr="007C44E5">
        <w:t>, </w:t>
      </w:r>
      <w:r w:rsidRPr="007C44E5">
        <w:rPr>
          <w:i/>
          <w:iCs/>
        </w:rPr>
        <w:t>13</w:t>
      </w:r>
      <w:r w:rsidRPr="007C44E5">
        <w:t>(8), 1179-1195.</w:t>
      </w:r>
    </w:p>
    <w:p w14:paraId="65170D78" w14:textId="77777777" w:rsidR="00AA2840" w:rsidRDefault="00AA2840" w:rsidP="00AA2840">
      <w:pPr>
        <w:spacing w:line="360" w:lineRule="auto"/>
        <w:ind w:left="709" w:hanging="709"/>
        <w:jc w:val="both"/>
      </w:pPr>
      <w:r w:rsidRPr="00CA1CC2">
        <w:t>Brittingham, B. E., &amp; Pezzullo, T. R. (1990). </w:t>
      </w:r>
      <w:r w:rsidRPr="00CA1CC2">
        <w:rPr>
          <w:i/>
          <w:iCs/>
        </w:rPr>
        <w:t>The Campus Green: Fu</w:t>
      </w:r>
      <w:r>
        <w:rPr>
          <w:i/>
          <w:iCs/>
        </w:rPr>
        <w:t xml:space="preserve">nd Raising in Higher Education </w:t>
      </w:r>
      <w:r w:rsidRPr="00CA1CC2">
        <w:rPr>
          <w:iCs/>
        </w:rPr>
        <w:t>(ASHE-ERIC Higher Education Report 1</w:t>
      </w:r>
      <w:r>
        <w:rPr>
          <w:iCs/>
        </w:rPr>
        <w:t>)</w:t>
      </w:r>
      <w:r w:rsidRPr="00CA1CC2">
        <w:t xml:space="preserve">. </w:t>
      </w:r>
      <w:r>
        <w:t xml:space="preserve">Washington, DC 20036: </w:t>
      </w:r>
      <w:r w:rsidRPr="00CA1CC2">
        <w:t xml:space="preserve">The George Washington University, One Dupont Circle, Suite </w:t>
      </w:r>
      <w:r>
        <w:t>630.</w:t>
      </w:r>
    </w:p>
    <w:p w14:paraId="2E34AAA3" w14:textId="77777777" w:rsidR="001169EE" w:rsidRDefault="001169EE" w:rsidP="001169EE">
      <w:pPr>
        <w:spacing w:line="360" w:lineRule="auto"/>
        <w:ind w:left="709" w:hanging="709"/>
        <w:jc w:val="both"/>
      </w:pPr>
      <w:r w:rsidRPr="00C9242F">
        <w:t>Brown, R. W. (1988). The presidential role in financial development.</w:t>
      </w:r>
      <w:r>
        <w:t xml:space="preserve"> In D. H. Dagley,</w:t>
      </w:r>
      <w:r w:rsidRPr="00C9242F">
        <w:t> </w:t>
      </w:r>
      <w:r w:rsidRPr="00C9242F">
        <w:rPr>
          <w:i/>
          <w:iCs/>
        </w:rPr>
        <w:t>Courage in mission: Presidential leadership in the church-related college</w:t>
      </w:r>
      <w:r w:rsidRPr="00C9242F">
        <w:t xml:space="preserve"> </w:t>
      </w:r>
      <w:r>
        <w:t>(</w:t>
      </w:r>
      <w:r w:rsidRPr="00C9242F">
        <w:t>45-55</w:t>
      </w:r>
      <w:r>
        <w:t>)</w:t>
      </w:r>
      <w:r w:rsidRPr="00C9242F">
        <w:t>.</w:t>
      </w:r>
      <w:r>
        <w:t xml:space="preserve"> Washington, D.C.: Council for Advancementb and Support Education.</w:t>
      </w:r>
    </w:p>
    <w:p w14:paraId="06023240" w14:textId="77777777" w:rsidR="00C5040B" w:rsidRPr="00C5040B" w:rsidRDefault="00C5040B" w:rsidP="00C5040B">
      <w:pPr>
        <w:spacing w:line="360" w:lineRule="auto"/>
        <w:ind w:left="709" w:hanging="709"/>
        <w:jc w:val="both"/>
        <w:rPr>
          <w:lang w:val="en-US"/>
        </w:rPr>
      </w:pPr>
      <w:r w:rsidRPr="00C5040B">
        <w:rPr>
          <w:lang w:val="en-US"/>
        </w:rPr>
        <w:t xml:space="preserve">Bryce, H., 1992, </w:t>
      </w:r>
      <w:r w:rsidRPr="00C5040B">
        <w:rPr>
          <w:iCs/>
          <w:lang w:val="en-US"/>
        </w:rPr>
        <w:t>Financial and strategic management for nonprofit organizations</w:t>
      </w:r>
      <w:r w:rsidRPr="00C5040B">
        <w:rPr>
          <w:lang w:val="en-US"/>
        </w:rPr>
        <w:t xml:space="preserve">. Englewood Cliffs, NJ: Prentice Hall. </w:t>
      </w:r>
    </w:p>
    <w:p w14:paraId="22BA664E" w14:textId="77777777" w:rsidR="00AA2840" w:rsidRDefault="00AA2840" w:rsidP="00AA2840">
      <w:pPr>
        <w:spacing w:line="360" w:lineRule="auto"/>
        <w:ind w:left="709" w:hanging="709"/>
        <w:jc w:val="both"/>
      </w:pPr>
      <w:r w:rsidRPr="00557024">
        <w:t>Bulock, C., &amp; Watkinson, C. (2017). Opening the Book. </w:t>
      </w:r>
      <w:r w:rsidRPr="00557024">
        <w:rPr>
          <w:i/>
          <w:iCs/>
        </w:rPr>
        <w:t>Serials Review</w:t>
      </w:r>
      <w:r w:rsidRPr="00557024">
        <w:t>, </w:t>
      </w:r>
      <w:r w:rsidRPr="00557024">
        <w:rPr>
          <w:i/>
          <w:iCs/>
        </w:rPr>
        <w:t>43</w:t>
      </w:r>
      <w:r w:rsidRPr="00557024">
        <w:t>(2), 153-157.</w:t>
      </w:r>
    </w:p>
    <w:p w14:paraId="38377B03" w14:textId="4521DCDA" w:rsidR="00317DAC" w:rsidRDefault="00317DAC" w:rsidP="00317DAC">
      <w:pPr>
        <w:spacing w:line="360" w:lineRule="auto"/>
        <w:ind w:left="709" w:hanging="709"/>
      </w:pPr>
      <w:r w:rsidRPr="00317DAC">
        <w:t>Caboni, T. C. (2010). The normative structure of college and university fundraising behaviors. </w:t>
      </w:r>
      <w:r w:rsidRPr="00317DAC">
        <w:rPr>
          <w:i/>
          <w:iCs/>
        </w:rPr>
        <w:t>The Journal of Higher Education</w:t>
      </w:r>
      <w:r w:rsidRPr="00317DAC">
        <w:t>, </w:t>
      </w:r>
      <w:r w:rsidRPr="00317DAC">
        <w:rPr>
          <w:i/>
          <w:iCs/>
        </w:rPr>
        <w:t>81</w:t>
      </w:r>
      <w:r w:rsidRPr="00317DAC">
        <w:t>(3), 339-365.</w:t>
      </w:r>
    </w:p>
    <w:p w14:paraId="25A52B79" w14:textId="1E902A29" w:rsidR="00317DAC" w:rsidRDefault="00317DAC" w:rsidP="00317DAC">
      <w:pPr>
        <w:spacing w:line="360" w:lineRule="auto"/>
        <w:ind w:left="709" w:hanging="709"/>
      </w:pPr>
      <w:r w:rsidRPr="00317DAC">
        <w:t xml:space="preserve">Cantele, S., &amp; Capedelli, B. (2013). Il performance-based funding nel sistema universitario italiano: un’analisi degli effetti della programmazione triennale. </w:t>
      </w:r>
      <w:r w:rsidRPr="00317DAC">
        <w:rPr>
          <w:i/>
        </w:rPr>
        <w:t>Azienda Pubblica, 3</w:t>
      </w:r>
      <w:r w:rsidRPr="00317DAC">
        <w:t>, 309-332.</w:t>
      </w:r>
    </w:p>
    <w:p w14:paraId="51F30885" w14:textId="77777777" w:rsidR="0075544A" w:rsidRDefault="0075544A" w:rsidP="0075544A">
      <w:pPr>
        <w:spacing w:line="360" w:lineRule="auto"/>
        <w:ind w:left="709" w:hanging="709"/>
      </w:pPr>
      <w:r w:rsidRPr="0075544A">
        <w:t>Carè, S., Trotta, A., Carè, R., &amp; Rizzello, A. (2018). Crowdfunding for the development of smart cities. </w:t>
      </w:r>
      <w:r w:rsidRPr="0075544A">
        <w:rPr>
          <w:i/>
          <w:iCs/>
        </w:rPr>
        <w:t>Business Horizons</w:t>
      </w:r>
      <w:r w:rsidRPr="0075544A">
        <w:t>, </w:t>
      </w:r>
      <w:r w:rsidRPr="0075544A">
        <w:rPr>
          <w:i/>
          <w:iCs/>
        </w:rPr>
        <w:t>61</w:t>
      </w:r>
      <w:r w:rsidRPr="0075544A">
        <w:t>(4), 501-509.</w:t>
      </w:r>
    </w:p>
    <w:p w14:paraId="2ED14129" w14:textId="7F3AA1EA" w:rsidR="001F4D76" w:rsidRDefault="001F4D76" w:rsidP="001F4D76">
      <w:pPr>
        <w:spacing w:line="360" w:lineRule="auto"/>
        <w:ind w:left="709" w:hanging="709"/>
        <w:rPr>
          <w:lang w:val="en-US"/>
        </w:rPr>
      </w:pPr>
      <w:r w:rsidRPr="001F4D76">
        <w:rPr>
          <w:lang w:val="en-US"/>
        </w:rPr>
        <w:t xml:space="preserve">Cardano, M. (2002). </w:t>
      </w:r>
      <w:r w:rsidRPr="001F4D76">
        <w:rPr>
          <w:i/>
          <w:lang w:val="en-US"/>
        </w:rPr>
        <w:t>Tecniche di ricerca qualtitativa.</w:t>
      </w:r>
      <w:r w:rsidRPr="001F4D76">
        <w:rPr>
          <w:lang w:val="en-US"/>
        </w:rPr>
        <w:t xml:space="preserve"> Torino: Libreria Stampatori.</w:t>
      </w:r>
    </w:p>
    <w:p w14:paraId="65CF356F" w14:textId="4C80E938" w:rsidR="00833A9A" w:rsidRPr="001F4D76" w:rsidRDefault="00833A9A" w:rsidP="00833A9A">
      <w:pPr>
        <w:spacing w:line="360" w:lineRule="auto"/>
        <w:ind w:left="709" w:hanging="709"/>
        <w:rPr>
          <w:lang w:val="en-US"/>
        </w:rPr>
      </w:pPr>
      <w:r w:rsidRPr="001F4D76">
        <w:rPr>
          <w:lang w:val="en-US"/>
        </w:rPr>
        <w:t>Casadesus</w:t>
      </w:r>
      <w:r w:rsidRPr="001F4D76">
        <w:rPr>
          <w:rFonts w:ascii="Adobe Caslon Pro Bold" w:hAnsi="Adobe Caslon Pro Bold" w:cs="Adobe Caslon Pro Bold"/>
          <w:lang w:val="en-US"/>
        </w:rPr>
        <w:t>‐</w:t>
      </w:r>
      <w:r w:rsidRPr="001F4D76">
        <w:rPr>
          <w:lang w:val="en-US"/>
        </w:rPr>
        <w:t>Masanell, R., &amp; Llanes, G. (2015). Investment Incentives in Open</w:t>
      </w:r>
      <w:r w:rsidRPr="001F4D76">
        <w:rPr>
          <w:rFonts w:ascii="Adobe Caslon Pro Bold" w:hAnsi="Adobe Caslon Pro Bold" w:cs="Adobe Caslon Pro Bold"/>
          <w:lang w:val="en-US"/>
        </w:rPr>
        <w:t>‐</w:t>
      </w:r>
      <w:r w:rsidRPr="001F4D76">
        <w:rPr>
          <w:lang w:val="en-US"/>
        </w:rPr>
        <w:t>Source and Proprietary Two</w:t>
      </w:r>
      <w:r w:rsidRPr="001F4D76">
        <w:rPr>
          <w:rFonts w:ascii="Adobe Caslon Pro Bold" w:hAnsi="Adobe Caslon Pro Bold" w:cs="Adobe Caslon Pro Bold"/>
          <w:lang w:val="en-US"/>
        </w:rPr>
        <w:t>‐</w:t>
      </w:r>
      <w:r w:rsidRPr="001F4D76">
        <w:rPr>
          <w:lang w:val="en-US"/>
        </w:rPr>
        <w:t>Sided Platforms. </w:t>
      </w:r>
      <w:r w:rsidRPr="001F4D76">
        <w:rPr>
          <w:i/>
          <w:iCs/>
          <w:lang w:val="en-US"/>
        </w:rPr>
        <w:t>Journal of Economics &amp; Management Strategy</w:t>
      </w:r>
      <w:r w:rsidRPr="001F4D76">
        <w:rPr>
          <w:lang w:val="en-US"/>
        </w:rPr>
        <w:t>, </w:t>
      </w:r>
      <w:r w:rsidRPr="001F4D76">
        <w:rPr>
          <w:iCs/>
          <w:lang w:val="en-US"/>
        </w:rPr>
        <w:t>24</w:t>
      </w:r>
      <w:r w:rsidRPr="001F4D76">
        <w:rPr>
          <w:lang w:val="en-US"/>
        </w:rPr>
        <w:t>(2), 306-324.</w:t>
      </w:r>
    </w:p>
    <w:p w14:paraId="040DBF78" w14:textId="57E63AC1" w:rsidR="00317DAC" w:rsidRPr="0075544A" w:rsidRDefault="00317DAC" w:rsidP="00317DAC">
      <w:pPr>
        <w:spacing w:line="360" w:lineRule="auto"/>
        <w:ind w:left="709" w:hanging="709"/>
      </w:pPr>
      <w:r w:rsidRPr="00317DAC">
        <w:t>Cassia, L., De Massis, A., Meoli, M., &amp; Minola, T. (2014). Entrepreneurship research centers around the world: Research orientation, knowledge transfer and performance. </w:t>
      </w:r>
      <w:r w:rsidRPr="00317DAC">
        <w:rPr>
          <w:i/>
          <w:iCs/>
        </w:rPr>
        <w:t>The Journal of Technology Transfer</w:t>
      </w:r>
      <w:r w:rsidRPr="00317DAC">
        <w:t>, </w:t>
      </w:r>
      <w:r w:rsidRPr="00317DAC">
        <w:rPr>
          <w:i/>
          <w:iCs/>
        </w:rPr>
        <w:t>39</w:t>
      </w:r>
      <w:r w:rsidRPr="00317DAC">
        <w:t>(3), 376-392.</w:t>
      </w:r>
    </w:p>
    <w:p w14:paraId="739ABEEA" w14:textId="77777777" w:rsidR="0075544A" w:rsidRDefault="0075544A" w:rsidP="0075544A">
      <w:pPr>
        <w:spacing w:line="360" w:lineRule="auto"/>
        <w:ind w:left="709" w:hanging="709"/>
      </w:pPr>
      <w:r w:rsidRPr="0075544A">
        <w:t>Caton, J., &amp; Mistriner, M. (2016). Leading Change: A Case Study of Leadership Practices from the Development of the Niagara County Community College Culinary Institute. </w:t>
      </w:r>
      <w:r w:rsidRPr="0075544A">
        <w:rPr>
          <w:i/>
          <w:iCs/>
        </w:rPr>
        <w:t>Community College Journal of Research and Practice</w:t>
      </w:r>
      <w:r w:rsidRPr="0075544A">
        <w:t>, </w:t>
      </w:r>
      <w:r w:rsidRPr="0075544A">
        <w:rPr>
          <w:i/>
          <w:iCs/>
        </w:rPr>
        <w:t>40</w:t>
      </w:r>
      <w:r w:rsidRPr="0075544A">
        <w:t>(7), 615-624.</w:t>
      </w:r>
    </w:p>
    <w:p w14:paraId="4FD99F94" w14:textId="258A809B" w:rsidR="001C6E58" w:rsidRDefault="001C6E58" w:rsidP="001C6E58">
      <w:pPr>
        <w:spacing w:line="360" w:lineRule="auto"/>
        <w:ind w:left="709" w:hanging="709"/>
      </w:pPr>
      <w:r w:rsidRPr="00317DAC">
        <w:t>Cattaneo, M., Meoli, M., &amp; Vismara, S. (2015). Cross-border M&amp;As of biotech firms affiliated with internationalized universities. </w:t>
      </w:r>
      <w:r w:rsidRPr="00317DAC">
        <w:rPr>
          <w:i/>
          <w:iCs/>
        </w:rPr>
        <w:t>The Journal of Technology Transfer</w:t>
      </w:r>
      <w:r w:rsidRPr="00317DAC">
        <w:t>, </w:t>
      </w:r>
      <w:r w:rsidRPr="00317DAC">
        <w:rPr>
          <w:i/>
          <w:iCs/>
        </w:rPr>
        <w:t>40</w:t>
      </w:r>
      <w:r w:rsidRPr="00317DAC">
        <w:t>(3), 409-433.</w:t>
      </w:r>
    </w:p>
    <w:p w14:paraId="424C50E6" w14:textId="18A03698" w:rsidR="0023765E" w:rsidRPr="0075544A" w:rsidRDefault="0023765E" w:rsidP="0023765E">
      <w:pPr>
        <w:spacing w:line="360" w:lineRule="auto"/>
        <w:ind w:left="709" w:hanging="709"/>
      </w:pPr>
      <w:r w:rsidRPr="00317DAC">
        <w:t>Cattaneo, M., Meoli, M., &amp; Signori, A. (2016). Performance-based funding and university research productivity: The moderating effect of university legitimacy. </w:t>
      </w:r>
      <w:r w:rsidRPr="00317DAC">
        <w:rPr>
          <w:i/>
          <w:iCs/>
        </w:rPr>
        <w:t>The Journal of Technology Transfer</w:t>
      </w:r>
      <w:r w:rsidRPr="00317DAC">
        <w:t>, </w:t>
      </w:r>
      <w:r w:rsidRPr="00317DAC">
        <w:rPr>
          <w:i/>
          <w:iCs/>
        </w:rPr>
        <w:t>41</w:t>
      </w:r>
      <w:r w:rsidRPr="00317DAC">
        <w:t>(1), 85-104.</w:t>
      </w:r>
    </w:p>
    <w:p w14:paraId="32DB815C" w14:textId="77777777" w:rsidR="0075544A" w:rsidRPr="0075544A" w:rsidRDefault="0075544A" w:rsidP="0075544A">
      <w:pPr>
        <w:spacing w:line="360" w:lineRule="auto"/>
        <w:ind w:left="709" w:hanging="709"/>
        <w:rPr>
          <w:iCs/>
          <w:lang w:val="en-US"/>
        </w:rPr>
      </w:pPr>
      <w:r w:rsidRPr="0075544A">
        <w:rPr>
          <w:iCs/>
          <w:lang w:val="en-US"/>
        </w:rPr>
        <w:t>Catturi, G., &amp; Mussari, R. (2003). Il finanziamento del sistema pubblico universitario dal dopoguerra all'autonomia. </w:t>
      </w:r>
      <w:r w:rsidRPr="0075544A">
        <w:rPr>
          <w:i/>
          <w:iCs/>
          <w:lang w:val="en-US"/>
        </w:rPr>
        <w:t>Annali di storia delle università italiane</w:t>
      </w:r>
      <w:r w:rsidRPr="0075544A">
        <w:rPr>
          <w:iCs/>
          <w:lang w:val="en-US"/>
        </w:rPr>
        <w:t>, </w:t>
      </w:r>
      <w:r w:rsidRPr="0075544A">
        <w:rPr>
          <w:i/>
          <w:iCs/>
          <w:lang w:val="en-US"/>
        </w:rPr>
        <w:t>7</w:t>
      </w:r>
      <w:r w:rsidRPr="0075544A">
        <w:rPr>
          <w:iCs/>
          <w:lang w:val="en-US"/>
        </w:rPr>
        <w:t>(7), 9-27.</w:t>
      </w:r>
    </w:p>
    <w:p w14:paraId="129B06BB" w14:textId="77777777" w:rsidR="0075544A" w:rsidRDefault="0075544A" w:rsidP="0075544A">
      <w:pPr>
        <w:spacing w:line="360" w:lineRule="auto"/>
        <w:ind w:left="709" w:hanging="709"/>
      </w:pPr>
      <w:r w:rsidRPr="0075544A">
        <w:t>Chan, R. Y. (2016). Studying Philanthropy and Fundraising in the Field of Higher Education: A Proposed Conceptual Model. In </w:t>
      </w:r>
      <w:r w:rsidRPr="0075544A">
        <w:rPr>
          <w:i/>
          <w:iCs/>
        </w:rPr>
        <w:t>Facilitating Higher Education Growth through Fundraising and Philanthropy</w:t>
      </w:r>
      <w:r w:rsidRPr="0075544A">
        <w:t> (pp. 1-27). IGI Global.</w:t>
      </w:r>
    </w:p>
    <w:p w14:paraId="259B28C6" w14:textId="349B3167" w:rsidR="004854B9" w:rsidRPr="0075544A" w:rsidRDefault="004854B9" w:rsidP="004854B9">
      <w:pPr>
        <w:spacing w:line="360" w:lineRule="auto"/>
        <w:ind w:left="709" w:hanging="709"/>
      </w:pPr>
      <w:r w:rsidRPr="00317DAC">
        <w:t>Charmaz, K. (2006). </w:t>
      </w:r>
      <w:r w:rsidRPr="00317DAC">
        <w:rPr>
          <w:i/>
          <w:iCs/>
        </w:rPr>
        <w:t>Constructing grounded theory: A practical guide through qualitative analysis</w:t>
      </w:r>
      <w:r w:rsidRPr="00317DAC">
        <w:t>. Thousand Oaks, CA: Sage.</w:t>
      </w:r>
    </w:p>
    <w:p w14:paraId="605DE0D0" w14:textId="77777777" w:rsidR="0075544A" w:rsidRPr="0075544A" w:rsidRDefault="0075544A" w:rsidP="0075544A">
      <w:pPr>
        <w:spacing w:line="360" w:lineRule="auto"/>
        <w:ind w:left="709" w:hanging="709"/>
      </w:pPr>
      <w:r w:rsidRPr="0075544A">
        <w:t xml:space="preserve">Chikoto-Schultz, G.L. &amp; Neely, D.G. (2016). Exploring the Nexus of Nonprofit Financial Stability and Financial Growth. </w:t>
      </w:r>
      <w:r w:rsidRPr="0075544A">
        <w:rPr>
          <w:i/>
          <w:iCs/>
        </w:rPr>
        <w:t>VOLUNTAS: International Journal of Voluntary and Nonprofit Organizations</w:t>
      </w:r>
      <w:r w:rsidRPr="0075544A">
        <w:rPr>
          <w:i/>
        </w:rPr>
        <w:t>, 27</w:t>
      </w:r>
      <w:r w:rsidRPr="0075544A">
        <w:t xml:space="preserve">(6). </w:t>
      </w:r>
    </w:p>
    <w:p w14:paraId="5269B589" w14:textId="77777777" w:rsidR="004854B9" w:rsidRPr="00317DAC" w:rsidRDefault="004854B9" w:rsidP="004854B9">
      <w:pPr>
        <w:spacing w:line="360" w:lineRule="auto"/>
        <w:ind w:left="709" w:hanging="709"/>
      </w:pPr>
      <w:r w:rsidRPr="00317DAC">
        <w:t>Clark, B. R. (2003). Sustaining change in universities: Continuities in case studies and concepts. </w:t>
      </w:r>
      <w:r w:rsidRPr="00317DAC">
        <w:rPr>
          <w:i/>
          <w:iCs/>
        </w:rPr>
        <w:t>Tertiary education and management</w:t>
      </w:r>
      <w:r w:rsidRPr="00317DAC">
        <w:t>, </w:t>
      </w:r>
      <w:r w:rsidRPr="00317DAC">
        <w:rPr>
          <w:i/>
          <w:iCs/>
        </w:rPr>
        <w:t>9</w:t>
      </w:r>
      <w:r w:rsidRPr="00317DAC">
        <w:t>(2), 99-116.</w:t>
      </w:r>
    </w:p>
    <w:p w14:paraId="0C868433" w14:textId="77777777" w:rsidR="0075544A" w:rsidRPr="0075544A" w:rsidRDefault="0075544A" w:rsidP="0075544A">
      <w:pPr>
        <w:spacing w:line="360" w:lineRule="auto"/>
        <w:ind w:left="709" w:hanging="709"/>
      </w:pPr>
      <w:r w:rsidRPr="0075544A">
        <w:t>Colasanti, N., Frondizi, R., &amp; Meneguzzo, M. (2018). Higher education and stakeholders’ donations: successful civic crowdfunding in an Italian university. </w:t>
      </w:r>
      <w:r w:rsidRPr="0075544A">
        <w:rPr>
          <w:i/>
          <w:iCs/>
        </w:rPr>
        <w:t>Public Money &amp; Management</w:t>
      </w:r>
      <w:r w:rsidRPr="0075544A">
        <w:t>, </w:t>
      </w:r>
      <w:r w:rsidRPr="0075544A">
        <w:rPr>
          <w:i/>
          <w:iCs/>
        </w:rPr>
        <w:t>38</w:t>
      </w:r>
      <w:r w:rsidRPr="0075544A">
        <w:t>(4), 281-288.</w:t>
      </w:r>
    </w:p>
    <w:p w14:paraId="1F8A5CF0" w14:textId="77777777" w:rsidR="0075544A" w:rsidRDefault="0075544A" w:rsidP="0075544A">
      <w:pPr>
        <w:spacing w:line="360" w:lineRule="auto"/>
        <w:ind w:left="709" w:hanging="709"/>
      </w:pPr>
      <w:r w:rsidRPr="0075544A">
        <w:t>Colombo, M. G., Franzoni, C., &amp; Rossi</w:t>
      </w:r>
      <w:r w:rsidRPr="0075544A">
        <w:rPr>
          <w:rFonts w:ascii="Adobe Caslon Pro Bold" w:hAnsi="Adobe Caslon Pro Bold" w:cs="Adobe Caslon Pro Bold"/>
        </w:rPr>
        <w:t>‐</w:t>
      </w:r>
      <w:r w:rsidRPr="0075544A">
        <w:t>Lamastra, C. (2015). Internal social capital and the attraction of early contributions in crowdfunding. </w:t>
      </w:r>
      <w:r w:rsidRPr="0075544A">
        <w:rPr>
          <w:i/>
          <w:iCs/>
        </w:rPr>
        <w:t>Entrepreneurship Theory and Practice</w:t>
      </w:r>
      <w:r w:rsidRPr="0075544A">
        <w:t>, </w:t>
      </w:r>
      <w:r w:rsidRPr="0075544A">
        <w:rPr>
          <w:i/>
          <w:iCs/>
        </w:rPr>
        <w:t>39</w:t>
      </w:r>
      <w:r w:rsidRPr="0075544A">
        <w:t>(1), 75-100.</w:t>
      </w:r>
    </w:p>
    <w:p w14:paraId="5C4C9CC7" w14:textId="022772F6" w:rsidR="00D54B5C" w:rsidRDefault="00D54B5C" w:rsidP="0075544A">
      <w:pPr>
        <w:spacing w:line="360" w:lineRule="auto"/>
        <w:ind w:left="709" w:hanging="709"/>
      </w:pPr>
      <w:r w:rsidRPr="001F4D76">
        <w:rPr>
          <w:lang w:val="en-US"/>
        </w:rPr>
        <w:t xml:space="preserve">Corbetta, P. (2003). </w:t>
      </w:r>
      <w:r w:rsidRPr="001F4D76">
        <w:rPr>
          <w:i/>
          <w:lang w:val="en-US"/>
        </w:rPr>
        <w:t xml:space="preserve">Social Research: Theory, Methods and Techniques. </w:t>
      </w:r>
      <w:r w:rsidRPr="001F4D76">
        <w:rPr>
          <w:lang w:val="en-US"/>
        </w:rPr>
        <w:t>London: Sage.</w:t>
      </w:r>
    </w:p>
    <w:p w14:paraId="33C0BE10" w14:textId="61F2DCDE" w:rsidR="004854B9" w:rsidRPr="0075544A" w:rsidRDefault="004854B9" w:rsidP="004854B9">
      <w:pPr>
        <w:spacing w:line="360" w:lineRule="auto"/>
        <w:ind w:left="709" w:hanging="709"/>
      </w:pPr>
      <w:r w:rsidRPr="00317DAC">
        <w:t>Corsi, C., &amp; Magnier, A. (Eds.). (2016). </w:t>
      </w:r>
      <w:r w:rsidRPr="00317DAC">
        <w:rPr>
          <w:i/>
          <w:iCs/>
        </w:rPr>
        <w:t>L'università allo specchio: Questioni e prospettive</w:t>
      </w:r>
      <w:r w:rsidRPr="00317DAC">
        <w:t> (Vol. 2). Firenze: Firenze University Press.</w:t>
      </w:r>
    </w:p>
    <w:p w14:paraId="1A1C36CF" w14:textId="77777777" w:rsidR="0075544A" w:rsidRPr="0075544A" w:rsidRDefault="0075544A" w:rsidP="0075544A">
      <w:pPr>
        <w:spacing w:line="360" w:lineRule="auto"/>
        <w:ind w:left="709" w:hanging="709"/>
      </w:pPr>
      <w:r w:rsidRPr="0075544A">
        <w:t>Cowley, W. H. (1980). </w:t>
      </w:r>
      <w:r w:rsidRPr="0075544A">
        <w:rPr>
          <w:i/>
          <w:iCs/>
        </w:rPr>
        <w:t>Presidents, professors, and trustees</w:t>
      </w:r>
      <w:r w:rsidRPr="0075544A">
        <w:t>. San Francisco: Jossey-Bass.</w:t>
      </w:r>
    </w:p>
    <w:p w14:paraId="476F71F3" w14:textId="77777777" w:rsidR="0075544A" w:rsidRDefault="0075544A" w:rsidP="0075544A">
      <w:pPr>
        <w:spacing w:line="360" w:lineRule="auto"/>
        <w:ind w:left="709" w:hanging="709"/>
      </w:pPr>
      <w:r w:rsidRPr="0075544A">
        <w:t>Cox, J. L. (2010). Private giving and state funding of Maryland's public institutions: New perspectives on support of historically black institutions. </w:t>
      </w:r>
      <w:r w:rsidRPr="0075544A">
        <w:rPr>
          <w:i/>
          <w:iCs/>
        </w:rPr>
        <w:t>International Journal of Educational Advancement</w:t>
      </w:r>
      <w:r w:rsidRPr="0075544A">
        <w:t>, </w:t>
      </w:r>
      <w:r w:rsidRPr="0075544A">
        <w:rPr>
          <w:i/>
          <w:iCs/>
        </w:rPr>
        <w:t>10</w:t>
      </w:r>
      <w:r w:rsidRPr="0075544A">
        <w:t>(3), 166-185.</w:t>
      </w:r>
    </w:p>
    <w:p w14:paraId="0F398E60" w14:textId="77777777" w:rsidR="00D54B5C" w:rsidRPr="001F4D76" w:rsidRDefault="00D54B5C" w:rsidP="00D54B5C">
      <w:pPr>
        <w:spacing w:line="360" w:lineRule="auto"/>
        <w:ind w:left="709" w:hanging="709"/>
        <w:rPr>
          <w:lang w:val="en-US"/>
        </w:rPr>
      </w:pPr>
      <w:r w:rsidRPr="001F4D76">
        <w:rPr>
          <w:lang w:val="en-US"/>
        </w:rPr>
        <w:t>Csikszentmihalyi, M. (1997). Flow and the psychology of discovery and invention. </w:t>
      </w:r>
      <w:r w:rsidRPr="001F4D76">
        <w:rPr>
          <w:iCs/>
          <w:lang w:val="en-US"/>
        </w:rPr>
        <w:t>New York: HarperPerennial</w:t>
      </w:r>
      <w:r w:rsidRPr="001F4D76">
        <w:rPr>
          <w:i/>
          <w:iCs/>
          <w:lang w:val="en-US"/>
        </w:rPr>
        <w:t>, 39</w:t>
      </w:r>
      <w:r w:rsidRPr="001F4D76">
        <w:rPr>
          <w:lang w:val="en-US"/>
        </w:rPr>
        <w:t>.</w:t>
      </w:r>
    </w:p>
    <w:p w14:paraId="7ADC5451" w14:textId="79FF2E4E" w:rsidR="004854B9" w:rsidRPr="0075544A" w:rsidRDefault="004854B9" w:rsidP="004854B9">
      <w:pPr>
        <w:spacing w:line="360" w:lineRule="auto"/>
        <w:ind w:left="709" w:hanging="709"/>
      </w:pPr>
      <w:r w:rsidRPr="00317DAC">
        <w:t>Cugini, A., &amp; Pilonato, S. (2006). La misurazione della performance degli Atenei: uno schema per l’analisi dello stato dell’arte. </w:t>
      </w:r>
      <w:r w:rsidRPr="00317DAC">
        <w:rPr>
          <w:i/>
          <w:iCs/>
        </w:rPr>
        <w:t>Azienda Pubblica</w:t>
      </w:r>
      <w:r w:rsidRPr="00317DAC">
        <w:t>, </w:t>
      </w:r>
      <w:r w:rsidRPr="00317DAC">
        <w:rPr>
          <w:i/>
          <w:iCs/>
        </w:rPr>
        <w:t>2</w:t>
      </w:r>
      <w:r w:rsidRPr="00317DAC">
        <w:t>, 197-215.</w:t>
      </w:r>
    </w:p>
    <w:p w14:paraId="6A519FD2" w14:textId="77777777" w:rsidR="001C6E58" w:rsidRPr="0075544A" w:rsidRDefault="001C6E58" w:rsidP="001C6E58">
      <w:pPr>
        <w:spacing w:line="360" w:lineRule="auto"/>
        <w:ind w:left="709" w:hanging="709"/>
      </w:pPr>
      <w:r w:rsidRPr="0075544A">
        <w:t>Curry, J., Rodin, S., &amp; Carlson, N. (2012). Fundraising in difficult economic times: Best practices. </w:t>
      </w:r>
      <w:r w:rsidRPr="0075544A">
        <w:rPr>
          <w:i/>
          <w:iCs/>
        </w:rPr>
        <w:t>Christian Higher Education</w:t>
      </w:r>
      <w:r w:rsidRPr="0075544A">
        <w:t>, </w:t>
      </w:r>
      <w:r w:rsidRPr="0075544A">
        <w:rPr>
          <w:i/>
          <w:iCs/>
        </w:rPr>
        <w:t>11</w:t>
      </w:r>
      <w:r w:rsidRPr="0075544A">
        <w:t>(4), 241-252.</w:t>
      </w:r>
    </w:p>
    <w:p w14:paraId="19734D73" w14:textId="77777777" w:rsidR="0075544A" w:rsidRPr="0075544A" w:rsidRDefault="0075544A" w:rsidP="0075544A">
      <w:pPr>
        <w:spacing w:line="360" w:lineRule="auto"/>
        <w:ind w:left="709" w:hanging="709"/>
      </w:pPr>
      <w:r w:rsidRPr="0075544A">
        <w:t>Curti, M. E., &amp; Nash, R. (1965). </w:t>
      </w:r>
      <w:r w:rsidRPr="0075544A">
        <w:rPr>
          <w:i/>
          <w:iCs/>
        </w:rPr>
        <w:t>Philanthropy in the shaping of American higher education</w:t>
      </w:r>
      <w:r w:rsidRPr="0075544A">
        <w:t>. New Brunswick, N.J.: Rutgers Rutgers University Press.</w:t>
      </w:r>
    </w:p>
    <w:p w14:paraId="742A1EC8" w14:textId="77777777" w:rsidR="0075544A" w:rsidRPr="0075544A" w:rsidRDefault="0075544A" w:rsidP="0075544A">
      <w:pPr>
        <w:spacing w:line="360" w:lineRule="auto"/>
        <w:ind w:left="709" w:hanging="709"/>
      </w:pPr>
      <w:r w:rsidRPr="0075544A">
        <w:t>Cutlip, S. M. (1965). </w:t>
      </w:r>
      <w:r w:rsidRPr="0075544A">
        <w:rPr>
          <w:i/>
          <w:iCs/>
        </w:rPr>
        <w:t>Fund raising in the United States: Its role in America's philanthropy</w:t>
      </w:r>
      <w:r w:rsidRPr="0075544A">
        <w:t>. New Brunswick, N. J.: Transaction Publishers.</w:t>
      </w:r>
    </w:p>
    <w:p w14:paraId="009E2C05" w14:textId="349FEE6E" w:rsidR="001F4D76" w:rsidRDefault="00317DAC" w:rsidP="00D54B5C">
      <w:pPr>
        <w:spacing w:line="360" w:lineRule="auto"/>
        <w:ind w:left="709" w:hanging="709"/>
      </w:pPr>
      <w:r w:rsidRPr="00317DAC">
        <w:t>Czarniawska, B., &amp; Genell, K. (2002). Gone shopping? Universities on their way to the market. </w:t>
      </w:r>
      <w:r w:rsidRPr="00317DAC">
        <w:rPr>
          <w:i/>
          <w:iCs/>
        </w:rPr>
        <w:t>Scandinavian Journal of Management</w:t>
      </w:r>
      <w:r w:rsidRPr="00317DAC">
        <w:t>, </w:t>
      </w:r>
      <w:r w:rsidRPr="00317DAC">
        <w:rPr>
          <w:i/>
          <w:iCs/>
        </w:rPr>
        <w:t>18</w:t>
      </w:r>
      <w:r w:rsidRPr="00317DAC">
        <w:t>(4), 455-474.</w:t>
      </w:r>
    </w:p>
    <w:p w14:paraId="1A49BD48" w14:textId="0A363DA9" w:rsidR="00D93EA1" w:rsidRDefault="00D93EA1" w:rsidP="00D93EA1">
      <w:pPr>
        <w:spacing w:line="360" w:lineRule="auto"/>
        <w:ind w:left="709" w:hanging="709"/>
      </w:pPr>
      <w:r w:rsidRPr="000C4F7F">
        <w:t>De Boer, H., Enders, J., &amp; Schimank, U. (2007). On the way towards new public management? The governance of university systems in England, the Netherlands, Austria, and Germany. In </w:t>
      </w:r>
      <w:r w:rsidRPr="000C4F7F">
        <w:rPr>
          <w:i/>
          <w:iCs/>
        </w:rPr>
        <w:t>New forms of governance in research organizations</w:t>
      </w:r>
      <w:r w:rsidRPr="000C4F7F">
        <w:t> (pp. 137-152). Springer, Dordrecht.</w:t>
      </w:r>
    </w:p>
    <w:p w14:paraId="2FC08CD7" w14:textId="4278476B" w:rsidR="00D93EA1" w:rsidRPr="00D54B5C" w:rsidRDefault="00D93EA1" w:rsidP="00D93EA1">
      <w:pPr>
        <w:spacing w:line="360" w:lineRule="auto"/>
        <w:ind w:left="709" w:hanging="709"/>
      </w:pPr>
      <w:r w:rsidRPr="000C4F7F">
        <w:t>Defazio, D., Lockett, A., &amp; Wright, M. (2009). Funding incentives, collaborative dynamics and scientific productivity: Evidence from the EU framework program. </w:t>
      </w:r>
      <w:r w:rsidRPr="000C4F7F">
        <w:rPr>
          <w:i/>
          <w:iCs/>
        </w:rPr>
        <w:t>Research policy</w:t>
      </w:r>
      <w:r w:rsidRPr="000C4F7F">
        <w:t>, </w:t>
      </w:r>
      <w:r w:rsidRPr="000C4F7F">
        <w:rPr>
          <w:i/>
          <w:iCs/>
        </w:rPr>
        <w:t>38</w:t>
      </w:r>
      <w:r w:rsidRPr="000C4F7F">
        <w:t>(2), 293-305.</w:t>
      </w:r>
    </w:p>
    <w:p w14:paraId="00D921B1" w14:textId="77777777" w:rsidR="007930B9" w:rsidRPr="007930B9" w:rsidRDefault="007930B9" w:rsidP="007930B9">
      <w:pPr>
        <w:spacing w:line="360" w:lineRule="auto"/>
        <w:ind w:left="709" w:hanging="709"/>
        <w:rPr>
          <w:iCs/>
          <w:lang w:val="en-US"/>
        </w:rPr>
      </w:pPr>
      <w:r w:rsidRPr="007930B9">
        <w:rPr>
          <w:iCs/>
          <w:lang w:val="en-US"/>
        </w:rPr>
        <w:t>Donina, D., Meoli, M., &amp; Paleari, S. (2015). Higher education reform in Italy: Tightening regulation instead of steering at a distance. </w:t>
      </w:r>
      <w:r w:rsidRPr="007930B9">
        <w:rPr>
          <w:i/>
          <w:iCs/>
          <w:lang w:val="en-US"/>
        </w:rPr>
        <w:t>Higher Education Policy</w:t>
      </w:r>
      <w:r w:rsidRPr="007930B9">
        <w:rPr>
          <w:iCs/>
          <w:lang w:val="en-US"/>
        </w:rPr>
        <w:t>, </w:t>
      </w:r>
      <w:r w:rsidRPr="007930B9">
        <w:rPr>
          <w:i/>
          <w:iCs/>
          <w:lang w:val="en-US"/>
        </w:rPr>
        <w:t>28</w:t>
      </w:r>
      <w:r w:rsidRPr="007930B9">
        <w:rPr>
          <w:iCs/>
          <w:lang w:val="en-US"/>
        </w:rPr>
        <w:t>(2), 215-234.</w:t>
      </w:r>
    </w:p>
    <w:p w14:paraId="7281B567" w14:textId="77777777" w:rsidR="00BF2621" w:rsidRPr="00BF2621" w:rsidRDefault="00BF2621" w:rsidP="00BF2621">
      <w:pPr>
        <w:spacing w:line="360" w:lineRule="auto"/>
        <w:ind w:left="709" w:hanging="709"/>
      </w:pPr>
      <w:r w:rsidRPr="00BF2621">
        <w:t>Daly, S. (2013). Philanthropy, the new professionals and higher education: The advent of directors of development and alumni relations. </w:t>
      </w:r>
      <w:r w:rsidRPr="00BF2621">
        <w:rPr>
          <w:i/>
          <w:iCs/>
        </w:rPr>
        <w:t>Journal of Higher Education Policy and Management</w:t>
      </w:r>
      <w:r w:rsidRPr="00BF2621">
        <w:t>, </w:t>
      </w:r>
      <w:r w:rsidRPr="00BF2621">
        <w:rPr>
          <w:i/>
          <w:iCs/>
        </w:rPr>
        <w:t>35</w:t>
      </w:r>
      <w:r w:rsidRPr="00BF2621">
        <w:t>(1), 21-33.</w:t>
      </w:r>
    </w:p>
    <w:p w14:paraId="75191B6A" w14:textId="77777777" w:rsidR="00BF2621" w:rsidRDefault="00BF2621" w:rsidP="00BF2621">
      <w:pPr>
        <w:spacing w:line="360" w:lineRule="auto"/>
        <w:ind w:left="709" w:hanging="709"/>
      </w:pPr>
      <w:r w:rsidRPr="00BF2621">
        <w:t>Doan, T., &amp; Morris, S. L. (2012). Middle managers and major gifts: fundraising for academic librarians. </w:t>
      </w:r>
      <w:r w:rsidRPr="00BF2621">
        <w:rPr>
          <w:i/>
          <w:iCs/>
        </w:rPr>
        <w:t>The Bottom Line</w:t>
      </w:r>
      <w:r w:rsidRPr="00BF2621">
        <w:t>, </w:t>
      </w:r>
      <w:r w:rsidRPr="00BF2621">
        <w:rPr>
          <w:i/>
          <w:iCs/>
        </w:rPr>
        <w:t>25</w:t>
      </w:r>
      <w:r w:rsidRPr="00BF2621">
        <w:t>(4), 190-195.</w:t>
      </w:r>
    </w:p>
    <w:p w14:paraId="60A45059" w14:textId="365F4E71" w:rsidR="00BF2621" w:rsidRPr="00BF2621" w:rsidRDefault="00BF2621" w:rsidP="00BF2621">
      <w:pPr>
        <w:spacing w:line="360" w:lineRule="auto"/>
        <w:ind w:left="709" w:hanging="709"/>
      </w:pPr>
      <w:r w:rsidRPr="00BF2621">
        <w:t>Donina, D., Meoli, M., &amp; Paleari, S. (2015). Higher education reform in Italy: Tightening regulation instead of steering at a distance. </w:t>
      </w:r>
      <w:r w:rsidRPr="00BF2621">
        <w:rPr>
          <w:i/>
          <w:iCs/>
        </w:rPr>
        <w:t>Higher Education Policy</w:t>
      </w:r>
      <w:r w:rsidRPr="00BF2621">
        <w:t>, </w:t>
      </w:r>
      <w:r w:rsidRPr="00BF2621">
        <w:rPr>
          <w:i/>
          <w:iCs/>
        </w:rPr>
        <w:t>28</w:t>
      </w:r>
      <w:r w:rsidRPr="00BF2621">
        <w:t>(2), 215-234.</w:t>
      </w:r>
    </w:p>
    <w:p w14:paraId="5F3D9A08" w14:textId="77777777" w:rsidR="00BF2621" w:rsidRDefault="00BF2621" w:rsidP="00BF2621">
      <w:pPr>
        <w:spacing w:line="360" w:lineRule="auto"/>
        <w:ind w:left="709" w:hanging="709"/>
      </w:pPr>
      <w:r w:rsidRPr="00BF2621">
        <w:t>Drees, J. M., &amp; Heugens, P. P. (2013). Synthesizing and extending resource dependence theory: A meta-analysis. </w:t>
      </w:r>
      <w:r w:rsidRPr="00BF2621">
        <w:rPr>
          <w:i/>
          <w:iCs/>
        </w:rPr>
        <w:t>Journal of Management</w:t>
      </w:r>
      <w:r w:rsidRPr="00BF2621">
        <w:t>, </w:t>
      </w:r>
      <w:r w:rsidRPr="00BF2621">
        <w:rPr>
          <w:i/>
          <w:iCs/>
        </w:rPr>
        <w:t>39</w:t>
      </w:r>
      <w:r w:rsidRPr="00BF2621">
        <w:t>(6), 1666-1698.</w:t>
      </w:r>
    </w:p>
    <w:p w14:paraId="09CDD812" w14:textId="77777777" w:rsidR="00D93EA1" w:rsidRPr="000C4F7F" w:rsidRDefault="00D93EA1" w:rsidP="00D93EA1">
      <w:pPr>
        <w:spacing w:line="360" w:lineRule="auto"/>
        <w:ind w:left="709" w:hanging="709"/>
      </w:pPr>
      <w:r w:rsidRPr="000C4F7F">
        <w:t>Drezner, N. D. (2013). The black church and millennial philanthropy: Influences on college student prosocial behaviors at a church-affiliated black college. </w:t>
      </w:r>
      <w:r w:rsidRPr="000C4F7F">
        <w:rPr>
          <w:i/>
          <w:iCs/>
        </w:rPr>
        <w:t>Christian Higher Education</w:t>
      </w:r>
      <w:r w:rsidRPr="000C4F7F">
        <w:t>, </w:t>
      </w:r>
      <w:r w:rsidRPr="000C4F7F">
        <w:rPr>
          <w:i/>
          <w:iCs/>
        </w:rPr>
        <w:t>12</w:t>
      </w:r>
      <w:r w:rsidRPr="000C4F7F">
        <w:t>(5), 363-382.</w:t>
      </w:r>
    </w:p>
    <w:p w14:paraId="1FE444F6" w14:textId="2BB34022" w:rsidR="00BF2621" w:rsidRPr="00BF2621" w:rsidRDefault="00BF2621" w:rsidP="00BF2621">
      <w:pPr>
        <w:spacing w:line="360" w:lineRule="auto"/>
        <w:ind w:left="709" w:hanging="709"/>
        <w:rPr>
          <w:lang w:val="en-US"/>
        </w:rPr>
      </w:pPr>
      <w:r w:rsidRPr="00BF2621">
        <w:rPr>
          <w:lang w:val="en-US"/>
        </w:rPr>
        <w:t>Drezner, N.D., Huehls, F., 2014, Philanthropy and fundraising in higher education: Theory, practice, and new paradigms. New York, NY: Taylor and &amp; Francis Group.</w:t>
      </w:r>
    </w:p>
    <w:p w14:paraId="594B0DBB" w14:textId="77777777" w:rsidR="00BF2621" w:rsidRPr="00BF2621" w:rsidRDefault="00BF2621" w:rsidP="00BF2621">
      <w:pPr>
        <w:spacing w:line="360" w:lineRule="auto"/>
        <w:ind w:left="709" w:hanging="709"/>
      </w:pPr>
      <w:r w:rsidRPr="00BF2621">
        <w:t>Durango-Cohen, P. L., Durango-Cohen, E. J., &amp; Torres, R. L. (2013a). A Bernoulli–Gaussian mixture model of donation likelihood and monetary value: An application to alumni segmentation in a university setting. </w:t>
      </w:r>
      <w:r w:rsidRPr="00BF2621">
        <w:rPr>
          <w:i/>
          <w:iCs/>
        </w:rPr>
        <w:t>Computers &amp; Industrial Engineering</w:t>
      </w:r>
      <w:r w:rsidRPr="00BF2621">
        <w:t>, </w:t>
      </w:r>
      <w:r w:rsidRPr="00BF2621">
        <w:rPr>
          <w:i/>
          <w:iCs/>
        </w:rPr>
        <w:t>66</w:t>
      </w:r>
      <w:r w:rsidRPr="00BF2621">
        <w:t>(4), 1085-1095.</w:t>
      </w:r>
    </w:p>
    <w:p w14:paraId="2F5A9D32" w14:textId="77777777" w:rsidR="00BF2621" w:rsidRPr="00BF2621" w:rsidRDefault="00BF2621" w:rsidP="00BF2621">
      <w:pPr>
        <w:spacing w:line="360" w:lineRule="auto"/>
        <w:ind w:left="709" w:hanging="709"/>
      </w:pPr>
      <w:r w:rsidRPr="00BF2621">
        <w:t>Durango-Cohen, E. J., Torres, R. L., &amp; Durango-Cohen, P. L. (2013). Donor segmentation: When summary statistics don't tell the whole story. </w:t>
      </w:r>
      <w:r w:rsidRPr="00BF2621">
        <w:rPr>
          <w:i/>
          <w:iCs/>
        </w:rPr>
        <w:t>Journal of Interactive Marketing</w:t>
      </w:r>
      <w:r w:rsidRPr="00BF2621">
        <w:t>, </w:t>
      </w:r>
      <w:r w:rsidRPr="00BF2621">
        <w:rPr>
          <w:i/>
          <w:iCs/>
        </w:rPr>
        <w:t>27</w:t>
      </w:r>
      <w:r w:rsidRPr="00BF2621">
        <w:t>(3), 172-184.</w:t>
      </w:r>
    </w:p>
    <w:p w14:paraId="424D4DF9" w14:textId="77777777" w:rsidR="00BF2621" w:rsidRDefault="00BF2621" w:rsidP="00BF2621">
      <w:pPr>
        <w:spacing w:line="360" w:lineRule="auto"/>
        <w:ind w:left="709" w:hanging="709"/>
      </w:pPr>
      <w:r w:rsidRPr="00BF2621">
        <w:t>Durango-Cohen, E. J., &amp; Balasubramanian, S. K. (2015). Effective segmentation of university alumni: Mining contribution data with finite-mixture models. </w:t>
      </w:r>
      <w:r w:rsidRPr="00BF2621">
        <w:rPr>
          <w:i/>
          <w:iCs/>
        </w:rPr>
        <w:t>Research in Higher Education</w:t>
      </w:r>
      <w:r w:rsidRPr="00BF2621">
        <w:t>, </w:t>
      </w:r>
      <w:r w:rsidRPr="00BF2621">
        <w:rPr>
          <w:i/>
          <w:iCs/>
        </w:rPr>
        <w:t>56</w:t>
      </w:r>
      <w:r w:rsidRPr="00BF2621">
        <w:t>(1), 78-104.</w:t>
      </w:r>
    </w:p>
    <w:p w14:paraId="7F313413" w14:textId="77777777" w:rsidR="00C262A7" w:rsidRPr="00C262A7" w:rsidRDefault="00C262A7" w:rsidP="00C262A7">
      <w:pPr>
        <w:spacing w:line="360" w:lineRule="auto"/>
        <w:ind w:left="709" w:hanging="709"/>
      </w:pPr>
      <w:r w:rsidRPr="00C262A7">
        <w:t>Eckel, C. C., Herberich, D. H., &amp; Meer, J. (2017). A field experiment on directed giving at a public university. </w:t>
      </w:r>
      <w:r w:rsidRPr="00C262A7">
        <w:rPr>
          <w:i/>
          <w:iCs/>
        </w:rPr>
        <w:t>Journal of behavioral and experimental economics</w:t>
      </w:r>
      <w:r w:rsidRPr="00C262A7">
        <w:t>, </w:t>
      </w:r>
      <w:r w:rsidRPr="00C262A7">
        <w:rPr>
          <w:i/>
          <w:iCs/>
        </w:rPr>
        <w:t>66</w:t>
      </w:r>
      <w:r w:rsidRPr="00C262A7">
        <w:t>, 66-71.</w:t>
      </w:r>
    </w:p>
    <w:p w14:paraId="048C0F9C" w14:textId="77777777" w:rsidR="00662EF6" w:rsidRPr="00662EF6" w:rsidRDefault="00662EF6" w:rsidP="00662EF6">
      <w:pPr>
        <w:spacing w:line="360" w:lineRule="auto"/>
        <w:ind w:left="709" w:hanging="709"/>
        <w:rPr>
          <w:lang w:val="en-US"/>
        </w:rPr>
      </w:pPr>
      <w:r w:rsidRPr="00662EF6">
        <w:rPr>
          <w:lang w:val="en-US"/>
        </w:rPr>
        <w:t>Elo, S., H. Kyngäs, 2008, “The qualitative content analysis process”, Journal of Advanced Nursing, 62 (1): 107-115.</w:t>
      </w:r>
    </w:p>
    <w:p w14:paraId="0C3F7911" w14:textId="77777777" w:rsidR="00662EF6" w:rsidRPr="00662EF6" w:rsidRDefault="00662EF6" w:rsidP="00662EF6">
      <w:pPr>
        <w:spacing w:line="360" w:lineRule="auto"/>
        <w:ind w:left="709" w:hanging="709"/>
      </w:pPr>
      <w:r w:rsidRPr="00662EF6">
        <w:t xml:space="preserve">European Commission. (2011). </w:t>
      </w:r>
      <w:r w:rsidRPr="00662EF6">
        <w:rPr>
          <w:i/>
        </w:rPr>
        <w:t>Fundraising from philanthropy in European universities</w:t>
      </w:r>
      <w:r w:rsidRPr="00662EF6">
        <w:t>, Luxembourg. Retrieved from: http://ec.europa.eu/invest-in-research/pdf/download_en/rapport2007_final.pdf</w:t>
      </w:r>
    </w:p>
    <w:p w14:paraId="32892E62" w14:textId="77777777" w:rsidR="000B6D4F" w:rsidRPr="00031D30" w:rsidRDefault="000B6D4F" w:rsidP="000B6D4F">
      <w:pPr>
        <w:spacing w:line="360" w:lineRule="auto"/>
        <w:ind w:left="709" w:hanging="709"/>
        <w:jc w:val="both"/>
        <w:rPr>
          <w:rFonts w:cs="Times New Roman"/>
        </w:rPr>
      </w:pPr>
      <w:r w:rsidRPr="007E5A9F">
        <w:rPr>
          <w:rFonts w:cs="Times New Roman"/>
        </w:rPr>
        <w:t>Farley, K. E. W. (2018). Can Private Donations Help Public Universities Build Bridges Over Troubled Waters?: Practical Lessons for Administrators and Donors. </w:t>
      </w:r>
      <w:r w:rsidRPr="007E5A9F">
        <w:rPr>
          <w:rFonts w:cs="Times New Roman"/>
          <w:i/>
          <w:iCs/>
        </w:rPr>
        <w:t>Public Organization Review</w:t>
      </w:r>
      <w:r w:rsidRPr="007E5A9F">
        <w:rPr>
          <w:rFonts w:cs="Times New Roman"/>
        </w:rPr>
        <w:t>, </w:t>
      </w:r>
      <w:r w:rsidRPr="007E5A9F">
        <w:rPr>
          <w:rFonts w:cs="Times New Roman"/>
          <w:i/>
          <w:iCs/>
        </w:rPr>
        <w:t>18</w:t>
      </w:r>
      <w:r w:rsidRPr="007E5A9F">
        <w:rPr>
          <w:rFonts w:cs="Times New Roman"/>
        </w:rPr>
        <w:t>(2), 175-190.</w:t>
      </w:r>
    </w:p>
    <w:p w14:paraId="434B1E48" w14:textId="77777777" w:rsidR="00103227" w:rsidRPr="00103227" w:rsidRDefault="00103227" w:rsidP="00103227">
      <w:pPr>
        <w:spacing w:line="360" w:lineRule="auto"/>
        <w:ind w:left="709" w:hanging="709"/>
        <w:rPr>
          <w:lang w:val="en-US"/>
        </w:rPr>
      </w:pPr>
      <w:r w:rsidRPr="00103227">
        <w:rPr>
          <w:lang w:val="en-US"/>
        </w:rPr>
        <w:t>Fattore, G. (2005). </w:t>
      </w:r>
      <w:r w:rsidRPr="00103227">
        <w:rPr>
          <w:i/>
          <w:iCs/>
          <w:lang w:val="en-US"/>
        </w:rPr>
        <w:t>Metodi di ricerca in economia aziendale</w:t>
      </w:r>
      <w:r w:rsidRPr="00103227">
        <w:rPr>
          <w:lang w:val="en-US"/>
        </w:rPr>
        <w:t> (pp. 1-206). Milano: Egea.</w:t>
      </w:r>
    </w:p>
    <w:p w14:paraId="01533892" w14:textId="77777777" w:rsidR="00103227" w:rsidRPr="00103227" w:rsidRDefault="00103227" w:rsidP="00103227">
      <w:pPr>
        <w:spacing w:line="360" w:lineRule="auto"/>
        <w:ind w:left="709" w:hanging="709"/>
        <w:rPr>
          <w:lang w:val="en-US"/>
        </w:rPr>
      </w:pPr>
      <w:r w:rsidRPr="00103227">
        <w:rPr>
          <w:lang w:val="en-US"/>
        </w:rPr>
        <w:t>Ferrer-Balas, D., Adachi, J., Banas, S., Davidson, C. I., Hoshikoshi, A., Mishra, A., ... &amp; Ostwald, M. (2008). An international comparative analysis of sustainability transformation across seven universities. </w:t>
      </w:r>
      <w:r w:rsidRPr="00103227">
        <w:rPr>
          <w:i/>
          <w:iCs/>
          <w:lang w:val="en-US"/>
        </w:rPr>
        <w:t>International Journal of Sustainability in Higher Education</w:t>
      </w:r>
      <w:r w:rsidRPr="00103227">
        <w:rPr>
          <w:lang w:val="en-US"/>
        </w:rPr>
        <w:t>, </w:t>
      </w:r>
      <w:r w:rsidRPr="00103227">
        <w:rPr>
          <w:iCs/>
          <w:lang w:val="en-US"/>
        </w:rPr>
        <w:t>9</w:t>
      </w:r>
      <w:r w:rsidRPr="00103227">
        <w:rPr>
          <w:lang w:val="en-US"/>
        </w:rPr>
        <w:t>(3), 295-316.</w:t>
      </w:r>
    </w:p>
    <w:p w14:paraId="70ADD8F5" w14:textId="77777777" w:rsidR="00103227" w:rsidRPr="00103227" w:rsidRDefault="00103227" w:rsidP="00103227">
      <w:pPr>
        <w:spacing w:line="360" w:lineRule="auto"/>
        <w:ind w:left="709" w:hanging="709"/>
        <w:rPr>
          <w:lang w:val="en-US"/>
        </w:rPr>
      </w:pPr>
      <w:r w:rsidRPr="00103227">
        <w:rPr>
          <w:lang w:val="en-US"/>
        </w:rPr>
        <w:t>Ferrer-Balas, D., Lozano, R., Huisingh, D., Buckland, H., Ysern, P., &amp; Zilahy, G. (2010). Going beyond the rhetoric: system-wide changes in universities for sustainable societies. </w:t>
      </w:r>
      <w:r w:rsidRPr="00103227">
        <w:rPr>
          <w:i/>
          <w:iCs/>
          <w:lang w:val="en-US"/>
        </w:rPr>
        <w:t>Journal of Cleaner Production</w:t>
      </w:r>
      <w:r w:rsidRPr="00103227">
        <w:rPr>
          <w:lang w:val="en-US"/>
        </w:rPr>
        <w:t>, </w:t>
      </w:r>
      <w:r w:rsidRPr="00103227">
        <w:rPr>
          <w:iCs/>
          <w:lang w:val="en-US"/>
        </w:rPr>
        <w:t>18</w:t>
      </w:r>
      <w:r w:rsidRPr="00103227">
        <w:rPr>
          <w:lang w:val="en-US"/>
        </w:rPr>
        <w:t>(7), 607-610.</w:t>
      </w:r>
    </w:p>
    <w:p w14:paraId="0CD5722D" w14:textId="77777777" w:rsidR="00BC2D73" w:rsidRPr="00BC2D73" w:rsidRDefault="00BC2D73" w:rsidP="00BC2D73">
      <w:pPr>
        <w:spacing w:line="360" w:lineRule="auto"/>
        <w:ind w:left="709" w:hanging="709"/>
        <w:rPr>
          <w:lang w:val="en-US"/>
        </w:rPr>
      </w:pPr>
      <w:r w:rsidRPr="00BC2D73">
        <w:t xml:space="preserve">Fisher, J. L. (1989). A history of philanthropy. In J. L. Fisher &amp; G. H. Quehl (Eds), </w:t>
      </w:r>
      <w:r w:rsidRPr="00BC2D73">
        <w:rPr>
          <w:i/>
          <w:iCs/>
        </w:rPr>
        <w:t xml:space="preserve">The </w:t>
      </w:r>
      <w:r w:rsidRPr="00BC2D73">
        <w:rPr>
          <w:lang w:val="en-US"/>
        </w:rPr>
        <w:t>Fisher, J.L., 1985, “Role of the Public College or University President in Fund Raising”, in Public College and University Development, Washington, D.C., Council for Advancement and support of Edcuation: 49-56.</w:t>
      </w:r>
    </w:p>
    <w:p w14:paraId="35172D34" w14:textId="77777777" w:rsidR="00BC2D73" w:rsidRDefault="00BC2D73" w:rsidP="00BC2D73">
      <w:pPr>
        <w:spacing w:line="360" w:lineRule="auto"/>
        <w:ind w:left="709" w:hanging="709"/>
      </w:pPr>
      <w:r w:rsidRPr="00BC2D73">
        <w:t>Flack, H. (1932). History of early fund raising. In R.W. Sailor (Ed), </w:t>
      </w:r>
      <w:r w:rsidRPr="00BC2D73">
        <w:rPr>
          <w:i/>
          <w:iCs/>
        </w:rPr>
        <w:t>An alumni fund survey</w:t>
      </w:r>
      <w:r w:rsidRPr="00BC2D73">
        <w:t xml:space="preserve"> (1-9). Ithaca, N.Y.: American Alumni Council.</w:t>
      </w:r>
    </w:p>
    <w:p w14:paraId="0EF87719" w14:textId="59BEC6B7" w:rsidR="000B6D4F" w:rsidRPr="000B6D4F" w:rsidRDefault="000B6D4F" w:rsidP="000B6D4F">
      <w:pPr>
        <w:spacing w:line="360" w:lineRule="auto"/>
        <w:ind w:left="709" w:hanging="709"/>
        <w:jc w:val="both"/>
        <w:rPr>
          <w:rFonts w:cs="Times New Roman"/>
        </w:rPr>
      </w:pPr>
      <w:r w:rsidRPr="00423CC2">
        <w:rPr>
          <w:rFonts w:cs="Times New Roman"/>
        </w:rPr>
        <w:t>Flick, U. (2014). </w:t>
      </w:r>
      <w:r w:rsidRPr="00423CC2">
        <w:rPr>
          <w:rFonts w:cs="Times New Roman"/>
          <w:i/>
          <w:iCs/>
        </w:rPr>
        <w:t>An introduction to qualitative research</w:t>
      </w:r>
      <w:r w:rsidRPr="00423CC2">
        <w:rPr>
          <w:rFonts w:cs="Times New Roman"/>
        </w:rPr>
        <w:t>. Thousand Oaks, CA: Sage.</w:t>
      </w:r>
    </w:p>
    <w:p w14:paraId="552DF5F0" w14:textId="77777777" w:rsidR="00BC2D73" w:rsidRPr="00BC2D73" w:rsidRDefault="00BC2D73" w:rsidP="00BC2D73">
      <w:pPr>
        <w:spacing w:line="360" w:lineRule="auto"/>
        <w:ind w:left="709" w:hanging="709"/>
      </w:pPr>
      <w:r w:rsidRPr="00BC2D73">
        <w:t>Foley, C. (2005). Thoughts on endowment fundraising for libraries. </w:t>
      </w:r>
      <w:r w:rsidRPr="00BC2D73">
        <w:rPr>
          <w:i/>
          <w:iCs/>
        </w:rPr>
        <w:t>The Bottom Line</w:t>
      </w:r>
      <w:r w:rsidRPr="00BC2D73">
        <w:t>, </w:t>
      </w:r>
      <w:r w:rsidRPr="00BC2D73">
        <w:rPr>
          <w:i/>
          <w:iCs/>
        </w:rPr>
        <w:t>18</w:t>
      </w:r>
      <w:r w:rsidRPr="00BC2D73">
        <w:t>(1), 40-42.</w:t>
      </w:r>
    </w:p>
    <w:p w14:paraId="786ADFFA" w14:textId="4A321109" w:rsidR="00220277" w:rsidRPr="00220277" w:rsidRDefault="00220277" w:rsidP="00220277">
      <w:pPr>
        <w:spacing w:line="360" w:lineRule="auto"/>
        <w:ind w:left="709" w:hanging="709"/>
        <w:jc w:val="both"/>
        <w:rPr>
          <w:rFonts w:cs="Times New Roman"/>
        </w:rPr>
      </w:pPr>
      <w:r w:rsidRPr="008A11F8">
        <w:rPr>
          <w:rFonts w:cs="Times New Roman"/>
        </w:rPr>
        <w:t>Foroudastan, S. D., &amp; Saxby, D. (2004, January). The Fundraising “DREAM” Come True. In </w:t>
      </w:r>
      <w:r w:rsidRPr="008A11F8">
        <w:rPr>
          <w:rFonts w:cs="Times New Roman"/>
          <w:i/>
          <w:iCs/>
        </w:rPr>
        <w:t>ASME 2004 International Mechanical Engineering Congress and Exposition</w:t>
      </w:r>
      <w:r w:rsidRPr="008A11F8">
        <w:rPr>
          <w:rFonts w:cs="Times New Roman"/>
        </w:rPr>
        <w:t> (pp. 535-538). American Society of Mechanical Engineers.</w:t>
      </w:r>
    </w:p>
    <w:p w14:paraId="3F928FD5" w14:textId="77777777" w:rsidR="00220277" w:rsidRDefault="00220277" w:rsidP="00220277">
      <w:pPr>
        <w:spacing w:line="360" w:lineRule="auto"/>
        <w:ind w:left="709" w:hanging="709"/>
        <w:jc w:val="both"/>
        <w:rPr>
          <w:rFonts w:cs="Times New Roman"/>
        </w:rPr>
      </w:pPr>
      <w:r w:rsidRPr="0028312D">
        <w:rPr>
          <w:rFonts w:cs="Times New Roman"/>
        </w:rPr>
        <w:t>Francesconi, A., &amp; Guarini, E. (2017). Performance-based funding e sistemi di allocazione delle risorse ai dipartimenti: prime evidenze nelle università italiane. </w:t>
      </w:r>
      <w:r w:rsidRPr="0028312D">
        <w:rPr>
          <w:rFonts w:cs="Times New Roman"/>
          <w:i/>
          <w:iCs/>
        </w:rPr>
        <w:t>Management Control</w:t>
      </w:r>
      <w:r>
        <w:rPr>
          <w:rFonts w:cs="Times New Roman"/>
        </w:rPr>
        <w:t>, 1, 115-136.</w:t>
      </w:r>
    </w:p>
    <w:p w14:paraId="5F40CE0E" w14:textId="77777777" w:rsidR="00BC2D73" w:rsidRPr="00BC2D73" w:rsidRDefault="00BC2D73" w:rsidP="00BC2D73">
      <w:pPr>
        <w:spacing w:line="360" w:lineRule="auto"/>
        <w:ind w:left="709" w:hanging="709"/>
      </w:pPr>
      <w:r w:rsidRPr="00BC2D73">
        <w:t>Freeman, T. M. (2010). Beyond hegemony: Reappraising the history of philanthropy and African-American higher education in the nineteenth century. </w:t>
      </w:r>
      <w:r w:rsidRPr="00BC2D73">
        <w:rPr>
          <w:i/>
          <w:iCs/>
        </w:rPr>
        <w:t>International Journal of Educational Advancement</w:t>
      </w:r>
      <w:r w:rsidRPr="00BC2D73">
        <w:t>, </w:t>
      </w:r>
      <w:r w:rsidRPr="00BC2D73">
        <w:rPr>
          <w:i/>
          <w:iCs/>
        </w:rPr>
        <w:t>10</w:t>
      </w:r>
      <w:r w:rsidRPr="00BC2D73">
        <w:t>(3), 148-165.</w:t>
      </w:r>
    </w:p>
    <w:p w14:paraId="39B8536F" w14:textId="77777777" w:rsidR="00031D30" w:rsidRDefault="00031D30" w:rsidP="00031D30">
      <w:pPr>
        <w:spacing w:line="360" w:lineRule="auto"/>
        <w:ind w:left="709" w:hanging="709"/>
        <w:jc w:val="both"/>
        <w:rPr>
          <w:rFonts w:cs="Times New Roman"/>
        </w:rPr>
      </w:pPr>
      <w:r w:rsidRPr="006D33D0">
        <w:rPr>
          <w:rFonts w:cs="Times New Roman"/>
        </w:rPr>
        <w:t>Freeland, R. E., Spenner, K. I., &amp; McCalmon, G. (2015). I gave at the campus: Exploring student giving and its link to young alumni donations after graduation. </w:t>
      </w:r>
      <w:r w:rsidRPr="006D33D0">
        <w:rPr>
          <w:rFonts w:cs="Times New Roman"/>
          <w:i/>
          <w:iCs/>
        </w:rPr>
        <w:t>Nonprofit and Voluntary Sector Quarterly</w:t>
      </w:r>
      <w:r w:rsidRPr="006D33D0">
        <w:rPr>
          <w:rFonts w:cs="Times New Roman"/>
        </w:rPr>
        <w:t>, </w:t>
      </w:r>
      <w:r w:rsidRPr="006D33D0">
        <w:rPr>
          <w:rFonts w:cs="Times New Roman"/>
          <w:i/>
          <w:iCs/>
        </w:rPr>
        <w:t>44</w:t>
      </w:r>
      <w:r w:rsidRPr="006D33D0">
        <w:rPr>
          <w:rFonts w:cs="Times New Roman"/>
        </w:rPr>
        <w:t>(4), 755-774.</w:t>
      </w:r>
    </w:p>
    <w:p w14:paraId="2AD5010D" w14:textId="77777777" w:rsidR="00031D30" w:rsidRPr="00423CC2" w:rsidRDefault="00031D30" w:rsidP="00031D30">
      <w:pPr>
        <w:spacing w:line="360" w:lineRule="auto"/>
        <w:ind w:left="709" w:hanging="709"/>
        <w:jc w:val="both"/>
        <w:rPr>
          <w:rFonts w:cs="Times New Roman"/>
        </w:rPr>
      </w:pPr>
      <w:r w:rsidRPr="00A650A7">
        <w:rPr>
          <w:rFonts w:cs="Times New Roman"/>
        </w:rPr>
        <w:t>Fritsch, M., &amp; Aamoucke, R. (2013). Regional public research, higher education, and innovative start-ups: An empirical investigation. </w:t>
      </w:r>
      <w:r w:rsidRPr="00A650A7">
        <w:rPr>
          <w:rFonts w:cs="Times New Roman"/>
          <w:i/>
          <w:iCs/>
        </w:rPr>
        <w:t>Small Business Economics</w:t>
      </w:r>
      <w:r w:rsidRPr="00A650A7">
        <w:rPr>
          <w:rFonts w:cs="Times New Roman"/>
        </w:rPr>
        <w:t>, </w:t>
      </w:r>
      <w:r w:rsidRPr="00A650A7">
        <w:rPr>
          <w:rFonts w:cs="Times New Roman"/>
          <w:i/>
          <w:iCs/>
        </w:rPr>
        <w:t>41</w:t>
      </w:r>
      <w:r w:rsidRPr="00A650A7">
        <w:rPr>
          <w:rFonts w:cs="Times New Roman"/>
        </w:rPr>
        <w:t>(4), 865-885.</w:t>
      </w:r>
    </w:p>
    <w:p w14:paraId="75F216B6" w14:textId="173C7394" w:rsidR="002C77F5" w:rsidRDefault="00103227" w:rsidP="00103227">
      <w:pPr>
        <w:spacing w:line="360" w:lineRule="auto"/>
        <w:ind w:left="709" w:hanging="709"/>
        <w:rPr>
          <w:lang w:val="en-US"/>
        </w:rPr>
      </w:pPr>
      <w:r w:rsidRPr="00103227">
        <w:rPr>
          <w:lang w:val="en-US"/>
        </w:rPr>
        <w:t>Futko, J. (2014). Equity vs. Debt Crowdfunding–Crowdfund Insider. </w:t>
      </w:r>
      <w:r w:rsidRPr="00103227">
        <w:rPr>
          <w:iCs/>
          <w:lang w:val="en-US"/>
        </w:rPr>
        <w:t>Accessed November</w:t>
      </w:r>
      <w:r w:rsidRPr="00103227">
        <w:rPr>
          <w:lang w:val="en-US"/>
        </w:rPr>
        <w:t>, </w:t>
      </w:r>
      <w:r w:rsidRPr="00103227">
        <w:rPr>
          <w:iCs/>
          <w:lang w:val="en-US"/>
        </w:rPr>
        <w:t>9</w:t>
      </w:r>
      <w:r w:rsidRPr="00103227">
        <w:rPr>
          <w:lang w:val="en-US"/>
        </w:rPr>
        <w:t xml:space="preserve">, 2014. Available on </w:t>
      </w:r>
      <w:hyperlink r:id="rId34" w:history="1">
        <w:r w:rsidRPr="00103227">
          <w:rPr>
            <w:rStyle w:val="Collegamentoipertestuale"/>
            <w:lang w:val="en-US"/>
          </w:rPr>
          <w:t>www.crowdfundinsider.com/2014/09/50628-equity-vs-debt-crowdfunding</w:t>
        </w:r>
      </w:hyperlink>
    </w:p>
    <w:p w14:paraId="45FF1AF3" w14:textId="77777777" w:rsidR="00154DA1" w:rsidRDefault="00154DA1" w:rsidP="00154DA1">
      <w:pPr>
        <w:spacing w:line="360" w:lineRule="auto"/>
        <w:ind w:left="709" w:hanging="709"/>
      </w:pPr>
      <w:r w:rsidRPr="00154DA1">
        <w:t>Galyean, T. W. (2006). Advancement 101: beginning a program at an American research library. </w:t>
      </w:r>
      <w:r w:rsidRPr="00154DA1">
        <w:rPr>
          <w:i/>
          <w:iCs/>
        </w:rPr>
        <w:t>The Bottom Line</w:t>
      </w:r>
      <w:r w:rsidRPr="00154DA1">
        <w:t>, </w:t>
      </w:r>
      <w:r w:rsidRPr="00154DA1">
        <w:rPr>
          <w:i/>
          <w:iCs/>
        </w:rPr>
        <w:t>19</w:t>
      </w:r>
      <w:r w:rsidRPr="00154DA1">
        <w:t>(1), 40-43.</w:t>
      </w:r>
    </w:p>
    <w:p w14:paraId="36AE61D7" w14:textId="3EF13527" w:rsidR="005D58D0" w:rsidRPr="005D58D0" w:rsidRDefault="005D58D0" w:rsidP="005D58D0">
      <w:pPr>
        <w:spacing w:line="360" w:lineRule="auto"/>
        <w:ind w:left="709" w:hanging="709"/>
        <w:rPr>
          <w:lang w:val="en-US"/>
        </w:rPr>
      </w:pPr>
      <w:r w:rsidRPr="005D58D0">
        <w:rPr>
          <w:lang w:val="en-US"/>
        </w:rPr>
        <w:t xml:space="preserve">Giudici, G., Nava, R., Rossi Lamastra, C., &amp; Verecondo, C. (2012). Crowdfunding: The new frontier for financing entrepreneurship?. </w:t>
      </w:r>
      <w:r w:rsidRPr="005D58D0">
        <w:rPr>
          <w:i/>
          <w:lang w:val="en-US"/>
        </w:rPr>
        <w:t>SSRN Working Paper No 2157429.</w:t>
      </w:r>
    </w:p>
    <w:p w14:paraId="4928F391" w14:textId="77777777" w:rsidR="00BF506C" w:rsidRPr="00D35918" w:rsidRDefault="00BF506C" w:rsidP="00BF506C">
      <w:pPr>
        <w:spacing w:line="360" w:lineRule="auto"/>
        <w:ind w:left="709" w:hanging="709"/>
      </w:pPr>
      <w:r w:rsidRPr="00D35918">
        <w:t xml:space="preserve">Glaser, B. (1978). </w:t>
      </w:r>
      <w:r w:rsidRPr="00D35918">
        <w:rPr>
          <w:i/>
        </w:rPr>
        <w:t>Theoretical sensitivity. </w:t>
      </w:r>
      <w:r w:rsidRPr="00D35918">
        <w:rPr>
          <w:i/>
          <w:iCs/>
        </w:rPr>
        <w:t>Advances in the methodology of grounded theory</w:t>
      </w:r>
      <w:r w:rsidRPr="00D35918">
        <w:rPr>
          <w:i/>
        </w:rPr>
        <w:t xml:space="preserve">. </w:t>
      </w:r>
      <w:r w:rsidRPr="00D35918">
        <w:t>Mill Valley, CA: Sociology Press.</w:t>
      </w:r>
    </w:p>
    <w:p w14:paraId="4314EFBF" w14:textId="77777777" w:rsidR="00BF506C" w:rsidRPr="00D35918" w:rsidRDefault="00BF506C" w:rsidP="00BF506C">
      <w:pPr>
        <w:spacing w:line="360" w:lineRule="auto"/>
        <w:ind w:left="709" w:hanging="709"/>
      </w:pPr>
      <w:r w:rsidRPr="00D35918">
        <w:t xml:space="preserve">Glaser, B. G., &amp; Strauss, A. L. (1967). </w:t>
      </w:r>
      <w:r w:rsidRPr="00D35918">
        <w:rPr>
          <w:i/>
        </w:rPr>
        <w:t>The discovery of grounded theory: strategies for qualitative theory. </w:t>
      </w:r>
      <w:r w:rsidRPr="00D35918">
        <w:rPr>
          <w:iCs/>
        </w:rPr>
        <w:t>New Brunswick, Canada: Aldine Transaction</w:t>
      </w:r>
      <w:r w:rsidRPr="00D35918">
        <w:t>.</w:t>
      </w:r>
    </w:p>
    <w:p w14:paraId="2AF044CE" w14:textId="77777777" w:rsidR="00154DA1" w:rsidRPr="00154DA1" w:rsidRDefault="00154DA1" w:rsidP="00154DA1">
      <w:pPr>
        <w:spacing w:line="360" w:lineRule="auto"/>
        <w:ind w:left="709" w:hanging="709"/>
        <w:rPr>
          <w:iCs/>
          <w:lang w:val="en-US"/>
        </w:rPr>
      </w:pPr>
      <w:r w:rsidRPr="00154DA1">
        <w:rPr>
          <w:iCs/>
          <w:lang w:val="en-US"/>
        </w:rPr>
        <w:t xml:space="preserve">Goering, E., Connor, U. M., Nagelhout, E., &amp; Steinberg, R. (2009). Persuasion in Fundraising Letters. </w:t>
      </w:r>
      <w:r w:rsidRPr="00154DA1">
        <w:rPr>
          <w:i/>
          <w:iCs/>
          <w:lang w:val="en-US"/>
        </w:rPr>
        <w:t>Nonprofit and Voluntary Sector Quarterly, 40</w:t>
      </w:r>
      <w:r w:rsidRPr="00154DA1">
        <w:rPr>
          <w:iCs/>
          <w:lang w:val="en-US"/>
        </w:rPr>
        <w:t>(2), 228-246.</w:t>
      </w:r>
    </w:p>
    <w:p w14:paraId="3BE66415" w14:textId="77777777" w:rsidR="00D35918" w:rsidRDefault="00D35918" w:rsidP="00D35918">
      <w:pPr>
        <w:spacing w:line="360" w:lineRule="auto"/>
        <w:ind w:left="709" w:hanging="709"/>
      </w:pPr>
      <w:r w:rsidRPr="00D35918">
        <w:t>Groves, R. M., Fowler Jr, F. J., Couper, M. P., Lepkowski, J. M., Singer, E., &amp; Tourangeau, R. (2011). </w:t>
      </w:r>
      <w:r w:rsidRPr="00D35918">
        <w:rPr>
          <w:i/>
          <w:iCs/>
        </w:rPr>
        <w:t>Survey methodology</w:t>
      </w:r>
      <w:r w:rsidRPr="00D35918">
        <w:t> (Vol. 561). John Wiley &amp; Sons.</w:t>
      </w:r>
    </w:p>
    <w:p w14:paraId="24FF3EB7" w14:textId="77777777" w:rsidR="00CF601D" w:rsidRPr="00CF601D" w:rsidRDefault="00CF601D" w:rsidP="00CF601D">
      <w:pPr>
        <w:spacing w:line="360" w:lineRule="auto"/>
        <w:ind w:left="709" w:hanging="709"/>
        <w:rPr>
          <w:lang w:val="en-US"/>
        </w:rPr>
      </w:pPr>
      <w:r w:rsidRPr="00CF601D">
        <w:rPr>
          <w:lang w:val="en-US"/>
        </w:rPr>
        <w:t>Hałaburda, H., &amp; Yehezkel, Y. (2016). The Role of Coordination Bias in Platform Competition. </w:t>
      </w:r>
      <w:r w:rsidRPr="00CF601D">
        <w:rPr>
          <w:i/>
          <w:iCs/>
          <w:lang w:val="en-US"/>
        </w:rPr>
        <w:t>Journal of Economics &amp; Management Strategy</w:t>
      </w:r>
      <w:r w:rsidRPr="00CF601D">
        <w:rPr>
          <w:lang w:val="en-US"/>
        </w:rPr>
        <w:t>, </w:t>
      </w:r>
      <w:r w:rsidRPr="00CF601D">
        <w:rPr>
          <w:iCs/>
          <w:lang w:val="en-US"/>
        </w:rPr>
        <w:t>25</w:t>
      </w:r>
      <w:r w:rsidRPr="00CF601D">
        <w:rPr>
          <w:lang w:val="en-US"/>
        </w:rPr>
        <w:t>(2), 274-312.</w:t>
      </w:r>
    </w:p>
    <w:p w14:paraId="6F15C02E" w14:textId="3ADE08BF" w:rsidR="00CF601D" w:rsidRPr="00CF601D" w:rsidRDefault="00CF601D" w:rsidP="00CF601D">
      <w:pPr>
        <w:spacing w:line="360" w:lineRule="auto"/>
        <w:ind w:left="709" w:hanging="709"/>
        <w:rPr>
          <w:lang w:val="en-US"/>
        </w:rPr>
      </w:pPr>
      <w:r w:rsidRPr="00CF601D">
        <w:rPr>
          <w:lang w:val="en-US"/>
        </w:rPr>
        <w:t>Hales, D. (2008). Sustainability and Higher Education. </w:t>
      </w:r>
      <w:r w:rsidRPr="00CF601D">
        <w:rPr>
          <w:i/>
          <w:iCs/>
          <w:lang w:val="en-US"/>
        </w:rPr>
        <w:t>New England Journal of Higher Education</w:t>
      </w:r>
      <w:r w:rsidRPr="00CF601D">
        <w:rPr>
          <w:lang w:val="en-US"/>
        </w:rPr>
        <w:t>, </w:t>
      </w:r>
      <w:r w:rsidRPr="00CF601D">
        <w:rPr>
          <w:iCs/>
          <w:lang w:val="en-US"/>
        </w:rPr>
        <w:t>23</w:t>
      </w:r>
      <w:r w:rsidRPr="00CF601D">
        <w:rPr>
          <w:lang w:val="en-US"/>
        </w:rPr>
        <w:t>(2), 23-24.</w:t>
      </w:r>
    </w:p>
    <w:p w14:paraId="307A8C6A" w14:textId="77777777" w:rsidR="00CF601D" w:rsidRPr="00CF601D" w:rsidRDefault="00CF601D" w:rsidP="00CF601D">
      <w:pPr>
        <w:spacing w:line="360" w:lineRule="auto"/>
        <w:ind w:left="709" w:hanging="709"/>
        <w:rPr>
          <w:lang w:val="en-US"/>
        </w:rPr>
      </w:pPr>
      <w:r w:rsidRPr="00CF601D">
        <w:rPr>
          <w:lang w:val="en-US"/>
        </w:rPr>
        <w:t xml:space="preserve">Hertley, J. (2005). Innovation in Governance and Public Services: Past and Present. </w:t>
      </w:r>
      <w:r w:rsidRPr="00CF601D">
        <w:rPr>
          <w:i/>
          <w:lang w:val="en-US"/>
        </w:rPr>
        <w:t>Public Money and Management</w:t>
      </w:r>
      <w:r w:rsidRPr="00CF601D">
        <w:rPr>
          <w:lang w:val="en-US"/>
        </w:rPr>
        <w:t>, 25(1), 27-34.</w:t>
      </w:r>
    </w:p>
    <w:p w14:paraId="5A2AA329" w14:textId="7BDBD096" w:rsidR="00CF601D" w:rsidRPr="00CF601D" w:rsidRDefault="00CF601D" w:rsidP="00CF601D">
      <w:pPr>
        <w:spacing w:line="360" w:lineRule="auto"/>
        <w:ind w:left="709" w:hanging="709"/>
        <w:rPr>
          <w:lang w:val="en-US"/>
        </w:rPr>
      </w:pPr>
      <w:r w:rsidRPr="00CF601D">
        <w:rPr>
          <w:lang w:val="en-US"/>
        </w:rPr>
        <w:t>Hemer, J. (2011). </w:t>
      </w:r>
      <w:r w:rsidRPr="00CF601D">
        <w:rPr>
          <w:i/>
          <w:iCs/>
          <w:lang w:val="en-US"/>
        </w:rPr>
        <w:t>A snapshot on crowdfunding</w:t>
      </w:r>
      <w:r w:rsidRPr="00CF601D">
        <w:rPr>
          <w:lang w:val="en-US"/>
        </w:rPr>
        <w:t> (No. R2/2011). Working papers firms and region.</w:t>
      </w:r>
    </w:p>
    <w:p w14:paraId="14BF4B7D" w14:textId="77777777" w:rsidR="00671A43" w:rsidRPr="00671A43" w:rsidRDefault="00671A43" w:rsidP="00671A43">
      <w:pPr>
        <w:spacing w:line="360" w:lineRule="auto"/>
        <w:ind w:left="709" w:hanging="709"/>
      </w:pPr>
      <w:r w:rsidRPr="00671A43">
        <w:t xml:space="preserve">Hekmat, F., &amp; Heischmidt, K.A. (1993). Application of program life cycle concept for fund raising strategies in higher education. </w:t>
      </w:r>
      <w:r w:rsidRPr="00671A43">
        <w:rPr>
          <w:i/>
        </w:rPr>
        <w:t>Journal of Marketing for Higher Education, 4</w:t>
      </w:r>
      <w:r w:rsidRPr="00671A43">
        <w:t>(1-2), 25-44.</w:t>
      </w:r>
    </w:p>
    <w:p w14:paraId="09BFA739" w14:textId="77777777" w:rsidR="00671A43" w:rsidRDefault="00671A43" w:rsidP="00671A43">
      <w:pPr>
        <w:spacing w:line="360" w:lineRule="auto"/>
        <w:ind w:left="709" w:hanging="709"/>
      </w:pPr>
      <w:r w:rsidRPr="00671A43">
        <w:t>Hillman, A. J., Withers, M. C., &amp; Collins, B. J. (2009). Resource dependence theory: A review. </w:t>
      </w:r>
      <w:r w:rsidRPr="00671A43">
        <w:rPr>
          <w:i/>
          <w:iCs/>
        </w:rPr>
        <w:t>Journal of management</w:t>
      </w:r>
      <w:r w:rsidRPr="00671A43">
        <w:t>, </w:t>
      </w:r>
      <w:r w:rsidRPr="00671A43">
        <w:rPr>
          <w:i/>
          <w:iCs/>
        </w:rPr>
        <w:t>35</w:t>
      </w:r>
      <w:r w:rsidRPr="00671A43">
        <w:t>(6), 1404-1427.</w:t>
      </w:r>
    </w:p>
    <w:p w14:paraId="0C9A4F7F" w14:textId="77777777" w:rsidR="009C1FCF" w:rsidRPr="009C1FCF" w:rsidRDefault="009C1FCF" w:rsidP="009C1FCF">
      <w:pPr>
        <w:spacing w:line="360" w:lineRule="auto"/>
        <w:ind w:left="709" w:hanging="709"/>
        <w:rPr>
          <w:lang w:val="en-US"/>
        </w:rPr>
      </w:pPr>
      <w:r w:rsidRPr="009C1FCF">
        <w:rPr>
          <w:lang w:val="en-US"/>
        </w:rPr>
        <w:t xml:space="preserve">Hodson, Bradford J., 2010, “Leading the Way: The Role of Presidents and Academic Deans in Fundraising”, New Directions for Higher Education, 149; </w:t>
      </w:r>
      <w:hyperlink r:id="rId35" w:history="1">
        <w:r w:rsidRPr="009C1FCF">
          <w:rPr>
            <w:rStyle w:val="Collegamentoipertestuale"/>
            <w:lang w:val="en-US"/>
          </w:rPr>
          <w:t>www.interscience.wiley.com</w:t>
        </w:r>
      </w:hyperlink>
      <w:r w:rsidRPr="009C1FCF">
        <w:rPr>
          <w:lang w:val="en-US"/>
        </w:rPr>
        <w:t>: 39-49.</w:t>
      </w:r>
    </w:p>
    <w:p w14:paraId="20440DA1" w14:textId="77777777" w:rsidR="00671A43" w:rsidRPr="00671A43" w:rsidRDefault="00671A43" w:rsidP="00671A43">
      <w:pPr>
        <w:spacing w:line="360" w:lineRule="auto"/>
        <w:ind w:left="709" w:hanging="709"/>
        <w:rPr>
          <w:iCs/>
          <w:lang w:val="en-US"/>
        </w:rPr>
      </w:pPr>
      <w:r w:rsidRPr="00671A43">
        <w:rPr>
          <w:iCs/>
          <w:lang w:val="en-US"/>
        </w:rPr>
        <w:t>Holmes, R. J. (2010). The challenge of funding fundraising. </w:t>
      </w:r>
      <w:r w:rsidRPr="00671A43">
        <w:rPr>
          <w:i/>
          <w:iCs/>
          <w:lang w:val="en-US"/>
        </w:rPr>
        <w:t>New Directions for Higher Education</w:t>
      </w:r>
      <w:r w:rsidRPr="00671A43">
        <w:rPr>
          <w:iCs/>
          <w:lang w:val="en-US"/>
        </w:rPr>
        <w:t>, </w:t>
      </w:r>
      <w:r w:rsidRPr="00671A43">
        <w:rPr>
          <w:i/>
          <w:iCs/>
          <w:lang w:val="en-US"/>
        </w:rPr>
        <w:t>2010</w:t>
      </w:r>
      <w:r w:rsidRPr="00671A43">
        <w:rPr>
          <w:iCs/>
          <w:lang w:val="en-US"/>
        </w:rPr>
        <w:t>(149), 27-37.</w:t>
      </w:r>
    </w:p>
    <w:p w14:paraId="1D27ABB1" w14:textId="77777777" w:rsidR="00356124" w:rsidRPr="00356124" w:rsidRDefault="00356124" w:rsidP="00356124">
      <w:pPr>
        <w:spacing w:line="360" w:lineRule="auto"/>
        <w:ind w:left="709" w:hanging="709"/>
      </w:pPr>
      <w:r w:rsidRPr="00356124">
        <w:t>Horta, H., Cattaneo, M., &amp; Meoli, M. (2018). PhD funding as a determinant of PhD and career research performance. </w:t>
      </w:r>
      <w:r w:rsidRPr="00356124">
        <w:rPr>
          <w:i/>
          <w:iCs/>
        </w:rPr>
        <w:t>Studies in Higher Education</w:t>
      </w:r>
      <w:r w:rsidRPr="00356124">
        <w:t>, </w:t>
      </w:r>
      <w:r w:rsidRPr="00356124">
        <w:rPr>
          <w:i/>
          <w:iCs/>
        </w:rPr>
        <w:t>43</w:t>
      </w:r>
      <w:r w:rsidRPr="00356124">
        <w:t>(3), 542-570.</w:t>
      </w:r>
    </w:p>
    <w:p w14:paraId="15F26225" w14:textId="77777777" w:rsidR="00356124" w:rsidRPr="00356124" w:rsidRDefault="00356124" w:rsidP="00356124">
      <w:pPr>
        <w:spacing w:line="360" w:lineRule="auto"/>
        <w:ind w:left="709" w:hanging="709"/>
      </w:pPr>
      <w:r w:rsidRPr="00356124">
        <w:t>Hood, C. (1991). A public management for all seasons?. </w:t>
      </w:r>
      <w:r w:rsidRPr="00356124">
        <w:rPr>
          <w:i/>
          <w:iCs/>
        </w:rPr>
        <w:t>Public administration</w:t>
      </w:r>
      <w:r w:rsidRPr="00356124">
        <w:t>, </w:t>
      </w:r>
      <w:r w:rsidRPr="00356124">
        <w:rPr>
          <w:i/>
          <w:iCs/>
        </w:rPr>
        <w:t>69</w:t>
      </w:r>
      <w:r w:rsidRPr="00356124">
        <w:t>(1), 3-19.</w:t>
      </w:r>
    </w:p>
    <w:p w14:paraId="0EABEBCD" w14:textId="77777777" w:rsidR="00356124" w:rsidRPr="00356124" w:rsidRDefault="00356124" w:rsidP="00356124">
      <w:pPr>
        <w:spacing w:line="360" w:lineRule="auto"/>
        <w:ind w:left="709" w:hanging="709"/>
      </w:pPr>
      <w:r w:rsidRPr="00356124">
        <w:t>Hood, C. (1995). The “New Public Management” in the 1980s: variations on a theme. </w:t>
      </w:r>
      <w:r w:rsidRPr="00356124">
        <w:rPr>
          <w:i/>
          <w:iCs/>
        </w:rPr>
        <w:t>Accounting, organizations and society</w:t>
      </w:r>
      <w:r w:rsidRPr="00356124">
        <w:t>, </w:t>
      </w:r>
      <w:r w:rsidRPr="00356124">
        <w:rPr>
          <w:i/>
          <w:iCs/>
        </w:rPr>
        <w:t>20</w:t>
      </w:r>
      <w:r w:rsidRPr="00356124">
        <w:t>(2-3), 93-109.</w:t>
      </w:r>
    </w:p>
    <w:p w14:paraId="187EDAA6" w14:textId="77777777" w:rsidR="00671A43" w:rsidRPr="00671A43" w:rsidRDefault="00671A43" w:rsidP="00671A43">
      <w:pPr>
        <w:spacing w:line="360" w:lineRule="auto"/>
        <w:ind w:left="709" w:hanging="709"/>
      </w:pPr>
      <w:r w:rsidRPr="00671A43">
        <w:t>Howe, J. (2006). The rise of crowdsourcing. </w:t>
      </w:r>
      <w:r w:rsidRPr="00671A43">
        <w:rPr>
          <w:i/>
          <w:iCs/>
        </w:rPr>
        <w:t>Wired magazine</w:t>
      </w:r>
      <w:r w:rsidRPr="00671A43">
        <w:t>, </w:t>
      </w:r>
      <w:r w:rsidRPr="00671A43">
        <w:rPr>
          <w:i/>
          <w:iCs/>
        </w:rPr>
        <w:t>14</w:t>
      </w:r>
      <w:r w:rsidRPr="00671A43">
        <w:t>(6), 1-4.</w:t>
      </w:r>
    </w:p>
    <w:p w14:paraId="5596DAD6" w14:textId="77777777" w:rsidR="00671A43" w:rsidRPr="00671A43" w:rsidRDefault="00671A43" w:rsidP="00671A43">
      <w:pPr>
        <w:spacing w:line="360" w:lineRule="auto"/>
        <w:ind w:left="709" w:hanging="709"/>
      </w:pPr>
      <w:r w:rsidRPr="00671A43">
        <w:t xml:space="preserve">Hufton, D.O. (2008). Faith, hope and money: The Jesuits and the genesis of fundraising for education, 1550-1650. </w:t>
      </w:r>
      <w:r w:rsidRPr="00671A43">
        <w:rPr>
          <w:i/>
        </w:rPr>
        <w:t>Historical Research, 81</w:t>
      </w:r>
      <w:r w:rsidRPr="00671A43">
        <w:t>(214), 1-20.</w:t>
      </w:r>
    </w:p>
    <w:p w14:paraId="175616FE" w14:textId="77777777" w:rsidR="00671A43" w:rsidRPr="00671A43" w:rsidRDefault="00671A43" w:rsidP="00671A43">
      <w:pPr>
        <w:spacing w:line="360" w:lineRule="auto"/>
        <w:ind w:left="709" w:hanging="709"/>
      </w:pPr>
      <w:r w:rsidRPr="00671A43">
        <w:t>Huynh, T., &amp; Patton, D. (2015). Early-Stage Financing of University Spin-Offs: The.  Impact of Entrepreneurial Capabilities and Social Networks of Founding Teams During Start-ups. In </w:t>
      </w:r>
      <w:r w:rsidRPr="00671A43">
        <w:rPr>
          <w:i/>
          <w:iCs/>
        </w:rPr>
        <w:t>ECIE2015-10th European Conference on Innovation and Entrepreneurship: ECIE 2015</w:t>
      </w:r>
      <w:r w:rsidRPr="00671A43">
        <w:t> (p. 272). Academic Conferences and publishing limited.</w:t>
      </w:r>
    </w:p>
    <w:p w14:paraId="5CBCBA2E" w14:textId="77777777" w:rsidR="00671A43" w:rsidRPr="00671A43" w:rsidRDefault="00671A43" w:rsidP="00671A43">
      <w:pPr>
        <w:spacing w:line="360" w:lineRule="auto"/>
        <w:ind w:left="709" w:hanging="709"/>
      </w:pPr>
      <w:r w:rsidRPr="00671A43">
        <w:t>Huynh, T. (2016). Early-stage fundraising of university spin-offs: a study through demand-site perspectives. </w:t>
      </w:r>
      <w:r w:rsidRPr="00671A43">
        <w:rPr>
          <w:i/>
          <w:iCs/>
        </w:rPr>
        <w:t>Venture Capital</w:t>
      </w:r>
      <w:r w:rsidRPr="00671A43">
        <w:t>, </w:t>
      </w:r>
      <w:r w:rsidRPr="00671A43">
        <w:rPr>
          <w:i/>
          <w:iCs/>
        </w:rPr>
        <w:t>18</w:t>
      </w:r>
      <w:r w:rsidRPr="00671A43">
        <w:t>(4), 345-367.</w:t>
      </w:r>
    </w:p>
    <w:p w14:paraId="6E9A0844" w14:textId="77777777" w:rsidR="00CF601D" w:rsidRPr="00CF601D" w:rsidRDefault="00CF601D" w:rsidP="00CF601D">
      <w:pPr>
        <w:spacing w:line="360" w:lineRule="auto"/>
        <w:ind w:left="709" w:hanging="709"/>
      </w:pPr>
      <w:r w:rsidRPr="00CF601D">
        <w:t>Iorio, R., Labory, S., &amp; Rentocchini, F. (2017). The importance of pro-social behaviour for the breadth and depth of knowledge transfer activities: An analysis of Italian academic scientists. </w:t>
      </w:r>
      <w:r w:rsidRPr="00CF601D">
        <w:rPr>
          <w:i/>
          <w:iCs/>
        </w:rPr>
        <w:t>Research Policy</w:t>
      </w:r>
      <w:r w:rsidRPr="00CF601D">
        <w:t>, </w:t>
      </w:r>
      <w:r w:rsidRPr="00CF601D">
        <w:rPr>
          <w:i/>
          <w:iCs/>
        </w:rPr>
        <w:t>46</w:t>
      </w:r>
      <w:r w:rsidRPr="00CF601D">
        <w:t>(2), 497-509.</w:t>
      </w:r>
    </w:p>
    <w:p w14:paraId="3D25CBB9" w14:textId="77777777" w:rsidR="00CF601D" w:rsidRPr="00CF601D" w:rsidRDefault="00CF601D" w:rsidP="00CF601D">
      <w:pPr>
        <w:spacing w:line="360" w:lineRule="auto"/>
        <w:ind w:left="709" w:hanging="709"/>
      </w:pPr>
      <w:r w:rsidRPr="00CF601D">
        <w:t>Jacobson, H. K. (1990). </w:t>
      </w:r>
      <w:r w:rsidRPr="00CF601D">
        <w:rPr>
          <w:i/>
          <w:iCs/>
        </w:rPr>
        <w:t>The evolution of institutional advancement on American campuses, 1636-1989</w:t>
      </w:r>
      <w:r w:rsidRPr="00CF601D">
        <w:t>. Oshkosh, Wisc.: Journalism Research Bureau.</w:t>
      </w:r>
    </w:p>
    <w:p w14:paraId="5B6F9FA6" w14:textId="77777777" w:rsidR="00CF601D" w:rsidRPr="00CF601D" w:rsidRDefault="00CF601D" w:rsidP="00CF601D">
      <w:pPr>
        <w:spacing w:line="360" w:lineRule="auto"/>
        <w:ind w:left="709" w:hanging="709"/>
      </w:pPr>
      <w:r w:rsidRPr="00CF601D">
        <w:t>Kaplan, R. S., Norton, D. P., Bubbio, A., &amp; Protasoni, R. (2006). </w:t>
      </w:r>
      <w:r w:rsidRPr="00CF601D">
        <w:rPr>
          <w:i/>
          <w:iCs/>
        </w:rPr>
        <w:t>Allineamento strategico: come usare le Balanced Scorecard per aumentare la competitività</w:t>
      </w:r>
      <w:r w:rsidRPr="00CF601D">
        <w:t>. Isedi.</w:t>
      </w:r>
    </w:p>
    <w:p w14:paraId="644C7F2A" w14:textId="77777777" w:rsidR="00CF601D" w:rsidRPr="00CF601D" w:rsidRDefault="00CF601D" w:rsidP="00CF601D">
      <w:pPr>
        <w:spacing w:line="360" w:lineRule="auto"/>
        <w:ind w:left="709" w:hanging="709"/>
        <w:rPr>
          <w:lang w:val="en-US"/>
        </w:rPr>
      </w:pPr>
      <w:r w:rsidRPr="00CF601D">
        <w:rPr>
          <w:lang w:val="en-US"/>
        </w:rPr>
        <w:t xml:space="preserve">Kauffman, B., 2004, Juggling Act: Todays College or University President Must Be a Champion Fundraiser and a Strong Internal Leader. University Business, 7 (7): 50-52. </w:t>
      </w:r>
    </w:p>
    <w:p w14:paraId="3DFF82EB" w14:textId="77777777" w:rsidR="00CF601D" w:rsidRPr="00CF601D" w:rsidRDefault="00CF601D" w:rsidP="00CF601D">
      <w:pPr>
        <w:spacing w:line="360" w:lineRule="auto"/>
        <w:ind w:left="709" w:hanging="709"/>
      </w:pPr>
      <w:r w:rsidRPr="00CF601D">
        <w:t>Kelly, K. S. (1991). </w:t>
      </w:r>
      <w:r w:rsidRPr="00CF601D">
        <w:rPr>
          <w:i/>
          <w:iCs/>
        </w:rPr>
        <w:t>Fund raising and public relations: A critical analysis</w:t>
      </w:r>
      <w:r w:rsidRPr="00CF601D">
        <w:t>. Hillsdale, N.J.: Lawrence Erlbaum Associates.</w:t>
      </w:r>
    </w:p>
    <w:p w14:paraId="39566A9F" w14:textId="77777777" w:rsidR="00CF601D" w:rsidRPr="00CF601D" w:rsidRDefault="00CF601D" w:rsidP="00CF601D">
      <w:pPr>
        <w:spacing w:line="360" w:lineRule="auto"/>
        <w:ind w:left="709" w:hanging="709"/>
      </w:pPr>
      <w:r w:rsidRPr="00CF601D">
        <w:t>Kettl, D. F. (1997). The global revolution in public management: Driving themes, missing links. </w:t>
      </w:r>
      <w:r w:rsidRPr="00CF601D">
        <w:rPr>
          <w:i/>
          <w:iCs/>
        </w:rPr>
        <w:t>Journal of Policy Analysis and Management: The Journal of the Association for Public Policy Analysis and Management</w:t>
      </w:r>
      <w:r w:rsidRPr="00CF601D">
        <w:t>, </w:t>
      </w:r>
      <w:r w:rsidRPr="00CF601D">
        <w:rPr>
          <w:i/>
          <w:iCs/>
        </w:rPr>
        <w:t>16</w:t>
      </w:r>
      <w:r w:rsidRPr="00CF601D">
        <w:t>(3), 446-462.</w:t>
      </w:r>
    </w:p>
    <w:p w14:paraId="0BABF447" w14:textId="77777777" w:rsidR="00CF601D" w:rsidRPr="00CF601D" w:rsidRDefault="00CF601D" w:rsidP="00CF601D">
      <w:pPr>
        <w:spacing w:line="360" w:lineRule="auto"/>
        <w:ind w:left="709" w:hanging="709"/>
      </w:pPr>
      <w:r w:rsidRPr="00CF601D">
        <w:t>Kimball, B. A. (2014). The first campaign and the paradoxical transformation of fundraising in American higher education, 1915-1925. </w:t>
      </w:r>
      <w:r w:rsidRPr="00CF601D">
        <w:rPr>
          <w:i/>
          <w:iCs/>
        </w:rPr>
        <w:t>Teachers College Record</w:t>
      </w:r>
      <w:r w:rsidRPr="00CF601D">
        <w:t>, </w:t>
      </w:r>
      <w:r w:rsidRPr="00CF601D">
        <w:rPr>
          <w:i/>
          <w:iCs/>
        </w:rPr>
        <w:t>116</w:t>
      </w:r>
      <w:r w:rsidRPr="00CF601D">
        <w:t>(7).</w:t>
      </w:r>
    </w:p>
    <w:p w14:paraId="3E2AACE6" w14:textId="77777777" w:rsidR="00D52041" w:rsidRPr="00D52041" w:rsidRDefault="00D52041" w:rsidP="00D52041">
      <w:pPr>
        <w:spacing w:line="360" w:lineRule="auto"/>
        <w:ind w:left="709" w:hanging="709"/>
        <w:rPr>
          <w:lang w:val="en-US"/>
        </w:rPr>
      </w:pPr>
      <w:r w:rsidRPr="00D52041">
        <w:rPr>
          <w:lang w:val="en-US"/>
        </w:rPr>
        <w:t>Kleemann, F., Voß, G. G., &amp; Rieder, K. (2008). Un (der) paid innovators: The commercial utiliza-tion of consumer work through crowdsourcing. </w:t>
      </w:r>
      <w:r w:rsidRPr="00D52041">
        <w:rPr>
          <w:i/>
          <w:iCs/>
          <w:lang w:val="en-US"/>
        </w:rPr>
        <w:t>Science, technology &amp; innovation studies</w:t>
      </w:r>
      <w:r w:rsidRPr="00D52041">
        <w:rPr>
          <w:lang w:val="en-US"/>
        </w:rPr>
        <w:t>, </w:t>
      </w:r>
      <w:r w:rsidRPr="00D52041">
        <w:rPr>
          <w:iCs/>
          <w:lang w:val="en-US"/>
        </w:rPr>
        <w:t>4</w:t>
      </w:r>
      <w:r w:rsidRPr="00D52041">
        <w:rPr>
          <w:lang w:val="en-US"/>
        </w:rPr>
        <w:t>(1), 5.</w:t>
      </w:r>
    </w:p>
    <w:p w14:paraId="0E4E39FB" w14:textId="77777777" w:rsidR="00CF601D" w:rsidRPr="00CF601D" w:rsidRDefault="00CF601D" w:rsidP="00CF601D">
      <w:pPr>
        <w:spacing w:line="360" w:lineRule="auto"/>
        <w:ind w:left="709" w:hanging="709"/>
      </w:pPr>
      <w:r w:rsidRPr="00CF601D">
        <w:t xml:space="preserve">Kohr, R. V. (1977). Capital campaigning. In A. W. Rowland, </w:t>
      </w:r>
      <w:r w:rsidRPr="00CF601D">
        <w:rPr>
          <w:i/>
          <w:iCs/>
        </w:rPr>
        <w:t>Handbook of institutional advancement</w:t>
      </w:r>
      <w:r w:rsidRPr="00CF601D">
        <w:t xml:space="preserve"> (236-264). San Fransisco: Jossey-Bass.</w:t>
      </w:r>
    </w:p>
    <w:p w14:paraId="6A130608" w14:textId="77777777" w:rsidR="00CF601D" w:rsidRPr="00CF601D" w:rsidRDefault="00CF601D" w:rsidP="00CF601D">
      <w:pPr>
        <w:spacing w:line="360" w:lineRule="auto"/>
        <w:ind w:left="709" w:hanging="709"/>
      </w:pPr>
      <w:r w:rsidRPr="00CF601D">
        <w:t>Kreisman, D. (2017). The Next Needed Thing The Impact of the Jeanes Fund on Black Schooling in the South, 1900–1930. </w:t>
      </w:r>
      <w:r w:rsidRPr="00CF601D">
        <w:rPr>
          <w:i/>
          <w:iCs/>
        </w:rPr>
        <w:t>Journal of Human Resources</w:t>
      </w:r>
      <w:r w:rsidRPr="00CF601D">
        <w:t>, </w:t>
      </w:r>
      <w:r w:rsidRPr="00CF601D">
        <w:rPr>
          <w:i/>
          <w:iCs/>
        </w:rPr>
        <w:t>52</w:t>
      </w:r>
      <w:r w:rsidRPr="00CF601D">
        <w:t>(2), 573-620.</w:t>
      </w:r>
    </w:p>
    <w:p w14:paraId="3167BD69" w14:textId="77777777" w:rsidR="00CF601D" w:rsidRPr="00CF601D" w:rsidRDefault="00CF601D" w:rsidP="00CF601D">
      <w:pPr>
        <w:spacing w:line="360" w:lineRule="auto"/>
        <w:ind w:left="709" w:hanging="709"/>
        <w:rPr>
          <w:lang w:val="en-US"/>
        </w:rPr>
      </w:pPr>
      <w:r w:rsidRPr="00CF601D">
        <w:rPr>
          <w:lang w:val="en-US"/>
        </w:rPr>
        <w:t>Krippendorff, K., 2004a, Content Analysis. An Introduction to Its Methodology. Thousand Oaks, CA: Sage Publications Inc.</w:t>
      </w:r>
    </w:p>
    <w:p w14:paraId="73DA2E59" w14:textId="77777777" w:rsidR="00CF601D" w:rsidRPr="00CF601D" w:rsidRDefault="00CF601D" w:rsidP="00CF601D">
      <w:pPr>
        <w:spacing w:line="360" w:lineRule="auto"/>
        <w:ind w:left="709" w:hanging="709"/>
      </w:pPr>
      <w:r w:rsidRPr="00CF601D">
        <w:rPr>
          <w:lang w:val="en-US"/>
        </w:rPr>
        <w:t xml:space="preserve">Krippendorff, K., 2004b, </w:t>
      </w:r>
      <w:r w:rsidRPr="00CF601D">
        <w:t xml:space="preserve">Measuring the Reliability of Qualitative Text Analysis Data. Quality and Quantity, 38 (6); </w:t>
      </w:r>
      <w:hyperlink r:id="rId36" w:history="1">
        <w:r w:rsidRPr="00CF601D">
          <w:rPr>
            <w:rStyle w:val="Collegamentoipertestuale"/>
          </w:rPr>
          <w:t>http://repository.upenn.edu/asc_papers/42</w:t>
        </w:r>
      </w:hyperlink>
      <w:r w:rsidRPr="00CF601D">
        <w:t>: 787-800.</w:t>
      </w:r>
    </w:p>
    <w:p w14:paraId="1430F7EF" w14:textId="5EC6FB6B" w:rsidR="00CF601D" w:rsidRPr="00CF601D" w:rsidRDefault="00CF601D" w:rsidP="00CF601D">
      <w:pPr>
        <w:spacing w:line="360" w:lineRule="auto"/>
        <w:ind w:left="709" w:hanging="709"/>
      </w:pPr>
      <w:r w:rsidRPr="00CF601D">
        <w:t xml:space="preserve">Krippendorff, K., 2004c, “Reliability in Content Analysis: Some Common Misconceptions and Recommendations”. Human Communication Research, 30 (3), </w:t>
      </w:r>
      <w:hyperlink r:id="rId37" w:history="1">
        <w:r w:rsidRPr="00CF601D">
          <w:rPr>
            <w:rStyle w:val="Collegamentoipertestuale"/>
          </w:rPr>
          <w:t>http://repository.upenn.edu/asc_papers/242</w:t>
        </w:r>
      </w:hyperlink>
      <w:r w:rsidRPr="00CF601D">
        <w:t xml:space="preserve">: 411-433. </w:t>
      </w:r>
    </w:p>
    <w:p w14:paraId="028242A2" w14:textId="77777777" w:rsidR="00CF601D" w:rsidRPr="00CF601D" w:rsidRDefault="00CF601D" w:rsidP="00CF601D">
      <w:pPr>
        <w:spacing w:line="360" w:lineRule="auto"/>
        <w:ind w:left="709" w:hanging="709"/>
      </w:pPr>
      <w:r w:rsidRPr="00CF601D">
        <w:t>Kwiek, M. (2008). Academic entrepreneurship vs. changing governance and institutional management structures at European universities. </w:t>
      </w:r>
      <w:r w:rsidRPr="00CF601D">
        <w:rPr>
          <w:i/>
          <w:iCs/>
        </w:rPr>
        <w:t>Policy futures in Education</w:t>
      </w:r>
      <w:r w:rsidRPr="00CF601D">
        <w:t>, </w:t>
      </w:r>
      <w:r w:rsidRPr="00CF601D">
        <w:rPr>
          <w:i/>
          <w:iCs/>
        </w:rPr>
        <w:t>6</w:t>
      </w:r>
      <w:r w:rsidRPr="00CF601D">
        <w:t>(6), 757-770.</w:t>
      </w:r>
    </w:p>
    <w:p w14:paraId="6C6601A9" w14:textId="77777777" w:rsidR="000840E5" w:rsidRPr="000840E5" w:rsidRDefault="000840E5" w:rsidP="000840E5">
      <w:pPr>
        <w:spacing w:line="360" w:lineRule="auto"/>
        <w:ind w:left="709" w:hanging="709"/>
      </w:pPr>
      <w:r w:rsidRPr="000840E5">
        <w:t>Lambert, T., &amp; Schwienbacher, A. (2010). An empirical analysis of crowdfunding. </w:t>
      </w:r>
      <w:r w:rsidRPr="000840E5">
        <w:rPr>
          <w:i/>
          <w:iCs/>
        </w:rPr>
        <w:t>Social Science Research Network</w:t>
      </w:r>
      <w:r w:rsidRPr="000840E5">
        <w:t>, </w:t>
      </w:r>
      <w:r w:rsidRPr="000840E5">
        <w:rPr>
          <w:i/>
          <w:iCs/>
        </w:rPr>
        <w:t>1578175</w:t>
      </w:r>
      <w:r w:rsidRPr="000840E5">
        <w:t>, 1-23.</w:t>
      </w:r>
    </w:p>
    <w:p w14:paraId="205AAC2E" w14:textId="77777777" w:rsidR="000840E5" w:rsidRPr="000840E5" w:rsidRDefault="000840E5" w:rsidP="000840E5">
      <w:pPr>
        <w:spacing w:line="360" w:lineRule="auto"/>
        <w:ind w:left="709" w:hanging="709"/>
      </w:pPr>
      <w:r w:rsidRPr="000840E5">
        <w:t>Lasher, W. F., &amp; Cook, W. B. (1996). Toward a theory of fund raising in higher education. </w:t>
      </w:r>
      <w:r w:rsidRPr="000840E5">
        <w:rPr>
          <w:i/>
          <w:iCs/>
        </w:rPr>
        <w:t>The Review of Higher Education</w:t>
      </w:r>
      <w:r w:rsidRPr="000840E5">
        <w:t>, </w:t>
      </w:r>
      <w:r w:rsidRPr="000840E5">
        <w:rPr>
          <w:i/>
          <w:iCs/>
        </w:rPr>
        <w:t>20</w:t>
      </w:r>
      <w:r w:rsidRPr="000840E5">
        <w:t>(1), 33-51.</w:t>
      </w:r>
    </w:p>
    <w:p w14:paraId="518C16E2" w14:textId="77777777" w:rsidR="000840E5" w:rsidRPr="000840E5" w:rsidRDefault="000840E5" w:rsidP="000840E5">
      <w:pPr>
        <w:spacing w:line="360" w:lineRule="auto"/>
        <w:ind w:left="709" w:hanging="709"/>
      </w:pPr>
      <w:r w:rsidRPr="000840E5">
        <w:t>Lee, Y. J., &amp; Shon, J. What Affects the Strategic Priority of Fundraising? A Longitudinal Study of Art, Culture and Humanity Organizations’ Fundraising Expenses in the USA. </w:t>
      </w:r>
      <w:r w:rsidRPr="000840E5">
        <w:rPr>
          <w:i/>
          <w:iCs/>
        </w:rPr>
        <w:t>VOLUNTAS: International Journal of Voluntary and Nonprofit Organizations</w:t>
      </w:r>
      <w:r w:rsidRPr="000840E5">
        <w:t>, 1-11.</w:t>
      </w:r>
    </w:p>
    <w:p w14:paraId="26AF9E45" w14:textId="77777777" w:rsidR="000840E5" w:rsidRPr="000840E5" w:rsidRDefault="000840E5" w:rsidP="000840E5">
      <w:pPr>
        <w:spacing w:line="360" w:lineRule="auto"/>
        <w:ind w:left="709" w:hanging="709"/>
      </w:pPr>
      <w:r w:rsidRPr="000840E5">
        <w:t>Lehmann, E. E., Meoli, M., Paleari, S., &amp; Stockinger, S. A. (2018). Approaching effects of the economic crisis on university efficiency: a comparative study of Germany and Italy. </w:t>
      </w:r>
      <w:r w:rsidRPr="000840E5">
        <w:rPr>
          <w:i/>
          <w:iCs/>
        </w:rPr>
        <w:t>Eurasian Business Review</w:t>
      </w:r>
      <w:r w:rsidRPr="000840E5">
        <w:t>, </w:t>
      </w:r>
      <w:r w:rsidRPr="000840E5">
        <w:rPr>
          <w:i/>
          <w:iCs/>
        </w:rPr>
        <w:t>8</w:t>
      </w:r>
      <w:r w:rsidRPr="000840E5">
        <w:t>(1), 37-54.</w:t>
      </w:r>
    </w:p>
    <w:p w14:paraId="3A577BC8" w14:textId="77777777" w:rsidR="000840E5" w:rsidRPr="000840E5" w:rsidRDefault="000840E5" w:rsidP="000840E5">
      <w:pPr>
        <w:spacing w:line="360" w:lineRule="auto"/>
        <w:ind w:left="709" w:hanging="709"/>
      </w:pPr>
      <w:r w:rsidRPr="000840E5">
        <w:t>Leisyte, L., &amp; Kizniene, D. (2006). New public management in Lithuania's higher education. </w:t>
      </w:r>
      <w:r w:rsidRPr="000840E5">
        <w:rPr>
          <w:i/>
          <w:iCs/>
        </w:rPr>
        <w:t>Higher Education Policy</w:t>
      </w:r>
      <w:r w:rsidRPr="000840E5">
        <w:t>, </w:t>
      </w:r>
      <w:r w:rsidRPr="000840E5">
        <w:rPr>
          <w:i/>
          <w:iCs/>
        </w:rPr>
        <w:t>19</w:t>
      </w:r>
      <w:r w:rsidRPr="000840E5">
        <w:t>(3), 377-396.</w:t>
      </w:r>
    </w:p>
    <w:p w14:paraId="493482C5" w14:textId="77777777" w:rsidR="000840E5" w:rsidRPr="000840E5" w:rsidRDefault="000840E5" w:rsidP="000840E5">
      <w:pPr>
        <w:spacing w:line="360" w:lineRule="auto"/>
        <w:ind w:left="709" w:hanging="709"/>
      </w:pPr>
      <w:r w:rsidRPr="000840E5">
        <w:t>Lejpras, A. (2014). How innovative are spin-offs at later stages of development? Comparing innovativeness of established research spin-offs and otherwise created firms. </w:t>
      </w:r>
      <w:r w:rsidRPr="000840E5">
        <w:rPr>
          <w:i/>
          <w:iCs/>
        </w:rPr>
        <w:t>Small Business Economics</w:t>
      </w:r>
      <w:r w:rsidRPr="000840E5">
        <w:t>, </w:t>
      </w:r>
      <w:r w:rsidRPr="000840E5">
        <w:rPr>
          <w:i/>
          <w:iCs/>
        </w:rPr>
        <w:t>43</w:t>
      </w:r>
      <w:r w:rsidRPr="000840E5">
        <w:t>(2), 327-351.</w:t>
      </w:r>
    </w:p>
    <w:p w14:paraId="6C3A99BF" w14:textId="77777777" w:rsidR="0065324D" w:rsidRPr="000840E5" w:rsidRDefault="0065324D" w:rsidP="0065324D">
      <w:pPr>
        <w:spacing w:line="360" w:lineRule="auto"/>
        <w:ind w:left="709" w:hanging="709"/>
      </w:pPr>
      <w:r w:rsidRPr="000840E5">
        <w:t>Lindahl, W. E., &amp; Winship, C. (1992). Predictive models for annual fundraising and major gift fundraising. </w:t>
      </w:r>
      <w:r w:rsidRPr="000840E5">
        <w:rPr>
          <w:i/>
          <w:iCs/>
        </w:rPr>
        <w:t>Nonprofit Management and Leadership</w:t>
      </w:r>
      <w:r w:rsidRPr="000840E5">
        <w:t>, </w:t>
      </w:r>
      <w:r w:rsidRPr="000840E5">
        <w:rPr>
          <w:i/>
          <w:iCs/>
        </w:rPr>
        <w:t>3</w:t>
      </w:r>
      <w:r w:rsidRPr="000840E5">
        <w:t>(1), 43-64.</w:t>
      </w:r>
    </w:p>
    <w:p w14:paraId="7E89949B" w14:textId="77777777" w:rsidR="000840E5" w:rsidRDefault="000840E5" w:rsidP="000840E5">
      <w:pPr>
        <w:spacing w:line="360" w:lineRule="auto"/>
        <w:ind w:left="709" w:hanging="709"/>
      </w:pPr>
      <w:r w:rsidRPr="000840E5">
        <w:t>Link, A. N., Siegel, D. S., &amp; Bozeman, B. (2007). An empirical analysis of the propensity of academics to engage in informal university technology transfer. </w:t>
      </w:r>
      <w:r w:rsidRPr="000840E5">
        <w:rPr>
          <w:i/>
          <w:iCs/>
        </w:rPr>
        <w:t>Industrial and corporate change</w:t>
      </w:r>
      <w:r w:rsidRPr="000840E5">
        <w:t>, </w:t>
      </w:r>
      <w:r w:rsidRPr="000840E5">
        <w:rPr>
          <w:i/>
          <w:iCs/>
        </w:rPr>
        <w:t>16</w:t>
      </w:r>
      <w:r w:rsidRPr="000840E5">
        <w:t>(4), 641-655.</w:t>
      </w:r>
    </w:p>
    <w:p w14:paraId="7AB91B61" w14:textId="77777777" w:rsidR="00D60561" w:rsidRPr="00D60561" w:rsidRDefault="00D60561" w:rsidP="00D60561">
      <w:pPr>
        <w:spacing w:line="360" w:lineRule="auto"/>
        <w:ind w:left="709" w:hanging="709"/>
        <w:rPr>
          <w:lang w:val="en-US"/>
        </w:rPr>
      </w:pPr>
      <w:r w:rsidRPr="00D60561">
        <w:rPr>
          <w:lang w:val="en-US"/>
        </w:rPr>
        <w:t xml:space="preserve">Lotz-Sisitka, H. (2004). Guest Editorial – stories of transformation. </w:t>
      </w:r>
      <w:r w:rsidRPr="00D60561">
        <w:rPr>
          <w:i/>
          <w:lang w:val="en-US"/>
        </w:rPr>
        <w:t>International Journal of Sustainability in Higher Education</w:t>
      </w:r>
      <w:r w:rsidRPr="00D60561">
        <w:rPr>
          <w:lang w:val="en-US"/>
        </w:rPr>
        <w:t>, 5(1), 8-10.</w:t>
      </w:r>
    </w:p>
    <w:p w14:paraId="2A5C432A" w14:textId="77777777" w:rsidR="00D60561" w:rsidRPr="00D60561" w:rsidRDefault="00D60561" w:rsidP="00D60561">
      <w:pPr>
        <w:spacing w:line="360" w:lineRule="auto"/>
        <w:ind w:left="709" w:hanging="709"/>
        <w:rPr>
          <w:lang w:val="en-US"/>
        </w:rPr>
      </w:pPr>
      <w:r w:rsidRPr="00D60561">
        <w:rPr>
          <w:lang w:val="en-US"/>
        </w:rPr>
        <w:t xml:space="preserve">Lozano, R. (2006a). Incorporation and institutionalization of SD into universities: breaking through barriers to change”. </w:t>
      </w:r>
      <w:r w:rsidRPr="00D60561">
        <w:rPr>
          <w:i/>
          <w:lang w:val="en-US"/>
        </w:rPr>
        <w:t>Journal of Cleaner Production</w:t>
      </w:r>
      <w:r w:rsidRPr="00D60561">
        <w:rPr>
          <w:lang w:val="en-US"/>
        </w:rPr>
        <w:t>, 14 (9-11), 787-796.</w:t>
      </w:r>
    </w:p>
    <w:p w14:paraId="30895D87" w14:textId="77777777" w:rsidR="00D60561" w:rsidRPr="00D60561" w:rsidRDefault="00D60561" w:rsidP="00D60561">
      <w:pPr>
        <w:spacing w:line="360" w:lineRule="auto"/>
        <w:ind w:left="709" w:hanging="709"/>
        <w:rPr>
          <w:lang w:val="en-US"/>
        </w:rPr>
      </w:pPr>
      <w:r w:rsidRPr="00D60561">
        <w:rPr>
          <w:lang w:val="en-US"/>
        </w:rPr>
        <w:t xml:space="preserve">Lozano, F. (2006b). Sustainability in Higher Education: what is happening? </w:t>
      </w:r>
      <w:r w:rsidRPr="00D60561">
        <w:rPr>
          <w:i/>
          <w:lang w:val="en-US"/>
        </w:rPr>
        <w:t>Journal of Cleaner Production</w:t>
      </w:r>
      <w:r w:rsidRPr="00D60561">
        <w:rPr>
          <w:lang w:val="en-US"/>
        </w:rPr>
        <w:t>, 14(9-11), 787-796.</w:t>
      </w:r>
    </w:p>
    <w:p w14:paraId="1183E826" w14:textId="59FF37AB" w:rsidR="00D60561" w:rsidRPr="00D60561" w:rsidRDefault="00D60561" w:rsidP="00D60561">
      <w:pPr>
        <w:spacing w:line="360" w:lineRule="auto"/>
        <w:ind w:left="709" w:hanging="709"/>
        <w:rPr>
          <w:lang w:val="en-US"/>
        </w:rPr>
      </w:pPr>
      <w:r w:rsidRPr="00D60561">
        <w:rPr>
          <w:lang w:val="en-US"/>
        </w:rPr>
        <w:t>Lozano, R. (2011). The state of sustainability reporting in universities. </w:t>
      </w:r>
      <w:r w:rsidRPr="00D60561">
        <w:rPr>
          <w:i/>
          <w:iCs/>
          <w:lang w:val="en-US"/>
        </w:rPr>
        <w:t>International Journal of Sustainability in Higher Education</w:t>
      </w:r>
      <w:r w:rsidRPr="00D60561">
        <w:rPr>
          <w:lang w:val="en-US"/>
        </w:rPr>
        <w:t>, </w:t>
      </w:r>
      <w:r w:rsidRPr="00D60561">
        <w:rPr>
          <w:iCs/>
          <w:lang w:val="en-US"/>
        </w:rPr>
        <w:t>12</w:t>
      </w:r>
      <w:r w:rsidRPr="00D60561">
        <w:rPr>
          <w:lang w:val="en-US"/>
        </w:rPr>
        <w:t>(1), 67-78.</w:t>
      </w:r>
    </w:p>
    <w:p w14:paraId="4F12B215" w14:textId="2D8D023F" w:rsidR="00EC6B94" w:rsidRPr="00EC6B94" w:rsidRDefault="00AE3F4D" w:rsidP="00EC6B94">
      <w:pPr>
        <w:spacing w:line="360" w:lineRule="auto"/>
        <w:ind w:left="709" w:hanging="709"/>
      </w:pPr>
      <w:r w:rsidRPr="00AE3F4D">
        <w:t>Magliacani, M., &amp; Madeo, E. Exploring “culturalization” in rural entrepreneurial context through content analysis. </w:t>
      </w:r>
      <w:r w:rsidRPr="00AE3F4D">
        <w:rPr>
          <w:i/>
          <w:iCs/>
        </w:rPr>
        <w:t>Knowledge and Process Management</w:t>
      </w:r>
      <w:r w:rsidRPr="00EC6B94">
        <w:t xml:space="preserve"> </w:t>
      </w:r>
      <w:r w:rsidR="00EC6B94" w:rsidRPr="00EC6B94">
        <w:t>Malatesta, D., &amp; Smith, C. R. (2014). Lessons from resource dependence theory for contemporary public and nonprofit management. </w:t>
      </w:r>
      <w:r w:rsidR="00EC6B94" w:rsidRPr="00EC6B94">
        <w:rPr>
          <w:i/>
          <w:iCs/>
        </w:rPr>
        <w:t>Public Administration Review</w:t>
      </w:r>
      <w:r w:rsidR="00EC6B94" w:rsidRPr="00EC6B94">
        <w:t>, </w:t>
      </w:r>
      <w:r w:rsidR="00EC6B94" w:rsidRPr="00EC6B94">
        <w:rPr>
          <w:i/>
          <w:iCs/>
        </w:rPr>
        <w:t>74</w:t>
      </w:r>
      <w:r w:rsidR="00EC6B94" w:rsidRPr="00EC6B94">
        <w:t>(1), 14-25.</w:t>
      </w:r>
    </w:p>
    <w:p w14:paraId="1B46B708" w14:textId="77777777" w:rsidR="00EC6B94" w:rsidRPr="00EC6B94" w:rsidRDefault="00EC6B94" w:rsidP="00EC6B94">
      <w:pPr>
        <w:spacing w:line="360" w:lineRule="auto"/>
        <w:ind w:left="709" w:hanging="709"/>
      </w:pPr>
      <w:r w:rsidRPr="00EC6B94">
        <w:t>Mapulanga, P. (2013). Changing economic conditions for libraries: Fundraising performance in the University of Malawi libraries. </w:t>
      </w:r>
      <w:r w:rsidRPr="00EC6B94">
        <w:rPr>
          <w:i/>
          <w:iCs/>
        </w:rPr>
        <w:t>The Bottom Line</w:t>
      </w:r>
      <w:r w:rsidRPr="00EC6B94">
        <w:t>, </w:t>
      </w:r>
      <w:r w:rsidRPr="00EC6B94">
        <w:rPr>
          <w:i/>
          <w:iCs/>
        </w:rPr>
        <w:t>26</w:t>
      </w:r>
      <w:r w:rsidRPr="00EC6B94">
        <w:t>(2), 59-69.</w:t>
      </w:r>
    </w:p>
    <w:p w14:paraId="54D09616" w14:textId="77777777" w:rsidR="00AE3F4D" w:rsidRPr="00AE3F4D" w:rsidRDefault="00AE3F4D" w:rsidP="00AE3F4D">
      <w:pPr>
        <w:spacing w:line="360" w:lineRule="auto"/>
        <w:ind w:left="709" w:hanging="709"/>
      </w:pPr>
      <w:r w:rsidRPr="00AE3F4D">
        <w:t>Marginson, S. (2006). Dynamics of national and global competition in higher education. </w:t>
      </w:r>
      <w:r w:rsidRPr="00AE3F4D">
        <w:rPr>
          <w:i/>
          <w:iCs/>
        </w:rPr>
        <w:t>Higher education</w:t>
      </w:r>
      <w:r w:rsidRPr="00AE3F4D">
        <w:t>, </w:t>
      </w:r>
      <w:r w:rsidRPr="00AE3F4D">
        <w:rPr>
          <w:i/>
          <w:iCs/>
        </w:rPr>
        <w:t>52</w:t>
      </w:r>
      <w:r w:rsidRPr="00AE3F4D">
        <w:t>(1), 1-39.</w:t>
      </w:r>
    </w:p>
    <w:p w14:paraId="02E87ADD" w14:textId="77777777" w:rsidR="00EC6B94" w:rsidRPr="00EC6B94" w:rsidRDefault="00EC6B94" w:rsidP="00EC6B94">
      <w:pPr>
        <w:spacing w:line="360" w:lineRule="auto"/>
        <w:ind w:left="709" w:hanging="709"/>
      </w:pPr>
      <w:r w:rsidRPr="00EC6B94">
        <w:t>Marlin, D., Ritchie, W. J., &amp; Geiger, S. W. (2009). Strategic group membership and nonprofit organization performance. </w:t>
      </w:r>
      <w:r w:rsidRPr="00EC6B94">
        <w:rPr>
          <w:i/>
          <w:iCs/>
        </w:rPr>
        <w:t>Nonprofit Management and Leadership</w:t>
      </w:r>
      <w:r w:rsidRPr="00EC6B94">
        <w:t>, </w:t>
      </w:r>
      <w:r w:rsidRPr="00EC6B94">
        <w:rPr>
          <w:i/>
          <w:iCs/>
        </w:rPr>
        <w:t>20</w:t>
      </w:r>
      <w:r w:rsidRPr="00EC6B94">
        <w:t>(1), 23-39.</w:t>
      </w:r>
    </w:p>
    <w:p w14:paraId="2BBE124E" w14:textId="77777777" w:rsidR="00EC6B94" w:rsidRPr="00EC6B94" w:rsidRDefault="00EC6B94" w:rsidP="00EC6B94">
      <w:pPr>
        <w:spacing w:line="360" w:lineRule="auto"/>
        <w:ind w:left="709" w:hanging="709"/>
      </w:pPr>
      <w:r w:rsidRPr="00EC6B94">
        <w:t>Marshall, J. (2013). Kickstart your research. </w:t>
      </w:r>
      <w:r w:rsidRPr="00EC6B94">
        <w:rPr>
          <w:i/>
          <w:iCs/>
        </w:rPr>
        <w:t>Proceedings of the National Academy of Sciences</w:t>
      </w:r>
      <w:r w:rsidRPr="00EC6B94">
        <w:t>, </w:t>
      </w:r>
      <w:r w:rsidRPr="00EC6B94">
        <w:rPr>
          <w:i/>
          <w:iCs/>
        </w:rPr>
        <w:t>110</w:t>
      </w:r>
      <w:r w:rsidRPr="00EC6B94">
        <w:t>(13), 4857-4859.</w:t>
      </w:r>
    </w:p>
    <w:p w14:paraId="35D0FFA6" w14:textId="77777777" w:rsidR="00EC6B94" w:rsidRPr="00EC6B94" w:rsidRDefault="00EC6B94" w:rsidP="00EC6B94">
      <w:pPr>
        <w:spacing w:line="360" w:lineRule="auto"/>
        <w:ind w:left="709" w:hanging="709"/>
      </w:pPr>
      <w:r w:rsidRPr="00EC6B94">
        <w:t>Mat-jizat, J. E., &amp; Khalid, K. (2016). A Service-Learning Project Using Crowdfunding Strategy: Students' Experience and Reflection. </w:t>
      </w:r>
      <w:r w:rsidRPr="00EC6B94">
        <w:rPr>
          <w:i/>
          <w:iCs/>
        </w:rPr>
        <w:t>International Association for Development of the Information Society</w:t>
      </w:r>
      <w:r w:rsidRPr="00EC6B94">
        <w:t>.</w:t>
      </w:r>
    </w:p>
    <w:p w14:paraId="2DEC4E76" w14:textId="5DA96EC4" w:rsidR="00EC6B94" w:rsidRPr="00EC6B94" w:rsidRDefault="00EC6B94" w:rsidP="00EC6B94">
      <w:pPr>
        <w:spacing w:line="360" w:lineRule="auto"/>
        <w:ind w:left="709" w:hanging="709"/>
      </w:pPr>
      <w:r w:rsidRPr="00EC6B94">
        <w:t xml:space="preserve">Mayring, P., 2014, Qualitative content analysis: theoretical foundation, basic procedures and software solution. Klagenfurt; </w:t>
      </w:r>
      <w:hyperlink r:id="rId38" w:history="1">
        <w:r w:rsidRPr="00EC6B94">
          <w:rPr>
            <w:rStyle w:val="Collegamentoipertestuale"/>
          </w:rPr>
          <w:t>http://nbn-resolving.de/urn:nbn:de:0168-ssoar-395173</w:t>
        </w:r>
      </w:hyperlink>
      <w:r w:rsidRPr="00EC6B94">
        <w:t>McAnear, B. (1952). The raising of funds by the colonial colleges. </w:t>
      </w:r>
      <w:r w:rsidRPr="00EC6B94">
        <w:rPr>
          <w:i/>
          <w:iCs/>
        </w:rPr>
        <w:t>The Mississippi Valley Historical Review</w:t>
      </w:r>
      <w:r w:rsidRPr="00EC6B94">
        <w:t>, </w:t>
      </w:r>
      <w:r w:rsidRPr="00EC6B94">
        <w:rPr>
          <w:i/>
          <w:iCs/>
        </w:rPr>
        <w:t>38</w:t>
      </w:r>
      <w:r w:rsidRPr="00EC6B94">
        <w:t>(4), 591-612.</w:t>
      </w:r>
    </w:p>
    <w:p w14:paraId="5D8ABF76" w14:textId="77777777" w:rsidR="00EC6B94" w:rsidRPr="00EC6B94" w:rsidRDefault="00EC6B94" w:rsidP="00EC6B94">
      <w:pPr>
        <w:spacing w:line="360" w:lineRule="auto"/>
        <w:ind w:left="709" w:hanging="709"/>
      </w:pPr>
      <w:r w:rsidRPr="00EC6B94">
        <w:t>McAnear, B. (1955). College founding in the American colonies, 1745-1775. </w:t>
      </w:r>
      <w:r w:rsidRPr="00EC6B94">
        <w:rPr>
          <w:i/>
          <w:iCs/>
        </w:rPr>
        <w:t>The Mississippi Valley Historical Review</w:t>
      </w:r>
      <w:r w:rsidRPr="00EC6B94">
        <w:t>, </w:t>
      </w:r>
      <w:r w:rsidRPr="00EC6B94">
        <w:rPr>
          <w:i/>
          <w:iCs/>
        </w:rPr>
        <w:t>42</w:t>
      </w:r>
      <w:r w:rsidRPr="00EC6B94">
        <w:t>(1), 24-44.</w:t>
      </w:r>
    </w:p>
    <w:p w14:paraId="2EDFED5B" w14:textId="77777777" w:rsidR="00EC6B94" w:rsidRPr="00EC6B94" w:rsidRDefault="00EC6B94" w:rsidP="00EC6B94">
      <w:pPr>
        <w:spacing w:line="360" w:lineRule="auto"/>
        <w:ind w:left="709" w:hanging="709"/>
      </w:pPr>
      <w:r w:rsidRPr="00EC6B94">
        <w:t>McAllister, S. M. (2013). Toward a dialogic theory of fundraising. </w:t>
      </w:r>
      <w:r w:rsidRPr="00EC6B94">
        <w:rPr>
          <w:i/>
          <w:iCs/>
        </w:rPr>
        <w:t>Community College Journal of Research and Practice</w:t>
      </w:r>
      <w:r w:rsidRPr="00EC6B94">
        <w:t>, </w:t>
      </w:r>
      <w:r w:rsidRPr="00EC6B94">
        <w:rPr>
          <w:i/>
          <w:iCs/>
        </w:rPr>
        <w:t>37</w:t>
      </w:r>
      <w:r w:rsidRPr="00EC6B94">
        <w:t>(4), 262-277.</w:t>
      </w:r>
    </w:p>
    <w:p w14:paraId="54A80428" w14:textId="77777777" w:rsidR="00AE3F4D" w:rsidRDefault="00AE3F4D" w:rsidP="00AE3F4D">
      <w:pPr>
        <w:spacing w:line="360" w:lineRule="auto"/>
        <w:ind w:left="709" w:hanging="709"/>
      </w:pPr>
      <w:r w:rsidRPr="00AE3F4D">
        <w:t>McDearmon, J. T. (2010). What's in it for me: A qualitative look into the mindset of young alumni non-donors. </w:t>
      </w:r>
      <w:r w:rsidRPr="00AE3F4D">
        <w:rPr>
          <w:i/>
          <w:iCs/>
        </w:rPr>
        <w:t>International Journal of Educational Advancement</w:t>
      </w:r>
      <w:r w:rsidRPr="00AE3F4D">
        <w:t>, </w:t>
      </w:r>
      <w:r w:rsidRPr="00AE3F4D">
        <w:rPr>
          <w:i/>
          <w:iCs/>
        </w:rPr>
        <w:t>10</w:t>
      </w:r>
      <w:r w:rsidRPr="00AE3F4D">
        <w:t>(1), 33-47.</w:t>
      </w:r>
    </w:p>
    <w:p w14:paraId="169F97D2" w14:textId="491B0AF5" w:rsidR="00D60561" w:rsidRPr="00D60561" w:rsidRDefault="00D60561" w:rsidP="00D60561">
      <w:pPr>
        <w:spacing w:line="360" w:lineRule="auto"/>
        <w:ind w:left="709" w:hanging="709"/>
        <w:rPr>
          <w:lang w:val="en-US"/>
        </w:rPr>
      </w:pPr>
      <w:r w:rsidRPr="00D60561">
        <w:rPr>
          <w:lang w:val="en-US"/>
        </w:rPr>
        <w:t>Mcmillin, J., &amp; Dyball, R. (2009). Developing a whole-of-university approach to educating for sustainability: linking curriculum, research and sustainable campus operations. </w:t>
      </w:r>
      <w:r w:rsidRPr="00D60561">
        <w:rPr>
          <w:i/>
          <w:iCs/>
          <w:lang w:val="en-US"/>
        </w:rPr>
        <w:t>Journal of Education for Sustainable Development</w:t>
      </w:r>
      <w:r w:rsidRPr="00D60561">
        <w:rPr>
          <w:lang w:val="en-US"/>
        </w:rPr>
        <w:t>, </w:t>
      </w:r>
      <w:r w:rsidRPr="00D60561">
        <w:rPr>
          <w:iCs/>
          <w:lang w:val="en-US"/>
        </w:rPr>
        <w:t>3</w:t>
      </w:r>
      <w:r w:rsidRPr="00D60561">
        <w:rPr>
          <w:lang w:val="en-US"/>
        </w:rPr>
        <w:t>(1), 55-64.</w:t>
      </w:r>
    </w:p>
    <w:p w14:paraId="72F16189" w14:textId="77777777" w:rsidR="00AE3F4D" w:rsidRPr="00AE3F4D" w:rsidRDefault="00AE3F4D" w:rsidP="00AE3F4D">
      <w:pPr>
        <w:spacing w:line="360" w:lineRule="auto"/>
        <w:ind w:left="709" w:hanging="709"/>
      </w:pPr>
      <w:r w:rsidRPr="00AE3F4D">
        <w:t>Meoli, M., Paleari, S., &amp; Vismara, S. (2013). Completing the technology transfer process: M&amp;As of science-based IPOs. </w:t>
      </w:r>
      <w:r w:rsidRPr="00AE3F4D">
        <w:rPr>
          <w:i/>
          <w:iCs/>
        </w:rPr>
        <w:t>Small Business Economics</w:t>
      </w:r>
      <w:r w:rsidRPr="00AE3F4D">
        <w:t>, </w:t>
      </w:r>
      <w:r w:rsidRPr="00AE3F4D">
        <w:rPr>
          <w:i/>
          <w:iCs/>
        </w:rPr>
        <w:t>40</w:t>
      </w:r>
      <w:r w:rsidRPr="00AE3F4D">
        <w:t>(2), 227-248.</w:t>
      </w:r>
    </w:p>
    <w:p w14:paraId="3137B90F" w14:textId="77777777" w:rsidR="00AE3F4D" w:rsidRDefault="00AE3F4D" w:rsidP="00AE3F4D">
      <w:pPr>
        <w:spacing w:line="360" w:lineRule="auto"/>
        <w:ind w:left="709" w:hanging="709"/>
      </w:pPr>
      <w:r w:rsidRPr="00AE3F4D">
        <w:t>Meoli, M., &amp; Vismara, S. (2016). University support and the creation of technology and non-technology academic spin-offs. </w:t>
      </w:r>
      <w:r w:rsidRPr="00AE3F4D">
        <w:rPr>
          <w:i/>
          <w:iCs/>
        </w:rPr>
        <w:t>Small Business Economics</w:t>
      </w:r>
      <w:r w:rsidRPr="00AE3F4D">
        <w:t>, </w:t>
      </w:r>
      <w:r w:rsidRPr="00AE3F4D">
        <w:rPr>
          <w:i/>
          <w:iCs/>
        </w:rPr>
        <w:t>47</w:t>
      </w:r>
      <w:r w:rsidRPr="00AE3F4D">
        <w:t>(2), 345-362.</w:t>
      </w:r>
    </w:p>
    <w:p w14:paraId="2CBABCA8" w14:textId="5966680C" w:rsidR="00D60561" w:rsidRDefault="00D60561" w:rsidP="00D60561">
      <w:pPr>
        <w:spacing w:line="360" w:lineRule="auto"/>
        <w:ind w:left="709" w:hanging="709"/>
        <w:rPr>
          <w:lang w:val="en-US"/>
        </w:rPr>
      </w:pPr>
      <w:r w:rsidRPr="00D60561">
        <w:rPr>
          <w:lang w:val="en-US"/>
        </w:rPr>
        <w:t xml:space="preserve">Meyskens, M., &amp; Bird, L. (2015). Crowdfunding and Value Creation. </w:t>
      </w:r>
      <w:r w:rsidRPr="00D60561">
        <w:rPr>
          <w:i/>
          <w:lang w:val="en-US"/>
        </w:rPr>
        <w:t>Entrepreneurship Research Journal</w:t>
      </w:r>
      <w:r w:rsidRPr="00D60561">
        <w:rPr>
          <w:lang w:val="en-US"/>
        </w:rPr>
        <w:t>, 5(2), 155-166.</w:t>
      </w:r>
    </w:p>
    <w:p w14:paraId="04453DA5" w14:textId="3E65A82C" w:rsidR="00D60561" w:rsidRPr="00D60561" w:rsidRDefault="00D60561" w:rsidP="00D60561">
      <w:pPr>
        <w:spacing w:line="360" w:lineRule="auto"/>
        <w:ind w:left="709" w:hanging="709"/>
      </w:pPr>
      <w:r>
        <w:rPr>
          <w:lang w:val="en-US"/>
        </w:rPr>
        <w:t xml:space="preserve"> </w:t>
      </w:r>
      <w:r w:rsidRPr="00D60561">
        <w:t xml:space="preserve">Miles, M., &amp; Huberman A. (1994). </w:t>
      </w:r>
      <w:r w:rsidRPr="00D60561">
        <w:rPr>
          <w:i/>
          <w:iCs/>
        </w:rPr>
        <w:t>Qualitative data anlysis: An expanded soucebook.</w:t>
      </w:r>
      <w:r w:rsidRPr="00D60561">
        <w:t xml:space="preserve"> London: Sage.</w:t>
      </w:r>
    </w:p>
    <w:p w14:paraId="41C34AB1" w14:textId="77777777" w:rsidR="00AE3F4D" w:rsidRPr="00AE3F4D" w:rsidRDefault="00AE3F4D" w:rsidP="00AE3F4D">
      <w:pPr>
        <w:spacing w:line="360" w:lineRule="auto"/>
        <w:ind w:left="709" w:hanging="709"/>
      </w:pPr>
      <w:r w:rsidRPr="00AE3F4D">
        <w:t>Minelli, E., Rebora, G., &amp; Turri, M. (2002). </w:t>
      </w:r>
      <w:r w:rsidRPr="00AE3F4D">
        <w:rPr>
          <w:i/>
          <w:iCs/>
        </w:rPr>
        <w:t>Il Valore dell'Università. La valutazione della didattica, della ricerca, dei servizi negli atenei. Proposte operative e di metodo</w:t>
      </w:r>
      <w:r w:rsidRPr="00AE3F4D">
        <w:t>. Guerini e Associati.</w:t>
      </w:r>
    </w:p>
    <w:p w14:paraId="5FA18D94" w14:textId="77777777" w:rsidR="00EC6B94" w:rsidRPr="00EC6B94" w:rsidRDefault="00EC6B94" w:rsidP="00EC6B94">
      <w:pPr>
        <w:spacing w:line="360" w:lineRule="auto"/>
        <w:ind w:left="709" w:hanging="709"/>
      </w:pPr>
      <w:r w:rsidRPr="00EC6B94">
        <w:t>Mitchell, G. E. (2014). Strategic responses to resource dependence among transnational NGOs registered in the United States. </w:t>
      </w:r>
      <w:r w:rsidRPr="00EC6B94">
        <w:rPr>
          <w:i/>
          <w:iCs/>
        </w:rPr>
        <w:t>Voluntas: International Journal of Voluntary and Nonprofit Organizations</w:t>
      </w:r>
      <w:r w:rsidRPr="00EC6B94">
        <w:t>, </w:t>
      </w:r>
      <w:r w:rsidRPr="00EC6B94">
        <w:rPr>
          <w:i/>
          <w:iCs/>
        </w:rPr>
        <w:t>25</w:t>
      </w:r>
      <w:r w:rsidRPr="00EC6B94">
        <w:t>(1), 67-91.</w:t>
      </w:r>
    </w:p>
    <w:p w14:paraId="27BE3DAF" w14:textId="77777777" w:rsidR="00D60561" w:rsidRPr="00D60561" w:rsidRDefault="00D60561" w:rsidP="00D60561">
      <w:pPr>
        <w:spacing w:line="360" w:lineRule="auto"/>
        <w:ind w:left="709" w:hanging="709"/>
        <w:rPr>
          <w:i/>
          <w:lang w:val="en-US"/>
        </w:rPr>
      </w:pPr>
      <w:r w:rsidRPr="00D60561">
        <w:rPr>
          <w:lang w:val="en-US"/>
        </w:rPr>
        <w:t xml:space="preserve">Mollick, E. R. (2013). Swept away by the crowd? Crowdfunding, venture capital, and the selection of entrepreneurs. </w:t>
      </w:r>
      <w:r w:rsidRPr="00D60561">
        <w:rPr>
          <w:i/>
          <w:lang w:val="en-US"/>
        </w:rPr>
        <w:t>SSRN Working Paper No 2239204.</w:t>
      </w:r>
    </w:p>
    <w:p w14:paraId="48513CCA" w14:textId="77777777" w:rsidR="00D60561" w:rsidRPr="00D60561" w:rsidRDefault="00D60561" w:rsidP="00D60561">
      <w:pPr>
        <w:spacing w:line="360" w:lineRule="auto"/>
        <w:ind w:left="709" w:hanging="709"/>
        <w:rPr>
          <w:lang w:val="en-US"/>
        </w:rPr>
      </w:pPr>
      <w:r w:rsidRPr="00D60561">
        <w:rPr>
          <w:lang w:val="en-US"/>
        </w:rPr>
        <w:t>Mollick, E. (2014). The dynamics of crowdfunding: An exploratory study. </w:t>
      </w:r>
      <w:r w:rsidRPr="00D60561">
        <w:rPr>
          <w:i/>
          <w:iCs/>
          <w:lang w:val="en-US"/>
        </w:rPr>
        <w:t>Journal of business venturing</w:t>
      </w:r>
      <w:r w:rsidRPr="00D60561">
        <w:rPr>
          <w:lang w:val="en-US"/>
        </w:rPr>
        <w:t>, </w:t>
      </w:r>
      <w:r w:rsidRPr="00D60561">
        <w:rPr>
          <w:iCs/>
          <w:lang w:val="en-US"/>
        </w:rPr>
        <w:t>29</w:t>
      </w:r>
      <w:r w:rsidRPr="00D60561">
        <w:rPr>
          <w:lang w:val="en-US"/>
        </w:rPr>
        <w:t>(1), 1-16.</w:t>
      </w:r>
    </w:p>
    <w:p w14:paraId="31B32618" w14:textId="77777777" w:rsidR="00EC6B94" w:rsidRPr="00EC6B94" w:rsidRDefault="00EC6B94" w:rsidP="00EC6B94">
      <w:pPr>
        <w:spacing w:line="360" w:lineRule="auto"/>
        <w:ind w:left="709" w:hanging="709"/>
        <w:rPr>
          <w:iCs/>
          <w:lang w:val="en-US"/>
        </w:rPr>
      </w:pPr>
      <w:r w:rsidRPr="00EC6B94">
        <w:rPr>
          <w:iCs/>
          <w:lang w:val="en-US"/>
        </w:rPr>
        <w:t>Moon, S., &amp; Azizi, K. (2013). Finding donors by relationship fundraising. </w:t>
      </w:r>
      <w:r w:rsidRPr="00EC6B94">
        <w:rPr>
          <w:i/>
          <w:iCs/>
          <w:lang w:val="en-US"/>
        </w:rPr>
        <w:t>Journal of Interactive Marketing</w:t>
      </w:r>
      <w:r w:rsidRPr="00EC6B94">
        <w:rPr>
          <w:iCs/>
          <w:lang w:val="en-US"/>
        </w:rPr>
        <w:t>, </w:t>
      </w:r>
      <w:r w:rsidRPr="00EC6B94">
        <w:rPr>
          <w:i/>
          <w:iCs/>
          <w:lang w:val="en-US"/>
        </w:rPr>
        <w:t>27</w:t>
      </w:r>
      <w:r w:rsidRPr="00EC6B94">
        <w:rPr>
          <w:iCs/>
          <w:lang w:val="en-US"/>
        </w:rPr>
        <w:t>(2), 112-129.</w:t>
      </w:r>
    </w:p>
    <w:p w14:paraId="2466A9E1" w14:textId="77777777" w:rsidR="002463EE" w:rsidRPr="00EC6B94" w:rsidRDefault="002463EE" w:rsidP="002463EE">
      <w:pPr>
        <w:spacing w:line="360" w:lineRule="auto"/>
        <w:ind w:left="709" w:hanging="709"/>
        <w:rPr>
          <w:lang w:val="en-US"/>
        </w:rPr>
      </w:pPr>
      <w:r w:rsidRPr="00EC6B94">
        <w:rPr>
          <w:lang w:val="en-US"/>
        </w:rPr>
        <w:t>Moore, Mark H., 1995, Creating public value: Strategic management in government. Cambridge, MA: Harvard University Press.</w:t>
      </w:r>
    </w:p>
    <w:p w14:paraId="4945276C" w14:textId="70212A47" w:rsidR="00EC6B94" w:rsidRPr="00EC6B94" w:rsidRDefault="00EC6B94" w:rsidP="00EC6B94">
      <w:pPr>
        <w:spacing w:line="360" w:lineRule="auto"/>
        <w:ind w:left="709" w:hanging="709"/>
        <w:rPr>
          <w:lang w:val="en-US"/>
        </w:rPr>
      </w:pPr>
      <w:r w:rsidRPr="00EC6B94">
        <w:rPr>
          <w:iCs/>
          <w:lang w:val="en-US"/>
        </w:rPr>
        <w:t>Moore, M. H. (2000). Managing for value: Organizational strategy in for-profit, nonprofit, and governmental organizations. </w:t>
      </w:r>
      <w:r w:rsidRPr="00EC6B94">
        <w:rPr>
          <w:i/>
          <w:iCs/>
          <w:lang w:val="en-US"/>
        </w:rPr>
        <w:t>Nonprofit and Voluntary Sector Quarterly</w:t>
      </w:r>
      <w:r w:rsidRPr="00EC6B94">
        <w:rPr>
          <w:iCs/>
          <w:lang w:val="en-US"/>
        </w:rPr>
        <w:t>, </w:t>
      </w:r>
      <w:r w:rsidRPr="00EC6B94">
        <w:rPr>
          <w:i/>
          <w:iCs/>
          <w:lang w:val="en-US"/>
        </w:rPr>
        <w:t>29</w:t>
      </w:r>
      <w:r w:rsidRPr="00EC6B94">
        <w:rPr>
          <w:iCs/>
          <w:lang w:val="en-US"/>
        </w:rPr>
        <w:t xml:space="preserve">(1), </w:t>
      </w:r>
    </w:p>
    <w:p w14:paraId="326FD955" w14:textId="1BB0994A" w:rsidR="00AE3F4D" w:rsidRPr="00AE3F4D" w:rsidRDefault="00EC6B94" w:rsidP="00AE3F4D">
      <w:pPr>
        <w:spacing w:line="360" w:lineRule="auto"/>
        <w:ind w:left="709" w:hanging="709"/>
        <w:rPr>
          <w:lang w:val="en-US"/>
        </w:rPr>
      </w:pPr>
      <w:r w:rsidRPr="00EC6B94">
        <w:rPr>
          <w:lang w:val="en-US"/>
        </w:rPr>
        <w:t>Moore, M. H., 2003, “The public value scorecard: a rejoinder and an alternative to 'strategic performance measurement and management in non-profit organizations' by Robert Kaplan”, Working paper No. 18, Boston, The Hauser Center for Nonprofit Organizations, Kennedy School of Government, Harvard University.</w:t>
      </w:r>
    </w:p>
    <w:p w14:paraId="61DDB485" w14:textId="77777777" w:rsidR="00AE3F4D" w:rsidRPr="00AE3F4D" w:rsidRDefault="00AE3F4D" w:rsidP="00AE3F4D">
      <w:pPr>
        <w:spacing w:line="360" w:lineRule="auto"/>
        <w:ind w:left="709" w:hanging="709"/>
      </w:pPr>
      <w:r w:rsidRPr="00AE3F4D">
        <w:t>Morozova, I., Sergey, V., &amp; Syrbu, A. (2016). International Experience of Public-Private Partnership in Financial Management of Higher Education. </w:t>
      </w:r>
      <w:r w:rsidRPr="00AE3F4D">
        <w:rPr>
          <w:i/>
          <w:iCs/>
        </w:rPr>
        <w:t>Regional and Sectoral Economic Studies</w:t>
      </w:r>
      <w:r w:rsidRPr="00AE3F4D">
        <w:t>, </w:t>
      </w:r>
      <w:r w:rsidRPr="00AE3F4D">
        <w:rPr>
          <w:i/>
          <w:iCs/>
        </w:rPr>
        <w:t>16</w:t>
      </w:r>
      <w:r w:rsidRPr="00AE3F4D">
        <w:t>(1), 107-122.</w:t>
      </w:r>
    </w:p>
    <w:p w14:paraId="6443D50F" w14:textId="77777777" w:rsidR="00D12D5E" w:rsidRDefault="00D12D5E" w:rsidP="00D12D5E">
      <w:pPr>
        <w:spacing w:line="360" w:lineRule="auto"/>
        <w:ind w:left="709" w:hanging="709"/>
      </w:pPr>
      <w:r w:rsidRPr="00D12D5E">
        <w:t>Nehls, K. (2012). Leadership transitions during fundraising campaigns. </w:t>
      </w:r>
      <w:r w:rsidRPr="00D12D5E">
        <w:rPr>
          <w:i/>
          <w:iCs/>
        </w:rPr>
        <w:t>Innovative Higher Education</w:t>
      </w:r>
      <w:r w:rsidRPr="00D12D5E">
        <w:t>, </w:t>
      </w:r>
      <w:r w:rsidRPr="00D12D5E">
        <w:rPr>
          <w:i/>
          <w:iCs/>
        </w:rPr>
        <w:t>37</w:t>
      </w:r>
      <w:r w:rsidRPr="00D12D5E">
        <w:t>(2), 89-103.</w:t>
      </w:r>
    </w:p>
    <w:p w14:paraId="64006F7C" w14:textId="1F84BF1A" w:rsidR="00D12D5E" w:rsidRDefault="00D12D5E" w:rsidP="00D12D5E">
      <w:pPr>
        <w:spacing w:line="360" w:lineRule="auto"/>
        <w:ind w:left="709" w:hanging="709"/>
      </w:pPr>
      <w:r w:rsidRPr="00D12D5E">
        <w:t xml:space="preserve">Neuendorf, K.A., 2002, </w:t>
      </w:r>
      <w:r w:rsidRPr="00D12D5E">
        <w:rPr>
          <w:iCs/>
        </w:rPr>
        <w:t>The content analysis guidebook</w:t>
      </w:r>
      <w:r w:rsidRPr="00D12D5E">
        <w:t xml:space="preserve">, Thousand Oaks, CA: Sage Publications Inc. </w:t>
      </w:r>
    </w:p>
    <w:p w14:paraId="64E79E86" w14:textId="7A1465A3" w:rsidR="00FF5CDA" w:rsidRDefault="00FF5CDA" w:rsidP="00FF5CDA">
      <w:pPr>
        <w:spacing w:line="360" w:lineRule="auto"/>
        <w:ind w:left="709" w:hanging="709"/>
      </w:pPr>
      <w:r w:rsidRPr="00FF5CDA">
        <w:t>Neuendorf, K. A. (2016). </w:t>
      </w:r>
      <w:r w:rsidRPr="00FF5CDA">
        <w:rPr>
          <w:i/>
          <w:iCs/>
        </w:rPr>
        <w:t>The content analysis guidebook</w:t>
      </w:r>
      <w:r w:rsidRPr="00FF5CDA">
        <w:t xml:space="preserve">. </w:t>
      </w:r>
      <w:r w:rsidRPr="00FF5CDA">
        <w:rPr>
          <w:iCs/>
          <w:lang w:val="en-US"/>
        </w:rPr>
        <w:t>Thousand Oaks</w:t>
      </w:r>
      <w:r w:rsidRPr="00FF5CDA">
        <w:rPr>
          <w:lang w:val="en-US"/>
        </w:rPr>
        <w:t xml:space="preserve">: </w:t>
      </w:r>
      <w:r w:rsidRPr="00FF5CDA">
        <w:t>Sage.</w:t>
      </w:r>
    </w:p>
    <w:p w14:paraId="3C263880" w14:textId="720CE6D7" w:rsidR="004046C9" w:rsidRPr="004046C9" w:rsidRDefault="004046C9" w:rsidP="004046C9">
      <w:pPr>
        <w:spacing w:line="360" w:lineRule="auto"/>
        <w:jc w:val="both"/>
        <w:rPr>
          <w:rFonts w:cs="Times New Roman"/>
        </w:rPr>
      </w:pPr>
      <w:r w:rsidRPr="001F1264">
        <w:rPr>
          <w:rFonts w:cs="Times New Roman"/>
        </w:rPr>
        <w:t>Neumann, R., &amp; Guthrie, J. (2002). The corporatization of research in Australian higher education. </w:t>
      </w:r>
      <w:r w:rsidRPr="001F1264">
        <w:rPr>
          <w:rFonts w:cs="Times New Roman"/>
          <w:i/>
          <w:iCs/>
        </w:rPr>
        <w:t>Critical perspectives on accounting</w:t>
      </w:r>
      <w:r w:rsidRPr="001F1264">
        <w:rPr>
          <w:rFonts w:cs="Times New Roman"/>
        </w:rPr>
        <w:t>, </w:t>
      </w:r>
      <w:r w:rsidRPr="001F1264">
        <w:rPr>
          <w:rFonts w:cs="Times New Roman"/>
          <w:i/>
          <w:iCs/>
        </w:rPr>
        <w:t>13</w:t>
      </w:r>
      <w:r w:rsidRPr="001F1264">
        <w:rPr>
          <w:rFonts w:cs="Times New Roman"/>
        </w:rPr>
        <w:t>(5-6), 721-741.</w:t>
      </w:r>
    </w:p>
    <w:p w14:paraId="5C4319F1" w14:textId="77777777" w:rsidR="00D12D5E" w:rsidRPr="00D12D5E" w:rsidRDefault="00D12D5E" w:rsidP="00D12D5E">
      <w:pPr>
        <w:spacing w:line="360" w:lineRule="auto"/>
        <w:ind w:left="709" w:hanging="709"/>
      </w:pPr>
      <w:r w:rsidRPr="00D12D5E">
        <w:t>Newman, M. D., &amp; Petrosko, J. M. (2011). Predictors of alumni association membership. </w:t>
      </w:r>
      <w:r w:rsidRPr="00D12D5E">
        <w:rPr>
          <w:i/>
          <w:iCs/>
        </w:rPr>
        <w:t>Research in Higher Education</w:t>
      </w:r>
      <w:r w:rsidRPr="00D12D5E">
        <w:t>, </w:t>
      </w:r>
      <w:r w:rsidRPr="00D12D5E">
        <w:rPr>
          <w:i/>
          <w:iCs/>
        </w:rPr>
        <w:t>52</w:t>
      </w:r>
      <w:r w:rsidRPr="00D12D5E">
        <w:t>(7), 738-759.</w:t>
      </w:r>
    </w:p>
    <w:p w14:paraId="195195B7" w14:textId="77777777" w:rsidR="00D12D5E" w:rsidRPr="00D12D5E" w:rsidRDefault="00D12D5E" w:rsidP="00D12D5E">
      <w:pPr>
        <w:spacing w:line="360" w:lineRule="auto"/>
        <w:ind w:left="709" w:hanging="709"/>
      </w:pPr>
      <w:r w:rsidRPr="00D12D5E">
        <w:t>Ni, N., Chen, Q., Ding, S., &amp; Wu, Z. (2017). Professionalization and cost efficiency of fundraising in charitable organizations: The case of charitable foundations in China. </w:t>
      </w:r>
      <w:r w:rsidRPr="00D12D5E">
        <w:rPr>
          <w:i/>
          <w:iCs/>
        </w:rPr>
        <w:t>VOLUNTAS: International Journal of Voluntary and Nonprofit Organizations</w:t>
      </w:r>
      <w:r w:rsidRPr="00D12D5E">
        <w:t>, </w:t>
      </w:r>
      <w:r w:rsidRPr="00D12D5E">
        <w:rPr>
          <w:i/>
          <w:iCs/>
        </w:rPr>
        <w:t>28</w:t>
      </w:r>
      <w:r w:rsidRPr="00D12D5E">
        <w:t>(2), 773-797.</w:t>
      </w:r>
    </w:p>
    <w:p w14:paraId="69E94B38" w14:textId="77777777" w:rsidR="00D12D5E" w:rsidRPr="00D12D5E" w:rsidRDefault="00D12D5E" w:rsidP="00D12D5E">
      <w:pPr>
        <w:spacing w:line="360" w:lineRule="auto"/>
        <w:ind w:left="709" w:hanging="709"/>
      </w:pPr>
      <w:r w:rsidRPr="00D12D5E">
        <w:t>Nyman, J., Pilbeam, C., Baines, P., &amp; Maklan, S. (2018). Identifying the roles of university fundraisers in securing transformational gifts: lessons from Canada. </w:t>
      </w:r>
      <w:r w:rsidRPr="00D12D5E">
        <w:rPr>
          <w:i/>
          <w:iCs/>
        </w:rPr>
        <w:t>Studies in Higher Education</w:t>
      </w:r>
      <w:r w:rsidRPr="00D12D5E">
        <w:t>, </w:t>
      </w:r>
      <w:r w:rsidRPr="00D12D5E">
        <w:rPr>
          <w:i/>
          <w:iCs/>
        </w:rPr>
        <w:t>43</w:t>
      </w:r>
      <w:r w:rsidRPr="00D12D5E">
        <w:t>(7), 1227-1240.</w:t>
      </w:r>
    </w:p>
    <w:p w14:paraId="1A6A4B8C" w14:textId="77777777" w:rsidR="00616917" w:rsidRPr="00616917" w:rsidRDefault="00616917" w:rsidP="00616917">
      <w:pPr>
        <w:spacing w:line="360" w:lineRule="auto"/>
        <w:ind w:left="709" w:hanging="709"/>
      </w:pPr>
      <w:r w:rsidRPr="00616917">
        <w:t>Ono, E., Ikkatai, Y., &amp; Enoto, T. (2017, July). Encouraging Citizen Motivation of Crowd Science: A Case Study of Kyoto Open Science Activities. In </w:t>
      </w:r>
      <w:r w:rsidRPr="00616917">
        <w:rPr>
          <w:i/>
          <w:iCs/>
        </w:rPr>
        <w:t>Advanced Applied Informatics (IIAI-AAI), 2017 6th IIAI International Congress on</w:t>
      </w:r>
      <w:r w:rsidRPr="00616917">
        <w:t> (pp. 116-119). IEEE.</w:t>
      </w:r>
    </w:p>
    <w:p w14:paraId="7AE0F0EE" w14:textId="77777777" w:rsidR="00616917" w:rsidRPr="00616917" w:rsidRDefault="00616917" w:rsidP="00616917">
      <w:pPr>
        <w:spacing w:line="360" w:lineRule="auto"/>
        <w:ind w:left="709" w:hanging="709"/>
      </w:pPr>
      <w:r w:rsidRPr="00616917">
        <w:t>Osborne, S. P. (Ed.). (2010). </w:t>
      </w:r>
      <w:r w:rsidRPr="00616917">
        <w:rPr>
          <w:i/>
          <w:iCs/>
        </w:rPr>
        <w:t>The new public governance: Emerging perspectives on the theory and practice of public governance</w:t>
      </w:r>
      <w:r w:rsidRPr="00616917">
        <w:t>. Routledge.</w:t>
      </w:r>
    </w:p>
    <w:p w14:paraId="4E1D44B9" w14:textId="77777777" w:rsidR="00616917" w:rsidRDefault="00616917" w:rsidP="00616917">
      <w:pPr>
        <w:spacing w:line="360" w:lineRule="auto"/>
        <w:ind w:left="709" w:hanging="709"/>
      </w:pPr>
      <w:r w:rsidRPr="00616917">
        <w:t>Osuna, C., Cruz-Castro, L., &amp; Sanz-Menéndez, L. (2011). Overturning some assumptions about the effects of evaluation systems on publication performance. </w:t>
      </w:r>
      <w:r w:rsidRPr="00616917">
        <w:rPr>
          <w:i/>
          <w:iCs/>
        </w:rPr>
        <w:t>Scientometrics</w:t>
      </w:r>
      <w:r w:rsidRPr="00616917">
        <w:t>, </w:t>
      </w:r>
      <w:r w:rsidRPr="00616917">
        <w:rPr>
          <w:i/>
          <w:iCs/>
        </w:rPr>
        <w:t>86</w:t>
      </w:r>
      <w:r w:rsidRPr="00616917">
        <w:t>(3), 575-592.</w:t>
      </w:r>
    </w:p>
    <w:p w14:paraId="1647B601" w14:textId="77777777" w:rsidR="00616917" w:rsidRPr="00616917" w:rsidRDefault="00616917" w:rsidP="00616917">
      <w:pPr>
        <w:spacing w:line="360" w:lineRule="auto"/>
        <w:ind w:left="709" w:hanging="709"/>
      </w:pPr>
      <w:r w:rsidRPr="00616917">
        <w:t>Paleari, S., Donina, D., &amp; Meoli, M. (2015). The role of the university in twenty-first century European society. </w:t>
      </w:r>
      <w:r w:rsidRPr="00616917">
        <w:rPr>
          <w:i/>
          <w:iCs/>
        </w:rPr>
        <w:t>The Journal of Technology Transfer</w:t>
      </w:r>
      <w:r w:rsidRPr="00616917">
        <w:t>, </w:t>
      </w:r>
      <w:r w:rsidRPr="00616917">
        <w:rPr>
          <w:i/>
          <w:iCs/>
        </w:rPr>
        <w:t>40</w:t>
      </w:r>
      <w:r w:rsidRPr="00616917">
        <w:t>(3), 369-379.</w:t>
      </w:r>
    </w:p>
    <w:p w14:paraId="68AF2C02" w14:textId="77777777" w:rsidR="00616917" w:rsidRPr="00616917" w:rsidRDefault="00616917" w:rsidP="00616917">
      <w:pPr>
        <w:spacing w:line="360" w:lineRule="auto"/>
        <w:ind w:left="709" w:hanging="709"/>
      </w:pPr>
      <w:r w:rsidRPr="00616917">
        <w:t>Panas, J. (1984).</w:t>
      </w:r>
      <w:r w:rsidRPr="00616917">
        <w:rPr>
          <w:i/>
        </w:rPr>
        <w:t xml:space="preserve"> Mega Gifts: Who Gives Them. </w:t>
      </w:r>
      <w:r w:rsidRPr="00616917">
        <w:rPr>
          <w:i/>
          <w:iCs/>
        </w:rPr>
        <w:t>Who Gets Them</w:t>
      </w:r>
      <w:r w:rsidRPr="00616917">
        <w:rPr>
          <w:i/>
        </w:rPr>
        <w:t xml:space="preserve">. </w:t>
      </w:r>
      <w:r w:rsidRPr="00616917">
        <w:t>Chicago: Pluribus Press.</w:t>
      </w:r>
    </w:p>
    <w:p w14:paraId="23384ABB" w14:textId="77777777" w:rsidR="00616917" w:rsidRPr="00616917" w:rsidRDefault="00616917" w:rsidP="00616917">
      <w:pPr>
        <w:spacing w:line="360" w:lineRule="auto"/>
        <w:ind w:left="709" w:hanging="709"/>
      </w:pPr>
      <w:r w:rsidRPr="00616917">
        <w:t>Pati, N., &amp; Lee, J. (2016). Benchmarking presidents’ compensations in institutions of higher education relative to sustainability and other institutional practices. </w:t>
      </w:r>
      <w:r w:rsidRPr="00616917">
        <w:rPr>
          <w:i/>
          <w:iCs/>
        </w:rPr>
        <w:t>Benchmarking: An International Journal</w:t>
      </w:r>
      <w:r w:rsidRPr="00616917">
        <w:t>, </w:t>
      </w:r>
      <w:r w:rsidRPr="00616917">
        <w:rPr>
          <w:i/>
          <w:iCs/>
        </w:rPr>
        <w:t>23</w:t>
      </w:r>
      <w:r w:rsidRPr="00616917">
        <w:t>(6), 1500-1521.</w:t>
      </w:r>
    </w:p>
    <w:p w14:paraId="560F83B6" w14:textId="77777777" w:rsidR="00616917" w:rsidRPr="00616917" w:rsidRDefault="00616917" w:rsidP="00616917">
      <w:pPr>
        <w:spacing w:line="360" w:lineRule="auto"/>
        <w:ind w:left="709" w:hanging="709"/>
      </w:pPr>
      <w:r w:rsidRPr="00616917">
        <w:t>Pérez-Esparrells, C., &amp; Torre, E. M. (2012). The Challenge of Fundraising in Universities in Europe. </w:t>
      </w:r>
      <w:r w:rsidRPr="00616917">
        <w:rPr>
          <w:i/>
          <w:iCs/>
        </w:rPr>
        <w:t>International Journal of Higher Education</w:t>
      </w:r>
      <w:r w:rsidRPr="00616917">
        <w:t>, </w:t>
      </w:r>
      <w:r w:rsidRPr="00616917">
        <w:rPr>
          <w:i/>
          <w:iCs/>
        </w:rPr>
        <w:t>1</w:t>
      </w:r>
      <w:r w:rsidRPr="00616917">
        <w:t>(2), 55-66.</w:t>
      </w:r>
    </w:p>
    <w:p w14:paraId="622A69FC" w14:textId="77777777" w:rsidR="00616917" w:rsidRPr="00616917" w:rsidRDefault="00616917" w:rsidP="00616917">
      <w:pPr>
        <w:spacing w:line="360" w:lineRule="auto"/>
        <w:ind w:left="709" w:hanging="709"/>
        <w:rPr>
          <w:lang w:val="en-US"/>
        </w:rPr>
      </w:pPr>
      <w:r w:rsidRPr="00616917">
        <w:rPr>
          <w:lang w:val="en-US"/>
        </w:rPr>
        <w:t>Pfeffer, J., G.R. Salancik, 1978, The external control of organizations: A resource dependence perspective. New York, NY: Harper &amp; Row.</w:t>
      </w:r>
    </w:p>
    <w:p w14:paraId="4197A107" w14:textId="77777777" w:rsidR="00616917" w:rsidRPr="00616917" w:rsidRDefault="00616917" w:rsidP="00616917">
      <w:pPr>
        <w:spacing w:line="360" w:lineRule="auto"/>
        <w:ind w:left="709" w:hanging="709"/>
      </w:pPr>
      <w:r w:rsidRPr="00616917">
        <w:t>Pfeffer, J., &amp; Salancik, G. R. (2003). </w:t>
      </w:r>
      <w:r w:rsidRPr="00616917">
        <w:rPr>
          <w:i/>
          <w:iCs/>
        </w:rPr>
        <w:t>The external control of organizations: A resource dependence perspective</w:t>
      </w:r>
      <w:r w:rsidRPr="00616917">
        <w:t>. Stanford University Press.</w:t>
      </w:r>
    </w:p>
    <w:p w14:paraId="3352C476" w14:textId="09479EE3" w:rsidR="00AD2C29" w:rsidRPr="00AD2C29" w:rsidRDefault="00AD2C29" w:rsidP="00AD2C29">
      <w:pPr>
        <w:spacing w:line="360" w:lineRule="auto"/>
        <w:ind w:left="709" w:hanging="709"/>
      </w:pPr>
      <w:r w:rsidRPr="00AD2C29">
        <w:t>Phillips, E. C., Morell, C., &amp; Chronister, J. L. (1996). Responses to reduced state funding. </w:t>
      </w:r>
      <w:r w:rsidRPr="00AD2C29">
        <w:rPr>
          <w:i/>
          <w:iCs/>
        </w:rPr>
        <w:t>New Directions for Higher Education</w:t>
      </w:r>
      <w:r w:rsidRPr="00AD2C29">
        <w:t>, </w:t>
      </w:r>
      <w:r w:rsidRPr="00AD2C29">
        <w:rPr>
          <w:i/>
          <w:iCs/>
        </w:rPr>
        <w:t>1996</w:t>
      </w:r>
      <w:r w:rsidRPr="00AD2C29">
        <w:t>(94), 9-20.</w:t>
      </w:r>
    </w:p>
    <w:p w14:paraId="7109731D" w14:textId="77777777" w:rsidR="00616917" w:rsidRPr="00616917" w:rsidRDefault="00616917" w:rsidP="00616917">
      <w:pPr>
        <w:spacing w:line="360" w:lineRule="auto"/>
        <w:ind w:left="709" w:hanging="709"/>
      </w:pPr>
      <w:r w:rsidRPr="00616917">
        <w:t>Pollitt, C., &amp; Bouckaert, G. (2004). </w:t>
      </w:r>
      <w:r w:rsidRPr="00616917">
        <w:rPr>
          <w:i/>
          <w:iCs/>
        </w:rPr>
        <w:t>Public management reform: A comparative analysis</w:t>
      </w:r>
      <w:r w:rsidRPr="00616917">
        <w:t>. Oxford University Press, USA.</w:t>
      </w:r>
    </w:p>
    <w:p w14:paraId="12921D1E" w14:textId="77777777" w:rsidR="00616917" w:rsidRPr="00616917" w:rsidRDefault="00616917" w:rsidP="00616917">
      <w:pPr>
        <w:spacing w:line="360" w:lineRule="auto"/>
        <w:ind w:left="709" w:hanging="709"/>
      </w:pPr>
      <w:r w:rsidRPr="00616917">
        <w:t>Portugal, L. (2006). Grantsmanship and Fundraising Practices. </w:t>
      </w:r>
      <w:r w:rsidRPr="00616917">
        <w:rPr>
          <w:i/>
          <w:iCs/>
        </w:rPr>
        <w:t>Academic Leadership: The Online Journal</w:t>
      </w:r>
      <w:r w:rsidRPr="00616917">
        <w:t>, </w:t>
      </w:r>
      <w:r w:rsidRPr="00616917">
        <w:rPr>
          <w:i/>
          <w:iCs/>
        </w:rPr>
        <w:t>4</w:t>
      </w:r>
      <w:r w:rsidRPr="00616917">
        <w:t>(4), 5.</w:t>
      </w:r>
    </w:p>
    <w:p w14:paraId="4F6F206B" w14:textId="77777777" w:rsidR="008A2BE3" w:rsidRDefault="008A2BE3" w:rsidP="008A2BE3">
      <w:pPr>
        <w:spacing w:line="360" w:lineRule="auto"/>
        <w:ind w:left="709" w:hanging="709"/>
        <w:jc w:val="both"/>
      </w:pPr>
      <w:r w:rsidRPr="00840512">
        <w:t>Ramaley, J. A. (1997). Restructuring and Reform in Higher Education: Fundraising and the Urban Advantage. </w:t>
      </w:r>
      <w:r w:rsidRPr="00840512">
        <w:rPr>
          <w:i/>
          <w:iCs/>
        </w:rPr>
        <w:t>Metropolitan Universities</w:t>
      </w:r>
      <w:r w:rsidRPr="00840512">
        <w:t>, </w:t>
      </w:r>
      <w:r w:rsidRPr="00840512">
        <w:rPr>
          <w:i/>
          <w:iCs/>
        </w:rPr>
        <w:t>8</w:t>
      </w:r>
      <w:r w:rsidRPr="00840512">
        <w:t>(2), 43-56.</w:t>
      </w:r>
    </w:p>
    <w:p w14:paraId="09BC0125" w14:textId="77777777" w:rsidR="008A2BE3" w:rsidRPr="00091955" w:rsidRDefault="008A2BE3" w:rsidP="00091955">
      <w:pPr>
        <w:spacing w:line="360" w:lineRule="auto"/>
        <w:ind w:left="709" w:hanging="709"/>
        <w:jc w:val="both"/>
        <w:rPr>
          <w:rFonts w:cs="Times New Roman"/>
        </w:rPr>
      </w:pPr>
      <w:r w:rsidRPr="00091955">
        <w:rPr>
          <w:rFonts w:cs="Times New Roman"/>
        </w:rPr>
        <w:t>Rebora, G., &amp; Turri, M. (2013). The UK and Italian research assessment exercises face to face. </w:t>
      </w:r>
      <w:r w:rsidRPr="00091955">
        <w:rPr>
          <w:rFonts w:cs="Times New Roman"/>
          <w:i/>
          <w:iCs/>
        </w:rPr>
        <w:t>Research policy</w:t>
      </w:r>
      <w:r w:rsidRPr="00091955">
        <w:rPr>
          <w:rFonts w:cs="Times New Roman"/>
        </w:rPr>
        <w:t>, </w:t>
      </w:r>
      <w:r w:rsidRPr="00091955">
        <w:rPr>
          <w:rFonts w:cs="Times New Roman"/>
          <w:i/>
          <w:iCs/>
        </w:rPr>
        <w:t>42</w:t>
      </w:r>
      <w:r w:rsidRPr="00091955">
        <w:rPr>
          <w:rFonts w:cs="Times New Roman"/>
        </w:rPr>
        <w:t>(9), 1657-1666.</w:t>
      </w:r>
    </w:p>
    <w:p w14:paraId="61A50E69" w14:textId="1426AF22" w:rsidR="008A2BE3" w:rsidRDefault="008A2BE3" w:rsidP="008A2BE3">
      <w:pPr>
        <w:spacing w:line="360" w:lineRule="auto"/>
        <w:ind w:left="709" w:hanging="709"/>
        <w:jc w:val="both"/>
      </w:pPr>
      <w:r w:rsidRPr="00C33008">
        <w:t xml:space="preserve">Reck, W. E. (1976). </w:t>
      </w:r>
      <w:r w:rsidRPr="00C33008">
        <w:rPr>
          <w:i/>
        </w:rPr>
        <w:t>The Changing World of College Relations. History and Philosophy 1917-1975</w:t>
      </w:r>
      <w:r>
        <w:rPr>
          <w:i/>
        </w:rPr>
        <w:t xml:space="preserve">, </w:t>
      </w:r>
      <w:r>
        <w:t xml:space="preserve">Washington, DC: Council for Advancement and Support of Education. </w:t>
      </w:r>
    </w:p>
    <w:p w14:paraId="059CA29B" w14:textId="77777777" w:rsidR="008A2BE3" w:rsidRDefault="008A2BE3" w:rsidP="008A2BE3">
      <w:pPr>
        <w:spacing w:line="360" w:lineRule="auto"/>
        <w:ind w:left="709" w:hanging="709"/>
        <w:jc w:val="both"/>
      </w:pPr>
      <w:r w:rsidRPr="00AC0767">
        <w:t>Reid, M. (2010). Building an academic library fundraising program “from scratch”. </w:t>
      </w:r>
      <w:r w:rsidRPr="00AC0767">
        <w:rPr>
          <w:i/>
          <w:iCs/>
        </w:rPr>
        <w:t>The Bottom Line</w:t>
      </w:r>
      <w:r w:rsidRPr="00AC0767">
        <w:t>, </w:t>
      </w:r>
      <w:r w:rsidRPr="00AC0767">
        <w:rPr>
          <w:i/>
          <w:iCs/>
        </w:rPr>
        <w:t>23</w:t>
      </w:r>
      <w:r w:rsidRPr="00AC0767">
        <w:t>(2), 53-56.</w:t>
      </w:r>
    </w:p>
    <w:p w14:paraId="5B976E8F" w14:textId="77777777" w:rsidR="008A2BE3" w:rsidRPr="002F12CC" w:rsidRDefault="008A2BE3" w:rsidP="00653BEF">
      <w:pPr>
        <w:spacing w:line="360" w:lineRule="auto"/>
        <w:ind w:left="709" w:hanging="709"/>
        <w:jc w:val="both"/>
        <w:rPr>
          <w:rFonts w:cs="Times New Roman"/>
        </w:rPr>
      </w:pPr>
      <w:r>
        <w:rPr>
          <w:rFonts w:cs="Times New Roman"/>
        </w:rPr>
        <w:t xml:space="preserve">Riccaboni, G., Aristelli, G., Colucci, G., Corradini G., Masetti, F., &amp; Scanzani, G. (1999). </w:t>
      </w:r>
      <w:r w:rsidRPr="002F12CC">
        <w:rPr>
          <w:rFonts w:cs="Times New Roman"/>
          <w:i/>
        </w:rPr>
        <w:t>La stima dei costi delle diverse unità istituzionali delle università. Rapporto finale del gruppo di ricerca.</w:t>
      </w:r>
      <w:r>
        <w:rPr>
          <w:rFonts w:cs="Times New Roman"/>
          <w:i/>
        </w:rPr>
        <w:t xml:space="preserve"> </w:t>
      </w:r>
      <w:r>
        <w:rPr>
          <w:rFonts w:cs="Times New Roman"/>
        </w:rPr>
        <w:t>Roma: MURST.</w:t>
      </w:r>
    </w:p>
    <w:p w14:paraId="57917C1C" w14:textId="77777777" w:rsidR="008A2BE3" w:rsidRPr="008A2BE3" w:rsidRDefault="008A2BE3" w:rsidP="00653BEF">
      <w:pPr>
        <w:spacing w:line="360" w:lineRule="auto"/>
        <w:ind w:left="709" w:hanging="709"/>
        <w:jc w:val="both"/>
        <w:rPr>
          <w:rFonts w:cs="Times New Roman"/>
        </w:rPr>
      </w:pPr>
      <w:r w:rsidRPr="00991E40">
        <w:rPr>
          <w:rFonts w:cs="Times New Roman"/>
        </w:rPr>
        <w:t>Rohayati, M. I., Najdi, Y., &amp; Williamson, J. C. (2016). Philanthropic Fundraising of Higher Education Institutions: A Review of the Malaysian and Australian Perspectives. </w:t>
      </w:r>
      <w:r w:rsidRPr="00991E40">
        <w:rPr>
          <w:rFonts w:cs="Times New Roman"/>
          <w:i/>
          <w:iCs/>
        </w:rPr>
        <w:t>Sustainability</w:t>
      </w:r>
      <w:r w:rsidRPr="00991E40">
        <w:rPr>
          <w:rFonts w:cs="Times New Roman"/>
        </w:rPr>
        <w:t>, </w:t>
      </w:r>
      <w:r w:rsidRPr="00991E40">
        <w:rPr>
          <w:rFonts w:cs="Times New Roman"/>
          <w:i/>
          <w:iCs/>
        </w:rPr>
        <w:t>8</w:t>
      </w:r>
      <w:r>
        <w:rPr>
          <w:rFonts w:cs="Times New Roman"/>
        </w:rPr>
        <w:t>(6), 541-561.</w:t>
      </w:r>
    </w:p>
    <w:p w14:paraId="6516C5FC" w14:textId="77777777" w:rsidR="008A2BE3" w:rsidRDefault="008A2BE3" w:rsidP="008A2BE3">
      <w:pPr>
        <w:spacing w:line="360" w:lineRule="auto"/>
        <w:ind w:left="709" w:hanging="709"/>
        <w:jc w:val="both"/>
      </w:pPr>
      <w:r w:rsidRPr="00240629">
        <w:t>Rooney, P. M. (1999). A better method for analyzing the costs and benefits of fundraising at universities. </w:t>
      </w:r>
      <w:r w:rsidRPr="00240629">
        <w:rPr>
          <w:i/>
          <w:iCs/>
        </w:rPr>
        <w:t>Nonprofit Management and Leadership</w:t>
      </w:r>
      <w:r w:rsidRPr="00240629">
        <w:t>, </w:t>
      </w:r>
      <w:r w:rsidRPr="00240629">
        <w:rPr>
          <w:i/>
          <w:iCs/>
        </w:rPr>
        <w:t>10</w:t>
      </w:r>
      <w:r w:rsidRPr="00240629">
        <w:t>(1), 39-56.</w:t>
      </w:r>
    </w:p>
    <w:p w14:paraId="35B63ECC" w14:textId="77777777" w:rsidR="008A2BE3" w:rsidRPr="004E1433" w:rsidRDefault="008A2BE3" w:rsidP="008A2BE3">
      <w:pPr>
        <w:spacing w:line="360" w:lineRule="auto"/>
        <w:ind w:left="709" w:hanging="709"/>
        <w:jc w:val="both"/>
      </w:pPr>
      <w:r>
        <w:t xml:space="preserve">Rowley, J., &amp; Slack, F. (2004). Conducting a Literature Review. </w:t>
      </w:r>
      <w:r>
        <w:rPr>
          <w:i/>
        </w:rPr>
        <w:t>Management Research News, 27</w:t>
      </w:r>
      <w:r>
        <w:t>(4), 31-39.</w:t>
      </w:r>
    </w:p>
    <w:p w14:paraId="7657CA79" w14:textId="77777777" w:rsidR="00436481" w:rsidRPr="00436481" w:rsidRDefault="00436481" w:rsidP="00436481">
      <w:pPr>
        <w:spacing w:line="360" w:lineRule="auto"/>
        <w:ind w:left="709" w:hanging="709"/>
        <w:rPr>
          <w:rFonts w:eastAsiaTheme="minorEastAsia" w:cs="Times New Roman"/>
          <w:iCs/>
          <w:kern w:val="0"/>
          <w:lang w:eastAsia="it-IT" w:bidi="ar-SA"/>
        </w:rPr>
      </w:pPr>
      <w:r w:rsidRPr="00436481">
        <w:rPr>
          <w:rFonts w:eastAsiaTheme="minorEastAsia" w:cs="Times New Roman"/>
          <w:iCs/>
          <w:kern w:val="0"/>
          <w:lang w:eastAsia="it-IT" w:bidi="ar-SA"/>
        </w:rPr>
        <w:t>Sargeant, A., &amp; Jay, E. (2014). Fundraising management: analysis, planning and practice. Routledge.</w:t>
      </w:r>
    </w:p>
    <w:p w14:paraId="2BEC05A5" w14:textId="77777777" w:rsidR="00436481" w:rsidRPr="00091955" w:rsidRDefault="00436481" w:rsidP="00436481">
      <w:pPr>
        <w:spacing w:line="360" w:lineRule="auto"/>
        <w:ind w:left="709" w:hanging="709"/>
        <w:rPr>
          <w:rFonts w:eastAsiaTheme="minorEastAsia" w:cs="Times New Roman"/>
          <w:iCs/>
          <w:kern w:val="0"/>
          <w:lang w:eastAsia="it-IT" w:bidi="ar-SA"/>
        </w:rPr>
      </w:pPr>
      <w:r w:rsidRPr="00091955">
        <w:rPr>
          <w:rFonts w:eastAsiaTheme="minorEastAsia" w:cs="Times New Roman"/>
          <w:iCs/>
          <w:kern w:val="0"/>
          <w:lang w:eastAsia="it-IT" w:bidi="ar-SA"/>
        </w:rPr>
        <w:t>Schachner, N. (1962). </w:t>
      </w:r>
      <w:r w:rsidRPr="00091955">
        <w:rPr>
          <w:rFonts w:eastAsiaTheme="minorEastAsia" w:cs="Times New Roman"/>
          <w:i/>
          <w:iCs/>
          <w:kern w:val="0"/>
          <w:lang w:eastAsia="it-IT" w:bidi="ar-SA"/>
        </w:rPr>
        <w:t>The mediaeval universities</w:t>
      </w:r>
      <w:r w:rsidRPr="00091955">
        <w:rPr>
          <w:rFonts w:eastAsiaTheme="minorEastAsia" w:cs="Times New Roman"/>
          <w:iCs/>
          <w:kern w:val="0"/>
          <w:lang w:eastAsia="it-IT" w:bidi="ar-SA"/>
        </w:rPr>
        <w:t>. New York: A. S. Barnes.</w:t>
      </w:r>
    </w:p>
    <w:p w14:paraId="34A16A6C" w14:textId="77777777" w:rsidR="00436481" w:rsidRPr="00436481" w:rsidRDefault="00436481" w:rsidP="00436481">
      <w:pPr>
        <w:spacing w:line="360" w:lineRule="auto"/>
        <w:ind w:left="709" w:hanging="709"/>
        <w:rPr>
          <w:rFonts w:eastAsiaTheme="minorEastAsia" w:cs="Times New Roman"/>
          <w:iCs/>
          <w:kern w:val="0"/>
          <w:lang w:eastAsia="it-IT" w:bidi="ar-SA"/>
        </w:rPr>
      </w:pPr>
      <w:r w:rsidRPr="00436481">
        <w:rPr>
          <w:rFonts w:eastAsiaTheme="minorEastAsia" w:cs="Times New Roman"/>
          <w:iCs/>
          <w:kern w:val="0"/>
          <w:lang w:eastAsia="it-IT" w:bidi="ar-SA"/>
        </w:rPr>
        <w:t>Sattewhite, C.R., 2004, “The Function of University Presidents and CEO’s in Fundraising: A Study of Public Universities with Capital Campaigns Less Than €100 Million”. Unpublished doctoral dissertation, Texas Tech University: 1-177.</w:t>
      </w:r>
    </w:p>
    <w:p w14:paraId="46EC653D" w14:textId="77777777" w:rsidR="00AB204A" w:rsidRPr="00AB204A" w:rsidRDefault="00AB204A" w:rsidP="00AB204A">
      <w:pPr>
        <w:spacing w:line="360" w:lineRule="auto"/>
        <w:ind w:left="709" w:hanging="709"/>
        <w:rPr>
          <w:rFonts w:eastAsiaTheme="minorEastAsia" w:cs="Times New Roman"/>
          <w:iCs/>
          <w:kern w:val="0"/>
          <w:lang w:eastAsia="it-IT" w:bidi="ar-SA"/>
        </w:rPr>
      </w:pPr>
      <w:r w:rsidRPr="00AB204A">
        <w:rPr>
          <w:rFonts w:eastAsiaTheme="minorEastAsia" w:cs="Times New Roman"/>
          <w:iCs/>
          <w:kern w:val="0"/>
          <w:lang w:eastAsia="it-IT" w:bidi="ar-SA"/>
        </w:rPr>
        <w:t xml:space="preserve">Schilling, J. (2006). On the Pragmatics of Qualitative Assessment. Designing the Process for Content Analysis. </w:t>
      </w:r>
      <w:r w:rsidRPr="00AB204A">
        <w:rPr>
          <w:rFonts w:eastAsiaTheme="minorEastAsia" w:cs="Times New Roman"/>
          <w:i/>
          <w:iCs/>
          <w:kern w:val="0"/>
          <w:lang w:eastAsia="it-IT" w:bidi="ar-SA"/>
        </w:rPr>
        <w:t>European Journal of Psycological Assessment 22</w:t>
      </w:r>
      <w:r w:rsidRPr="00AB204A">
        <w:rPr>
          <w:rFonts w:eastAsiaTheme="minorEastAsia" w:cs="Times New Roman"/>
          <w:iCs/>
          <w:kern w:val="0"/>
          <w:lang w:eastAsia="it-IT" w:bidi="ar-SA"/>
        </w:rPr>
        <w:t>(1), 28-37.</w:t>
      </w:r>
    </w:p>
    <w:p w14:paraId="428DC965" w14:textId="77777777" w:rsidR="00F80459" w:rsidRPr="00F80459" w:rsidRDefault="00F80459" w:rsidP="00F80459">
      <w:pPr>
        <w:spacing w:line="360" w:lineRule="auto"/>
        <w:ind w:left="709" w:hanging="709"/>
        <w:rPr>
          <w:rFonts w:eastAsiaTheme="minorEastAsia" w:cs="Times New Roman"/>
          <w:iCs/>
          <w:kern w:val="0"/>
          <w:lang w:val="en-US" w:eastAsia="it-IT" w:bidi="ar-SA"/>
        </w:rPr>
      </w:pPr>
      <w:r w:rsidRPr="00AB204A">
        <w:rPr>
          <w:rFonts w:eastAsiaTheme="minorEastAsia" w:cs="Times New Roman"/>
          <w:iCs/>
          <w:kern w:val="0"/>
          <w:lang w:val="en-US" w:eastAsia="it-IT" w:bidi="ar-SA"/>
        </w:rPr>
        <w:t xml:space="preserve">Schwienbacher, A., &amp; Larralde, B. (2012). Crowdfunding of Small Entrepreneurial Ventures. </w:t>
      </w:r>
      <w:r w:rsidRPr="00AB204A">
        <w:rPr>
          <w:rFonts w:eastAsiaTheme="minorEastAsia" w:cs="Times New Roman"/>
          <w:i/>
          <w:iCs/>
          <w:kern w:val="0"/>
          <w:lang w:val="en-US" w:eastAsia="it-IT" w:bidi="ar-SA"/>
        </w:rPr>
        <w:t>The Oxford Handbook of Entrepreneurial Finance</w:t>
      </w:r>
      <w:r w:rsidRPr="00AB204A">
        <w:rPr>
          <w:rFonts w:eastAsiaTheme="minorEastAsia" w:cs="Times New Roman"/>
          <w:iCs/>
          <w:kern w:val="0"/>
          <w:lang w:val="en-US" w:eastAsia="it-IT" w:bidi="ar-SA"/>
        </w:rPr>
        <w:t>, 369–391.</w:t>
      </w:r>
    </w:p>
    <w:p w14:paraId="4328A963" w14:textId="77777777" w:rsidR="00436481" w:rsidRPr="00436481" w:rsidRDefault="00436481" w:rsidP="00436481">
      <w:pPr>
        <w:spacing w:line="360" w:lineRule="auto"/>
        <w:ind w:left="709" w:hanging="709"/>
        <w:rPr>
          <w:rFonts w:eastAsiaTheme="minorEastAsia" w:cs="Times New Roman"/>
          <w:iCs/>
          <w:kern w:val="0"/>
          <w:lang w:eastAsia="it-IT" w:bidi="ar-SA"/>
        </w:rPr>
      </w:pPr>
      <w:r w:rsidRPr="00436481">
        <w:rPr>
          <w:rFonts w:eastAsiaTheme="minorEastAsia" w:cs="Times New Roman"/>
          <w:iCs/>
          <w:kern w:val="0"/>
          <w:lang w:eastAsia="it-IT" w:bidi="ar-SA"/>
        </w:rPr>
        <w:t>Scott, W.R., 1987, Organizations: Rational, natural and open systems. Hoboken, NJ: Prentice-Hall, Inc.</w:t>
      </w:r>
    </w:p>
    <w:p w14:paraId="18A157E5" w14:textId="77777777" w:rsidR="00436481" w:rsidRPr="00091955" w:rsidRDefault="00436481" w:rsidP="00436481">
      <w:pPr>
        <w:spacing w:line="360" w:lineRule="auto"/>
        <w:ind w:left="709" w:hanging="709"/>
        <w:rPr>
          <w:rFonts w:eastAsiaTheme="minorEastAsia" w:cs="Times New Roman"/>
          <w:iCs/>
          <w:kern w:val="0"/>
          <w:lang w:eastAsia="it-IT" w:bidi="ar-SA"/>
        </w:rPr>
      </w:pPr>
      <w:r w:rsidRPr="00091955">
        <w:rPr>
          <w:rFonts w:eastAsiaTheme="minorEastAsia" w:cs="Times New Roman"/>
          <w:iCs/>
          <w:kern w:val="0"/>
          <w:lang w:eastAsia="it-IT" w:bidi="ar-SA"/>
        </w:rPr>
        <w:t>Scott, R. A. (2010). Review of Reflections on Higher Education, by Stephen Joel Trachtenberg, Oryx Press, Westport, CT, 2002. </w:t>
      </w:r>
      <w:r w:rsidRPr="00091955">
        <w:rPr>
          <w:rFonts w:eastAsiaTheme="minorEastAsia" w:cs="Times New Roman"/>
          <w:i/>
          <w:iCs/>
          <w:kern w:val="0"/>
          <w:lang w:eastAsia="it-IT" w:bidi="ar-SA"/>
        </w:rPr>
        <w:t>On the Horizon</w:t>
      </w:r>
      <w:r w:rsidRPr="00091955">
        <w:rPr>
          <w:rFonts w:eastAsiaTheme="minorEastAsia" w:cs="Times New Roman"/>
          <w:iCs/>
          <w:kern w:val="0"/>
          <w:lang w:eastAsia="it-IT" w:bidi="ar-SA"/>
        </w:rPr>
        <w:t>, </w:t>
      </w:r>
      <w:r w:rsidRPr="00091955">
        <w:rPr>
          <w:rFonts w:eastAsiaTheme="minorEastAsia" w:cs="Times New Roman"/>
          <w:i/>
          <w:iCs/>
          <w:kern w:val="0"/>
          <w:lang w:eastAsia="it-IT" w:bidi="ar-SA"/>
        </w:rPr>
        <w:t>18</w:t>
      </w:r>
      <w:r w:rsidRPr="00091955">
        <w:rPr>
          <w:rFonts w:eastAsiaTheme="minorEastAsia" w:cs="Times New Roman"/>
          <w:iCs/>
          <w:kern w:val="0"/>
          <w:lang w:eastAsia="it-IT" w:bidi="ar-SA"/>
        </w:rPr>
        <w:t>(4), 370-374.</w:t>
      </w:r>
    </w:p>
    <w:p w14:paraId="00B5B494" w14:textId="77777777" w:rsidR="00436481" w:rsidRDefault="00436481" w:rsidP="00436481">
      <w:pPr>
        <w:spacing w:line="360" w:lineRule="auto"/>
        <w:ind w:left="709" w:hanging="709"/>
        <w:rPr>
          <w:rFonts w:eastAsiaTheme="minorEastAsia" w:cs="Times New Roman"/>
          <w:iCs/>
          <w:kern w:val="0"/>
          <w:lang w:eastAsia="it-IT" w:bidi="ar-SA"/>
        </w:rPr>
      </w:pPr>
      <w:r w:rsidRPr="00091955">
        <w:rPr>
          <w:rFonts w:eastAsiaTheme="minorEastAsia" w:cs="Times New Roman"/>
          <w:iCs/>
          <w:kern w:val="0"/>
          <w:lang w:eastAsia="it-IT" w:bidi="ar-SA"/>
        </w:rPr>
        <w:t>Scott, R. A. (2013). The state of a university: a campus President's view. </w:t>
      </w:r>
      <w:r w:rsidRPr="00091955">
        <w:rPr>
          <w:rFonts w:eastAsiaTheme="minorEastAsia" w:cs="Times New Roman"/>
          <w:i/>
          <w:iCs/>
          <w:kern w:val="0"/>
          <w:lang w:eastAsia="it-IT" w:bidi="ar-SA"/>
        </w:rPr>
        <w:t>On the Horizon</w:t>
      </w:r>
      <w:r w:rsidRPr="00091955">
        <w:rPr>
          <w:rFonts w:eastAsiaTheme="minorEastAsia" w:cs="Times New Roman"/>
          <w:iCs/>
          <w:kern w:val="0"/>
          <w:lang w:eastAsia="it-IT" w:bidi="ar-SA"/>
        </w:rPr>
        <w:t>, </w:t>
      </w:r>
      <w:r w:rsidRPr="00091955">
        <w:rPr>
          <w:rFonts w:eastAsiaTheme="minorEastAsia" w:cs="Times New Roman"/>
          <w:i/>
          <w:iCs/>
          <w:kern w:val="0"/>
          <w:lang w:eastAsia="it-IT" w:bidi="ar-SA"/>
        </w:rPr>
        <w:t>21</w:t>
      </w:r>
      <w:r w:rsidRPr="00091955">
        <w:rPr>
          <w:rFonts w:eastAsiaTheme="minorEastAsia" w:cs="Times New Roman"/>
          <w:iCs/>
          <w:kern w:val="0"/>
          <w:lang w:eastAsia="it-IT" w:bidi="ar-SA"/>
        </w:rPr>
        <w:t>(4), 268-274.</w:t>
      </w:r>
    </w:p>
    <w:p w14:paraId="37C75AD0" w14:textId="77777777" w:rsidR="00436481" w:rsidRPr="00091955" w:rsidRDefault="00436481" w:rsidP="00436481">
      <w:pPr>
        <w:spacing w:line="360" w:lineRule="auto"/>
        <w:ind w:left="709" w:hanging="709"/>
        <w:rPr>
          <w:rFonts w:eastAsiaTheme="minorEastAsia" w:cs="Times New Roman"/>
          <w:iCs/>
          <w:kern w:val="0"/>
          <w:lang w:eastAsia="it-IT" w:bidi="ar-SA"/>
        </w:rPr>
      </w:pPr>
      <w:r w:rsidRPr="00091955">
        <w:rPr>
          <w:rFonts w:eastAsiaTheme="minorEastAsia" w:cs="Times New Roman"/>
          <w:iCs/>
          <w:kern w:val="0"/>
          <w:lang w:eastAsia="it-IT" w:bidi="ar-SA"/>
        </w:rPr>
        <w:t>Shaker, G. G., &amp; Nathan, S. K. (2017). Understanding higher education fundraisers in the United States. </w:t>
      </w:r>
      <w:r w:rsidRPr="00091955">
        <w:rPr>
          <w:rFonts w:eastAsiaTheme="minorEastAsia" w:cs="Times New Roman"/>
          <w:i/>
          <w:iCs/>
          <w:kern w:val="0"/>
          <w:lang w:eastAsia="it-IT" w:bidi="ar-SA"/>
        </w:rPr>
        <w:t>International Journal of Nonprofit and Voluntary Sector Marketing</w:t>
      </w:r>
      <w:r w:rsidRPr="00091955">
        <w:rPr>
          <w:rFonts w:eastAsiaTheme="minorEastAsia" w:cs="Times New Roman"/>
          <w:iCs/>
          <w:kern w:val="0"/>
          <w:lang w:eastAsia="it-IT" w:bidi="ar-SA"/>
        </w:rPr>
        <w:t>, </w:t>
      </w:r>
      <w:r w:rsidRPr="00091955">
        <w:rPr>
          <w:rFonts w:eastAsiaTheme="minorEastAsia" w:cs="Times New Roman"/>
          <w:i/>
          <w:iCs/>
          <w:kern w:val="0"/>
          <w:lang w:eastAsia="it-IT" w:bidi="ar-SA"/>
        </w:rPr>
        <w:t>22</w:t>
      </w:r>
      <w:r w:rsidRPr="00091955">
        <w:rPr>
          <w:rFonts w:eastAsiaTheme="minorEastAsia" w:cs="Times New Roman"/>
          <w:iCs/>
          <w:kern w:val="0"/>
          <w:lang w:eastAsia="it-IT" w:bidi="ar-SA"/>
        </w:rPr>
        <w:t>(4), 1604-1620.</w:t>
      </w:r>
    </w:p>
    <w:p w14:paraId="75F3B5D3" w14:textId="77777777" w:rsidR="00436481" w:rsidRPr="00091955" w:rsidRDefault="00436481" w:rsidP="00436481">
      <w:pPr>
        <w:spacing w:line="360" w:lineRule="auto"/>
        <w:ind w:left="709" w:hanging="709"/>
        <w:rPr>
          <w:rFonts w:eastAsiaTheme="minorEastAsia" w:cs="Times New Roman"/>
          <w:iCs/>
          <w:kern w:val="0"/>
          <w:lang w:eastAsia="it-IT" w:bidi="ar-SA"/>
        </w:rPr>
      </w:pPr>
      <w:r w:rsidRPr="00091955">
        <w:rPr>
          <w:rFonts w:eastAsiaTheme="minorEastAsia" w:cs="Times New Roman"/>
          <w:iCs/>
          <w:kern w:val="0"/>
          <w:lang w:eastAsia="it-IT" w:bidi="ar-SA"/>
        </w:rPr>
        <w:t>Silverman, E. (2008). Building your base: identifying library donors. </w:t>
      </w:r>
      <w:r w:rsidRPr="00091955">
        <w:rPr>
          <w:rFonts w:eastAsiaTheme="minorEastAsia" w:cs="Times New Roman"/>
          <w:i/>
          <w:iCs/>
          <w:kern w:val="0"/>
          <w:lang w:eastAsia="it-IT" w:bidi="ar-SA"/>
        </w:rPr>
        <w:t>The Bottom Line</w:t>
      </w:r>
      <w:r w:rsidRPr="00091955">
        <w:rPr>
          <w:rFonts w:eastAsiaTheme="minorEastAsia" w:cs="Times New Roman"/>
          <w:iCs/>
          <w:kern w:val="0"/>
          <w:lang w:eastAsia="it-IT" w:bidi="ar-SA"/>
        </w:rPr>
        <w:t>, </w:t>
      </w:r>
      <w:r w:rsidRPr="00091955">
        <w:rPr>
          <w:rFonts w:eastAsiaTheme="minorEastAsia" w:cs="Times New Roman"/>
          <w:i/>
          <w:iCs/>
          <w:kern w:val="0"/>
          <w:lang w:eastAsia="it-IT" w:bidi="ar-SA"/>
        </w:rPr>
        <w:t>21</w:t>
      </w:r>
      <w:r w:rsidRPr="00091955">
        <w:rPr>
          <w:rFonts w:eastAsiaTheme="minorEastAsia" w:cs="Times New Roman"/>
          <w:iCs/>
          <w:kern w:val="0"/>
          <w:lang w:eastAsia="it-IT" w:bidi="ar-SA"/>
        </w:rPr>
        <w:t>(4), 138-141.</w:t>
      </w:r>
    </w:p>
    <w:p w14:paraId="616C5D55" w14:textId="77777777" w:rsidR="00AB204A" w:rsidRPr="00AB204A" w:rsidRDefault="00AB204A" w:rsidP="00AB204A">
      <w:pPr>
        <w:spacing w:line="360" w:lineRule="auto"/>
        <w:ind w:left="709" w:hanging="709"/>
        <w:rPr>
          <w:rFonts w:eastAsiaTheme="minorEastAsia" w:cs="Times New Roman"/>
          <w:iCs/>
          <w:kern w:val="0"/>
          <w:lang w:val="en-US" w:eastAsia="it-IT" w:bidi="ar-SA"/>
        </w:rPr>
      </w:pPr>
      <w:r w:rsidRPr="00AB204A">
        <w:rPr>
          <w:rFonts w:eastAsiaTheme="minorEastAsia" w:cs="Times New Roman"/>
          <w:iCs/>
          <w:kern w:val="0"/>
          <w:lang w:val="en-US" w:eastAsia="it-IT" w:bidi="ar-SA"/>
        </w:rPr>
        <w:t xml:space="preserve">Sorensen, E., Torfing, J. (2011). Enhancing Collaborative Innovation in the Public Sector. </w:t>
      </w:r>
      <w:r w:rsidRPr="00AB204A">
        <w:rPr>
          <w:rFonts w:eastAsiaTheme="minorEastAsia" w:cs="Times New Roman"/>
          <w:i/>
          <w:iCs/>
          <w:kern w:val="0"/>
          <w:lang w:val="en-US" w:eastAsia="it-IT" w:bidi="ar-SA"/>
        </w:rPr>
        <w:t>Administration and Society</w:t>
      </w:r>
      <w:r w:rsidRPr="00AB204A">
        <w:rPr>
          <w:rFonts w:eastAsiaTheme="minorEastAsia" w:cs="Times New Roman"/>
          <w:iCs/>
          <w:kern w:val="0"/>
          <w:lang w:val="en-US" w:eastAsia="it-IT" w:bidi="ar-SA"/>
        </w:rPr>
        <w:t>, 43(8), 842-868.</w:t>
      </w:r>
    </w:p>
    <w:p w14:paraId="37C8D524" w14:textId="77777777" w:rsidR="00992AA7" w:rsidRPr="00992AA7" w:rsidRDefault="00992AA7" w:rsidP="00992AA7">
      <w:pPr>
        <w:spacing w:line="360" w:lineRule="auto"/>
        <w:ind w:left="709" w:hanging="709"/>
        <w:rPr>
          <w:rFonts w:eastAsiaTheme="minorEastAsia" w:cs="Times New Roman"/>
          <w:iCs/>
          <w:kern w:val="0"/>
          <w:lang w:eastAsia="it-IT" w:bidi="ar-SA"/>
        </w:rPr>
      </w:pPr>
      <w:r w:rsidRPr="00992AA7">
        <w:rPr>
          <w:rFonts w:eastAsiaTheme="minorEastAsia" w:cs="Times New Roman"/>
          <w:iCs/>
          <w:kern w:val="0"/>
          <w:lang w:eastAsia="it-IT" w:bidi="ar-SA"/>
        </w:rPr>
        <w:t>Sporn, B. (2001). Building adaptive universities: Emerging organisational forms based on experiences of European and US universities. </w:t>
      </w:r>
      <w:r w:rsidRPr="00992AA7">
        <w:rPr>
          <w:rFonts w:eastAsiaTheme="minorEastAsia" w:cs="Times New Roman"/>
          <w:i/>
          <w:iCs/>
          <w:kern w:val="0"/>
          <w:lang w:eastAsia="it-IT" w:bidi="ar-SA"/>
        </w:rPr>
        <w:t>Tertiary Education &amp; Management</w:t>
      </w:r>
      <w:r w:rsidRPr="00992AA7">
        <w:rPr>
          <w:rFonts w:eastAsiaTheme="minorEastAsia" w:cs="Times New Roman"/>
          <w:iCs/>
          <w:kern w:val="0"/>
          <w:lang w:eastAsia="it-IT" w:bidi="ar-SA"/>
        </w:rPr>
        <w:t>, </w:t>
      </w:r>
      <w:r w:rsidRPr="00992AA7">
        <w:rPr>
          <w:rFonts w:eastAsiaTheme="minorEastAsia" w:cs="Times New Roman"/>
          <w:i/>
          <w:iCs/>
          <w:kern w:val="0"/>
          <w:lang w:eastAsia="it-IT" w:bidi="ar-SA"/>
        </w:rPr>
        <w:t>7</w:t>
      </w:r>
      <w:r w:rsidRPr="00992AA7">
        <w:rPr>
          <w:rFonts w:eastAsiaTheme="minorEastAsia" w:cs="Times New Roman"/>
          <w:iCs/>
          <w:kern w:val="0"/>
          <w:lang w:eastAsia="it-IT" w:bidi="ar-SA"/>
        </w:rPr>
        <w:t>(2), 121-134.</w:t>
      </w:r>
    </w:p>
    <w:p w14:paraId="6EF0896C" w14:textId="77777777" w:rsidR="00653BEF" w:rsidRPr="00091955" w:rsidRDefault="00653BEF" w:rsidP="00091955">
      <w:pPr>
        <w:spacing w:line="360" w:lineRule="auto"/>
        <w:ind w:left="709" w:hanging="709"/>
        <w:rPr>
          <w:rFonts w:eastAsiaTheme="minorEastAsia" w:cs="Times New Roman"/>
          <w:kern w:val="0"/>
          <w:lang w:val="en-US" w:eastAsia="it-IT" w:bidi="ar-SA"/>
        </w:rPr>
      </w:pPr>
      <w:r w:rsidRPr="00091955">
        <w:rPr>
          <w:rFonts w:eastAsiaTheme="minorEastAsia" w:cs="Times New Roman"/>
          <w:kern w:val="0"/>
          <w:lang w:val="en-US" w:eastAsia="it-IT" w:bidi="ar-SA"/>
        </w:rPr>
        <w:t>Srnka, K. J., Grohs, R., &amp; Eckler, I. (2003). Increasing fundraising efficiency by segmenting donors. </w:t>
      </w:r>
      <w:r w:rsidRPr="00091955">
        <w:rPr>
          <w:rFonts w:eastAsiaTheme="minorEastAsia" w:cs="Times New Roman"/>
          <w:i/>
          <w:iCs/>
          <w:kern w:val="0"/>
          <w:lang w:val="en-US" w:eastAsia="it-IT" w:bidi="ar-SA"/>
        </w:rPr>
        <w:t>Australasian Marketing Journal (AMJ)</w:t>
      </w:r>
      <w:r w:rsidRPr="00091955">
        <w:rPr>
          <w:rFonts w:eastAsiaTheme="minorEastAsia" w:cs="Times New Roman"/>
          <w:kern w:val="0"/>
          <w:lang w:val="en-US" w:eastAsia="it-IT" w:bidi="ar-SA"/>
        </w:rPr>
        <w:t>, </w:t>
      </w:r>
      <w:r w:rsidRPr="00091955">
        <w:rPr>
          <w:rFonts w:eastAsiaTheme="minorEastAsia" w:cs="Times New Roman"/>
          <w:i/>
          <w:iCs/>
          <w:kern w:val="0"/>
          <w:lang w:val="en-US" w:eastAsia="it-IT" w:bidi="ar-SA"/>
        </w:rPr>
        <w:t>11</w:t>
      </w:r>
      <w:r w:rsidRPr="00091955">
        <w:rPr>
          <w:rFonts w:eastAsiaTheme="minorEastAsia" w:cs="Times New Roman"/>
          <w:kern w:val="0"/>
          <w:lang w:val="en-US" w:eastAsia="it-IT" w:bidi="ar-SA"/>
        </w:rPr>
        <w:t>(1), 70-86.</w:t>
      </w:r>
    </w:p>
    <w:p w14:paraId="447E9336" w14:textId="77777777" w:rsidR="00992AA7" w:rsidRPr="00992AA7" w:rsidRDefault="00992AA7" w:rsidP="00992AA7">
      <w:pPr>
        <w:spacing w:line="360" w:lineRule="auto"/>
        <w:ind w:left="709" w:hanging="709"/>
        <w:rPr>
          <w:rFonts w:eastAsiaTheme="minorEastAsia" w:cs="Times New Roman"/>
          <w:iCs/>
          <w:kern w:val="0"/>
          <w:lang w:eastAsia="it-IT" w:bidi="ar-SA"/>
        </w:rPr>
      </w:pPr>
      <w:r w:rsidRPr="00992AA7">
        <w:rPr>
          <w:rFonts w:eastAsiaTheme="minorEastAsia" w:cs="Times New Roman"/>
          <w:iCs/>
          <w:kern w:val="0"/>
          <w:lang w:eastAsia="it-IT" w:bidi="ar-SA"/>
        </w:rPr>
        <w:t>Stephenson, A.L., &amp; Yerger, D B. (2014). Optimizing engagement: brand identification and alumni donation behaviors. </w:t>
      </w:r>
      <w:r w:rsidRPr="00992AA7">
        <w:rPr>
          <w:rFonts w:eastAsiaTheme="minorEastAsia" w:cs="Times New Roman"/>
          <w:i/>
          <w:iCs/>
          <w:kern w:val="0"/>
          <w:lang w:eastAsia="it-IT" w:bidi="ar-SA"/>
        </w:rPr>
        <w:t>International Journal of Educational Management</w:t>
      </w:r>
      <w:r w:rsidRPr="00992AA7">
        <w:rPr>
          <w:rFonts w:eastAsiaTheme="minorEastAsia" w:cs="Times New Roman"/>
          <w:iCs/>
          <w:kern w:val="0"/>
          <w:lang w:eastAsia="it-IT" w:bidi="ar-SA"/>
        </w:rPr>
        <w:t>, </w:t>
      </w:r>
      <w:r w:rsidRPr="00992AA7">
        <w:rPr>
          <w:rFonts w:eastAsiaTheme="minorEastAsia" w:cs="Times New Roman"/>
          <w:i/>
          <w:iCs/>
          <w:kern w:val="0"/>
          <w:lang w:eastAsia="it-IT" w:bidi="ar-SA"/>
        </w:rPr>
        <w:t>28</w:t>
      </w:r>
      <w:r w:rsidRPr="00992AA7">
        <w:rPr>
          <w:rFonts w:eastAsiaTheme="minorEastAsia" w:cs="Times New Roman"/>
          <w:iCs/>
          <w:kern w:val="0"/>
          <w:lang w:eastAsia="it-IT" w:bidi="ar-SA"/>
        </w:rPr>
        <w:t>(6), 765-778.</w:t>
      </w:r>
    </w:p>
    <w:p w14:paraId="15DF73B2" w14:textId="77777777" w:rsidR="00436481" w:rsidRPr="00436481" w:rsidRDefault="00436481" w:rsidP="00436481">
      <w:pPr>
        <w:spacing w:line="360" w:lineRule="auto"/>
        <w:ind w:left="709" w:hanging="709"/>
        <w:rPr>
          <w:rFonts w:eastAsiaTheme="minorEastAsia" w:cs="Times New Roman"/>
          <w:iCs/>
          <w:kern w:val="0"/>
          <w:lang w:eastAsia="it-IT" w:bidi="ar-SA"/>
        </w:rPr>
      </w:pPr>
      <w:r w:rsidRPr="00436481">
        <w:rPr>
          <w:rFonts w:eastAsiaTheme="minorEastAsia" w:cs="Times New Roman"/>
          <w:iCs/>
          <w:kern w:val="0"/>
          <w:lang w:eastAsia="it-IT" w:bidi="ar-SA"/>
        </w:rPr>
        <w:t xml:space="preserve">Stevick, Thomas R., 2010, “Integrating Development, Alumni Relations, and Marketing for Fundraising Success”, New Directions for Higher Education, 149; </w:t>
      </w:r>
      <w:hyperlink r:id="rId39" w:history="1">
        <w:r w:rsidRPr="00436481">
          <w:rPr>
            <w:rFonts w:eastAsiaTheme="minorEastAsia" w:cs="Times New Roman"/>
            <w:iCs/>
            <w:kern w:val="0"/>
            <w:lang w:eastAsia="it-IT" w:bidi="ar-SA"/>
          </w:rPr>
          <w:t>www.interscience.wiley.com</w:t>
        </w:r>
      </w:hyperlink>
      <w:r w:rsidRPr="00436481">
        <w:rPr>
          <w:rFonts w:eastAsiaTheme="minorEastAsia" w:cs="Times New Roman"/>
          <w:iCs/>
          <w:kern w:val="0"/>
          <w:lang w:eastAsia="it-IT" w:bidi="ar-SA"/>
        </w:rPr>
        <w:t>: 57-54.</w:t>
      </w:r>
    </w:p>
    <w:p w14:paraId="7D9E921A" w14:textId="77777777" w:rsidR="00992AA7" w:rsidRPr="00992AA7" w:rsidRDefault="00992AA7" w:rsidP="00992AA7">
      <w:pPr>
        <w:spacing w:line="360" w:lineRule="auto"/>
        <w:ind w:left="709" w:hanging="709"/>
        <w:rPr>
          <w:rFonts w:eastAsiaTheme="minorEastAsia" w:cs="Times New Roman"/>
          <w:iCs/>
          <w:kern w:val="0"/>
          <w:lang w:eastAsia="it-IT" w:bidi="ar-SA"/>
        </w:rPr>
      </w:pPr>
      <w:r w:rsidRPr="00992AA7">
        <w:rPr>
          <w:rFonts w:eastAsiaTheme="minorEastAsia" w:cs="Times New Roman"/>
          <w:iCs/>
          <w:kern w:val="0"/>
          <w:lang w:eastAsia="it-IT" w:bidi="ar-SA"/>
        </w:rPr>
        <w:t>Stinson, J. L., &amp; Howard, D. R. (2010). Intercollegiate athletics as an institutional fundraising tool: An exploratory donor-based view. </w:t>
      </w:r>
      <w:r w:rsidRPr="00992AA7">
        <w:rPr>
          <w:rFonts w:eastAsiaTheme="minorEastAsia" w:cs="Times New Roman"/>
          <w:i/>
          <w:iCs/>
          <w:kern w:val="0"/>
          <w:lang w:eastAsia="it-IT" w:bidi="ar-SA"/>
        </w:rPr>
        <w:t>Journal of Nonprofit &amp; Public Sector Marketing</w:t>
      </w:r>
      <w:r w:rsidRPr="00992AA7">
        <w:rPr>
          <w:rFonts w:eastAsiaTheme="minorEastAsia" w:cs="Times New Roman"/>
          <w:iCs/>
          <w:kern w:val="0"/>
          <w:lang w:eastAsia="it-IT" w:bidi="ar-SA"/>
        </w:rPr>
        <w:t>, </w:t>
      </w:r>
      <w:r w:rsidRPr="00992AA7">
        <w:rPr>
          <w:rFonts w:eastAsiaTheme="minorEastAsia" w:cs="Times New Roman"/>
          <w:i/>
          <w:iCs/>
          <w:kern w:val="0"/>
          <w:lang w:eastAsia="it-IT" w:bidi="ar-SA"/>
        </w:rPr>
        <w:t>22</w:t>
      </w:r>
      <w:r w:rsidRPr="00992AA7">
        <w:rPr>
          <w:rFonts w:eastAsiaTheme="minorEastAsia" w:cs="Times New Roman"/>
          <w:iCs/>
          <w:kern w:val="0"/>
          <w:lang w:eastAsia="it-IT" w:bidi="ar-SA"/>
        </w:rPr>
        <w:t>(4), 312-335.</w:t>
      </w:r>
    </w:p>
    <w:p w14:paraId="132A5805" w14:textId="77777777" w:rsidR="00992AA7" w:rsidRPr="00091955" w:rsidRDefault="00992AA7" w:rsidP="00992AA7">
      <w:pPr>
        <w:spacing w:line="360" w:lineRule="auto"/>
        <w:ind w:left="709" w:hanging="709"/>
        <w:rPr>
          <w:rFonts w:eastAsiaTheme="minorEastAsia" w:cs="Times New Roman"/>
          <w:iCs/>
          <w:kern w:val="0"/>
          <w:lang w:eastAsia="it-IT" w:bidi="ar-SA"/>
        </w:rPr>
      </w:pPr>
      <w:r w:rsidRPr="00091955">
        <w:rPr>
          <w:rFonts w:eastAsiaTheme="minorEastAsia" w:cs="Times New Roman"/>
          <w:iCs/>
          <w:kern w:val="0"/>
          <w:lang w:eastAsia="it-IT" w:bidi="ar-SA"/>
        </w:rPr>
        <w:t>Stover, W. S. (1930). </w:t>
      </w:r>
      <w:r w:rsidRPr="00091955">
        <w:rPr>
          <w:rFonts w:eastAsiaTheme="minorEastAsia" w:cs="Times New Roman"/>
          <w:i/>
          <w:iCs/>
          <w:kern w:val="0"/>
          <w:lang w:eastAsia="it-IT" w:bidi="ar-SA"/>
        </w:rPr>
        <w:t>Alumni stimulation by the American college president</w:t>
      </w:r>
      <w:r w:rsidRPr="00091955">
        <w:rPr>
          <w:rFonts w:eastAsiaTheme="minorEastAsia" w:cs="Times New Roman"/>
          <w:iCs/>
          <w:kern w:val="0"/>
          <w:lang w:eastAsia="it-IT" w:bidi="ar-SA"/>
        </w:rPr>
        <w:t>. New York: Bureau of Publications, Teachers College, Columbia University.</w:t>
      </w:r>
    </w:p>
    <w:p w14:paraId="1CD4E7A0" w14:textId="77777777" w:rsidR="00653BEF" w:rsidRPr="00091955" w:rsidRDefault="00653BEF" w:rsidP="00091955">
      <w:pPr>
        <w:spacing w:line="360" w:lineRule="auto"/>
        <w:ind w:left="709" w:hanging="709"/>
        <w:rPr>
          <w:rFonts w:eastAsiaTheme="minorEastAsia" w:cs="Times New Roman"/>
          <w:iCs/>
          <w:kern w:val="0"/>
          <w:lang w:val="en-US" w:eastAsia="it-IT" w:bidi="ar-SA"/>
        </w:rPr>
      </w:pPr>
      <w:r w:rsidRPr="00091955">
        <w:rPr>
          <w:rFonts w:eastAsiaTheme="minorEastAsia" w:cs="Times New Roman"/>
          <w:iCs/>
          <w:kern w:val="0"/>
          <w:lang w:val="en-US" w:eastAsia="it-IT" w:bidi="ar-SA"/>
        </w:rPr>
        <w:t>Strassoldo, M. (2001). La struttura di governo e la gestione dell’università. </w:t>
      </w:r>
      <w:r w:rsidRPr="00091955">
        <w:rPr>
          <w:rFonts w:eastAsiaTheme="minorEastAsia" w:cs="Times New Roman"/>
          <w:i/>
          <w:iCs/>
          <w:kern w:val="0"/>
          <w:lang w:val="en-US" w:eastAsia="it-IT" w:bidi="ar-SA"/>
        </w:rPr>
        <w:t>Strassoldo M.(a cura di)(2001), L’azienda Università. Le sfide del cambiamento, Isedi, Torino</w:t>
      </w:r>
      <w:r w:rsidRPr="00091955">
        <w:rPr>
          <w:rFonts w:eastAsiaTheme="minorEastAsia" w:cs="Times New Roman"/>
          <w:iCs/>
          <w:kern w:val="0"/>
          <w:lang w:val="en-US" w:eastAsia="it-IT" w:bidi="ar-SA"/>
        </w:rPr>
        <w:t>, 3-28.</w:t>
      </w:r>
    </w:p>
    <w:p w14:paraId="43FC959E" w14:textId="77777777" w:rsidR="00992AA7" w:rsidRPr="00992AA7" w:rsidRDefault="00992AA7" w:rsidP="00992AA7">
      <w:pPr>
        <w:spacing w:line="360" w:lineRule="auto"/>
        <w:ind w:left="709" w:hanging="709"/>
        <w:rPr>
          <w:rFonts w:eastAsiaTheme="minorEastAsia" w:cs="Times New Roman"/>
          <w:iCs/>
          <w:kern w:val="0"/>
          <w:lang w:eastAsia="it-IT" w:bidi="ar-SA"/>
        </w:rPr>
      </w:pPr>
      <w:r w:rsidRPr="00992AA7">
        <w:rPr>
          <w:rFonts w:eastAsiaTheme="minorEastAsia" w:cs="Times New Roman"/>
          <w:iCs/>
          <w:kern w:val="0"/>
          <w:lang w:eastAsia="it-IT" w:bidi="ar-SA"/>
        </w:rPr>
        <w:t>Strauss, A. L. (1987). </w:t>
      </w:r>
      <w:r w:rsidRPr="00992AA7">
        <w:rPr>
          <w:rFonts w:eastAsiaTheme="minorEastAsia" w:cs="Times New Roman"/>
          <w:i/>
          <w:iCs/>
          <w:kern w:val="0"/>
          <w:lang w:eastAsia="it-IT" w:bidi="ar-SA"/>
        </w:rPr>
        <w:t>Qualitative analysis for social scientists</w:t>
      </w:r>
      <w:r w:rsidRPr="00992AA7">
        <w:rPr>
          <w:rFonts w:eastAsiaTheme="minorEastAsia" w:cs="Times New Roman"/>
          <w:iCs/>
          <w:kern w:val="0"/>
          <w:lang w:eastAsia="it-IT" w:bidi="ar-SA"/>
        </w:rPr>
        <w:t>. Cambridge, UK: Cambridge University Press.</w:t>
      </w:r>
    </w:p>
    <w:p w14:paraId="4C04ADB5" w14:textId="77777777" w:rsidR="00992AA7" w:rsidRPr="00992AA7" w:rsidRDefault="00992AA7" w:rsidP="00992AA7">
      <w:pPr>
        <w:spacing w:line="360" w:lineRule="auto"/>
        <w:ind w:left="709" w:hanging="709"/>
        <w:rPr>
          <w:rFonts w:eastAsiaTheme="minorEastAsia" w:cs="Times New Roman"/>
          <w:iCs/>
          <w:kern w:val="0"/>
          <w:lang w:eastAsia="it-IT" w:bidi="ar-SA"/>
        </w:rPr>
      </w:pPr>
      <w:r w:rsidRPr="00992AA7">
        <w:rPr>
          <w:rFonts w:eastAsiaTheme="minorEastAsia" w:cs="Times New Roman"/>
          <w:iCs/>
          <w:kern w:val="0"/>
          <w:lang w:eastAsia="it-IT" w:bidi="ar-SA"/>
        </w:rPr>
        <w:t>Strauss, A., &amp; Corbin, J. M. (1990). </w:t>
      </w:r>
      <w:r w:rsidRPr="00992AA7">
        <w:rPr>
          <w:rFonts w:eastAsiaTheme="minorEastAsia" w:cs="Times New Roman"/>
          <w:i/>
          <w:iCs/>
          <w:kern w:val="0"/>
          <w:lang w:eastAsia="it-IT" w:bidi="ar-SA"/>
        </w:rPr>
        <w:t>Basics of qualitative research: Grounded theory procedures and techniques</w:t>
      </w:r>
      <w:r w:rsidRPr="00992AA7">
        <w:rPr>
          <w:rFonts w:eastAsiaTheme="minorEastAsia" w:cs="Times New Roman"/>
          <w:iCs/>
          <w:kern w:val="0"/>
          <w:lang w:eastAsia="it-IT" w:bidi="ar-SA"/>
        </w:rPr>
        <w:t>. Thousand Oaks, CA: Sage.</w:t>
      </w:r>
    </w:p>
    <w:p w14:paraId="29F3E9E6" w14:textId="77777777" w:rsidR="00992AA7" w:rsidRPr="00992AA7" w:rsidRDefault="00992AA7" w:rsidP="00992AA7">
      <w:pPr>
        <w:spacing w:line="360" w:lineRule="auto"/>
        <w:ind w:left="709" w:hanging="709"/>
        <w:rPr>
          <w:rFonts w:eastAsiaTheme="minorEastAsia" w:cs="Times New Roman"/>
          <w:iCs/>
          <w:kern w:val="0"/>
          <w:lang w:eastAsia="it-IT" w:bidi="ar-SA"/>
        </w:rPr>
      </w:pPr>
      <w:r w:rsidRPr="00992AA7">
        <w:rPr>
          <w:rFonts w:eastAsiaTheme="minorEastAsia" w:cs="Times New Roman"/>
          <w:iCs/>
          <w:kern w:val="0"/>
          <w:lang w:eastAsia="it-IT" w:bidi="ar-SA"/>
        </w:rPr>
        <w:t>Sudman, S., Bradburn, N. M., &amp; Schwarz, N. (1996). </w:t>
      </w:r>
      <w:r w:rsidRPr="00992AA7">
        <w:rPr>
          <w:rFonts w:eastAsiaTheme="minorEastAsia" w:cs="Times New Roman"/>
          <w:i/>
          <w:iCs/>
          <w:kern w:val="0"/>
          <w:lang w:eastAsia="it-IT" w:bidi="ar-SA"/>
        </w:rPr>
        <w:t>Thinking about answers: The application of cognitive processes to survey methodology</w:t>
      </w:r>
      <w:r w:rsidRPr="00992AA7">
        <w:rPr>
          <w:rFonts w:eastAsiaTheme="minorEastAsia" w:cs="Times New Roman"/>
          <w:iCs/>
          <w:kern w:val="0"/>
          <w:lang w:eastAsia="it-IT" w:bidi="ar-SA"/>
        </w:rPr>
        <w:t>. Jossey-Bass.</w:t>
      </w:r>
    </w:p>
    <w:p w14:paraId="2EC6B47A" w14:textId="2A8F9710" w:rsidR="00653BEF" w:rsidRDefault="00091955" w:rsidP="00AB204A">
      <w:pPr>
        <w:spacing w:line="360" w:lineRule="auto"/>
        <w:ind w:left="709" w:hanging="709"/>
        <w:rPr>
          <w:rFonts w:eastAsiaTheme="minorEastAsia" w:cs="Times New Roman"/>
          <w:iCs/>
          <w:kern w:val="0"/>
          <w:lang w:eastAsia="it-IT" w:bidi="ar-SA"/>
        </w:rPr>
      </w:pPr>
      <w:r w:rsidRPr="00091955">
        <w:rPr>
          <w:rFonts w:eastAsiaTheme="minorEastAsia" w:cs="Times New Roman"/>
          <w:iCs/>
          <w:kern w:val="0"/>
          <w:lang w:eastAsia="it-IT" w:bidi="ar-SA"/>
        </w:rPr>
        <w:t>Sung, C. I. (2016). Investigating philanthropy initiatives in Chinese higher education. </w:t>
      </w:r>
      <w:r w:rsidRPr="00436481">
        <w:rPr>
          <w:rFonts w:eastAsiaTheme="minorEastAsia" w:cs="Times New Roman"/>
          <w:iCs/>
          <w:kern w:val="0"/>
          <w:lang w:eastAsia="it-IT" w:bidi="ar-SA"/>
        </w:rPr>
        <w:t>VOLUNTAS: International Journal of Voluntary and Nonprofit Organizations</w:t>
      </w:r>
      <w:r w:rsidRPr="00091955">
        <w:rPr>
          <w:rFonts w:eastAsiaTheme="minorEastAsia" w:cs="Times New Roman"/>
          <w:iCs/>
          <w:kern w:val="0"/>
          <w:lang w:eastAsia="it-IT" w:bidi="ar-SA"/>
        </w:rPr>
        <w:t>, </w:t>
      </w:r>
      <w:r w:rsidRPr="00436481">
        <w:rPr>
          <w:rFonts w:eastAsiaTheme="minorEastAsia" w:cs="Times New Roman"/>
          <w:iCs/>
          <w:kern w:val="0"/>
          <w:lang w:eastAsia="it-IT" w:bidi="ar-SA"/>
        </w:rPr>
        <w:t>27</w:t>
      </w:r>
      <w:r w:rsidRPr="00091955">
        <w:rPr>
          <w:rFonts w:eastAsiaTheme="minorEastAsia" w:cs="Times New Roman"/>
          <w:iCs/>
          <w:kern w:val="0"/>
          <w:lang w:eastAsia="it-IT" w:bidi="ar-SA"/>
        </w:rPr>
        <w:t>(5), 2514-2535.</w:t>
      </w:r>
      <w:r w:rsidR="00436481" w:rsidRPr="00436481">
        <w:rPr>
          <w:rFonts w:eastAsiaTheme="minorEastAsia" w:cs="Times New Roman"/>
          <w:iCs/>
          <w:kern w:val="0"/>
          <w:lang w:eastAsia="it-IT" w:bidi="ar-SA"/>
        </w:rPr>
        <w:t xml:space="preserve"> Sacco, P. L. (Ed.). (2006). Il fundraising per la cultura (Vol. 5). Meltemi Editore srl.</w:t>
      </w:r>
    </w:p>
    <w:p w14:paraId="2210B9BF" w14:textId="77777777" w:rsidR="00EE1CE5" w:rsidRPr="00EE1CE5" w:rsidRDefault="00EE1CE5" w:rsidP="00EE1CE5">
      <w:pPr>
        <w:spacing w:line="360" w:lineRule="auto"/>
        <w:ind w:left="709" w:hanging="709"/>
        <w:rPr>
          <w:rFonts w:eastAsiaTheme="minorEastAsia" w:cs="Times New Roman"/>
          <w:iCs/>
          <w:kern w:val="0"/>
          <w:lang w:val="en-US" w:eastAsia="it-IT" w:bidi="ar-SA"/>
        </w:rPr>
      </w:pPr>
      <w:r w:rsidRPr="00EE1CE5">
        <w:rPr>
          <w:rFonts w:eastAsiaTheme="minorEastAsia" w:cs="Times New Roman"/>
          <w:iCs/>
          <w:kern w:val="0"/>
          <w:lang w:val="en-US" w:eastAsia="it-IT" w:bidi="ar-SA"/>
        </w:rPr>
        <w:t>Talbot, C., 2008, “Measuring public value”. A paper for The Work Foundation, London, Herbert Simon Institute, Manchester Business School.</w:t>
      </w:r>
    </w:p>
    <w:p w14:paraId="5285CE3E" w14:textId="77777777" w:rsidR="00EE1CE5" w:rsidRPr="00436481" w:rsidRDefault="00EE1CE5" w:rsidP="00AB204A">
      <w:pPr>
        <w:spacing w:line="360" w:lineRule="auto"/>
        <w:ind w:left="709" w:hanging="709"/>
        <w:rPr>
          <w:rFonts w:eastAsiaTheme="minorEastAsia" w:cs="Times New Roman"/>
          <w:iCs/>
          <w:kern w:val="0"/>
          <w:lang w:eastAsia="it-IT" w:bidi="ar-SA"/>
        </w:rPr>
      </w:pPr>
    </w:p>
    <w:p w14:paraId="03B27B96" w14:textId="77777777" w:rsidR="00EE1CE5" w:rsidRDefault="00EE1CE5" w:rsidP="00EE1CE5">
      <w:pPr>
        <w:spacing w:line="360" w:lineRule="auto"/>
        <w:ind w:left="709" w:hanging="709"/>
        <w:rPr>
          <w:rFonts w:eastAsiaTheme="minorEastAsia" w:cs="Times New Roman"/>
          <w:iCs/>
          <w:kern w:val="0"/>
          <w:lang w:eastAsia="it-IT" w:bidi="ar-SA"/>
        </w:rPr>
      </w:pPr>
      <w:r w:rsidRPr="00EE1CE5">
        <w:rPr>
          <w:rFonts w:eastAsiaTheme="minorEastAsia" w:cs="Times New Roman"/>
          <w:iCs/>
          <w:kern w:val="0"/>
          <w:lang w:eastAsia="it-IT" w:bidi="ar-SA"/>
        </w:rPr>
        <w:t>Tang, Y. (2010). Empirical Analysis on Revenues and Expenses of Taiwanese Higher Education. </w:t>
      </w:r>
      <w:r w:rsidRPr="00EE1CE5">
        <w:rPr>
          <w:rFonts w:eastAsiaTheme="minorEastAsia" w:cs="Times New Roman"/>
          <w:i/>
          <w:iCs/>
          <w:kern w:val="0"/>
          <w:lang w:eastAsia="it-IT" w:bidi="ar-SA"/>
        </w:rPr>
        <w:t>International Journal of China Studies</w:t>
      </w:r>
      <w:r w:rsidRPr="00EE1CE5">
        <w:rPr>
          <w:rFonts w:eastAsiaTheme="minorEastAsia" w:cs="Times New Roman"/>
          <w:iCs/>
          <w:kern w:val="0"/>
          <w:lang w:eastAsia="it-IT" w:bidi="ar-SA"/>
        </w:rPr>
        <w:t>, </w:t>
      </w:r>
      <w:r w:rsidRPr="00EE1CE5">
        <w:rPr>
          <w:rFonts w:eastAsiaTheme="minorEastAsia" w:cs="Times New Roman"/>
          <w:i/>
          <w:iCs/>
          <w:kern w:val="0"/>
          <w:lang w:eastAsia="it-IT" w:bidi="ar-SA"/>
        </w:rPr>
        <w:t>1</w:t>
      </w:r>
      <w:r w:rsidRPr="00EE1CE5">
        <w:rPr>
          <w:rFonts w:eastAsiaTheme="minorEastAsia" w:cs="Times New Roman"/>
          <w:iCs/>
          <w:kern w:val="0"/>
          <w:lang w:eastAsia="it-IT" w:bidi="ar-SA"/>
        </w:rPr>
        <w:t>(3), 685-704.</w:t>
      </w:r>
    </w:p>
    <w:p w14:paraId="3D9D2094" w14:textId="46747CBC" w:rsidR="00FD6DCD" w:rsidRPr="00EE1CE5" w:rsidRDefault="00FD6DCD" w:rsidP="00FD6DCD">
      <w:pPr>
        <w:spacing w:line="360" w:lineRule="auto"/>
        <w:ind w:left="709" w:hanging="709"/>
        <w:rPr>
          <w:rFonts w:eastAsiaTheme="minorEastAsia" w:cs="Times New Roman"/>
          <w:iCs/>
          <w:kern w:val="0"/>
          <w:lang w:eastAsia="it-IT" w:bidi="ar-SA"/>
        </w:rPr>
      </w:pPr>
      <w:r w:rsidRPr="00FD6DCD">
        <w:rPr>
          <w:rFonts w:eastAsiaTheme="minorEastAsia" w:cs="Times New Roman"/>
          <w:iCs/>
          <w:kern w:val="0"/>
          <w:lang w:eastAsia="it-IT" w:bidi="ar-SA"/>
        </w:rPr>
        <w:t>Tesch, R. (1990). </w:t>
      </w:r>
      <w:r w:rsidRPr="00FD6DCD">
        <w:rPr>
          <w:rFonts w:eastAsiaTheme="minorEastAsia" w:cs="Times New Roman"/>
          <w:i/>
          <w:iCs/>
          <w:kern w:val="0"/>
          <w:lang w:eastAsia="it-IT" w:bidi="ar-SA"/>
        </w:rPr>
        <w:t>Qualitative research: Analysis types and software tools</w:t>
      </w:r>
      <w:r w:rsidRPr="00FD6DCD">
        <w:rPr>
          <w:rFonts w:eastAsiaTheme="minorEastAsia" w:cs="Times New Roman"/>
          <w:iCs/>
          <w:kern w:val="0"/>
          <w:lang w:eastAsia="it-IT" w:bidi="ar-SA"/>
        </w:rPr>
        <w:t>. London: RoutledgeFalmer.</w:t>
      </w:r>
    </w:p>
    <w:p w14:paraId="1E2C03B4" w14:textId="77777777" w:rsidR="00EE1CE5" w:rsidRPr="00EE1CE5" w:rsidRDefault="00EE1CE5" w:rsidP="00EE1CE5">
      <w:pPr>
        <w:spacing w:line="360" w:lineRule="auto"/>
        <w:ind w:left="709" w:hanging="709"/>
        <w:rPr>
          <w:rFonts w:eastAsiaTheme="minorEastAsia" w:cs="Times New Roman"/>
          <w:iCs/>
          <w:kern w:val="0"/>
          <w:lang w:eastAsia="it-IT" w:bidi="ar-SA"/>
        </w:rPr>
      </w:pPr>
      <w:r w:rsidRPr="00EE1CE5">
        <w:rPr>
          <w:rFonts w:eastAsiaTheme="minorEastAsia" w:cs="Times New Roman"/>
          <w:iCs/>
          <w:kern w:val="0"/>
          <w:lang w:eastAsia="it-IT" w:bidi="ar-SA"/>
        </w:rPr>
        <w:t>Thomas, C. (2010). Retaining educational fundraisers: Reducing turnover by investing in human capital management. </w:t>
      </w:r>
      <w:r w:rsidRPr="00EE1CE5">
        <w:rPr>
          <w:rFonts w:eastAsiaTheme="minorEastAsia" w:cs="Times New Roman"/>
          <w:i/>
          <w:iCs/>
          <w:kern w:val="0"/>
          <w:lang w:eastAsia="it-IT" w:bidi="ar-SA"/>
        </w:rPr>
        <w:t>International Journal of Educational Advancement</w:t>
      </w:r>
      <w:r w:rsidRPr="00EE1CE5">
        <w:rPr>
          <w:rFonts w:eastAsiaTheme="minorEastAsia" w:cs="Times New Roman"/>
          <w:iCs/>
          <w:kern w:val="0"/>
          <w:lang w:eastAsia="it-IT" w:bidi="ar-SA"/>
        </w:rPr>
        <w:t>, </w:t>
      </w:r>
      <w:r w:rsidRPr="00EE1CE5">
        <w:rPr>
          <w:rFonts w:eastAsiaTheme="minorEastAsia" w:cs="Times New Roman"/>
          <w:i/>
          <w:iCs/>
          <w:kern w:val="0"/>
          <w:lang w:eastAsia="it-IT" w:bidi="ar-SA"/>
        </w:rPr>
        <w:t>10</w:t>
      </w:r>
      <w:r w:rsidRPr="00EE1CE5">
        <w:rPr>
          <w:rFonts w:eastAsiaTheme="minorEastAsia" w:cs="Times New Roman"/>
          <w:iCs/>
          <w:kern w:val="0"/>
          <w:lang w:eastAsia="it-IT" w:bidi="ar-SA"/>
        </w:rPr>
        <w:t>(2), 99-107.</w:t>
      </w:r>
    </w:p>
    <w:p w14:paraId="6BE32588" w14:textId="77777777" w:rsidR="007D4F4E" w:rsidRPr="007D4F4E" w:rsidRDefault="007D4F4E" w:rsidP="007D4F4E">
      <w:pPr>
        <w:spacing w:line="360" w:lineRule="auto"/>
        <w:ind w:left="709" w:hanging="709"/>
        <w:rPr>
          <w:rFonts w:eastAsiaTheme="minorEastAsia" w:cs="Times New Roman"/>
          <w:iCs/>
          <w:kern w:val="0"/>
          <w:lang w:eastAsia="it-IT" w:bidi="ar-SA"/>
        </w:rPr>
      </w:pPr>
      <w:r w:rsidRPr="007D4F4E">
        <w:rPr>
          <w:rFonts w:eastAsiaTheme="minorEastAsia" w:cs="Times New Roman"/>
          <w:iCs/>
          <w:kern w:val="0"/>
          <w:lang w:eastAsia="it-IT" w:bidi="ar-SA"/>
        </w:rPr>
        <w:t>Tindall, N. T. (2009). Working on the short grass: A qualitative analysis of fundraiser roles and experiences at public historically Black colleges and universities. </w:t>
      </w:r>
      <w:r w:rsidRPr="007D4F4E">
        <w:rPr>
          <w:rFonts w:eastAsiaTheme="minorEastAsia" w:cs="Times New Roman"/>
          <w:i/>
          <w:iCs/>
          <w:kern w:val="0"/>
          <w:lang w:eastAsia="it-IT" w:bidi="ar-SA"/>
        </w:rPr>
        <w:t>International Journal of Educational Advancement</w:t>
      </w:r>
      <w:r w:rsidRPr="007D4F4E">
        <w:rPr>
          <w:rFonts w:eastAsiaTheme="minorEastAsia" w:cs="Times New Roman"/>
          <w:iCs/>
          <w:kern w:val="0"/>
          <w:lang w:eastAsia="it-IT" w:bidi="ar-SA"/>
        </w:rPr>
        <w:t>, </w:t>
      </w:r>
      <w:r w:rsidRPr="007D4F4E">
        <w:rPr>
          <w:rFonts w:eastAsiaTheme="minorEastAsia" w:cs="Times New Roman"/>
          <w:i/>
          <w:iCs/>
          <w:kern w:val="0"/>
          <w:lang w:eastAsia="it-IT" w:bidi="ar-SA"/>
        </w:rPr>
        <w:t>9</w:t>
      </w:r>
      <w:r w:rsidRPr="007D4F4E">
        <w:rPr>
          <w:rFonts w:eastAsiaTheme="minorEastAsia" w:cs="Times New Roman"/>
          <w:iCs/>
          <w:kern w:val="0"/>
          <w:lang w:eastAsia="it-IT" w:bidi="ar-SA"/>
        </w:rPr>
        <w:t>(1), 3-15.</w:t>
      </w:r>
    </w:p>
    <w:p w14:paraId="1996CB5D" w14:textId="77777777" w:rsidR="00EE1CE5" w:rsidRPr="00EE1CE5" w:rsidRDefault="00EE1CE5" w:rsidP="00EE1CE5">
      <w:pPr>
        <w:spacing w:line="360" w:lineRule="auto"/>
        <w:ind w:left="709" w:hanging="709"/>
        <w:rPr>
          <w:rFonts w:eastAsiaTheme="minorEastAsia" w:cs="Times New Roman"/>
          <w:iCs/>
          <w:kern w:val="0"/>
          <w:lang w:eastAsia="it-IT" w:bidi="ar-SA"/>
        </w:rPr>
      </w:pPr>
      <w:r w:rsidRPr="00EE1CE5">
        <w:rPr>
          <w:rFonts w:eastAsiaTheme="minorEastAsia" w:cs="Times New Roman"/>
          <w:iCs/>
          <w:kern w:val="0"/>
          <w:lang w:eastAsia="it-IT" w:bidi="ar-SA"/>
        </w:rPr>
        <w:t>Tindall, N. T., &amp; Waters, R. D. (2010). The relationship between fundraising practice and job satisfaction at historically Black colleges and universities. </w:t>
      </w:r>
      <w:r w:rsidRPr="00EE1CE5">
        <w:rPr>
          <w:rFonts w:eastAsiaTheme="minorEastAsia" w:cs="Times New Roman"/>
          <w:i/>
          <w:iCs/>
          <w:kern w:val="0"/>
          <w:lang w:eastAsia="it-IT" w:bidi="ar-SA"/>
        </w:rPr>
        <w:t>International Journal of Educational Advancement</w:t>
      </w:r>
      <w:r w:rsidRPr="00EE1CE5">
        <w:rPr>
          <w:rFonts w:eastAsiaTheme="minorEastAsia" w:cs="Times New Roman"/>
          <w:iCs/>
          <w:kern w:val="0"/>
          <w:lang w:eastAsia="it-IT" w:bidi="ar-SA"/>
        </w:rPr>
        <w:t>, </w:t>
      </w:r>
      <w:r w:rsidRPr="00EE1CE5">
        <w:rPr>
          <w:rFonts w:eastAsiaTheme="minorEastAsia" w:cs="Times New Roman"/>
          <w:i/>
          <w:iCs/>
          <w:kern w:val="0"/>
          <w:lang w:eastAsia="it-IT" w:bidi="ar-SA"/>
        </w:rPr>
        <w:t>10</w:t>
      </w:r>
      <w:r w:rsidRPr="00EE1CE5">
        <w:rPr>
          <w:rFonts w:eastAsiaTheme="minorEastAsia" w:cs="Times New Roman"/>
          <w:iCs/>
          <w:kern w:val="0"/>
          <w:lang w:eastAsia="it-IT" w:bidi="ar-SA"/>
        </w:rPr>
        <w:t>(3), 198-215.</w:t>
      </w:r>
    </w:p>
    <w:p w14:paraId="3B6094A9" w14:textId="77777777" w:rsidR="007D4F4E" w:rsidRPr="007D4F4E" w:rsidRDefault="007D4F4E" w:rsidP="007D4F4E">
      <w:pPr>
        <w:spacing w:line="360" w:lineRule="auto"/>
        <w:ind w:left="709" w:hanging="709"/>
        <w:rPr>
          <w:rFonts w:eastAsiaTheme="minorEastAsia" w:cs="Times New Roman"/>
          <w:iCs/>
          <w:kern w:val="0"/>
          <w:lang w:eastAsia="it-IT" w:bidi="ar-SA"/>
        </w:rPr>
      </w:pPr>
      <w:r w:rsidRPr="007D4F4E">
        <w:rPr>
          <w:rFonts w:eastAsiaTheme="minorEastAsia" w:cs="Times New Roman"/>
          <w:iCs/>
          <w:kern w:val="0"/>
          <w:lang w:eastAsia="it-IT" w:bidi="ar-SA"/>
        </w:rPr>
        <w:t>Tsunoda, K. (2010). Asian American giving to US higher education. </w:t>
      </w:r>
      <w:r w:rsidRPr="007D4F4E">
        <w:rPr>
          <w:rFonts w:eastAsiaTheme="minorEastAsia" w:cs="Times New Roman"/>
          <w:i/>
          <w:iCs/>
          <w:kern w:val="0"/>
          <w:lang w:eastAsia="it-IT" w:bidi="ar-SA"/>
        </w:rPr>
        <w:t>International Journal of Educational Advancement</w:t>
      </w:r>
      <w:r w:rsidRPr="007D4F4E">
        <w:rPr>
          <w:rFonts w:eastAsiaTheme="minorEastAsia" w:cs="Times New Roman"/>
          <w:iCs/>
          <w:kern w:val="0"/>
          <w:lang w:eastAsia="it-IT" w:bidi="ar-SA"/>
        </w:rPr>
        <w:t>, </w:t>
      </w:r>
      <w:r w:rsidRPr="007D4F4E">
        <w:rPr>
          <w:rFonts w:eastAsiaTheme="minorEastAsia" w:cs="Times New Roman"/>
          <w:i/>
          <w:iCs/>
          <w:kern w:val="0"/>
          <w:lang w:eastAsia="it-IT" w:bidi="ar-SA"/>
        </w:rPr>
        <w:t>10</w:t>
      </w:r>
      <w:r w:rsidRPr="007D4F4E">
        <w:rPr>
          <w:rFonts w:eastAsiaTheme="minorEastAsia" w:cs="Times New Roman"/>
          <w:iCs/>
          <w:kern w:val="0"/>
          <w:lang w:eastAsia="it-IT" w:bidi="ar-SA"/>
        </w:rPr>
        <w:t>(1), 2-23.</w:t>
      </w:r>
    </w:p>
    <w:p w14:paraId="561C510F" w14:textId="77777777" w:rsidR="00EE1CE5" w:rsidRPr="00EE1CE5" w:rsidRDefault="00EE1CE5" w:rsidP="00EE1CE5">
      <w:pPr>
        <w:spacing w:line="360" w:lineRule="auto"/>
        <w:ind w:left="709" w:hanging="709"/>
        <w:rPr>
          <w:rFonts w:eastAsiaTheme="minorEastAsia" w:cs="Times New Roman"/>
          <w:iCs/>
          <w:kern w:val="0"/>
          <w:lang w:eastAsia="it-IT" w:bidi="ar-SA"/>
        </w:rPr>
      </w:pPr>
      <w:r w:rsidRPr="00EE1CE5">
        <w:rPr>
          <w:rFonts w:eastAsiaTheme="minorEastAsia" w:cs="Times New Roman"/>
          <w:iCs/>
          <w:kern w:val="0"/>
          <w:lang w:eastAsia="it-IT" w:bidi="ar-SA"/>
        </w:rPr>
        <w:t>Vequist IV, D. G. (2015). Nonprofit Fundraising Transformation through Analytics. In Tavana, M. (Ed.), </w:t>
      </w:r>
      <w:r w:rsidRPr="00EE1CE5">
        <w:rPr>
          <w:rFonts w:eastAsiaTheme="minorEastAsia" w:cs="Times New Roman"/>
          <w:i/>
          <w:iCs/>
          <w:kern w:val="0"/>
          <w:lang w:eastAsia="it-IT" w:bidi="ar-SA"/>
        </w:rPr>
        <w:t>Handbook of Research on Organizational Transformations through Big Data Analytics</w:t>
      </w:r>
      <w:r w:rsidRPr="00EE1CE5">
        <w:rPr>
          <w:rFonts w:eastAsiaTheme="minorEastAsia" w:cs="Times New Roman"/>
          <w:iCs/>
          <w:kern w:val="0"/>
          <w:lang w:eastAsia="it-IT" w:bidi="ar-SA"/>
        </w:rPr>
        <w:t> (pp. 116-125). Hershey, PA: IGI Global.</w:t>
      </w:r>
    </w:p>
    <w:p w14:paraId="69FD8A4A" w14:textId="77777777" w:rsidR="00777FD2" w:rsidRPr="00777FD2" w:rsidRDefault="00777FD2" w:rsidP="00777FD2">
      <w:pPr>
        <w:spacing w:line="360" w:lineRule="auto"/>
        <w:ind w:left="709" w:hanging="709"/>
        <w:rPr>
          <w:rFonts w:eastAsiaTheme="minorEastAsia" w:cs="Times New Roman"/>
          <w:iCs/>
          <w:kern w:val="0"/>
          <w:lang w:val="en-US" w:eastAsia="it-IT" w:bidi="ar-SA"/>
        </w:rPr>
      </w:pPr>
      <w:r w:rsidRPr="00777FD2">
        <w:rPr>
          <w:rFonts w:eastAsiaTheme="minorEastAsia" w:cs="Times New Roman"/>
          <w:iCs/>
          <w:kern w:val="0"/>
          <w:lang w:val="en-US" w:eastAsia="it-IT" w:bidi="ar-SA"/>
        </w:rPr>
        <w:t>Vickers, M. H., &amp; Kouzmin, A. (2001). ‘Resilience’in organizational actors and rearticulating ‘voice’: towards a humanistic critique of New Public Management. </w:t>
      </w:r>
      <w:r w:rsidRPr="00777FD2">
        <w:rPr>
          <w:rFonts w:eastAsiaTheme="minorEastAsia" w:cs="Times New Roman"/>
          <w:i/>
          <w:iCs/>
          <w:kern w:val="0"/>
          <w:lang w:val="en-US" w:eastAsia="it-IT" w:bidi="ar-SA"/>
        </w:rPr>
        <w:t>Public Management Review</w:t>
      </w:r>
      <w:r w:rsidRPr="00777FD2">
        <w:rPr>
          <w:rFonts w:eastAsiaTheme="minorEastAsia" w:cs="Times New Roman"/>
          <w:iCs/>
          <w:kern w:val="0"/>
          <w:lang w:val="en-US" w:eastAsia="it-IT" w:bidi="ar-SA"/>
        </w:rPr>
        <w:t>, 3(1), 95-119.</w:t>
      </w:r>
    </w:p>
    <w:p w14:paraId="3EAF20CF" w14:textId="77777777" w:rsidR="00777FD2" w:rsidRPr="00777FD2" w:rsidRDefault="00777FD2" w:rsidP="00777FD2">
      <w:pPr>
        <w:spacing w:line="360" w:lineRule="auto"/>
        <w:ind w:left="709" w:hanging="709"/>
        <w:rPr>
          <w:rFonts w:eastAsiaTheme="minorEastAsia" w:cs="Times New Roman"/>
          <w:iCs/>
          <w:kern w:val="0"/>
          <w:lang w:val="en-US" w:eastAsia="it-IT" w:bidi="ar-SA"/>
        </w:rPr>
      </w:pPr>
      <w:r w:rsidRPr="00777FD2">
        <w:rPr>
          <w:rFonts w:eastAsiaTheme="minorEastAsia" w:cs="Times New Roman"/>
          <w:iCs/>
          <w:kern w:val="0"/>
          <w:lang w:val="en-US" w:eastAsia="it-IT" w:bidi="ar-SA"/>
        </w:rPr>
        <w:t>Voorberg, W. H., Bekkers, V. J., &amp; Tummers, L. G. (2015). A systematic review of co-creation and co-production: Embarking on the social innovation journey. </w:t>
      </w:r>
      <w:r w:rsidRPr="00777FD2">
        <w:rPr>
          <w:rFonts w:eastAsiaTheme="minorEastAsia" w:cs="Times New Roman"/>
          <w:i/>
          <w:iCs/>
          <w:kern w:val="0"/>
          <w:lang w:val="en-US" w:eastAsia="it-IT" w:bidi="ar-SA"/>
        </w:rPr>
        <w:t>Public Management Review</w:t>
      </w:r>
      <w:r w:rsidRPr="00777FD2">
        <w:rPr>
          <w:rFonts w:eastAsiaTheme="minorEastAsia" w:cs="Times New Roman"/>
          <w:iCs/>
          <w:kern w:val="0"/>
          <w:lang w:val="en-US" w:eastAsia="it-IT" w:bidi="ar-SA"/>
        </w:rPr>
        <w:t>, 17(9), 1333-1357.</w:t>
      </w:r>
    </w:p>
    <w:p w14:paraId="7DB32B3E" w14:textId="77777777" w:rsidR="00557C98" w:rsidRPr="00557C98" w:rsidRDefault="00557C98" w:rsidP="00557C98">
      <w:pPr>
        <w:spacing w:line="360" w:lineRule="auto"/>
        <w:ind w:left="709" w:hanging="709"/>
        <w:rPr>
          <w:rFonts w:eastAsiaTheme="minorEastAsia" w:cs="Times New Roman"/>
          <w:iCs/>
          <w:kern w:val="0"/>
          <w:lang w:val="en-US" w:eastAsia="it-IT" w:bidi="ar-SA"/>
        </w:rPr>
      </w:pPr>
      <w:r w:rsidRPr="00557C98">
        <w:rPr>
          <w:rFonts w:eastAsiaTheme="minorEastAsia" w:cs="Times New Roman"/>
          <w:iCs/>
          <w:kern w:val="0"/>
          <w:lang w:val="en-US" w:eastAsia="it-IT" w:bidi="ar-SA"/>
        </w:rPr>
        <w:t>Wash, R., &amp; Solomon, J. (2014, February). Coordinating donors on crowdfunding websites. In </w:t>
      </w:r>
      <w:r w:rsidRPr="00557C98">
        <w:rPr>
          <w:rFonts w:eastAsiaTheme="minorEastAsia" w:cs="Times New Roman"/>
          <w:i/>
          <w:iCs/>
          <w:kern w:val="0"/>
          <w:lang w:val="en-US" w:eastAsia="it-IT" w:bidi="ar-SA"/>
        </w:rPr>
        <w:t>Proceedings of the 17th ACM conference on Computer supported cooperative work &amp; social computing</w:t>
      </w:r>
      <w:r w:rsidRPr="00557C98">
        <w:rPr>
          <w:rFonts w:eastAsiaTheme="minorEastAsia" w:cs="Times New Roman"/>
          <w:iCs/>
          <w:kern w:val="0"/>
          <w:lang w:val="en-US" w:eastAsia="it-IT" w:bidi="ar-SA"/>
        </w:rPr>
        <w:t>, 38-48. ACM.</w:t>
      </w:r>
    </w:p>
    <w:p w14:paraId="1D6B4FE2" w14:textId="77777777" w:rsidR="00777FD2" w:rsidRPr="00777FD2" w:rsidRDefault="00777FD2" w:rsidP="00777FD2">
      <w:pPr>
        <w:spacing w:line="360" w:lineRule="auto"/>
        <w:ind w:left="709" w:hanging="709"/>
        <w:rPr>
          <w:rFonts w:eastAsiaTheme="minorEastAsia" w:cs="Times New Roman"/>
          <w:iCs/>
          <w:kern w:val="0"/>
          <w:lang w:eastAsia="it-IT" w:bidi="ar-SA"/>
        </w:rPr>
      </w:pPr>
      <w:r w:rsidRPr="00777FD2">
        <w:rPr>
          <w:rFonts w:eastAsiaTheme="minorEastAsia" w:cs="Times New Roman"/>
          <w:iCs/>
          <w:kern w:val="0"/>
          <w:lang w:eastAsia="it-IT" w:bidi="ar-SA"/>
        </w:rPr>
        <w:t>Warren, A., Hoyler, M., &amp; Bell, M. (2016). From ‘shadowy cabal’to new profession: Networks of cooperation and competition in UK Higher Education fundraising. </w:t>
      </w:r>
      <w:r w:rsidRPr="00777FD2">
        <w:rPr>
          <w:rFonts w:eastAsiaTheme="minorEastAsia" w:cs="Times New Roman"/>
          <w:i/>
          <w:iCs/>
          <w:kern w:val="0"/>
          <w:lang w:eastAsia="it-IT" w:bidi="ar-SA"/>
        </w:rPr>
        <w:t>Environment and Planning C: Government and Policy</w:t>
      </w:r>
      <w:r w:rsidRPr="00777FD2">
        <w:rPr>
          <w:rFonts w:eastAsiaTheme="minorEastAsia" w:cs="Times New Roman"/>
          <w:iCs/>
          <w:kern w:val="0"/>
          <w:lang w:eastAsia="it-IT" w:bidi="ar-SA"/>
        </w:rPr>
        <w:t>, </w:t>
      </w:r>
      <w:r w:rsidRPr="00777FD2">
        <w:rPr>
          <w:rFonts w:eastAsiaTheme="minorEastAsia" w:cs="Times New Roman"/>
          <w:i/>
          <w:iCs/>
          <w:kern w:val="0"/>
          <w:lang w:eastAsia="it-IT" w:bidi="ar-SA"/>
        </w:rPr>
        <w:t>34</w:t>
      </w:r>
      <w:r w:rsidRPr="00777FD2">
        <w:rPr>
          <w:rFonts w:eastAsiaTheme="minorEastAsia" w:cs="Times New Roman"/>
          <w:iCs/>
          <w:kern w:val="0"/>
          <w:lang w:eastAsia="it-IT" w:bidi="ar-SA"/>
        </w:rPr>
        <w:t>(5), 837-854.</w:t>
      </w:r>
    </w:p>
    <w:p w14:paraId="38E45FC7" w14:textId="77777777" w:rsidR="00777FD2" w:rsidRDefault="00777FD2" w:rsidP="00777FD2">
      <w:pPr>
        <w:spacing w:line="360" w:lineRule="auto"/>
        <w:ind w:left="709" w:hanging="709"/>
        <w:rPr>
          <w:rFonts w:eastAsiaTheme="minorEastAsia" w:cs="Times New Roman"/>
          <w:iCs/>
          <w:kern w:val="0"/>
          <w:lang w:eastAsia="it-IT" w:bidi="ar-SA"/>
        </w:rPr>
      </w:pPr>
      <w:r w:rsidRPr="00777FD2">
        <w:rPr>
          <w:rFonts w:eastAsiaTheme="minorEastAsia" w:cs="Times New Roman"/>
          <w:iCs/>
          <w:kern w:val="0"/>
          <w:lang w:eastAsia="it-IT" w:bidi="ar-SA"/>
        </w:rPr>
        <w:t>Webb Farley, K. E. (2018). Can Private Donations Help Public Universities Build Bridges Over Troubled Waters?: Practical Lessons for Administrators and Donors. </w:t>
      </w:r>
      <w:r w:rsidRPr="00777FD2">
        <w:rPr>
          <w:rFonts w:eastAsiaTheme="minorEastAsia" w:cs="Times New Roman"/>
          <w:i/>
          <w:iCs/>
          <w:kern w:val="0"/>
          <w:lang w:eastAsia="it-IT" w:bidi="ar-SA"/>
        </w:rPr>
        <w:t>Public Organization Review</w:t>
      </w:r>
      <w:r w:rsidRPr="00777FD2">
        <w:rPr>
          <w:rFonts w:eastAsiaTheme="minorEastAsia" w:cs="Times New Roman"/>
          <w:iCs/>
          <w:kern w:val="0"/>
          <w:lang w:eastAsia="it-IT" w:bidi="ar-SA"/>
        </w:rPr>
        <w:t>, </w:t>
      </w:r>
      <w:r w:rsidRPr="00777FD2">
        <w:rPr>
          <w:rFonts w:eastAsiaTheme="minorEastAsia" w:cs="Times New Roman"/>
          <w:i/>
          <w:iCs/>
          <w:kern w:val="0"/>
          <w:lang w:eastAsia="it-IT" w:bidi="ar-SA"/>
        </w:rPr>
        <w:t>18</w:t>
      </w:r>
      <w:r w:rsidRPr="00777FD2">
        <w:rPr>
          <w:rFonts w:eastAsiaTheme="minorEastAsia" w:cs="Times New Roman"/>
          <w:iCs/>
          <w:kern w:val="0"/>
          <w:lang w:eastAsia="it-IT" w:bidi="ar-SA"/>
        </w:rPr>
        <w:t>(2), 175-190.</w:t>
      </w:r>
    </w:p>
    <w:p w14:paraId="2FCA8701" w14:textId="1EE49970" w:rsidR="00557C98" w:rsidRPr="00557C98" w:rsidRDefault="00557C98" w:rsidP="00557C98">
      <w:pPr>
        <w:spacing w:line="360" w:lineRule="auto"/>
        <w:ind w:left="709" w:hanging="709"/>
        <w:rPr>
          <w:rFonts w:eastAsiaTheme="minorEastAsia" w:cs="Times New Roman"/>
          <w:iCs/>
          <w:kern w:val="0"/>
          <w:lang w:val="en-US" w:eastAsia="it-IT" w:bidi="ar-SA"/>
        </w:rPr>
      </w:pPr>
      <w:r w:rsidRPr="00557C98">
        <w:rPr>
          <w:rFonts w:eastAsiaTheme="minorEastAsia" w:cs="Times New Roman"/>
          <w:iCs/>
          <w:kern w:val="0"/>
          <w:lang w:val="en-US" w:eastAsia="it-IT" w:bidi="ar-SA"/>
        </w:rPr>
        <w:t xml:space="preserve">van Weenen, H. (2000). Towards a vision of a sustainable university. </w:t>
      </w:r>
      <w:r w:rsidRPr="00557C98">
        <w:rPr>
          <w:rFonts w:eastAsiaTheme="minorEastAsia" w:cs="Times New Roman"/>
          <w:i/>
          <w:iCs/>
          <w:kern w:val="0"/>
          <w:lang w:val="en-US" w:eastAsia="it-IT" w:bidi="ar-SA"/>
        </w:rPr>
        <w:t>International Journal of Sustainability in Higher Education</w:t>
      </w:r>
      <w:r w:rsidRPr="00557C98">
        <w:rPr>
          <w:rFonts w:eastAsiaTheme="minorEastAsia" w:cs="Times New Roman"/>
          <w:iCs/>
          <w:kern w:val="0"/>
          <w:lang w:val="en-US" w:eastAsia="it-IT" w:bidi="ar-SA"/>
        </w:rPr>
        <w:t>, 1(1), 20-34.</w:t>
      </w:r>
    </w:p>
    <w:p w14:paraId="4D6CEC6B" w14:textId="5ABB62EF" w:rsidR="00777FD2" w:rsidRPr="00777FD2" w:rsidRDefault="00777FD2" w:rsidP="00777FD2">
      <w:pPr>
        <w:spacing w:line="360" w:lineRule="auto"/>
        <w:ind w:left="709" w:hanging="709"/>
        <w:rPr>
          <w:rFonts w:eastAsiaTheme="minorEastAsia" w:cs="Times New Roman"/>
          <w:iCs/>
          <w:kern w:val="0"/>
          <w:lang w:val="en-US" w:eastAsia="it-IT" w:bidi="ar-SA"/>
        </w:rPr>
      </w:pPr>
      <w:r w:rsidRPr="00777FD2">
        <w:rPr>
          <w:rFonts w:eastAsiaTheme="minorEastAsia" w:cs="Times New Roman"/>
          <w:iCs/>
          <w:kern w:val="0"/>
          <w:lang w:val="en-US" w:eastAsia="it-IT" w:bidi="ar-SA"/>
        </w:rPr>
        <w:t>Weidner, D.J., 2008, “Fundraising Tips for Deans with Intermediate Development Programs”, University of Todedo Law Review, 39 (2): 393-398.</w:t>
      </w:r>
    </w:p>
    <w:p w14:paraId="33086E97" w14:textId="77777777" w:rsidR="00557C98" w:rsidRPr="00557C98" w:rsidRDefault="00557C98" w:rsidP="00557C98">
      <w:pPr>
        <w:spacing w:line="360" w:lineRule="auto"/>
        <w:ind w:left="709" w:hanging="709"/>
        <w:rPr>
          <w:rFonts w:eastAsiaTheme="minorEastAsia" w:cs="Times New Roman"/>
          <w:iCs/>
          <w:kern w:val="0"/>
          <w:lang w:val="en-US" w:eastAsia="it-IT" w:bidi="ar-SA"/>
        </w:rPr>
      </w:pPr>
      <w:r w:rsidRPr="00557C98">
        <w:rPr>
          <w:rFonts w:eastAsiaTheme="minorEastAsia" w:cs="Times New Roman"/>
          <w:iCs/>
          <w:kern w:val="0"/>
          <w:lang w:val="en-US" w:eastAsia="it-IT" w:bidi="ar-SA"/>
        </w:rPr>
        <w:t>Wheat, R. E., Wang, Y., Byrnes, J. E., &amp; Ranganathan, J. (2013). Raising money for scientific research through crowdfunding. </w:t>
      </w:r>
      <w:r w:rsidRPr="00557C98">
        <w:rPr>
          <w:rFonts w:eastAsiaTheme="minorEastAsia" w:cs="Times New Roman"/>
          <w:i/>
          <w:iCs/>
          <w:kern w:val="0"/>
          <w:lang w:val="en-US" w:eastAsia="it-IT" w:bidi="ar-SA"/>
        </w:rPr>
        <w:t>Trends in ecology &amp; evolution</w:t>
      </w:r>
      <w:r w:rsidRPr="00557C98">
        <w:rPr>
          <w:rFonts w:eastAsiaTheme="minorEastAsia" w:cs="Times New Roman"/>
          <w:iCs/>
          <w:kern w:val="0"/>
          <w:lang w:val="en-US" w:eastAsia="it-IT" w:bidi="ar-SA"/>
        </w:rPr>
        <w:t>, 28(2), 71-72.</w:t>
      </w:r>
    </w:p>
    <w:p w14:paraId="2C3B247E" w14:textId="77777777" w:rsidR="00777FD2" w:rsidRPr="00777FD2" w:rsidRDefault="00777FD2" w:rsidP="00777FD2">
      <w:pPr>
        <w:spacing w:line="360" w:lineRule="auto"/>
        <w:ind w:left="709" w:hanging="709"/>
        <w:rPr>
          <w:rFonts w:eastAsiaTheme="minorEastAsia" w:cs="Times New Roman"/>
          <w:iCs/>
          <w:kern w:val="0"/>
          <w:lang w:eastAsia="it-IT" w:bidi="ar-SA"/>
        </w:rPr>
      </w:pPr>
      <w:r w:rsidRPr="00777FD2">
        <w:rPr>
          <w:rFonts w:eastAsiaTheme="minorEastAsia" w:cs="Times New Roman"/>
          <w:iCs/>
          <w:kern w:val="0"/>
          <w:lang w:eastAsia="it-IT" w:bidi="ar-SA"/>
        </w:rPr>
        <w:t>Wieck, E., Bretschneider, U., &amp; Leimeister, J. M. (2013). Funding from the crowd: An internet-based crowdfunding platform to support business set-ups from universities. </w:t>
      </w:r>
      <w:r w:rsidRPr="00777FD2">
        <w:rPr>
          <w:rFonts w:eastAsiaTheme="minorEastAsia" w:cs="Times New Roman"/>
          <w:i/>
          <w:iCs/>
          <w:kern w:val="0"/>
          <w:lang w:eastAsia="it-IT" w:bidi="ar-SA"/>
        </w:rPr>
        <w:t>International Journal of Cooperative Information Systems</w:t>
      </w:r>
      <w:r w:rsidRPr="00777FD2">
        <w:rPr>
          <w:rFonts w:eastAsiaTheme="minorEastAsia" w:cs="Times New Roman"/>
          <w:iCs/>
          <w:kern w:val="0"/>
          <w:lang w:eastAsia="it-IT" w:bidi="ar-SA"/>
        </w:rPr>
        <w:t>, </w:t>
      </w:r>
      <w:r w:rsidRPr="00777FD2">
        <w:rPr>
          <w:rFonts w:eastAsiaTheme="minorEastAsia" w:cs="Times New Roman"/>
          <w:i/>
          <w:iCs/>
          <w:kern w:val="0"/>
          <w:lang w:eastAsia="it-IT" w:bidi="ar-SA"/>
        </w:rPr>
        <w:t>22</w:t>
      </w:r>
      <w:r w:rsidRPr="00777FD2">
        <w:rPr>
          <w:rFonts w:eastAsiaTheme="minorEastAsia" w:cs="Times New Roman"/>
          <w:iCs/>
          <w:kern w:val="0"/>
          <w:lang w:eastAsia="it-IT" w:bidi="ar-SA"/>
        </w:rPr>
        <w:t>(03), 1340007.</w:t>
      </w:r>
    </w:p>
    <w:p w14:paraId="73F3CF63" w14:textId="77777777" w:rsidR="00777FD2" w:rsidRPr="00777FD2" w:rsidRDefault="00777FD2" w:rsidP="00777FD2">
      <w:pPr>
        <w:spacing w:line="360" w:lineRule="auto"/>
        <w:ind w:left="709" w:hanging="709"/>
        <w:rPr>
          <w:rFonts w:eastAsiaTheme="minorEastAsia" w:cs="Times New Roman"/>
          <w:iCs/>
          <w:kern w:val="0"/>
          <w:lang w:eastAsia="it-IT" w:bidi="ar-SA"/>
        </w:rPr>
      </w:pPr>
      <w:r w:rsidRPr="00777FD2">
        <w:rPr>
          <w:rFonts w:eastAsiaTheme="minorEastAsia" w:cs="Times New Roman"/>
          <w:iCs/>
          <w:kern w:val="0"/>
          <w:lang w:eastAsia="it-IT" w:bidi="ar-SA"/>
        </w:rPr>
        <w:t>Williams, M. G. (2010). Increasing philanthropic support through entrepreneurial activities at Historically Black Colleges and Universities. </w:t>
      </w:r>
      <w:r w:rsidRPr="00777FD2">
        <w:rPr>
          <w:rFonts w:eastAsiaTheme="minorEastAsia" w:cs="Times New Roman"/>
          <w:i/>
          <w:iCs/>
          <w:kern w:val="0"/>
          <w:lang w:eastAsia="it-IT" w:bidi="ar-SA"/>
        </w:rPr>
        <w:t>International Journal of Educational Advancement</w:t>
      </w:r>
      <w:r w:rsidRPr="00777FD2">
        <w:rPr>
          <w:rFonts w:eastAsiaTheme="minorEastAsia" w:cs="Times New Roman"/>
          <w:iCs/>
          <w:kern w:val="0"/>
          <w:lang w:eastAsia="it-IT" w:bidi="ar-SA"/>
        </w:rPr>
        <w:t>, </w:t>
      </w:r>
      <w:r w:rsidRPr="00777FD2">
        <w:rPr>
          <w:rFonts w:eastAsiaTheme="minorEastAsia" w:cs="Times New Roman"/>
          <w:i/>
          <w:iCs/>
          <w:kern w:val="0"/>
          <w:lang w:eastAsia="it-IT" w:bidi="ar-SA"/>
        </w:rPr>
        <w:t>10</w:t>
      </w:r>
      <w:r w:rsidRPr="00777FD2">
        <w:rPr>
          <w:rFonts w:eastAsiaTheme="minorEastAsia" w:cs="Times New Roman"/>
          <w:iCs/>
          <w:kern w:val="0"/>
          <w:lang w:eastAsia="it-IT" w:bidi="ar-SA"/>
        </w:rPr>
        <w:t>(3), 216-229.</w:t>
      </w:r>
    </w:p>
    <w:p w14:paraId="6B67EC18" w14:textId="77777777" w:rsidR="00777FD2" w:rsidRPr="00777FD2" w:rsidRDefault="00777FD2" w:rsidP="00777FD2">
      <w:pPr>
        <w:spacing w:line="360" w:lineRule="auto"/>
        <w:ind w:left="709" w:hanging="709"/>
        <w:rPr>
          <w:rFonts w:eastAsiaTheme="minorEastAsia" w:cs="Times New Roman"/>
          <w:iCs/>
          <w:kern w:val="0"/>
          <w:lang w:eastAsia="it-IT" w:bidi="ar-SA"/>
        </w:rPr>
      </w:pPr>
      <w:r w:rsidRPr="00777FD2">
        <w:rPr>
          <w:rFonts w:eastAsiaTheme="minorEastAsia" w:cs="Times New Roman"/>
          <w:iCs/>
          <w:kern w:val="0"/>
          <w:lang w:eastAsia="it-IT" w:bidi="ar-SA"/>
        </w:rPr>
        <w:t>Wong, J., &amp; Ortmann, A. (2016). Do donors care about the price of giving? A review of the evidence, with some theory to organise it. </w:t>
      </w:r>
      <w:r w:rsidRPr="00777FD2">
        <w:rPr>
          <w:rFonts w:eastAsiaTheme="minorEastAsia" w:cs="Times New Roman"/>
          <w:i/>
          <w:iCs/>
          <w:kern w:val="0"/>
          <w:lang w:eastAsia="it-IT" w:bidi="ar-SA"/>
        </w:rPr>
        <w:t>VOLUNTAS: International Journal of Voluntary and Nonprofit Organizations</w:t>
      </w:r>
      <w:r w:rsidRPr="00777FD2">
        <w:rPr>
          <w:rFonts w:eastAsiaTheme="minorEastAsia" w:cs="Times New Roman"/>
          <w:iCs/>
          <w:kern w:val="0"/>
          <w:lang w:eastAsia="it-IT" w:bidi="ar-SA"/>
        </w:rPr>
        <w:t>, </w:t>
      </w:r>
      <w:r w:rsidRPr="00777FD2">
        <w:rPr>
          <w:rFonts w:eastAsiaTheme="minorEastAsia" w:cs="Times New Roman"/>
          <w:i/>
          <w:iCs/>
          <w:kern w:val="0"/>
          <w:lang w:eastAsia="it-IT" w:bidi="ar-SA"/>
        </w:rPr>
        <w:t>27</w:t>
      </w:r>
      <w:r w:rsidRPr="00777FD2">
        <w:rPr>
          <w:rFonts w:eastAsiaTheme="minorEastAsia" w:cs="Times New Roman"/>
          <w:iCs/>
          <w:kern w:val="0"/>
          <w:lang w:eastAsia="it-IT" w:bidi="ar-SA"/>
        </w:rPr>
        <w:t>(2), 958-978.</w:t>
      </w:r>
    </w:p>
    <w:p w14:paraId="5CBF2A6D" w14:textId="77777777" w:rsidR="00557C98" w:rsidRPr="00557C98" w:rsidRDefault="00557C98" w:rsidP="00557C98">
      <w:pPr>
        <w:spacing w:line="360" w:lineRule="auto"/>
        <w:ind w:left="709" w:hanging="709"/>
        <w:rPr>
          <w:rFonts w:eastAsiaTheme="minorEastAsia" w:cs="Times New Roman"/>
          <w:iCs/>
          <w:kern w:val="0"/>
          <w:lang w:val="en-US" w:eastAsia="it-IT" w:bidi="ar-SA"/>
        </w:rPr>
      </w:pPr>
      <w:r w:rsidRPr="00557C98">
        <w:rPr>
          <w:rFonts w:eastAsiaTheme="minorEastAsia" w:cs="Times New Roman"/>
          <w:iCs/>
          <w:kern w:val="0"/>
          <w:lang w:val="en-US" w:eastAsia="it-IT" w:bidi="ar-SA"/>
        </w:rPr>
        <w:t xml:space="preserve">Wright, T. (2010). University presidents’ conceptualizations of sustainability in higher education. </w:t>
      </w:r>
      <w:r w:rsidRPr="00557C98">
        <w:rPr>
          <w:rFonts w:eastAsiaTheme="minorEastAsia" w:cs="Times New Roman"/>
          <w:i/>
          <w:iCs/>
          <w:kern w:val="0"/>
          <w:lang w:val="en-US" w:eastAsia="it-IT" w:bidi="ar-SA"/>
        </w:rPr>
        <w:t>International Journal of Sustainability in Higher Education</w:t>
      </w:r>
      <w:r w:rsidRPr="00557C98">
        <w:rPr>
          <w:rFonts w:eastAsiaTheme="minorEastAsia" w:cs="Times New Roman"/>
          <w:iCs/>
          <w:kern w:val="0"/>
          <w:lang w:val="en-US" w:eastAsia="it-IT" w:bidi="ar-SA"/>
        </w:rPr>
        <w:t>, 11(1), 61-73.</w:t>
      </w:r>
    </w:p>
    <w:p w14:paraId="2CCB7243" w14:textId="77777777" w:rsidR="00557C98" w:rsidRPr="00557C98" w:rsidRDefault="00557C98" w:rsidP="00557C98">
      <w:pPr>
        <w:spacing w:line="360" w:lineRule="auto"/>
        <w:ind w:left="709" w:hanging="709"/>
        <w:rPr>
          <w:rFonts w:eastAsiaTheme="minorEastAsia" w:cs="Times New Roman"/>
          <w:iCs/>
          <w:kern w:val="0"/>
          <w:lang w:val="en-US" w:eastAsia="it-IT" w:bidi="ar-SA"/>
        </w:rPr>
      </w:pPr>
      <w:r w:rsidRPr="00557C98">
        <w:rPr>
          <w:rFonts w:eastAsiaTheme="minorEastAsia" w:cs="Times New Roman"/>
          <w:iCs/>
          <w:kern w:val="0"/>
          <w:lang w:val="en-US" w:eastAsia="it-IT" w:bidi="ar-SA"/>
        </w:rPr>
        <w:t xml:space="preserve">Wright, T., &amp; Horst, N. (2013). Exploring the ambiguity: what faculty leaders really think of sustainability in higher education. </w:t>
      </w:r>
      <w:r w:rsidRPr="00557C98">
        <w:rPr>
          <w:rFonts w:eastAsiaTheme="minorEastAsia" w:cs="Times New Roman"/>
          <w:i/>
          <w:iCs/>
          <w:kern w:val="0"/>
          <w:lang w:val="en-US" w:eastAsia="it-IT" w:bidi="ar-SA"/>
        </w:rPr>
        <w:t>International Journal of Sustainability in Higher Education</w:t>
      </w:r>
      <w:r w:rsidRPr="00557C98">
        <w:rPr>
          <w:rFonts w:eastAsiaTheme="minorEastAsia" w:cs="Times New Roman"/>
          <w:iCs/>
          <w:kern w:val="0"/>
          <w:lang w:val="en-US" w:eastAsia="it-IT" w:bidi="ar-SA"/>
        </w:rPr>
        <w:t>, 14(2), 209-227.</w:t>
      </w:r>
    </w:p>
    <w:p w14:paraId="13EB45F1" w14:textId="77777777" w:rsidR="00557C98" w:rsidRPr="00557C98" w:rsidRDefault="00557C98" w:rsidP="00557C98">
      <w:pPr>
        <w:spacing w:line="360" w:lineRule="auto"/>
        <w:ind w:left="709" w:hanging="709"/>
        <w:rPr>
          <w:rFonts w:eastAsiaTheme="minorEastAsia" w:cs="Times New Roman"/>
          <w:iCs/>
          <w:kern w:val="0"/>
          <w:lang w:val="en-US" w:eastAsia="it-IT" w:bidi="ar-SA"/>
        </w:rPr>
      </w:pPr>
      <w:r w:rsidRPr="00557C98">
        <w:rPr>
          <w:rFonts w:eastAsiaTheme="minorEastAsia" w:cs="Times New Roman"/>
          <w:iCs/>
          <w:kern w:val="0"/>
          <w:lang w:val="en-US" w:eastAsia="it-IT" w:bidi="ar-SA"/>
        </w:rPr>
        <w:t xml:space="preserve">Wright, S.A., &amp; Wilton, H. (2012). Facilities management directors’ conceptualizations of sustainability in higher education. </w:t>
      </w:r>
      <w:r w:rsidRPr="00557C98">
        <w:rPr>
          <w:rFonts w:eastAsiaTheme="minorEastAsia" w:cs="Times New Roman"/>
          <w:i/>
          <w:iCs/>
          <w:kern w:val="0"/>
          <w:lang w:val="en-US" w:eastAsia="it-IT" w:bidi="ar-SA"/>
        </w:rPr>
        <w:t>Journal of Cleaner Production</w:t>
      </w:r>
      <w:r w:rsidRPr="00557C98">
        <w:rPr>
          <w:rFonts w:eastAsiaTheme="minorEastAsia" w:cs="Times New Roman"/>
          <w:iCs/>
          <w:kern w:val="0"/>
          <w:lang w:val="en-US" w:eastAsia="it-IT" w:bidi="ar-SA"/>
        </w:rPr>
        <w:t>, 31, 118-125.</w:t>
      </w:r>
    </w:p>
    <w:p w14:paraId="08537913" w14:textId="77777777" w:rsidR="00A42599" w:rsidRPr="00A42599" w:rsidRDefault="00A42599" w:rsidP="00A42599">
      <w:pPr>
        <w:spacing w:line="360" w:lineRule="auto"/>
        <w:ind w:left="709" w:hanging="709"/>
        <w:rPr>
          <w:rFonts w:eastAsiaTheme="minorEastAsia" w:cs="Times New Roman"/>
          <w:iCs/>
          <w:kern w:val="0"/>
          <w:lang w:eastAsia="it-IT" w:bidi="ar-SA"/>
        </w:rPr>
      </w:pPr>
      <w:r w:rsidRPr="00A42599">
        <w:rPr>
          <w:rFonts w:eastAsiaTheme="minorEastAsia" w:cs="Times New Roman"/>
          <w:iCs/>
          <w:kern w:val="0"/>
          <w:lang w:eastAsia="it-IT" w:bidi="ar-SA"/>
        </w:rPr>
        <w:t>Wu, K., &amp; Brown, M. S. (2010). An examination of persistence in charitable giving to education through the 2002 economic downturn. </w:t>
      </w:r>
      <w:r w:rsidRPr="00A42599">
        <w:rPr>
          <w:rFonts w:eastAsiaTheme="minorEastAsia" w:cs="Times New Roman"/>
          <w:i/>
          <w:iCs/>
          <w:kern w:val="0"/>
          <w:lang w:eastAsia="it-IT" w:bidi="ar-SA"/>
        </w:rPr>
        <w:t>International Journal of Educational Advancement</w:t>
      </w:r>
      <w:r w:rsidRPr="00A42599">
        <w:rPr>
          <w:rFonts w:eastAsiaTheme="minorEastAsia" w:cs="Times New Roman"/>
          <w:iCs/>
          <w:kern w:val="0"/>
          <w:lang w:eastAsia="it-IT" w:bidi="ar-SA"/>
        </w:rPr>
        <w:t>, </w:t>
      </w:r>
      <w:r w:rsidRPr="00A42599">
        <w:rPr>
          <w:rFonts w:eastAsiaTheme="minorEastAsia" w:cs="Times New Roman"/>
          <w:i/>
          <w:iCs/>
          <w:kern w:val="0"/>
          <w:lang w:eastAsia="it-IT" w:bidi="ar-SA"/>
        </w:rPr>
        <w:t>9</w:t>
      </w:r>
      <w:r w:rsidRPr="00A42599">
        <w:rPr>
          <w:rFonts w:eastAsiaTheme="minorEastAsia" w:cs="Times New Roman"/>
          <w:iCs/>
          <w:kern w:val="0"/>
          <w:lang w:eastAsia="it-IT" w:bidi="ar-SA"/>
        </w:rPr>
        <w:t>(4), 196-219.</w:t>
      </w:r>
    </w:p>
    <w:p w14:paraId="679FF9D6" w14:textId="77777777" w:rsidR="00A8323C" w:rsidRPr="00A8323C" w:rsidRDefault="00A8323C" w:rsidP="00A8323C">
      <w:pPr>
        <w:spacing w:line="360" w:lineRule="auto"/>
        <w:ind w:left="709" w:hanging="709"/>
        <w:rPr>
          <w:rFonts w:eastAsiaTheme="minorEastAsia" w:cs="Times New Roman"/>
          <w:iCs/>
          <w:kern w:val="0"/>
          <w:lang w:eastAsia="it-IT" w:bidi="ar-SA"/>
        </w:rPr>
      </w:pPr>
      <w:r w:rsidRPr="00A8323C">
        <w:rPr>
          <w:rFonts w:eastAsiaTheme="minorEastAsia" w:cs="Times New Roman"/>
          <w:iCs/>
          <w:kern w:val="0"/>
          <w:lang w:eastAsia="it-IT" w:bidi="ar-SA"/>
        </w:rPr>
        <w:t>Yan, K., &amp; Luo, O. (2015). Exploring the Relationship between Interlocking Directorates and Fundraising Capacity. </w:t>
      </w:r>
      <w:r w:rsidRPr="00A8323C">
        <w:rPr>
          <w:rFonts w:eastAsiaTheme="minorEastAsia" w:cs="Times New Roman"/>
          <w:i/>
          <w:iCs/>
          <w:kern w:val="0"/>
          <w:lang w:eastAsia="it-IT" w:bidi="ar-SA"/>
        </w:rPr>
        <w:t>The China Nonprofit Review</w:t>
      </w:r>
      <w:r w:rsidRPr="00A8323C">
        <w:rPr>
          <w:rFonts w:eastAsiaTheme="minorEastAsia" w:cs="Times New Roman"/>
          <w:iCs/>
          <w:kern w:val="0"/>
          <w:lang w:eastAsia="it-IT" w:bidi="ar-SA"/>
        </w:rPr>
        <w:t>, </w:t>
      </w:r>
      <w:r w:rsidRPr="00A8323C">
        <w:rPr>
          <w:rFonts w:eastAsiaTheme="minorEastAsia" w:cs="Times New Roman"/>
          <w:i/>
          <w:iCs/>
          <w:kern w:val="0"/>
          <w:lang w:eastAsia="it-IT" w:bidi="ar-SA"/>
        </w:rPr>
        <w:t>7</w:t>
      </w:r>
      <w:r w:rsidRPr="00A8323C">
        <w:rPr>
          <w:rFonts w:eastAsiaTheme="minorEastAsia" w:cs="Times New Roman"/>
          <w:iCs/>
          <w:kern w:val="0"/>
          <w:lang w:eastAsia="it-IT" w:bidi="ar-SA"/>
        </w:rPr>
        <w:t>(1), 139-160.</w:t>
      </w:r>
    </w:p>
    <w:p w14:paraId="6410B199" w14:textId="77777777" w:rsidR="00F86386" w:rsidRPr="00F86386" w:rsidRDefault="00F86386" w:rsidP="00F86386">
      <w:pPr>
        <w:spacing w:line="360" w:lineRule="auto"/>
        <w:ind w:left="709" w:hanging="709"/>
        <w:rPr>
          <w:rFonts w:eastAsiaTheme="minorEastAsia" w:cs="Times New Roman"/>
          <w:iCs/>
          <w:kern w:val="0"/>
          <w:lang w:eastAsia="it-IT" w:bidi="ar-SA"/>
        </w:rPr>
      </w:pPr>
      <w:r w:rsidRPr="00F86386">
        <w:rPr>
          <w:rFonts w:eastAsiaTheme="minorEastAsia" w:cs="Times New Roman"/>
          <w:iCs/>
          <w:kern w:val="0"/>
          <w:lang w:eastAsia="it-IT" w:bidi="ar-SA"/>
        </w:rPr>
        <w:t>Yang, Y., Lu, C. T., Wang, F., Xu, J., &amp; Philip, S. Y. (2017). Prediction and Analysis of Social Influence for Crowdfunding Projects. </w:t>
      </w:r>
      <w:r w:rsidRPr="00F86386">
        <w:rPr>
          <w:rFonts w:eastAsiaTheme="minorEastAsia" w:cs="Times New Roman"/>
          <w:i/>
          <w:iCs/>
          <w:kern w:val="0"/>
          <w:lang w:eastAsia="it-IT" w:bidi="ar-SA"/>
        </w:rPr>
        <w:t>Hsi-An Chiao Tung Ta Hsueh/Journal of Xi'an Jiaotong University</w:t>
      </w:r>
      <w:r w:rsidRPr="00F86386">
        <w:rPr>
          <w:rFonts w:eastAsiaTheme="minorEastAsia" w:cs="Times New Roman"/>
          <w:iCs/>
          <w:kern w:val="0"/>
          <w:lang w:eastAsia="it-IT" w:bidi="ar-SA"/>
        </w:rPr>
        <w:t>, </w:t>
      </w:r>
      <w:r w:rsidRPr="00F86386">
        <w:rPr>
          <w:rFonts w:eastAsiaTheme="minorEastAsia" w:cs="Times New Roman"/>
          <w:i/>
          <w:iCs/>
          <w:kern w:val="0"/>
          <w:lang w:eastAsia="it-IT" w:bidi="ar-SA"/>
        </w:rPr>
        <w:t>51</w:t>
      </w:r>
      <w:r w:rsidRPr="00F86386">
        <w:rPr>
          <w:rFonts w:eastAsiaTheme="minorEastAsia" w:cs="Times New Roman"/>
          <w:iCs/>
          <w:kern w:val="0"/>
          <w:lang w:eastAsia="it-IT" w:bidi="ar-SA"/>
        </w:rPr>
        <w:t>(4), 91-96.</w:t>
      </w:r>
    </w:p>
    <w:p w14:paraId="5351AEFA" w14:textId="77777777" w:rsidR="00D527F8" w:rsidRPr="00D527F8" w:rsidRDefault="00D527F8" w:rsidP="00D527F8">
      <w:pPr>
        <w:spacing w:line="360" w:lineRule="auto"/>
        <w:ind w:left="709" w:hanging="709"/>
        <w:rPr>
          <w:rFonts w:eastAsiaTheme="minorEastAsia" w:cs="Times New Roman"/>
          <w:iCs/>
          <w:kern w:val="0"/>
          <w:lang w:val="en-US" w:eastAsia="it-IT" w:bidi="ar-SA"/>
        </w:rPr>
      </w:pPr>
      <w:r w:rsidRPr="00D527F8">
        <w:rPr>
          <w:rFonts w:eastAsiaTheme="minorEastAsia" w:cs="Times New Roman"/>
          <w:iCs/>
          <w:kern w:val="0"/>
          <w:lang w:val="en-US" w:eastAsia="it-IT" w:bidi="ar-SA"/>
        </w:rPr>
        <w:t xml:space="preserve">Yin, R. K. (2003). </w:t>
      </w:r>
      <w:r w:rsidRPr="00D527F8">
        <w:rPr>
          <w:rFonts w:eastAsiaTheme="minorEastAsia" w:cs="Times New Roman"/>
          <w:i/>
          <w:iCs/>
          <w:kern w:val="0"/>
          <w:lang w:val="en-US" w:eastAsia="it-IT" w:bidi="ar-SA"/>
        </w:rPr>
        <w:t>Case study research</w:t>
      </w:r>
      <w:r w:rsidRPr="00D527F8">
        <w:rPr>
          <w:rFonts w:eastAsiaTheme="minorEastAsia" w:cs="Times New Roman"/>
          <w:iCs/>
          <w:kern w:val="0"/>
          <w:lang w:val="en-US" w:eastAsia="it-IT" w:bidi="ar-SA"/>
        </w:rPr>
        <w:t xml:space="preserve"> (Fifth Edition). Thousand Oaks, CA: Sage.</w:t>
      </w:r>
    </w:p>
    <w:p w14:paraId="19B19864" w14:textId="25CE2E53" w:rsidR="00AD2C29" w:rsidRPr="00436481" w:rsidRDefault="00D527F8" w:rsidP="008F2BA2">
      <w:pPr>
        <w:spacing w:line="360" w:lineRule="auto"/>
        <w:ind w:left="709" w:hanging="709"/>
        <w:rPr>
          <w:rFonts w:eastAsiaTheme="minorEastAsia" w:cs="Times New Roman"/>
          <w:iCs/>
          <w:kern w:val="0"/>
          <w:lang w:eastAsia="it-IT" w:bidi="ar-SA"/>
        </w:rPr>
      </w:pPr>
      <w:r w:rsidRPr="00D527F8">
        <w:rPr>
          <w:rFonts w:eastAsiaTheme="minorEastAsia" w:cs="Times New Roman"/>
          <w:iCs/>
          <w:kern w:val="0"/>
          <w:lang w:eastAsia="it-IT" w:bidi="ar-SA"/>
        </w:rPr>
        <w:t xml:space="preserve">Zhou, H., &amp; Ye, S. (2018). Legitimacy, Worthiness, and Social Network: An Empirical Study of the key Factors Influencing Crowdfunding Outcomes for Nonprofit Projects. </w:t>
      </w:r>
      <w:r w:rsidRPr="00D527F8">
        <w:rPr>
          <w:rFonts w:eastAsiaTheme="minorEastAsia" w:cs="Times New Roman"/>
          <w:i/>
          <w:iCs/>
          <w:kern w:val="0"/>
          <w:lang w:eastAsia="it-IT" w:bidi="ar-SA"/>
        </w:rPr>
        <w:t>Voluntas, 29</w:t>
      </w:r>
      <w:r w:rsidRPr="00D527F8">
        <w:rPr>
          <w:rFonts w:eastAsiaTheme="minorEastAsia" w:cs="Times New Roman"/>
          <w:iCs/>
          <w:kern w:val="0"/>
          <w:lang w:eastAsia="it-IT" w:bidi="ar-SA"/>
        </w:rPr>
        <w:t>(3), 1-16.</w:t>
      </w:r>
    </w:p>
    <w:sectPr w:rsidR="00AD2C29" w:rsidRPr="00436481" w:rsidSect="00B7728A">
      <w:pgSz w:w="11900" w:h="16840"/>
      <w:pgMar w:top="1418" w:right="1418" w:bottom="1418" w:left="1418" w:header="708" w:footer="708"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1ADB99" w14:textId="77777777" w:rsidR="00CE5432" w:rsidRDefault="00CE5432" w:rsidP="00297695">
      <w:r>
        <w:separator/>
      </w:r>
    </w:p>
  </w:endnote>
  <w:endnote w:type="continuationSeparator" w:id="0">
    <w:p w14:paraId="72E0114F" w14:textId="77777777" w:rsidR="00CE5432" w:rsidRDefault="00CE5432" w:rsidP="002976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Arial Unicode MS">
    <w:panose1 w:val="020B0604020202020204"/>
    <w:charset w:val="00"/>
    <w:family w:val="auto"/>
    <w:pitch w:val="variable"/>
    <w:sig w:usb0="F7FFAFFF" w:usb1="E9DFFFFF" w:usb2="0000003F" w:usb3="00000000" w:csb0="003F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altName w:val="Times Roman"/>
    <w:panose1 w:val="02000500000000000000"/>
    <w:charset w:val="4D"/>
    <w:family w:val="roman"/>
    <w:notTrueType/>
    <w:pitch w:val="variable"/>
    <w:sig w:usb0="00000003" w:usb1="00000000" w:usb2="00000000" w:usb3="00000000" w:csb0="00000001" w:csb1="00000000"/>
  </w:font>
  <w:font w:name="Nueva Std Cond">
    <w:panose1 w:val="020B0506070504020203"/>
    <w:charset w:val="00"/>
    <w:family w:val="auto"/>
    <w:pitch w:val="variable"/>
    <w:sig w:usb0="00000003" w:usb1="00000000" w:usb2="00000000" w:usb3="00000000" w:csb0="00000001" w:csb1="00000000"/>
  </w:font>
  <w:font w:name="Adobe Caslon Pro Bold">
    <w:panose1 w:val="0205070206050A020403"/>
    <w:charset w:val="00"/>
    <w:family w:val="auto"/>
    <w:pitch w:val="variable"/>
    <w:sig w:usb0="00000007" w:usb1="00000001" w:usb2="00000000" w:usb3="00000000" w:csb0="00000093"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BBB78D" w14:textId="77777777" w:rsidR="00CE5432" w:rsidRDefault="00CE5432" w:rsidP="00B7728A">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727D71B7" w14:textId="77777777" w:rsidR="00CE5432" w:rsidRDefault="00CE5432" w:rsidP="00297695">
    <w:pPr>
      <w:pStyle w:val="Pidipa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7C11C7" w14:textId="77777777" w:rsidR="00CE5432" w:rsidRDefault="00CE5432" w:rsidP="00B7728A">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F7C19">
      <w:rPr>
        <w:rStyle w:val="Numeropagina"/>
        <w:noProof/>
      </w:rPr>
      <w:t>iv</w:t>
    </w:r>
    <w:r>
      <w:rPr>
        <w:rStyle w:val="Numeropagina"/>
      </w:rPr>
      <w:fldChar w:fldCharType="end"/>
    </w:r>
  </w:p>
  <w:p w14:paraId="66C2DE26" w14:textId="77777777" w:rsidR="00CE5432" w:rsidRDefault="00CE5432" w:rsidP="00297695">
    <w:pPr>
      <w:pStyle w:val="Pidipagina"/>
      <w:ind w:right="360"/>
      <w:jc w:val="cen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8BC8A7" w14:textId="77777777" w:rsidR="00CE5432" w:rsidRDefault="00CE5432" w:rsidP="00297695">
      <w:r>
        <w:separator/>
      </w:r>
    </w:p>
  </w:footnote>
  <w:footnote w:type="continuationSeparator" w:id="0">
    <w:p w14:paraId="11939331" w14:textId="77777777" w:rsidR="00CE5432" w:rsidRDefault="00CE5432" w:rsidP="00297695">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6CE3853"/>
    <w:multiLevelType w:val="hybridMultilevel"/>
    <w:tmpl w:val="EBFA647A"/>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6D1341C"/>
    <w:multiLevelType w:val="hybridMultilevel"/>
    <w:tmpl w:val="4CF0ECBA"/>
    <w:lvl w:ilvl="0" w:tplc="47A87BBC">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09635A83"/>
    <w:multiLevelType w:val="hybridMultilevel"/>
    <w:tmpl w:val="8816225A"/>
    <w:lvl w:ilvl="0" w:tplc="311EB300">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0DBA46EF"/>
    <w:multiLevelType w:val="hybridMultilevel"/>
    <w:tmpl w:val="EC8699DA"/>
    <w:lvl w:ilvl="0" w:tplc="D77C4176">
      <w:start w:val="1"/>
      <w:numFmt w:val="decimal"/>
      <w:lvlText w:val="%1."/>
      <w:lvlJc w:val="left"/>
      <w:pPr>
        <w:ind w:left="720" w:hanging="360"/>
      </w:pPr>
      <w:rPr>
        <w:rFonts w:ascii="Times New Roman" w:eastAsia="ＭＳ 明朝"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11DA0BE6"/>
    <w:multiLevelType w:val="hybridMultilevel"/>
    <w:tmpl w:val="46E2DCA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17F7214E"/>
    <w:multiLevelType w:val="hybridMultilevel"/>
    <w:tmpl w:val="E0F25998"/>
    <w:lvl w:ilvl="0" w:tplc="7ED2CAAC">
      <w:numFmt w:val="bullet"/>
      <w:lvlText w:val="-"/>
      <w:lvlJc w:val="left"/>
      <w:pPr>
        <w:ind w:left="720" w:hanging="360"/>
      </w:pPr>
      <w:rPr>
        <w:rFonts w:ascii="Times New Roman" w:eastAsia="ＭＳ 明朝"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1A2F3789"/>
    <w:multiLevelType w:val="hybridMultilevel"/>
    <w:tmpl w:val="44E42D32"/>
    <w:lvl w:ilvl="0" w:tplc="E95E4C2A">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1AE45D39"/>
    <w:multiLevelType w:val="hybridMultilevel"/>
    <w:tmpl w:val="1A7C69A0"/>
    <w:lvl w:ilvl="0" w:tplc="F95CD216">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23011D64"/>
    <w:multiLevelType w:val="hybridMultilevel"/>
    <w:tmpl w:val="5F54B1DA"/>
    <w:lvl w:ilvl="0" w:tplc="AB5090F4">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25114567"/>
    <w:multiLevelType w:val="multilevel"/>
    <w:tmpl w:val="9F4800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27134EEA"/>
    <w:multiLevelType w:val="hybridMultilevel"/>
    <w:tmpl w:val="F33AA3B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2B6219BE"/>
    <w:multiLevelType w:val="multilevel"/>
    <w:tmpl w:val="8816225A"/>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D2812E4"/>
    <w:multiLevelType w:val="hybridMultilevel"/>
    <w:tmpl w:val="C82CF27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2D5B28F4"/>
    <w:multiLevelType w:val="hybridMultilevel"/>
    <w:tmpl w:val="C734AAC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3C6D62DE"/>
    <w:multiLevelType w:val="hybridMultilevel"/>
    <w:tmpl w:val="3718260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40FD7D68"/>
    <w:multiLevelType w:val="hybridMultilevel"/>
    <w:tmpl w:val="CED8DB1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41C556C2"/>
    <w:multiLevelType w:val="hybridMultilevel"/>
    <w:tmpl w:val="D2BAB8F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4BB36786"/>
    <w:multiLevelType w:val="multilevel"/>
    <w:tmpl w:val="8FF0757C"/>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BCD2E9D"/>
    <w:multiLevelType w:val="hybridMultilevel"/>
    <w:tmpl w:val="99A01E4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4F1E7AC9"/>
    <w:multiLevelType w:val="hybridMultilevel"/>
    <w:tmpl w:val="DA6866E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nsid w:val="50923EEA"/>
    <w:multiLevelType w:val="hybridMultilevel"/>
    <w:tmpl w:val="BB1A5880"/>
    <w:lvl w:ilvl="0" w:tplc="1CDA5E28">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nsid w:val="56594ECB"/>
    <w:multiLevelType w:val="hybridMultilevel"/>
    <w:tmpl w:val="0256E660"/>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5A552615"/>
    <w:multiLevelType w:val="hybridMultilevel"/>
    <w:tmpl w:val="C422C72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nsid w:val="6065578E"/>
    <w:multiLevelType w:val="hybridMultilevel"/>
    <w:tmpl w:val="95E2A10A"/>
    <w:lvl w:ilvl="0" w:tplc="14B4AF96">
      <w:start w:val="1"/>
      <w:numFmt w:val="decimal"/>
      <w:lvlText w:val="%1)"/>
      <w:lvlJc w:val="left"/>
      <w:pPr>
        <w:ind w:left="740" w:hanging="38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nsid w:val="6D023866"/>
    <w:multiLevelType w:val="hybridMultilevel"/>
    <w:tmpl w:val="C7D822A6"/>
    <w:lvl w:ilvl="0" w:tplc="6D944F8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nsid w:val="73584DD5"/>
    <w:multiLevelType w:val="multilevel"/>
    <w:tmpl w:val="AD922DF0"/>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7">
    <w:nsid w:val="74AA6507"/>
    <w:multiLevelType w:val="hybridMultilevel"/>
    <w:tmpl w:val="D3EC9CF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nsid w:val="78CE3FD2"/>
    <w:multiLevelType w:val="hybridMultilevel"/>
    <w:tmpl w:val="0F62864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nsid w:val="7AE5013E"/>
    <w:multiLevelType w:val="hybridMultilevel"/>
    <w:tmpl w:val="1E701F8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6"/>
  </w:num>
  <w:num w:numId="2">
    <w:abstractNumId w:val="13"/>
  </w:num>
  <w:num w:numId="3">
    <w:abstractNumId w:val="4"/>
  </w:num>
  <w:num w:numId="4">
    <w:abstractNumId w:val="23"/>
  </w:num>
  <w:num w:numId="5">
    <w:abstractNumId w:val="28"/>
  </w:num>
  <w:num w:numId="6">
    <w:abstractNumId w:val="10"/>
  </w:num>
  <w:num w:numId="7">
    <w:abstractNumId w:val="25"/>
  </w:num>
  <w:num w:numId="8">
    <w:abstractNumId w:val="6"/>
  </w:num>
  <w:num w:numId="9">
    <w:abstractNumId w:val="29"/>
  </w:num>
  <w:num w:numId="10">
    <w:abstractNumId w:val="20"/>
  </w:num>
  <w:num w:numId="11">
    <w:abstractNumId w:val="27"/>
  </w:num>
  <w:num w:numId="12">
    <w:abstractNumId w:val="14"/>
  </w:num>
  <w:num w:numId="13">
    <w:abstractNumId w:val="0"/>
  </w:num>
  <w:num w:numId="14">
    <w:abstractNumId w:val="24"/>
  </w:num>
  <w:num w:numId="15">
    <w:abstractNumId w:val="17"/>
  </w:num>
  <w:num w:numId="16">
    <w:abstractNumId w:val="18"/>
  </w:num>
  <w:num w:numId="17">
    <w:abstractNumId w:val="9"/>
  </w:num>
  <w:num w:numId="18">
    <w:abstractNumId w:val="5"/>
  </w:num>
  <w:num w:numId="19">
    <w:abstractNumId w:val="1"/>
  </w:num>
  <w:num w:numId="20">
    <w:abstractNumId w:val="22"/>
  </w:num>
  <w:num w:numId="21">
    <w:abstractNumId w:val="15"/>
  </w:num>
  <w:num w:numId="22">
    <w:abstractNumId w:val="16"/>
  </w:num>
  <w:num w:numId="23">
    <w:abstractNumId w:val="19"/>
  </w:num>
  <w:num w:numId="24">
    <w:abstractNumId w:val="11"/>
  </w:num>
  <w:num w:numId="25">
    <w:abstractNumId w:val="3"/>
  </w:num>
  <w:num w:numId="26">
    <w:abstractNumId w:val="12"/>
  </w:num>
  <w:num w:numId="27">
    <w:abstractNumId w:val="21"/>
  </w:num>
  <w:num w:numId="28">
    <w:abstractNumId w:val="2"/>
  </w:num>
  <w:num w:numId="29">
    <w:abstractNumId w:val="8"/>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283"/>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19B5"/>
    <w:rsid w:val="00003198"/>
    <w:rsid w:val="000145CE"/>
    <w:rsid w:val="000170B6"/>
    <w:rsid w:val="00024C1B"/>
    <w:rsid w:val="000315BE"/>
    <w:rsid w:val="00031AD8"/>
    <w:rsid w:val="00031D30"/>
    <w:rsid w:val="00032D5C"/>
    <w:rsid w:val="00037A11"/>
    <w:rsid w:val="00043A44"/>
    <w:rsid w:val="0004483E"/>
    <w:rsid w:val="000458AB"/>
    <w:rsid w:val="00047D6F"/>
    <w:rsid w:val="000648C6"/>
    <w:rsid w:val="00081DC1"/>
    <w:rsid w:val="00082021"/>
    <w:rsid w:val="000840E5"/>
    <w:rsid w:val="0009124F"/>
    <w:rsid w:val="00091955"/>
    <w:rsid w:val="00091E2D"/>
    <w:rsid w:val="00093D85"/>
    <w:rsid w:val="000A443D"/>
    <w:rsid w:val="000B2A0A"/>
    <w:rsid w:val="000B3520"/>
    <w:rsid w:val="000B6D4F"/>
    <w:rsid w:val="000B7F71"/>
    <w:rsid w:val="000C4F7F"/>
    <w:rsid w:val="000D2DA8"/>
    <w:rsid w:val="000D34A7"/>
    <w:rsid w:val="000E060B"/>
    <w:rsid w:val="000F354D"/>
    <w:rsid w:val="000F4F15"/>
    <w:rsid w:val="00103227"/>
    <w:rsid w:val="00107654"/>
    <w:rsid w:val="00114547"/>
    <w:rsid w:val="00115970"/>
    <w:rsid w:val="001169EE"/>
    <w:rsid w:val="00117C57"/>
    <w:rsid w:val="0013320A"/>
    <w:rsid w:val="00140E8C"/>
    <w:rsid w:val="001417B3"/>
    <w:rsid w:val="001418B1"/>
    <w:rsid w:val="00147F83"/>
    <w:rsid w:val="00153F22"/>
    <w:rsid w:val="00154DA1"/>
    <w:rsid w:val="00155E7B"/>
    <w:rsid w:val="00156053"/>
    <w:rsid w:val="001566B9"/>
    <w:rsid w:val="0015735D"/>
    <w:rsid w:val="00164CE8"/>
    <w:rsid w:val="001658F6"/>
    <w:rsid w:val="00165AB4"/>
    <w:rsid w:val="00165ABC"/>
    <w:rsid w:val="001675F1"/>
    <w:rsid w:val="00180618"/>
    <w:rsid w:val="00182F5A"/>
    <w:rsid w:val="00194C6A"/>
    <w:rsid w:val="00195FBF"/>
    <w:rsid w:val="001A1B48"/>
    <w:rsid w:val="001A77AC"/>
    <w:rsid w:val="001B67B4"/>
    <w:rsid w:val="001C0066"/>
    <w:rsid w:val="001C6E58"/>
    <w:rsid w:val="001C7A08"/>
    <w:rsid w:val="001E1CF9"/>
    <w:rsid w:val="001E4042"/>
    <w:rsid w:val="001E4CF7"/>
    <w:rsid w:val="001F2C71"/>
    <w:rsid w:val="001F4885"/>
    <w:rsid w:val="001F4D76"/>
    <w:rsid w:val="001F5FA2"/>
    <w:rsid w:val="001F68D3"/>
    <w:rsid w:val="00206AC5"/>
    <w:rsid w:val="002123C0"/>
    <w:rsid w:val="00212999"/>
    <w:rsid w:val="002163B4"/>
    <w:rsid w:val="00220277"/>
    <w:rsid w:val="00224778"/>
    <w:rsid w:val="002360CF"/>
    <w:rsid w:val="00236F15"/>
    <w:rsid w:val="0023765E"/>
    <w:rsid w:val="002463EE"/>
    <w:rsid w:val="002500AA"/>
    <w:rsid w:val="002578ED"/>
    <w:rsid w:val="002627CD"/>
    <w:rsid w:val="00262927"/>
    <w:rsid w:val="00277702"/>
    <w:rsid w:val="002819C3"/>
    <w:rsid w:val="00283F8F"/>
    <w:rsid w:val="00284D82"/>
    <w:rsid w:val="00285636"/>
    <w:rsid w:val="00285728"/>
    <w:rsid w:val="002875C9"/>
    <w:rsid w:val="00290B5D"/>
    <w:rsid w:val="00291868"/>
    <w:rsid w:val="002918F2"/>
    <w:rsid w:val="002941EA"/>
    <w:rsid w:val="00294C85"/>
    <w:rsid w:val="00295C6B"/>
    <w:rsid w:val="00297216"/>
    <w:rsid w:val="00297695"/>
    <w:rsid w:val="002A2017"/>
    <w:rsid w:val="002B25AA"/>
    <w:rsid w:val="002B52B1"/>
    <w:rsid w:val="002B6537"/>
    <w:rsid w:val="002B760C"/>
    <w:rsid w:val="002C1FFD"/>
    <w:rsid w:val="002C2982"/>
    <w:rsid w:val="002C77F5"/>
    <w:rsid w:val="002D17BD"/>
    <w:rsid w:val="002D4EA2"/>
    <w:rsid w:val="002D6D99"/>
    <w:rsid w:val="002E1A08"/>
    <w:rsid w:val="002E509A"/>
    <w:rsid w:val="00307EAE"/>
    <w:rsid w:val="00315F92"/>
    <w:rsid w:val="00317DAC"/>
    <w:rsid w:val="00321D30"/>
    <w:rsid w:val="00324B3B"/>
    <w:rsid w:val="00324D03"/>
    <w:rsid w:val="0033154E"/>
    <w:rsid w:val="0034435B"/>
    <w:rsid w:val="00346911"/>
    <w:rsid w:val="00356124"/>
    <w:rsid w:val="0036100B"/>
    <w:rsid w:val="00361916"/>
    <w:rsid w:val="0036540B"/>
    <w:rsid w:val="00370EE0"/>
    <w:rsid w:val="00381871"/>
    <w:rsid w:val="003856F0"/>
    <w:rsid w:val="00386D3F"/>
    <w:rsid w:val="00387033"/>
    <w:rsid w:val="003906F4"/>
    <w:rsid w:val="00391863"/>
    <w:rsid w:val="00392E19"/>
    <w:rsid w:val="00397CDD"/>
    <w:rsid w:val="003A2939"/>
    <w:rsid w:val="003A4889"/>
    <w:rsid w:val="003A6029"/>
    <w:rsid w:val="003C070D"/>
    <w:rsid w:val="003C1EA7"/>
    <w:rsid w:val="003C2909"/>
    <w:rsid w:val="003E05BC"/>
    <w:rsid w:val="003E58DA"/>
    <w:rsid w:val="003F150D"/>
    <w:rsid w:val="004035F8"/>
    <w:rsid w:val="004046C9"/>
    <w:rsid w:val="00410F81"/>
    <w:rsid w:val="00413788"/>
    <w:rsid w:val="00422ABF"/>
    <w:rsid w:val="004247FA"/>
    <w:rsid w:val="00424E01"/>
    <w:rsid w:val="00430637"/>
    <w:rsid w:val="00433E18"/>
    <w:rsid w:val="004340EC"/>
    <w:rsid w:val="00436481"/>
    <w:rsid w:val="004401EB"/>
    <w:rsid w:val="004471F0"/>
    <w:rsid w:val="004535DA"/>
    <w:rsid w:val="004546C7"/>
    <w:rsid w:val="00462E2D"/>
    <w:rsid w:val="00464CF0"/>
    <w:rsid w:val="004652DF"/>
    <w:rsid w:val="00466417"/>
    <w:rsid w:val="0047015B"/>
    <w:rsid w:val="00472B6B"/>
    <w:rsid w:val="00472DF6"/>
    <w:rsid w:val="004854B9"/>
    <w:rsid w:val="00490FAF"/>
    <w:rsid w:val="004B1DF0"/>
    <w:rsid w:val="004C3B44"/>
    <w:rsid w:val="004C412E"/>
    <w:rsid w:val="004C4735"/>
    <w:rsid w:val="004C56B4"/>
    <w:rsid w:val="004C6332"/>
    <w:rsid w:val="004D160C"/>
    <w:rsid w:val="004D231D"/>
    <w:rsid w:val="004D6C1D"/>
    <w:rsid w:val="004E52C1"/>
    <w:rsid w:val="004E75EF"/>
    <w:rsid w:val="004E7A49"/>
    <w:rsid w:val="004F58F1"/>
    <w:rsid w:val="005005B7"/>
    <w:rsid w:val="00505A8F"/>
    <w:rsid w:val="005067BE"/>
    <w:rsid w:val="00511B08"/>
    <w:rsid w:val="00511E73"/>
    <w:rsid w:val="005174E6"/>
    <w:rsid w:val="00521051"/>
    <w:rsid w:val="0052130B"/>
    <w:rsid w:val="00523D5C"/>
    <w:rsid w:val="00530047"/>
    <w:rsid w:val="00530A0B"/>
    <w:rsid w:val="00536CFC"/>
    <w:rsid w:val="00536E64"/>
    <w:rsid w:val="005450AB"/>
    <w:rsid w:val="005505F8"/>
    <w:rsid w:val="00557C98"/>
    <w:rsid w:val="005619B5"/>
    <w:rsid w:val="00565FF4"/>
    <w:rsid w:val="00575665"/>
    <w:rsid w:val="005769CD"/>
    <w:rsid w:val="00584C5E"/>
    <w:rsid w:val="005868FF"/>
    <w:rsid w:val="00594998"/>
    <w:rsid w:val="00597FCA"/>
    <w:rsid w:val="005A2DA8"/>
    <w:rsid w:val="005A3926"/>
    <w:rsid w:val="005A3DF3"/>
    <w:rsid w:val="005A3F2D"/>
    <w:rsid w:val="005A5825"/>
    <w:rsid w:val="005B13A9"/>
    <w:rsid w:val="005B4008"/>
    <w:rsid w:val="005B6060"/>
    <w:rsid w:val="005B7225"/>
    <w:rsid w:val="005D58D0"/>
    <w:rsid w:val="005E3272"/>
    <w:rsid w:val="005F47BA"/>
    <w:rsid w:val="00602775"/>
    <w:rsid w:val="00616917"/>
    <w:rsid w:val="006269C1"/>
    <w:rsid w:val="00626E38"/>
    <w:rsid w:val="0063596F"/>
    <w:rsid w:val="006363F3"/>
    <w:rsid w:val="00637F64"/>
    <w:rsid w:val="00644E36"/>
    <w:rsid w:val="006451C6"/>
    <w:rsid w:val="00652E6F"/>
    <w:rsid w:val="0065324D"/>
    <w:rsid w:val="00653BEF"/>
    <w:rsid w:val="006605BB"/>
    <w:rsid w:val="00662CDD"/>
    <w:rsid w:val="00662EF6"/>
    <w:rsid w:val="006646EB"/>
    <w:rsid w:val="00665662"/>
    <w:rsid w:val="00671A43"/>
    <w:rsid w:val="006837BA"/>
    <w:rsid w:val="00687316"/>
    <w:rsid w:val="006874CB"/>
    <w:rsid w:val="006B02B0"/>
    <w:rsid w:val="006B16D5"/>
    <w:rsid w:val="006B16EE"/>
    <w:rsid w:val="006B230F"/>
    <w:rsid w:val="006B39F8"/>
    <w:rsid w:val="006B5C81"/>
    <w:rsid w:val="006B61C6"/>
    <w:rsid w:val="006C5D98"/>
    <w:rsid w:val="006D059E"/>
    <w:rsid w:val="006D4483"/>
    <w:rsid w:val="006E0F7E"/>
    <w:rsid w:val="006E60FD"/>
    <w:rsid w:val="006F0A98"/>
    <w:rsid w:val="006F0ECB"/>
    <w:rsid w:val="00711758"/>
    <w:rsid w:val="00712D86"/>
    <w:rsid w:val="00721712"/>
    <w:rsid w:val="00725722"/>
    <w:rsid w:val="00725B42"/>
    <w:rsid w:val="00727047"/>
    <w:rsid w:val="00735B53"/>
    <w:rsid w:val="00740B0F"/>
    <w:rsid w:val="0075026E"/>
    <w:rsid w:val="0075544A"/>
    <w:rsid w:val="007555F4"/>
    <w:rsid w:val="00766733"/>
    <w:rsid w:val="0076685E"/>
    <w:rsid w:val="00771234"/>
    <w:rsid w:val="00777DC5"/>
    <w:rsid w:val="00777FD2"/>
    <w:rsid w:val="0079069B"/>
    <w:rsid w:val="00791DDB"/>
    <w:rsid w:val="0079287C"/>
    <w:rsid w:val="007930B9"/>
    <w:rsid w:val="0079383B"/>
    <w:rsid w:val="00793FB4"/>
    <w:rsid w:val="00795CB4"/>
    <w:rsid w:val="007A2B2F"/>
    <w:rsid w:val="007C787E"/>
    <w:rsid w:val="007D0EC1"/>
    <w:rsid w:val="007D4F4E"/>
    <w:rsid w:val="007D73C6"/>
    <w:rsid w:val="007E4C23"/>
    <w:rsid w:val="007E58E3"/>
    <w:rsid w:val="007F783C"/>
    <w:rsid w:val="007F7A96"/>
    <w:rsid w:val="008003A2"/>
    <w:rsid w:val="008052C2"/>
    <w:rsid w:val="00815BD8"/>
    <w:rsid w:val="008170A7"/>
    <w:rsid w:val="00821F0D"/>
    <w:rsid w:val="00826E43"/>
    <w:rsid w:val="00833A9A"/>
    <w:rsid w:val="00833BEC"/>
    <w:rsid w:val="00852D95"/>
    <w:rsid w:val="0085360C"/>
    <w:rsid w:val="00863643"/>
    <w:rsid w:val="008737E4"/>
    <w:rsid w:val="00874A03"/>
    <w:rsid w:val="00874D71"/>
    <w:rsid w:val="00875526"/>
    <w:rsid w:val="00875909"/>
    <w:rsid w:val="00877BD9"/>
    <w:rsid w:val="00881F47"/>
    <w:rsid w:val="0088676F"/>
    <w:rsid w:val="008964F8"/>
    <w:rsid w:val="00896650"/>
    <w:rsid w:val="00896983"/>
    <w:rsid w:val="008A2BE3"/>
    <w:rsid w:val="008A3176"/>
    <w:rsid w:val="008A4241"/>
    <w:rsid w:val="008B2319"/>
    <w:rsid w:val="008C4FB1"/>
    <w:rsid w:val="008C7B9A"/>
    <w:rsid w:val="008C7E70"/>
    <w:rsid w:val="008D3D97"/>
    <w:rsid w:val="008E09AA"/>
    <w:rsid w:val="008E5A24"/>
    <w:rsid w:val="008E5FF3"/>
    <w:rsid w:val="008F0ECD"/>
    <w:rsid w:val="008F2BA2"/>
    <w:rsid w:val="008F3C35"/>
    <w:rsid w:val="009032B9"/>
    <w:rsid w:val="00914D21"/>
    <w:rsid w:val="009170F8"/>
    <w:rsid w:val="009227A5"/>
    <w:rsid w:val="00922B1F"/>
    <w:rsid w:val="00930A73"/>
    <w:rsid w:val="00946839"/>
    <w:rsid w:val="00953047"/>
    <w:rsid w:val="00954CBE"/>
    <w:rsid w:val="009569CC"/>
    <w:rsid w:val="009707CA"/>
    <w:rsid w:val="00973A9A"/>
    <w:rsid w:val="00976E24"/>
    <w:rsid w:val="00990195"/>
    <w:rsid w:val="00992AA7"/>
    <w:rsid w:val="0099408F"/>
    <w:rsid w:val="009940E7"/>
    <w:rsid w:val="00996ED6"/>
    <w:rsid w:val="009A0E46"/>
    <w:rsid w:val="009B53B7"/>
    <w:rsid w:val="009C1651"/>
    <w:rsid w:val="009C1FCF"/>
    <w:rsid w:val="009C3713"/>
    <w:rsid w:val="009C38E4"/>
    <w:rsid w:val="009C4B45"/>
    <w:rsid w:val="009C6262"/>
    <w:rsid w:val="009C67AE"/>
    <w:rsid w:val="009C778A"/>
    <w:rsid w:val="009C7E13"/>
    <w:rsid w:val="009D650E"/>
    <w:rsid w:val="009E0618"/>
    <w:rsid w:val="009E12C6"/>
    <w:rsid w:val="009E57E9"/>
    <w:rsid w:val="009E7F3B"/>
    <w:rsid w:val="009F53C0"/>
    <w:rsid w:val="00A03210"/>
    <w:rsid w:val="00A042C6"/>
    <w:rsid w:val="00A11706"/>
    <w:rsid w:val="00A11C14"/>
    <w:rsid w:val="00A305F9"/>
    <w:rsid w:val="00A31E9B"/>
    <w:rsid w:val="00A42599"/>
    <w:rsid w:val="00A44580"/>
    <w:rsid w:val="00A574C4"/>
    <w:rsid w:val="00A61ACB"/>
    <w:rsid w:val="00A72653"/>
    <w:rsid w:val="00A72C9A"/>
    <w:rsid w:val="00A82A82"/>
    <w:rsid w:val="00A8323C"/>
    <w:rsid w:val="00A84FF2"/>
    <w:rsid w:val="00A8613C"/>
    <w:rsid w:val="00A86513"/>
    <w:rsid w:val="00A869A9"/>
    <w:rsid w:val="00A93FAB"/>
    <w:rsid w:val="00A971B1"/>
    <w:rsid w:val="00AA2840"/>
    <w:rsid w:val="00AB204A"/>
    <w:rsid w:val="00AB34B1"/>
    <w:rsid w:val="00AB3C87"/>
    <w:rsid w:val="00AC16ED"/>
    <w:rsid w:val="00AC3D9E"/>
    <w:rsid w:val="00AC3F5D"/>
    <w:rsid w:val="00AC49B9"/>
    <w:rsid w:val="00AD1788"/>
    <w:rsid w:val="00AD2C29"/>
    <w:rsid w:val="00AD66EE"/>
    <w:rsid w:val="00AD6E9C"/>
    <w:rsid w:val="00AE3F4D"/>
    <w:rsid w:val="00AF00FE"/>
    <w:rsid w:val="00AF0336"/>
    <w:rsid w:val="00B039D6"/>
    <w:rsid w:val="00B062B9"/>
    <w:rsid w:val="00B066F9"/>
    <w:rsid w:val="00B11822"/>
    <w:rsid w:val="00B14350"/>
    <w:rsid w:val="00B23E69"/>
    <w:rsid w:val="00B249E7"/>
    <w:rsid w:val="00B31E45"/>
    <w:rsid w:val="00B3402D"/>
    <w:rsid w:val="00B61FFA"/>
    <w:rsid w:val="00B62F6B"/>
    <w:rsid w:val="00B65C91"/>
    <w:rsid w:val="00B74E63"/>
    <w:rsid w:val="00B757E6"/>
    <w:rsid w:val="00B7728A"/>
    <w:rsid w:val="00B9701E"/>
    <w:rsid w:val="00BA4CBE"/>
    <w:rsid w:val="00BB37E1"/>
    <w:rsid w:val="00BC2D73"/>
    <w:rsid w:val="00BD1332"/>
    <w:rsid w:val="00BD5962"/>
    <w:rsid w:val="00BD7545"/>
    <w:rsid w:val="00BE5A8B"/>
    <w:rsid w:val="00BE6DBD"/>
    <w:rsid w:val="00BF102D"/>
    <w:rsid w:val="00BF2621"/>
    <w:rsid w:val="00BF2BAB"/>
    <w:rsid w:val="00BF506C"/>
    <w:rsid w:val="00C00425"/>
    <w:rsid w:val="00C12A3B"/>
    <w:rsid w:val="00C12A8B"/>
    <w:rsid w:val="00C13FC9"/>
    <w:rsid w:val="00C15901"/>
    <w:rsid w:val="00C225BB"/>
    <w:rsid w:val="00C262A7"/>
    <w:rsid w:val="00C3536C"/>
    <w:rsid w:val="00C42414"/>
    <w:rsid w:val="00C5040B"/>
    <w:rsid w:val="00C749FE"/>
    <w:rsid w:val="00C76AAC"/>
    <w:rsid w:val="00C77741"/>
    <w:rsid w:val="00C84D89"/>
    <w:rsid w:val="00CA4AB9"/>
    <w:rsid w:val="00CA7A31"/>
    <w:rsid w:val="00CB69C2"/>
    <w:rsid w:val="00CB7F89"/>
    <w:rsid w:val="00CC0890"/>
    <w:rsid w:val="00CC11F5"/>
    <w:rsid w:val="00CC549D"/>
    <w:rsid w:val="00CD31E4"/>
    <w:rsid w:val="00CD786D"/>
    <w:rsid w:val="00CE166D"/>
    <w:rsid w:val="00CE2254"/>
    <w:rsid w:val="00CE5432"/>
    <w:rsid w:val="00CF0A56"/>
    <w:rsid w:val="00CF601D"/>
    <w:rsid w:val="00CF60A9"/>
    <w:rsid w:val="00D06EB8"/>
    <w:rsid w:val="00D11973"/>
    <w:rsid w:val="00D12D5E"/>
    <w:rsid w:val="00D221F4"/>
    <w:rsid w:val="00D25EC1"/>
    <w:rsid w:val="00D30A6C"/>
    <w:rsid w:val="00D33FAF"/>
    <w:rsid w:val="00D35081"/>
    <w:rsid w:val="00D35918"/>
    <w:rsid w:val="00D4099B"/>
    <w:rsid w:val="00D47E05"/>
    <w:rsid w:val="00D52041"/>
    <w:rsid w:val="00D527F8"/>
    <w:rsid w:val="00D54B5C"/>
    <w:rsid w:val="00D56BE5"/>
    <w:rsid w:val="00D6007E"/>
    <w:rsid w:val="00D60561"/>
    <w:rsid w:val="00D649C5"/>
    <w:rsid w:val="00D675A1"/>
    <w:rsid w:val="00D70017"/>
    <w:rsid w:val="00D755C4"/>
    <w:rsid w:val="00D76338"/>
    <w:rsid w:val="00D817B2"/>
    <w:rsid w:val="00D83145"/>
    <w:rsid w:val="00D8768D"/>
    <w:rsid w:val="00D9159F"/>
    <w:rsid w:val="00D920BF"/>
    <w:rsid w:val="00D93EA1"/>
    <w:rsid w:val="00D9456C"/>
    <w:rsid w:val="00D94889"/>
    <w:rsid w:val="00D97B4C"/>
    <w:rsid w:val="00DB1462"/>
    <w:rsid w:val="00DC5DAE"/>
    <w:rsid w:val="00DC7026"/>
    <w:rsid w:val="00DC7031"/>
    <w:rsid w:val="00DE1110"/>
    <w:rsid w:val="00DE147A"/>
    <w:rsid w:val="00DE3CD8"/>
    <w:rsid w:val="00DE7C9B"/>
    <w:rsid w:val="00DF5306"/>
    <w:rsid w:val="00E04B6C"/>
    <w:rsid w:val="00E05AC7"/>
    <w:rsid w:val="00E15B4F"/>
    <w:rsid w:val="00E22260"/>
    <w:rsid w:val="00E24DD8"/>
    <w:rsid w:val="00E25B31"/>
    <w:rsid w:val="00E32595"/>
    <w:rsid w:val="00E32DE2"/>
    <w:rsid w:val="00E45E00"/>
    <w:rsid w:val="00E50FF6"/>
    <w:rsid w:val="00E65EC8"/>
    <w:rsid w:val="00E703BA"/>
    <w:rsid w:val="00E767B7"/>
    <w:rsid w:val="00E81E33"/>
    <w:rsid w:val="00E829DC"/>
    <w:rsid w:val="00E84653"/>
    <w:rsid w:val="00E95E7D"/>
    <w:rsid w:val="00E9690E"/>
    <w:rsid w:val="00E973FE"/>
    <w:rsid w:val="00EB4409"/>
    <w:rsid w:val="00EB628E"/>
    <w:rsid w:val="00EC46B5"/>
    <w:rsid w:val="00EC542A"/>
    <w:rsid w:val="00EC6B94"/>
    <w:rsid w:val="00ED116E"/>
    <w:rsid w:val="00ED4C66"/>
    <w:rsid w:val="00ED4FCE"/>
    <w:rsid w:val="00EE19BC"/>
    <w:rsid w:val="00EE1CE5"/>
    <w:rsid w:val="00EE39E6"/>
    <w:rsid w:val="00EE75B8"/>
    <w:rsid w:val="00EE7749"/>
    <w:rsid w:val="00EF256B"/>
    <w:rsid w:val="00EF302D"/>
    <w:rsid w:val="00F0634E"/>
    <w:rsid w:val="00F068D8"/>
    <w:rsid w:val="00F07768"/>
    <w:rsid w:val="00F140DC"/>
    <w:rsid w:val="00F3264A"/>
    <w:rsid w:val="00F3472F"/>
    <w:rsid w:val="00F36FBF"/>
    <w:rsid w:val="00F37659"/>
    <w:rsid w:val="00F4092B"/>
    <w:rsid w:val="00F41470"/>
    <w:rsid w:val="00F41507"/>
    <w:rsid w:val="00F611BF"/>
    <w:rsid w:val="00F64246"/>
    <w:rsid w:val="00F70A17"/>
    <w:rsid w:val="00F71B36"/>
    <w:rsid w:val="00F73ABF"/>
    <w:rsid w:val="00F74124"/>
    <w:rsid w:val="00F746F9"/>
    <w:rsid w:val="00F7653C"/>
    <w:rsid w:val="00F80459"/>
    <w:rsid w:val="00F80A0F"/>
    <w:rsid w:val="00F84E28"/>
    <w:rsid w:val="00F86386"/>
    <w:rsid w:val="00F87BA1"/>
    <w:rsid w:val="00F93F06"/>
    <w:rsid w:val="00F96A45"/>
    <w:rsid w:val="00FA25C0"/>
    <w:rsid w:val="00FA634D"/>
    <w:rsid w:val="00FB3E3A"/>
    <w:rsid w:val="00FB58FB"/>
    <w:rsid w:val="00FC0182"/>
    <w:rsid w:val="00FC19F7"/>
    <w:rsid w:val="00FD0996"/>
    <w:rsid w:val="00FD277F"/>
    <w:rsid w:val="00FD694A"/>
    <w:rsid w:val="00FD6DCD"/>
    <w:rsid w:val="00FE08A9"/>
    <w:rsid w:val="00FE53E6"/>
    <w:rsid w:val="00FE61E8"/>
    <w:rsid w:val="00FE7DB6"/>
    <w:rsid w:val="00FF265F"/>
    <w:rsid w:val="00FF34B2"/>
    <w:rsid w:val="00FF4C60"/>
    <w:rsid w:val="00FF5CDA"/>
    <w:rsid w:val="00FF6CB9"/>
    <w:rsid w:val="00FF7C19"/>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C1C9F2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5026E"/>
    <w:pPr>
      <w:widowControl w:val="0"/>
      <w:suppressAutoHyphens/>
    </w:pPr>
    <w:rPr>
      <w:rFonts w:ascii="Times New Roman" w:eastAsia="Arial Unicode MS" w:hAnsi="Times New Roman" w:cs="Arial Unicode MS"/>
      <w:kern w:val="1"/>
      <w:lang w:eastAsia="hi-IN" w:bidi="hi-IN"/>
    </w:rPr>
  </w:style>
  <w:style w:type="paragraph" w:styleId="Titolo1">
    <w:name w:val="heading 1"/>
    <w:basedOn w:val="Normale"/>
    <w:next w:val="Normale"/>
    <w:link w:val="Titolo1Carattere"/>
    <w:uiPriority w:val="9"/>
    <w:qFormat/>
    <w:rsid w:val="004C412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75026E"/>
    <w:pPr>
      <w:widowControl/>
      <w:suppressAutoHyphens w:val="0"/>
    </w:pPr>
    <w:rPr>
      <w:rFonts w:ascii="Lucida Grande" w:eastAsiaTheme="minorEastAsia" w:hAnsi="Lucida Grande" w:cs="Lucida Grande"/>
      <w:kern w:val="0"/>
      <w:sz w:val="18"/>
      <w:szCs w:val="18"/>
      <w:lang w:eastAsia="it-IT" w:bidi="ar-SA"/>
    </w:rPr>
  </w:style>
  <w:style w:type="character" w:customStyle="1" w:styleId="TestofumettoCarattere">
    <w:name w:val="Testo fumetto Carattere"/>
    <w:basedOn w:val="Caratterepredefinitoparagrafo"/>
    <w:link w:val="Testofumetto"/>
    <w:uiPriority w:val="99"/>
    <w:semiHidden/>
    <w:rsid w:val="0075026E"/>
    <w:rPr>
      <w:rFonts w:ascii="Lucida Grande" w:hAnsi="Lucida Grande" w:cs="Lucida Grande"/>
      <w:sz w:val="18"/>
      <w:szCs w:val="18"/>
    </w:rPr>
  </w:style>
  <w:style w:type="paragraph" w:styleId="Corpodeltesto">
    <w:name w:val="Body Text"/>
    <w:basedOn w:val="Normale"/>
    <w:link w:val="CorpodeltestoCarattere"/>
    <w:rsid w:val="0075026E"/>
    <w:pPr>
      <w:spacing w:after="120"/>
    </w:pPr>
  </w:style>
  <w:style w:type="character" w:customStyle="1" w:styleId="CorpodeltestoCarattere">
    <w:name w:val="Corpo del testo Carattere"/>
    <w:basedOn w:val="Caratterepredefinitoparagrafo"/>
    <w:link w:val="Corpodeltesto"/>
    <w:rsid w:val="0075026E"/>
    <w:rPr>
      <w:rFonts w:ascii="Times New Roman" w:eastAsia="Arial Unicode MS" w:hAnsi="Times New Roman" w:cs="Arial Unicode MS"/>
      <w:kern w:val="1"/>
      <w:lang w:eastAsia="hi-IN" w:bidi="hi-IN"/>
    </w:rPr>
  </w:style>
  <w:style w:type="paragraph" w:styleId="Pidipagina">
    <w:name w:val="footer"/>
    <w:basedOn w:val="Normale"/>
    <w:link w:val="PidipaginaCarattere"/>
    <w:rsid w:val="0075026E"/>
    <w:pPr>
      <w:suppressLineNumbers/>
      <w:tabs>
        <w:tab w:val="center" w:pos="5385"/>
        <w:tab w:val="right" w:pos="10771"/>
      </w:tabs>
    </w:pPr>
  </w:style>
  <w:style w:type="character" w:customStyle="1" w:styleId="PidipaginaCarattere">
    <w:name w:val="Piè di pagina Carattere"/>
    <w:basedOn w:val="Caratterepredefinitoparagrafo"/>
    <w:link w:val="Pidipagina"/>
    <w:rsid w:val="0075026E"/>
    <w:rPr>
      <w:rFonts w:ascii="Times New Roman" w:eastAsia="Arial Unicode MS" w:hAnsi="Times New Roman" w:cs="Arial Unicode MS"/>
      <w:kern w:val="1"/>
      <w:lang w:eastAsia="hi-IN" w:bidi="hi-IN"/>
    </w:rPr>
  </w:style>
  <w:style w:type="character" w:styleId="Numeropagina">
    <w:name w:val="page number"/>
    <w:uiPriority w:val="99"/>
    <w:semiHidden/>
    <w:unhideWhenUsed/>
    <w:rsid w:val="0075026E"/>
  </w:style>
  <w:style w:type="paragraph" w:styleId="Paragrafoelenco">
    <w:name w:val="List Paragraph"/>
    <w:basedOn w:val="Normale"/>
    <w:uiPriority w:val="34"/>
    <w:qFormat/>
    <w:rsid w:val="00AC49B9"/>
    <w:pPr>
      <w:ind w:left="720"/>
      <w:contextualSpacing/>
    </w:pPr>
  </w:style>
  <w:style w:type="paragraph" w:styleId="Intestazione">
    <w:name w:val="header"/>
    <w:basedOn w:val="Normale"/>
    <w:link w:val="IntestazioneCarattere"/>
    <w:uiPriority w:val="99"/>
    <w:unhideWhenUsed/>
    <w:rsid w:val="004C412E"/>
    <w:pPr>
      <w:tabs>
        <w:tab w:val="center" w:pos="4819"/>
        <w:tab w:val="right" w:pos="9638"/>
      </w:tabs>
    </w:pPr>
  </w:style>
  <w:style w:type="character" w:customStyle="1" w:styleId="IntestazioneCarattere">
    <w:name w:val="Intestazione Carattere"/>
    <w:basedOn w:val="Caratterepredefinitoparagrafo"/>
    <w:link w:val="Intestazione"/>
    <w:uiPriority w:val="99"/>
    <w:rsid w:val="004C412E"/>
    <w:rPr>
      <w:rFonts w:ascii="Times New Roman" w:eastAsia="Arial Unicode MS" w:hAnsi="Times New Roman" w:cs="Arial Unicode MS"/>
      <w:kern w:val="1"/>
      <w:lang w:eastAsia="hi-IN" w:bidi="hi-IN"/>
    </w:rPr>
  </w:style>
  <w:style w:type="character" w:customStyle="1" w:styleId="Titolo1Carattere">
    <w:name w:val="Titolo 1 Carattere"/>
    <w:basedOn w:val="Caratterepredefinitoparagrafo"/>
    <w:link w:val="Titolo1"/>
    <w:uiPriority w:val="9"/>
    <w:rsid w:val="004C412E"/>
    <w:rPr>
      <w:rFonts w:asciiTheme="majorHAnsi" w:eastAsiaTheme="majorEastAsia" w:hAnsiTheme="majorHAnsi" w:cstheme="majorBidi"/>
      <w:b/>
      <w:bCs/>
      <w:color w:val="345A8A" w:themeColor="accent1" w:themeShade="B5"/>
      <w:kern w:val="1"/>
      <w:sz w:val="32"/>
      <w:szCs w:val="32"/>
      <w:lang w:eastAsia="hi-IN" w:bidi="hi-IN"/>
    </w:rPr>
  </w:style>
  <w:style w:type="paragraph" w:styleId="Titolosommario">
    <w:name w:val="TOC Heading"/>
    <w:basedOn w:val="Titolo1"/>
    <w:next w:val="Normale"/>
    <w:uiPriority w:val="39"/>
    <w:unhideWhenUsed/>
    <w:qFormat/>
    <w:rsid w:val="004C412E"/>
    <w:pPr>
      <w:widowControl/>
      <w:suppressAutoHyphens w:val="0"/>
      <w:spacing w:line="276" w:lineRule="auto"/>
      <w:outlineLvl w:val="9"/>
    </w:pPr>
    <w:rPr>
      <w:color w:val="365F91" w:themeColor="accent1" w:themeShade="BF"/>
      <w:kern w:val="0"/>
      <w:sz w:val="28"/>
      <w:szCs w:val="28"/>
      <w:lang w:eastAsia="it-IT" w:bidi="ar-SA"/>
    </w:rPr>
  </w:style>
  <w:style w:type="paragraph" w:styleId="Sommario1">
    <w:name w:val="toc 1"/>
    <w:basedOn w:val="Normale"/>
    <w:next w:val="Normale"/>
    <w:autoRedefine/>
    <w:uiPriority w:val="39"/>
    <w:unhideWhenUsed/>
    <w:rsid w:val="004C412E"/>
    <w:pPr>
      <w:spacing w:before="120"/>
    </w:pPr>
    <w:rPr>
      <w:rFonts w:asciiTheme="minorHAnsi" w:hAnsiTheme="minorHAnsi"/>
      <w:b/>
    </w:rPr>
  </w:style>
  <w:style w:type="paragraph" w:styleId="Sommario2">
    <w:name w:val="toc 2"/>
    <w:basedOn w:val="Normale"/>
    <w:next w:val="Normale"/>
    <w:autoRedefine/>
    <w:uiPriority w:val="39"/>
    <w:unhideWhenUsed/>
    <w:rsid w:val="004C412E"/>
    <w:pPr>
      <w:ind w:left="240"/>
    </w:pPr>
    <w:rPr>
      <w:rFonts w:asciiTheme="minorHAnsi" w:hAnsiTheme="minorHAnsi"/>
      <w:b/>
      <w:sz w:val="22"/>
      <w:szCs w:val="22"/>
    </w:rPr>
  </w:style>
  <w:style w:type="paragraph" w:styleId="Sommario3">
    <w:name w:val="toc 3"/>
    <w:basedOn w:val="Normale"/>
    <w:next w:val="Normale"/>
    <w:autoRedefine/>
    <w:uiPriority w:val="39"/>
    <w:unhideWhenUsed/>
    <w:rsid w:val="004C412E"/>
    <w:pPr>
      <w:ind w:left="480"/>
    </w:pPr>
    <w:rPr>
      <w:rFonts w:asciiTheme="minorHAnsi" w:hAnsiTheme="minorHAnsi"/>
      <w:sz w:val="22"/>
      <w:szCs w:val="22"/>
    </w:rPr>
  </w:style>
  <w:style w:type="paragraph" w:styleId="Sommario4">
    <w:name w:val="toc 4"/>
    <w:basedOn w:val="Normale"/>
    <w:next w:val="Normale"/>
    <w:autoRedefine/>
    <w:uiPriority w:val="39"/>
    <w:unhideWhenUsed/>
    <w:rsid w:val="004C412E"/>
    <w:pPr>
      <w:ind w:left="720"/>
    </w:pPr>
    <w:rPr>
      <w:rFonts w:asciiTheme="minorHAnsi" w:hAnsiTheme="minorHAnsi"/>
      <w:sz w:val="20"/>
      <w:szCs w:val="20"/>
    </w:rPr>
  </w:style>
  <w:style w:type="paragraph" w:styleId="Sommario5">
    <w:name w:val="toc 5"/>
    <w:basedOn w:val="Normale"/>
    <w:next w:val="Normale"/>
    <w:autoRedefine/>
    <w:uiPriority w:val="39"/>
    <w:unhideWhenUsed/>
    <w:rsid w:val="004C412E"/>
    <w:pPr>
      <w:ind w:left="960"/>
    </w:pPr>
    <w:rPr>
      <w:rFonts w:asciiTheme="minorHAnsi" w:hAnsiTheme="minorHAnsi"/>
      <w:sz w:val="20"/>
      <w:szCs w:val="20"/>
    </w:rPr>
  </w:style>
  <w:style w:type="paragraph" w:styleId="Sommario6">
    <w:name w:val="toc 6"/>
    <w:basedOn w:val="Normale"/>
    <w:next w:val="Normale"/>
    <w:autoRedefine/>
    <w:uiPriority w:val="39"/>
    <w:unhideWhenUsed/>
    <w:rsid w:val="004C412E"/>
    <w:pPr>
      <w:ind w:left="1200"/>
    </w:pPr>
    <w:rPr>
      <w:rFonts w:asciiTheme="minorHAnsi" w:hAnsiTheme="minorHAnsi"/>
      <w:sz w:val="20"/>
      <w:szCs w:val="20"/>
    </w:rPr>
  </w:style>
  <w:style w:type="paragraph" w:styleId="Sommario7">
    <w:name w:val="toc 7"/>
    <w:basedOn w:val="Normale"/>
    <w:next w:val="Normale"/>
    <w:autoRedefine/>
    <w:uiPriority w:val="39"/>
    <w:unhideWhenUsed/>
    <w:rsid w:val="004C412E"/>
    <w:pPr>
      <w:ind w:left="1440"/>
    </w:pPr>
    <w:rPr>
      <w:rFonts w:asciiTheme="minorHAnsi" w:hAnsiTheme="minorHAnsi"/>
      <w:sz w:val="20"/>
      <w:szCs w:val="20"/>
    </w:rPr>
  </w:style>
  <w:style w:type="paragraph" w:styleId="Sommario8">
    <w:name w:val="toc 8"/>
    <w:basedOn w:val="Normale"/>
    <w:next w:val="Normale"/>
    <w:autoRedefine/>
    <w:uiPriority w:val="39"/>
    <w:unhideWhenUsed/>
    <w:rsid w:val="004C412E"/>
    <w:pPr>
      <w:ind w:left="1680"/>
    </w:pPr>
    <w:rPr>
      <w:rFonts w:asciiTheme="minorHAnsi" w:hAnsiTheme="minorHAnsi"/>
      <w:sz w:val="20"/>
      <w:szCs w:val="20"/>
    </w:rPr>
  </w:style>
  <w:style w:type="paragraph" w:styleId="Sommario9">
    <w:name w:val="toc 9"/>
    <w:basedOn w:val="Normale"/>
    <w:next w:val="Normale"/>
    <w:autoRedefine/>
    <w:uiPriority w:val="39"/>
    <w:unhideWhenUsed/>
    <w:rsid w:val="004C412E"/>
    <w:pPr>
      <w:ind w:left="1920"/>
    </w:pPr>
    <w:rPr>
      <w:rFonts w:asciiTheme="minorHAnsi" w:hAnsiTheme="minorHAnsi"/>
      <w:sz w:val="20"/>
      <w:szCs w:val="20"/>
    </w:rPr>
  </w:style>
  <w:style w:type="character" w:styleId="Collegamentoipertestuale">
    <w:name w:val="Hyperlink"/>
    <w:basedOn w:val="Caratterepredefinitoparagrafo"/>
    <w:uiPriority w:val="99"/>
    <w:unhideWhenUsed/>
    <w:rsid w:val="00103227"/>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5026E"/>
    <w:pPr>
      <w:widowControl w:val="0"/>
      <w:suppressAutoHyphens/>
    </w:pPr>
    <w:rPr>
      <w:rFonts w:ascii="Times New Roman" w:eastAsia="Arial Unicode MS" w:hAnsi="Times New Roman" w:cs="Arial Unicode MS"/>
      <w:kern w:val="1"/>
      <w:lang w:eastAsia="hi-IN" w:bidi="hi-IN"/>
    </w:rPr>
  </w:style>
  <w:style w:type="paragraph" w:styleId="Titolo1">
    <w:name w:val="heading 1"/>
    <w:basedOn w:val="Normale"/>
    <w:next w:val="Normale"/>
    <w:link w:val="Titolo1Carattere"/>
    <w:uiPriority w:val="9"/>
    <w:qFormat/>
    <w:rsid w:val="004C412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75026E"/>
    <w:pPr>
      <w:widowControl/>
      <w:suppressAutoHyphens w:val="0"/>
    </w:pPr>
    <w:rPr>
      <w:rFonts w:ascii="Lucida Grande" w:eastAsiaTheme="minorEastAsia" w:hAnsi="Lucida Grande" w:cs="Lucida Grande"/>
      <w:kern w:val="0"/>
      <w:sz w:val="18"/>
      <w:szCs w:val="18"/>
      <w:lang w:eastAsia="it-IT" w:bidi="ar-SA"/>
    </w:rPr>
  </w:style>
  <w:style w:type="character" w:customStyle="1" w:styleId="TestofumettoCarattere">
    <w:name w:val="Testo fumetto Carattere"/>
    <w:basedOn w:val="Caratterepredefinitoparagrafo"/>
    <w:link w:val="Testofumetto"/>
    <w:uiPriority w:val="99"/>
    <w:semiHidden/>
    <w:rsid w:val="0075026E"/>
    <w:rPr>
      <w:rFonts w:ascii="Lucida Grande" w:hAnsi="Lucida Grande" w:cs="Lucida Grande"/>
      <w:sz w:val="18"/>
      <w:szCs w:val="18"/>
    </w:rPr>
  </w:style>
  <w:style w:type="paragraph" w:styleId="Corpodeltesto">
    <w:name w:val="Body Text"/>
    <w:basedOn w:val="Normale"/>
    <w:link w:val="CorpodeltestoCarattere"/>
    <w:rsid w:val="0075026E"/>
    <w:pPr>
      <w:spacing w:after="120"/>
    </w:pPr>
  </w:style>
  <w:style w:type="character" w:customStyle="1" w:styleId="CorpodeltestoCarattere">
    <w:name w:val="Corpo del testo Carattere"/>
    <w:basedOn w:val="Caratterepredefinitoparagrafo"/>
    <w:link w:val="Corpodeltesto"/>
    <w:rsid w:val="0075026E"/>
    <w:rPr>
      <w:rFonts w:ascii="Times New Roman" w:eastAsia="Arial Unicode MS" w:hAnsi="Times New Roman" w:cs="Arial Unicode MS"/>
      <w:kern w:val="1"/>
      <w:lang w:eastAsia="hi-IN" w:bidi="hi-IN"/>
    </w:rPr>
  </w:style>
  <w:style w:type="paragraph" w:styleId="Pidipagina">
    <w:name w:val="footer"/>
    <w:basedOn w:val="Normale"/>
    <w:link w:val="PidipaginaCarattere"/>
    <w:rsid w:val="0075026E"/>
    <w:pPr>
      <w:suppressLineNumbers/>
      <w:tabs>
        <w:tab w:val="center" w:pos="5385"/>
        <w:tab w:val="right" w:pos="10771"/>
      </w:tabs>
    </w:pPr>
  </w:style>
  <w:style w:type="character" w:customStyle="1" w:styleId="PidipaginaCarattere">
    <w:name w:val="Piè di pagina Carattere"/>
    <w:basedOn w:val="Caratterepredefinitoparagrafo"/>
    <w:link w:val="Pidipagina"/>
    <w:rsid w:val="0075026E"/>
    <w:rPr>
      <w:rFonts w:ascii="Times New Roman" w:eastAsia="Arial Unicode MS" w:hAnsi="Times New Roman" w:cs="Arial Unicode MS"/>
      <w:kern w:val="1"/>
      <w:lang w:eastAsia="hi-IN" w:bidi="hi-IN"/>
    </w:rPr>
  </w:style>
  <w:style w:type="character" w:styleId="Numeropagina">
    <w:name w:val="page number"/>
    <w:uiPriority w:val="99"/>
    <w:semiHidden/>
    <w:unhideWhenUsed/>
    <w:rsid w:val="0075026E"/>
  </w:style>
  <w:style w:type="paragraph" w:styleId="Paragrafoelenco">
    <w:name w:val="List Paragraph"/>
    <w:basedOn w:val="Normale"/>
    <w:uiPriority w:val="34"/>
    <w:qFormat/>
    <w:rsid w:val="00AC49B9"/>
    <w:pPr>
      <w:ind w:left="720"/>
      <w:contextualSpacing/>
    </w:pPr>
  </w:style>
  <w:style w:type="paragraph" w:styleId="Intestazione">
    <w:name w:val="header"/>
    <w:basedOn w:val="Normale"/>
    <w:link w:val="IntestazioneCarattere"/>
    <w:uiPriority w:val="99"/>
    <w:unhideWhenUsed/>
    <w:rsid w:val="004C412E"/>
    <w:pPr>
      <w:tabs>
        <w:tab w:val="center" w:pos="4819"/>
        <w:tab w:val="right" w:pos="9638"/>
      </w:tabs>
    </w:pPr>
  </w:style>
  <w:style w:type="character" w:customStyle="1" w:styleId="IntestazioneCarattere">
    <w:name w:val="Intestazione Carattere"/>
    <w:basedOn w:val="Caratterepredefinitoparagrafo"/>
    <w:link w:val="Intestazione"/>
    <w:uiPriority w:val="99"/>
    <w:rsid w:val="004C412E"/>
    <w:rPr>
      <w:rFonts w:ascii="Times New Roman" w:eastAsia="Arial Unicode MS" w:hAnsi="Times New Roman" w:cs="Arial Unicode MS"/>
      <w:kern w:val="1"/>
      <w:lang w:eastAsia="hi-IN" w:bidi="hi-IN"/>
    </w:rPr>
  </w:style>
  <w:style w:type="character" w:customStyle="1" w:styleId="Titolo1Carattere">
    <w:name w:val="Titolo 1 Carattere"/>
    <w:basedOn w:val="Caratterepredefinitoparagrafo"/>
    <w:link w:val="Titolo1"/>
    <w:uiPriority w:val="9"/>
    <w:rsid w:val="004C412E"/>
    <w:rPr>
      <w:rFonts w:asciiTheme="majorHAnsi" w:eastAsiaTheme="majorEastAsia" w:hAnsiTheme="majorHAnsi" w:cstheme="majorBidi"/>
      <w:b/>
      <w:bCs/>
      <w:color w:val="345A8A" w:themeColor="accent1" w:themeShade="B5"/>
      <w:kern w:val="1"/>
      <w:sz w:val="32"/>
      <w:szCs w:val="32"/>
      <w:lang w:eastAsia="hi-IN" w:bidi="hi-IN"/>
    </w:rPr>
  </w:style>
  <w:style w:type="paragraph" w:styleId="Titolosommario">
    <w:name w:val="TOC Heading"/>
    <w:basedOn w:val="Titolo1"/>
    <w:next w:val="Normale"/>
    <w:uiPriority w:val="39"/>
    <w:unhideWhenUsed/>
    <w:qFormat/>
    <w:rsid w:val="004C412E"/>
    <w:pPr>
      <w:widowControl/>
      <w:suppressAutoHyphens w:val="0"/>
      <w:spacing w:line="276" w:lineRule="auto"/>
      <w:outlineLvl w:val="9"/>
    </w:pPr>
    <w:rPr>
      <w:color w:val="365F91" w:themeColor="accent1" w:themeShade="BF"/>
      <w:kern w:val="0"/>
      <w:sz w:val="28"/>
      <w:szCs w:val="28"/>
      <w:lang w:eastAsia="it-IT" w:bidi="ar-SA"/>
    </w:rPr>
  </w:style>
  <w:style w:type="paragraph" w:styleId="Sommario1">
    <w:name w:val="toc 1"/>
    <w:basedOn w:val="Normale"/>
    <w:next w:val="Normale"/>
    <w:autoRedefine/>
    <w:uiPriority w:val="39"/>
    <w:unhideWhenUsed/>
    <w:rsid w:val="004C412E"/>
    <w:pPr>
      <w:spacing w:before="120"/>
    </w:pPr>
    <w:rPr>
      <w:rFonts w:asciiTheme="minorHAnsi" w:hAnsiTheme="minorHAnsi"/>
      <w:b/>
    </w:rPr>
  </w:style>
  <w:style w:type="paragraph" w:styleId="Sommario2">
    <w:name w:val="toc 2"/>
    <w:basedOn w:val="Normale"/>
    <w:next w:val="Normale"/>
    <w:autoRedefine/>
    <w:uiPriority w:val="39"/>
    <w:unhideWhenUsed/>
    <w:rsid w:val="004C412E"/>
    <w:pPr>
      <w:ind w:left="240"/>
    </w:pPr>
    <w:rPr>
      <w:rFonts w:asciiTheme="minorHAnsi" w:hAnsiTheme="minorHAnsi"/>
      <w:b/>
      <w:sz w:val="22"/>
      <w:szCs w:val="22"/>
    </w:rPr>
  </w:style>
  <w:style w:type="paragraph" w:styleId="Sommario3">
    <w:name w:val="toc 3"/>
    <w:basedOn w:val="Normale"/>
    <w:next w:val="Normale"/>
    <w:autoRedefine/>
    <w:uiPriority w:val="39"/>
    <w:unhideWhenUsed/>
    <w:rsid w:val="004C412E"/>
    <w:pPr>
      <w:ind w:left="480"/>
    </w:pPr>
    <w:rPr>
      <w:rFonts w:asciiTheme="minorHAnsi" w:hAnsiTheme="minorHAnsi"/>
      <w:sz w:val="22"/>
      <w:szCs w:val="22"/>
    </w:rPr>
  </w:style>
  <w:style w:type="paragraph" w:styleId="Sommario4">
    <w:name w:val="toc 4"/>
    <w:basedOn w:val="Normale"/>
    <w:next w:val="Normale"/>
    <w:autoRedefine/>
    <w:uiPriority w:val="39"/>
    <w:unhideWhenUsed/>
    <w:rsid w:val="004C412E"/>
    <w:pPr>
      <w:ind w:left="720"/>
    </w:pPr>
    <w:rPr>
      <w:rFonts w:asciiTheme="minorHAnsi" w:hAnsiTheme="minorHAnsi"/>
      <w:sz w:val="20"/>
      <w:szCs w:val="20"/>
    </w:rPr>
  </w:style>
  <w:style w:type="paragraph" w:styleId="Sommario5">
    <w:name w:val="toc 5"/>
    <w:basedOn w:val="Normale"/>
    <w:next w:val="Normale"/>
    <w:autoRedefine/>
    <w:uiPriority w:val="39"/>
    <w:unhideWhenUsed/>
    <w:rsid w:val="004C412E"/>
    <w:pPr>
      <w:ind w:left="960"/>
    </w:pPr>
    <w:rPr>
      <w:rFonts w:asciiTheme="minorHAnsi" w:hAnsiTheme="minorHAnsi"/>
      <w:sz w:val="20"/>
      <w:szCs w:val="20"/>
    </w:rPr>
  </w:style>
  <w:style w:type="paragraph" w:styleId="Sommario6">
    <w:name w:val="toc 6"/>
    <w:basedOn w:val="Normale"/>
    <w:next w:val="Normale"/>
    <w:autoRedefine/>
    <w:uiPriority w:val="39"/>
    <w:unhideWhenUsed/>
    <w:rsid w:val="004C412E"/>
    <w:pPr>
      <w:ind w:left="1200"/>
    </w:pPr>
    <w:rPr>
      <w:rFonts w:asciiTheme="minorHAnsi" w:hAnsiTheme="minorHAnsi"/>
      <w:sz w:val="20"/>
      <w:szCs w:val="20"/>
    </w:rPr>
  </w:style>
  <w:style w:type="paragraph" w:styleId="Sommario7">
    <w:name w:val="toc 7"/>
    <w:basedOn w:val="Normale"/>
    <w:next w:val="Normale"/>
    <w:autoRedefine/>
    <w:uiPriority w:val="39"/>
    <w:unhideWhenUsed/>
    <w:rsid w:val="004C412E"/>
    <w:pPr>
      <w:ind w:left="1440"/>
    </w:pPr>
    <w:rPr>
      <w:rFonts w:asciiTheme="minorHAnsi" w:hAnsiTheme="minorHAnsi"/>
      <w:sz w:val="20"/>
      <w:szCs w:val="20"/>
    </w:rPr>
  </w:style>
  <w:style w:type="paragraph" w:styleId="Sommario8">
    <w:name w:val="toc 8"/>
    <w:basedOn w:val="Normale"/>
    <w:next w:val="Normale"/>
    <w:autoRedefine/>
    <w:uiPriority w:val="39"/>
    <w:unhideWhenUsed/>
    <w:rsid w:val="004C412E"/>
    <w:pPr>
      <w:ind w:left="1680"/>
    </w:pPr>
    <w:rPr>
      <w:rFonts w:asciiTheme="minorHAnsi" w:hAnsiTheme="minorHAnsi"/>
      <w:sz w:val="20"/>
      <w:szCs w:val="20"/>
    </w:rPr>
  </w:style>
  <w:style w:type="paragraph" w:styleId="Sommario9">
    <w:name w:val="toc 9"/>
    <w:basedOn w:val="Normale"/>
    <w:next w:val="Normale"/>
    <w:autoRedefine/>
    <w:uiPriority w:val="39"/>
    <w:unhideWhenUsed/>
    <w:rsid w:val="004C412E"/>
    <w:pPr>
      <w:ind w:left="1920"/>
    </w:pPr>
    <w:rPr>
      <w:rFonts w:asciiTheme="minorHAnsi" w:hAnsiTheme="minorHAnsi"/>
      <w:sz w:val="20"/>
      <w:szCs w:val="20"/>
    </w:rPr>
  </w:style>
  <w:style w:type="character" w:styleId="Collegamentoipertestuale">
    <w:name w:val="Hyperlink"/>
    <w:basedOn w:val="Caratterepredefinitoparagrafo"/>
    <w:uiPriority w:val="99"/>
    <w:unhideWhenUsed/>
    <w:rsid w:val="0010322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231561">
      <w:bodyDiv w:val="1"/>
      <w:marLeft w:val="0"/>
      <w:marRight w:val="0"/>
      <w:marTop w:val="0"/>
      <w:marBottom w:val="0"/>
      <w:divBdr>
        <w:top w:val="none" w:sz="0" w:space="0" w:color="auto"/>
        <w:left w:val="none" w:sz="0" w:space="0" w:color="auto"/>
        <w:bottom w:val="none" w:sz="0" w:space="0" w:color="auto"/>
        <w:right w:val="none" w:sz="0" w:space="0" w:color="auto"/>
      </w:divBdr>
    </w:div>
    <w:div w:id="932785311">
      <w:bodyDiv w:val="1"/>
      <w:marLeft w:val="0"/>
      <w:marRight w:val="0"/>
      <w:marTop w:val="0"/>
      <w:marBottom w:val="0"/>
      <w:divBdr>
        <w:top w:val="none" w:sz="0" w:space="0" w:color="auto"/>
        <w:left w:val="none" w:sz="0" w:space="0" w:color="auto"/>
        <w:bottom w:val="none" w:sz="0" w:space="0" w:color="auto"/>
        <w:right w:val="none" w:sz="0" w:space="0" w:color="auto"/>
      </w:divBdr>
    </w:div>
    <w:div w:id="941035104">
      <w:bodyDiv w:val="1"/>
      <w:marLeft w:val="0"/>
      <w:marRight w:val="0"/>
      <w:marTop w:val="0"/>
      <w:marBottom w:val="0"/>
      <w:divBdr>
        <w:top w:val="none" w:sz="0" w:space="0" w:color="auto"/>
        <w:left w:val="none" w:sz="0" w:space="0" w:color="auto"/>
        <w:bottom w:val="none" w:sz="0" w:space="0" w:color="auto"/>
        <w:right w:val="none" w:sz="0" w:space="0" w:color="auto"/>
      </w:divBdr>
    </w:div>
    <w:div w:id="214165219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0.emf"/><Relationship Id="rId21" Type="http://schemas.openxmlformats.org/officeDocument/2006/relationships/image" Target="media/image11.emf"/><Relationship Id="rId22" Type="http://schemas.openxmlformats.org/officeDocument/2006/relationships/image" Target="media/image12.jpg"/><Relationship Id="rId23" Type="http://schemas.openxmlformats.org/officeDocument/2006/relationships/image" Target="media/image13.emf"/><Relationship Id="rId24" Type="http://schemas.openxmlformats.org/officeDocument/2006/relationships/image" Target="media/image14.pn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jpg"/><Relationship Id="rId29" Type="http://schemas.openxmlformats.org/officeDocument/2006/relationships/diagramData" Target="diagrams/data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diagramLayout" Target="diagrams/layout1.xml"/><Relationship Id="rId31" Type="http://schemas.openxmlformats.org/officeDocument/2006/relationships/diagramQuickStyle" Target="diagrams/quickStyle1.xml"/><Relationship Id="rId32" Type="http://schemas.openxmlformats.org/officeDocument/2006/relationships/diagramColors" Target="diagrams/colors1.xml"/><Relationship Id="rId9" Type="http://schemas.openxmlformats.org/officeDocument/2006/relationships/image" Target="media/image1.pn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microsoft.com/office/2007/relationships/diagramDrawing" Target="diagrams/drawing1.xml"/><Relationship Id="rId34" Type="http://schemas.openxmlformats.org/officeDocument/2006/relationships/hyperlink" Target="http://www.crowdfundinsider.com/2014/09/50628-equity-vs-debt-crowdfunding" TargetMode="External"/><Relationship Id="rId35" Type="http://schemas.openxmlformats.org/officeDocument/2006/relationships/hyperlink" Target="http://www.interscience.wiley.com" TargetMode="External"/><Relationship Id="rId36" Type="http://schemas.openxmlformats.org/officeDocument/2006/relationships/hyperlink" Target="http://repository.upenn.edu/asc_papers/42" TargetMode="Externa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image" Target="media/image2.emf"/><Relationship Id="rId13" Type="http://schemas.openxmlformats.org/officeDocument/2006/relationships/image" Target="media/image3.emf"/><Relationship Id="rId14" Type="http://schemas.openxmlformats.org/officeDocument/2006/relationships/image" Target="media/image4.emf"/><Relationship Id="rId15" Type="http://schemas.openxmlformats.org/officeDocument/2006/relationships/image" Target="media/image5.png"/><Relationship Id="rId16" Type="http://schemas.openxmlformats.org/officeDocument/2006/relationships/image" Target="media/image6.emf"/><Relationship Id="rId17" Type="http://schemas.openxmlformats.org/officeDocument/2006/relationships/image" Target="media/image7.jpg"/><Relationship Id="rId18" Type="http://schemas.openxmlformats.org/officeDocument/2006/relationships/image" Target="media/image8.jpg"/><Relationship Id="rId19" Type="http://schemas.openxmlformats.org/officeDocument/2006/relationships/image" Target="media/image9.emf"/><Relationship Id="rId37" Type="http://schemas.openxmlformats.org/officeDocument/2006/relationships/hyperlink" Target="http://repository.upenn.edu/asc_papers/242" TargetMode="External"/><Relationship Id="rId38" Type="http://schemas.openxmlformats.org/officeDocument/2006/relationships/hyperlink" Target="http://nbn-resolving.de/urn:nbn:de:0168-ssoar-395173" TargetMode="External"/><Relationship Id="rId39" Type="http://schemas.openxmlformats.org/officeDocument/2006/relationships/hyperlink" Target="http://www.interscience.wiley.com" TargetMode="External"/><Relationship Id="rId40" Type="http://schemas.openxmlformats.org/officeDocument/2006/relationships/fontTable" Target="fontTable.xml"/><Relationship Id="rId41"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88359C6-E98E-C34E-A9E5-27E0F8907C08}" type="doc">
      <dgm:prSet loTypeId="urn:microsoft.com/office/officeart/2005/8/layout/cycle7" loCatId="" qsTypeId="urn:microsoft.com/office/officeart/2005/8/quickstyle/simple4" qsCatId="simple" csTypeId="urn:microsoft.com/office/officeart/2005/8/colors/accent1_2" csCatId="accent1" phldr="1"/>
      <dgm:spPr/>
    </dgm:pt>
    <dgm:pt modelId="{74F7784A-55E2-8E48-975B-1943690AFD19}">
      <dgm:prSet phldrT="[Testo]" custT="1"/>
      <dgm:spPr/>
      <dgm:t>
        <a:bodyPr/>
        <a:lstStyle/>
        <a:p>
          <a:pPr algn="ctr"/>
          <a:r>
            <a:rPr lang="it-IT" sz="1300" b="1"/>
            <a:t>Fundraising output</a:t>
          </a:r>
        </a:p>
      </dgm:t>
    </dgm:pt>
    <dgm:pt modelId="{D9A8987E-C5BA-A448-AEAB-711A57288068}" type="parTrans" cxnId="{765C520A-5011-1C40-8E1E-768841D66F02}">
      <dgm:prSet/>
      <dgm:spPr/>
      <dgm:t>
        <a:bodyPr/>
        <a:lstStyle/>
        <a:p>
          <a:pPr algn="ctr"/>
          <a:endParaRPr lang="it-IT" sz="1300"/>
        </a:p>
      </dgm:t>
    </dgm:pt>
    <dgm:pt modelId="{7A500412-67D0-B74A-B52A-DBCAF31E9734}" type="sibTrans" cxnId="{765C520A-5011-1C40-8E1E-768841D66F02}">
      <dgm:prSet/>
      <dgm:spPr/>
      <dgm:t>
        <a:bodyPr/>
        <a:lstStyle/>
        <a:p>
          <a:pPr algn="ctr"/>
          <a:endParaRPr lang="it-IT" sz="1300"/>
        </a:p>
      </dgm:t>
    </dgm:pt>
    <dgm:pt modelId="{EE525327-4CEF-AC47-89FA-CB5304594D55}">
      <dgm:prSet phldrT="[Testo]" custT="1"/>
      <dgm:spPr/>
      <dgm:t>
        <a:bodyPr/>
        <a:lstStyle/>
        <a:p>
          <a:pPr algn="ctr"/>
          <a:r>
            <a:rPr lang="it-IT" sz="1300" b="1"/>
            <a:t>University outcome</a:t>
          </a:r>
        </a:p>
      </dgm:t>
    </dgm:pt>
    <dgm:pt modelId="{5645A9C9-0775-2146-B769-F0C18D8DD01D}" type="parTrans" cxnId="{AE917886-D75C-6949-B1B9-77ED39415F00}">
      <dgm:prSet/>
      <dgm:spPr/>
      <dgm:t>
        <a:bodyPr/>
        <a:lstStyle/>
        <a:p>
          <a:pPr algn="ctr"/>
          <a:endParaRPr lang="it-IT" sz="1300"/>
        </a:p>
      </dgm:t>
    </dgm:pt>
    <dgm:pt modelId="{F05AA72C-E21C-6247-9BA7-4B303D795C83}" type="sibTrans" cxnId="{AE917886-D75C-6949-B1B9-77ED39415F00}">
      <dgm:prSet/>
      <dgm:spPr/>
      <dgm:t>
        <a:bodyPr/>
        <a:lstStyle/>
        <a:p>
          <a:pPr algn="ctr"/>
          <a:endParaRPr lang="it-IT" sz="1300"/>
        </a:p>
      </dgm:t>
    </dgm:pt>
    <dgm:pt modelId="{169C1FD5-F509-DE4D-AB3D-72AB6B197CDF}">
      <dgm:prSet phldrT="[Testo]" custT="1"/>
      <dgm:spPr/>
      <dgm:t>
        <a:bodyPr/>
        <a:lstStyle/>
        <a:p>
          <a:pPr algn="ctr"/>
          <a:r>
            <a:rPr lang="it-IT" sz="1300" b="1"/>
            <a:t>University mission</a:t>
          </a:r>
        </a:p>
      </dgm:t>
    </dgm:pt>
    <dgm:pt modelId="{3E54C40C-B3D8-5249-9966-97C8A8B9DC86}" type="parTrans" cxnId="{DC2F3050-C62D-4E48-B60E-F39AFFEADA0D}">
      <dgm:prSet/>
      <dgm:spPr/>
      <dgm:t>
        <a:bodyPr/>
        <a:lstStyle/>
        <a:p>
          <a:pPr algn="ctr"/>
          <a:endParaRPr lang="it-IT" sz="1300"/>
        </a:p>
      </dgm:t>
    </dgm:pt>
    <dgm:pt modelId="{61FCA13C-6579-2442-8100-27CD76129CAC}" type="sibTrans" cxnId="{DC2F3050-C62D-4E48-B60E-F39AFFEADA0D}">
      <dgm:prSet/>
      <dgm:spPr/>
      <dgm:t>
        <a:bodyPr/>
        <a:lstStyle/>
        <a:p>
          <a:pPr algn="ctr"/>
          <a:endParaRPr lang="it-IT" sz="1300"/>
        </a:p>
      </dgm:t>
    </dgm:pt>
    <dgm:pt modelId="{E32121E3-D5F1-3C42-B386-C1B3A68D8A55}" type="pres">
      <dgm:prSet presAssocID="{A88359C6-E98E-C34E-A9E5-27E0F8907C08}" presName="Name0" presStyleCnt="0">
        <dgm:presLayoutVars>
          <dgm:dir/>
          <dgm:resizeHandles val="exact"/>
        </dgm:presLayoutVars>
      </dgm:prSet>
      <dgm:spPr/>
    </dgm:pt>
    <dgm:pt modelId="{01F36A44-9538-504E-BC60-15291C6373ED}" type="pres">
      <dgm:prSet presAssocID="{74F7784A-55E2-8E48-975B-1943690AFD19}" presName="node" presStyleLbl="node1" presStyleIdx="0" presStyleCnt="3">
        <dgm:presLayoutVars>
          <dgm:bulletEnabled val="1"/>
        </dgm:presLayoutVars>
      </dgm:prSet>
      <dgm:spPr/>
      <dgm:t>
        <a:bodyPr/>
        <a:lstStyle/>
        <a:p>
          <a:endParaRPr lang="it-IT"/>
        </a:p>
      </dgm:t>
    </dgm:pt>
    <dgm:pt modelId="{E0AB4562-27EC-6C42-8CD8-4302545337C9}" type="pres">
      <dgm:prSet presAssocID="{7A500412-67D0-B74A-B52A-DBCAF31E9734}" presName="sibTrans" presStyleLbl="sibTrans2D1" presStyleIdx="0" presStyleCnt="3"/>
      <dgm:spPr/>
      <dgm:t>
        <a:bodyPr/>
        <a:lstStyle/>
        <a:p>
          <a:endParaRPr lang="it-IT"/>
        </a:p>
      </dgm:t>
    </dgm:pt>
    <dgm:pt modelId="{291C1003-F6E4-4B4A-9E0F-601642812BC0}" type="pres">
      <dgm:prSet presAssocID="{7A500412-67D0-B74A-B52A-DBCAF31E9734}" presName="connectorText" presStyleLbl="sibTrans2D1" presStyleIdx="0" presStyleCnt="3"/>
      <dgm:spPr/>
      <dgm:t>
        <a:bodyPr/>
        <a:lstStyle/>
        <a:p>
          <a:endParaRPr lang="it-IT"/>
        </a:p>
      </dgm:t>
    </dgm:pt>
    <dgm:pt modelId="{ECEB4B23-3327-E646-984D-F0B35E58D78A}" type="pres">
      <dgm:prSet presAssocID="{EE525327-4CEF-AC47-89FA-CB5304594D55}" presName="node" presStyleLbl="node1" presStyleIdx="1" presStyleCnt="3">
        <dgm:presLayoutVars>
          <dgm:bulletEnabled val="1"/>
        </dgm:presLayoutVars>
      </dgm:prSet>
      <dgm:spPr/>
      <dgm:t>
        <a:bodyPr/>
        <a:lstStyle/>
        <a:p>
          <a:endParaRPr lang="it-IT"/>
        </a:p>
      </dgm:t>
    </dgm:pt>
    <dgm:pt modelId="{D42A2566-AA2A-9540-80DB-FF1A0569DF96}" type="pres">
      <dgm:prSet presAssocID="{F05AA72C-E21C-6247-9BA7-4B303D795C83}" presName="sibTrans" presStyleLbl="sibTrans2D1" presStyleIdx="1" presStyleCnt="3"/>
      <dgm:spPr/>
      <dgm:t>
        <a:bodyPr/>
        <a:lstStyle/>
        <a:p>
          <a:endParaRPr lang="it-IT"/>
        </a:p>
      </dgm:t>
    </dgm:pt>
    <dgm:pt modelId="{E13BAAFA-DFB7-E84D-892E-01A24136B676}" type="pres">
      <dgm:prSet presAssocID="{F05AA72C-E21C-6247-9BA7-4B303D795C83}" presName="connectorText" presStyleLbl="sibTrans2D1" presStyleIdx="1" presStyleCnt="3"/>
      <dgm:spPr/>
      <dgm:t>
        <a:bodyPr/>
        <a:lstStyle/>
        <a:p>
          <a:endParaRPr lang="it-IT"/>
        </a:p>
      </dgm:t>
    </dgm:pt>
    <dgm:pt modelId="{BC7D0CE8-E14B-F540-AE83-5A6A815E0EAC}" type="pres">
      <dgm:prSet presAssocID="{169C1FD5-F509-DE4D-AB3D-72AB6B197CDF}" presName="node" presStyleLbl="node1" presStyleIdx="2" presStyleCnt="3">
        <dgm:presLayoutVars>
          <dgm:bulletEnabled val="1"/>
        </dgm:presLayoutVars>
      </dgm:prSet>
      <dgm:spPr/>
      <dgm:t>
        <a:bodyPr/>
        <a:lstStyle/>
        <a:p>
          <a:endParaRPr lang="it-IT"/>
        </a:p>
      </dgm:t>
    </dgm:pt>
    <dgm:pt modelId="{BD492426-1F5F-2844-96CD-9F06484AB94E}" type="pres">
      <dgm:prSet presAssocID="{61FCA13C-6579-2442-8100-27CD76129CAC}" presName="sibTrans" presStyleLbl="sibTrans2D1" presStyleIdx="2" presStyleCnt="3"/>
      <dgm:spPr/>
      <dgm:t>
        <a:bodyPr/>
        <a:lstStyle/>
        <a:p>
          <a:endParaRPr lang="it-IT"/>
        </a:p>
      </dgm:t>
    </dgm:pt>
    <dgm:pt modelId="{A520A75D-A442-D74F-98E0-E8AF295365DE}" type="pres">
      <dgm:prSet presAssocID="{61FCA13C-6579-2442-8100-27CD76129CAC}" presName="connectorText" presStyleLbl="sibTrans2D1" presStyleIdx="2" presStyleCnt="3"/>
      <dgm:spPr/>
      <dgm:t>
        <a:bodyPr/>
        <a:lstStyle/>
        <a:p>
          <a:endParaRPr lang="it-IT"/>
        </a:p>
      </dgm:t>
    </dgm:pt>
  </dgm:ptLst>
  <dgm:cxnLst>
    <dgm:cxn modelId="{1A14B66A-C1F4-BA4C-A57E-2DD372659966}" type="presOf" srcId="{61FCA13C-6579-2442-8100-27CD76129CAC}" destId="{A520A75D-A442-D74F-98E0-E8AF295365DE}" srcOrd="1" destOrd="0" presId="urn:microsoft.com/office/officeart/2005/8/layout/cycle7"/>
    <dgm:cxn modelId="{765C520A-5011-1C40-8E1E-768841D66F02}" srcId="{A88359C6-E98E-C34E-A9E5-27E0F8907C08}" destId="{74F7784A-55E2-8E48-975B-1943690AFD19}" srcOrd="0" destOrd="0" parTransId="{D9A8987E-C5BA-A448-AEAB-711A57288068}" sibTransId="{7A500412-67D0-B74A-B52A-DBCAF31E9734}"/>
    <dgm:cxn modelId="{DC2F3050-C62D-4E48-B60E-F39AFFEADA0D}" srcId="{A88359C6-E98E-C34E-A9E5-27E0F8907C08}" destId="{169C1FD5-F509-DE4D-AB3D-72AB6B197CDF}" srcOrd="2" destOrd="0" parTransId="{3E54C40C-B3D8-5249-9966-97C8A8B9DC86}" sibTransId="{61FCA13C-6579-2442-8100-27CD76129CAC}"/>
    <dgm:cxn modelId="{B0B6B38F-CE00-9742-B928-B1D6DD1B0BD4}" type="presOf" srcId="{169C1FD5-F509-DE4D-AB3D-72AB6B197CDF}" destId="{BC7D0CE8-E14B-F540-AE83-5A6A815E0EAC}" srcOrd="0" destOrd="0" presId="urn:microsoft.com/office/officeart/2005/8/layout/cycle7"/>
    <dgm:cxn modelId="{1DBB545C-2AD5-C440-BF6F-8418478952CD}" type="presOf" srcId="{7A500412-67D0-B74A-B52A-DBCAF31E9734}" destId="{291C1003-F6E4-4B4A-9E0F-601642812BC0}" srcOrd="1" destOrd="0" presId="urn:microsoft.com/office/officeart/2005/8/layout/cycle7"/>
    <dgm:cxn modelId="{A183B8F2-C825-574A-9580-1B84A9C63901}" type="presOf" srcId="{F05AA72C-E21C-6247-9BA7-4B303D795C83}" destId="{E13BAAFA-DFB7-E84D-892E-01A24136B676}" srcOrd="1" destOrd="0" presId="urn:microsoft.com/office/officeart/2005/8/layout/cycle7"/>
    <dgm:cxn modelId="{AC955338-34A3-064B-9367-F0C09DE1D437}" type="presOf" srcId="{EE525327-4CEF-AC47-89FA-CB5304594D55}" destId="{ECEB4B23-3327-E646-984D-F0B35E58D78A}" srcOrd="0" destOrd="0" presId="urn:microsoft.com/office/officeart/2005/8/layout/cycle7"/>
    <dgm:cxn modelId="{FB848E66-A897-164C-A50B-97AD2A04DFFC}" type="presOf" srcId="{F05AA72C-E21C-6247-9BA7-4B303D795C83}" destId="{D42A2566-AA2A-9540-80DB-FF1A0569DF96}" srcOrd="0" destOrd="0" presId="urn:microsoft.com/office/officeart/2005/8/layout/cycle7"/>
    <dgm:cxn modelId="{C214903C-EC09-F94E-8288-C976EACC7716}" type="presOf" srcId="{A88359C6-E98E-C34E-A9E5-27E0F8907C08}" destId="{E32121E3-D5F1-3C42-B386-C1B3A68D8A55}" srcOrd="0" destOrd="0" presId="urn:microsoft.com/office/officeart/2005/8/layout/cycle7"/>
    <dgm:cxn modelId="{AE917886-D75C-6949-B1B9-77ED39415F00}" srcId="{A88359C6-E98E-C34E-A9E5-27E0F8907C08}" destId="{EE525327-4CEF-AC47-89FA-CB5304594D55}" srcOrd="1" destOrd="0" parTransId="{5645A9C9-0775-2146-B769-F0C18D8DD01D}" sibTransId="{F05AA72C-E21C-6247-9BA7-4B303D795C83}"/>
    <dgm:cxn modelId="{7F58A6FC-F89E-014B-80B4-F913618EB1FE}" type="presOf" srcId="{61FCA13C-6579-2442-8100-27CD76129CAC}" destId="{BD492426-1F5F-2844-96CD-9F06484AB94E}" srcOrd="0" destOrd="0" presId="urn:microsoft.com/office/officeart/2005/8/layout/cycle7"/>
    <dgm:cxn modelId="{1D236C82-0539-7A48-85F0-F4833799E288}" type="presOf" srcId="{7A500412-67D0-B74A-B52A-DBCAF31E9734}" destId="{E0AB4562-27EC-6C42-8CD8-4302545337C9}" srcOrd="0" destOrd="0" presId="urn:microsoft.com/office/officeart/2005/8/layout/cycle7"/>
    <dgm:cxn modelId="{CBAA2646-2718-9B46-9A9B-C15B6B8C02C5}" type="presOf" srcId="{74F7784A-55E2-8E48-975B-1943690AFD19}" destId="{01F36A44-9538-504E-BC60-15291C6373ED}" srcOrd="0" destOrd="0" presId="urn:microsoft.com/office/officeart/2005/8/layout/cycle7"/>
    <dgm:cxn modelId="{06102D65-6F91-8941-B04B-326AAA9EA26F}" type="presParOf" srcId="{E32121E3-D5F1-3C42-B386-C1B3A68D8A55}" destId="{01F36A44-9538-504E-BC60-15291C6373ED}" srcOrd="0" destOrd="0" presId="urn:microsoft.com/office/officeart/2005/8/layout/cycle7"/>
    <dgm:cxn modelId="{5832883C-2EA8-AC48-8E57-CA5F8C5FD4C7}" type="presParOf" srcId="{E32121E3-D5F1-3C42-B386-C1B3A68D8A55}" destId="{E0AB4562-27EC-6C42-8CD8-4302545337C9}" srcOrd="1" destOrd="0" presId="urn:microsoft.com/office/officeart/2005/8/layout/cycle7"/>
    <dgm:cxn modelId="{A5618926-30D6-0C40-B77C-A8C5CFDBFAE7}" type="presParOf" srcId="{E0AB4562-27EC-6C42-8CD8-4302545337C9}" destId="{291C1003-F6E4-4B4A-9E0F-601642812BC0}" srcOrd="0" destOrd="0" presId="urn:microsoft.com/office/officeart/2005/8/layout/cycle7"/>
    <dgm:cxn modelId="{1B409D7D-4515-0E41-9B25-B84E7A1BFE65}" type="presParOf" srcId="{E32121E3-D5F1-3C42-B386-C1B3A68D8A55}" destId="{ECEB4B23-3327-E646-984D-F0B35E58D78A}" srcOrd="2" destOrd="0" presId="urn:microsoft.com/office/officeart/2005/8/layout/cycle7"/>
    <dgm:cxn modelId="{C65C104A-9C63-4649-8418-8475B60834B3}" type="presParOf" srcId="{E32121E3-D5F1-3C42-B386-C1B3A68D8A55}" destId="{D42A2566-AA2A-9540-80DB-FF1A0569DF96}" srcOrd="3" destOrd="0" presId="urn:microsoft.com/office/officeart/2005/8/layout/cycle7"/>
    <dgm:cxn modelId="{B2ABF979-E94C-5946-AF74-75FF968BA270}" type="presParOf" srcId="{D42A2566-AA2A-9540-80DB-FF1A0569DF96}" destId="{E13BAAFA-DFB7-E84D-892E-01A24136B676}" srcOrd="0" destOrd="0" presId="urn:microsoft.com/office/officeart/2005/8/layout/cycle7"/>
    <dgm:cxn modelId="{7BA00E13-DCE4-9449-989E-62B076C934F3}" type="presParOf" srcId="{E32121E3-D5F1-3C42-B386-C1B3A68D8A55}" destId="{BC7D0CE8-E14B-F540-AE83-5A6A815E0EAC}" srcOrd="4" destOrd="0" presId="urn:microsoft.com/office/officeart/2005/8/layout/cycle7"/>
    <dgm:cxn modelId="{0C3E038C-E3ED-4740-BA23-7730CA74F2FC}" type="presParOf" srcId="{E32121E3-D5F1-3C42-B386-C1B3A68D8A55}" destId="{BD492426-1F5F-2844-96CD-9F06484AB94E}" srcOrd="5" destOrd="0" presId="urn:microsoft.com/office/officeart/2005/8/layout/cycle7"/>
    <dgm:cxn modelId="{321B19E6-F98A-A440-A5CF-04D3EB62552F}" type="presParOf" srcId="{BD492426-1F5F-2844-96CD-9F06484AB94E}" destId="{A520A75D-A442-D74F-98E0-E8AF295365DE}" srcOrd="0" destOrd="0" presId="urn:microsoft.com/office/officeart/2005/8/layout/cycle7"/>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1F36A44-9538-504E-BC60-15291C6373ED}">
      <dsp:nvSpPr>
        <dsp:cNvPr id="0" name=""/>
        <dsp:cNvSpPr/>
      </dsp:nvSpPr>
      <dsp:spPr>
        <a:xfrm>
          <a:off x="2302680" y="554"/>
          <a:ext cx="1112601" cy="556300"/>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it-IT" sz="1300" b="1" kern="1200"/>
            <a:t>Fundraising output</a:t>
          </a:r>
        </a:p>
      </dsp:txBody>
      <dsp:txXfrm>
        <a:off x="2318973" y="16847"/>
        <a:ext cx="1080015" cy="523714"/>
      </dsp:txXfrm>
    </dsp:sp>
    <dsp:sp modelId="{E0AB4562-27EC-6C42-8CD8-4302545337C9}">
      <dsp:nvSpPr>
        <dsp:cNvPr id="0" name=""/>
        <dsp:cNvSpPr/>
      </dsp:nvSpPr>
      <dsp:spPr>
        <a:xfrm rot="3600000">
          <a:off x="3028488" y="976749"/>
          <a:ext cx="579431" cy="194705"/>
        </a:xfrm>
        <a:prstGeom prst="leftRightArrow">
          <a:avLst>
            <a:gd name="adj1" fmla="val 60000"/>
            <a:gd name="adj2" fmla="val 50000"/>
          </a:avLst>
        </a:prstGeom>
        <a:gradFill rotWithShape="0">
          <a:gsLst>
            <a:gs pos="0">
              <a:schemeClr val="accent1">
                <a:tint val="60000"/>
                <a:hueOff val="0"/>
                <a:satOff val="0"/>
                <a:lumOff val="0"/>
                <a:alphaOff val="0"/>
                <a:tint val="100000"/>
                <a:shade val="100000"/>
                <a:satMod val="130000"/>
              </a:schemeClr>
            </a:gs>
            <a:gs pos="100000">
              <a:schemeClr val="accent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it-IT" sz="800" kern="1200"/>
        </a:p>
      </dsp:txBody>
      <dsp:txXfrm>
        <a:off x="3086900" y="1015690"/>
        <a:ext cx="462608" cy="116823"/>
      </dsp:txXfrm>
    </dsp:sp>
    <dsp:sp modelId="{ECEB4B23-3327-E646-984D-F0B35E58D78A}">
      <dsp:nvSpPr>
        <dsp:cNvPr id="0" name=""/>
        <dsp:cNvSpPr/>
      </dsp:nvSpPr>
      <dsp:spPr>
        <a:xfrm>
          <a:off x="3221126" y="1591349"/>
          <a:ext cx="1112601" cy="556300"/>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it-IT" sz="1300" b="1" kern="1200"/>
            <a:t>University outcome</a:t>
          </a:r>
        </a:p>
      </dsp:txBody>
      <dsp:txXfrm>
        <a:off x="3237419" y="1607642"/>
        <a:ext cx="1080015" cy="523714"/>
      </dsp:txXfrm>
    </dsp:sp>
    <dsp:sp modelId="{D42A2566-AA2A-9540-80DB-FF1A0569DF96}">
      <dsp:nvSpPr>
        <dsp:cNvPr id="0" name=""/>
        <dsp:cNvSpPr/>
      </dsp:nvSpPr>
      <dsp:spPr>
        <a:xfrm rot="10800000">
          <a:off x="2569265" y="1772147"/>
          <a:ext cx="579431" cy="194705"/>
        </a:xfrm>
        <a:prstGeom prst="leftRightArrow">
          <a:avLst>
            <a:gd name="adj1" fmla="val 60000"/>
            <a:gd name="adj2" fmla="val 50000"/>
          </a:avLst>
        </a:prstGeom>
        <a:gradFill rotWithShape="0">
          <a:gsLst>
            <a:gs pos="0">
              <a:schemeClr val="accent1">
                <a:tint val="60000"/>
                <a:hueOff val="0"/>
                <a:satOff val="0"/>
                <a:lumOff val="0"/>
                <a:alphaOff val="0"/>
                <a:tint val="100000"/>
                <a:shade val="100000"/>
                <a:satMod val="130000"/>
              </a:schemeClr>
            </a:gs>
            <a:gs pos="100000">
              <a:schemeClr val="accent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it-IT" sz="800" kern="1200"/>
        </a:p>
      </dsp:txBody>
      <dsp:txXfrm rot="10800000">
        <a:off x="2627676" y="1811088"/>
        <a:ext cx="462608" cy="116823"/>
      </dsp:txXfrm>
    </dsp:sp>
    <dsp:sp modelId="{BC7D0CE8-E14B-F540-AE83-5A6A815E0EAC}">
      <dsp:nvSpPr>
        <dsp:cNvPr id="0" name=""/>
        <dsp:cNvSpPr/>
      </dsp:nvSpPr>
      <dsp:spPr>
        <a:xfrm>
          <a:off x="1384234" y="1591349"/>
          <a:ext cx="1112601" cy="556300"/>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it-IT" sz="1300" b="1" kern="1200"/>
            <a:t>University mission</a:t>
          </a:r>
        </a:p>
      </dsp:txBody>
      <dsp:txXfrm>
        <a:off x="1400527" y="1607642"/>
        <a:ext cx="1080015" cy="523714"/>
      </dsp:txXfrm>
    </dsp:sp>
    <dsp:sp modelId="{BD492426-1F5F-2844-96CD-9F06484AB94E}">
      <dsp:nvSpPr>
        <dsp:cNvPr id="0" name=""/>
        <dsp:cNvSpPr/>
      </dsp:nvSpPr>
      <dsp:spPr>
        <a:xfrm rot="18000000">
          <a:off x="2110042" y="976749"/>
          <a:ext cx="579431" cy="194705"/>
        </a:xfrm>
        <a:prstGeom prst="leftRightArrow">
          <a:avLst>
            <a:gd name="adj1" fmla="val 60000"/>
            <a:gd name="adj2" fmla="val 50000"/>
          </a:avLst>
        </a:prstGeom>
        <a:gradFill rotWithShape="0">
          <a:gsLst>
            <a:gs pos="0">
              <a:schemeClr val="accent1">
                <a:tint val="60000"/>
                <a:hueOff val="0"/>
                <a:satOff val="0"/>
                <a:lumOff val="0"/>
                <a:alphaOff val="0"/>
                <a:tint val="100000"/>
                <a:shade val="100000"/>
                <a:satMod val="130000"/>
              </a:schemeClr>
            </a:gs>
            <a:gs pos="100000">
              <a:schemeClr val="accent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it-IT" sz="800" kern="1200"/>
        </a:p>
      </dsp:txBody>
      <dsp:txXfrm>
        <a:off x="2168454" y="1015690"/>
        <a:ext cx="462608" cy="116823"/>
      </dsp:txXfrm>
    </dsp:sp>
  </dsp:spTree>
</dsp:drawing>
</file>

<file path=word/diagrams/layout1.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DCD3C6C9-EF99-E54A-8C94-52887DA7A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663</TotalTime>
  <Pages>72</Pages>
  <Words>46807</Words>
  <Characters>266804</Characters>
  <Application>Microsoft Macintosh Word</Application>
  <DocSecurity>0</DocSecurity>
  <Lines>2223</Lines>
  <Paragraphs>625</Paragraphs>
  <ScaleCrop>false</ScaleCrop>
  <Company>Non</Company>
  <LinksUpToDate>false</LinksUpToDate>
  <CharactersWithSpaces>312986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Dottorato Fundraising</dc:creator>
  <cp:keywords/>
  <dc:description/>
  <cp:lastModifiedBy>Dottorato Fundraising</cp:lastModifiedBy>
  <cp:revision>289</cp:revision>
  <cp:lastPrinted>2018-10-14T10:37:00Z</cp:lastPrinted>
  <dcterms:created xsi:type="dcterms:W3CDTF">2019-03-27T19:48:00Z</dcterms:created>
  <dcterms:modified xsi:type="dcterms:W3CDTF">2019-05-17T09:45:00Z</dcterms:modified>
</cp:coreProperties>
</file>