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D2278" w:rsidRDefault="00BD2278" w:rsidP="001C420F">
      <w:pPr>
        <w:pStyle w:val="TOCHeading"/>
        <w:jc w:val="center"/>
      </w:pPr>
      <w:r w:rsidRPr="009B00A7">
        <w:rPr>
          <w:rFonts w:ascii="Times New Roman" w:hAnsi="Times New Roman"/>
          <w:b w:val="0"/>
          <w:color w:val="000000"/>
        </w:rPr>
        <w:t>Indice</w:t>
      </w:r>
    </w:p>
    <w:p w:rsidR="00BD2278" w:rsidRDefault="00BD2278">
      <w:pPr>
        <w:pStyle w:val="TOC1"/>
        <w:tabs>
          <w:tab w:val="right" w:leader="dot" w:pos="7927"/>
        </w:tabs>
      </w:pPr>
    </w:p>
    <w:p w:rsidR="00BD2278" w:rsidRDefault="00BD2278">
      <w:pPr>
        <w:pStyle w:val="TOC1"/>
        <w:tabs>
          <w:tab w:val="right" w:leader="dot" w:pos="7927"/>
        </w:tabs>
      </w:pPr>
    </w:p>
    <w:p w:rsidR="00BD2278" w:rsidRDefault="00BD2278">
      <w:pPr>
        <w:pStyle w:val="TOC1"/>
        <w:tabs>
          <w:tab w:val="right" w:leader="dot" w:pos="7927"/>
        </w:tabs>
      </w:pPr>
    </w:p>
    <w:p w:rsidR="00BD2278" w:rsidRDefault="00BD2278">
      <w:pPr>
        <w:pStyle w:val="TOC1"/>
        <w:tabs>
          <w:tab w:val="right" w:leader="dot" w:pos="7927"/>
        </w:tabs>
        <w:rPr>
          <w:rFonts w:ascii="Calibri" w:hAnsi="Calibri"/>
          <w:noProof/>
          <w:sz w:val="22"/>
          <w:szCs w:val="22"/>
          <w:lang w:eastAsia="it-IT"/>
        </w:rPr>
      </w:pPr>
      <w:r>
        <w:t xml:space="preserve">CAPITOLO I - </w:t>
      </w:r>
      <w:r>
        <w:fldChar w:fldCharType="begin"/>
      </w:r>
      <w:r>
        <w:instrText xml:space="preserve"> TOC \o "1-3" \h \z \u </w:instrText>
      </w:r>
      <w:r>
        <w:fldChar w:fldCharType="separate"/>
      </w:r>
      <w:hyperlink w:anchor="_Toc285266414" w:history="1">
        <w:r w:rsidRPr="001C420F">
          <w:rPr>
            <w:rStyle w:val="Hyperlink"/>
            <w:b/>
            <w:noProof/>
            <w:u w:val="none"/>
          </w:rPr>
          <w:t>Fonti e principi dell’obbligazione retributiva</w:t>
        </w:r>
        <w:r>
          <w:rPr>
            <w:noProof/>
            <w:webHidden/>
          </w:rPr>
          <w:tab/>
        </w:r>
        <w:r>
          <w:rPr>
            <w:noProof/>
            <w:webHidden/>
          </w:rPr>
          <w:fldChar w:fldCharType="begin"/>
        </w:r>
        <w:r>
          <w:rPr>
            <w:noProof/>
            <w:webHidden/>
          </w:rPr>
          <w:instrText xml:space="preserve"> PAGEREF _Toc285266414 \h </w:instrText>
        </w:r>
        <w:r>
          <w:rPr>
            <w:noProof/>
          </w:rPr>
        </w:r>
        <w:r>
          <w:rPr>
            <w:noProof/>
            <w:webHidden/>
          </w:rPr>
          <w:fldChar w:fldCharType="separate"/>
        </w:r>
        <w:r>
          <w:rPr>
            <w:noProof/>
            <w:webHidden/>
          </w:rPr>
          <w:t>3</w:t>
        </w:r>
        <w:r>
          <w:rPr>
            <w:noProof/>
            <w:webHidden/>
          </w:rPr>
          <w:fldChar w:fldCharType="end"/>
        </w:r>
      </w:hyperlink>
    </w:p>
    <w:p w:rsidR="00BD2278" w:rsidRPr="001C420F" w:rsidRDefault="00BD2278">
      <w:pPr>
        <w:pStyle w:val="TOC2"/>
        <w:tabs>
          <w:tab w:val="left" w:pos="660"/>
          <w:tab w:val="right" w:leader="dot" w:pos="7927"/>
        </w:tabs>
        <w:rPr>
          <w:rFonts w:ascii="Calibri" w:hAnsi="Calibri"/>
          <w:noProof/>
          <w:sz w:val="22"/>
          <w:szCs w:val="22"/>
          <w:lang w:eastAsia="it-IT"/>
        </w:rPr>
      </w:pPr>
      <w:hyperlink w:anchor="_Toc285266415" w:history="1">
        <w:r w:rsidRPr="001C420F">
          <w:rPr>
            <w:rStyle w:val="Hyperlink"/>
            <w:noProof/>
            <w:spacing w:val="-2"/>
          </w:rPr>
          <w:t>1.</w:t>
        </w:r>
        <w:r w:rsidRPr="001C420F">
          <w:rPr>
            <w:rFonts w:ascii="Calibri" w:hAnsi="Calibri"/>
            <w:noProof/>
            <w:sz w:val="22"/>
            <w:szCs w:val="22"/>
            <w:lang w:eastAsia="it-IT"/>
          </w:rPr>
          <w:tab/>
        </w:r>
        <w:r w:rsidRPr="001C420F">
          <w:rPr>
            <w:rStyle w:val="Hyperlink"/>
            <w:noProof/>
          </w:rPr>
          <w:t>La retribuzione tra diritto civile e diritto del lavoro.</w:t>
        </w:r>
        <w:r w:rsidRPr="001C420F">
          <w:rPr>
            <w:noProof/>
            <w:webHidden/>
          </w:rPr>
          <w:tab/>
        </w:r>
        <w:r w:rsidRPr="001C420F">
          <w:rPr>
            <w:noProof/>
            <w:webHidden/>
          </w:rPr>
          <w:fldChar w:fldCharType="begin"/>
        </w:r>
        <w:r w:rsidRPr="001C420F">
          <w:rPr>
            <w:noProof/>
            <w:webHidden/>
          </w:rPr>
          <w:instrText xml:space="preserve"> PAGEREF _Toc285266415 \h </w:instrText>
        </w:r>
        <w:r>
          <w:rPr>
            <w:noProof/>
          </w:rPr>
        </w:r>
        <w:r w:rsidRPr="001C420F">
          <w:rPr>
            <w:noProof/>
            <w:webHidden/>
          </w:rPr>
          <w:fldChar w:fldCharType="separate"/>
        </w:r>
        <w:r>
          <w:rPr>
            <w:noProof/>
            <w:webHidden/>
          </w:rPr>
          <w:t>3</w:t>
        </w:r>
        <w:r w:rsidRPr="001C420F">
          <w:rPr>
            <w:noProof/>
            <w:webHidden/>
          </w:rPr>
          <w:fldChar w:fldCharType="end"/>
        </w:r>
      </w:hyperlink>
    </w:p>
    <w:p w:rsidR="00BD2278" w:rsidRPr="001C420F" w:rsidRDefault="00BD2278">
      <w:pPr>
        <w:pStyle w:val="TOC2"/>
        <w:tabs>
          <w:tab w:val="left" w:pos="660"/>
          <w:tab w:val="right" w:leader="dot" w:pos="7927"/>
        </w:tabs>
        <w:rPr>
          <w:rFonts w:ascii="Calibri" w:hAnsi="Calibri"/>
          <w:noProof/>
          <w:sz w:val="22"/>
          <w:szCs w:val="22"/>
          <w:lang w:eastAsia="it-IT"/>
        </w:rPr>
      </w:pPr>
      <w:hyperlink w:anchor="_Toc285266416" w:history="1">
        <w:r w:rsidRPr="001C420F">
          <w:rPr>
            <w:rStyle w:val="Hyperlink"/>
            <w:noProof/>
          </w:rPr>
          <w:t>2.</w:t>
        </w:r>
        <w:r w:rsidRPr="001C420F">
          <w:rPr>
            <w:rFonts w:ascii="Calibri" w:hAnsi="Calibri"/>
            <w:noProof/>
            <w:sz w:val="22"/>
            <w:szCs w:val="22"/>
            <w:lang w:eastAsia="it-IT"/>
          </w:rPr>
          <w:tab/>
        </w:r>
        <w:r w:rsidRPr="001C420F">
          <w:rPr>
            <w:rStyle w:val="Hyperlink"/>
            <w:noProof/>
          </w:rPr>
          <w:t>La nozione di retribuzione.</w:t>
        </w:r>
        <w:r w:rsidRPr="001C420F">
          <w:rPr>
            <w:noProof/>
            <w:webHidden/>
          </w:rPr>
          <w:tab/>
        </w:r>
        <w:r w:rsidRPr="001C420F">
          <w:rPr>
            <w:noProof/>
            <w:webHidden/>
          </w:rPr>
          <w:fldChar w:fldCharType="begin"/>
        </w:r>
        <w:r w:rsidRPr="001C420F">
          <w:rPr>
            <w:noProof/>
            <w:webHidden/>
          </w:rPr>
          <w:instrText xml:space="preserve"> PAGEREF _Toc285266416 \h </w:instrText>
        </w:r>
        <w:r>
          <w:rPr>
            <w:noProof/>
          </w:rPr>
        </w:r>
        <w:r w:rsidRPr="001C420F">
          <w:rPr>
            <w:noProof/>
            <w:webHidden/>
          </w:rPr>
          <w:fldChar w:fldCharType="separate"/>
        </w:r>
        <w:r>
          <w:rPr>
            <w:noProof/>
            <w:webHidden/>
          </w:rPr>
          <w:t>10</w:t>
        </w:r>
        <w:r w:rsidRPr="001C420F">
          <w:rPr>
            <w:noProof/>
            <w:webHidden/>
          </w:rPr>
          <w:fldChar w:fldCharType="end"/>
        </w:r>
      </w:hyperlink>
    </w:p>
    <w:p w:rsidR="00BD2278" w:rsidRPr="001C420F" w:rsidRDefault="00BD2278">
      <w:pPr>
        <w:pStyle w:val="TOC2"/>
        <w:tabs>
          <w:tab w:val="left" w:pos="660"/>
          <w:tab w:val="right" w:leader="dot" w:pos="7927"/>
        </w:tabs>
        <w:rPr>
          <w:rFonts w:ascii="Calibri" w:hAnsi="Calibri"/>
          <w:noProof/>
          <w:sz w:val="22"/>
          <w:szCs w:val="22"/>
          <w:lang w:eastAsia="it-IT"/>
        </w:rPr>
      </w:pPr>
      <w:hyperlink w:anchor="_Toc285266417" w:history="1">
        <w:r w:rsidRPr="001C420F">
          <w:rPr>
            <w:rStyle w:val="Hyperlink"/>
            <w:noProof/>
            <w:spacing w:val="-2"/>
          </w:rPr>
          <w:t>3.</w:t>
        </w:r>
        <w:r w:rsidRPr="001C420F">
          <w:rPr>
            <w:rFonts w:ascii="Calibri" w:hAnsi="Calibri"/>
            <w:noProof/>
            <w:sz w:val="22"/>
            <w:szCs w:val="22"/>
            <w:lang w:eastAsia="it-IT"/>
          </w:rPr>
          <w:tab/>
        </w:r>
        <w:r w:rsidRPr="001C420F">
          <w:rPr>
            <w:rStyle w:val="Hyperlink"/>
            <w:noProof/>
          </w:rPr>
          <w:t>Retribuzione e principi costituzionali: la sufficienza.</w:t>
        </w:r>
        <w:r w:rsidRPr="001C420F">
          <w:rPr>
            <w:noProof/>
            <w:webHidden/>
          </w:rPr>
          <w:tab/>
        </w:r>
        <w:r w:rsidRPr="001C420F">
          <w:rPr>
            <w:noProof/>
            <w:webHidden/>
          </w:rPr>
          <w:fldChar w:fldCharType="begin"/>
        </w:r>
        <w:r w:rsidRPr="001C420F">
          <w:rPr>
            <w:noProof/>
            <w:webHidden/>
          </w:rPr>
          <w:instrText xml:space="preserve"> PAGEREF _Toc285266417 \h </w:instrText>
        </w:r>
        <w:r>
          <w:rPr>
            <w:noProof/>
          </w:rPr>
        </w:r>
        <w:r w:rsidRPr="001C420F">
          <w:rPr>
            <w:noProof/>
            <w:webHidden/>
          </w:rPr>
          <w:fldChar w:fldCharType="separate"/>
        </w:r>
        <w:r>
          <w:rPr>
            <w:noProof/>
            <w:webHidden/>
          </w:rPr>
          <w:t>18</w:t>
        </w:r>
        <w:r w:rsidRPr="001C420F">
          <w:rPr>
            <w:noProof/>
            <w:webHidden/>
          </w:rPr>
          <w:fldChar w:fldCharType="end"/>
        </w:r>
      </w:hyperlink>
    </w:p>
    <w:p w:rsidR="00BD2278" w:rsidRPr="001C420F" w:rsidRDefault="00BD2278">
      <w:pPr>
        <w:pStyle w:val="TOC2"/>
        <w:tabs>
          <w:tab w:val="left" w:pos="660"/>
          <w:tab w:val="right" w:leader="dot" w:pos="7927"/>
        </w:tabs>
        <w:rPr>
          <w:rFonts w:ascii="Calibri" w:hAnsi="Calibri"/>
          <w:noProof/>
          <w:sz w:val="22"/>
          <w:szCs w:val="22"/>
          <w:lang w:eastAsia="it-IT"/>
        </w:rPr>
      </w:pPr>
      <w:hyperlink w:anchor="_Toc285266418" w:history="1">
        <w:r w:rsidRPr="001C420F">
          <w:rPr>
            <w:rStyle w:val="Hyperlink"/>
            <w:noProof/>
            <w:spacing w:val="-2"/>
          </w:rPr>
          <w:t>4.</w:t>
        </w:r>
        <w:r w:rsidRPr="001C420F">
          <w:rPr>
            <w:rFonts w:ascii="Calibri" w:hAnsi="Calibri"/>
            <w:noProof/>
            <w:sz w:val="22"/>
            <w:szCs w:val="22"/>
            <w:lang w:eastAsia="it-IT"/>
          </w:rPr>
          <w:tab/>
        </w:r>
        <w:r w:rsidRPr="001C420F">
          <w:rPr>
            <w:rStyle w:val="Hyperlink"/>
            <w:noProof/>
          </w:rPr>
          <w:t>Retribuzione e principi costituzionali: la proporzionalità.</w:t>
        </w:r>
        <w:r w:rsidRPr="001C420F">
          <w:rPr>
            <w:noProof/>
            <w:webHidden/>
          </w:rPr>
          <w:tab/>
        </w:r>
        <w:r w:rsidRPr="001C420F">
          <w:rPr>
            <w:noProof/>
            <w:webHidden/>
          </w:rPr>
          <w:fldChar w:fldCharType="begin"/>
        </w:r>
        <w:r w:rsidRPr="001C420F">
          <w:rPr>
            <w:noProof/>
            <w:webHidden/>
          </w:rPr>
          <w:instrText xml:space="preserve"> PAGEREF _Toc285266418 \h </w:instrText>
        </w:r>
        <w:r>
          <w:rPr>
            <w:noProof/>
          </w:rPr>
        </w:r>
        <w:r w:rsidRPr="001C420F">
          <w:rPr>
            <w:noProof/>
            <w:webHidden/>
          </w:rPr>
          <w:fldChar w:fldCharType="separate"/>
        </w:r>
        <w:r>
          <w:rPr>
            <w:noProof/>
            <w:webHidden/>
          </w:rPr>
          <w:t>23</w:t>
        </w:r>
        <w:r w:rsidRPr="001C420F">
          <w:rPr>
            <w:noProof/>
            <w:webHidden/>
          </w:rPr>
          <w:fldChar w:fldCharType="end"/>
        </w:r>
      </w:hyperlink>
    </w:p>
    <w:p w:rsidR="00BD2278" w:rsidRPr="001C420F" w:rsidRDefault="00BD2278">
      <w:pPr>
        <w:pStyle w:val="TOC2"/>
        <w:tabs>
          <w:tab w:val="left" w:pos="660"/>
          <w:tab w:val="right" w:leader="dot" w:pos="7927"/>
        </w:tabs>
        <w:rPr>
          <w:rFonts w:ascii="Calibri" w:hAnsi="Calibri"/>
          <w:noProof/>
          <w:sz w:val="22"/>
          <w:szCs w:val="22"/>
          <w:lang w:eastAsia="it-IT"/>
        </w:rPr>
      </w:pPr>
      <w:hyperlink w:anchor="_Toc285266419" w:history="1">
        <w:r w:rsidRPr="001C420F">
          <w:rPr>
            <w:rStyle w:val="Hyperlink"/>
            <w:noProof/>
            <w:spacing w:val="-2"/>
          </w:rPr>
          <w:t>5.</w:t>
        </w:r>
        <w:r w:rsidRPr="001C420F">
          <w:rPr>
            <w:rFonts w:ascii="Calibri" w:hAnsi="Calibri"/>
            <w:noProof/>
            <w:sz w:val="22"/>
            <w:szCs w:val="22"/>
            <w:lang w:eastAsia="it-IT"/>
          </w:rPr>
          <w:tab/>
        </w:r>
        <w:r w:rsidRPr="001C420F">
          <w:rPr>
            <w:rStyle w:val="Hyperlink"/>
            <w:noProof/>
          </w:rPr>
          <w:t>Retribuzione e principi costituzionali: la parità di trattamento.</w:t>
        </w:r>
        <w:r w:rsidRPr="001C420F">
          <w:rPr>
            <w:noProof/>
            <w:webHidden/>
          </w:rPr>
          <w:tab/>
        </w:r>
        <w:r w:rsidRPr="001C420F">
          <w:rPr>
            <w:noProof/>
            <w:webHidden/>
          </w:rPr>
          <w:fldChar w:fldCharType="begin"/>
        </w:r>
        <w:r w:rsidRPr="001C420F">
          <w:rPr>
            <w:noProof/>
            <w:webHidden/>
          </w:rPr>
          <w:instrText xml:space="preserve"> PAGEREF _Toc285266419 \h </w:instrText>
        </w:r>
        <w:r>
          <w:rPr>
            <w:noProof/>
          </w:rPr>
        </w:r>
        <w:r w:rsidRPr="001C420F">
          <w:rPr>
            <w:noProof/>
            <w:webHidden/>
          </w:rPr>
          <w:fldChar w:fldCharType="separate"/>
        </w:r>
        <w:r>
          <w:rPr>
            <w:noProof/>
            <w:webHidden/>
          </w:rPr>
          <w:t>27</w:t>
        </w:r>
        <w:r w:rsidRPr="001C420F">
          <w:rPr>
            <w:noProof/>
            <w:webHidden/>
          </w:rPr>
          <w:fldChar w:fldCharType="end"/>
        </w:r>
      </w:hyperlink>
    </w:p>
    <w:p w:rsidR="00BD2278" w:rsidRPr="001C420F" w:rsidRDefault="00BD2278">
      <w:pPr>
        <w:pStyle w:val="TOC2"/>
        <w:tabs>
          <w:tab w:val="left" w:pos="880"/>
          <w:tab w:val="right" w:leader="dot" w:pos="7927"/>
        </w:tabs>
        <w:rPr>
          <w:rFonts w:ascii="Calibri" w:hAnsi="Calibri"/>
          <w:noProof/>
          <w:sz w:val="22"/>
          <w:szCs w:val="22"/>
          <w:lang w:eastAsia="it-IT"/>
        </w:rPr>
      </w:pPr>
      <w:hyperlink w:anchor="_Toc285266420" w:history="1">
        <w:r w:rsidRPr="001C420F">
          <w:rPr>
            <w:rStyle w:val="Hyperlink"/>
            <w:noProof/>
          </w:rPr>
          <w:t>5.1</w:t>
        </w:r>
        <w:r w:rsidRPr="001C420F">
          <w:rPr>
            <w:rFonts w:ascii="Calibri" w:hAnsi="Calibri"/>
            <w:noProof/>
            <w:sz w:val="22"/>
            <w:szCs w:val="22"/>
            <w:lang w:eastAsia="it-IT"/>
          </w:rPr>
          <w:tab/>
        </w:r>
        <w:r w:rsidRPr="001C420F">
          <w:rPr>
            <w:rStyle w:val="Hyperlink"/>
            <w:noProof/>
          </w:rPr>
          <w:t>La parità di trattamento e i limiti all’autonomia individuale.</w:t>
        </w:r>
        <w:r w:rsidRPr="001C420F">
          <w:rPr>
            <w:noProof/>
            <w:webHidden/>
          </w:rPr>
          <w:tab/>
        </w:r>
        <w:r w:rsidRPr="001C420F">
          <w:rPr>
            <w:noProof/>
            <w:webHidden/>
          </w:rPr>
          <w:fldChar w:fldCharType="begin"/>
        </w:r>
        <w:r w:rsidRPr="001C420F">
          <w:rPr>
            <w:noProof/>
            <w:webHidden/>
          </w:rPr>
          <w:instrText xml:space="preserve"> PAGEREF _Toc285266420 \h </w:instrText>
        </w:r>
        <w:r>
          <w:rPr>
            <w:noProof/>
          </w:rPr>
        </w:r>
        <w:r w:rsidRPr="001C420F">
          <w:rPr>
            <w:noProof/>
            <w:webHidden/>
          </w:rPr>
          <w:fldChar w:fldCharType="separate"/>
        </w:r>
        <w:r>
          <w:rPr>
            <w:noProof/>
            <w:webHidden/>
          </w:rPr>
          <w:t>41</w:t>
        </w:r>
        <w:r w:rsidRPr="001C420F">
          <w:rPr>
            <w:noProof/>
            <w:webHidden/>
          </w:rPr>
          <w:fldChar w:fldCharType="end"/>
        </w:r>
      </w:hyperlink>
    </w:p>
    <w:p w:rsidR="00BD2278" w:rsidRPr="001C420F" w:rsidRDefault="00BD2278">
      <w:pPr>
        <w:pStyle w:val="TOC2"/>
        <w:tabs>
          <w:tab w:val="left" w:pos="880"/>
          <w:tab w:val="right" w:leader="dot" w:pos="7927"/>
        </w:tabs>
        <w:rPr>
          <w:rFonts w:ascii="Calibri" w:hAnsi="Calibri"/>
          <w:noProof/>
          <w:sz w:val="22"/>
          <w:szCs w:val="22"/>
          <w:lang w:eastAsia="it-IT"/>
        </w:rPr>
      </w:pPr>
      <w:hyperlink w:anchor="_Toc285266421" w:history="1">
        <w:r w:rsidRPr="001C420F">
          <w:rPr>
            <w:rStyle w:val="Hyperlink"/>
            <w:noProof/>
          </w:rPr>
          <w:t>5.2.</w:t>
        </w:r>
        <w:r w:rsidRPr="001C420F">
          <w:rPr>
            <w:rFonts w:ascii="Calibri" w:hAnsi="Calibri"/>
            <w:noProof/>
            <w:sz w:val="22"/>
            <w:szCs w:val="22"/>
            <w:lang w:eastAsia="it-IT"/>
          </w:rPr>
          <w:tab/>
        </w:r>
        <w:r w:rsidRPr="001C420F">
          <w:rPr>
            <w:rStyle w:val="Hyperlink"/>
            <w:noProof/>
          </w:rPr>
          <w:t>La parità di trattamento e i limiti all’autonomia collettiva.</w:t>
        </w:r>
        <w:r w:rsidRPr="001C420F">
          <w:rPr>
            <w:noProof/>
            <w:webHidden/>
          </w:rPr>
          <w:tab/>
        </w:r>
        <w:r w:rsidRPr="001C420F">
          <w:rPr>
            <w:noProof/>
            <w:webHidden/>
          </w:rPr>
          <w:fldChar w:fldCharType="begin"/>
        </w:r>
        <w:r w:rsidRPr="001C420F">
          <w:rPr>
            <w:noProof/>
            <w:webHidden/>
          </w:rPr>
          <w:instrText xml:space="preserve"> PAGEREF _Toc285266421 \h </w:instrText>
        </w:r>
        <w:r>
          <w:rPr>
            <w:noProof/>
          </w:rPr>
        </w:r>
        <w:r w:rsidRPr="001C420F">
          <w:rPr>
            <w:noProof/>
            <w:webHidden/>
          </w:rPr>
          <w:fldChar w:fldCharType="separate"/>
        </w:r>
        <w:r>
          <w:rPr>
            <w:noProof/>
            <w:webHidden/>
          </w:rPr>
          <w:t>48</w:t>
        </w:r>
        <w:r w:rsidRPr="001C420F">
          <w:rPr>
            <w:noProof/>
            <w:webHidden/>
          </w:rPr>
          <w:fldChar w:fldCharType="end"/>
        </w:r>
      </w:hyperlink>
    </w:p>
    <w:p w:rsidR="00BD2278" w:rsidRPr="001C420F" w:rsidRDefault="00BD2278">
      <w:pPr>
        <w:pStyle w:val="TOC2"/>
        <w:tabs>
          <w:tab w:val="left" w:pos="880"/>
          <w:tab w:val="right" w:leader="dot" w:pos="7927"/>
        </w:tabs>
        <w:rPr>
          <w:rFonts w:ascii="Calibri" w:hAnsi="Calibri"/>
          <w:noProof/>
          <w:sz w:val="22"/>
          <w:szCs w:val="22"/>
          <w:lang w:eastAsia="it-IT"/>
        </w:rPr>
      </w:pPr>
      <w:hyperlink w:anchor="_Toc285266422" w:history="1">
        <w:r w:rsidRPr="001C420F">
          <w:rPr>
            <w:rStyle w:val="Hyperlink"/>
            <w:noProof/>
          </w:rPr>
          <w:t>5.3.</w:t>
        </w:r>
        <w:r w:rsidRPr="001C420F">
          <w:rPr>
            <w:rFonts w:ascii="Calibri" w:hAnsi="Calibri"/>
            <w:noProof/>
            <w:sz w:val="22"/>
            <w:szCs w:val="22"/>
            <w:lang w:eastAsia="it-IT"/>
          </w:rPr>
          <w:tab/>
        </w:r>
        <w:r w:rsidRPr="001C420F">
          <w:rPr>
            <w:rStyle w:val="Hyperlink"/>
            <w:noProof/>
          </w:rPr>
          <w:t>L’attualità della questione della parità di trattamento.</w:t>
        </w:r>
        <w:r w:rsidRPr="001C420F">
          <w:rPr>
            <w:noProof/>
            <w:webHidden/>
          </w:rPr>
          <w:tab/>
        </w:r>
        <w:r w:rsidRPr="001C420F">
          <w:rPr>
            <w:noProof/>
            <w:webHidden/>
          </w:rPr>
          <w:fldChar w:fldCharType="begin"/>
        </w:r>
        <w:r w:rsidRPr="001C420F">
          <w:rPr>
            <w:noProof/>
            <w:webHidden/>
          </w:rPr>
          <w:instrText xml:space="preserve"> PAGEREF _Toc285266422 \h </w:instrText>
        </w:r>
        <w:r>
          <w:rPr>
            <w:noProof/>
          </w:rPr>
        </w:r>
        <w:r w:rsidRPr="001C420F">
          <w:rPr>
            <w:noProof/>
            <w:webHidden/>
          </w:rPr>
          <w:fldChar w:fldCharType="separate"/>
        </w:r>
        <w:r>
          <w:rPr>
            <w:noProof/>
            <w:webHidden/>
          </w:rPr>
          <w:t>51</w:t>
        </w:r>
        <w:r w:rsidRPr="001C420F">
          <w:rPr>
            <w:noProof/>
            <w:webHidden/>
          </w:rPr>
          <w:fldChar w:fldCharType="end"/>
        </w:r>
      </w:hyperlink>
    </w:p>
    <w:p w:rsidR="00BD2278" w:rsidRPr="001C420F" w:rsidRDefault="00BD2278">
      <w:pPr>
        <w:pStyle w:val="TOC2"/>
        <w:tabs>
          <w:tab w:val="left" w:pos="660"/>
          <w:tab w:val="right" w:leader="dot" w:pos="7927"/>
        </w:tabs>
        <w:rPr>
          <w:rFonts w:ascii="Calibri" w:hAnsi="Calibri"/>
          <w:noProof/>
          <w:sz w:val="22"/>
          <w:szCs w:val="22"/>
          <w:lang w:eastAsia="it-IT"/>
        </w:rPr>
      </w:pPr>
      <w:hyperlink w:anchor="_Toc285266423" w:history="1">
        <w:r w:rsidRPr="001C420F">
          <w:rPr>
            <w:rStyle w:val="Hyperlink"/>
            <w:noProof/>
          </w:rPr>
          <w:t>6.</w:t>
        </w:r>
        <w:r w:rsidRPr="001C420F">
          <w:rPr>
            <w:rFonts w:ascii="Calibri" w:hAnsi="Calibri"/>
            <w:noProof/>
            <w:sz w:val="22"/>
            <w:szCs w:val="22"/>
            <w:lang w:eastAsia="it-IT"/>
          </w:rPr>
          <w:tab/>
        </w:r>
        <w:r w:rsidRPr="001C420F">
          <w:rPr>
            <w:rStyle w:val="Hyperlink"/>
            <w:noProof/>
          </w:rPr>
          <w:t>Il procedimento di adeguamento.</w:t>
        </w:r>
        <w:r w:rsidRPr="001C420F">
          <w:rPr>
            <w:noProof/>
            <w:webHidden/>
          </w:rPr>
          <w:tab/>
        </w:r>
        <w:r w:rsidRPr="001C420F">
          <w:rPr>
            <w:noProof/>
            <w:webHidden/>
          </w:rPr>
          <w:fldChar w:fldCharType="begin"/>
        </w:r>
        <w:r w:rsidRPr="001C420F">
          <w:rPr>
            <w:noProof/>
            <w:webHidden/>
          </w:rPr>
          <w:instrText xml:space="preserve"> PAGEREF _Toc285266423 \h </w:instrText>
        </w:r>
        <w:r>
          <w:rPr>
            <w:noProof/>
          </w:rPr>
        </w:r>
        <w:r w:rsidRPr="001C420F">
          <w:rPr>
            <w:noProof/>
            <w:webHidden/>
          </w:rPr>
          <w:fldChar w:fldCharType="separate"/>
        </w:r>
        <w:r>
          <w:rPr>
            <w:noProof/>
            <w:webHidden/>
          </w:rPr>
          <w:t>54</w:t>
        </w:r>
        <w:r w:rsidRPr="001C420F">
          <w:rPr>
            <w:noProof/>
            <w:webHidden/>
          </w:rPr>
          <w:fldChar w:fldCharType="end"/>
        </w:r>
      </w:hyperlink>
    </w:p>
    <w:p w:rsidR="00BD2278" w:rsidRPr="001C420F" w:rsidRDefault="00BD2278">
      <w:pPr>
        <w:pStyle w:val="TOC2"/>
        <w:tabs>
          <w:tab w:val="left" w:pos="660"/>
          <w:tab w:val="right" w:leader="dot" w:pos="7927"/>
        </w:tabs>
        <w:rPr>
          <w:rFonts w:ascii="Calibri" w:hAnsi="Calibri"/>
          <w:noProof/>
          <w:sz w:val="22"/>
          <w:szCs w:val="22"/>
          <w:lang w:eastAsia="it-IT"/>
        </w:rPr>
      </w:pPr>
      <w:hyperlink w:anchor="_Toc285266424" w:history="1">
        <w:r w:rsidRPr="001C420F">
          <w:rPr>
            <w:rStyle w:val="Hyperlink"/>
            <w:noProof/>
          </w:rPr>
          <w:t>7.</w:t>
        </w:r>
        <w:r w:rsidRPr="001C420F">
          <w:rPr>
            <w:rFonts w:ascii="Calibri" w:hAnsi="Calibri"/>
            <w:noProof/>
            <w:sz w:val="22"/>
            <w:szCs w:val="22"/>
            <w:lang w:eastAsia="it-IT"/>
          </w:rPr>
          <w:tab/>
        </w:r>
        <w:r w:rsidRPr="001C420F">
          <w:rPr>
            <w:rStyle w:val="Hyperlink"/>
            <w:noProof/>
          </w:rPr>
          <w:t>La natura della decisione.</w:t>
        </w:r>
        <w:r w:rsidRPr="001C420F">
          <w:rPr>
            <w:noProof/>
            <w:webHidden/>
          </w:rPr>
          <w:tab/>
        </w:r>
        <w:r w:rsidRPr="001C420F">
          <w:rPr>
            <w:noProof/>
            <w:webHidden/>
          </w:rPr>
          <w:fldChar w:fldCharType="begin"/>
        </w:r>
        <w:r w:rsidRPr="001C420F">
          <w:rPr>
            <w:noProof/>
            <w:webHidden/>
          </w:rPr>
          <w:instrText xml:space="preserve"> PAGEREF _Toc285266424 \h </w:instrText>
        </w:r>
        <w:r>
          <w:rPr>
            <w:noProof/>
          </w:rPr>
        </w:r>
        <w:r w:rsidRPr="001C420F">
          <w:rPr>
            <w:noProof/>
            <w:webHidden/>
          </w:rPr>
          <w:fldChar w:fldCharType="separate"/>
        </w:r>
        <w:r>
          <w:rPr>
            <w:noProof/>
            <w:webHidden/>
          </w:rPr>
          <w:t>57</w:t>
        </w:r>
        <w:r w:rsidRPr="001C420F">
          <w:rPr>
            <w:noProof/>
            <w:webHidden/>
          </w:rPr>
          <w:fldChar w:fldCharType="end"/>
        </w:r>
      </w:hyperlink>
    </w:p>
    <w:p w:rsidR="00BD2278" w:rsidRPr="001C420F" w:rsidRDefault="00BD2278">
      <w:pPr>
        <w:pStyle w:val="TOC2"/>
        <w:tabs>
          <w:tab w:val="left" w:pos="660"/>
          <w:tab w:val="right" w:leader="dot" w:pos="7927"/>
        </w:tabs>
        <w:rPr>
          <w:rFonts w:ascii="Calibri" w:hAnsi="Calibri"/>
          <w:noProof/>
          <w:sz w:val="22"/>
          <w:szCs w:val="22"/>
          <w:lang w:eastAsia="it-IT"/>
        </w:rPr>
      </w:pPr>
      <w:hyperlink w:anchor="_Toc285266425" w:history="1">
        <w:r w:rsidRPr="001C420F">
          <w:rPr>
            <w:rStyle w:val="Hyperlink"/>
            <w:noProof/>
          </w:rPr>
          <w:t>8.</w:t>
        </w:r>
        <w:r w:rsidRPr="001C420F">
          <w:rPr>
            <w:rFonts w:ascii="Calibri" w:hAnsi="Calibri"/>
            <w:noProof/>
            <w:sz w:val="22"/>
            <w:szCs w:val="22"/>
            <w:lang w:eastAsia="it-IT"/>
          </w:rPr>
          <w:tab/>
        </w:r>
        <w:r w:rsidRPr="001C420F">
          <w:rPr>
            <w:rStyle w:val="Hyperlink"/>
            <w:noProof/>
          </w:rPr>
          <w:t>I criteri di determinazione giudiziale della retribuzione sufficiente: le condizioni economiche e territoriali e la dimensione dell’impresa.</w:t>
        </w:r>
        <w:r w:rsidRPr="001C420F">
          <w:rPr>
            <w:noProof/>
            <w:webHidden/>
          </w:rPr>
          <w:tab/>
        </w:r>
        <w:r w:rsidRPr="001C420F">
          <w:rPr>
            <w:noProof/>
            <w:webHidden/>
          </w:rPr>
          <w:fldChar w:fldCharType="begin"/>
        </w:r>
        <w:r w:rsidRPr="001C420F">
          <w:rPr>
            <w:noProof/>
            <w:webHidden/>
          </w:rPr>
          <w:instrText xml:space="preserve"> PAGEREF _Toc285266425 \h </w:instrText>
        </w:r>
        <w:r>
          <w:rPr>
            <w:noProof/>
          </w:rPr>
        </w:r>
        <w:r w:rsidRPr="001C420F">
          <w:rPr>
            <w:noProof/>
            <w:webHidden/>
          </w:rPr>
          <w:fldChar w:fldCharType="separate"/>
        </w:r>
        <w:r>
          <w:rPr>
            <w:noProof/>
            <w:webHidden/>
          </w:rPr>
          <w:t>58</w:t>
        </w:r>
        <w:r w:rsidRPr="001C420F">
          <w:rPr>
            <w:noProof/>
            <w:webHidden/>
          </w:rPr>
          <w:fldChar w:fldCharType="end"/>
        </w:r>
      </w:hyperlink>
    </w:p>
    <w:p w:rsidR="00BD2278" w:rsidRPr="001C420F" w:rsidRDefault="00BD2278">
      <w:pPr>
        <w:pStyle w:val="TOC1"/>
        <w:tabs>
          <w:tab w:val="right" w:leader="dot" w:pos="7927"/>
        </w:tabs>
        <w:rPr>
          <w:rStyle w:val="Hyperlink"/>
          <w:noProof/>
          <w:u w:val="none"/>
        </w:rPr>
      </w:pPr>
    </w:p>
    <w:p w:rsidR="00BD2278" w:rsidRPr="001C420F" w:rsidRDefault="00BD2278">
      <w:pPr>
        <w:pStyle w:val="TOC1"/>
        <w:tabs>
          <w:tab w:val="right" w:leader="dot" w:pos="7927"/>
        </w:tabs>
        <w:rPr>
          <w:rStyle w:val="Hyperlink"/>
          <w:noProof/>
          <w:u w:val="none"/>
        </w:rPr>
      </w:pPr>
    </w:p>
    <w:p w:rsidR="00BD2278" w:rsidRPr="001C420F" w:rsidRDefault="00BD2278">
      <w:pPr>
        <w:pStyle w:val="TOC1"/>
        <w:tabs>
          <w:tab w:val="right" w:leader="dot" w:pos="7927"/>
        </w:tabs>
        <w:rPr>
          <w:rFonts w:ascii="Calibri" w:hAnsi="Calibri"/>
          <w:noProof/>
          <w:sz w:val="22"/>
          <w:szCs w:val="22"/>
          <w:lang w:eastAsia="it-IT"/>
        </w:rPr>
      </w:pPr>
      <w:r w:rsidRPr="001C420F">
        <w:rPr>
          <w:rStyle w:val="Hyperlink"/>
          <w:noProof/>
          <w:color w:val="000000"/>
          <w:u w:val="none"/>
        </w:rPr>
        <w:t xml:space="preserve">CAPITOLO II - </w:t>
      </w:r>
      <w:hyperlink w:anchor="_Toc285266426" w:history="1">
        <w:r w:rsidRPr="006C4265">
          <w:rPr>
            <w:rStyle w:val="Hyperlink"/>
            <w:b/>
            <w:noProof/>
            <w:u w:val="none"/>
          </w:rPr>
          <w:t>Retribuzione ed assetto della contrattazione</w:t>
        </w:r>
        <w:r w:rsidRPr="001C420F">
          <w:rPr>
            <w:noProof/>
            <w:webHidden/>
          </w:rPr>
          <w:tab/>
        </w:r>
        <w:r w:rsidRPr="001C420F">
          <w:rPr>
            <w:noProof/>
            <w:webHidden/>
          </w:rPr>
          <w:fldChar w:fldCharType="begin"/>
        </w:r>
        <w:r w:rsidRPr="001C420F">
          <w:rPr>
            <w:noProof/>
            <w:webHidden/>
          </w:rPr>
          <w:instrText xml:space="preserve"> PAGEREF _Toc285266426 \h </w:instrText>
        </w:r>
        <w:r>
          <w:rPr>
            <w:noProof/>
          </w:rPr>
        </w:r>
        <w:r w:rsidRPr="001C420F">
          <w:rPr>
            <w:noProof/>
            <w:webHidden/>
          </w:rPr>
          <w:fldChar w:fldCharType="separate"/>
        </w:r>
        <w:r>
          <w:rPr>
            <w:noProof/>
            <w:webHidden/>
          </w:rPr>
          <w:t>62</w:t>
        </w:r>
        <w:r w:rsidRPr="001C420F">
          <w:rPr>
            <w:noProof/>
            <w:webHidden/>
          </w:rPr>
          <w:fldChar w:fldCharType="end"/>
        </w:r>
      </w:hyperlink>
    </w:p>
    <w:p w:rsidR="00BD2278" w:rsidRPr="001C420F" w:rsidRDefault="00BD2278">
      <w:pPr>
        <w:pStyle w:val="TOC2"/>
        <w:tabs>
          <w:tab w:val="left" w:pos="660"/>
          <w:tab w:val="right" w:leader="dot" w:pos="7927"/>
        </w:tabs>
        <w:rPr>
          <w:rFonts w:ascii="Calibri" w:hAnsi="Calibri"/>
          <w:noProof/>
          <w:sz w:val="22"/>
          <w:szCs w:val="22"/>
          <w:lang w:eastAsia="it-IT"/>
        </w:rPr>
      </w:pPr>
      <w:hyperlink w:anchor="_Toc285266427" w:history="1">
        <w:r w:rsidRPr="001C420F">
          <w:rPr>
            <w:rStyle w:val="Hyperlink"/>
            <w:noProof/>
          </w:rPr>
          <w:t>1.</w:t>
        </w:r>
        <w:r w:rsidRPr="001C420F">
          <w:rPr>
            <w:rFonts w:ascii="Calibri" w:hAnsi="Calibri"/>
            <w:noProof/>
            <w:sz w:val="22"/>
            <w:szCs w:val="22"/>
            <w:lang w:eastAsia="it-IT"/>
          </w:rPr>
          <w:tab/>
        </w:r>
        <w:r w:rsidRPr="001C420F">
          <w:rPr>
            <w:rStyle w:val="Hyperlink"/>
            <w:noProof/>
          </w:rPr>
          <w:t>Retribuzione e assetto della contrattazione.</w:t>
        </w:r>
        <w:r w:rsidRPr="001C420F">
          <w:rPr>
            <w:noProof/>
            <w:webHidden/>
          </w:rPr>
          <w:tab/>
        </w:r>
        <w:r w:rsidRPr="001C420F">
          <w:rPr>
            <w:noProof/>
            <w:webHidden/>
          </w:rPr>
          <w:fldChar w:fldCharType="begin"/>
        </w:r>
        <w:r w:rsidRPr="001C420F">
          <w:rPr>
            <w:noProof/>
            <w:webHidden/>
          </w:rPr>
          <w:instrText xml:space="preserve"> PAGEREF _Toc285266427 \h </w:instrText>
        </w:r>
        <w:r>
          <w:rPr>
            <w:noProof/>
          </w:rPr>
        </w:r>
        <w:r w:rsidRPr="001C420F">
          <w:rPr>
            <w:noProof/>
            <w:webHidden/>
          </w:rPr>
          <w:fldChar w:fldCharType="separate"/>
        </w:r>
        <w:r>
          <w:rPr>
            <w:noProof/>
            <w:webHidden/>
          </w:rPr>
          <w:t>62</w:t>
        </w:r>
        <w:r w:rsidRPr="001C420F">
          <w:rPr>
            <w:noProof/>
            <w:webHidden/>
          </w:rPr>
          <w:fldChar w:fldCharType="end"/>
        </w:r>
      </w:hyperlink>
    </w:p>
    <w:p w:rsidR="00BD2278" w:rsidRPr="001C420F" w:rsidRDefault="00BD2278">
      <w:pPr>
        <w:pStyle w:val="TOC2"/>
        <w:tabs>
          <w:tab w:val="left" w:pos="660"/>
          <w:tab w:val="right" w:leader="dot" w:pos="7927"/>
        </w:tabs>
        <w:rPr>
          <w:rFonts w:ascii="Calibri" w:hAnsi="Calibri"/>
          <w:noProof/>
          <w:sz w:val="22"/>
          <w:szCs w:val="22"/>
          <w:lang w:eastAsia="it-IT"/>
        </w:rPr>
      </w:pPr>
      <w:hyperlink w:anchor="_Toc285266428" w:history="1">
        <w:r w:rsidRPr="001C420F">
          <w:rPr>
            <w:rStyle w:val="Hyperlink"/>
            <w:noProof/>
          </w:rPr>
          <w:t>2.</w:t>
        </w:r>
        <w:r w:rsidRPr="001C420F">
          <w:rPr>
            <w:rFonts w:ascii="Calibri" w:hAnsi="Calibri"/>
            <w:noProof/>
            <w:sz w:val="22"/>
            <w:szCs w:val="22"/>
            <w:lang w:eastAsia="it-IT"/>
          </w:rPr>
          <w:tab/>
        </w:r>
        <w:r w:rsidRPr="001C420F">
          <w:rPr>
            <w:rStyle w:val="Hyperlink"/>
            <w:noProof/>
          </w:rPr>
          <w:t>La riforma degli assetti contrattuali: il ruolo del contratto nazionale e la funzione di garanzia della certezza dei trattamenti economici.</w:t>
        </w:r>
        <w:r w:rsidRPr="001C420F">
          <w:rPr>
            <w:noProof/>
            <w:webHidden/>
          </w:rPr>
          <w:tab/>
        </w:r>
        <w:r w:rsidRPr="001C420F">
          <w:rPr>
            <w:noProof/>
            <w:webHidden/>
          </w:rPr>
          <w:fldChar w:fldCharType="begin"/>
        </w:r>
        <w:r w:rsidRPr="001C420F">
          <w:rPr>
            <w:noProof/>
            <w:webHidden/>
          </w:rPr>
          <w:instrText xml:space="preserve"> PAGEREF _Toc285266428 \h </w:instrText>
        </w:r>
        <w:r>
          <w:rPr>
            <w:noProof/>
          </w:rPr>
        </w:r>
        <w:r w:rsidRPr="001C420F">
          <w:rPr>
            <w:noProof/>
            <w:webHidden/>
          </w:rPr>
          <w:fldChar w:fldCharType="separate"/>
        </w:r>
        <w:r>
          <w:rPr>
            <w:noProof/>
            <w:webHidden/>
          </w:rPr>
          <w:t>71</w:t>
        </w:r>
        <w:r w:rsidRPr="001C420F">
          <w:rPr>
            <w:noProof/>
            <w:webHidden/>
          </w:rPr>
          <w:fldChar w:fldCharType="end"/>
        </w:r>
      </w:hyperlink>
    </w:p>
    <w:p w:rsidR="00BD2278" w:rsidRPr="001C420F" w:rsidRDefault="00BD2278">
      <w:pPr>
        <w:pStyle w:val="TOC2"/>
        <w:tabs>
          <w:tab w:val="left" w:pos="660"/>
          <w:tab w:val="right" w:leader="dot" w:pos="7927"/>
        </w:tabs>
        <w:rPr>
          <w:rFonts w:ascii="Calibri" w:hAnsi="Calibri"/>
          <w:noProof/>
          <w:sz w:val="22"/>
          <w:szCs w:val="22"/>
          <w:lang w:eastAsia="it-IT"/>
        </w:rPr>
      </w:pPr>
      <w:hyperlink w:anchor="_Toc285266429" w:history="1">
        <w:r w:rsidRPr="001C420F">
          <w:rPr>
            <w:rStyle w:val="Hyperlink"/>
            <w:noProof/>
          </w:rPr>
          <w:t>3.</w:t>
        </w:r>
        <w:r w:rsidRPr="001C420F">
          <w:rPr>
            <w:rFonts w:ascii="Calibri" w:hAnsi="Calibri"/>
            <w:noProof/>
            <w:sz w:val="22"/>
            <w:szCs w:val="22"/>
            <w:lang w:eastAsia="it-IT"/>
          </w:rPr>
          <w:tab/>
        </w:r>
        <w:r w:rsidRPr="001C420F">
          <w:rPr>
            <w:rStyle w:val="Hyperlink"/>
            <w:noProof/>
          </w:rPr>
          <w:t>La contrattazione di secondo livello. La contrattazione aziendale e il premio variabile.</w:t>
        </w:r>
        <w:r w:rsidRPr="001C420F">
          <w:rPr>
            <w:noProof/>
            <w:webHidden/>
          </w:rPr>
          <w:tab/>
        </w:r>
        <w:r w:rsidRPr="001C420F">
          <w:rPr>
            <w:noProof/>
            <w:webHidden/>
          </w:rPr>
          <w:fldChar w:fldCharType="begin"/>
        </w:r>
        <w:r w:rsidRPr="001C420F">
          <w:rPr>
            <w:noProof/>
            <w:webHidden/>
          </w:rPr>
          <w:instrText xml:space="preserve"> PAGEREF _Toc285266429 \h </w:instrText>
        </w:r>
        <w:r>
          <w:rPr>
            <w:noProof/>
          </w:rPr>
        </w:r>
        <w:r w:rsidRPr="001C420F">
          <w:rPr>
            <w:noProof/>
            <w:webHidden/>
          </w:rPr>
          <w:fldChar w:fldCharType="separate"/>
        </w:r>
        <w:r>
          <w:rPr>
            <w:noProof/>
            <w:webHidden/>
          </w:rPr>
          <w:t>79</w:t>
        </w:r>
        <w:r w:rsidRPr="001C420F">
          <w:rPr>
            <w:noProof/>
            <w:webHidden/>
          </w:rPr>
          <w:fldChar w:fldCharType="end"/>
        </w:r>
      </w:hyperlink>
    </w:p>
    <w:p w:rsidR="00BD2278" w:rsidRPr="001C420F" w:rsidRDefault="00BD2278">
      <w:pPr>
        <w:pStyle w:val="TOC2"/>
        <w:tabs>
          <w:tab w:val="left" w:pos="660"/>
          <w:tab w:val="right" w:leader="dot" w:pos="7927"/>
        </w:tabs>
        <w:rPr>
          <w:rFonts w:ascii="Calibri" w:hAnsi="Calibri"/>
          <w:noProof/>
          <w:sz w:val="22"/>
          <w:szCs w:val="22"/>
          <w:lang w:eastAsia="it-IT"/>
        </w:rPr>
      </w:pPr>
      <w:hyperlink w:anchor="_Toc285266430" w:history="1">
        <w:r w:rsidRPr="001C420F">
          <w:rPr>
            <w:rStyle w:val="Hyperlink"/>
            <w:noProof/>
          </w:rPr>
          <w:t>4.</w:t>
        </w:r>
        <w:r w:rsidRPr="001C420F">
          <w:rPr>
            <w:rFonts w:ascii="Calibri" w:hAnsi="Calibri"/>
            <w:noProof/>
            <w:sz w:val="22"/>
            <w:szCs w:val="22"/>
            <w:lang w:eastAsia="it-IT"/>
          </w:rPr>
          <w:tab/>
        </w:r>
        <w:r w:rsidRPr="001C420F">
          <w:rPr>
            <w:rStyle w:val="Hyperlink"/>
            <w:noProof/>
          </w:rPr>
          <w:t>La riforma degli assetti contrattuali: i rapporti tra diversi livelli e il fenomeno della contrattazione aziendale separata.</w:t>
        </w:r>
        <w:r w:rsidRPr="001C420F">
          <w:rPr>
            <w:noProof/>
            <w:webHidden/>
          </w:rPr>
          <w:tab/>
        </w:r>
        <w:r w:rsidRPr="001C420F">
          <w:rPr>
            <w:noProof/>
            <w:webHidden/>
          </w:rPr>
          <w:fldChar w:fldCharType="begin"/>
        </w:r>
        <w:r w:rsidRPr="001C420F">
          <w:rPr>
            <w:noProof/>
            <w:webHidden/>
          </w:rPr>
          <w:instrText xml:space="preserve"> PAGEREF _Toc285266430 \h </w:instrText>
        </w:r>
        <w:r>
          <w:rPr>
            <w:noProof/>
          </w:rPr>
        </w:r>
        <w:r w:rsidRPr="001C420F">
          <w:rPr>
            <w:noProof/>
            <w:webHidden/>
          </w:rPr>
          <w:fldChar w:fldCharType="separate"/>
        </w:r>
        <w:r>
          <w:rPr>
            <w:noProof/>
            <w:webHidden/>
          </w:rPr>
          <w:t>84</w:t>
        </w:r>
        <w:r w:rsidRPr="001C420F">
          <w:rPr>
            <w:noProof/>
            <w:webHidden/>
          </w:rPr>
          <w:fldChar w:fldCharType="end"/>
        </w:r>
      </w:hyperlink>
    </w:p>
    <w:p w:rsidR="00BD2278" w:rsidRPr="001C420F" w:rsidRDefault="00BD2278">
      <w:pPr>
        <w:pStyle w:val="TOC2"/>
        <w:tabs>
          <w:tab w:val="left" w:pos="660"/>
          <w:tab w:val="right" w:leader="dot" w:pos="7927"/>
        </w:tabs>
        <w:rPr>
          <w:rFonts w:ascii="Calibri" w:hAnsi="Calibri"/>
          <w:noProof/>
          <w:sz w:val="22"/>
          <w:szCs w:val="22"/>
          <w:lang w:eastAsia="it-IT"/>
        </w:rPr>
      </w:pPr>
      <w:hyperlink w:anchor="_Toc285266431" w:history="1">
        <w:r w:rsidRPr="001C420F">
          <w:rPr>
            <w:rStyle w:val="Hyperlink"/>
            <w:noProof/>
          </w:rPr>
          <w:t>5.</w:t>
        </w:r>
        <w:r w:rsidRPr="001C420F">
          <w:rPr>
            <w:rFonts w:ascii="Calibri" w:hAnsi="Calibri"/>
            <w:noProof/>
            <w:sz w:val="22"/>
            <w:szCs w:val="22"/>
            <w:lang w:eastAsia="it-IT"/>
          </w:rPr>
          <w:tab/>
        </w:r>
        <w:r w:rsidRPr="001C420F">
          <w:rPr>
            <w:rStyle w:val="Hyperlink"/>
            <w:noProof/>
          </w:rPr>
          <w:t>La riforma degli assetti contrattuali: L’elemento di garanzia retributiva.</w:t>
        </w:r>
        <w:r w:rsidRPr="001C420F">
          <w:rPr>
            <w:noProof/>
            <w:webHidden/>
          </w:rPr>
          <w:tab/>
        </w:r>
        <w:r w:rsidRPr="001C420F">
          <w:rPr>
            <w:noProof/>
            <w:webHidden/>
          </w:rPr>
          <w:fldChar w:fldCharType="begin"/>
        </w:r>
        <w:r w:rsidRPr="001C420F">
          <w:rPr>
            <w:noProof/>
            <w:webHidden/>
          </w:rPr>
          <w:instrText xml:space="preserve"> PAGEREF _Toc285266431 \h </w:instrText>
        </w:r>
        <w:r>
          <w:rPr>
            <w:noProof/>
          </w:rPr>
        </w:r>
        <w:r w:rsidRPr="001C420F">
          <w:rPr>
            <w:noProof/>
            <w:webHidden/>
          </w:rPr>
          <w:fldChar w:fldCharType="separate"/>
        </w:r>
        <w:r>
          <w:rPr>
            <w:noProof/>
            <w:webHidden/>
          </w:rPr>
          <w:t>86</w:t>
        </w:r>
        <w:r w:rsidRPr="001C420F">
          <w:rPr>
            <w:noProof/>
            <w:webHidden/>
          </w:rPr>
          <w:fldChar w:fldCharType="end"/>
        </w:r>
      </w:hyperlink>
    </w:p>
    <w:p w:rsidR="00BD2278" w:rsidRPr="001C420F" w:rsidRDefault="00BD2278">
      <w:pPr>
        <w:pStyle w:val="TOC1"/>
        <w:tabs>
          <w:tab w:val="right" w:leader="dot" w:pos="7927"/>
        </w:tabs>
        <w:rPr>
          <w:rStyle w:val="Hyperlink"/>
          <w:noProof/>
        </w:rPr>
      </w:pPr>
    </w:p>
    <w:p w:rsidR="00BD2278" w:rsidRPr="001C420F" w:rsidRDefault="00BD2278">
      <w:pPr>
        <w:pStyle w:val="TOC1"/>
        <w:tabs>
          <w:tab w:val="right" w:leader="dot" w:pos="7927"/>
        </w:tabs>
        <w:rPr>
          <w:rStyle w:val="Hyperlink"/>
          <w:noProof/>
        </w:rPr>
      </w:pPr>
    </w:p>
    <w:p w:rsidR="00BD2278" w:rsidRPr="001C420F" w:rsidRDefault="00BD2278">
      <w:pPr>
        <w:pStyle w:val="TOC1"/>
        <w:tabs>
          <w:tab w:val="right" w:leader="dot" w:pos="7927"/>
        </w:tabs>
        <w:rPr>
          <w:rFonts w:ascii="Calibri" w:hAnsi="Calibri"/>
          <w:noProof/>
          <w:sz w:val="22"/>
          <w:szCs w:val="22"/>
          <w:lang w:eastAsia="it-IT"/>
        </w:rPr>
      </w:pPr>
      <w:r w:rsidRPr="001C420F">
        <w:rPr>
          <w:rStyle w:val="Hyperlink"/>
          <w:noProof/>
          <w:color w:val="000000"/>
          <w:u w:val="none"/>
        </w:rPr>
        <w:t>CAPITOLO III -</w:t>
      </w:r>
      <w:r w:rsidRPr="001C420F">
        <w:rPr>
          <w:rStyle w:val="Hyperlink"/>
          <w:noProof/>
          <w:u w:val="none"/>
        </w:rPr>
        <w:t xml:space="preserve"> </w:t>
      </w:r>
      <w:hyperlink w:anchor="_Toc285266432" w:history="1">
        <w:r w:rsidRPr="006C4265">
          <w:rPr>
            <w:rStyle w:val="Hyperlink"/>
            <w:b/>
            <w:noProof/>
            <w:u w:val="none"/>
          </w:rPr>
          <w:t>I sistemi retributivi</w:t>
        </w:r>
        <w:r w:rsidRPr="001C420F">
          <w:rPr>
            <w:noProof/>
            <w:webHidden/>
          </w:rPr>
          <w:tab/>
        </w:r>
        <w:r w:rsidRPr="001C420F">
          <w:rPr>
            <w:noProof/>
            <w:webHidden/>
          </w:rPr>
          <w:fldChar w:fldCharType="begin"/>
        </w:r>
        <w:r w:rsidRPr="001C420F">
          <w:rPr>
            <w:noProof/>
            <w:webHidden/>
          </w:rPr>
          <w:instrText xml:space="preserve"> PAGEREF _Toc285266432 \h </w:instrText>
        </w:r>
        <w:r>
          <w:rPr>
            <w:noProof/>
          </w:rPr>
        </w:r>
        <w:r w:rsidRPr="001C420F">
          <w:rPr>
            <w:noProof/>
            <w:webHidden/>
          </w:rPr>
          <w:fldChar w:fldCharType="separate"/>
        </w:r>
        <w:r>
          <w:rPr>
            <w:noProof/>
            <w:webHidden/>
          </w:rPr>
          <w:t>91</w:t>
        </w:r>
        <w:r w:rsidRPr="001C420F">
          <w:rPr>
            <w:noProof/>
            <w:webHidden/>
          </w:rPr>
          <w:fldChar w:fldCharType="end"/>
        </w:r>
      </w:hyperlink>
    </w:p>
    <w:p w:rsidR="00BD2278" w:rsidRPr="001C420F" w:rsidRDefault="00BD2278">
      <w:pPr>
        <w:pStyle w:val="TOC2"/>
        <w:tabs>
          <w:tab w:val="left" w:pos="660"/>
          <w:tab w:val="right" w:leader="dot" w:pos="7927"/>
        </w:tabs>
        <w:rPr>
          <w:rFonts w:ascii="Calibri" w:hAnsi="Calibri"/>
          <w:noProof/>
          <w:sz w:val="22"/>
          <w:szCs w:val="22"/>
          <w:lang w:eastAsia="it-IT"/>
        </w:rPr>
      </w:pPr>
      <w:hyperlink w:anchor="_Toc285266433" w:history="1">
        <w:r w:rsidRPr="001C420F">
          <w:rPr>
            <w:rStyle w:val="Hyperlink"/>
            <w:noProof/>
          </w:rPr>
          <w:t>1.</w:t>
        </w:r>
        <w:r w:rsidRPr="001C420F">
          <w:rPr>
            <w:rFonts w:ascii="Calibri" w:hAnsi="Calibri"/>
            <w:noProof/>
            <w:sz w:val="22"/>
            <w:szCs w:val="22"/>
            <w:lang w:eastAsia="it-IT"/>
          </w:rPr>
          <w:tab/>
        </w:r>
        <w:r w:rsidRPr="001C420F">
          <w:rPr>
            <w:rStyle w:val="Hyperlink"/>
            <w:noProof/>
          </w:rPr>
          <w:t>La retribuzione ad economia.</w:t>
        </w:r>
        <w:r w:rsidRPr="001C420F">
          <w:rPr>
            <w:noProof/>
            <w:webHidden/>
          </w:rPr>
          <w:tab/>
        </w:r>
        <w:r w:rsidRPr="001C420F">
          <w:rPr>
            <w:noProof/>
            <w:webHidden/>
          </w:rPr>
          <w:fldChar w:fldCharType="begin"/>
        </w:r>
        <w:r w:rsidRPr="001C420F">
          <w:rPr>
            <w:noProof/>
            <w:webHidden/>
          </w:rPr>
          <w:instrText xml:space="preserve"> PAGEREF _Toc285266433 \h </w:instrText>
        </w:r>
        <w:r>
          <w:rPr>
            <w:noProof/>
          </w:rPr>
        </w:r>
        <w:r w:rsidRPr="001C420F">
          <w:rPr>
            <w:noProof/>
            <w:webHidden/>
          </w:rPr>
          <w:fldChar w:fldCharType="separate"/>
        </w:r>
        <w:r>
          <w:rPr>
            <w:noProof/>
            <w:webHidden/>
          </w:rPr>
          <w:t>91</w:t>
        </w:r>
        <w:r w:rsidRPr="001C420F">
          <w:rPr>
            <w:noProof/>
            <w:webHidden/>
          </w:rPr>
          <w:fldChar w:fldCharType="end"/>
        </w:r>
      </w:hyperlink>
    </w:p>
    <w:p w:rsidR="00BD2278" w:rsidRPr="001C420F" w:rsidRDefault="00BD2278">
      <w:pPr>
        <w:pStyle w:val="TOC2"/>
        <w:tabs>
          <w:tab w:val="left" w:pos="660"/>
          <w:tab w:val="right" w:leader="dot" w:pos="7927"/>
        </w:tabs>
        <w:rPr>
          <w:rFonts w:ascii="Calibri" w:hAnsi="Calibri"/>
          <w:noProof/>
          <w:sz w:val="22"/>
          <w:szCs w:val="22"/>
          <w:lang w:eastAsia="it-IT"/>
        </w:rPr>
      </w:pPr>
      <w:hyperlink w:anchor="_Toc285266434" w:history="1">
        <w:r w:rsidRPr="001C420F">
          <w:rPr>
            <w:rStyle w:val="Hyperlink"/>
            <w:noProof/>
          </w:rPr>
          <w:t>2.</w:t>
        </w:r>
        <w:r w:rsidRPr="001C420F">
          <w:rPr>
            <w:rFonts w:ascii="Calibri" w:hAnsi="Calibri"/>
            <w:noProof/>
            <w:sz w:val="22"/>
            <w:szCs w:val="22"/>
            <w:lang w:eastAsia="it-IT"/>
          </w:rPr>
          <w:tab/>
        </w:r>
        <w:r w:rsidRPr="001C420F">
          <w:rPr>
            <w:rStyle w:val="Hyperlink"/>
            <w:noProof/>
          </w:rPr>
          <w:t>Sistemi retributivi incentivanti: il cottimo.</w:t>
        </w:r>
        <w:r w:rsidRPr="001C420F">
          <w:rPr>
            <w:noProof/>
            <w:webHidden/>
          </w:rPr>
          <w:tab/>
        </w:r>
        <w:r w:rsidRPr="001C420F">
          <w:rPr>
            <w:noProof/>
            <w:webHidden/>
          </w:rPr>
          <w:fldChar w:fldCharType="begin"/>
        </w:r>
        <w:r w:rsidRPr="001C420F">
          <w:rPr>
            <w:noProof/>
            <w:webHidden/>
          </w:rPr>
          <w:instrText xml:space="preserve"> PAGEREF _Toc285266434 \h </w:instrText>
        </w:r>
        <w:r>
          <w:rPr>
            <w:noProof/>
          </w:rPr>
        </w:r>
        <w:r w:rsidRPr="001C420F">
          <w:rPr>
            <w:noProof/>
            <w:webHidden/>
          </w:rPr>
          <w:fldChar w:fldCharType="separate"/>
        </w:r>
        <w:r>
          <w:rPr>
            <w:noProof/>
            <w:webHidden/>
          </w:rPr>
          <w:t>94</w:t>
        </w:r>
        <w:r w:rsidRPr="001C420F">
          <w:rPr>
            <w:noProof/>
            <w:webHidden/>
          </w:rPr>
          <w:fldChar w:fldCharType="end"/>
        </w:r>
      </w:hyperlink>
    </w:p>
    <w:p w:rsidR="00BD2278" w:rsidRPr="001C420F" w:rsidRDefault="00BD2278">
      <w:pPr>
        <w:pStyle w:val="TOC2"/>
        <w:tabs>
          <w:tab w:val="left" w:pos="660"/>
          <w:tab w:val="right" w:leader="dot" w:pos="7927"/>
        </w:tabs>
        <w:rPr>
          <w:rFonts w:ascii="Calibri" w:hAnsi="Calibri"/>
          <w:noProof/>
          <w:sz w:val="22"/>
          <w:szCs w:val="22"/>
          <w:lang w:eastAsia="it-IT"/>
        </w:rPr>
      </w:pPr>
      <w:hyperlink w:anchor="_Toc285266435" w:history="1">
        <w:r w:rsidRPr="001C420F">
          <w:rPr>
            <w:rStyle w:val="Hyperlink"/>
            <w:noProof/>
          </w:rPr>
          <w:t>3.</w:t>
        </w:r>
        <w:r w:rsidRPr="001C420F">
          <w:rPr>
            <w:rFonts w:ascii="Calibri" w:hAnsi="Calibri"/>
            <w:noProof/>
            <w:sz w:val="22"/>
            <w:szCs w:val="22"/>
            <w:lang w:eastAsia="it-IT"/>
          </w:rPr>
          <w:tab/>
        </w:r>
        <w:r w:rsidRPr="001C420F">
          <w:rPr>
            <w:rStyle w:val="Hyperlink"/>
            <w:noProof/>
          </w:rPr>
          <w:t>Sistemi retributivi incentivanti: i premi di produzione.</w:t>
        </w:r>
        <w:r w:rsidRPr="001C420F">
          <w:rPr>
            <w:noProof/>
            <w:webHidden/>
          </w:rPr>
          <w:tab/>
        </w:r>
        <w:r w:rsidRPr="001C420F">
          <w:rPr>
            <w:noProof/>
            <w:webHidden/>
          </w:rPr>
          <w:fldChar w:fldCharType="begin"/>
        </w:r>
        <w:r w:rsidRPr="001C420F">
          <w:rPr>
            <w:noProof/>
            <w:webHidden/>
          </w:rPr>
          <w:instrText xml:space="preserve"> PAGEREF _Toc285266435 \h </w:instrText>
        </w:r>
        <w:r>
          <w:rPr>
            <w:noProof/>
          </w:rPr>
        </w:r>
        <w:r w:rsidRPr="001C420F">
          <w:rPr>
            <w:noProof/>
            <w:webHidden/>
          </w:rPr>
          <w:fldChar w:fldCharType="separate"/>
        </w:r>
        <w:r>
          <w:rPr>
            <w:noProof/>
            <w:webHidden/>
          </w:rPr>
          <w:t>98</w:t>
        </w:r>
        <w:r w:rsidRPr="001C420F">
          <w:rPr>
            <w:noProof/>
            <w:webHidden/>
          </w:rPr>
          <w:fldChar w:fldCharType="end"/>
        </w:r>
      </w:hyperlink>
    </w:p>
    <w:p w:rsidR="00BD2278" w:rsidRPr="001C420F" w:rsidRDefault="00BD2278">
      <w:pPr>
        <w:pStyle w:val="TOC2"/>
        <w:tabs>
          <w:tab w:val="left" w:pos="660"/>
          <w:tab w:val="right" w:leader="dot" w:pos="7927"/>
        </w:tabs>
        <w:rPr>
          <w:rFonts w:ascii="Calibri" w:hAnsi="Calibri"/>
          <w:noProof/>
          <w:sz w:val="22"/>
          <w:szCs w:val="22"/>
          <w:lang w:eastAsia="it-IT"/>
        </w:rPr>
      </w:pPr>
      <w:hyperlink w:anchor="_Toc285266436" w:history="1">
        <w:r w:rsidRPr="001C420F">
          <w:rPr>
            <w:rStyle w:val="Hyperlink"/>
            <w:noProof/>
          </w:rPr>
          <w:t>4.</w:t>
        </w:r>
        <w:r w:rsidRPr="001C420F">
          <w:rPr>
            <w:rFonts w:ascii="Calibri" w:hAnsi="Calibri"/>
            <w:noProof/>
            <w:sz w:val="22"/>
            <w:szCs w:val="22"/>
            <w:lang w:eastAsia="it-IT"/>
          </w:rPr>
          <w:tab/>
        </w:r>
        <w:r w:rsidRPr="001C420F">
          <w:rPr>
            <w:rStyle w:val="Hyperlink"/>
            <w:noProof/>
          </w:rPr>
          <w:t>Sistemi retributivi incentivanti: la retribuzione variabile e i premi di risultato.</w:t>
        </w:r>
        <w:r w:rsidRPr="001C420F">
          <w:rPr>
            <w:noProof/>
            <w:webHidden/>
          </w:rPr>
          <w:tab/>
        </w:r>
        <w:r w:rsidRPr="001C420F">
          <w:rPr>
            <w:noProof/>
            <w:webHidden/>
          </w:rPr>
          <w:fldChar w:fldCharType="begin"/>
        </w:r>
        <w:r w:rsidRPr="001C420F">
          <w:rPr>
            <w:noProof/>
            <w:webHidden/>
          </w:rPr>
          <w:instrText xml:space="preserve"> PAGEREF _Toc285266436 \h </w:instrText>
        </w:r>
        <w:r>
          <w:rPr>
            <w:noProof/>
          </w:rPr>
        </w:r>
        <w:r w:rsidRPr="001C420F">
          <w:rPr>
            <w:noProof/>
            <w:webHidden/>
          </w:rPr>
          <w:fldChar w:fldCharType="separate"/>
        </w:r>
        <w:r>
          <w:rPr>
            <w:noProof/>
            <w:webHidden/>
          </w:rPr>
          <w:t>100</w:t>
        </w:r>
        <w:r w:rsidRPr="001C420F">
          <w:rPr>
            <w:noProof/>
            <w:webHidden/>
          </w:rPr>
          <w:fldChar w:fldCharType="end"/>
        </w:r>
      </w:hyperlink>
    </w:p>
    <w:p w:rsidR="00BD2278" w:rsidRPr="001C420F" w:rsidRDefault="00BD2278">
      <w:pPr>
        <w:pStyle w:val="TOC2"/>
        <w:tabs>
          <w:tab w:val="left" w:pos="660"/>
          <w:tab w:val="right" w:leader="dot" w:pos="7927"/>
        </w:tabs>
        <w:rPr>
          <w:rFonts w:ascii="Calibri" w:hAnsi="Calibri"/>
          <w:noProof/>
          <w:sz w:val="22"/>
          <w:szCs w:val="22"/>
          <w:lang w:eastAsia="it-IT"/>
        </w:rPr>
      </w:pPr>
      <w:hyperlink w:anchor="_Toc285266437" w:history="1">
        <w:r w:rsidRPr="001C420F">
          <w:rPr>
            <w:rStyle w:val="Hyperlink"/>
            <w:noProof/>
          </w:rPr>
          <w:t>5.</w:t>
        </w:r>
        <w:r w:rsidRPr="001C420F">
          <w:rPr>
            <w:rFonts w:ascii="Calibri" w:hAnsi="Calibri"/>
            <w:noProof/>
            <w:sz w:val="22"/>
            <w:szCs w:val="22"/>
            <w:lang w:eastAsia="it-IT"/>
          </w:rPr>
          <w:tab/>
        </w:r>
        <w:r w:rsidRPr="001C420F">
          <w:rPr>
            <w:rStyle w:val="Hyperlink"/>
            <w:noProof/>
          </w:rPr>
          <w:t>Meriti e premi nel pubblico impiego: cenni.</w:t>
        </w:r>
        <w:r w:rsidRPr="001C420F">
          <w:rPr>
            <w:noProof/>
            <w:webHidden/>
          </w:rPr>
          <w:tab/>
        </w:r>
        <w:r w:rsidRPr="001C420F">
          <w:rPr>
            <w:noProof/>
            <w:webHidden/>
          </w:rPr>
          <w:fldChar w:fldCharType="begin"/>
        </w:r>
        <w:r w:rsidRPr="001C420F">
          <w:rPr>
            <w:noProof/>
            <w:webHidden/>
          </w:rPr>
          <w:instrText xml:space="preserve"> PAGEREF _Toc285266437 \h </w:instrText>
        </w:r>
        <w:r>
          <w:rPr>
            <w:noProof/>
          </w:rPr>
        </w:r>
        <w:r w:rsidRPr="001C420F">
          <w:rPr>
            <w:noProof/>
            <w:webHidden/>
          </w:rPr>
          <w:fldChar w:fldCharType="separate"/>
        </w:r>
        <w:r>
          <w:rPr>
            <w:noProof/>
            <w:webHidden/>
          </w:rPr>
          <w:t>105</w:t>
        </w:r>
        <w:r w:rsidRPr="001C420F">
          <w:rPr>
            <w:noProof/>
            <w:webHidden/>
          </w:rPr>
          <w:fldChar w:fldCharType="end"/>
        </w:r>
      </w:hyperlink>
    </w:p>
    <w:p w:rsidR="00BD2278" w:rsidRPr="001C420F" w:rsidRDefault="00BD2278">
      <w:pPr>
        <w:pStyle w:val="TOC1"/>
        <w:tabs>
          <w:tab w:val="right" w:leader="dot" w:pos="7927"/>
        </w:tabs>
        <w:rPr>
          <w:rFonts w:ascii="Calibri" w:hAnsi="Calibri"/>
          <w:noProof/>
          <w:sz w:val="22"/>
          <w:szCs w:val="22"/>
          <w:lang w:eastAsia="it-IT"/>
        </w:rPr>
      </w:pPr>
      <w:hyperlink w:anchor="_Toc285266438" w:history="1">
        <w:r w:rsidRPr="001C420F">
          <w:rPr>
            <w:rStyle w:val="Hyperlink"/>
            <w:noProof/>
          </w:rPr>
          <w:t>Bibliografia</w:t>
        </w:r>
        <w:r w:rsidRPr="001C420F">
          <w:rPr>
            <w:noProof/>
            <w:webHidden/>
          </w:rPr>
          <w:tab/>
        </w:r>
        <w:r w:rsidRPr="001C420F">
          <w:rPr>
            <w:noProof/>
            <w:webHidden/>
          </w:rPr>
          <w:fldChar w:fldCharType="begin"/>
        </w:r>
        <w:r w:rsidRPr="001C420F">
          <w:rPr>
            <w:noProof/>
            <w:webHidden/>
          </w:rPr>
          <w:instrText xml:space="preserve"> PAGEREF _Toc285266438 \h </w:instrText>
        </w:r>
        <w:r>
          <w:rPr>
            <w:noProof/>
          </w:rPr>
        </w:r>
        <w:r w:rsidRPr="001C420F">
          <w:rPr>
            <w:noProof/>
            <w:webHidden/>
          </w:rPr>
          <w:fldChar w:fldCharType="separate"/>
        </w:r>
        <w:r>
          <w:rPr>
            <w:noProof/>
            <w:webHidden/>
          </w:rPr>
          <w:t>112</w:t>
        </w:r>
        <w:r w:rsidRPr="001C420F">
          <w:rPr>
            <w:noProof/>
            <w:webHidden/>
          </w:rPr>
          <w:fldChar w:fldCharType="end"/>
        </w:r>
      </w:hyperlink>
    </w:p>
    <w:p w:rsidR="00BD2278" w:rsidRDefault="00BD2278">
      <w:r>
        <w:fldChar w:fldCharType="end"/>
      </w:r>
    </w:p>
    <w:p w:rsidR="00BD2278" w:rsidRDefault="00BD2278" w:rsidP="004A5FEA">
      <w:pPr>
        <w:pStyle w:val="ListParagraph"/>
        <w:tabs>
          <w:tab w:val="left" w:pos="142"/>
          <w:tab w:val="left" w:pos="709"/>
        </w:tabs>
        <w:ind w:left="0"/>
        <w:jc w:val="center"/>
        <w:rPr>
          <w:sz w:val="28"/>
          <w:szCs w:val="28"/>
        </w:rPr>
      </w:pPr>
    </w:p>
    <w:p w:rsidR="00BD2278" w:rsidRDefault="00BD2278" w:rsidP="004A5FEA">
      <w:pPr>
        <w:pStyle w:val="ListParagraph"/>
        <w:tabs>
          <w:tab w:val="left" w:pos="142"/>
          <w:tab w:val="left" w:pos="709"/>
        </w:tabs>
        <w:ind w:left="0"/>
        <w:jc w:val="center"/>
        <w:rPr>
          <w:sz w:val="28"/>
          <w:szCs w:val="28"/>
        </w:rPr>
      </w:pPr>
    </w:p>
    <w:p w:rsidR="00BD2278" w:rsidRDefault="00BD2278" w:rsidP="004A5FEA">
      <w:pPr>
        <w:pStyle w:val="ListParagraph"/>
        <w:tabs>
          <w:tab w:val="left" w:pos="142"/>
          <w:tab w:val="left" w:pos="709"/>
        </w:tabs>
        <w:ind w:left="0"/>
        <w:jc w:val="center"/>
        <w:rPr>
          <w:sz w:val="28"/>
          <w:szCs w:val="28"/>
        </w:rPr>
      </w:pPr>
    </w:p>
    <w:p w:rsidR="00BD2278" w:rsidRDefault="00BD2278" w:rsidP="004A5FEA">
      <w:pPr>
        <w:pStyle w:val="ListParagraph"/>
        <w:tabs>
          <w:tab w:val="left" w:pos="142"/>
          <w:tab w:val="left" w:pos="709"/>
        </w:tabs>
        <w:ind w:left="0"/>
        <w:jc w:val="center"/>
        <w:rPr>
          <w:sz w:val="28"/>
          <w:szCs w:val="28"/>
        </w:rPr>
      </w:pPr>
    </w:p>
    <w:p w:rsidR="00BD2278" w:rsidRDefault="00BD2278" w:rsidP="004A5FEA">
      <w:pPr>
        <w:pStyle w:val="ListParagraph"/>
        <w:tabs>
          <w:tab w:val="left" w:pos="142"/>
          <w:tab w:val="left" w:pos="709"/>
        </w:tabs>
        <w:ind w:left="0"/>
        <w:jc w:val="center"/>
        <w:rPr>
          <w:sz w:val="28"/>
          <w:szCs w:val="28"/>
        </w:rPr>
      </w:pPr>
    </w:p>
    <w:p w:rsidR="00BD2278" w:rsidRDefault="00BD2278" w:rsidP="004A5FEA">
      <w:pPr>
        <w:pStyle w:val="ListParagraph"/>
        <w:tabs>
          <w:tab w:val="left" w:pos="142"/>
          <w:tab w:val="left" w:pos="709"/>
        </w:tabs>
        <w:ind w:left="0"/>
        <w:jc w:val="center"/>
        <w:rPr>
          <w:sz w:val="28"/>
          <w:szCs w:val="28"/>
        </w:rPr>
      </w:pPr>
    </w:p>
    <w:p w:rsidR="00BD2278" w:rsidRDefault="00BD2278" w:rsidP="004A5FEA">
      <w:pPr>
        <w:pStyle w:val="ListParagraph"/>
        <w:tabs>
          <w:tab w:val="left" w:pos="142"/>
          <w:tab w:val="left" w:pos="709"/>
        </w:tabs>
        <w:ind w:left="0"/>
        <w:jc w:val="center"/>
        <w:rPr>
          <w:sz w:val="28"/>
          <w:szCs w:val="28"/>
        </w:rPr>
      </w:pPr>
    </w:p>
    <w:p w:rsidR="00BD2278" w:rsidRDefault="00BD2278" w:rsidP="004A5FEA">
      <w:pPr>
        <w:pStyle w:val="ListParagraph"/>
        <w:tabs>
          <w:tab w:val="left" w:pos="142"/>
          <w:tab w:val="left" w:pos="709"/>
        </w:tabs>
        <w:ind w:left="0"/>
        <w:jc w:val="center"/>
        <w:rPr>
          <w:sz w:val="28"/>
          <w:szCs w:val="28"/>
        </w:rPr>
      </w:pPr>
    </w:p>
    <w:p w:rsidR="00BD2278" w:rsidRDefault="00BD2278" w:rsidP="004A5FEA">
      <w:pPr>
        <w:pStyle w:val="ListParagraph"/>
        <w:tabs>
          <w:tab w:val="left" w:pos="142"/>
          <w:tab w:val="left" w:pos="709"/>
        </w:tabs>
        <w:ind w:left="0"/>
        <w:jc w:val="center"/>
        <w:rPr>
          <w:sz w:val="28"/>
          <w:szCs w:val="28"/>
        </w:rPr>
      </w:pPr>
    </w:p>
    <w:p w:rsidR="00BD2278" w:rsidRDefault="00BD2278" w:rsidP="004A5FEA">
      <w:pPr>
        <w:pStyle w:val="ListParagraph"/>
        <w:tabs>
          <w:tab w:val="left" w:pos="142"/>
          <w:tab w:val="left" w:pos="709"/>
        </w:tabs>
        <w:ind w:left="0"/>
        <w:jc w:val="center"/>
        <w:rPr>
          <w:sz w:val="28"/>
          <w:szCs w:val="28"/>
        </w:rPr>
      </w:pPr>
    </w:p>
    <w:p w:rsidR="00BD2278" w:rsidRDefault="00BD2278" w:rsidP="004A5FEA">
      <w:pPr>
        <w:pStyle w:val="ListParagraph"/>
        <w:tabs>
          <w:tab w:val="left" w:pos="142"/>
          <w:tab w:val="left" w:pos="709"/>
        </w:tabs>
        <w:ind w:left="0"/>
        <w:jc w:val="center"/>
        <w:rPr>
          <w:sz w:val="28"/>
          <w:szCs w:val="28"/>
        </w:rPr>
      </w:pPr>
    </w:p>
    <w:p w:rsidR="00BD2278" w:rsidRPr="005245A4" w:rsidRDefault="00BD2278" w:rsidP="00FE4032">
      <w:pPr>
        <w:pStyle w:val="ListParagraph"/>
        <w:tabs>
          <w:tab w:val="left" w:pos="142"/>
          <w:tab w:val="left" w:pos="709"/>
        </w:tabs>
        <w:ind w:left="0" w:firstLine="284"/>
        <w:jc w:val="center"/>
        <w:rPr>
          <w:sz w:val="28"/>
          <w:szCs w:val="28"/>
        </w:rPr>
      </w:pPr>
      <w:r>
        <w:rPr>
          <w:sz w:val="28"/>
          <w:szCs w:val="28"/>
        </w:rPr>
        <w:br w:type="page"/>
      </w:r>
      <w:r w:rsidRPr="005245A4">
        <w:rPr>
          <w:sz w:val="28"/>
          <w:szCs w:val="28"/>
        </w:rPr>
        <w:t xml:space="preserve">CAPITOLO I </w:t>
      </w:r>
    </w:p>
    <w:p w:rsidR="00BD2278" w:rsidRPr="005245A4" w:rsidRDefault="00BD2278" w:rsidP="00A01E3A">
      <w:pPr>
        <w:pStyle w:val="Titolocapitolo"/>
      </w:pPr>
      <w:bookmarkStart w:id="0" w:name="_Toc285266414"/>
      <w:r w:rsidRPr="005245A4">
        <w:t>Fonti e principi dell’obbligazione retributiva</w:t>
      </w:r>
      <w:bookmarkEnd w:id="0"/>
    </w:p>
    <w:p w:rsidR="00BD2278" w:rsidRPr="00B70CEB" w:rsidRDefault="00BD2278" w:rsidP="00FE4032">
      <w:pPr>
        <w:pStyle w:val="ListParagraph"/>
        <w:keepLines/>
        <w:tabs>
          <w:tab w:val="left" w:pos="142"/>
          <w:tab w:val="left" w:pos="709"/>
        </w:tabs>
        <w:spacing w:before="100" w:beforeAutospacing="1" w:after="100" w:afterAutospacing="1" w:line="240" w:lineRule="auto"/>
        <w:ind w:left="0" w:firstLine="284"/>
        <w:rPr>
          <w:vanish/>
          <w:sz w:val="22"/>
          <w:szCs w:val="22"/>
        </w:rPr>
      </w:pPr>
      <w:r>
        <w:rPr>
          <w:sz w:val="22"/>
          <w:szCs w:val="22"/>
        </w:rPr>
        <w:t xml:space="preserve">Sommario: 1. </w:t>
      </w:r>
      <w:r w:rsidRPr="00B70CEB">
        <w:rPr>
          <w:sz w:val="22"/>
          <w:szCs w:val="22"/>
        </w:rPr>
        <w:t>La retribuzione tra diritto civile e diritto del lavoro.</w:t>
      </w:r>
      <w:r>
        <w:rPr>
          <w:sz w:val="22"/>
          <w:szCs w:val="22"/>
        </w:rPr>
        <w:t xml:space="preserve"> – 2. </w:t>
      </w:r>
      <w:r w:rsidRPr="001D25F6">
        <w:rPr>
          <w:sz w:val="22"/>
          <w:szCs w:val="22"/>
        </w:rPr>
        <w:t xml:space="preserve">La </w:t>
      </w:r>
      <w:r>
        <w:rPr>
          <w:sz w:val="22"/>
          <w:szCs w:val="22"/>
        </w:rPr>
        <w:t xml:space="preserve">nozione di retribuzione. – 3. </w:t>
      </w:r>
    </w:p>
    <w:p w:rsidR="00BD2278" w:rsidRPr="00783474" w:rsidRDefault="00BD2278" w:rsidP="00FE4032">
      <w:pPr>
        <w:pStyle w:val="ListParagraph"/>
        <w:keepLines/>
        <w:numPr>
          <w:ilvl w:val="1"/>
          <w:numId w:val="12"/>
        </w:numPr>
        <w:tabs>
          <w:tab w:val="left" w:pos="142"/>
          <w:tab w:val="left" w:pos="709"/>
        </w:tabs>
        <w:spacing w:before="100" w:beforeAutospacing="1" w:after="100" w:afterAutospacing="1" w:line="240" w:lineRule="auto"/>
        <w:ind w:left="0" w:firstLine="284"/>
        <w:rPr>
          <w:vanish/>
          <w:sz w:val="22"/>
          <w:szCs w:val="22"/>
        </w:rPr>
      </w:pPr>
      <w:r w:rsidRPr="00783474">
        <w:rPr>
          <w:sz w:val="22"/>
          <w:szCs w:val="22"/>
        </w:rPr>
        <w:t xml:space="preserve">Retribuzione e principi costituzionali: la sufficienza. – </w:t>
      </w:r>
      <w:r>
        <w:rPr>
          <w:sz w:val="22"/>
          <w:szCs w:val="22"/>
        </w:rPr>
        <w:t>4</w:t>
      </w:r>
      <w:r w:rsidRPr="00783474">
        <w:rPr>
          <w:sz w:val="22"/>
          <w:szCs w:val="22"/>
        </w:rPr>
        <w:t xml:space="preserve">. Retribuzione e principi costituzionali: la proporzionalità. – </w:t>
      </w:r>
      <w:r>
        <w:rPr>
          <w:sz w:val="22"/>
          <w:szCs w:val="22"/>
        </w:rPr>
        <w:t>5.</w:t>
      </w:r>
    </w:p>
    <w:p w:rsidR="00BD2278" w:rsidRPr="00D4046E" w:rsidRDefault="00BD2278" w:rsidP="00FE4032">
      <w:pPr>
        <w:pStyle w:val="ListParagraph"/>
        <w:keepLines/>
        <w:numPr>
          <w:ilvl w:val="2"/>
          <w:numId w:val="12"/>
        </w:numPr>
        <w:tabs>
          <w:tab w:val="left" w:pos="142"/>
          <w:tab w:val="left" w:pos="709"/>
          <w:tab w:val="left" w:pos="1418"/>
          <w:tab w:val="left" w:pos="1560"/>
        </w:tabs>
        <w:spacing w:before="100" w:beforeAutospacing="1" w:after="100" w:afterAutospacing="1" w:line="240" w:lineRule="auto"/>
        <w:ind w:left="0" w:firstLine="284"/>
        <w:rPr>
          <w:sz w:val="22"/>
          <w:szCs w:val="22"/>
        </w:rPr>
      </w:pPr>
      <w:r w:rsidRPr="00D4046E">
        <w:rPr>
          <w:sz w:val="22"/>
          <w:szCs w:val="22"/>
        </w:rPr>
        <w:t xml:space="preserve"> Retribuzione e principi costituzionali: la parità di trattamento. </w:t>
      </w:r>
      <w:r>
        <w:rPr>
          <w:sz w:val="22"/>
          <w:szCs w:val="22"/>
        </w:rPr>
        <w:t>5</w:t>
      </w:r>
      <w:r w:rsidRPr="00D4046E">
        <w:rPr>
          <w:sz w:val="22"/>
          <w:szCs w:val="22"/>
        </w:rPr>
        <w:t xml:space="preserve">.1. La parità di trattamento e i limiti all’autonomia individuale. – </w:t>
      </w:r>
      <w:r>
        <w:rPr>
          <w:sz w:val="22"/>
          <w:szCs w:val="22"/>
        </w:rPr>
        <w:t>5</w:t>
      </w:r>
      <w:r w:rsidRPr="00D4046E">
        <w:rPr>
          <w:sz w:val="22"/>
          <w:szCs w:val="22"/>
        </w:rPr>
        <w:t xml:space="preserve">.2. La parità di trattamento e i limiti all’autonomia collettiva. – </w:t>
      </w:r>
      <w:r>
        <w:rPr>
          <w:sz w:val="22"/>
          <w:szCs w:val="22"/>
        </w:rPr>
        <w:t>5</w:t>
      </w:r>
      <w:r w:rsidRPr="00D4046E">
        <w:rPr>
          <w:sz w:val="22"/>
          <w:szCs w:val="22"/>
        </w:rPr>
        <w:t>.3. L’attualità della questione della parità di trattamento.</w:t>
      </w:r>
      <w:r>
        <w:rPr>
          <w:sz w:val="22"/>
          <w:szCs w:val="22"/>
        </w:rPr>
        <w:t>- 6</w:t>
      </w:r>
      <w:r w:rsidRPr="00D4046E">
        <w:rPr>
          <w:sz w:val="22"/>
          <w:szCs w:val="22"/>
        </w:rPr>
        <w:t xml:space="preserve">. Il procedimento di adeguamento. – </w:t>
      </w:r>
      <w:r>
        <w:rPr>
          <w:sz w:val="22"/>
          <w:szCs w:val="22"/>
        </w:rPr>
        <w:t>7</w:t>
      </w:r>
      <w:r w:rsidRPr="00D4046E">
        <w:rPr>
          <w:sz w:val="22"/>
          <w:szCs w:val="22"/>
        </w:rPr>
        <w:t>. La natura della decisione.</w:t>
      </w:r>
      <w:r>
        <w:rPr>
          <w:sz w:val="22"/>
          <w:szCs w:val="22"/>
        </w:rPr>
        <w:t xml:space="preserve"> - 8. </w:t>
      </w:r>
      <w:r w:rsidRPr="00D4046E">
        <w:rPr>
          <w:sz w:val="22"/>
          <w:szCs w:val="22"/>
        </w:rPr>
        <w:t>I criteri di determinazione giudiziale della retribuzione sufficiente: le condizioni economiche e territoriali e la dimensione dell’impresa.</w:t>
      </w:r>
    </w:p>
    <w:p w:rsidR="00BD2278" w:rsidRDefault="00BD2278" w:rsidP="00FE4032">
      <w:pPr>
        <w:ind w:firstLine="284"/>
        <w:jc w:val="center"/>
        <w:rPr>
          <w:b/>
          <w:sz w:val="28"/>
          <w:szCs w:val="28"/>
        </w:rPr>
      </w:pPr>
    </w:p>
    <w:p w:rsidR="00BD2278" w:rsidRDefault="00BD2278" w:rsidP="00FE4032">
      <w:pPr>
        <w:ind w:firstLine="284"/>
        <w:jc w:val="center"/>
        <w:rPr>
          <w:b/>
          <w:sz w:val="28"/>
          <w:szCs w:val="28"/>
        </w:rPr>
      </w:pPr>
    </w:p>
    <w:p w:rsidR="00BD2278" w:rsidRPr="00CE7F46" w:rsidRDefault="00BD2278" w:rsidP="00A01E3A">
      <w:pPr>
        <w:pStyle w:val="ListParagraph"/>
        <w:numPr>
          <w:ilvl w:val="1"/>
          <w:numId w:val="8"/>
        </w:numPr>
        <w:ind w:left="0" w:firstLine="284"/>
        <w:outlineLvl w:val="1"/>
        <w:rPr>
          <w:sz w:val="28"/>
          <w:szCs w:val="28"/>
        </w:rPr>
      </w:pPr>
      <w:bookmarkStart w:id="1" w:name="_Toc285266415"/>
      <w:r w:rsidRPr="009B00A7">
        <w:rPr>
          <w:rStyle w:val="TitoloparagrafoCarattere"/>
          <w:i/>
        </w:rPr>
        <w:t>La retribuzione tra diritto civile e diritto del lavoro</w:t>
      </w:r>
      <w:r>
        <w:rPr>
          <w:sz w:val="28"/>
          <w:szCs w:val="28"/>
        </w:rPr>
        <w:t>.</w:t>
      </w:r>
      <w:bookmarkEnd w:id="1"/>
    </w:p>
    <w:p w:rsidR="00BD2278" w:rsidRPr="00783474" w:rsidRDefault="00BD2278" w:rsidP="00FE4032">
      <w:pPr>
        <w:ind w:firstLine="284"/>
        <w:rPr>
          <w:sz w:val="28"/>
          <w:szCs w:val="28"/>
        </w:rPr>
      </w:pPr>
    </w:p>
    <w:p w:rsidR="00BD2278" w:rsidRDefault="00BD2278" w:rsidP="00FE4032">
      <w:pPr>
        <w:ind w:firstLine="284"/>
        <w:rPr>
          <w:sz w:val="28"/>
          <w:szCs w:val="28"/>
        </w:rPr>
      </w:pPr>
      <w:r w:rsidRPr="00EA49B4">
        <w:rPr>
          <w:sz w:val="28"/>
          <w:szCs w:val="28"/>
        </w:rPr>
        <w:t>Chi si ponga alla ricerca del significato dogmatico del concetto di retribuzione e proceda ordinatamente discendendo le fonti del diritto, troverà nell’art. 36 C</w:t>
      </w:r>
      <w:r>
        <w:rPr>
          <w:sz w:val="28"/>
          <w:szCs w:val="28"/>
        </w:rPr>
        <w:t>ost.</w:t>
      </w:r>
      <w:r>
        <w:rPr>
          <w:rStyle w:val="FootnoteReference"/>
          <w:sz w:val="28"/>
          <w:szCs w:val="28"/>
        </w:rPr>
        <w:footnoteReference w:id="1"/>
      </w:r>
      <w:r>
        <w:rPr>
          <w:sz w:val="28"/>
          <w:szCs w:val="28"/>
        </w:rPr>
        <w:t xml:space="preserve"> i primi elementi.</w:t>
      </w:r>
    </w:p>
    <w:p w:rsidR="00BD2278" w:rsidRDefault="00BD2278" w:rsidP="00FE4032">
      <w:pPr>
        <w:ind w:firstLine="284"/>
        <w:rPr>
          <w:sz w:val="28"/>
          <w:szCs w:val="28"/>
        </w:rPr>
      </w:pPr>
      <w:r w:rsidRPr="00EA49B4">
        <w:rPr>
          <w:sz w:val="28"/>
          <w:szCs w:val="28"/>
        </w:rPr>
        <w:t>La retribuzione è anzitutto il mezzo attraverso cui il lavoratore garantisce a sé e alla propria famiglia un’esistenza libera e dignitosa. Tuttavia per trovare una definizione di retribuzione occorre proseguire nella lettura delle fonti fino ad imbattersi nell’art. 2094 c.c.</w:t>
      </w:r>
    </w:p>
    <w:p w:rsidR="00BD2278" w:rsidRPr="00EA49B4" w:rsidRDefault="00BD2278" w:rsidP="00FE4032">
      <w:pPr>
        <w:ind w:firstLine="284"/>
        <w:rPr>
          <w:sz w:val="28"/>
          <w:szCs w:val="28"/>
        </w:rPr>
      </w:pPr>
      <w:r w:rsidRPr="00EA49B4">
        <w:rPr>
          <w:sz w:val="28"/>
          <w:szCs w:val="28"/>
        </w:rPr>
        <w:t>Il fatto che la definizione giurid</w:t>
      </w:r>
      <w:r>
        <w:rPr>
          <w:sz w:val="28"/>
          <w:szCs w:val="28"/>
        </w:rPr>
        <w:t>ica di retribuzione sia legata</w:t>
      </w:r>
      <w:r w:rsidRPr="00EA49B4">
        <w:rPr>
          <w:sz w:val="28"/>
          <w:szCs w:val="28"/>
        </w:rPr>
        <w:t xml:space="preserve"> a quella di lavoratore subordinato lascia intendere come la prima sia intimamente connessa al concetto di subordinazione.</w:t>
      </w:r>
    </w:p>
    <w:p w:rsidR="00BD2278" w:rsidRPr="00EA49B4" w:rsidRDefault="00BD2278" w:rsidP="00FE4032">
      <w:pPr>
        <w:ind w:firstLine="284"/>
        <w:rPr>
          <w:sz w:val="28"/>
          <w:szCs w:val="28"/>
        </w:rPr>
      </w:pPr>
      <w:r w:rsidRPr="00EA49B4">
        <w:rPr>
          <w:sz w:val="28"/>
          <w:szCs w:val="28"/>
        </w:rPr>
        <w:t>La retribuzione è u</w:t>
      </w:r>
      <w:r>
        <w:rPr>
          <w:sz w:val="28"/>
          <w:szCs w:val="28"/>
        </w:rPr>
        <w:t>no degli elementi del rapporto tra</w:t>
      </w:r>
      <w:r w:rsidRPr="00EA49B4">
        <w:rPr>
          <w:sz w:val="28"/>
          <w:szCs w:val="28"/>
        </w:rPr>
        <w:t xml:space="preserve"> prestatore</w:t>
      </w:r>
      <w:r>
        <w:rPr>
          <w:sz w:val="28"/>
          <w:szCs w:val="28"/>
        </w:rPr>
        <w:t xml:space="preserve"> e datore</w:t>
      </w:r>
      <w:r w:rsidRPr="00EA49B4">
        <w:rPr>
          <w:sz w:val="28"/>
          <w:szCs w:val="28"/>
        </w:rPr>
        <w:t xml:space="preserve"> di lavoro e più precisamente costituisce il diritto fondamentale del primo e l’obbligo principale del secondo.</w:t>
      </w:r>
    </w:p>
    <w:p w:rsidR="00BD2278" w:rsidRPr="00EA49B4" w:rsidRDefault="00BD2278" w:rsidP="00FE4032">
      <w:pPr>
        <w:ind w:firstLine="284"/>
        <w:rPr>
          <w:sz w:val="28"/>
          <w:szCs w:val="28"/>
        </w:rPr>
      </w:pPr>
      <w:r w:rsidRPr="00EA49B4">
        <w:rPr>
          <w:sz w:val="28"/>
          <w:szCs w:val="28"/>
        </w:rPr>
        <w:t>Dal lato datoriale la retribuzione si colloca nella categoria delle obbligazioni aventi fonte in un contratto a prestazioni corrispettive e soggiace alla relativa disciplina codicistica (ed in primo luogo agli art. 1176 c.c. sulla diligenza nell’adempimento e 1218 c.c. sulla responsabilità del debitore). In particolare</w:t>
      </w:r>
      <w:r>
        <w:rPr>
          <w:sz w:val="28"/>
          <w:szCs w:val="28"/>
        </w:rPr>
        <w:t>, poiché la retribuzione viene normalmente corrisposta in denaro</w:t>
      </w:r>
      <w:r w:rsidRPr="00EA49B4">
        <w:rPr>
          <w:sz w:val="28"/>
          <w:szCs w:val="28"/>
        </w:rPr>
        <w:t xml:space="preserve">, si applicano gli </w:t>
      </w:r>
      <w:r>
        <w:rPr>
          <w:sz w:val="28"/>
          <w:szCs w:val="28"/>
        </w:rPr>
        <w:t xml:space="preserve">articoli del codice civile che disciplinano </w:t>
      </w:r>
      <w:r w:rsidRPr="00EA49B4">
        <w:rPr>
          <w:sz w:val="28"/>
          <w:szCs w:val="28"/>
        </w:rPr>
        <w:t>le obbligazioni pecuniarie (art. 1277 c.c. e ss)</w:t>
      </w:r>
      <w:r w:rsidRPr="00EA49B4">
        <w:rPr>
          <w:rStyle w:val="FootnoteReference"/>
          <w:sz w:val="28"/>
          <w:szCs w:val="28"/>
        </w:rPr>
        <w:footnoteReference w:id="2"/>
      </w:r>
      <w:r w:rsidRPr="00EA49B4">
        <w:rPr>
          <w:sz w:val="28"/>
          <w:szCs w:val="28"/>
        </w:rPr>
        <w:t>.</w:t>
      </w:r>
    </w:p>
    <w:p w:rsidR="00BD2278" w:rsidRDefault="00BD2278" w:rsidP="00FE4032">
      <w:pPr>
        <w:ind w:firstLine="284"/>
        <w:rPr>
          <w:sz w:val="28"/>
          <w:szCs w:val="28"/>
        </w:rPr>
      </w:pPr>
      <w:r>
        <w:rPr>
          <w:sz w:val="28"/>
          <w:szCs w:val="28"/>
        </w:rPr>
        <w:t>Rispetto a queste ultime, l</w:t>
      </w:r>
      <w:r w:rsidRPr="00EA49B4">
        <w:rPr>
          <w:sz w:val="28"/>
          <w:szCs w:val="28"/>
        </w:rPr>
        <w:t>a retribuzione presenta alcune particolarità derivanti dalla funzione che le è propria e dal fatto di trovare la propria origine nel rapporto di lavoro</w:t>
      </w:r>
      <w:r>
        <w:rPr>
          <w:sz w:val="28"/>
          <w:szCs w:val="28"/>
        </w:rPr>
        <w:t>,</w:t>
      </w:r>
      <w:r w:rsidRPr="00EA49B4">
        <w:rPr>
          <w:sz w:val="28"/>
          <w:szCs w:val="28"/>
        </w:rPr>
        <w:t xml:space="preserve"> le cui fonti sono complesse e di varia natura.</w:t>
      </w:r>
      <w:r>
        <w:rPr>
          <w:sz w:val="28"/>
          <w:szCs w:val="28"/>
        </w:rPr>
        <w:t xml:space="preserve"> La principale conseguenza della complessità delle fonti che la governano consiste nella limitazione dell’autonomia privata individuale nella determinazione dei livelli retributivi, ad opera dell’ autonomia </w:t>
      </w:r>
      <w:r w:rsidRPr="00EA49B4">
        <w:rPr>
          <w:sz w:val="28"/>
          <w:szCs w:val="28"/>
        </w:rPr>
        <w:t>collettiva</w:t>
      </w:r>
      <w:r>
        <w:rPr>
          <w:sz w:val="28"/>
          <w:szCs w:val="28"/>
        </w:rPr>
        <w:t>. Da ciò, unitamente alla comprovata circostanza per cui l’organizzazione sindacale è sorta per regolare i movimenti di rivendicazione salariale</w:t>
      </w:r>
      <w:r>
        <w:rPr>
          <w:rStyle w:val="FootnoteReference"/>
          <w:sz w:val="28"/>
          <w:szCs w:val="28"/>
        </w:rPr>
        <w:footnoteReference w:id="3"/>
      </w:r>
      <w:r>
        <w:rPr>
          <w:sz w:val="28"/>
          <w:szCs w:val="28"/>
        </w:rPr>
        <w:t xml:space="preserve">, si argomenta tradizionalmente per sostenere il legame </w:t>
      </w:r>
      <w:r w:rsidRPr="00EA49B4">
        <w:rPr>
          <w:sz w:val="28"/>
          <w:szCs w:val="28"/>
        </w:rPr>
        <w:t>tra la retribuzione e le regole che governano le relazioni industriali</w:t>
      </w:r>
      <w:r>
        <w:rPr>
          <w:sz w:val="28"/>
          <w:szCs w:val="28"/>
        </w:rPr>
        <w:t>.</w:t>
      </w:r>
    </w:p>
    <w:p w:rsidR="00BD2278" w:rsidRDefault="00BD2278" w:rsidP="00FE4032">
      <w:pPr>
        <w:ind w:firstLine="284"/>
        <w:rPr>
          <w:sz w:val="28"/>
          <w:szCs w:val="28"/>
        </w:rPr>
      </w:pPr>
      <w:r>
        <w:rPr>
          <w:sz w:val="28"/>
          <w:szCs w:val="28"/>
        </w:rPr>
        <w:t>La destinazione</w:t>
      </w:r>
      <w:r w:rsidRPr="00EA49B4">
        <w:rPr>
          <w:sz w:val="28"/>
          <w:szCs w:val="28"/>
        </w:rPr>
        <w:t xml:space="preserve"> della retribuzione</w:t>
      </w:r>
      <w:r>
        <w:rPr>
          <w:sz w:val="28"/>
          <w:szCs w:val="28"/>
        </w:rPr>
        <w:t xml:space="preserve"> a garantire il sostentamento del prestatore di lavoro, costituzionalmente tipizzata all’art. 36</w:t>
      </w:r>
      <w:r w:rsidRPr="00EA49B4">
        <w:rPr>
          <w:rStyle w:val="FootnoteReference"/>
          <w:sz w:val="28"/>
          <w:szCs w:val="28"/>
        </w:rPr>
        <w:footnoteReference w:id="4"/>
      </w:r>
      <w:r>
        <w:rPr>
          <w:sz w:val="28"/>
          <w:szCs w:val="28"/>
        </w:rPr>
        <w:t>, comporta</w:t>
      </w:r>
      <w:r w:rsidRPr="00EA49B4">
        <w:rPr>
          <w:sz w:val="28"/>
          <w:szCs w:val="28"/>
        </w:rPr>
        <w:t xml:space="preserve"> che essa può sussistere anche </w:t>
      </w:r>
      <w:r>
        <w:rPr>
          <w:sz w:val="28"/>
          <w:szCs w:val="28"/>
        </w:rPr>
        <w:t>quando il rapporto sia sospeso o la prestazione impossibile, come nei casi di infortunio, gravidanza e puerperio di cui all’art. 2110 c.c.</w:t>
      </w:r>
      <w:r w:rsidRPr="00EA49B4">
        <w:rPr>
          <w:sz w:val="28"/>
          <w:szCs w:val="28"/>
        </w:rPr>
        <w:t xml:space="preserve"> </w:t>
      </w:r>
      <w:r>
        <w:rPr>
          <w:sz w:val="28"/>
          <w:szCs w:val="28"/>
        </w:rPr>
        <w:t>Per le stesse ragioni il medesimo art. 36 Cost. al terzo comma, prevede la persistenza dell’obbligazione in capo al datore di lavoro anche nel periodo in cui il prestatore fruisce del periodo di ferie.</w:t>
      </w:r>
    </w:p>
    <w:p w:rsidR="00BD2278" w:rsidRDefault="00BD2278" w:rsidP="00FE4032">
      <w:pPr>
        <w:ind w:firstLine="284"/>
        <w:rPr>
          <w:sz w:val="28"/>
          <w:szCs w:val="28"/>
        </w:rPr>
      </w:pPr>
      <w:r>
        <w:rPr>
          <w:sz w:val="28"/>
          <w:szCs w:val="28"/>
        </w:rPr>
        <w:t>La peculiarità della retribuzione rispetto alle altre obbligazioni civilistiche, che si manifesta già al livello delle fonti e si riflette sulla disciplina delle interruzioni della prestazione</w:t>
      </w:r>
      <w:r>
        <w:rPr>
          <w:rStyle w:val="FootnoteReference"/>
          <w:sz w:val="28"/>
          <w:szCs w:val="28"/>
        </w:rPr>
        <w:footnoteReference w:id="5"/>
      </w:r>
      <w:r>
        <w:rPr>
          <w:sz w:val="28"/>
          <w:szCs w:val="28"/>
        </w:rPr>
        <w:t>, è dettata dalla circostanza che tra i rapporti economici disciplinati dalla Costituzione, quello di lavoro attiene non solo all’ “avere” ma anche all’ “essere “ del prestatore</w:t>
      </w:r>
      <w:r w:rsidRPr="00EA49B4">
        <w:rPr>
          <w:rStyle w:val="FootnoteReference"/>
          <w:sz w:val="28"/>
          <w:szCs w:val="28"/>
        </w:rPr>
        <w:footnoteReference w:id="6"/>
      </w:r>
      <w:r>
        <w:rPr>
          <w:sz w:val="28"/>
          <w:szCs w:val="28"/>
        </w:rPr>
        <w:t>.</w:t>
      </w:r>
    </w:p>
    <w:p w:rsidR="00BD2278" w:rsidRDefault="00BD2278" w:rsidP="00FE4032">
      <w:pPr>
        <w:ind w:firstLine="284"/>
        <w:rPr>
          <w:sz w:val="28"/>
          <w:szCs w:val="28"/>
        </w:rPr>
      </w:pPr>
      <w:r>
        <w:rPr>
          <w:sz w:val="28"/>
          <w:szCs w:val="28"/>
        </w:rPr>
        <w:t xml:space="preserve">Altra caratteristica della retribuzione è il suo essere normalmente condizione necessaria del rapporto di lavoro subordinato. </w:t>
      </w:r>
    </w:p>
    <w:p w:rsidR="00BD2278" w:rsidRDefault="00BD2278" w:rsidP="00FE4032">
      <w:pPr>
        <w:ind w:firstLine="284"/>
        <w:rPr>
          <w:sz w:val="28"/>
          <w:szCs w:val="28"/>
        </w:rPr>
      </w:pPr>
      <w:r>
        <w:rPr>
          <w:sz w:val="28"/>
          <w:szCs w:val="28"/>
        </w:rPr>
        <w:t>L</w:t>
      </w:r>
      <w:r w:rsidRPr="00EA49B4">
        <w:rPr>
          <w:sz w:val="28"/>
          <w:szCs w:val="28"/>
        </w:rPr>
        <w:t xml:space="preserve">o schema negoziale tracciato del diritto positivo </w:t>
      </w:r>
      <w:r>
        <w:rPr>
          <w:sz w:val="28"/>
          <w:szCs w:val="28"/>
        </w:rPr>
        <w:t>sembra</w:t>
      </w:r>
      <w:r w:rsidRPr="00EA49B4">
        <w:rPr>
          <w:sz w:val="28"/>
          <w:szCs w:val="28"/>
        </w:rPr>
        <w:t xml:space="preserve"> non lasciare dubbi sul fatto che la prestazione lavorativa imponga a carico del datore l’obbligo di corrispondere la retribuzione. Da ciò si argomenta tradizionalmente a favore di una presunzione atecnica (cioè non fondata sul diritto positivo né sull’</w:t>
      </w:r>
      <w:r w:rsidRPr="00EA49B4">
        <w:rPr>
          <w:i/>
          <w:sz w:val="28"/>
          <w:szCs w:val="28"/>
        </w:rPr>
        <w:t>id quod plerumque accidit</w:t>
      </w:r>
      <w:r w:rsidRPr="00EA49B4">
        <w:rPr>
          <w:sz w:val="28"/>
          <w:szCs w:val="28"/>
        </w:rPr>
        <w:t>) di onerosità del lavoro subordinato</w:t>
      </w:r>
      <w:r w:rsidRPr="00EA49B4">
        <w:rPr>
          <w:rStyle w:val="FootnoteReference"/>
          <w:sz w:val="28"/>
          <w:szCs w:val="28"/>
        </w:rPr>
        <w:footnoteReference w:id="7"/>
      </w:r>
      <w:r w:rsidRPr="00EA49B4">
        <w:rPr>
          <w:sz w:val="28"/>
          <w:szCs w:val="28"/>
        </w:rPr>
        <w:t>. Pertanto</w:t>
      </w:r>
      <w:r>
        <w:rPr>
          <w:sz w:val="28"/>
          <w:szCs w:val="28"/>
        </w:rPr>
        <w:t>,</w:t>
      </w:r>
      <w:r w:rsidRPr="00EA49B4">
        <w:rPr>
          <w:sz w:val="28"/>
          <w:szCs w:val="28"/>
        </w:rPr>
        <w:t xml:space="preserve"> si attribuisce normalmente carattere corrispettivo alla prestazione lavorativa subordinata</w:t>
      </w:r>
      <w:r>
        <w:rPr>
          <w:sz w:val="28"/>
          <w:szCs w:val="28"/>
        </w:rPr>
        <w:t>,</w:t>
      </w:r>
      <w:r w:rsidRPr="00EA49B4">
        <w:rPr>
          <w:sz w:val="28"/>
          <w:szCs w:val="28"/>
        </w:rPr>
        <w:t xml:space="preserve"> fondata sul contratto tipico di lavoro.</w:t>
      </w:r>
    </w:p>
    <w:p w:rsidR="00BD2278" w:rsidRPr="00EA49B4" w:rsidRDefault="00BD2278" w:rsidP="00FE4032">
      <w:pPr>
        <w:ind w:firstLine="284"/>
        <w:rPr>
          <w:sz w:val="28"/>
          <w:szCs w:val="28"/>
        </w:rPr>
      </w:pPr>
      <w:r>
        <w:rPr>
          <w:sz w:val="28"/>
          <w:szCs w:val="28"/>
        </w:rPr>
        <w:t xml:space="preserve">A seguito degli studi sul tema condotti sul finire degli anni ‘60 si è ritenuta ammissibile </w:t>
      </w:r>
      <w:r w:rsidRPr="00EA49B4">
        <w:rPr>
          <w:sz w:val="28"/>
          <w:szCs w:val="28"/>
        </w:rPr>
        <w:t>la fuoriuscita dallo schema negoziale codificato, quando il rapporto di lavoro subordinato trovi fondamento in un contratto in cui la prestazione è resa a titolo gratuito e non finalizzata alla realizzazione di una utilità a favore del datore di lavoro con obbligo alla controprestazione</w:t>
      </w:r>
      <w:r w:rsidRPr="00EA49B4">
        <w:rPr>
          <w:rStyle w:val="FootnoteReference"/>
          <w:sz w:val="28"/>
          <w:szCs w:val="28"/>
        </w:rPr>
        <w:footnoteReference w:id="8"/>
      </w:r>
      <w:r w:rsidRPr="00EA49B4">
        <w:rPr>
          <w:sz w:val="28"/>
          <w:szCs w:val="28"/>
        </w:rPr>
        <w:t>.</w:t>
      </w:r>
    </w:p>
    <w:p w:rsidR="00BD2278" w:rsidRPr="00EA49B4" w:rsidRDefault="00BD2278" w:rsidP="00FE4032">
      <w:pPr>
        <w:ind w:firstLine="284"/>
        <w:rPr>
          <w:sz w:val="28"/>
          <w:szCs w:val="28"/>
        </w:rPr>
      </w:pPr>
      <w:r w:rsidRPr="00EA49B4">
        <w:rPr>
          <w:sz w:val="28"/>
          <w:szCs w:val="28"/>
        </w:rPr>
        <w:t>Secondo una diversa impostazione non sarebbe invece ammissibile la prestazione di lavoro subordinata a titolo gratuito in quanto gratuità e subordinazione sarebbero termini antitetici e la prestazione resa senza obbligo di corrispettivo dovrebbe essere classificata quale contratto atipico estraneo all’area di ricerca del diritto del lavoro</w:t>
      </w:r>
      <w:r w:rsidRPr="00EA49B4">
        <w:rPr>
          <w:rStyle w:val="FootnoteReference"/>
          <w:sz w:val="28"/>
          <w:szCs w:val="28"/>
        </w:rPr>
        <w:footnoteReference w:id="9"/>
      </w:r>
      <w:r w:rsidRPr="00EA49B4">
        <w:rPr>
          <w:sz w:val="28"/>
          <w:szCs w:val="28"/>
        </w:rPr>
        <w:t>.</w:t>
      </w:r>
    </w:p>
    <w:p w:rsidR="00BD2278" w:rsidRPr="00EA49B4" w:rsidRDefault="00BD2278" w:rsidP="00FE4032">
      <w:pPr>
        <w:ind w:firstLine="284"/>
        <w:rPr>
          <w:sz w:val="28"/>
          <w:szCs w:val="28"/>
        </w:rPr>
      </w:pPr>
      <w:r w:rsidRPr="00EA49B4">
        <w:rPr>
          <w:sz w:val="28"/>
          <w:szCs w:val="28"/>
        </w:rPr>
        <w:t>Tra le forme gratuite di lavoro generalmente si annovera quello familiare reso in ragione del vincolo solidaristico e di affetto che lega i componenti</w:t>
      </w:r>
      <w:r w:rsidRPr="00EA49B4">
        <w:rPr>
          <w:rStyle w:val="FootnoteReference"/>
          <w:sz w:val="28"/>
          <w:szCs w:val="28"/>
        </w:rPr>
        <w:footnoteReference w:id="10"/>
      </w:r>
      <w:r w:rsidRPr="00EA49B4">
        <w:rPr>
          <w:sz w:val="28"/>
          <w:szCs w:val="28"/>
        </w:rPr>
        <w:t>.</w:t>
      </w:r>
    </w:p>
    <w:p w:rsidR="00BD2278" w:rsidRPr="008E560A" w:rsidRDefault="00BD2278" w:rsidP="00FE4032">
      <w:pPr>
        <w:ind w:firstLine="284"/>
        <w:rPr>
          <w:sz w:val="28"/>
          <w:szCs w:val="28"/>
        </w:rPr>
      </w:pPr>
      <w:r w:rsidRPr="00EA49B4">
        <w:rPr>
          <w:sz w:val="28"/>
          <w:szCs w:val="28"/>
        </w:rPr>
        <w:t xml:space="preserve">Vi è inoltre chi </w:t>
      </w:r>
      <w:r>
        <w:rPr>
          <w:sz w:val="28"/>
          <w:szCs w:val="28"/>
        </w:rPr>
        <w:t>non esclude che profili di rilevanza possa conservare l’istituto del lavoro gratuito con riguardo ai rapporti in cui il prestatore si pone in qualità di discente e dunque nel</w:t>
      </w:r>
      <w:r w:rsidRPr="00EA49B4">
        <w:rPr>
          <w:sz w:val="28"/>
          <w:szCs w:val="28"/>
        </w:rPr>
        <w:t>l’attività di praticantato delle professioni liberali</w:t>
      </w:r>
      <w:r w:rsidRPr="00EA49B4">
        <w:rPr>
          <w:rStyle w:val="FootnoteReference"/>
          <w:sz w:val="28"/>
          <w:szCs w:val="28"/>
        </w:rPr>
        <w:footnoteReference w:id="11"/>
      </w:r>
      <w:r w:rsidRPr="00EA49B4">
        <w:rPr>
          <w:sz w:val="28"/>
          <w:szCs w:val="28"/>
        </w:rPr>
        <w:t>.</w:t>
      </w:r>
    </w:p>
    <w:p w:rsidR="00BD2278" w:rsidRDefault="00BD2278" w:rsidP="00FE4032">
      <w:pPr>
        <w:ind w:firstLine="284"/>
        <w:rPr>
          <w:sz w:val="28"/>
          <w:szCs w:val="28"/>
        </w:rPr>
      </w:pPr>
      <w:r w:rsidRPr="008E560A">
        <w:rPr>
          <w:sz w:val="28"/>
          <w:szCs w:val="28"/>
        </w:rPr>
        <w:t>La questione è tornata d’attualità in ragione della presentazione in Senato del DDL n. 1198 in cui all’art. 41 comma 9 si leggeva “Il tirocinio professionale non determina l’instaurazione di rapporto di lavoro subordinato anche occasionale; in ogni caso, al praticante avv</w:t>
      </w:r>
      <w:r>
        <w:rPr>
          <w:sz w:val="28"/>
          <w:szCs w:val="28"/>
        </w:rPr>
        <w:t>ocato, decorso il primo anno, è</w:t>
      </w:r>
      <w:r w:rsidRPr="008E560A">
        <w:rPr>
          <w:sz w:val="28"/>
          <w:szCs w:val="28"/>
        </w:rPr>
        <w:t xml:space="preserve"> dovuto un adeguato compenso commisurato all’apporto dato per l’</w:t>
      </w:r>
      <w:r>
        <w:rPr>
          <w:sz w:val="28"/>
          <w:szCs w:val="28"/>
        </w:rPr>
        <w:t>attività</w:t>
      </w:r>
      <w:r w:rsidRPr="008E560A">
        <w:rPr>
          <w:sz w:val="28"/>
          <w:szCs w:val="28"/>
        </w:rPr>
        <w:t xml:space="preserve"> effettivamente svolta ovvero quello convenzionalmente pattuito”.</w:t>
      </w:r>
    </w:p>
    <w:p w:rsidR="00BD2278" w:rsidRDefault="00BD2278" w:rsidP="00FE4032">
      <w:pPr>
        <w:ind w:firstLine="284"/>
        <w:rPr>
          <w:rFonts w:ascii="AdvP6F00" w:hAnsi="AdvP6F00" w:cs="AdvP6F00"/>
          <w:sz w:val="23"/>
          <w:szCs w:val="23"/>
        </w:rPr>
      </w:pPr>
      <w:r>
        <w:rPr>
          <w:sz w:val="28"/>
          <w:szCs w:val="28"/>
        </w:rPr>
        <w:t>Nel corso dell’</w:t>
      </w:r>
      <w:r w:rsidRPr="008E560A">
        <w:rPr>
          <w:i/>
          <w:sz w:val="28"/>
          <w:szCs w:val="28"/>
        </w:rPr>
        <w:t>iter</w:t>
      </w:r>
      <w:r>
        <w:rPr>
          <w:i/>
          <w:sz w:val="28"/>
          <w:szCs w:val="28"/>
        </w:rPr>
        <w:t xml:space="preserve"> </w:t>
      </w:r>
      <w:r>
        <w:rPr>
          <w:sz w:val="28"/>
          <w:szCs w:val="28"/>
        </w:rPr>
        <w:t>parlamentare il DDL n. 1198 è stato trasfuso nel DDL S.601, approvato in Senato il 23 novembre 2010.  Nel passaggio è scomparso ogni riferimento al compenso al praticante avvocato, essendo previsto esclusivamente il rimborso delle spese sostenute ed inoltre un rimborso</w:t>
      </w:r>
      <w:r w:rsidRPr="00390608">
        <w:rPr>
          <w:sz w:val="28"/>
          <w:szCs w:val="28"/>
        </w:rPr>
        <w:t xml:space="preserve"> congruo per l’attività svolta</w:t>
      </w:r>
      <w:r>
        <w:rPr>
          <w:rStyle w:val="FootnoteReference"/>
          <w:sz w:val="28"/>
          <w:szCs w:val="28"/>
        </w:rPr>
        <w:footnoteReference w:id="12"/>
      </w:r>
      <w:r>
        <w:rPr>
          <w:sz w:val="28"/>
          <w:szCs w:val="28"/>
        </w:rPr>
        <w:t>.</w:t>
      </w:r>
    </w:p>
    <w:p w:rsidR="00BD2278" w:rsidRDefault="00BD2278" w:rsidP="00FE4032">
      <w:pPr>
        <w:ind w:firstLine="284"/>
        <w:rPr>
          <w:sz w:val="28"/>
          <w:szCs w:val="28"/>
        </w:rPr>
      </w:pPr>
      <w:r>
        <w:rPr>
          <w:sz w:val="28"/>
          <w:szCs w:val="28"/>
        </w:rPr>
        <w:t>Atteso che recenti studi dimostrano che l’età media di permanenza nell’albo dei praticanti avvocati è di 5,5 anni, è facile intuire come la questione non sia di poco conto</w:t>
      </w:r>
      <w:r>
        <w:rPr>
          <w:rStyle w:val="FootnoteReference"/>
          <w:sz w:val="28"/>
          <w:szCs w:val="28"/>
        </w:rPr>
        <w:footnoteReference w:id="13"/>
      </w:r>
      <w:r>
        <w:rPr>
          <w:sz w:val="28"/>
          <w:szCs w:val="28"/>
        </w:rPr>
        <w:t>.</w:t>
      </w:r>
    </w:p>
    <w:p w:rsidR="00BD2278" w:rsidRDefault="00BD2278" w:rsidP="00FE4032">
      <w:pPr>
        <w:ind w:firstLine="284"/>
        <w:rPr>
          <w:sz w:val="28"/>
          <w:szCs w:val="28"/>
        </w:rPr>
      </w:pPr>
      <w:r>
        <w:rPr>
          <w:sz w:val="28"/>
          <w:szCs w:val="28"/>
        </w:rPr>
        <w:t>L</w:t>
      </w:r>
      <w:r w:rsidRPr="00EA49B4">
        <w:rPr>
          <w:sz w:val="28"/>
          <w:szCs w:val="28"/>
        </w:rPr>
        <w:t>a prestazione resa del discente non può certo definirsi attività autonoma professionale</w:t>
      </w:r>
      <w:r>
        <w:rPr>
          <w:sz w:val="28"/>
          <w:szCs w:val="28"/>
        </w:rPr>
        <w:t xml:space="preserve"> neppure, ovviamente, nelle moderne forme di un rapporto di lavoro economicamente dipendente,</w:t>
      </w:r>
      <w:r w:rsidRPr="00EA49B4">
        <w:rPr>
          <w:sz w:val="28"/>
          <w:szCs w:val="28"/>
        </w:rPr>
        <w:t xml:space="preserve"> in quanto chi la svolge non è ancora in possesso dei titoli abilitanti.</w:t>
      </w:r>
    </w:p>
    <w:p w:rsidR="00BD2278" w:rsidRDefault="00BD2278" w:rsidP="00FE4032">
      <w:pPr>
        <w:ind w:firstLine="284"/>
        <w:rPr>
          <w:sz w:val="28"/>
          <w:szCs w:val="28"/>
        </w:rPr>
      </w:pPr>
      <w:r w:rsidRPr="00EA49B4">
        <w:rPr>
          <w:sz w:val="28"/>
          <w:szCs w:val="28"/>
        </w:rPr>
        <w:t>Pertanto</w:t>
      </w:r>
      <w:r>
        <w:rPr>
          <w:sz w:val="28"/>
          <w:szCs w:val="28"/>
        </w:rPr>
        <w:t>,</w:t>
      </w:r>
      <w:r w:rsidRPr="00EA49B4">
        <w:rPr>
          <w:sz w:val="28"/>
          <w:szCs w:val="28"/>
        </w:rPr>
        <w:t xml:space="preserve"> non resta che la subordinazione quale categoria dogmatica per l’inquadramento della fattispecie. </w:t>
      </w:r>
      <w:r>
        <w:rPr>
          <w:sz w:val="28"/>
          <w:szCs w:val="28"/>
        </w:rPr>
        <w:t xml:space="preserve">In effetti, normalmente possono dirsi sussistenti </w:t>
      </w:r>
      <w:r w:rsidRPr="00EA49B4">
        <w:rPr>
          <w:sz w:val="28"/>
          <w:szCs w:val="28"/>
        </w:rPr>
        <w:t>gli elementi</w:t>
      </w:r>
      <w:r>
        <w:rPr>
          <w:sz w:val="28"/>
          <w:szCs w:val="28"/>
        </w:rPr>
        <w:t xml:space="preserve"> della subordinazione</w:t>
      </w:r>
      <w:r w:rsidRPr="00EA49B4">
        <w:rPr>
          <w:sz w:val="28"/>
          <w:szCs w:val="28"/>
        </w:rPr>
        <w:t xml:space="preserve"> in quanto l’attività è senz’altro svolta sotto la direzione ed il coordinamento e presso l’unità produttiva (</w:t>
      </w:r>
      <w:r w:rsidRPr="00EA49B4">
        <w:rPr>
          <w:i/>
          <w:sz w:val="28"/>
          <w:szCs w:val="28"/>
        </w:rPr>
        <w:t>rectius</w:t>
      </w:r>
      <w:r w:rsidRPr="00EA49B4">
        <w:rPr>
          <w:sz w:val="28"/>
          <w:szCs w:val="28"/>
        </w:rPr>
        <w:t xml:space="preserve"> lo studio professionale) del </w:t>
      </w:r>
      <w:r w:rsidRPr="00EA49B4">
        <w:rPr>
          <w:i/>
          <w:sz w:val="28"/>
          <w:szCs w:val="28"/>
        </w:rPr>
        <w:t>dominus</w:t>
      </w:r>
      <w:r>
        <w:rPr>
          <w:sz w:val="28"/>
          <w:szCs w:val="28"/>
        </w:rPr>
        <w:t xml:space="preserve"> che riceve dalla prestazione un vantaggio economico.</w:t>
      </w:r>
      <w:r w:rsidRPr="00EA49B4">
        <w:rPr>
          <w:sz w:val="28"/>
          <w:szCs w:val="28"/>
        </w:rPr>
        <w:t xml:space="preserve"> Essa</w:t>
      </w:r>
      <w:r>
        <w:rPr>
          <w:sz w:val="28"/>
          <w:szCs w:val="28"/>
        </w:rPr>
        <w:t>,</w:t>
      </w:r>
      <w:r w:rsidRPr="00EA49B4">
        <w:rPr>
          <w:sz w:val="28"/>
          <w:szCs w:val="28"/>
        </w:rPr>
        <w:t xml:space="preserve"> </w:t>
      </w:r>
      <w:r>
        <w:rPr>
          <w:sz w:val="28"/>
          <w:szCs w:val="28"/>
        </w:rPr>
        <w:t xml:space="preserve">vero è che </w:t>
      </w:r>
      <w:r w:rsidRPr="00EA49B4">
        <w:rPr>
          <w:sz w:val="28"/>
          <w:szCs w:val="28"/>
        </w:rPr>
        <w:t>il più delle volte è propedeutica all’apprendimento della profe</w:t>
      </w:r>
      <w:r>
        <w:rPr>
          <w:sz w:val="28"/>
          <w:szCs w:val="28"/>
        </w:rPr>
        <w:t>ssione, ma ben potrebbe essere svolta</w:t>
      </w:r>
      <w:r w:rsidRPr="00EA49B4">
        <w:rPr>
          <w:sz w:val="28"/>
          <w:szCs w:val="28"/>
        </w:rPr>
        <w:t xml:space="preserve"> da dipendenti del professionista perché non necessariamente consiste</w:t>
      </w:r>
      <w:r>
        <w:rPr>
          <w:sz w:val="28"/>
          <w:szCs w:val="28"/>
        </w:rPr>
        <w:t>nte</w:t>
      </w:r>
      <w:r w:rsidRPr="00EA49B4">
        <w:rPr>
          <w:sz w:val="28"/>
          <w:szCs w:val="28"/>
        </w:rPr>
        <w:t xml:space="preserve"> in atti il cui compimento è infungibilmente richiesto al professionista per ragioni fiduciarie</w:t>
      </w:r>
      <w:r>
        <w:rPr>
          <w:rStyle w:val="FootnoteReference"/>
          <w:sz w:val="28"/>
          <w:szCs w:val="28"/>
        </w:rPr>
        <w:footnoteReference w:id="14"/>
      </w:r>
      <w:r>
        <w:rPr>
          <w:sz w:val="28"/>
          <w:szCs w:val="28"/>
        </w:rPr>
        <w:t>.</w:t>
      </w:r>
    </w:p>
    <w:p w:rsidR="00BD2278" w:rsidRDefault="00BD2278" w:rsidP="00FE4032">
      <w:pPr>
        <w:ind w:firstLine="284"/>
        <w:rPr>
          <w:sz w:val="28"/>
          <w:szCs w:val="28"/>
        </w:rPr>
      </w:pPr>
      <w:r>
        <w:rPr>
          <w:sz w:val="28"/>
          <w:szCs w:val="28"/>
        </w:rPr>
        <w:t>Il rapporto postula necessariamente uno scambio tra il vantaggio economico che il professionista ottiene dalla prestazione e l’apprendimento del discente. Infatti secondo una risalente ma attuale opinione, l’ “addestramento” ottenuto dal prestatore può ritenersi suscettibile di valutazione patrimoniale essendo diretto a migliorare la qualificazione professionale e la capacità di guadagno; inoltre l’insegnamento deve ritenersi un obbligo per il professionista, sicché il rapporto non può che definirsi corrispettivo anche se il corrispettivo è del tutto peculiare rispetto a quello del rapporto di lavoro subordinato tipico</w:t>
      </w:r>
      <w:r>
        <w:rPr>
          <w:rStyle w:val="FootnoteReference"/>
          <w:sz w:val="28"/>
          <w:szCs w:val="28"/>
        </w:rPr>
        <w:footnoteReference w:id="15"/>
      </w:r>
      <w:r>
        <w:rPr>
          <w:sz w:val="28"/>
          <w:szCs w:val="28"/>
        </w:rPr>
        <w:t>.</w:t>
      </w:r>
    </w:p>
    <w:p w:rsidR="00BD2278" w:rsidRDefault="00BD2278" w:rsidP="00FE4032">
      <w:pPr>
        <w:ind w:firstLine="284"/>
        <w:rPr>
          <w:sz w:val="28"/>
          <w:szCs w:val="28"/>
        </w:rPr>
      </w:pPr>
      <w:r>
        <w:rPr>
          <w:sz w:val="28"/>
          <w:szCs w:val="28"/>
        </w:rPr>
        <w:t>Poiché il rapporto tra praticante e professionista deve ritenersi, per le ragioni esposte, a carattere corrispettivo, ad esso si estende l’applicazione dell’art. 36 Cost. anche se con i dovuti adattamenti che ne impediscono l’attuazione nel senso comune, ovvero quello indicato dalla giurisprudenza di estensione dei livelli retributivi previsti dai contratti collettivi. La ragione è che questi sono negoziati per compensare la prestazione lavorativa unicamente tramite il corrispettivo in denaro, e dunque non tengono conto dell’apporto costituito dall’insegnamento impartito dal professionista e della fruizione degli strumenti posti a disposizione del discente</w:t>
      </w:r>
      <w:r>
        <w:rPr>
          <w:rStyle w:val="FootnoteReference"/>
          <w:sz w:val="28"/>
          <w:szCs w:val="28"/>
        </w:rPr>
        <w:footnoteReference w:id="16"/>
      </w:r>
      <w:r>
        <w:rPr>
          <w:sz w:val="28"/>
          <w:szCs w:val="28"/>
        </w:rPr>
        <w:t>.</w:t>
      </w:r>
    </w:p>
    <w:p w:rsidR="00BD2278" w:rsidRDefault="00BD2278" w:rsidP="00FE4032">
      <w:pPr>
        <w:ind w:firstLine="284"/>
        <w:rPr>
          <w:sz w:val="28"/>
          <w:szCs w:val="28"/>
        </w:rPr>
      </w:pPr>
      <w:r>
        <w:rPr>
          <w:sz w:val="28"/>
          <w:szCs w:val="28"/>
        </w:rPr>
        <w:t>Pertanto l’applicazione adeguata del precetto costituzionale di cui all’art. 36, deve intendersi nel senso della ammissibilità di adeguamento del corrispettivo alle caratteristiche del rapporto di lavoro del discente</w:t>
      </w:r>
      <w:r>
        <w:rPr>
          <w:rStyle w:val="FootnoteReference"/>
          <w:sz w:val="28"/>
          <w:szCs w:val="28"/>
        </w:rPr>
        <w:footnoteReference w:id="17"/>
      </w:r>
      <w:r>
        <w:rPr>
          <w:sz w:val="28"/>
          <w:szCs w:val="28"/>
        </w:rPr>
        <w:t>.</w:t>
      </w:r>
    </w:p>
    <w:p w:rsidR="00BD2278" w:rsidRDefault="00BD2278" w:rsidP="00FE4032">
      <w:pPr>
        <w:ind w:left="709" w:firstLine="284"/>
        <w:rPr>
          <w:sz w:val="28"/>
          <w:szCs w:val="28"/>
        </w:rPr>
      </w:pPr>
    </w:p>
    <w:p w:rsidR="00BD2278" w:rsidRDefault="00BD2278" w:rsidP="00FE4032">
      <w:pPr>
        <w:ind w:left="709" w:firstLine="284"/>
        <w:rPr>
          <w:sz w:val="28"/>
          <w:szCs w:val="28"/>
        </w:rPr>
      </w:pPr>
    </w:p>
    <w:p w:rsidR="00BD2278" w:rsidRDefault="00BD2278" w:rsidP="00FE4032">
      <w:pPr>
        <w:ind w:left="709" w:firstLine="284"/>
        <w:rPr>
          <w:sz w:val="28"/>
          <w:szCs w:val="28"/>
        </w:rPr>
      </w:pPr>
    </w:p>
    <w:p w:rsidR="00BD2278" w:rsidRDefault="00BD2278" w:rsidP="00FE4032">
      <w:pPr>
        <w:ind w:left="709" w:firstLine="284"/>
        <w:rPr>
          <w:sz w:val="28"/>
          <w:szCs w:val="28"/>
        </w:rPr>
      </w:pPr>
    </w:p>
    <w:p w:rsidR="00BD2278" w:rsidRDefault="00BD2278" w:rsidP="00A01E3A">
      <w:pPr>
        <w:pStyle w:val="ListParagraph"/>
        <w:numPr>
          <w:ilvl w:val="0"/>
          <w:numId w:val="1"/>
        </w:numPr>
        <w:ind w:left="0" w:firstLine="284"/>
        <w:outlineLvl w:val="1"/>
        <w:rPr>
          <w:sz w:val="28"/>
          <w:szCs w:val="28"/>
        </w:rPr>
      </w:pPr>
      <w:bookmarkStart w:id="2" w:name="_Toc285266416"/>
      <w:r w:rsidRPr="009B00A7">
        <w:rPr>
          <w:rStyle w:val="TitoloparagrafoCarattere"/>
          <w:i/>
        </w:rPr>
        <w:t>La nozione di retribuzione</w:t>
      </w:r>
      <w:r w:rsidRPr="00CE7F46">
        <w:rPr>
          <w:sz w:val="28"/>
          <w:szCs w:val="28"/>
        </w:rPr>
        <w:t>.</w:t>
      </w:r>
      <w:bookmarkEnd w:id="2"/>
    </w:p>
    <w:p w:rsidR="00BD2278" w:rsidRPr="00CE7F46" w:rsidRDefault="00BD2278" w:rsidP="00A01E3A">
      <w:pPr>
        <w:pStyle w:val="ListParagraph"/>
        <w:ind w:left="284"/>
        <w:rPr>
          <w:sz w:val="28"/>
          <w:szCs w:val="28"/>
        </w:rPr>
      </w:pPr>
    </w:p>
    <w:p w:rsidR="00BD2278" w:rsidRPr="004555EF" w:rsidRDefault="00BD2278" w:rsidP="00FE4032">
      <w:pPr>
        <w:ind w:right="-1" w:firstLine="284"/>
        <w:rPr>
          <w:sz w:val="28"/>
          <w:szCs w:val="28"/>
        </w:rPr>
      </w:pPr>
      <w:r w:rsidRPr="004555EF">
        <w:rPr>
          <w:sz w:val="28"/>
          <w:szCs w:val="28"/>
        </w:rPr>
        <w:t>Per retribuzione può intendersi il corrispettivo dell’attività lavorativa, cioè qualsiasi attribuzione patrimoniale ottenuta sinallagmaticamente verso la cessione di una prestazione</w:t>
      </w:r>
      <w:r>
        <w:rPr>
          <w:rStyle w:val="FootnoteReference"/>
          <w:sz w:val="28"/>
          <w:szCs w:val="28"/>
        </w:rPr>
        <w:footnoteReference w:id="18"/>
      </w:r>
      <w:r w:rsidRPr="004555EF">
        <w:rPr>
          <w:sz w:val="28"/>
          <w:szCs w:val="28"/>
        </w:rPr>
        <w:t>.</w:t>
      </w:r>
    </w:p>
    <w:p w:rsidR="00BD2278" w:rsidRDefault="00BD2278" w:rsidP="00FE4032">
      <w:pPr>
        <w:ind w:firstLine="284"/>
        <w:rPr>
          <w:sz w:val="28"/>
          <w:szCs w:val="28"/>
        </w:rPr>
      </w:pPr>
      <w:r>
        <w:rPr>
          <w:sz w:val="28"/>
          <w:szCs w:val="28"/>
        </w:rPr>
        <w:t>Questa definizione, pure tratta dalla disciplina legislativa e fondata su categorie civilistiche, non è di alcuna utilità pratica per le quali si è posto il problema dell’esistenza di una nozione di retribuzione</w:t>
      </w:r>
      <w:r>
        <w:rPr>
          <w:rStyle w:val="FootnoteReference"/>
          <w:sz w:val="28"/>
          <w:szCs w:val="28"/>
        </w:rPr>
        <w:footnoteReference w:id="19"/>
      </w:r>
      <w:r>
        <w:rPr>
          <w:sz w:val="28"/>
          <w:szCs w:val="28"/>
        </w:rPr>
        <w:t>.</w:t>
      </w:r>
    </w:p>
    <w:p w:rsidR="00BD2278" w:rsidRDefault="00BD2278" w:rsidP="00FE4032">
      <w:pPr>
        <w:ind w:firstLine="284"/>
        <w:rPr>
          <w:sz w:val="28"/>
          <w:szCs w:val="28"/>
        </w:rPr>
      </w:pPr>
      <w:r>
        <w:rPr>
          <w:sz w:val="28"/>
          <w:szCs w:val="28"/>
        </w:rPr>
        <w:t>Infatti tutte le volte che si renda necessario quantificare l’importo di alcune voci retributive (retribuzione feriale, mensilità aggiuntive) la cui base di calcolo è costituita dalla  retribuzione (c.d. retribuzione parametro), si pone il problema di stabilire quali voci vi rientrino.</w:t>
      </w:r>
    </w:p>
    <w:p w:rsidR="00BD2278" w:rsidRDefault="00BD2278" w:rsidP="00FE4032">
      <w:pPr>
        <w:ind w:firstLine="284"/>
        <w:rPr>
          <w:sz w:val="28"/>
          <w:szCs w:val="28"/>
        </w:rPr>
      </w:pPr>
      <w:r>
        <w:rPr>
          <w:sz w:val="28"/>
          <w:szCs w:val="28"/>
        </w:rPr>
        <w:t xml:space="preserve">Il legislatore, al di là dell’inquadramento sistematico dell’istituto nel diritto delle obbligazioni, non fornisce strumenti unidirezionali per la elaborazione della nozione di retribuzione.  Tradizionalmente la scelta è stata quella di astenersi dal disciplinare direttamente l’obbligazione retributiva lasciando alla negoziazione collettiva il compito di riempirla di contenuto attraverso l’individuazione delle voci e la determinazione dei livelli. Quando il legislatore ha deciso di intervenire direttamente ha tenuto due atteggiamenti: la fissazione di garanzie minime, come la retribuzione sufficiente di cui all’art. 36 Cost. o il mantenimento dei livelli raggiunti </w:t>
      </w:r>
      <w:r>
        <w:rPr>
          <w:i/>
          <w:sz w:val="28"/>
          <w:szCs w:val="28"/>
        </w:rPr>
        <w:t xml:space="preserve">ex </w:t>
      </w:r>
      <w:r>
        <w:rPr>
          <w:sz w:val="28"/>
          <w:szCs w:val="28"/>
        </w:rPr>
        <w:t>art. 2103 c.c. come modificato dalla l. 20 maggio 1970, n. 300, ovvero la previsione di singole voci come, a titolo esemplificativo, l’indennità di anzianità e il t.f.r., le maggiorazioni per il lavoro straordinario e festivo. In entrambi i casi si tratta di “tutele legali statiche”</w:t>
      </w:r>
      <w:r>
        <w:rPr>
          <w:rStyle w:val="FootnoteReference"/>
          <w:sz w:val="28"/>
          <w:szCs w:val="28"/>
        </w:rPr>
        <w:footnoteReference w:id="20"/>
      </w:r>
      <w:r>
        <w:rPr>
          <w:sz w:val="28"/>
          <w:szCs w:val="28"/>
        </w:rPr>
        <w:t>.</w:t>
      </w:r>
    </w:p>
    <w:p w:rsidR="00BD2278" w:rsidRDefault="00BD2278" w:rsidP="00FE4032">
      <w:pPr>
        <w:ind w:firstLine="284"/>
        <w:rPr>
          <w:sz w:val="28"/>
          <w:szCs w:val="28"/>
        </w:rPr>
      </w:pPr>
      <w:r>
        <w:rPr>
          <w:sz w:val="28"/>
          <w:szCs w:val="28"/>
        </w:rPr>
        <w:t>Tra le definizioni legali, l’unica che potesse fornire qualche fondamento per una nozione di retribuzione utile ai fini pratici era quella contenuta nella originaria formulazione dell’art. 2121 c.c. secondo cui ai fini del calcolo dell’indennità di anzianità e di mancato preavviso, si sarebbero dovute computare “le provvigioni, i premi di produzione, le partecipazioni agli utili o ai prodotti e tutti i compensi di carattere continuativo, con esclusione di quanto è corrisposto a titolo di rimborso spese”.</w:t>
      </w:r>
    </w:p>
    <w:p w:rsidR="00BD2278" w:rsidRDefault="00BD2278" w:rsidP="00FE4032">
      <w:pPr>
        <w:ind w:firstLine="284"/>
        <w:rPr>
          <w:sz w:val="28"/>
          <w:szCs w:val="28"/>
        </w:rPr>
      </w:pPr>
      <w:r>
        <w:rPr>
          <w:sz w:val="28"/>
          <w:szCs w:val="28"/>
        </w:rPr>
        <w:t>All’interrogativo sulla esistenza di una nozione legale di retribuzione unitaria e di generale applicabilità per i fini pratici cui si è accennato</w:t>
      </w:r>
      <w:r>
        <w:rPr>
          <w:rStyle w:val="FootnoteReference"/>
          <w:sz w:val="28"/>
          <w:szCs w:val="28"/>
        </w:rPr>
        <w:footnoteReference w:id="21"/>
      </w:r>
      <w:r>
        <w:rPr>
          <w:sz w:val="28"/>
          <w:szCs w:val="28"/>
        </w:rPr>
        <w:t xml:space="preserve"> si è cercato di fornire una risposta argomentando a partire dall’art. 2121 c.c.</w:t>
      </w:r>
    </w:p>
    <w:p w:rsidR="00BD2278" w:rsidRDefault="00BD2278" w:rsidP="00FE4032">
      <w:pPr>
        <w:ind w:firstLine="284"/>
        <w:rPr>
          <w:sz w:val="28"/>
          <w:szCs w:val="28"/>
        </w:rPr>
      </w:pPr>
      <w:r>
        <w:rPr>
          <w:sz w:val="28"/>
          <w:szCs w:val="28"/>
        </w:rPr>
        <w:t>La circostanza che l’art. 2118 c.c. ha posto una corrispondenza quantitativa tra l’indennità di mancato preavviso e la somma di tutti i compensi percepiti dal prestatore, ha generato la convinzione che gli unici elementi strutturali del concetto giuridico fossero la determinatezza, la corrispettività e la continuità</w:t>
      </w:r>
      <w:r>
        <w:rPr>
          <w:rStyle w:val="FootnoteReference"/>
          <w:sz w:val="28"/>
          <w:szCs w:val="28"/>
        </w:rPr>
        <w:footnoteReference w:id="22"/>
      </w:r>
      <w:r>
        <w:rPr>
          <w:sz w:val="28"/>
          <w:szCs w:val="28"/>
        </w:rPr>
        <w:t>.</w:t>
      </w:r>
    </w:p>
    <w:p w:rsidR="00BD2278" w:rsidRDefault="00BD2278" w:rsidP="00FE4032">
      <w:pPr>
        <w:ind w:firstLine="284"/>
        <w:rPr>
          <w:sz w:val="28"/>
          <w:szCs w:val="28"/>
        </w:rPr>
      </w:pPr>
      <w:r>
        <w:rPr>
          <w:sz w:val="28"/>
          <w:szCs w:val="28"/>
        </w:rPr>
        <w:t>Ciò ha portato alla riconduzione ad unità di tutti i compensi percepiti dal lavoratore in funzione delle energie psico-fisiche erogate con esclusione delle sole spese sostenute nell’intereresse del datore di lavoro.</w:t>
      </w:r>
    </w:p>
    <w:p w:rsidR="00BD2278" w:rsidRDefault="00BD2278" w:rsidP="00FE4032">
      <w:pPr>
        <w:ind w:firstLine="284"/>
        <w:rPr>
          <w:sz w:val="28"/>
          <w:szCs w:val="28"/>
        </w:rPr>
      </w:pPr>
      <w:r>
        <w:rPr>
          <w:sz w:val="28"/>
          <w:szCs w:val="28"/>
        </w:rPr>
        <w:t>Questa tesi,</w:t>
      </w:r>
      <w:r w:rsidRPr="007E1C19">
        <w:rPr>
          <w:sz w:val="28"/>
          <w:szCs w:val="28"/>
        </w:rPr>
        <w:t xml:space="preserve"> </w:t>
      </w:r>
      <w:r>
        <w:rPr>
          <w:sz w:val="28"/>
          <w:szCs w:val="28"/>
        </w:rPr>
        <w:t>classificata con il termine omnicomprensività, nella eclettica varietà di argomentazioni, si fondava sulla supposta esistenza di un principio immanente nell’ordinamento giuridico, e desumibile dall’art. 36 Cost., di nozione unica di retribuzione, ricavabile dalle diverse norme di legge che contengono definizioni di retribuzione</w:t>
      </w:r>
      <w:r>
        <w:rPr>
          <w:rStyle w:val="FootnoteReference"/>
          <w:sz w:val="28"/>
          <w:szCs w:val="28"/>
        </w:rPr>
        <w:footnoteReference w:id="23"/>
      </w:r>
      <w:r>
        <w:rPr>
          <w:sz w:val="28"/>
          <w:szCs w:val="28"/>
        </w:rPr>
        <w:t>.</w:t>
      </w:r>
    </w:p>
    <w:p w:rsidR="00BD2278" w:rsidRDefault="00BD2278" w:rsidP="00FE4032">
      <w:pPr>
        <w:ind w:firstLine="284"/>
        <w:rPr>
          <w:sz w:val="28"/>
          <w:szCs w:val="28"/>
        </w:rPr>
      </w:pPr>
      <w:r>
        <w:rPr>
          <w:sz w:val="28"/>
          <w:szCs w:val="28"/>
        </w:rPr>
        <w:t>Lo scopo della giurisprudenza nell’adottare la concezione omnicomprensiva di retribuzione è stato evidentemente quello di realizzare una “alta tutela sulle normative salariali”</w:t>
      </w:r>
      <w:r>
        <w:rPr>
          <w:rStyle w:val="FootnoteReference"/>
          <w:sz w:val="28"/>
          <w:szCs w:val="28"/>
        </w:rPr>
        <w:footnoteReference w:id="24"/>
      </w:r>
      <w:r>
        <w:rPr>
          <w:sz w:val="28"/>
          <w:szCs w:val="28"/>
        </w:rPr>
        <w:t xml:space="preserve"> e la conseguenza è stata la dichiarazione di nullità e la sostituzione automatica di ogni clausola che escludesse dalla base di calcolo un elementi retributivo caratterizzato da determinatezza, corrispettività e soprattutto continuità</w:t>
      </w:r>
      <w:r>
        <w:rPr>
          <w:rStyle w:val="FootnoteReference"/>
          <w:sz w:val="28"/>
          <w:szCs w:val="28"/>
        </w:rPr>
        <w:footnoteReference w:id="25"/>
      </w:r>
      <w:r>
        <w:rPr>
          <w:sz w:val="28"/>
          <w:szCs w:val="28"/>
        </w:rPr>
        <w:t>.</w:t>
      </w:r>
    </w:p>
    <w:p w:rsidR="00BD2278" w:rsidRDefault="00BD2278" w:rsidP="00FE4032">
      <w:pPr>
        <w:ind w:firstLine="284"/>
        <w:rPr>
          <w:sz w:val="28"/>
          <w:szCs w:val="28"/>
        </w:rPr>
      </w:pPr>
      <w:r>
        <w:rPr>
          <w:sz w:val="28"/>
          <w:szCs w:val="28"/>
        </w:rPr>
        <w:t>La retribuzione omnicomprensiva utilizzata quale base di calcolo dei diversi istituti</w:t>
      </w:r>
      <w:r>
        <w:rPr>
          <w:rStyle w:val="FootnoteReference"/>
          <w:sz w:val="28"/>
          <w:szCs w:val="28"/>
        </w:rPr>
        <w:footnoteReference w:id="26"/>
      </w:r>
      <w:r>
        <w:rPr>
          <w:sz w:val="28"/>
          <w:szCs w:val="28"/>
        </w:rPr>
        <w:t>, determinava degli evidenti effetti distorsivi di moltiplicazione e contribuiva ad incrementare l’automatismo salariale e la crescita di elementi differiti o indiretti della retribuzione</w:t>
      </w:r>
      <w:r>
        <w:rPr>
          <w:rStyle w:val="FootnoteReference"/>
          <w:sz w:val="28"/>
          <w:szCs w:val="28"/>
        </w:rPr>
        <w:footnoteReference w:id="27"/>
      </w:r>
      <w:r>
        <w:rPr>
          <w:sz w:val="28"/>
          <w:szCs w:val="28"/>
        </w:rPr>
        <w:t>.</w:t>
      </w:r>
    </w:p>
    <w:p w:rsidR="00BD2278" w:rsidRDefault="00BD2278" w:rsidP="00FE4032">
      <w:pPr>
        <w:ind w:firstLine="284"/>
        <w:rPr>
          <w:sz w:val="28"/>
          <w:szCs w:val="28"/>
        </w:rPr>
      </w:pPr>
      <w:r>
        <w:rPr>
          <w:sz w:val="28"/>
          <w:szCs w:val="28"/>
        </w:rPr>
        <w:t>La nozione omnicomprensiva di retribuzione inoltre tendeva ad avere un effetto fortemente riduttivo della autonomia collettiva che veniva di fatto spogliata della sua più importante prerogativa ovvero quella di definire l’articolazione della retribuzione</w:t>
      </w:r>
      <w:r>
        <w:rPr>
          <w:rStyle w:val="FootnoteReference"/>
          <w:sz w:val="28"/>
          <w:szCs w:val="28"/>
        </w:rPr>
        <w:footnoteReference w:id="28"/>
      </w:r>
      <w:r>
        <w:rPr>
          <w:sz w:val="28"/>
          <w:szCs w:val="28"/>
        </w:rPr>
        <w:t>.</w:t>
      </w:r>
    </w:p>
    <w:p w:rsidR="00BD2278" w:rsidRDefault="00BD2278" w:rsidP="00FE4032">
      <w:pPr>
        <w:ind w:firstLine="284"/>
        <w:rPr>
          <w:sz w:val="28"/>
          <w:szCs w:val="28"/>
        </w:rPr>
      </w:pPr>
      <w:r>
        <w:rPr>
          <w:sz w:val="28"/>
          <w:szCs w:val="28"/>
        </w:rPr>
        <w:t>Tali considerazioni hanno indotto ad una critica profonda del concetto di omnicomprensività, a partire dai suoi fondamenti giuridici.</w:t>
      </w:r>
    </w:p>
    <w:p w:rsidR="00BD2278" w:rsidRDefault="00BD2278" w:rsidP="00FE4032">
      <w:pPr>
        <w:ind w:firstLine="284"/>
        <w:rPr>
          <w:sz w:val="28"/>
          <w:szCs w:val="28"/>
        </w:rPr>
      </w:pPr>
      <w:r>
        <w:rPr>
          <w:sz w:val="28"/>
          <w:szCs w:val="28"/>
        </w:rPr>
        <w:t xml:space="preserve">In particolare si è sottoposta a revisione la definizione del carattere della continuità della erogazione, desunto dalla vecchia formulazione dell’art. 2121 c.c., quale criterio selettivo naturale in quanto esistono compensi retributivi ma occasionale, quali ad esempio le indennità </w:t>
      </w:r>
      <w:r>
        <w:rPr>
          <w:i/>
          <w:sz w:val="28"/>
          <w:szCs w:val="28"/>
        </w:rPr>
        <w:t>una tantum</w:t>
      </w:r>
      <w:r>
        <w:rPr>
          <w:rStyle w:val="FootnoteReference"/>
          <w:sz w:val="28"/>
          <w:szCs w:val="28"/>
        </w:rPr>
        <w:footnoteReference w:id="29"/>
      </w:r>
      <w:r>
        <w:rPr>
          <w:sz w:val="28"/>
          <w:szCs w:val="28"/>
        </w:rPr>
        <w:t>.</w:t>
      </w:r>
    </w:p>
    <w:p w:rsidR="00BD2278" w:rsidRDefault="00BD2278" w:rsidP="00FE4032">
      <w:pPr>
        <w:ind w:firstLine="284"/>
        <w:rPr>
          <w:sz w:val="28"/>
          <w:szCs w:val="28"/>
        </w:rPr>
      </w:pPr>
      <w:r>
        <w:rPr>
          <w:sz w:val="28"/>
          <w:szCs w:val="28"/>
        </w:rPr>
        <w:t>La critica sull’assenza di un fondamento legale della teoria e della riduzione del valore e della portata della contrattazione collettiva hanno indotto alla riflessione in giurisprudenza, avviata con la sentenza n. 5312 dell’11 ottobre 1979, n. 5312 della Corte di Cassazione, che ha portato in tempi brevi ad una modifica dell’orientamento di legittimità. Infatti, anzitutto si è affermato che non esiste un fondamento normativo della nozione di omnicomprensività ma soltanto una tendenziale regola suppletiva che avrebbe avuto spazio di applicazione solo in assenza di specifiche disposizioni legali e contrattuali</w:t>
      </w:r>
      <w:r>
        <w:rPr>
          <w:rStyle w:val="FootnoteReference"/>
          <w:sz w:val="28"/>
          <w:szCs w:val="28"/>
        </w:rPr>
        <w:footnoteReference w:id="30"/>
      </w:r>
      <w:r>
        <w:rPr>
          <w:sz w:val="28"/>
          <w:szCs w:val="28"/>
        </w:rPr>
        <w:t>. Questo primo approdo del processo giurisdizionale di revisione della omnicomprensività della retribuzione consentiva ancora di risolvere due “problemi cruciali per l’applicazione delle normative salariali” ossia la qualificazione degli emolumenti di dubbia natura e la quantificazione delle voci retributive a base incerta</w:t>
      </w:r>
      <w:r>
        <w:rPr>
          <w:rStyle w:val="FootnoteReference"/>
          <w:sz w:val="28"/>
          <w:szCs w:val="28"/>
        </w:rPr>
        <w:footnoteReference w:id="31"/>
      </w:r>
      <w:r>
        <w:rPr>
          <w:sz w:val="28"/>
          <w:szCs w:val="28"/>
        </w:rPr>
        <w:t>.</w:t>
      </w:r>
    </w:p>
    <w:p w:rsidR="00BD2278" w:rsidRDefault="00BD2278" w:rsidP="00FE4032">
      <w:pPr>
        <w:ind w:firstLine="284"/>
        <w:rPr>
          <w:sz w:val="28"/>
          <w:szCs w:val="28"/>
        </w:rPr>
      </w:pPr>
      <w:r>
        <w:rPr>
          <w:sz w:val="28"/>
          <w:szCs w:val="28"/>
        </w:rPr>
        <w:t>Tuttavia la strada era segnata e a distanza di pochi anni sarebbe giunto a compimento il processo di revisione della nozione di omnicomprensività</w:t>
      </w:r>
      <w:r>
        <w:rPr>
          <w:rStyle w:val="FootnoteReference"/>
          <w:sz w:val="28"/>
          <w:szCs w:val="28"/>
        </w:rPr>
        <w:footnoteReference w:id="32"/>
      </w:r>
      <w:r>
        <w:rPr>
          <w:sz w:val="28"/>
          <w:szCs w:val="28"/>
        </w:rPr>
        <w:t xml:space="preserve"> con l’esclusione della funzione sussidiaria e l’affermazione dello stesso unicamente quale metodo, non generalizzabile con cui il legislatore ha regolato singoli istituti o voci retributive, pur con l’accoglimento di un concetto ampio di retribuzione quale “coacervo di tutto ciò che il lavoratore riceve dal datore di lavoro non solo in cambio della sua prestazione lavorativa, ma anche a causa della sua implicazione nel rapporto di lavoro”</w:t>
      </w:r>
      <w:r>
        <w:rPr>
          <w:rStyle w:val="FootnoteReference"/>
          <w:sz w:val="28"/>
          <w:szCs w:val="28"/>
        </w:rPr>
        <w:footnoteReference w:id="33"/>
      </w:r>
      <w:r>
        <w:rPr>
          <w:sz w:val="28"/>
          <w:szCs w:val="28"/>
        </w:rPr>
        <w:t>.</w:t>
      </w:r>
    </w:p>
    <w:p w:rsidR="00BD2278" w:rsidRDefault="00BD2278" w:rsidP="00FE4032">
      <w:pPr>
        <w:ind w:firstLine="284"/>
        <w:rPr>
          <w:sz w:val="28"/>
          <w:szCs w:val="28"/>
        </w:rPr>
      </w:pPr>
      <w:r>
        <w:rPr>
          <w:sz w:val="28"/>
          <w:szCs w:val="28"/>
        </w:rPr>
        <w:t>In altri termini, la revisione della teoria dell’omnicomprensività non ha travolto la concezione di corrispettività che la dottrina aveva desunto dall’art. 2121 c.c. e che ha ritenuto in forma tanto più ampia rispetto agli altri contratti sinallagmatici, da farvi rientrare le prestazioni dovute dal datore nei periodi in cui manchi l’attività lavorativa</w:t>
      </w:r>
      <w:r>
        <w:rPr>
          <w:rStyle w:val="FootnoteReference"/>
          <w:sz w:val="28"/>
          <w:szCs w:val="28"/>
        </w:rPr>
        <w:footnoteReference w:id="34"/>
      </w:r>
      <w:r>
        <w:rPr>
          <w:sz w:val="28"/>
          <w:szCs w:val="28"/>
        </w:rPr>
        <w:t xml:space="preserve">. Anzi secondo alcuni la stessa operazione giurisprudenziale di </w:t>
      </w:r>
      <w:r>
        <w:rPr>
          <w:i/>
          <w:sz w:val="28"/>
          <w:szCs w:val="28"/>
        </w:rPr>
        <w:t xml:space="preserve">revirement </w:t>
      </w:r>
      <w:r>
        <w:rPr>
          <w:sz w:val="28"/>
          <w:szCs w:val="28"/>
        </w:rPr>
        <w:t>si fonderebbe proprio su di essa e pertanto andrebbe condivisa la descrizione della retribuzione in termini di coacervo di tutto ciò che è dovuto al prestatore in cambio della prestazione e della implicazione nel rapporto di lavoro</w:t>
      </w:r>
      <w:r>
        <w:rPr>
          <w:rStyle w:val="FootnoteReference"/>
          <w:sz w:val="28"/>
          <w:szCs w:val="28"/>
        </w:rPr>
        <w:footnoteReference w:id="35"/>
      </w:r>
      <w:r>
        <w:rPr>
          <w:sz w:val="28"/>
          <w:szCs w:val="28"/>
        </w:rPr>
        <w:t>.</w:t>
      </w:r>
    </w:p>
    <w:p w:rsidR="00BD2278" w:rsidRDefault="00BD2278" w:rsidP="00FE4032">
      <w:pPr>
        <w:ind w:firstLine="284"/>
        <w:rPr>
          <w:sz w:val="28"/>
          <w:szCs w:val="28"/>
        </w:rPr>
      </w:pPr>
      <w:r>
        <w:rPr>
          <w:sz w:val="28"/>
          <w:szCs w:val="28"/>
        </w:rPr>
        <w:t>In conseguenza dell’abbandono del concetto di omnicomprensività, si deve prendere atto da un lato che, sul piano della qualificazione giuridica degli istituti,  non esiste un concetto omnicomprensivo di retribuzione, e dall’altro che deve essere invece ritenuto sussistente un concetto unitario di retribuzione-obbligazione intimamente connesso alla nozione di corrispettività. Tuttavia, sul diverso piano della determinazione della base di calcolo delle attribuzioni esistono varie nozioni. Esse sono determinate dalla contrattazione collettiva quale fonte privilegiata, occasionalmente limitata da definizioni legislative. Pertanto la determinazione delle varie voci retributive si riduce ad una questione di interpretazione delle definizioni negoziali o legislative</w:t>
      </w:r>
      <w:r>
        <w:rPr>
          <w:rStyle w:val="FootnoteReference"/>
          <w:sz w:val="28"/>
          <w:szCs w:val="28"/>
        </w:rPr>
        <w:footnoteReference w:id="36"/>
      </w:r>
      <w:r>
        <w:rPr>
          <w:sz w:val="28"/>
          <w:szCs w:val="28"/>
        </w:rPr>
        <w:t>.</w:t>
      </w:r>
    </w:p>
    <w:p w:rsidR="00BD2278" w:rsidRDefault="00BD2278" w:rsidP="00FE4032">
      <w:pPr>
        <w:ind w:firstLine="284"/>
        <w:rPr>
          <w:sz w:val="28"/>
          <w:szCs w:val="28"/>
        </w:rPr>
      </w:pPr>
      <w:r>
        <w:rPr>
          <w:sz w:val="28"/>
          <w:szCs w:val="28"/>
        </w:rPr>
        <w:t>La fonte dei vari istituti consente una agevole classificazione degli stessi secondo una bipartizione: da un lato vi sono quelli che traggono origine nella contrattazione collettiva mentre nel secondo gruppo rientrano quelli di origine legale.</w:t>
      </w:r>
    </w:p>
    <w:p w:rsidR="00BD2278" w:rsidRDefault="00BD2278" w:rsidP="00FE4032">
      <w:pPr>
        <w:ind w:firstLine="284"/>
        <w:rPr>
          <w:sz w:val="28"/>
          <w:szCs w:val="28"/>
        </w:rPr>
      </w:pPr>
      <w:r>
        <w:rPr>
          <w:sz w:val="28"/>
          <w:szCs w:val="28"/>
        </w:rPr>
        <w:t>Secondo una classificazione risalente ma attuale</w:t>
      </w:r>
      <w:r>
        <w:rPr>
          <w:rStyle w:val="FootnoteReference"/>
          <w:sz w:val="28"/>
          <w:szCs w:val="28"/>
        </w:rPr>
        <w:footnoteReference w:id="37"/>
      </w:r>
      <w:r>
        <w:rPr>
          <w:sz w:val="28"/>
          <w:szCs w:val="28"/>
        </w:rPr>
        <w:t xml:space="preserve"> gli istituti di origine legale andrebbero ulteriormente distinti. Da un lato si collocano quelli originati e determinati dalla legge e dall’altro quelli privi di determinazione legale. Alla prima categoria devono essere riportate l’indennità di anzianità, l’indennità sostitutiva del preavviso e l’indennità per causa di morte, il t.f.r., il trattamento economico in gravidanza e puerperio e il compenso per le festività infrasettimanali. Si deve precisare che la determinazione legale non comporta necessariamente l’inderogabilità ad opera della contrattazione collettiva in quanto, anche a tal fine si deve prestare attenzione alla volontà del legislatore. Ad esempio in tema di t.f.r. il secondo comma dell’art. 2120 fa salva la diversa previsione dei contratti collettivi ai fini della determinazione del trattamento. Secondo un parere</w:t>
      </w:r>
      <w:r>
        <w:rPr>
          <w:rStyle w:val="FootnoteReference"/>
          <w:sz w:val="28"/>
          <w:szCs w:val="28"/>
        </w:rPr>
        <w:footnoteReference w:id="38"/>
      </w:r>
      <w:r>
        <w:rPr>
          <w:sz w:val="28"/>
          <w:szCs w:val="28"/>
        </w:rPr>
        <w:t xml:space="preserve"> ormai accolto dall’orientamento costante della giurisprudenza</w:t>
      </w:r>
      <w:r>
        <w:rPr>
          <w:rStyle w:val="FootnoteReference"/>
          <w:sz w:val="28"/>
          <w:szCs w:val="28"/>
        </w:rPr>
        <w:footnoteReference w:id="39"/>
      </w:r>
      <w:r>
        <w:rPr>
          <w:sz w:val="28"/>
          <w:szCs w:val="28"/>
        </w:rPr>
        <w:t xml:space="preserve"> ciò comporta che l’autonomia collettiva può derogare </w:t>
      </w:r>
      <w:r>
        <w:rPr>
          <w:i/>
          <w:sz w:val="28"/>
          <w:szCs w:val="28"/>
        </w:rPr>
        <w:t xml:space="preserve">in melius </w:t>
      </w:r>
      <w:r>
        <w:rPr>
          <w:sz w:val="28"/>
          <w:szCs w:val="28"/>
        </w:rPr>
        <w:t xml:space="preserve">ma anche </w:t>
      </w:r>
      <w:r>
        <w:rPr>
          <w:i/>
          <w:sz w:val="28"/>
          <w:szCs w:val="28"/>
        </w:rPr>
        <w:t>in pejus</w:t>
      </w:r>
      <w:r>
        <w:rPr>
          <w:sz w:val="28"/>
          <w:szCs w:val="28"/>
        </w:rPr>
        <w:t xml:space="preserve"> alla definizione offerta dal legislatore.</w:t>
      </w:r>
    </w:p>
    <w:p w:rsidR="00BD2278" w:rsidRDefault="00BD2278" w:rsidP="00FE4032">
      <w:pPr>
        <w:ind w:firstLine="284"/>
        <w:rPr>
          <w:sz w:val="28"/>
          <w:szCs w:val="28"/>
        </w:rPr>
      </w:pPr>
      <w:r>
        <w:rPr>
          <w:sz w:val="28"/>
          <w:szCs w:val="28"/>
        </w:rPr>
        <w:t>Il t.f.r., in considerazione del diritto del prestatore azionabile in giudizio sia pure limitatamente all’accertamento della misura, deve essere definito più quale retribuzione accantonata che retribuzione differita, ed è calcolato sommando per ciascun anno di servizio una quota pari e comunque non superiore  all’importo della retribuzione dovuta per l’anno stesso divisa per 13,5. A tal fine la retribuzione si intende comprensiva di tutte le somme compreso l’equivalente delle prestazioni in natura, corrisposte in dipendenza del rapporto di lavoro, a titolo non occasionale e con esclusione di quanto è corrisposto a titolo di rimborso spese.</w:t>
      </w:r>
    </w:p>
    <w:p w:rsidR="00BD2278" w:rsidRDefault="00BD2278" w:rsidP="00FE4032">
      <w:pPr>
        <w:ind w:firstLine="284"/>
        <w:rPr>
          <w:sz w:val="28"/>
          <w:szCs w:val="28"/>
        </w:rPr>
      </w:pPr>
      <w:r>
        <w:rPr>
          <w:sz w:val="28"/>
          <w:szCs w:val="28"/>
        </w:rPr>
        <w:t>A causa di questa formulazione ampia, la dottrina ha ritenuto che la retribuzione quale parametro ai fini del calcolo del t.f.r. si configurerebbe come sostanzialmente omnicomprensiva, atteggiandosi ad eccezione rispetto al principio ormai consolidato di assenza di un concetto di retribuzione dotato di tale caratteristica</w:t>
      </w:r>
      <w:r>
        <w:rPr>
          <w:rStyle w:val="FootnoteReference"/>
          <w:sz w:val="28"/>
          <w:szCs w:val="28"/>
        </w:rPr>
        <w:footnoteReference w:id="40"/>
      </w:r>
      <w:r>
        <w:rPr>
          <w:sz w:val="28"/>
          <w:szCs w:val="28"/>
        </w:rPr>
        <w:t>. In accoglimento di questa impostazione, la giurisprudenza ritiene computabili ai fini del calcolo del t.f.r. il premio di rendimento, i premi di fedeltà aziendale, le componenti retributive correlate alla professionalità, l’indennità di lavoro notturno, i ratei di tredicesima, l’indennità sostitutiva di ferie e festività, l’indennità per festività soppresse, le somme corrisposte a titolo di permessi non retribuiti, l’indennità di sottosuolo, di cassa, di cuffia e di disagiata residenza, l’indennità sostitutiva del preavviso</w:t>
      </w:r>
      <w:r>
        <w:rPr>
          <w:rStyle w:val="FootnoteReference"/>
          <w:sz w:val="28"/>
          <w:szCs w:val="28"/>
        </w:rPr>
        <w:footnoteReference w:id="41"/>
      </w:r>
      <w:r>
        <w:rPr>
          <w:sz w:val="28"/>
          <w:szCs w:val="28"/>
        </w:rPr>
        <w:t>.</w:t>
      </w:r>
    </w:p>
    <w:p w:rsidR="00BD2278" w:rsidRDefault="00BD2278" w:rsidP="00FE4032">
      <w:pPr>
        <w:ind w:firstLine="284"/>
        <w:rPr>
          <w:sz w:val="28"/>
          <w:szCs w:val="28"/>
        </w:rPr>
      </w:pPr>
      <w:r>
        <w:rPr>
          <w:sz w:val="28"/>
          <w:szCs w:val="28"/>
        </w:rPr>
        <w:t>Altrettanto ampie sono le nozioni di retribuzione ai fini del calcolo delle somme dovute ai lavoratori per la prestazione resa nelle giornate di ricorrenze festive e per il periodo di congedo di maternità e paternità. Per quanto concerne la prima, l’art. 5 della l. n. 260 del 27 maggio 1949 fa riferimento alla retribuzione globale di fatto giornaliera. L’art. 23 del d.lgs. n. 151 del 26 marzo 2001, che ha sostituito l’art. 16 della abrogata 30 dicembre 1971, n. 1204 sostanzialmente riproducendone il contenuto, fa riferimento alla retribuzione globale giornaliera.</w:t>
      </w:r>
    </w:p>
    <w:p w:rsidR="00BD2278" w:rsidRDefault="00BD2278" w:rsidP="00FE4032">
      <w:pPr>
        <w:ind w:firstLine="284"/>
        <w:rPr>
          <w:sz w:val="28"/>
          <w:szCs w:val="28"/>
        </w:rPr>
      </w:pPr>
      <w:r>
        <w:rPr>
          <w:sz w:val="28"/>
          <w:szCs w:val="28"/>
        </w:rPr>
        <w:t>Nella categoria degli istituti retributivi di origine legale ma privi di una determinazione ad opera della stessa fonte si collocano i compensi per la prestazione resa oltre il normale orario di lavoro. Come noto l’art. 2108 c.c. prevede che il prestatore sia compensato per le ore di straordinario con un aumento della retribuzione rispetto a quella dovuta per il lavoro ordinario. Il d.lgs. n. 66 dell’ 8 aprile 2003 di attuazione delle direttive 93/104/CE e 2000/34/CE che ha modificato taluni aspetti dell’organizzazione dell’orario di lavoro, non si occupa dell’aspetto retributivo del lavoro prestato oltre l’orario normale. Pertanto devono ritenersi attuali tutti i principi elaborati dalla dottrina e dalla giurisprudenza fino a quel momento</w:t>
      </w:r>
      <w:r>
        <w:rPr>
          <w:rStyle w:val="FootnoteReference"/>
          <w:sz w:val="28"/>
          <w:szCs w:val="28"/>
        </w:rPr>
        <w:footnoteReference w:id="42"/>
      </w:r>
      <w:r>
        <w:rPr>
          <w:sz w:val="28"/>
          <w:szCs w:val="28"/>
        </w:rPr>
        <w:t>.</w:t>
      </w:r>
    </w:p>
    <w:p w:rsidR="00BD2278" w:rsidRDefault="00BD2278" w:rsidP="00FE4032">
      <w:pPr>
        <w:ind w:firstLine="284"/>
        <w:rPr>
          <w:sz w:val="28"/>
          <w:szCs w:val="28"/>
        </w:rPr>
      </w:pPr>
      <w:r>
        <w:rPr>
          <w:sz w:val="28"/>
          <w:szCs w:val="28"/>
        </w:rPr>
        <w:t>Occorre distinguere quanto dovuto a titolo retributivo per le ore di straordinario, da quanto dovuto a titolo di risarcimento del danno dovuto in aggiunta alla retribuzione nel caso di soppressione del riposo settimanale, a condizione che si dia prova del danno biologico provocato dall’usura quale conseguenza del suo mancato godimento</w:t>
      </w:r>
      <w:r>
        <w:rPr>
          <w:rStyle w:val="FootnoteReference"/>
          <w:sz w:val="28"/>
          <w:szCs w:val="28"/>
        </w:rPr>
        <w:footnoteReference w:id="43"/>
      </w:r>
      <w:r>
        <w:rPr>
          <w:sz w:val="28"/>
          <w:szCs w:val="28"/>
        </w:rPr>
        <w:t>.</w:t>
      </w:r>
    </w:p>
    <w:p w:rsidR="00BD2278" w:rsidRDefault="00BD2278" w:rsidP="00FE4032">
      <w:pPr>
        <w:ind w:firstLine="284"/>
        <w:rPr>
          <w:sz w:val="28"/>
          <w:szCs w:val="28"/>
        </w:rPr>
      </w:pPr>
      <w:r>
        <w:rPr>
          <w:sz w:val="28"/>
          <w:szCs w:val="28"/>
        </w:rPr>
        <w:t>Per quanto concerne la retribuzione feriale la Corte di Cassazione ha ritenuto legittime le statuizioni della contrattazione collettiva con cui si escludeva dal computo della somma dovuta al prestatore, i compensi spettanti normalmente per la presenza effettiva sul luogo di lavoro, mentre per la maggiorazione per lavoro straordinario ha ritenuto che nella specie sia stata introdotta una nozione omnicomprensiva di retribuzione</w:t>
      </w:r>
      <w:r>
        <w:rPr>
          <w:rStyle w:val="FootnoteReference"/>
          <w:sz w:val="28"/>
          <w:szCs w:val="28"/>
        </w:rPr>
        <w:footnoteReference w:id="44"/>
      </w:r>
      <w:r>
        <w:rPr>
          <w:sz w:val="28"/>
          <w:szCs w:val="28"/>
        </w:rPr>
        <w:t>.</w:t>
      </w:r>
    </w:p>
    <w:p w:rsidR="00BD2278" w:rsidRDefault="00BD2278" w:rsidP="00FE4032">
      <w:pPr>
        <w:ind w:firstLine="284"/>
        <w:rPr>
          <w:sz w:val="28"/>
          <w:szCs w:val="28"/>
        </w:rPr>
      </w:pPr>
      <w:r>
        <w:rPr>
          <w:sz w:val="28"/>
          <w:szCs w:val="28"/>
        </w:rPr>
        <w:t>Infine, con riguardo agli istituti retributivi di origine negoziale è evidente che la giurisprudenza in caso di contestazioni non incontra alcun limite legislativo e deve limitarsi all’interpretazione della volontà delle parti sulla retribuzione parametro da adottarsi. Sennonché l’operazione può presentarsi molto complessa qualora manchino specifiche indicazioni.</w:t>
      </w:r>
    </w:p>
    <w:p w:rsidR="00BD2278" w:rsidRDefault="00BD2278" w:rsidP="00FE4032">
      <w:pPr>
        <w:ind w:firstLine="284"/>
        <w:rPr>
          <w:sz w:val="28"/>
          <w:szCs w:val="28"/>
        </w:rPr>
      </w:pPr>
    </w:p>
    <w:p w:rsidR="00BD2278" w:rsidRPr="00EA49B4" w:rsidRDefault="00BD2278" w:rsidP="00FE4032">
      <w:pPr>
        <w:ind w:firstLine="284"/>
        <w:rPr>
          <w:sz w:val="28"/>
          <w:szCs w:val="28"/>
        </w:rPr>
      </w:pPr>
    </w:p>
    <w:p w:rsidR="00BD2278" w:rsidRPr="00CE7F46" w:rsidRDefault="00BD2278" w:rsidP="00A01E3A">
      <w:pPr>
        <w:pStyle w:val="ListParagraph"/>
        <w:numPr>
          <w:ilvl w:val="1"/>
          <w:numId w:val="22"/>
        </w:numPr>
        <w:ind w:left="0" w:firstLine="284"/>
        <w:outlineLvl w:val="1"/>
        <w:rPr>
          <w:sz w:val="28"/>
          <w:szCs w:val="28"/>
        </w:rPr>
      </w:pPr>
      <w:bookmarkStart w:id="3" w:name="_Toc285266417"/>
      <w:r w:rsidRPr="009B00A7">
        <w:rPr>
          <w:rStyle w:val="TitoloparagrafoCarattere"/>
          <w:i/>
        </w:rPr>
        <w:t>Retribuzione e principi costituzionali: la sufficienza</w:t>
      </w:r>
      <w:r w:rsidRPr="00CE7F46">
        <w:rPr>
          <w:sz w:val="28"/>
          <w:szCs w:val="28"/>
        </w:rPr>
        <w:t>.</w:t>
      </w:r>
      <w:bookmarkEnd w:id="3"/>
    </w:p>
    <w:p w:rsidR="00BD2278" w:rsidRPr="00DB5A18" w:rsidRDefault="00BD2278" w:rsidP="00FE4032">
      <w:pPr>
        <w:pStyle w:val="ListParagraph"/>
        <w:ind w:left="0" w:firstLine="284"/>
        <w:rPr>
          <w:b/>
          <w:sz w:val="28"/>
          <w:szCs w:val="28"/>
        </w:rPr>
      </w:pPr>
    </w:p>
    <w:p w:rsidR="00BD2278" w:rsidRDefault="00BD2278" w:rsidP="00FE4032">
      <w:pPr>
        <w:ind w:firstLine="284"/>
        <w:rPr>
          <w:sz w:val="28"/>
          <w:szCs w:val="28"/>
        </w:rPr>
      </w:pPr>
      <w:r w:rsidRPr="00EA49B4">
        <w:rPr>
          <w:sz w:val="28"/>
          <w:szCs w:val="28"/>
        </w:rPr>
        <w:t>In tutti i casi in cui si costituisca un rapporto di lavoro subordinato a titolo oneroso, l’art. 36 Cost. prescrive che la retribuzione abbia i requisiti della proporzionalità e sufficienza.</w:t>
      </w:r>
    </w:p>
    <w:p w:rsidR="00BD2278" w:rsidRPr="00EA49B4" w:rsidRDefault="00BD2278" w:rsidP="00FE4032">
      <w:pPr>
        <w:ind w:firstLine="284"/>
        <w:rPr>
          <w:sz w:val="28"/>
          <w:szCs w:val="28"/>
        </w:rPr>
      </w:pPr>
      <w:r w:rsidRPr="00EA49B4">
        <w:rPr>
          <w:sz w:val="28"/>
          <w:szCs w:val="28"/>
        </w:rPr>
        <w:t xml:space="preserve">Il primo problema che si pose agli interpreti fu quello di determinare il carattere della norma in esame. Negli anni immediatamente successivi alla promulgazione della Costituzione si avviò una lunga </w:t>
      </w:r>
      <w:r w:rsidRPr="0090704B">
        <w:rPr>
          <w:i/>
          <w:sz w:val="28"/>
          <w:szCs w:val="28"/>
        </w:rPr>
        <w:t>querelle</w:t>
      </w:r>
      <w:r w:rsidRPr="00EA49B4">
        <w:rPr>
          <w:sz w:val="28"/>
          <w:szCs w:val="28"/>
        </w:rPr>
        <w:t xml:space="preserve"> in cui i commentatori presero posizione dividendosi tra sostenitori dell’efficacia immediatamente precettiva</w:t>
      </w:r>
      <w:r w:rsidRPr="00EA49B4">
        <w:rPr>
          <w:rStyle w:val="FootnoteReference"/>
          <w:sz w:val="28"/>
          <w:szCs w:val="28"/>
        </w:rPr>
        <w:footnoteReference w:id="45"/>
      </w:r>
      <w:r w:rsidRPr="00EA49B4">
        <w:rPr>
          <w:sz w:val="28"/>
          <w:szCs w:val="28"/>
        </w:rPr>
        <w:t xml:space="preserve"> e coloro che sostenevano il carattere programmatico della norma</w:t>
      </w:r>
      <w:r w:rsidRPr="00EA49B4">
        <w:rPr>
          <w:rStyle w:val="FootnoteReference"/>
          <w:sz w:val="28"/>
          <w:szCs w:val="28"/>
        </w:rPr>
        <w:footnoteReference w:id="46"/>
      </w:r>
      <w:r w:rsidRPr="00EA49B4">
        <w:rPr>
          <w:sz w:val="28"/>
          <w:szCs w:val="28"/>
        </w:rPr>
        <w:t>. La questione, ritenuta successivamente una “falsa contrapposizione” in ragione del fatto che il vero problema risiede nelle modalità di attuazione dell’art. 36 Cost.</w:t>
      </w:r>
      <w:r w:rsidRPr="00EA49B4">
        <w:rPr>
          <w:rStyle w:val="FootnoteReference"/>
          <w:sz w:val="28"/>
          <w:szCs w:val="28"/>
        </w:rPr>
        <w:footnoteReference w:id="47"/>
      </w:r>
      <w:r w:rsidRPr="00EA49B4">
        <w:rPr>
          <w:sz w:val="28"/>
          <w:szCs w:val="28"/>
        </w:rPr>
        <w:t xml:space="preserve">, fu risolta dalle prime pronunce di tribunali di merito a favore della tesi della programmaticità della norma. I giudici ritenevano infatti che la </w:t>
      </w:r>
      <w:r>
        <w:rPr>
          <w:sz w:val="28"/>
          <w:szCs w:val="28"/>
        </w:rPr>
        <w:t xml:space="preserve">disposizione </w:t>
      </w:r>
      <w:r w:rsidRPr="00EA49B4">
        <w:rPr>
          <w:sz w:val="28"/>
          <w:szCs w:val="28"/>
        </w:rPr>
        <w:t xml:space="preserve">invocata non contenesse una disciplina tanto dettagliata da consentirne l’applicazione diretta senza un intervento del legislatore. Questo orientamento di merito </w:t>
      </w:r>
      <w:r>
        <w:rPr>
          <w:sz w:val="28"/>
          <w:szCs w:val="28"/>
        </w:rPr>
        <w:t>si fondava su</w:t>
      </w:r>
      <w:r w:rsidRPr="00EA49B4">
        <w:rPr>
          <w:sz w:val="28"/>
          <w:szCs w:val="28"/>
        </w:rPr>
        <w:t xml:space="preserve"> una sentenza della</w:t>
      </w:r>
      <w:r>
        <w:rPr>
          <w:sz w:val="28"/>
          <w:szCs w:val="28"/>
        </w:rPr>
        <w:t xml:space="preserve"> Corte di C</w:t>
      </w:r>
      <w:r w:rsidRPr="00EA49B4">
        <w:rPr>
          <w:sz w:val="28"/>
          <w:szCs w:val="28"/>
        </w:rPr>
        <w:t>assazione</w:t>
      </w:r>
      <w:r>
        <w:rPr>
          <w:rStyle w:val="FootnoteReference"/>
          <w:sz w:val="28"/>
          <w:szCs w:val="28"/>
        </w:rPr>
        <w:footnoteReference w:id="48"/>
      </w:r>
      <w:r w:rsidRPr="00EA49B4">
        <w:rPr>
          <w:sz w:val="28"/>
          <w:szCs w:val="28"/>
        </w:rPr>
        <w:t xml:space="preserve"> poi subito seguita da un </w:t>
      </w:r>
      <w:r w:rsidRPr="00EA49B4">
        <w:rPr>
          <w:i/>
          <w:sz w:val="28"/>
          <w:szCs w:val="28"/>
        </w:rPr>
        <w:t>revirement</w:t>
      </w:r>
      <w:r w:rsidRPr="00EA49B4">
        <w:rPr>
          <w:sz w:val="28"/>
          <w:szCs w:val="28"/>
        </w:rPr>
        <w:t xml:space="preserve"> </w:t>
      </w:r>
      <w:r w:rsidRPr="00EA49B4">
        <w:rPr>
          <w:rStyle w:val="FootnoteReference"/>
          <w:sz w:val="28"/>
          <w:szCs w:val="28"/>
        </w:rPr>
        <w:footnoteReference w:id="49"/>
      </w:r>
      <w:r w:rsidRPr="00EA49B4">
        <w:rPr>
          <w:sz w:val="28"/>
          <w:szCs w:val="28"/>
        </w:rPr>
        <w:t xml:space="preserve"> che diede avvio ad un imprevedibile applicazione</w:t>
      </w:r>
      <w:r w:rsidRPr="00EA49B4">
        <w:rPr>
          <w:rStyle w:val="FootnoteReference"/>
          <w:sz w:val="28"/>
          <w:szCs w:val="28"/>
        </w:rPr>
        <w:footnoteReference w:id="50"/>
      </w:r>
      <w:r w:rsidRPr="00EA49B4">
        <w:rPr>
          <w:sz w:val="28"/>
          <w:szCs w:val="28"/>
        </w:rPr>
        <w:t>, dell’art. 36 Cost.</w:t>
      </w:r>
    </w:p>
    <w:p w:rsidR="00BD2278" w:rsidRDefault="00BD2278" w:rsidP="00FE4032">
      <w:pPr>
        <w:ind w:firstLine="284"/>
        <w:rPr>
          <w:sz w:val="28"/>
          <w:szCs w:val="28"/>
        </w:rPr>
      </w:pPr>
      <w:r w:rsidRPr="00EA49B4">
        <w:rPr>
          <w:sz w:val="28"/>
          <w:szCs w:val="28"/>
        </w:rPr>
        <w:t xml:space="preserve">L’imprevedibilità non sta </w:t>
      </w:r>
      <w:r>
        <w:rPr>
          <w:sz w:val="28"/>
          <w:szCs w:val="28"/>
        </w:rPr>
        <w:t xml:space="preserve">tanto </w:t>
      </w:r>
      <w:r w:rsidRPr="00EA49B4">
        <w:rPr>
          <w:sz w:val="28"/>
          <w:szCs w:val="28"/>
        </w:rPr>
        <w:t>nell’attribuzione del carattere precettivo all’art. 36 Cost., scelta obbligata in ragione dell’inattuazione del</w:t>
      </w:r>
      <w:r>
        <w:rPr>
          <w:sz w:val="28"/>
          <w:szCs w:val="28"/>
        </w:rPr>
        <w:t>l’art.</w:t>
      </w:r>
      <w:r w:rsidRPr="00EA49B4">
        <w:rPr>
          <w:sz w:val="28"/>
          <w:szCs w:val="28"/>
        </w:rPr>
        <w:t xml:space="preserve"> 39</w:t>
      </w:r>
      <w:r>
        <w:rPr>
          <w:sz w:val="28"/>
          <w:szCs w:val="28"/>
        </w:rPr>
        <w:t xml:space="preserve"> Cost.</w:t>
      </w:r>
      <w:r w:rsidRPr="00EA49B4">
        <w:rPr>
          <w:sz w:val="28"/>
          <w:szCs w:val="28"/>
        </w:rPr>
        <w:t>, quanto piuttosto nell’aver individuato nel giudice il soggetto responsabile dell’applicazione</w:t>
      </w:r>
      <w:r w:rsidRPr="00EA49B4">
        <w:rPr>
          <w:rStyle w:val="FootnoteReference"/>
          <w:sz w:val="28"/>
          <w:szCs w:val="28"/>
        </w:rPr>
        <w:footnoteReference w:id="51"/>
      </w:r>
      <w:r w:rsidRPr="00EA49B4">
        <w:rPr>
          <w:sz w:val="28"/>
          <w:szCs w:val="28"/>
        </w:rPr>
        <w:t xml:space="preserve">. </w:t>
      </w:r>
      <w:r>
        <w:rPr>
          <w:sz w:val="28"/>
          <w:szCs w:val="28"/>
        </w:rPr>
        <w:t>La struttura del sistema, fondato</w:t>
      </w:r>
      <w:r w:rsidRPr="00EA49B4">
        <w:rPr>
          <w:sz w:val="28"/>
          <w:szCs w:val="28"/>
        </w:rPr>
        <w:t xml:space="preserve"> sull’</w:t>
      </w:r>
      <w:r w:rsidRPr="00EA49B4">
        <w:rPr>
          <w:i/>
          <w:sz w:val="28"/>
          <w:szCs w:val="28"/>
        </w:rPr>
        <w:t>erga omnes</w:t>
      </w:r>
      <w:r>
        <w:rPr>
          <w:sz w:val="28"/>
          <w:szCs w:val="28"/>
        </w:rPr>
        <w:t xml:space="preserve"> del contratto collettivo</w:t>
      </w:r>
      <w:r>
        <w:rPr>
          <w:i/>
          <w:sz w:val="28"/>
          <w:szCs w:val="28"/>
        </w:rPr>
        <w:t>,</w:t>
      </w:r>
      <w:r w:rsidRPr="00EA49B4">
        <w:rPr>
          <w:sz w:val="28"/>
          <w:szCs w:val="28"/>
        </w:rPr>
        <w:t xml:space="preserve"> </w:t>
      </w:r>
      <w:r>
        <w:rPr>
          <w:sz w:val="28"/>
          <w:szCs w:val="28"/>
        </w:rPr>
        <w:t>mostra l’estraneità alle intensioni del legislatore costituente, della possibilità che</w:t>
      </w:r>
      <w:r w:rsidRPr="00EA49B4">
        <w:rPr>
          <w:sz w:val="28"/>
          <w:szCs w:val="28"/>
        </w:rPr>
        <w:t xml:space="preserve"> la retribuzione sufficiente potesse essere individuata per via giudiziale</w:t>
      </w:r>
      <w:r w:rsidRPr="00EA49B4">
        <w:rPr>
          <w:rStyle w:val="FootnoteReference"/>
          <w:sz w:val="28"/>
          <w:szCs w:val="28"/>
        </w:rPr>
        <w:footnoteReference w:id="52"/>
      </w:r>
      <w:r>
        <w:rPr>
          <w:sz w:val="28"/>
          <w:szCs w:val="28"/>
        </w:rPr>
        <w:t>.</w:t>
      </w:r>
    </w:p>
    <w:p w:rsidR="00BD2278" w:rsidRDefault="00BD2278" w:rsidP="00FE4032">
      <w:pPr>
        <w:ind w:firstLine="284"/>
        <w:rPr>
          <w:sz w:val="28"/>
          <w:szCs w:val="28"/>
        </w:rPr>
      </w:pPr>
      <w:r>
        <w:rPr>
          <w:sz w:val="28"/>
          <w:szCs w:val="28"/>
        </w:rPr>
        <w:t>Preso atto della resistenza ad intervenire per l’attuazione della seconda parte dell’art. 39 Cost. e della sordità del legislatore ordinario alle istanze di introduzione di una legge sul salario minimo, più volte avanzate in dottrina</w:t>
      </w:r>
      <w:r>
        <w:rPr>
          <w:rStyle w:val="FootnoteReference"/>
          <w:sz w:val="28"/>
          <w:szCs w:val="28"/>
        </w:rPr>
        <w:footnoteReference w:id="53"/>
      </w:r>
      <w:r>
        <w:rPr>
          <w:sz w:val="28"/>
          <w:szCs w:val="28"/>
        </w:rPr>
        <w:t>, quella tracciata dalla giurisprudenza altro non è che l’unica via percorribile.</w:t>
      </w:r>
    </w:p>
    <w:p w:rsidR="00BD2278" w:rsidRPr="00EA49B4" w:rsidRDefault="00BD2278" w:rsidP="00FE4032">
      <w:pPr>
        <w:ind w:firstLine="284"/>
        <w:rPr>
          <w:sz w:val="28"/>
          <w:szCs w:val="28"/>
        </w:rPr>
      </w:pPr>
      <w:r w:rsidRPr="00EA49B4">
        <w:rPr>
          <w:sz w:val="28"/>
          <w:szCs w:val="28"/>
        </w:rPr>
        <w:t xml:space="preserve">La deriva giurisprudenziale della sufficienza ha determinato una difformità rispetto ai risultati attesi dal legislatore costituente. Anzitutto la sufficienza non può che essere dichiarata caso per caso e con efficacia limitata alle parti per effetto dei principi sul giudicato. </w:t>
      </w:r>
    </w:p>
    <w:p w:rsidR="00BD2278" w:rsidRPr="00EA49B4" w:rsidRDefault="00BD2278" w:rsidP="00FE4032">
      <w:pPr>
        <w:ind w:firstLine="284"/>
        <w:rPr>
          <w:sz w:val="28"/>
          <w:szCs w:val="28"/>
        </w:rPr>
      </w:pPr>
      <w:r w:rsidRPr="00EA49B4">
        <w:rPr>
          <w:sz w:val="28"/>
          <w:szCs w:val="28"/>
        </w:rPr>
        <w:t>Inoltre</w:t>
      </w:r>
      <w:r>
        <w:rPr>
          <w:sz w:val="28"/>
          <w:szCs w:val="28"/>
        </w:rPr>
        <w:t>,</w:t>
      </w:r>
      <w:r w:rsidRPr="00EA49B4">
        <w:rPr>
          <w:sz w:val="28"/>
          <w:szCs w:val="28"/>
        </w:rPr>
        <w:t xml:space="preserve"> secondo un consolidato orientamento di legittimità</w:t>
      </w:r>
      <w:r>
        <w:rPr>
          <w:sz w:val="28"/>
          <w:szCs w:val="28"/>
        </w:rPr>
        <w:t>,</w:t>
      </w:r>
      <w:r w:rsidRPr="00EA49B4">
        <w:rPr>
          <w:sz w:val="28"/>
          <w:szCs w:val="28"/>
        </w:rPr>
        <w:t xml:space="preserve"> il giudice per determinare </w:t>
      </w:r>
      <w:r>
        <w:rPr>
          <w:sz w:val="28"/>
          <w:szCs w:val="28"/>
        </w:rPr>
        <w:t>la misura salariale sufficiente</w:t>
      </w:r>
      <w:r w:rsidRPr="00EA49B4">
        <w:rPr>
          <w:sz w:val="28"/>
          <w:szCs w:val="28"/>
        </w:rPr>
        <w:t xml:space="preserve"> deve guardare al contratto collettivo nazionale di riferimento. In dottrina si tende ad approvare l’ancoraggio ad un parametro ritenuto oggettivo in quanto espressione della composizione periodica e frequente (a livello collettivo) tra gli interessi opposti del datore di lavoro e del lavoratore</w:t>
      </w:r>
      <w:r w:rsidRPr="00EA49B4">
        <w:rPr>
          <w:rStyle w:val="FootnoteReference"/>
          <w:sz w:val="28"/>
          <w:szCs w:val="28"/>
        </w:rPr>
        <w:footnoteReference w:id="54"/>
      </w:r>
      <w:r w:rsidRPr="00EA49B4">
        <w:rPr>
          <w:sz w:val="28"/>
          <w:szCs w:val="28"/>
        </w:rPr>
        <w:t xml:space="preserve">. </w:t>
      </w:r>
      <w:r>
        <w:rPr>
          <w:sz w:val="28"/>
          <w:szCs w:val="28"/>
        </w:rPr>
        <w:t>L</w:t>
      </w:r>
      <w:r w:rsidRPr="00EA49B4">
        <w:rPr>
          <w:sz w:val="28"/>
          <w:szCs w:val="28"/>
        </w:rPr>
        <w:t>’orientamento prevalente, dopo una fase di applicazione “meccanicistica” delle tabelle salariali</w:t>
      </w:r>
      <w:r w:rsidRPr="00EA49B4">
        <w:rPr>
          <w:rStyle w:val="FootnoteReference"/>
          <w:sz w:val="28"/>
          <w:szCs w:val="28"/>
        </w:rPr>
        <w:footnoteReference w:id="55"/>
      </w:r>
      <w:r w:rsidRPr="00EA49B4">
        <w:rPr>
          <w:sz w:val="28"/>
          <w:szCs w:val="28"/>
        </w:rPr>
        <w:t>, ha ritenuto il riferimento ai minimi tabellari solo orientativo e non vincolante</w:t>
      </w:r>
      <w:r w:rsidRPr="00EA49B4">
        <w:rPr>
          <w:rStyle w:val="FootnoteReference"/>
          <w:sz w:val="28"/>
          <w:szCs w:val="28"/>
        </w:rPr>
        <w:footnoteReference w:id="56"/>
      </w:r>
      <w:r w:rsidRPr="00EA49B4">
        <w:rPr>
          <w:sz w:val="28"/>
          <w:szCs w:val="28"/>
        </w:rPr>
        <w:t>, aprendo al giudice di merito la possibilità di valutare la rispondenza a sufficienza rispetto alle esigenze del singolo lavoratore. Il soggettivismo nella determinazione dei criteri di sufficienza da applicare al caso di specie costituisce l’ulteriore divaricazione tra gli effetti attesi dai costituenti e quelli prodotti dall’applicazione delle norme costituzionali. Infatti</w:t>
      </w:r>
      <w:r>
        <w:rPr>
          <w:sz w:val="28"/>
          <w:szCs w:val="28"/>
        </w:rPr>
        <w:t>,</w:t>
      </w:r>
      <w:r w:rsidRPr="00EA49B4">
        <w:rPr>
          <w:sz w:val="28"/>
          <w:szCs w:val="28"/>
        </w:rPr>
        <w:t xml:space="preserve"> come è ovvio</w:t>
      </w:r>
      <w:r>
        <w:rPr>
          <w:sz w:val="28"/>
          <w:szCs w:val="28"/>
        </w:rPr>
        <w:t>,</w:t>
      </w:r>
      <w:r w:rsidRPr="00EA49B4">
        <w:rPr>
          <w:sz w:val="28"/>
          <w:szCs w:val="28"/>
        </w:rPr>
        <w:t xml:space="preserve"> lo scopo del sistema fondato sull’efficacia </w:t>
      </w:r>
      <w:r w:rsidRPr="00EA49B4">
        <w:rPr>
          <w:i/>
          <w:sz w:val="28"/>
          <w:szCs w:val="28"/>
        </w:rPr>
        <w:t xml:space="preserve">erga omnes </w:t>
      </w:r>
      <w:r w:rsidRPr="00EA49B4">
        <w:rPr>
          <w:sz w:val="28"/>
          <w:szCs w:val="28"/>
        </w:rPr>
        <w:t>dei contratti collettivi era quello di garantire una tutela diffusa dei livelli salariali con l’effetto della perequazione, ottenuta nel precedente sistema corporativo per il tramite della stipulazione obbligatoria del contratto collettivo e dell’inquadramento sindacale obbligatorio.</w:t>
      </w:r>
    </w:p>
    <w:p w:rsidR="00BD2278" w:rsidRPr="00EA49B4" w:rsidRDefault="00BD2278" w:rsidP="00FE4032">
      <w:pPr>
        <w:ind w:firstLine="284"/>
        <w:rPr>
          <w:sz w:val="28"/>
          <w:szCs w:val="28"/>
        </w:rPr>
      </w:pPr>
      <w:r w:rsidRPr="00EA49B4">
        <w:rPr>
          <w:sz w:val="28"/>
          <w:szCs w:val="28"/>
        </w:rPr>
        <w:t>L’attribuzione di immediata precettività all’art. 36 al fine di valutare la sufficienza della retribuzione convenzionalmente stabilita a livello individuale,</w:t>
      </w:r>
      <w:r>
        <w:rPr>
          <w:sz w:val="28"/>
          <w:szCs w:val="28"/>
        </w:rPr>
        <w:t xml:space="preserve"> trovava il suo presupposto necessari nella</w:t>
      </w:r>
      <w:r w:rsidRPr="00EA49B4">
        <w:rPr>
          <w:sz w:val="28"/>
          <w:szCs w:val="28"/>
        </w:rPr>
        <w:t xml:space="preserve"> </w:t>
      </w:r>
      <w:r>
        <w:rPr>
          <w:sz w:val="28"/>
          <w:szCs w:val="28"/>
        </w:rPr>
        <w:t xml:space="preserve">indisponibilità </w:t>
      </w:r>
      <w:r w:rsidRPr="00EA49B4">
        <w:rPr>
          <w:sz w:val="28"/>
          <w:szCs w:val="28"/>
        </w:rPr>
        <w:t>del relativo diritto</w:t>
      </w:r>
      <w:r w:rsidRPr="00EA49B4">
        <w:rPr>
          <w:rStyle w:val="FootnoteReference"/>
          <w:sz w:val="28"/>
          <w:szCs w:val="28"/>
        </w:rPr>
        <w:footnoteReference w:id="57"/>
      </w:r>
      <w:r w:rsidRPr="00EA49B4">
        <w:rPr>
          <w:sz w:val="28"/>
          <w:szCs w:val="28"/>
        </w:rPr>
        <w:t>.</w:t>
      </w:r>
    </w:p>
    <w:p w:rsidR="00BD2278" w:rsidRPr="00EA49B4" w:rsidRDefault="00BD2278" w:rsidP="00FE4032">
      <w:pPr>
        <w:ind w:firstLine="284"/>
        <w:rPr>
          <w:sz w:val="28"/>
          <w:szCs w:val="28"/>
        </w:rPr>
      </w:pPr>
      <w:r w:rsidRPr="00EA49B4">
        <w:rPr>
          <w:sz w:val="28"/>
          <w:szCs w:val="28"/>
        </w:rPr>
        <w:t xml:space="preserve">La portata dirompente dell’orientamento </w:t>
      </w:r>
      <w:r>
        <w:rPr>
          <w:sz w:val="28"/>
          <w:szCs w:val="28"/>
        </w:rPr>
        <w:t>s</w:t>
      </w:r>
      <w:r w:rsidRPr="00EA49B4">
        <w:rPr>
          <w:sz w:val="28"/>
          <w:szCs w:val="28"/>
        </w:rPr>
        <w:t>ulla precettività dell’art. 36 Cost.</w:t>
      </w:r>
      <w:r>
        <w:rPr>
          <w:sz w:val="28"/>
          <w:szCs w:val="28"/>
        </w:rPr>
        <w:t xml:space="preserve"> non deve passare inosservata</w:t>
      </w:r>
      <w:r w:rsidRPr="00EA49B4">
        <w:rPr>
          <w:sz w:val="28"/>
          <w:szCs w:val="28"/>
        </w:rPr>
        <w:t xml:space="preserve">. </w:t>
      </w:r>
      <w:r>
        <w:rPr>
          <w:sz w:val="28"/>
          <w:szCs w:val="28"/>
        </w:rPr>
        <w:t>L’assetto legislativo precedente alla Costituzione repubblicana,</w:t>
      </w:r>
      <w:r w:rsidRPr="00EA49B4">
        <w:rPr>
          <w:sz w:val="28"/>
          <w:szCs w:val="28"/>
        </w:rPr>
        <w:t xml:space="preserve"> attribuiva efficacia diretta al contratto collettivo corporativo</w:t>
      </w:r>
      <w:r>
        <w:rPr>
          <w:sz w:val="28"/>
          <w:szCs w:val="28"/>
        </w:rPr>
        <w:t>,</w:t>
      </w:r>
      <w:r w:rsidRPr="00EA49B4">
        <w:rPr>
          <w:sz w:val="28"/>
          <w:szCs w:val="28"/>
        </w:rPr>
        <w:t xml:space="preserve"> in ragione dell’inquadramento sindacale obbligatorio e della stipulazione obbligatoria del</w:t>
      </w:r>
      <w:r>
        <w:rPr>
          <w:sz w:val="28"/>
          <w:szCs w:val="28"/>
        </w:rPr>
        <w:t xml:space="preserve"> predetto</w:t>
      </w:r>
      <w:r w:rsidRPr="00EA49B4">
        <w:rPr>
          <w:sz w:val="28"/>
          <w:szCs w:val="28"/>
        </w:rPr>
        <w:t xml:space="preserve"> contratto. Pertanto</w:t>
      </w:r>
      <w:r>
        <w:rPr>
          <w:sz w:val="28"/>
          <w:szCs w:val="28"/>
        </w:rPr>
        <w:t>,</w:t>
      </w:r>
      <w:r w:rsidRPr="00EA49B4">
        <w:rPr>
          <w:sz w:val="28"/>
          <w:szCs w:val="28"/>
        </w:rPr>
        <w:t xml:space="preserve"> i livelli salariali per i contraenti individuali erano vincolanti </w:t>
      </w:r>
      <w:r w:rsidRPr="00EA49B4">
        <w:rPr>
          <w:i/>
          <w:sz w:val="28"/>
          <w:szCs w:val="28"/>
        </w:rPr>
        <w:t>ex lege</w:t>
      </w:r>
      <w:r w:rsidRPr="00EA49B4">
        <w:rPr>
          <w:sz w:val="28"/>
          <w:szCs w:val="28"/>
        </w:rPr>
        <w:t>, senza riconoscimento di alcuna posizione giuridica soggettiva attiva al giusto salario. La garanzia dell’adeguatezza dei livelli salariali secondo la visione positivista dell’epoca, derivava quale conseguenza del “regime di giustizia sociale” di cui il salario corporativo si riteneva fosse espressione</w:t>
      </w:r>
      <w:r w:rsidRPr="00EA49B4">
        <w:rPr>
          <w:rStyle w:val="FootnoteReference"/>
          <w:sz w:val="28"/>
          <w:szCs w:val="28"/>
        </w:rPr>
        <w:footnoteReference w:id="58"/>
      </w:r>
      <w:r w:rsidRPr="00EA49B4">
        <w:rPr>
          <w:sz w:val="28"/>
          <w:szCs w:val="28"/>
        </w:rPr>
        <w:t>.</w:t>
      </w:r>
    </w:p>
    <w:p w:rsidR="00BD2278" w:rsidRPr="00EA49B4" w:rsidRDefault="00BD2278" w:rsidP="00FE4032">
      <w:pPr>
        <w:ind w:firstLine="284"/>
        <w:rPr>
          <w:sz w:val="28"/>
          <w:szCs w:val="28"/>
        </w:rPr>
      </w:pPr>
      <w:r w:rsidRPr="00EA49B4">
        <w:rPr>
          <w:sz w:val="28"/>
          <w:szCs w:val="28"/>
        </w:rPr>
        <w:t>Evidentemente il riconoscimento del diritto alla retribuzione come una profonda innovazione per il fatto che la posizione giuridica soggettiva</w:t>
      </w:r>
      <w:r>
        <w:rPr>
          <w:sz w:val="28"/>
          <w:szCs w:val="28"/>
        </w:rPr>
        <w:t>, oltre a costituire parametro di legittimità della legislazione ordinaria, si sia ritenuta</w:t>
      </w:r>
      <w:r w:rsidRPr="00EA49B4">
        <w:rPr>
          <w:sz w:val="28"/>
          <w:szCs w:val="28"/>
        </w:rPr>
        <w:t xml:space="preserve"> preesistesse alla stipulazione del contratto individuale di lavoro</w:t>
      </w:r>
      <w:r w:rsidRPr="00EA49B4">
        <w:rPr>
          <w:rStyle w:val="FootnoteReference"/>
          <w:sz w:val="28"/>
          <w:szCs w:val="28"/>
        </w:rPr>
        <w:footnoteReference w:id="59"/>
      </w:r>
      <w:r w:rsidRPr="00EA49B4">
        <w:rPr>
          <w:sz w:val="28"/>
          <w:szCs w:val="28"/>
        </w:rPr>
        <w:t>.</w:t>
      </w:r>
    </w:p>
    <w:p w:rsidR="00BD2278" w:rsidRDefault="00BD2278" w:rsidP="00FE4032">
      <w:pPr>
        <w:ind w:firstLine="284"/>
        <w:rPr>
          <w:sz w:val="28"/>
          <w:szCs w:val="28"/>
        </w:rPr>
      </w:pPr>
    </w:p>
    <w:p w:rsidR="00BD2278" w:rsidRPr="00EA49B4" w:rsidRDefault="00BD2278" w:rsidP="00FE4032">
      <w:pPr>
        <w:ind w:firstLine="284"/>
        <w:rPr>
          <w:sz w:val="28"/>
          <w:szCs w:val="28"/>
        </w:rPr>
      </w:pPr>
    </w:p>
    <w:p w:rsidR="00BD2278" w:rsidRPr="00CE7F46" w:rsidRDefault="00BD2278" w:rsidP="00A01E3A">
      <w:pPr>
        <w:pStyle w:val="ListParagraph"/>
        <w:numPr>
          <w:ilvl w:val="1"/>
          <w:numId w:val="22"/>
        </w:numPr>
        <w:ind w:left="0" w:firstLine="284"/>
        <w:outlineLvl w:val="1"/>
        <w:rPr>
          <w:sz w:val="28"/>
          <w:szCs w:val="28"/>
        </w:rPr>
      </w:pPr>
      <w:bookmarkStart w:id="4" w:name="_Toc285266418"/>
      <w:r w:rsidRPr="009B00A7">
        <w:rPr>
          <w:rStyle w:val="TitoloparagrafoCarattere"/>
          <w:i/>
        </w:rPr>
        <w:t>Retribuzione e principi costituzionali: la proporzionalità</w:t>
      </w:r>
      <w:r>
        <w:rPr>
          <w:sz w:val="28"/>
          <w:szCs w:val="28"/>
        </w:rPr>
        <w:t>.</w:t>
      </w:r>
      <w:bookmarkEnd w:id="4"/>
    </w:p>
    <w:p w:rsidR="00BD2278" w:rsidRDefault="00BD2278" w:rsidP="00FE4032">
      <w:pPr>
        <w:pStyle w:val="ListParagraph"/>
        <w:ind w:left="0" w:firstLine="284"/>
        <w:rPr>
          <w:b/>
          <w:sz w:val="28"/>
          <w:szCs w:val="28"/>
        </w:rPr>
      </w:pPr>
    </w:p>
    <w:p w:rsidR="00BD2278" w:rsidRDefault="00BD2278" w:rsidP="00FE4032">
      <w:pPr>
        <w:ind w:firstLine="284"/>
        <w:rPr>
          <w:sz w:val="28"/>
          <w:szCs w:val="28"/>
        </w:rPr>
      </w:pPr>
      <w:r>
        <w:rPr>
          <w:sz w:val="28"/>
          <w:szCs w:val="28"/>
        </w:rPr>
        <w:t xml:space="preserve">Come risulta evidente da quanto fin qui detto, l’attribuzione di un valore immediatamente precettivo all’art. 36 Cost. non era nelle intenzioni del legislatore costituente, nel cui progetto era contemplata una efficacia </w:t>
      </w:r>
      <w:r>
        <w:rPr>
          <w:i/>
          <w:sz w:val="28"/>
          <w:szCs w:val="28"/>
        </w:rPr>
        <w:t xml:space="preserve">erga omnes </w:t>
      </w:r>
      <w:r>
        <w:rPr>
          <w:sz w:val="28"/>
          <w:szCs w:val="28"/>
        </w:rPr>
        <w:t>dei contratti collettivi stipulati</w:t>
      </w:r>
      <w:r>
        <w:rPr>
          <w:i/>
          <w:sz w:val="28"/>
          <w:szCs w:val="28"/>
        </w:rPr>
        <w:t xml:space="preserve"> ex </w:t>
      </w:r>
      <w:r>
        <w:rPr>
          <w:sz w:val="28"/>
          <w:szCs w:val="28"/>
        </w:rPr>
        <w:t>art. 39 Cost., da cui sarebbe dovuta discendere la disciplina della retribuzione del lavoro subordinato. In questa prospettiva l’art. 36 Cost. sarebbe rimasto confinato  nell’area delle mere enunciazioni di principio con la sola efficacia di paletto nell’eventuale esercizio del potere legislativo in materia</w:t>
      </w:r>
      <w:r>
        <w:rPr>
          <w:rStyle w:val="FootnoteReference"/>
          <w:sz w:val="28"/>
          <w:szCs w:val="28"/>
        </w:rPr>
        <w:footnoteReference w:id="60"/>
      </w:r>
      <w:r>
        <w:rPr>
          <w:sz w:val="28"/>
          <w:szCs w:val="28"/>
        </w:rPr>
        <w:t>.</w:t>
      </w:r>
    </w:p>
    <w:p w:rsidR="00BD2278" w:rsidRDefault="00BD2278" w:rsidP="00FE4032">
      <w:pPr>
        <w:ind w:firstLine="284"/>
        <w:rPr>
          <w:sz w:val="28"/>
          <w:szCs w:val="28"/>
        </w:rPr>
      </w:pPr>
      <w:r>
        <w:rPr>
          <w:sz w:val="28"/>
          <w:szCs w:val="28"/>
        </w:rPr>
        <w:t>Secondo quanto già detto, la giurisprudenza ha riportato l’art. 36 Cost. sul piano della precettività. In questa operazione tuttavia a differenza del principio della sufficienza, quello della proporzionalità ha avuto un’applicazione meno incisiva</w:t>
      </w:r>
      <w:r>
        <w:rPr>
          <w:rStyle w:val="FootnoteReference"/>
          <w:sz w:val="28"/>
          <w:szCs w:val="28"/>
        </w:rPr>
        <w:footnoteReference w:id="61"/>
      </w:r>
      <w:r>
        <w:rPr>
          <w:sz w:val="28"/>
          <w:szCs w:val="28"/>
        </w:rPr>
        <w:t>.</w:t>
      </w:r>
    </w:p>
    <w:p w:rsidR="00BD2278" w:rsidRDefault="00BD2278" w:rsidP="00FE4032">
      <w:pPr>
        <w:ind w:firstLine="284"/>
        <w:rPr>
          <w:sz w:val="28"/>
          <w:szCs w:val="28"/>
        </w:rPr>
      </w:pPr>
      <w:r>
        <w:rPr>
          <w:sz w:val="28"/>
          <w:szCs w:val="28"/>
        </w:rPr>
        <w:t>Il motivo di questa limitazione della giurisprudenza è da alcuni ricondotto alla volontà di sottrarre l’adeguatezza dei livelli retributivi stabiliti a livello collettivo, al vaglio di proporzionalità in quanto ciò avrebbe comportato la messa in discussione anche de criteri di valutazione e inquadramento che li definiscono, assoggettando perciò al sindacato del giudice gli equilibri complessivi del rapporto di lavoro e delle sue prestazioni</w:t>
      </w:r>
      <w:r>
        <w:rPr>
          <w:rStyle w:val="FootnoteReference"/>
          <w:sz w:val="28"/>
          <w:szCs w:val="28"/>
        </w:rPr>
        <w:footnoteReference w:id="62"/>
      </w:r>
      <w:r>
        <w:rPr>
          <w:sz w:val="28"/>
          <w:szCs w:val="28"/>
        </w:rPr>
        <w:t xml:space="preserve">. In altri termini la giurisprudenza, attuando un evidente </w:t>
      </w:r>
      <w:r>
        <w:rPr>
          <w:i/>
          <w:sz w:val="28"/>
          <w:szCs w:val="28"/>
        </w:rPr>
        <w:t>self restraint</w:t>
      </w:r>
      <w:r>
        <w:rPr>
          <w:sz w:val="28"/>
          <w:szCs w:val="28"/>
        </w:rPr>
        <w:t>, avrebbe preferito astenersi da una intromissione troppo invasiva nella sfera dell’autonomia negoziale che avrebbe comportato il giudizio sulla proporzionalità della retribuzione.</w:t>
      </w:r>
    </w:p>
    <w:p w:rsidR="00BD2278" w:rsidRDefault="00BD2278" w:rsidP="00FE4032">
      <w:pPr>
        <w:ind w:firstLine="284"/>
        <w:rPr>
          <w:sz w:val="28"/>
          <w:szCs w:val="28"/>
        </w:rPr>
      </w:pPr>
      <w:r>
        <w:rPr>
          <w:sz w:val="28"/>
          <w:szCs w:val="28"/>
        </w:rPr>
        <w:t>Effettivamente le poche pronunce che si sono registrate in materia di proporzionalità si sono concentrate su alcune applicazioni particolari del principio di proporzionalità.</w:t>
      </w:r>
    </w:p>
    <w:p w:rsidR="00BD2278" w:rsidRDefault="00BD2278" w:rsidP="00FE4032">
      <w:pPr>
        <w:ind w:firstLine="284"/>
        <w:rPr>
          <w:sz w:val="28"/>
          <w:szCs w:val="28"/>
        </w:rPr>
      </w:pPr>
      <w:r>
        <w:rPr>
          <w:sz w:val="28"/>
          <w:szCs w:val="28"/>
        </w:rPr>
        <w:t>In particolare, in ragione del principio suddetto, è ritenuta legittima la riduzione delle retribuzioni in rapporti di lavoro a tempo parziale, quale postulato della proporzionalità delle stesse alla quantità del lavoro prestato, come il riconoscimento di maggiorazioni a favore di quei soggetti che svolgano le prestazioni in giorni festivi o in luoghi diversi da quello abituale</w:t>
      </w:r>
      <w:r>
        <w:rPr>
          <w:rStyle w:val="FootnoteReference"/>
          <w:sz w:val="28"/>
          <w:szCs w:val="28"/>
        </w:rPr>
        <w:footnoteReference w:id="63"/>
      </w:r>
      <w:r>
        <w:rPr>
          <w:sz w:val="28"/>
          <w:szCs w:val="28"/>
        </w:rPr>
        <w:t>.</w:t>
      </w:r>
    </w:p>
    <w:p w:rsidR="00BD2278" w:rsidRDefault="00BD2278" w:rsidP="00FE4032">
      <w:pPr>
        <w:ind w:firstLine="284"/>
        <w:rPr>
          <w:sz w:val="28"/>
          <w:szCs w:val="28"/>
        </w:rPr>
      </w:pPr>
      <w:r>
        <w:rPr>
          <w:sz w:val="28"/>
          <w:szCs w:val="28"/>
        </w:rPr>
        <w:t>A parte le suddette applicazioni del principio di proporzionalità, esso in genere è utilizzato in funzione di correttivo di quello della sufficienza.</w:t>
      </w:r>
    </w:p>
    <w:p w:rsidR="00BD2278" w:rsidRDefault="00BD2278" w:rsidP="00FE4032">
      <w:pPr>
        <w:ind w:firstLine="284"/>
        <w:rPr>
          <w:sz w:val="28"/>
          <w:szCs w:val="28"/>
        </w:rPr>
      </w:pPr>
      <w:r w:rsidRPr="00EA49B4">
        <w:rPr>
          <w:sz w:val="28"/>
          <w:szCs w:val="28"/>
        </w:rPr>
        <w:t>Secondo una parte della dottrina</w:t>
      </w:r>
      <w:r w:rsidRPr="00EA49B4">
        <w:rPr>
          <w:rStyle w:val="FootnoteReference"/>
          <w:sz w:val="28"/>
          <w:szCs w:val="28"/>
        </w:rPr>
        <w:footnoteReference w:id="64"/>
      </w:r>
      <w:r w:rsidRPr="00EA49B4">
        <w:rPr>
          <w:sz w:val="28"/>
          <w:szCs w:val="28"/>
        </w:rPr>
        <w:t xml:space="preserve">, l’utilizzazione rigorosa e diffusa degli </w:t>
      </w:r>
      <w:r w:rsidRPr="00EA49B4">
        <w:rPr>
          <w:i/>
          <w:sz w:val="28"/>
          <w:szCs w:val="28"/>
        </w:rPr>
        <w:t xml:space="preserve">standards </w:t>
      </w:r>
      <w:r w:rsidRPr="00EA49B4">
        <w:rPr>
          <w:sz w:val="28"/>
          <w:szCs w:val="28"/>
        </w:rPr>
        <w:t>retributivi previsti dal contratto collettivo avrebbe dovuto essere la conseguenza dell’applicazione dell’art. 36 Cost. Ciò in quanto se si fosse data attuazione al sistema delineato alla seconda parte dell’art. 39 il minimo sarebbe stato uguale per i lavoratori</w:t>
      </w:r>
      <w:r>
        <w:rPr>
          <w:sz w:val="28"/>
          <w:szCs w:val="28"/>
        </w:rPr>
        <w:t xml:space="preserve"> su tutto il territorio nazionale</w:t>
      </w:r>
      <w:r w:rsidRPr="00EA49B4">
        <w:rPr>
          <w:sz w:val="28"/>
          <w:szCs w:val="28"/>
        </w:rPr>
        <w:t>. E a risultati diversi non avrebbe dovuto condurre la scelta di dare attuazione alla volontà dei costituenti in modo anomalo, attraverso l’in</w:t>
      </w:r>
      <w:r>
        <w:rPr>
          <w:sz w:val="28"/>
          <w:szCs w:val="28"/>
        </w:rPr>
        <w:t xml:space="preserve">tervento della giurisprudenza. Al contrario, l’intervento del giudice sui livelli retributivi stabiliti dall’autonomia collettiva, attuato per adeguare lo standard al caso concreto, comporta una valutazione soggettivistica estranea alle intenzioni del legislatore dirette unicamente a ottenere  per il tramite della proporzionalità e della sufficienza la </w:t>
      </w:r>
      <w:r w:rsidRPr="00EA49B4">
        <w:rPr>
          <w:sz w:val="28"/>
          <w:szCs w:val="28"/>
        </w:rPr>
        <w:t>perequazione dei salari all’interno delle categorie di lavoratori</w:t>
      </w:r>
      <w:r>
        <w:rPr>
          <w:sz w:val="28"/>
          <w:szCs w:val="28"/>
        </w:rPr>
        <w:t>.</w:t>
      </w:r>
    </w:p>
    <w:p w:rsidR="00BD2278" w:rsidRDefault="00BD2278" w:rsidP="00FE4032">
      <w:pPr>
        <w:ind w:firstLine="284"/>
        <w:rPr>
          <w:sz w:val="28"/>
          <w:szCs w:val="28"/>
        </w:rPr>
      </w:pPr>
      <w:r>
        <w:rPr>
          <w:sz w:val="28"/>
          <w:szCs w:val="28"/>
        </w:rPr>
        <w:t xml:space="preserve">L’interpretazione più rispettosa dei principi costituzionali di cui all’art. 36 Cost. impone dunque </w:t>
      </w:r>
      <w:r w:rsidRPr="00EA49B4">
        <w:rPr>
          <w:sz w:val="28"/>
          <w:szCs w:val="28"/>
        </w:rPr>
        <w:t>l’applicazione dei livelli retributivi di cui al contratto collettivo in tutti i casi di pattuizione difforme in senso peggiorativo</w:t>
      </w:r>
      <w:r w:rsidRPr="00EA49B4">
        <w:rPr>
          <w:rStyle w:val="FootnoteReference"/>
          <w:sz w:val="28"/>
          <w:szCs w:val="28"/>
        </w:rPr>
        <w:footnoteReference w:id="65"/>
      </w:r>
      <w:r>
        <w:rPr>
          <w:sz w:val="28"/>
          <w:szCs w:val="28"/>
        </w:rPr>
        <w:t xml:space="preserve">. Ciò realizza peraltro il non trascurabile risultato di politica del diritto di </w:t>
      </w:r>
      <w:r w:rsidRPr="00EA49B4">
        <w:rPr>
          <w:sz w:val="28"/>
          <w:szCs w:val="28"/>
        </w:rPr>
        <w:t>evita</w:t>
      </w:r>
      <w:r>
        <w:rPr>
          <w:sz w:val="28"/>
          <w:szCs w:val="28"/>
        </w:rPr>
        <w:t>re</w:t>
      </w:r>
      <w:r w:rsidRPr="00EA49B4">
        <w:rPr>
          <w:sz w:val="28"/>
          <w:szCs w:val="28"/>
        </w:rPr>
        <w:t xml:space="preserve"> </w:t>
      </w:r>
      <w:r>
        <w:rPr>
          <w:sz w:val="28"/>
          <w:szCs w:val="28"/>
        </w:rPr>
        <w:t>che la sufficienza si attesti</w:t>
      </w:r>
      <w:r w:rsidRPr="00EA49B4">
        <w:rPr>
          <w:sz w:val="28"/>
          <w:szCs w:val="28"/>
        </w:rPr>
        <w:t xml:space="preserve"> sui livelli del c.d. salario alimentare</w:t>
      </w:r>
      <w:r w:rsidRPr="00EA49B4">
        <w:rPr>
          <w:rStyle w:val="FootnoteReference"/>
          <w:sz w:val="28"/>
          <w:szCs w:val="28"/>
        </w:rPr>
        <w:footnoteReference w:id="66"/>
      </w:r>
      <w:r w:rsidRPr="00EA49B4">
        <w:rPr>
          <w:sz w:val="28"/>
          <w:szCs w:val="28"/>
        </w:rPr>
        <w:t>.</w:t>
      </w:r>
    </w:p>
    <w:p w:rsidR="00BD2278" w:rsidRDefault="00BD2278" w:rsidP="00FE4032">
      <w:pPr>
        <w:ind w:firstLine="284"/>
        <w:rPr>
          <w:sz w:val="28"/>
          <w:szCs w:val="28"/>
        </w:rPr>
      </w:pPr>
      <w:r>
        <w:rPr>
          <w:sz w:val="28"/>
          <w:szCs w:val="28"/>
        </w:rPr>
        <w:t>Il riferimento ai livelli retributivi deve intendersi non alla retribuzione minima ma ai compensi fissati per le qualifiche proprie dei singoli lavoratori. In tal modo si realizza una applicazione integrata della norma costituzionale sulla retribuzione nei due aspetti della sufficienza e proporzionalità. Questa interpretazione conferma che quest’ultimo principio ha carattere precettivo e dunque contribuisce a segnare il punto di equilibrio fra le prestazioni nel rapporto di lavoro come determinato dalle parti collettivamente.</w:t>
      </w:r>
    </w:p>
    <w:p w:rsidR="00BD2278" w:rsidRDefault="00BD2278" w:rsidP="00FE4032">
      <w:pPr>
        <w:ind w:firstLine="284"/>
        <w:rPr>
          <w:sz w:val="28"/>
          <w:szCs w:val="28"/>
        </w:rPr>
      </w:pPr>
      <w:r>
        <w:rPr>
          <w:sz w:val="28"/>
          <w:szCs w:val="28"/>
        </w:rPr>
        <w:t>Ciò suggerisce l’utilità pratica di più recente evidenza del principio di proporzionalità ossia consentire la valutazione sulle deviazioni dei sistemi di remunerazione della prestazione rispetto al nesso tra retribuzione e lavoro. Essa è particolarmente evidente in tutti i casi in cui sia presente una componente premiale in cui i parametri incentivanti siano connessi a fattori indipendenti dai caratteri della prestazione o addirittura dalle scelte imprenditoriali come nel caso in cui una parte della retribuzione sia legata ai risultati finanziari dell’impresa o all’andamento dei titoli sul mercato azionario. Nel caso limite, difficilmente realizzabile, in cui la quota variabile della retribuzione, slegata dai caratteri della prestazione dovesse risultare assolutamente prevalente, si potrebbe dubitare della rispondenza al concetto costituzionale di retribuzione e la pattuizione potrebbe essere censurata proprio in relazione ai caratteri di proporzionalità e sufficienza di cui all’art. 36 Cost</w:t>
      </w:r>
      <w:r>
        <w:rPr>
          <w:rStyle w:val="FootnoteReference"/>
          <w:sz w:val="28"/>
          <w:szCs w:val="28"/>
        </w:rPr>
        <w:footnoteReference w:id="67"/>
      </w:r>
      <w:r>
        <w:rPr>
          <w:sz w:val="28"/>
          <w:szCs w:val="28"/>
        </w:rPr>
        <w:t>.</w:t>
      </w:r>
    </w:p>
    <w:p w:rsidR="00BD2278" w:rsidRDefault="00BD2278" w:rsidP="00FE4032">
      <w:pPr>
        <w:ind w:firstLine="284"/>
        <w:rPr>
          <w:sz w:val="28"/>
          <w:szCs w:val="28"/>
        </w:rPr>
      </w:pPr>
      <w:r>
        <w:rPr>
          <w:sz w:val="28"/>
          <w:szCs w:val="28"/>
        </w:rPr>
        <w:t>Questa opinione sembra perfettamente conciliabile con la proposta di chi suggeriva una terza via per superare la netta contrapposizione tra la lettura ipergarantista che tende a radicare nell’art. 36 Cost. una tutela rigida e quella iperliberista che tende a minimizzare la portata della norma costituzionale</w:t>
      </w:r>
      <w:r>
        <w:rPr>
          <w:rStyle w:val="FootnoteReference"/>
          <w:sz w:val="28"/>
          <w:szCs w:val="28"/>
        </w:rPr>
        <w:footnoteReference w:id="68"/>
      </w:r>
      <w:r>
        <w:rPr>
          <w:sz w:val="28"/>
          <w:szCs w:val="28"/>
        </w:rPr>
        <w:t>. Essa condurrebbe alla deduzione dai due principi della proporzionalità e sufficienza di due distinte nozioni di retribuzione: una retribuzione quale obbligazione sociale e l’altra quale obbligazione corrispettivo. La prima riconducibile al principio costituzionale delle sufficienza avrebbe una funzione di garanzia minimale di tipo universalistico e sarebbe parzialmente insensibile ad influenze derivanti dalle fluttuazioni del mercato, mentre la seconda riconducibile al principio della proporzionalità. Quest’ultima assoggettata alle regole negoziali individuali e collettive potrebbe garantire la flessibilità necessaria ai moderni sistemi di relazioni industriali che le deriverebbe dall’ampia libertà delle sue fonti di tenere conto dei condizionamenti e convenienze di mercato.</w:t>
      </w:r>
    </w:p>
    <w:p w:rsidR="00BD2278" w:rsidRDefault="00BD2278" w:rsidP="00FE4032">
      <w:pPr>
        <w:ind w:firstLine="284"/>
        <w:rPr>
          <w:sz w:val="28"/>
          <w:szCs w:val="28"/>
        </w:rPr>
      </w:pPr>
    </w:p>
    <w:p w:rsidR="00BD2278" w:rsidRDefault="00BD2278" w:rsidP="00FE4032">
      <w:pPr>
        <w:ind w:firstLine="284"/>
        <w:rPr>
          <w:sz w:val="28"/>
          <w:szCs w:val="28"/>
        </w:rPr>
      </w:pPr>
    </w:p>
    <w:p w:rsidR="00BD2278" w:rsidRPr="00CE7F46" w:rsidRDefault="00BD2278" w:rsidP="00A01E3A">
      <w:pPr>
        <w:pStyle w:val="ListParagraph"/>
        <w:numPr>
          <w:ilvl w:val="1"/>
          <w:numId w:val="22"/>
        </w:numPr>
        <w:ind w:left="0" w:firstLine="284"/>
        <w:outlineLvl w:val="1"/>
        <w:rPr>
          <w:sz w:val="28"/>
          <w:szCs w:val="28"/>
        </w:rPr>
      </w:pPr>
      <w:bookmarkStart w:id="5" w:name="_Toc285266419"/>
      <w:r w:rsidRPr="009B00A7">
        <w:rPr>
          <w:rStyle w:val="TitoloparagrafoCarattere"/>
          <w:i/>
        </w:rPr>
        <w:t>Retribuzione e principi costituzionali: la parità di trattamento</w:t>
      </w:r>
      <w:r>
        <w:rPr>
          <w:sz w:val="28"/>
          <w:szCs w:val="28"/>
        </w:rPr>
        <w:t>.</w:t>
      </w:r>
      <w:bookmarkEnd w:id="5"/>
    </w:p>
    <w:p w:rsidR="00BD2278" w:rsidRPr="00EA49B4" w:rsidRDefault="00BD2278" w:rsidP="00FE4032">
      <w:pPr>
        <w:pStyle w:val="ListParagraph"/>
        <w:ind w:left="0" w:firstLine="284"/>
        <w:rPr>
          <w:b/>
          <w:sz w:val="28"/>
          <w:szCs w:val="28"/>
        </w:rPr>
      </w:pPr>
    </w:p>
    <w:p w:rsidR="00BD2278" w:rsidRPr="00EA49B4" w:rsidRDefault="00BD2278" w:rsidP="00FE4032">
      <w:pPr>
        <w:ind w:firstLine="284"/>
        <w:rPr>
          <w:sz w:val="28"/>
          <w:szCs w:val="28"/>
        </w:rPr>
      </w:pPr>
      <w:r>
        <w:rPr>
          <w:sz w:val="28"/>
          <w:szCs w:val="28"/>
        </w:rPr>
        <w:t>Secondo parte della dottrina un</w:t>
      </w:r>
      <w:r w:rsidRPr="00EA49B4">
        <w:rPr>
          <w:sz w:val="28"/>
          <w:szCs w:val="28"/>
        </w:rPr>
        <w:t xml:space="preserve"> corollario della regola della proporzionalità è costituito dalla identità di trattamento che postula l’uguaglianza di retribuzione a parità di lavoro</w:t>
      </w:r>
      <w:r w:rsidRPr="00EA49B4">
        <w:rPr>
          <w:rStyle w:val="FootnoteReference"/>
          <w:sz w:val="28"/>
          <w:szCs w:val="28"/>
        </w:rPr>
        <w:footnoteReference w:id="69"/>
      </w:r>
      <w:r w:rsidRPr="00EA49B4">
        <w:rPr>
          <w:sz w:val="28"/>
          <w:szCs w:val="28"/>
        </w:rPr>
        <w:t>. Sotto tale aspetto l’art. 36 Cost. avrebbe lo stesso obiettivo sotteso al successivo art. 37</w:t>
      </w:r>
      <w:r>
        <w:rPr>
          <w:sz w:val="28"/>
          <w:szCs w:val="28"/>
        </w:rPr>
        <w:t>,</w:t>
      </w:r>
      <w:r w:rsidRPr="00EA49B4">
        <w:rPr>
          <w:sz w:val="28"/>
          <w:szCs w:val="28"/>
        </w:rPr>
        <w:t xml:space="preserve"> con la differenza che quest’ultimo è diretto alla tutela dal divieto di discriminazione in ragione di sesso ed età.</w:t>
      </w:r>
    </w:p>
    <w:p w:rsidR="00BD2278" w:rsidRDefault="00BD2278" w:rsidP="00FE4032">
      <w:pPr>
        <w:ind w:firstLine="284"/>
        <w:rPr>
          <w:sz w:val="28"/>
          <w:szCs w:val="28"/>
        </w:rPr>
      </w:pPr>
      <w:r w:rsidRPr="00EA49B4">
        <w:rPr>
          <w:sz w:val="28"/>
          <w:szCs w:val="28"/>
        </w:rPr>
        <w:t xml:space="preserve">Se questo principio poteva valere per tutti i lavoratori di una stessa categoria e avrebbe dovuto essere realizzato attraverso il ricorso pedissequo alle retribuzioni tabellari di cui alla contrattazione collettiva, a maggior ragione </w:t>
      </w:r>
      <w:r>
        <w:rPr>
          <w:sz w:val="28"/>
          <w:szCs w:val="28"/>
        </w:rPr>
        <w:t>avrebbe dovuto imporsi</w:t>
      </w:r>
      <w:r w:rsidRPr="00EA49B4">
        <w:rPr>
          <w:sz w:val="28"/>
          <w:szCs w:val="28"/>
        </w:rPr>
        <w:t xml:space="preserve"> in ambito endoaziendale. Ed in tal senso </w:t>
      </w:r>
      <w:r>
        <w:rPr>
          <w:sz w:val="28"/>
          <w:szCs w:val="28"/>
        </w:rPr>
        <w:t>parve muoversi la Corte di C</w:t>
      </w:r>
      <w:r w:rsidRPr="00EA49B4">
        <w:rPr>
          <w:sz w:val="28"/>
          <w:szCs w:val="28"/>
        </w:rPr>
        <w:t>assazione</w:t>
      </w:r>
      <w:r>
        <w:rPr>
          <w:sz w:val="28"/>
          <w:szCs w:val="28"/>
        </w:rPr>
        <w:t xml:space="preserve"> nel ritenere</w:t>
      </w:r>
      <w:r w:rsidRPr="00EA49B4">
        <w:rPr>
          <w:sz w:val="28"/>
          <w:szCs w:val="28"/>
        </w:rPr>
        <w:t xml:space="preserve"> che </w:t>
      </w:r>
      <w:r>
        <w:rPr>
          <w:sz w:val="28"/>
          <w:szCs w:val="28"/>
        </w:rPr>
        <w:t>la</w:t>
      </w:r>
      <w:r w:rsidRPr="00EA49B4">
        <w:rPr>
          <w:sz w:val="28"/>
          <w:szCs w:val="28"/>
        </w:rPr>
        <w:t xml:space="preserve"> condotta di buona fede da parte del datore di lavoro presuppone l’applicazione del contratto collettivo sottoscritto dalla associazione cui aderisce, anche ai lavoratori non iscritti alle controparti organizzative sindacali</w:t>
      </w:r>
      <w:r w:rsidRPr="00EA49B4">
        <w:rPr>
          <w:rStyle w:val="FootnoteReference"/>
          <w:sz w:val="28"/>
          <w:szCs w:val="28"/>
        </w:rPr>
        <w:footnoteReference w:id="70"/>
      </w:r>
      <w:r w:rsidRPr="00EA49B4">
        <w:rPr>
          <w:sz w:val="28"/>
          <w:szCs w:val="28"/>
        </w:rPr>
        <w:t>.</w:t>
      </w:r>
    </w:p>
    <w:p w:rsidR="00BD2278" w:rsidRDefault="00BD2278" w:rsidP="00FE4032">
      <w:pPr>
        <w:ind w:firstLine="284"/>
        <w:rPr>
          <w:sz w:val="28"/>
          <w:szCs w:val="28"/>
        </w:rPr>
      </w:pPr>
      <w:r>
        <w:rPr>
          <w:sz w:val="28"/>
          <w:szCs w:val="28"/>
        </w:rPr>
        <w:t>L’orientamento dottrinale sulla parità di trattamento si pone in linea di continuità con quella corrente di pensiero, che ha portato a conseguenze ulteriori i precedenti studi sul divieto di arbitrarie ed ingiustificate discriminazioni, secondo cui dall’art. 36 Cost. sarebbe possibile desumere un principio positivo di parità di trattamento non limitato cioè al divieto di atti discriminatori</w:t>
      </w:r>
      <w:r>
        <w:rPr>
          <w:rStyle w:val="FootnoteReference"/>
          <w:sz w:val="28"/>
          <w:szCs w:val="28"/>
        </w:rPr>
        <w:footnoteReference w:id="71"/>
      </w:r>
      <w:r>
        <w:rPr>
          <w:sz w:val="28"/>
          <w:szCs w:val="28"/>
        </w:rPr>
        <w:t>.</w:t>
      </w:r>
    </w:p>
    <w:p w:rsidR="00BD2278" w:rsidRDefault="00BD2278" w:rsidP="00FE4032">
      <w:pPr>
        <w:ind w:firstLine="284"/>
        <w:rPr>
          <w:sz w:val="28"/>
          <w:szCs w:val="28"/>
        </w:rPr>
      </w:pPr>
      <w:r>
        <w:rPr>
          <w:sz w:val="28"/>
          <w:szCs w:val="28"/>
        </w:rPr>
        <w:t>Il dibattito sulla parità di trattamento economico dei lavoratori di un’impresa ha preso avvio attraverso una serie di studi che hanno tratto spunto dalla dottrina tedesca. Il problema era infatti sconosciuto dalla dottrina nazionale, a causa del precedente assetto legislativo di natura corporativa che ostava ad un diverso trattamento economico della medesima prestazione, mentre da tempo impegnava i giuristi stranieri e entrava a far parte di documenti internazionali</w:t>
      </w:r>
      <w:r>
        <w:rPr>
          <w:rStyle w:val="FootnoteReference"/>
          <w:sz w:val="28"/>
          <w:szCs w:val="28"/>
        </w:rPr>
        <w:footnoteReference w:id="72"/>
      </w:r>
      <w:r>
        <w:rPr>
          <w:sz w:val="28"/>
          <w:szCs w:val="28"/>
        </w:rPr>
        <w:t>.</w:t>
      </w:r>
    </w:p>
    <w:p w:rsidR="00BD2278" w:rsidRDefault="00BD2278" w:rsidP="00FE4032">
      <w:pPr>
        <w:ind w:firstLine="284"/>
        <w:rPr>
          <w:sz w:val="28"/>
          <w:szCs w:val="28"/>
        </w:rPr>
      </w:pPr>
      <w:r>
        <w:rPr>
          <w:sz w:val="28"/>
          <w:szCs w:val="28"/>
        </w:rPr>
        <w:t>Dalla dottrina tedesca è stato importato il concetto secondo cui la parità di trattamento deriva dall’appartenenza del prestatore di lavoro ad una comunità al cui interno non sarebbero ammissibili discriminazioni in ragione del carattere spersonalizzato della prestazione nell’industria di produzione di massa che impone il trattamento omogeneo di tutti i componenti</w:t>
      </w:r>
      <w:r>
        <w:rPr>
          <w:rStyle w:val="FootnoteReference"/>
          <w:sz w:val="28"/>
          <w:szCs w:val="28"/>
        </w:rPr>
        <w:footnoteReference w:id="73"/>
      </w:r>
      <w:r>
        <w:rPr>
          <w:sz w:val="28"/>
          <w:szCs w:val="28"/>
        </w:rPr>
        <w:t>.</w:t>
      </w:r>
    </w:p>
    <w:p w:rsidR="00BD2278" w:rsidRDefault="00BD2278" w:rsidP="00FE4032">
      <w:pPr>
        <w:ind w:firstLine="284"/>
        <w:rPr>
          <w:sz w:val="28"/>
          <w:szCs w:val="28"/>
        </w:rPr>
      </w:pPr>
      <w:r>
        <w:rPr>
          <w:sz w:val="28"/>
          <w:szCs w:val="28"/>
        </w:rPr>
        <w:tab/>
        <w:t xml:space="preserve">Questa impostazione fu criticata da chi successivamente si occupò del problema perché ritenuta priva di sufficienti fondamenti di diritto positivo. Pertanto si propose di agganciare il divieto di trattamenti discriminatori al diritto del lavoratore ad un trattamento dignitoso, fondato sull’art. 2087 c.c., e sull’obbligo gravante sul datore di lavoro, di orientare secondo buona fede le proprie condotte nell’esecuzione del contratto di lavoro, </w:t>
      </w:r>
      <w:r>
        <w:rPr>
          <w:i/>
          <w:sz w:val="28"/>
          <w:szCs w:val="28"/>
        </w:rPr>
        <w:t xml:space="preserve">ex </w:t>
      </w:r>
      <w:r>
        <w:rPr>
          <w:sz w:val="28"/>
          <w:szCs w:val="28"/>
        </w:rPr>
        <w:t>art. 1375 c.c.</w:t>
      </w:r>
      <w:r w:rsidRPr="000027FA">
        <w:rPr>
          <w:rStyle w:val="FootnoteReference"/>
          <w:sz w:val="28"/>
          <w:szCs w:val="28"/>
        </w:rPr>
        <w:t xml:space="preserve"> </w:t>
      </w:r>
      <w:r>
        <w:rPr>
          <w:rStyle w:val="FootnoteReference"/>
          <w:sz w:val="28"/>
          <w:szCs w:val="28"/>
        </w:rPr>
        <w:footnoteReference w:id="74"/>
      </w:r>
      <w:r>
        <w:rPr>
          <w:sz w:val="28"/>
          <w:szCs w:val="28"/>
        </w:rPr>
        <w:t>.</w:t>
      </w:r>
    </w:p>
    <w:p w:rsidR="00BD2278" w:rsidRDefault="00BD2278" w:rsidP="00FE4032">
      <w:pPr>
        <w:ind w:firstLine="284"/>
        <w:rPr>
          <w:sz w:val="28"/>
          <w:szCs w:val="28"/>
        </w:rPr>
      </w:pPr>
      <w:r>
        <w:rPr>
          <w:sz w:val="28"/>
          <w:szCs w:val="28"/>
        </w:rPr>
        <w:t>I suddetti rilievi, se producevano l’effetto di radicare in norme di diritto positivo il concetto di parità di trattamento, non mutavano la sostanza della tutela riconosciuta al prestatore in quanto limitata ad un obbligo di astensione dal compimento di atti discriminatori.</w:t>
      </w:r>
    </w:p>
    <w:p w:rsidR="00BD2278" w:rsidRDefault="00BD2278" w:rsidP="00FE4032">
      <w:pPr>
        <w:ind w:firstLine="284"/>
        <w:rPr>
          <w:sz w:val="28"/>
          <w:szCs w:val="28"/>
        </w:rPr>
      </w:pPr>
      <w:r>
        <w:rPr>
          <w:sz w:val="28"/>
          <w:szCs w:val="28"/>
        </w:rPr>
        <w:t>Attraverso il richiamo all’art. 36 Cost. invece fu possibile dedurre il principio di parità di trattamento implicante una condotta positiva del datore</w:t>
      </w:r>
      <w:r>
        <w:rPr>
          <w:rStyle w:val="FootnoteReference"/>
          <w:sz w:val="28"/>
          <w:szCs w:val="28"/>
        </w:rPr>
        <w:footnoteReference w:id="75"/>
      </w:r>
      <w:r>
        <w:rPr>
          <w:sz w:val="28"/>
          <w:szCs w:val="28"/>
        </w:rPr>
        <w:t>, inteso anche nel senso che la proporzionalità di cui al suddetto articolo imporrebbe l’uguale retribuzione a parità di lavoro svolto</w:t>
      </w:r>
      <w:r>
        <w:rPr>
          <w:rStyle w:val="FootnoteReference"/>
          <w:sz w:val="28"/>
          <w:szCs w:val="28"/>
        </w:rPr>
        <w:footnoteReference w:id="76"/>
      </w:r>
      <w:r>
        <w:rPr>
          <w:sz w:val="28"/>
          <w:szCs w:val="28"/>
        </w:rPr>
        <w:t>.</w:t>
      </w:r>
    </w:p>
    <w:p w:rsidR="00BD2278" w:rsidRDefault="00BD2278" w:rsidP="00FE4032">
      <w:pPr>
        <w:ind w:firstLine="284"/>
        <w:rPr>
          <w:sz w:val="28"/>
          <w:szCs w:val="28"/>
        </w:rPr>
      </w:pPr>
      <w:r>
        <w:rPr>
          <w:sz w:val="28"/>
          <w:szCs w:val="28"/>
        </w:rPr>
        <w:t>Tali posizioni furono tuttavia disattese dalla giurisprudenza di legittimità che ritenne insussistente un obbligo di parità di trattamento gravante sul datore di lavoro</w:t>
      </w:r>
      <w:r>
        <w:rPr>
          <w:rStyle w:val="FootnoteReference"/>
          <w:sz w:val="28"/>
          <w:szCs w:val="28"/>
        </w:rPr>
        <w:footnoteReference w:id="77"/>
      </w:r>
      <w:r>
        <w:rPr>
          <w:sz w:val="28"/>
          <w:szCs w:val="28"/>
        </w:rPr>
        <w:t>, per mancanza di un principio suscettibile di applicazione immediata. Esso infatti non poteva essere desunto dall’art. 36 Cost. che impone la corresponsione di una retribuzione proporzionata e sufficiente prescindendo da una valutazione intersoggettiva.</w:t>
      </w:r>
    </w:p>
    <w:p w:rsidR="00BD2278" w:rsidRDefault="00BD2278" w:rsidP="00FE4032">
      <w:pPr>
        <w:ind w:firstLine="284"/>
        <w:rPr>
          <w:sz w:val="28"/>
          <w:szCs w:val="28"/>
        </w:rPr>
      </w:pPr>
      <w:r>
        <w:rPr>
          <w:sz w:val="28"/>
          <w:szCs w:val="28"/>
        </w:rPr>
        <w:t>Né si sarebbe potuto ricavare dall’art. 3 comma 1 Cost. che costringe il legislatore nel binario della parità di trattamento di tutti gli individui, ma da cui non si può far discendere un principio di uguaglianza nei rapporti privati.</w:t>
      </w:r>
    </w:p>
    <w:p w:rsidR="00BD2278" w:rsidRDefault="00BD2278" w:rsidP="00FE4032">
      <w:pPr>
        <w:ind w:firstLine="284"/>
        <w:rPr>
          <w:sz w:val="28"/>
          <w:szCs w:val="28"/>
        </w:rPr>
      </w:pPr>
      <w:r>
        <w:rPr>
          <w:sz w:val="28"/>
          <w:szCs w:val="28"/>
        </w:rPr>
        <w:t>La dottrina rispose alle critiche che la giurisprudenza muoveva alla teoria della precettività dell’art. 36 Cost. quale fondamento di un obbligo alla parità di trattamento in capo al datore di lavoro, facendo osservare che il comma 2 del’art. 3 Cost., a differenza del comma 1, ne rende possibile l’estensione della portata normativa</w:t>
      </w:r>
      <w:r>
        <w:rPr>
          <w:rStyle w:val="FootnoteReference"/>
          <w:sz w:val="28"/>
          <w:szCs w:val="28"/>
        </w:rPr>
        <w:footnoteReference w:id="78"/>
      </w:r>
      <w:r>
        <w:rPr>
          <w:sz w:val="28"/>
          <w:szCs w:val="28"/>
        </w:rPr>
        <w:t>.</w:t>
      </w:r>
    </w:p>
    <w:p w:rsidR="00BD2278" w:rsidRDefault="00BD2278" w:rsidP="00FE4032">
      <w:pPr>
        <w:ind w:firstLine="284"/>
        <w:rPr>
          <w:sz w:val="28"/>
          <w:szCs w:val="28"/>
        </w:rPr>
      </w:pPr>
      <w:r>
        <w:rPr>
          <w:sz w:val="28"/>
          <w:szCs w:val="28"/>
        </w:rPr>
        <w:t>Tale orientamento parve ottenere regione quando nel 1989 la Corte costituzionale intervenne sul punto.</w:t>
      </w:r>
    </w:p>
    <w:p w:rsidR="00BD2278" w:rsidRDefault="00BD2278" w:rsidP="00FE4032">
      <w:pPr>
        <w:ind w:firstLine="284"/>
        <w:rPr>
          <w:sz w:val="28"/>
          <w:szCs w:val="28"/>
        </w:rPr>
      </w:pPr>
      <w:r>
        <w:rPr>
          <w:sz w:val="28"/>
          <w:szCs w:val="28"/>
        </w:rPr>
        <w:t>Si ritenne infatti che la nota sentenza 9 marzo 1989, n. 103</w:t>
      </w:r>
      <w:r>
        <w:rPr>
          <w:rStyle w:val="FootnoteReference"/>
          <w:sz w:val="28"/>
          <w:szCs w:val="28"/>
        </w:rPr>
        <w:footnoteReference w:id="79"/>
      </w:r>
      <w:r>
        <w:rPr>
          <w:sz w:val="28"/>
          <w:szCs w:val="28"/>
        </w:rPr>
        <w:t xml:space="preserve"> della Corte, aprisse la via al riconoscimento dell’obbligo datoriale di uniformare i trattamenti retributivi di lavoratori che svolgessero la medesima attività.</w:t>
      </w:r>
    </w:p>
    <w:p w:rsidR="00BD2278" w:rsidRDefault="00BD2278" w:rsidP="00FE4032">
      <w:pPr>
        <w:ind w:firstLine="284"/>
        <w:rPr>
          <w:sz w:val="28"/>
          <w:szCs w:val="28"/>
        </w:rPr>
      </w:pPr>
      <w:r>
        <w:rPr>
          <w:sz w:val="28"/>
          <w:szCs w:val="28"/>
        </w:rPr>
        <w:t>Soprattutto parve sanzionare l’obbligo per il giudice adito di verificare le ragioni di errori o violazioni del prescritto obbligo gravante sul datore ogni volta che le pur ammissibili disparità e differenziazioni non fossero giustificate e comunque ragionevoli.</w:t>
      </w:r>
    </w:p>
    <w:p w:rsidR="00BD2278" w:rsidRDefault="00BD2278" w:rsidP="00FE4032">
      <w:pPr>
        <w:ind w:firstLine="284"/>
        <w:rPr>
          <w:sz w:val="28"/>
          <w:szCs w:val="28"/>
        </w:rPr>
      </w:pPr>
      <w:r>
        <w:rPr>
          <w:sz w:val="28"/>
          <w:szCs w:val="28"/>
        </w:rPr>
        <w:t>Nell’evidenziare i limitati effetti del giudicato sulla questione della parità di trattamento, nei commenti alla sentenza si osservò che forse la Corte avrebbe dovuto essere più chiara nell’affermare la legittimità delle differenziazioni nei trattamenti retributivi, solo quale condizione dell’applicazione del principio di proporzionalità. Si affermò inoltre che si trattava di una sentenza interpretativa di rigetto e pertanto priva di effetto vincolante per i giudici ordinari, se non nel senso di impedire una interpretazione incompatibile al dettato costituzionale. Comunque si ritenne che essa avrebbe aperto la strada ad un ripensamento dell’orientamento di legittimità.</w:t>
      </w:r>
    </w:p>
    <w:p w:rsidR="00BD2278" w:rsidRDefault="00BD2278" w:rsidP="00FE4032">
      <w:pPr>
        <w:ind w:firstLine="284"/>
        <w:rPr>
          <w:sz w:val="28"/>
          <w:szCs w:val="28"/>
        </w:rPr>
      </w:pPr>
      <w:r>
        <w:rPr>
          <w:sz w:val="28"/>
          <w:szCs w:val="28"/>
        </w:rPr>
        <w:t>La conseguenza che si produsse in esito alla sentenza della Corte costituzionale fu un contrasto giurisprudenziale in seno alla sezione lavoro della Corte di Cassazione.</w:t>
      </w:r>
    </w:p>
    <w:p w:rsidR="00BD2278" w:rsidRDefault="00BD2278" w:rsidP="00FE4032">
      <w:pPr>
        <w:ind w:firstLine="284"/>
        <w:rPr>
          <w:sz w:val="28"/>
          <w:szCs w:val="28"/>
        </w:rPr>
      </w:pPr>
      <w:r>
        <w:rPr>
          <w:sz w:val="28"/>
          <w:szCs w:val="28"/>
        </w:rPr>
        <w:t>Da un lato si posero le pronunce che ritenevano che si fosse affermata la parità di trattamento e l’esistenza di un principio cogente in tal senso nell’ordinamento</w:t>
      </w:r>
      <w:r>
        <w:rPr>
          <w:rStyle w:val="FootnoteReference"/>
          <w:sz w:val="28"/>
          <w:szCs w:val="28"/>
        </w:rPr>
        <w:footnoteReference w:id="80"/>
      </w:r>
      <w:r>
        <w:rPr>
          <w:sz w:val="28"/>
          <w:szCs w:val="28"/>
        </w:rPr>
        <w:t>.</w:t>
      </w:r>
    </w:p>
    <w:p w:rsidR="00BD2278" w:rsidRDefault="00BD2278" w:rsidP="00FE4032">
      <w:pPr>
        <w:ind w:firstLine="284"/>
        <w:rPr>
          <w:sz w:val="28"/>
          <w:szCs w:val="28"/>
        </w:rPr>
      </w:pPr>
      <w:r>
        <w:rPr>
          <w:sz w:val="28"/>
          <w:szCs w:val="28"/>
        </w:rPr>
        <w:t>Contrariamente altre ribadirono l’orientamento precedente alla sentenza 103 del 1989 continuando a negare l’esistenza di un principio di parità di trattamento</w:t>
      </w:r>
      <w:r>
        <w:rPr>
          <w:rStyle w:val="FootnoteReference"/>
          <w:sz w:val="28"/>
          <w:szCs w:val="28"/>
        </w:rPr>
        <w:footnoteReference w:id="81"/>
      </w:r>
      <w:r>
        <w:rPr>
          <w:sz w:val="28"/>
          <w:szCs w:val="28"/>
        </w:rPr>
        <w:t>.</w:t>
      </w:r>
    </w:p>
    <w:p w:rsidR="00BD2278" w:rsidRDefault="00BD2278" w:rsidP="00FE4032">
      <w:pPr>
        <w:ind w:firstLine="284"/>
        <w:rPr>
          <w:sz w:val="28"/>
          <w:szCs w:val="28"/>
        </w:rPr>
      </w:pPr>
      <w:r>
        <w:rPr>
          <w:sz w:val="28"/>
          <w:szCs w:val="28"/>
        </w:rPr>
        <w:t>Le Sezioni Unite intervennero a composizione del conflitto ritenendo “di aderire, confermandola, all’ampia elaborazione giurisprudenziale che la Corte aveva compiuto prima della sentenza n. 103 del 1989 della Corte costituzionale, ed alle pronunzie successive, che, dando una lettura della sent. n. 103 non antitetica rispetto a quella giurisprudenza, ad essa esplicitamente o implicitamente si richiamano”</w:t>
      </w:r>
      <w:r>
        <w:rPr>
          <w:rStyle w:val="FootnoteReference"/>
          <w:sz w:val="28"/>
          <w:szCs w:val="28"/>
        </w:rPr>
        <w:footnoteReference w:id="82"/>
      </w:r>
      <w:r>
        <w:rPr>
          <w:sz w:val="28"/>
          <w:szCs w:val="28"/>
        </w:rPr>
        <w:t>.</w:t>
      </w:r>
    </w:p>
    <w:p w:rsidR="00BD2278" w:rsidRDefault="00BD2278" w:rsidP="00FE4032">
      <w:pPr>
        <w:ind w:firstLine="284"/>
        <w:rPr>
          <w:sz w:val="28"/>
          <w:szCs w:val="28"/>
        </w:rPr>
      </w:pPr>
      <w:r>
        <w:rPr>
          <w:sz w:val="28"/>
          <w:szCs w:val="28"/>
        </w:rPr>
        <w:t>In tale affermazione tuttavia le Sez. unite congiungono due operazioni non del tutto compatibili. Infatti vero è che la decisione riprende esattamente i precedenti anteriori alla sentenza n. 103 ma questi non corrispondono per contenuto alle sentenze della Sezione lavoro successive al 1989 che hanno negato la esistenza del principio di parità di trattamento. Queste ultime hanno infatti generalmente un oggetto più ristretto.</w:t>
      </w:r>
    </w:p>
    <w:p w:rsidR="00BD2278" w:rsidRDefault="00BD2278" w:rsidP="00FE4032">
      <w:pPr>
        <w:ind w:firstLine="284"/>
        <w:rPr>
          <w:sz w:val="28"/>
          <w:szCs w:val="28"/>
        </w:rPr>
      </w:pPr>
      <w:r>
        <w:rPr>
          <w:sz w:val="28"/>
          <w:szCs w:val="28"/>
        </w:rPr>
        <w:t>Tutte le sentenze contrarie alla esistenza del principio, richiamate in quella delle S.U., si sono pronunciate con riguardo alla fattispecie della parità di trattamento economico dei lavoratori ad opera dell’autonomia collettiva e non sulla parità di trattamento a livello di rapporto individuale di lavoro.</w:t>
      </w:r>
    </w:p>
    <w:p w:rsidR="00BD2278" w:rsidRDefault="00BD2278" w:rsidP="00FE4032">
      <w:pPr>
        <w:ind w:firstLine="284"/>
        <w:rPr>
          <w:sz w:val="28"/>
          <w:szCs w:val="28"/>
        </w:rPr>
      </w:pPr>
      <w:r>
        <w:rPr>
          <w:sz w:val="28"/>
          <w:szCs w:val="28"/>
        </w:rPr>
        <w:t xml:space="preserve">La sentenza della Corte costituzionale poteva indurre a ritenere che il principio di parità di trattamento vincolasse il giudice alla valutazione della </w:t>
      </w:r>
      <w:r w:rsidRPr="00EB2893">
        <w:rPr>
          <w:sz w:val="28"/>
          <w:szCs w:val="28"/>
        </w:rPr>
        <w:t>ragionevolezza</w:t>
      </w:r>
      <w:r>
        <w:rPr>
          <w:sz w:val="28"/>
          <w:szCs w:val="28"/>
        </w:rPr>
        <w:t xml:space="preserve"> delle differenziazioni tra lavoratori operate dalla contrattazione collettiva, oltre a quelle introdotte dal datore a livello individuale</w:t>
      </w:r>
      <w:r>
        <w:rPr>
          <w:rStyle w:val="FootnoteReference"/>
          <w:sz w:val="28"/>
          <w:szCs w:val="28"/>
        </w:rPr>
        <w:footnoteReference w:id="83"/>
      </w:r>
      <w:r>
        <w:rPr>
          <w:sz w:val="28"/>
          <w:szCs w:val="28"/>
        </w:rPr>
        <w:t>. Questa possibile chiave di lettura, probabilmente imprevista, ritenuta conseguenza della più volte denunciata infelice formulazione delle motivazioni, bastò ad innescare il timore che la libertà dell’autonomia collettiva potesse venir meno e che la giusta retribuzione non sarebbe più stata il prodotto dell’incontro delle volontà delle parti sociali nel CCNL, ma l’oggetto di una libera determinazione del giudice operata volta per volta, con il rischio di una elevazione del contenzioso ed una sostanziale incertezza dei rapporti. Le sezioni semplici della Corte di Cassazione investite della questione successivamente alla sentenza 103 della Corte Costituzionale, probabilmente per prevenire tale eventualità, ritennero insussistente un obbligo di parità di trattamento a carico dell’autonomia collettiva. Pertanto nei precedenti richiamati dalle S.U., rigettarono le richieste di dichiarare la nullità di clausole del contratto collettivo che introducevano differenziazioni salariali tra lavoratori, tuttavia in nessun caso venne trattata la questione dell’esistenza di un obbligo di parità di trattamento a carico del datore nei rapporti individuali.</w:t>
      </w:r>
    </w:p>
    <w:p w:rsidR="00BD2278" w:rsidRDefault="00BD2278" w:rsidP="00FE4032">
      <w:pPr>
        <w:ind w:firstLine="284"/>
        <w:rPr>
          <w:sz w:val="28"/>
          <w:szCs w:val="28"/>
        </w:rPr>
      </w:pPr>
      <w:r>
        <w:rPr>
          <w:sz w:val="28"/>
          <w:szCs w:val="28"/>
        </w:rPr>
        <w:t>In realtà la Corte Costituzionale probabilmente non intendeva aprire al sindacato del giudice sulle scelte effettuate dalla contrattazione collettiva in materia di inquadramento e retribuzione, ma solo evitare che la stessa rinviando alla contrattazione individuale veicolasse la legittimità di condotte arbitrarie e discrezionali dell’imprenditore.</w:t>
      </w:r>
    </w:p>
    <w:p w:rsidR="00BD2278" w:rsidRDefault="00BD2278" w:rsidP="00FE4032">
      <w:pPr>
        <w:ind w:firstLine="284"/>
        <w:rPr>
          <w:sz w:val="28"/>
          <w:szCs w:val="28"/>
        </w:rPr>
      </w:pPr>
      <w:r>
        <w:rPr>
          <w:sz w:val="28"/>
          <w:szCs w:val="28"/>
        </w:rPr>
        <w:t>Infatti l’operazione ermeneutica effettuata dalla Corte fu quella di reperire nell’ordinamento un principio immanente nella disciplina positiva (parità di trattamento) effettuandone un bilanciamento con quello di cui all’art. 41 Cost.</w:t>
      </w:r>
      <w:r>
        <w:rPr>
          <w:rStyle w:val="FootnoteReference"/>
          <w:sz w:val="28"/>
          <w:szCs w:val="28"/>
        </w:rPr>
        <w:footnoteReference w:id="84"/>
      </w:r>
      <w:r>
        <w:rPr>
          <w:sz w:val="28"/>
          <w:szCs w:val="28"/>
        </w:rPr>
        <w:t>, ai fini di indicare al giudice ordinario i criteri per valutare la ragionevolezza delle condotte delle parti individuali di un contratto di lavoro.</w:t>
      </w:r>
    </w:p>
    <w:p w:rsidR="00BD2278" w:rsidRDefault="00BD2278" w:rsidP="00FE4032">
      <w:pPr>
        <w:ind w:firstLine="284"/>
        <w:rPr>
          <w:sz w:val="28"/>
          <w:szCs w:val="28"/>
        </w:rPr>
      </w:pPr>
      <w:r>
        <w:rPr>
          <w:sz w:val="28"/>
          <w:szCs w:val="28"/>
        </w:rPr>
        <w:t>In altri termini il riferimento all’art. 41 Cost.</w:t>
      </w:r>
      <w:r>
        <w:rPr>
          <w:rStyle w:val="FootnoteReference"/>
          <w:sz w:val="28"/>
          <w:szCs w:val="28"/>
        </w:rPr>
        <w:footnoteReference w:id="85"/>
      </w:r>
      <w:r>
        <w:rPr>
          <w:sz w:val="28"/>
          <w:szCs w:val="28"/>
        </w:rPr>
        <w:t xml:space="preserve"> non intendeva aprire alla funzionalizzazione della contrattazione collettiva ad interessi diversi da quelli perseguiti dalle parti, quanto evitare che per il tramite dell’autonomia collettiva si introducesse la possibilità di derogare, a livello individuale, ai principi costituzionali posti a garanzia della dignità del lavoratore. La Corte intendeva riaffermare la illegittimità delle discriminazioni irragionevoli compiute dal datore anche nell’ipotesi in cui fossero conseguenza di una facoltà concessa dalla contrattazione collettiva. Dunque la sentenza della Corte Costituzionale era priva di un contenuto radicalmente rivoluzionario che potesse minare alla base l’autonomia collettiva.</w:t>
      </w:r>
    </w:p>
    <w:p w:rsidR="00BD2278" w:rsidRDefault="00BD2278" w:rsidP="00FE4032">
      <w:pPr>
        <w:ind w:firstLine="284"/>
        <w:rPr>
          <w:sz w:val="28"/>
          <w:szCs w:val="28"/>
        </w:rPr>
      </w:pPr>
      <w:r>
        <w:rPr>
          <w:sz w:val="28"/>
          <w:szCs w:val="28"/>
        </w:rPr>
        <w:t>In conclusione, vero è che alcune pronunzie della sez. lavoro della Cassazione successive alla sent. 103 del 1989 hanno ritenuto insussistente il principio di parità di trattamento, ma ciò è avvenuto con riguardo alla contrattazione collettiva.</w:t>
      </w:r>
    </w:p>
    <w:p w:rsidR="00BD2278" w:rsidRDefault="00BD2278" w:rsidP="00FE4032">
      <w:pPr>
        <w:ind w:firstLine="284"/>
        <w:rPr>
          <w:sz w:val="28"/>
          <w:szCs w:val="28"/>
        </w:rPr>
      </w:pPr>
      <w:r w:rsidRPr="00B65669">
        <w:rPr>
          <w:sz w:val="28"/>
          <w:szCs w:val="28"/>
        </w:rPr>
        <w:t>Per quanto consta</w:t>
      </w:r>
      <w:r>
        <w:rPr>
          <w:sz w:val="28"/>
          <w:szCs w:val="28"/>
        </w:rPr>
        <w:t>,</w:t>
      </w:r>
      <w:r w:rsidRPr="00B65669">
        <w:rPr>
          <w:sz w:val="28"/>
          <w:szCs w:val="28"/>
        </w:rPr>
        <w:t xml:space="preserve"> </w:t>
      </w:r>
      <w:r>
        <w:rPr>
          <w:sz w:val="28"/>
          <w:szCs w:val="28"/>
        </w:rPr>
        <w:t>non si registrano tra la sent. 109 del 1989 della Corte di Costituzionale e la sent. n. 6030 del 1993 precedenti di legittimità che negano l’esistenza del principio di trattamento quale criterio discretivo della legittimità dell’operato dell’autonomia individuale: pertanto, potrebbe dirsi che non esisteva neppure un contrasto di orientamenti da risolvere.</w:t>
      </w:r>
    </w:p>
    <w:p w:rsidR="00BD2278" w:rsidRDefault="00BD2278" w:rsidP="00FE4032">
      <w:pPr>
        <w:ind w:firstLine="284"/>
        <w:rPr>
          <w:sz w:val="28"/>
          <w:szCs w:val="28"/>
        </w:rPr>
      </w:pPr>
      <w:r>
        <w:rPr>
          <w:sz w:val="28"/>
          <w:szCs w:val="28"/>
        </w:rPr>
        <w:t>Tuttavia la Corte di Cassazione ha ritenuto di pronunciarsi nel senso della inesistenza di un obbligo alla parità di trattamento nei confronti dei prestatori, anche in capo al singolo datore di lavoro.</w:t>
      </w:r>
    </w:p>
    <w:p w:rsidR="00BD2278" w:rsidRDefault="00BD2278" w:rsidP="00FE4032">
      <w:pPr>
        <w:ind w:firstLine="284"/>
        <w:rPr>
          <w:sz w:val="28"/>
          <w:szCs w:val="28"/>
        </w:rPr>
      </w:pPr>
      <w:r>
        <w:rPr>
          <w:sz w:val="28"/>
          <w:szCs w:val="28"/>
        </w:rPr>
        <w:t>S</w:t>
      </w:r>
      <w:r w:rsidRPr="00EA49B4">
        <w:rPr>
          <w:sz w:val="28"/>
          <w:szCs w:val="28"/>
        </w:rPr>
        <w:t>i può affermare</w:t>
      </w:r>
      <w:r>
        <w:rPr>
          <w:sz w:val="28"/>
          <w:szCs w:val="28"/>
        </w:rPr>
        <w:t xml:space="preserve"> dunque</w:t>
      </w:r>
      <w:r w:rsidRPr="00EA49B4">
        <w:rPr>
          <w:sz w:val="28"/>
          <w:szCs w:val="28"/>
        </w:rPr>
        <w:t xml:space="preserve"> che secondo l’attuale orientamento di legittimità sono ammissibili trattamenti differenziati tra soggetti che svolgano identiche </w:t>
      </w:r>
      <w:r>
        <w:rPr>
          <w:sz w:val="28"/>
          <w:szCs w:val="28"/>
        </w:rPr>
        <w:t>mansioni</w:t>
      </w:r>
      <w:r w:rsidRPr="00EA49B4">
        <w:rPr>
          <w:sz w:val="28"/>
          <w:szCs w:val="28"/>
        </w:rPr>
        <w:t xml:space="preserve"> </w:t>
      </w:r>
      <w:r>
        <w:rPr>
          <w:sz w:val="28"/>
          <w:szCs w:val="28"/>
        </w:rPr>
        <w:t>pur sussistendo un divieto di condotte discriminatorie tassativamente indicate dal diritto positivo</w:t>
      </w:r>
      <w:r w:rsidRPr="00EA49B4">
        <w:rPr>
          <w:sz w:val="28"/>
          <w:szCs w:val="28"/>
        </w:rPr>
        <w:t>.</w:t>
      </w:r>
    </w:p>
    <w:p w:rsidR="00BD2278" w:rsidRDefault="00BD2278" w:rsidP="00FE4032">
      <w:pPr>
        <w:ind w:firstLine="284"/>
        <w:rPr>
          <w:sz w:val="28"/>
          <w:szCs w:val="28"/>
        </w:rPr>
      </w:pPr>
      <w:r>
        <w:rPr>
          <w:sz w:val="28"/>
          <w:szCs w:val="28"/>
        </w:rPr>
        <w:t xml:space="preserve">La finalità di politica giurisdizionale che sostiene tale orientamento </w:t>
      </w:r>
      <w:r w:rsidRPr="00EA49B4">
        <w:rPr>
          <w:sz w:val="28"/>
          <w:szCs w:val="28"/>
        </w:rPr>
        <w:t xml:space="preserve">è </w:t>
      </w:r>
      <w:r>
        <w:rPr>
          <w:sz w:val="28"/>
          <w:szCs w:val="28"/>
        </w:rPr>
        <w:t xml:space="preserve">che </w:t>
      </w:r>
      <w:r w:rsidRPr="00EA49B4">
        <w:rPr>
          <w:sz w:val="28"/>
          <w:szCs w:val="28"/>
        </w:rPr>
        <w:t xml:space="preserve">occorre garantire </w:t>
      </w:r>
      <w:r>
        <w:rPr>
          <w:sz w:val="28"/>
          <w:szCs w:val="28"/>
        </w:rPr>
        <w:t>al datore di lavoro il diritto di</w:t>
      </w:r>
      <w:r w:rsidRPr="00EA49B4">
        <w:rPr>
          <w:sz w:val="28"/>
          <w:szCs w:val="28"/>
        </w:rPr>
        <w:t xml:space="preserve"> differenziare i trattamenti retributivi</w:t>
      </w:r>
      <w:r>
        <w:rPr>
          <w:sz w:val="28"/>
          <w:szCs w:val="28"/>
        </w:rPr>
        <w:t xml:space="preserve">, sulla scorta di </w:t>
      </w:r>
      <w:r w:rsidRPr="00EA49B4">
        <w:rPr>
          <w:sz w:val="28"/>
          <w:szCs w:val="28"/>
        </w:rPr>
        <w:t>valutazioni circa l’effettivo</w:t>
      </w:r>
      <w:r>
        <w:rPr>
          <w:sz w:val="28"/>
          <w:szCs w:val="28"/>
        </w:rPr>
        <w:t xml:space="preserve"> apporto dei</w:t>
      </w:r>
      <w:r w:rsidRPr="00EA49B4">
        <w:rPr>
          <w:sz w:val="28"/>
          <w:szCs w:val="28"/>
        </w:rPr>
        <w:t xml:space="preserve"> </w:t>
      </w:r>
      <w:r>
        <w:rPr>
          <w:sz w:val="28"/>
          <w:szCs w:val="28"/>
        </w:rPr>
        <w:t>lavoratori, con il limite costituito dalle scelte discriminatorie. Ciò anche in considerazione della sempre più ristretta possibilità di condotte lesive della dignità dei lavoratori per effetto, da un lato del dato normativo che attraverso la sempre più ferrea legislazione antidiscriminatoria vale a restringere il campo di discrezionalità datoriale</w:t>
      </w:r>
      <w:r>
        <w:rPr>
          <w:rStyle w:val="FootnoteReference"/>
          <w:sz w:val="28"/>
          <w:szCs w:val="28"/>
        </w:rPr>
        <w:footnoteReference w:id="86"/>
      </w:r>
      <w:r>
        <w:rPr>
          <w:sz w:val="28"/>
          <w:szCs w:val="28"/>
        </w:rPr>
        <w:t>, dall’altro dell’opera dell’autonomia collettiva</w:t>
      </w:r>
      <w:r w:rsidRPr="00EA49B4">
        <w:rPr>
          <w:sz w:val="28"/>
          <w:szCs w:val="28"/>
        </w:rPr>
        <w:t>.</w:t>
      </w:r>
    </w:p>
    <w:p w:rsidR="00BD2278" w:rsidRDefault="00BD2278" w:rsidP="00FE4032">
      <w:pPr>
        <w:ind w:firstLine="284"/>
        <w:rPr>
          <w:sz w:val="28"/>
          <w:szCs w:val="28"/>
        </w:rPr>
      </w:pPr>
      <w:r>
        <w:rPr>
          <w:sz w:val="28"/>
          <w:szCs w:val="28"/>
        </w:rPr>
        <w:t xml:space="preserve">Tuttavia non si può prescindere dal </w:t>
      </w:r>
      <w:r w:rsidRPr="00EA49B4">
        <w:rPr>
          <w:sz w:val="28"/>
          <w:szCs w:val="28"/>
        </w:rPr>
        <w:t>sindacato del giudice sull</w:t>
      </w:r>
      <w:r>
        <w:rPr>
          <w:sz w:val="28"/>
          <w:szCs w:val="28"/>
        </w:rPr>
        <w:t xml:space="preserve">e </w:t>
      </w:r>
      <w:r w:rsidRPr="00EA49B4">
        <w:rPr>
          <w:sz w:val="28"/>
          <w:szCs w:val="28"/>
        </w:rPr>
        <w:t xml:space="preserve">scelte datoriali, </w:t>
      </w:r>
      <w:r>
        <w:rPr>
          <w:sz w:val="28"/>
          <w:szCs w:val="28"/>
        </w:rPr>
        <w:t>negando la possibilità</w:t>
      </w:r>
      <w:r w:rsidRPr="00EA49B4">
        <w:rPr>
          <w:sz w:val="28"/>
          <w:szCs w:val="28"/>
        </w:rPr>
        <w:t xml:space="preserve"> </w:t>
      </w:r>
      <w:r>
        <w:rPr>
          <w:sz w:val="28"/>
          <w:szCs w:val="28"/>
        </w:rPr>
        <w:t>del</w:t>
      </w:r>
      <w:r w:rsidRPr="00EA49B4">
        <w:rPr>
          <w:sz w:val="28"/>
          <w:szCs w:val="28"/>
        </w:rPr>
        <w:t xml:space="preserve">l’equiparazione al rialzo delle retribuzioni dei lavoratori </w:t>
      </w:r>
      <w:r>
        <w:rPr>
          <w:sz w:val="28"/>
          <w:szCs w:val="28"/>
        </w:rPr>
        <w:t xml:space="preserve">retribuiti in misura inferiore, </w:t>
      </w:r>
      <w:r w:rsidRPr="00EA49B4">
        <w:rPr>
          <w:sz w:val="28"/>
          <w:szCs w:val="28"/>
        </w:rPr>
        <w:t xml:space="preserve">ove la concessione sia fondata su criteri irrazionali. </w:t>
      </w:r>
      <w:r>
        <w:rPr>
          <w:sz w:val="28"/>
          <w:szCs w:val="28"/>
        </w:rPr>
        <w:t>In quanto a</w:t>
      </w:r>
      <w:r w:rsidRPr="00EA49B4">
        <w:rPr>
          <w:sz w:val="28"/>
          <w:szCs w:val="28"/>
        </w:rPr>
        <w:t>l contrario</w:t>
      </w:r>
      <w:r>
        <w:rPr>
          <w:sz w:val="28"/>
          <w:szCs w:val="28"/>
        </w:rPr>
        <w:t>,</w:t>
      </w:r>
      <w:r w:rsidRPr="00EA49B4">
        <w:rPr>
          <w:sz w:val="28"/>
          <w:szCs w:val="28"/>
        </w:rPr>
        <w:t xml:space="preserve"> sostenendo la legittimità dei trattamenti differenziati stabiliti discrezionalmente e ritenendo che dalla impossibilità di desumere dall’art. 36 Cost. un principio di equivalenza derivi anche l’esclusione del sindacato sull</w:t>
      </w:r>
      <w:r>
        <w:rPr>
          <w:sz w:val="28"/>
          <w:szCs w:val="28"/>
        </w:rPr>
        <w:t>e</w:t>
      </w:r>
      <w:r w:rsidRPr="00EA49B4">
        <w:rPr>
          <w:sz w:val="28"/>
          <w:szCs w:val="28"/>
        </w:rPr>
        <w:t xml:space="preserve"> scelte, come pure è stato sostenuto in una visione ideologicamente orientata</w:t>
      </w:r>
      <w:r w:rsidRPr="00EA49B4">
        <w:rPr>
          <w:rStyle w:val="FootnoteReference"/>
          <w:sz w:val="28"/>
          <w:szCs w:val="28"/>
        </w:rPr>
        <w:footnoteReference w:id="87"/>
      </w:r>
      <w:r w:rsidRPr="00EA49B4">
        <w:rPr>
          <w:sz w:val="28"/>
          <w:szCs w:val="28"/>
        </w:rPr>
        <w:t>, la conseguenza di fatto sarebbe l’impossibilità di accertare</w:t>
      </w:r>
      <w:r>
        <w:rPr>
          <w:sz w:val="28"/>
          <w:szCs w:val="28"/>
        </w:rPr>
        <w:t xml:space="preserve"> </w:t>
      </w:r>
      <w:r w:rsidRPr="00EA49B4">
        <w:rPr>
          <w:sz w:val="28"/>
          <w:szCs w:val="28"/>
        </w:rPr>
        <w:t>giudizialmente</w:t>
      </w:r>
      <w:r>
        <w:rPr>
          <w:sz w:val="28"/>
          <w:szCs w:val="28"/>
        </w:rPr>
        <w:t xml:space="preserve"> le</w:t>
      </w:r>
      <w:r w:rsidRPr="00EA49B4">
        <w:rPr>
          <w:sz w:val="28"/>
          <w:szCs w:val="28"/>
        </w:rPr>
        <w:t xml:space="preserve"> condotte discriminatorie</w:t>
      </w:r>
      <w:r>
        <w:rPr>
          <w:sz w:val="28"/>
          <w:szCs w:val="28"/>
        </w:rPr>
        <w:t xml:space="preserve"> operate attraverso presunte procedure selettive a carattere oggettivo. In effetti la giurisprudenza in passato si è già pronunciata positivamente sulla ammissibilità di un controllo giudiziale sulla scelte datoriali sia pure limitatamente ai casi di concorsi privati e promozioni nei quali le condotte datoriali sono ritenute valutabili in ragione della aderenza alla regola della condotta seconda buona fede</w:t>
      </w:r>
      <w:r>
        <w:rPr>
          <w:rStyle w:val="FootnoteReference"/>
          <w:sz w:val="28"/>
          <w:szCs w:val="28"/>
        </w:rPr>
        <w:footnoteReference w:id="88"/>
      </w:r>
      <w:r w:rsidRPr="00EA49B4">
        <w:rPr>
          <w:sz w:val="28"/>
          <w:szCs w:val="28"/>
        </w:rPr>
        <w:t xml:space="preserve">. </w:t>
      </w:r>
    </w:p>
    <w:p w:rsidR="00BD2278" w:rsidRDefault="00BD2278" w:rsidP="00FE4032">
      <w:pPr>
        <w:ind w:firstLine="284"/>
        <w:rPr>
          <w:sz w:val="28"/>
          <w:szCs w:val="28"/>
        </w:rPr>
      </w:pPr>
      <w:r>
        <w:rPr>
          <w:sz w:val="28"/>
          <w:szCs w:val="28"/>
        </w:rPr>
        <w:t>A questo punto viene spontaneo domandarsi il motivo per cui, a parte le suddette fattispecie particolari, la discriminazione è sanzionabile solo quando sia apprestata una tutela da parte di norme di carattere speciale come gli art. 15 e 16 dello st. lav. e non è possibile tutelare i lavoratori dalle scelte discrezionali e irragionevoli del datore di lavoro. Secondo la giurisprudenza anche di legittimità</w:t>
      </w:r>
      <w:r>
        <w:rPr>
          <w:rStyle w:val="FootnoteReference"/>
          <w:sz w:val="28"/>
          <w:szCs w:val="28"/>
        </w:rPr>
        <w:footnoteReference w:id="89"/>
      </w:r>
      <w:r>
        <w:rPr>
          <w:sz w:val="28"/>
          <w:szCs w:val="28"/>
        </w:rPr>
        <w:t xml:space="preserve"> seguita alla sent. delle S.U. n. 6030 del 1993, coerente con essa, il motivo risiede nel fatto che non esiste un diritto soggettivo del lavoratore subordinato alla parità di trattamento in quanto non si riscontrano nella Costituzione e nella legislazione ordinaria norme imperative, che accolgano la regola della parità di trattamento economico e normativo.</w:t>
      </w:r>
    </w:p>
    <w:p w:rsidR="00BD2278" w:rsidRDefault="00BD2278" w:rsidP="00FE4032">
      <w:pPr>
        <w:ind w:firstLine="284"/>
        <w:rPr>
          <w:sz w:val="28"/>
          <w:szCs w:val="28"/>
        </w:rPr>
      </w:pPr>
      <w:r>
        <w:rPr>
          <w:sz w:val="28"/>
          <w:szCs w:val="28"/>
        </w:rPr>
        <w:t>Appare curioso, tuttavia, che il legislatore non abbia posto un limite all’esercizio della discrezionalità del contraente più forte in danno del contraente debole. Questi senza dubbio ha un interesse a percepire la maggiorazione retributiva, ma tale interesse giunge alla soglia della posizione giuridica attiva senza porvi accedere.</w:t>
      </w:r>
    </w:p>
    <w:p w:rsidR="00BD2278" w:rsidRDefault="00BD2278" w:rsidP="00FE4032">
      <w:pPr>
        <w:ind w:firstLine="284"/>
        <w:rPr>
          <w:sz w:val="28"/>
          <w:szCs w:val="28"/>
        </w:rPr>
      </w:pPr>
      <w:r>
        <w:rPr>
          <w:sz w:val="28"/>
          <w:szCs w:val="28"/>
        </w:rPr>
        <w:t>In effetti osservando il problema dal punto di vista tradizionale dell’</w:t>
      </w:r>
      <w:r w:rsidRPr="00407DAF">
        <w:rPr>
          <w:sz w:val="28"/>
          <w:szCs w:val="28"/>
        </w:rPr>
        <w:t xml:space="preserve">eguale retribuzione per eguale lavoro </w:t>
      </w:r>
      <w:r>
        <w:rPr>
          <w:sz w:val="28"/>
          <w:szCs w:val="28"/>
        </w:rPr>
        <w:t>può sorgere il dubbio che non esista nessun diritto alla parità di trattamento.</w:t>
      </w:r>
    </w:p>
    <w:p w:rsidR="00BD2278" w:rsidRDefault="00BD2278" w:rsidP="00FE4032">
      <w:pPr>
        <w:ind w:firstLine="284"/>
        <w:rPr>
          <w:sz w:val="28"/>
          <w:szCs w:val="28"/>
        </w:rPr>
      </w:pPr>
      <w:r>
        <w:rPr>
          <w:sz w:val="28"/>
          <w:szCs w:val="28"/>
        </w:rPr>
        <w:t>Tuttavia non si può escludere che per il tramite dei principi generali di buona fede e correttezza il canone dell’uguaglianza trovi accesso nei rapporti intersoggettivi privati</w:t>
      </w:r>
      <w:r>
        <w:rPr>
          <w:rStyle w:val="FootnoteReference"/>
          <w:sz w:val="28"/>
          <w:szCs w:val="28"/>
        </w:rPr>
        <w:footnoteReference w:id="90"/>
      </w:r>
      <w:r>
        <w:rPr>
          <w:sz w:val="28"/>
          <w:szCs w:val="28"/>
        </w:rPr>
        <w:t>.</w:t>
      </w:r>
    </w:p>
    <w:p w:rsidR="00BD2278" w:rsidRDefault="00BD2278" w:rsidP="00FE4032">
      <w:pPr>
        <w:ind w:firstLine="284"/>
        <w:rPr>
          <w:sz w:val="28"/>
          <w:szCs w:val="28"/>
        </w:rPr>
      </w:pPr>
      <w:r>
        <w:rPr>
          <w:sz w:val="28"/>
          <w:szCs w:val="28"/>
        </w:rPr>
        <w:t>Infatti la retribuzione</w:t>
      </w:r>
      <w:r w:rsidRPr="00111EE6">
        <w:rPr>
          <w:sz w:val="28"/>
          <w:szCs w:val="28"/>
        </w:rPr>
        <w:t xml:space="preserve"> </w:t>
      </w:r>
      <w:r>
        <w:rPr>
          <w:sz w:val="28"/>
          <w:szCs w:val="28"/>
        </w:rPr>
        <w:t>costituisce dal lato datoriale l’obbligazione principale del rapporto di lavoro e soggiace alla disciplina generale delle obbligazioni di cui al titolo I del libro IV del c.c. Pertanto il datore di lavoro è tenuto a comportarsi secondo correttezza (art. 1175 c.c.) nel retribuire il lavoratore subordinato e a comportarsi secondo buona fede nell’eseguire il contratto (art. 1375 c.c.).</w:t>
      </w:r>
    </w:p>
    <w:p w:rsidR="00BD2278" w:rsidRDefault="00BD2278" w:rsidP="00FE4032">
      <w:pPr>
        <w:ind w:firstLine="284"/>
        <w:rPr>
          <w:sz w:val="28"/>
          <w:szCs w:val="28"/>
        </w:rPr>
      </w:pPr>
      <w:r>
        <w:rPr>
          <w:sz w:val="28"/>
          <w:szCs w:val="28"/>
        </w:rPr>
        <w:t>Occorre a questo punto domandarsi se la soggezione del datore di lavoro ai suddetti obblighi possa avere un qualche effetto sulla posizione giuridica del prestatore di lavoro.</w:t>
      </w:r>
    </w:p>
    <w:p w:rsidR="00BD2278" w:rsidRDefault="00BD2278" w:rsidP="00FE4032">
      <w:pPr>
        <w:ind w:firstLine="284"/>
        <w:rPr>
          <w:sz w:val="28"/>
          <w:szCs w:val="28"/>
        </w:rPr>
      </w:pPr>
      <w:r>
        <w:rPr>
          <w:sz w:val="28"/>
          <w:szCs w:val="28"/>
        </w:rPr>
        <w:t>Le sentenze delle S.U. che si sono pronunciate contro la sussistenza di un diritto alla parità di trattamento, hanno ritenuto che non fosse possibile sostenere l’esistenza di un diritto del prestatore di lavoro alla parità di trattamento a partire dall’obbligo di buona fede e correttezza, al contrario di quanto avvenuto per la fattispecie delle assunzioni o delle regole collettive sulle progressioni in carriera</w:t>
      </w:r>
      <w:r>
        <w:rPr>
          <w:rStyle w:val="FootnoteReference"/>
          <w:sz w:val="28"/>
          <w:szCs w:val="28"/>
        </w:rPr>
        <w:footnoteReference w:id="91"/>
      </w:r>
      <w:r>
        <w:rPr>
          <w:sz w:val="28"/>
          <w:szCs w:val="28"/>
        </w:rPr>
        <w:t>: tali atti costituivano l’adempimento di un obbligo contrattualmente assunto a livello collettivo e pertanto era legittimo che il giudice esercitasse il controllo sulle determinazioni unilaterali del datore di lavoro.</w:t>
      </w:r>
    </w:p>
    <w:p w:rsidR="00BD2278" w:rsidRDefault="00BD2278" w:rsidP="00FE4032">
      <w:pPr>
        <w:ind w:firstLine="284"/>
        <w:rPr>
          <w:sz w:val="28"/>
          <w:szCs w:val="28"/>
        </w:rPr>
      </w:pPr>
      <w:r>
        <w:rPr>
          <w:sz w:val="28"/>
          <w:szCs w:val="28"/>
        </w:rPr>
        <w:t>Si è osservato</w:t>
      </w:r>
      <w:r w:rsidRPr="00DC1669">
        <w:rPr>
          <w:sz w:val="28"/>
          <w:szCs w:val="28"/>
        </w:rPr>
        <w:t xml:space="preserve"> che</w:t>
      </w:r>
      <w:r>
        <w:rPr>
          <w:sz w:val="28"/>
          <w:szCs w:val="28"/>
        </w:rPr>
        <w:t xml:space="preserve"> </w:t>
      </w:r>
      <w:r w:rsidRPr="00DC1669">
        <w:rPr>
          <w:sz w:val="28"/>
          <w:szCs w:val="28"/>
        </w:rPr>
        <w:t>questa ricostruzione appare coerente con la differenza descritta in dottrina tra clausole generali e principi o norme generali</w:t>
      </w:r>
      <w:r>
        <w:rPr>
          <w:rStyle w:val="FootnoteReference"/>
          <w:sz w:val="28"/>
          <w:szCs w:val="28"/>
        </w:rPr>
        <w:footnoteReference w:id="92"/>
      </w:r>
      <w:r>
        <w:rPr>
          <w:sz w:val="28"/>
          <w:szCs w:val="28"/>
        </w:rPr>
        <w:t>.</w:t>
      </w:r>
    </w:p>
    <w:p w:rsidR="00BD2278" w:rsidRDefault="00BD2278" w:rsidP="00FE4032">
      <w:pPr>
        <w:ind w:firstLine="284"/>
        <w:rPr>
          <w:sz w:val="28"/>
          <w:szCs w:val="28"/>
        </w:rPr>
      </w:pPr>
      <w:r>
        <w:rPr>
          <w:sz w:val="28"/>
          <w:szCs w:val="28"/>
        </w:rPr>
        <w:t xml:space="preserve">A sostegno di questa ricostruzione si richiama </w:t>
      </w:r>
      <w:r w:rsidRPr="001C798C">
        <w:rPr>
          <w:sz w:val="28"/>
          <w:szCs w:val="28"/>
        </w:rPr>
        <w:t>autorevole dottrina</w:t>
      </w:r>
      <w:r>
        <w:rPr>
          <w:rStyle w:val="FootnoteReference"/>
          <w:sz w:val="28"/>
          <w:szCs w:val="28"/>
        </w:rPr>
        <w:footnoteReference w:id="93"/>
      </w:r>
      <w:r>
        <w:rPr>
          <w:sz w:val="28"/>
          <w:szCs w:val="28"/>
        </w:rPr>
        <w:t xml:space="preserve"> secondo cui</w:t>
      </w:r>
      <w:r w:rsidRPr="001C798C">
        <w:rPr>
          <w:sz w:val="28"/>
          <w:szCs w:val="28"/>
        </w:rPr>
        <w:t xml:space="preserve"> le clausole generali sono norme incomplete destinate a concretizzarsi nell’ambito di programmi n</w:t>
      </w:r>
      <w:r>
        <w:rPr>
          <w:sz w:val="28"/>
          <w:szCs w:val="28"/>
        </w:rPr>
        <w:t>ormativi di altre disposizioni.</w:t>
      </w:r>
    </w:p>
    <w:p w:rsidR="00BD2278" w:rsidRDefault="00BD2278" w:rsidP="00FE4032">
      <w:pPr>
        <w:ind w:firstLine="284"/>
        <w:rPr>
          <w:sz w:val="28"/>
          <w:szCs w:val="28"/>
        </w:rPr>
      </w:pPr>
      <w:r>
        <w:rPr>
          <w:sz w:val="28"/>
          <w:szCs w:val="28"/>
        </w:rPr>
        <w:t>Dalla natura di norma incompleta si deduce l’</w:t>
      </w:r>
      <w:r w:rsidRPr="001C798C">
        <w:rPr>
          <w:sz w:val="28"/>
          <w:szCs w:val="28"/>
        </w:rPr>
        <w:t>idone</w:t>
      </w:r>
      <w:r>
        <w:rPr>
          <w:sz w:val="28"/>
          <w:szCs w:val="28"/>
        </w:rPr>
        <w:t>ità dell</w:t>
      </w:r>
      <w:r w:rsidRPr="001C798C">
        <w:rPr>
          <w:sz w:val="28"/>
          <w:szCs w:val="28"/>
        </w:rPr>
        <w:t>e</w:t>
      </w:r>
      <w:r>
        <w:rPr>
          <w:sz w:val="28"/>
          <w:szCs w:val="28"/>
        </w:rPr>
        <w:t xml:space="preserve"> clausole generali </w:t>
      </w:r>
      <w:r w:rsidRPr="001C798C">
        <w:rPr>
          <w:sz w:val="28"/>
          <w:szCs w:val="28"/>
        </w:rPr>
        <w:t>a introdurre nel contratto individuale una norma dispositiva sulla parità di trattamento e non a fondarla</w:t>
      </w:r>
      <w:r>
        <w:rPr>
          <w:rStyle w:val="FootnoteReference"/>
          <w:sz w:val="28"/>
          <w:szCs w:val="28"/>
        </w:rPr>
        <w:footnoteReference w:id="94"/>
      </w:r>
      <w:r w:rsidRPr="001C798C">
        <w:rPr>
          <w:sz w:val="28"/>
          <w:szCs w:val="28"/>
        </w:rPr>
        <w:t>. In altri termini non si può ritenere che l’art. 1375 c.c. sancisca il diritto del lavoratore alla parità di trattamento, perché anzi la sua applicazione presuppone l’esistenza del diritto la cui violazione costituirebbe condotta contraria a buona fede. I principi generali pongono infatti limiti esterni all’autonomia privata ma sono inidonei, se non integrati in norme precettive di diritto, a costituire fonti di diritti ed obblig</w:t>
      </w:r>
      <w:r>
        <w:rPr>
          <w:sz w:val="28"/>
          <w:szCs w:val="28"/>
        </w:rPr>
        <w:t>hi</w:t>
      </w:r>
      <w:r w:rsidRPr="001C798C">
        <w:rPr>
          <w:sz w:val="28"/>
          <w:szCs w:val="28"/>
        </w:rPr>
        <w:t>.</w:t>
      </w:r>
    </w:p>
    <w:p w:rsidR="00BD2278" w:rsidRDefault="00BD2278" w:rsidP="00FE4032">
      <w:pPr>
        <w:ind w:firstLine="284"/>
        <w:rPr>
          <w:sz w:val="28"/>
          <w:szCs w:val="28"/>
        </w:rPr>
      </w:pPr>
      <w:r>
        <w:rPr>
          <w:sz w:val="28"/>
          <w:szCs w:val="28"/>
        </w:rPr>
        <w:t>Ciò ha determinato una affannosa ricerca di un fondamento positivo al diritto di parità di trattamento del prestatore di lavoro per giustificare l’intervento del giudice.</w:t>
      </w:r>
    </w:p>
    <w:p w:rsidR="00BD2278" w:rsidRDefault="00BD2278" w:rsidP="00FE4032">
      <w:pPr>
        <w:ind w:firstLine="284"/>
        <w:rPr>
          <w:sz w:val="28"/>
          <w:szCs w:val="28"/>
        </w:rPr>
      </w:pPr>
      <w:r>
        <w:rPr>
          <w:sz w:val="28"/>
          <w:szCs w:val="28"/>
        </w:rPr>
        <w:t>In realtà la forma delle clausole generali è tale da impartire la direttiva per la ricerca della norma di decisione nel sottosistema nell’ambito del quale la clausola viene richiamata</w:t>
      </w:r>
      <w:r>
        <w:rPr>
          <w:rStyle w:val="FootnoteReference"/>
          <w:sz w:val="28"/>
          <w:szCs w:val="28"/>
        </w:rPr>
        <w:footnoteReference w:id="95"/>
      </w:r>
      <w:r>
        <w:rPr>
          <w:sz w:val="28"/>
          <w:szCs w:val="28"/>
        </w:rPr>
        <w:t>: le clausole generali delegano al giudice la formazione della norma di decisione e la direttiva consiste nella indicazione della misura di comportamento o standard sociale che il giudice deve concretizzare in forma generalizzabile.</w:t>
      </w:r>
    </w:p>
    <w:p w:rsidR="00BD2278" w:rsidRDefault="00BD2278" w:rsidP="00FE4032">
      <w:pPr>
        <w:ind w:firstLine="284"/>
        <w:rPr>
          <w:sz w:val="28"/>
          <w:szCs w:val="28"/>
        </w:rPr>
      </w:pPr>
      <w:r>
        <w:rPr>
          <w:sz w:val="28"/>
          <w:szCs w:val="28"/>
        </w:rPr>
        <w:t>La concretizzazione della clausola di buona fede nel rapporto di lavoro, in  quanto il potere di governo dell’organizzazione impone la misura della discrezionalità, si svolge nella teoria della parità di trattamento nei rapporti privati</w:t>
      </w:r>
      <w:r>
        <w:rPr>
          <w:rStyle w:val="FootnoteReference"/>
          <w:sz w:val="28"/>
          <w:szCs w:val="28"/>
        </w:rPr>
        <w:footnoteReference w:id="96"/>
      </w:r>
      <w:r>
        <w:rPr>
          <w:sz w:val="28"/>
          <w:szCs w:val="28"/>
        </w:rPr>
        <w:t>.</w:t>
      </w:r>
    </w:p>
    <w:p w:rsidR="00BD2278" w:rsidRDefault="00BD2278" w:rsidP="00FE4032">
      <w:pPr>
        <w:ind w:firstLine="284"/>
        <w:rPr>
          <w:sz w:val="28"/>
          <w:szCs w:val="28"/>
        </w:rPr>
      </w:pPr>
      <w:r>
        <w:rPr>
          <w:sz w:val="28"/>
          <w:szCs w:val="28"/>
        </w:rPr>
        <w:t>Tale categoria dogmatica comprende una serie di ipotesi applicative già verificatesi, ad esempio nel caso delle procedure concorsuali e nelle promozioni e costituisce un modello che il giudice potrebbe utilizzare ogni volta che gli si presenti una fattispecie sussumibile senza dover ripetere valutazioni e bilanciamenti di interessi in gioco.</w:t>
      </w:r>
    </w:p>
    <w:p w:rsidR="00BD2278" w:rsidRDefault="00BD2278" w:rsidP="00FE4032">
      <w:pPr>
        <w:ind w:firstLine="284"/>
        <w:rPr>
          <w:sz w:val="28"/>
          <w:szCs w:val="28"/>
        </w:rPr>
      </w:pPr>
      <w:r>
        <w:rPr>
          <w:sz w:val="28"/>
          <w:szCs w:val="28"/>
        </w:rPr>
        <w:t>In altri termini dalla disposizione costituzionale è possibile desumere uno standard di comportamento che deve pervadere le condotte delle parti nell’esecuzione del contratto e che costituisce la concretizzazione in forma generale della buona fede in senso oggettivo in campo contrattuale. La portata di questa interpretazione dell’art. 1375 c.c., se trasposta sul piano del rapporto di lavoro potrebbe avere effetti determinanti sotto il profilo del riconoscimento della parità delle condizioni economiche tra lavoratori.</w:t>
      </w:r>
    </w:p>
    <w:p w:rsidR="00BD2278" w:rsidRDefault="00BD2278" w:rsidP="00FE4032">
      <w:pPr>
        <w:ind w:firstLine="284"/>
        <w:rPr>
          <w:sz w:val="28"/>
          <w:szCs w:val="28"/>
        </w:rPr>
      </w:pPr>
      <w:r>
        <w:rPr>
          <w:sz w:val="28"/>
          <w:szCs w:val="28"/>
        </w:rPr>
        <w:t xml:space="preserve">La lettura del campo di applicazione delle clausole generali, ritenuta valida per i contatti commerciali, ben potrebbe essere trasposta sul piano del rapporto di lavoro, ove sussistono fondamenti solidi per ritenere coercibile l’obbligo del rispetto della solidarietà sociale. </w:t>
      </w:r>
    </w:p>
    <w:p w:rsidR="00BD2278" w:rsidRDefault="00BD2278" w:rsidP="00FE4032">
      <w:pPr>
        <w:ind w:firstLine="284"/>
        <w:rPr>
          <w:sz w:val="28"/>
          <w:szCs w:val="28"/>
        </w:rPr>
      </w:pPr>
      <w:r>
        <w:rPr>
          <w:sz w:val="28"/>
          <w:szCs w:val="28"/>
        </w:rPr>
        <w:t>Dunque, preso atto della resistenza della giurisprudenza di ritenere sussistente un diritto alla parità di trattamento, dando ulteriore seguito ad un orientamento di legittimità che da più ampio spazio applicativo alle clausole generali</w:t>
      </w:r>
      <w:r>
        <w:rPr>
          <w:rStyle w:val="FootnoteReference"/>
          <w:sz w:val="28"/>
          <w:szCs w:val="28"/>
        </w:rPr>
        <w:footnoteReference w:id="97"/>
      </w:r>
      <w:r>
        <w:rPr>
          <w:sz w:val="28"/>
          <w:szCs w:val="28"/>
        </w:rPr>
        <w:t>, si potrebbe utilizzare la buona fede quale criterio alternativo al principio di parità di trattamento ottenendo gli stessi effetti pratici di aprire ad un controllo giudiziale sulla legittimità delle scelte datoriali in materia .</w:t>
      </w:r>
    </w:p>
    <w:p w:rsidR="00BD2278" w:rsidRPr="002700CD" w:rsidRDefault="00BD2278" w:rsidP="00FE4032">
      <w:pPr>
        <w:ind w:firstLine="284"/>
        <w:rPr>
          <w:sz w:val="28"/>
          <w:szCs w:val="28"/>
        </w:rPr>
      </w:pPr>
      <w:r>
        <w:rPr>
          <w:sz w:val="28"/>
          <w:szCs w:val="28"/>
        </w:rPr>
        <w:t xml:space="preserve"> Potrebbe dirsi che già la sentenza n. 103 della Corte costituzionale abbia lasciato intendere che questa potrebbe essere la via percorribile in quanto ha affermato che disparità di trattamento economico sono ammissibili solo se “giustificabili e comunque ragionevoli”. La ragionevolezza infatti altro non è  che un criterio di qualificazione della condotta che si pone in un ambito molto vicino alla buona fede </w:t>
      </w:r>
      <w:r>
        <w:rPr>
          <w:i/>
          <w:sz w:val="28"/>
          <w:szCs w:val="28"/>
        </w:rPr>
        <w:t>in executivis</w:t>
      </w:r>
      <w:r>
        <w:rPr>
          <w:rStyle w:val="FootnoteReference"/>
          <w:i/>
          <w:sz w:val="28"/>
          <w:szCs w:val="28"/>
        </w:rPr>
        <w:footnoteReference w:id="98"/>
      </w:r>
      <w:r>
        <w:rPr>
          <w:i/>
          <w:sz w:val="28"/>
          <w:szCs w:val="28"/>
        </w:rPr>
        <w:t>.</w:t>
      </w:r>
    </w:p>
    <w:p w:rsidR="00BD2278" w:rsidRDefault="00BD2278" w:rsidP="00FE4032">
      <w:pPr>
        <w:ind w:firstLine="284"/>
        <w:rPr>
          <w:sz w:val="28"/>
          <w:szCs w:val="28"/>
        </w:rPr>
      </w:pPr>
      <w:r>
        <w:rPr>
          <w:sz w:val="28"/>
          <w:szCs w:val="28"/>
        </w:rPr>
        <w:t>In ogni caso, posto il diverso trattamento legislativo dell’autonomia collettiva e di quella individuale che riflette la diversa considerazione sociale che ricevono tali fonti dell’ordinamento del diritto del lavoro, si rende necessaria una trattazione separata della questione della parità di trattamento con riguardo a ciascuna di esse.</w:t>
      </w:r>
    </w:p>
    <w:p w:rsidR="00BD2278" w:rsidRDefault="00BD2278" w:rsidP="00FE4032">
      <w:pPr>
        <w:ind w:firstLine="284"/>
        <w:rPr>
          <w:sz w:val="28"/>
          <w:szCs w:val="28"/>
        </w:rPr>
      </w:pPr>
    </w:p>
    <w:p w:rsidR="00BD2278" w:rsidRDefault="00BD2278" w:rsidP="00FE4032">
      <w:pPr>
        <w:ind w:firstLine="284"/>
        <w:rPr>
          <w:sz w:val="28"/>
          <w:szCs w:val="28"/>
        </w:rPr>
      </w:pPr>
    </w:p>
    <w:p w:rsidR="00BD2278" w:rsidRDefault="00BD2278" w:rsidP="00FE4032">
      <w:pPr>
        <w:ind w:firstLine="284"/>
        <w:rPr>
          <w:sz w:val="28"/>
          <w:szCs w:val="28"/>
        </w:rPr>
      </w:pPr>
    </w:p>
    <w:p w:rsidR="00BD2278" w:rsidRPr="00CE7F46" w:rsidRDefault="00BD2278" w:rsidP="00A01E3A">
      <w:pPr>
        <w:pStyle w:val="ListParagraph"/>
        <w:numPr>
          <w:ilvl w:val="2"/>
          <w:numId w:val="13"/>
        </w:numPr>
        <w:ind w:left="0" w:firstLine="284"/>
        <w:outlineLvl w:val="1"/>
        <w:rPr>
          <w:sz w:val="28"/>
          <w:szCs w:val="28"/>
        </w:rPr>
      </w:pPr>
      <w:bookmarkStart w:id="6" w:name="_Toc285266420"/>
      <w:r w:rsidRPr="009B00A7">
        <w:rPr>
          <w:rStyle w:val="TitoloparagrafoCarattere"/>
          <w:i/>
        </w:rPr>
        <w:t>La parità di trattamento e i limiti all’autonomia individuale</w:t>
      </w:r>
      <w:r>
        <w:rPr>
          <w:sz w:val="28"/>
          <w:szCs w:val="28"/>
        </w:rPr>
        <w:t>.</w:t>
      </w:r>
      <w:bookmarkEnd w:id="6"/>
    </w:p>
    <w:p w:rsidR="00BD2278" w:rsidRDefault="00BD2278" w:rsidP="00FE4032">
      <w:pPr>
        <w:ind w:firstLine="284"/>
        <w:rPr>
          <w:sz w:val="28"/>
          <w:szCs w:val="28"/>
        </w:rPr>
      </w:pPr>
    </w:p>
    <w:p w:rsidR="00BD2278" w:rsidRDefault="00BD2278" w:rsidP="00FE4032">
      <w:pPr>
        <w:ind w:firstLine="284"/>
        <w:rPr>
          <w:sz w:val="28"/>
          <w:szCs w:val="28"/>
        </w:rPr>
      </w:pPr>
      <w:r>
        <w:rPr>
          <w:sz w:val="28"/>
          <w:szCs w:val="28"/>
        </w:rPr>
        <w:t xml:space="preserve">Le tecniche tradizionali di individualizzazione della retribuzione, ulteriori rispetto a quelle fissate dagli accordi collettivi, quali promozioni ed inquadramento da un lato, e superminimi individuali dall’altro, si possono distinguere dalle forme più recenti ed innovative costituite dagli incentivi di successo, dai </w:t>
      </w:r>
      <w:r>
        <w:rPr>
          <w:i/>
          <w:sz w:val="28"/>
          <w:szCs w:val="28"/>
        </w:rPr>
        <w:t>fringe benefits</w:t>
      </w:r>
      <w:r>
        <w:rPr>
          <w:sz w:val="28"/>
          <w:szCs w:val="28"/>
        </w:rPr>
        <w:t xml:space="preserve"> e dagli incentivi di merito</w:t>
      </w:r>
      <w:r>
        <w:rPr>
          <w:rStyle w:val="FootnoteReference"/>
          <w:sz w:val="28"/>
          <w:szCs w:val="28"/>
        </w:rPr>
        <w:footnoteReference w:id="99"/>
      </w:r>
      <w:r>
        <w:rPr>
          <w:sz w:val="28"/>
          <w:szCs w:val="28"/>
        </w:rPr>
        <w:t>.</w:t>
      </w:r>
    </w:p>
    <w:p w:rsidR="00BD2278" w:rsidRDefault="00BD2278" w:rsidP="00FE4032">
      <w:pPr>
        <w:ind w:firstLine="284"/>
        <w:rPr>
          <w:sz w:val="28"/>
          <w:szCs w:val="28"/>
        </w:rPr>
      </w:pPr>
      <w:r>
        <w:rPr>
          <w:sz w:val="28"/>
          <w:szCs w:val="28"/>
        </w:rPr>
        <w:t>Non si può dubitare che il datore di lavoro possa riconoscere forme retributive incentivanti volte a premiare particolari capacità del lavoratore. Ciò non può ritenersi escluso dall’art. 36 Cost. ed appare evidente dall’art. 41 Cost.</w:t>
      </w:r>
      <w:r w:rsidRPr="00664499">
        <w:rPr>
          <w:sz w:val="28"/>
          <w:szCs w:val="28"/>
        </w:rPr>
        <w:t xml:space="preserve"> </w:t>
      </w:r>
      <w:r>
        <w:rPr>
          <w:sz w:val="28"/>
          <w:szCs w:val="28"/>
        </w:rPr>
        <w:t>che fonda la libertà dell’imprenditore di retribuire maggiormente chi renda una prestazione quantitativamente e qualitativamente migliore, senza che nessuna lesione della dignità dei lavoratori possa ritenersi realizzata. Ed anzi, retribuire ugualmente prestazioni diverse potrebbe integrare tale lesione. Inoltre molti altri sono i fondamenti che militano a favore dell’ammissibilità della differenziazione oggettivamente giustificabile delle retribuzioni, quale criterio di valorizzazione della personalità del lavoratore. Il problema è semmai capire se le scelte del datore di lavoro sono assolutamente discrezionali</w:t>
      </w:r>
      <w:r>
        <w:rPr>
          <w:rStyle w:val="FootnoteReference"/>
          <w:sz w:val="28"/>
          <w:szCs w:val="28"/>
        </w:rPr>
        <w:footnoteReference w:id="100"/>
      </w:r>
      <w:r>
        <w:rPr>
          <w:sz w:val="28"/>
          <w:szCs w:val="28"/>
        </w:rPr>
        <w:t>.</w:t>
      </w:r>
    </w:p>
    <w:p w:rsidR="00BD2278" w:rsidRDefault="00BD2278" w:rsidP="00FE4032">
      <w:pPr>
        <w:ind w:firstLine="284"/>
        <w:rPr>
          <w:sz w:val="28"/>
          <w:szCs w:val="28"/>
        </w:rPr>
      </w:pPr>
      <w:r>
        <w:rPr>
          <w:sz w:val="28"/>
          <w:szCs w:val="28"/>
        </w:rPr>
        <w:t>La risposta al quesito impone la valutazione della posizione giuridica del prestatore di lavoro per determinare se questi vanti un interesse meritevole di tutela e capace pertanto di imporsi quale criterio di valutazione della legittimità delle condotte datoriali.</w:t>
      </w:r>
    </w:p>
    <w:p w:rsidR="00BD2278" w:rsidRDefault="00BD2278" w:rsidP="00FE4032">
      <w:pPr>
        <w:ind w:firstLine="284"/>
        <w:rPr>
          <w:sz w:val="28"/>
          <w:szCs w:val="28"/>
        </w:rPr>
      </w:pPr>
      <w:r>
        <w:rPr>
          <w:sz w:val="28"/>
          <w:szCs w:val="28"/>
        </w:rPr>
        <w:t xml:space="preserve">Le tradizionali argomentazioni circa l’inammissibilità di differenziazione non sono utilizzabili se l’interesse del prestatore di lavoro si identifica </w:t>
      </w:r>
      <w:r>
        <w:rPr>
          <w:i/>
          <w:sz w:val="28"/>
          <w:szCs w:val="28"/>
        </w:rPr>
        <w:t xml:space="preserve">tout court </w:t>
      </w:r>
      <w:r>
        <w:rPr>
          <w:sz w:val="28"/>
          <w:szCs w:val="28"/>
        </w:rPr>
        <w:t>con la parità retributiva rispetto ai lavoratori che svolgano le medesime mansioni. Non vi è dubbio infatti che il datore di lavoro abbia diritto a organizzare liberamente la propria attività per ottenere il massimo rendimento. Pertanto la differenziazione del trattamento a favore dei migliori si configura come un uso legittimo delle libertà riconosciute dalla Costituzione all’iniziativa privata. Ed anzi, come rilevato, esse si possono ritenere necessarie alla realizzazione della personalità del lavoratore più meritevole</w:t>
      </w:r>
      <w:r>
        <w:rPr>
          <w:rStyle w:val="FootnoteReference"/>
          <w:sz w:val="28"/>
          <w:szCs w:val="28"/>
        </w:rPr>
        <w:footnoteReference w:id="101"/>
      </w:r>
      <w:r>
        <w:rPr>
          <w:sz w:val="28"/>
          <w:szCs w:val="28"/>
        </w:rPr>
        <w:t>.</w:t>
      </w:r>
    </w:p>
    <w:p w:rsidR="00BD2278" w:rsidRDefault="00BD2278" w:rsidP="00FE4032">
      <w:pPr>
        <w:ind w:firstLine="284"/>
        <w:rPr>
          <w:sz w:val="28"/>
          <w:szCs w:val="28"/>
        </w:rPr>
      </w:pPr>
      <w:r>
        <w:rPr>
          <w:sz w:val="28"/>
          <w:szCs w:val="28"/>
        </w:rPr>
        <w:t>Se l’interesse del prestatore sia costituito (non dalla pari retribuzione ma) dal beneficiare di pari opportunità di rendere la prestazione che consente di ottenere la migliore retribuzione, è evidente che la dignità del prestatore viene lesa dalla circostanza che il datore di lavoro riconosca un superminimo solo ad alcuni lavoratori addetti ad una mansione, senza consentire agli altri di accedervi: la dignità non è lesa se la retribuzione è diversa, ma è lesa se irragionevolmente diverse sono le condizioni di accesso al miglior trattamento. Infatti non vi è dubbio che la dignità morale di un lavoratore risulta svilita se egli deve fare di più e meglio di un altro per ottenere il medesimo trattamento economico o, peggio, se il miglior trattamento gli sia precluso a prescindere dall’impegno profuso.</w:t>
      </w:r>
    </w:p>
    <w:p w:rsidR="00BD2278" w:rsidRDefault="00BD2278" w:rsidP="00FE4032">
      <w:pPr>
        <w:ind w:firstLine="284"/>
        <w:rPr>
          <w:sz w:val="28"/>
          <w:szCs w:val="28"/>
        </w:rPr>
      </w:pPr>
      <w:r>
        <w:rPr>
          <w:sz w:val="28"/>
          <w:szCs w:val="28"/>
        </w:rPr>
        <w:t xml:space="preserve">Così inteso l’interesse del prestatore di lavoro non può essere ignorato dal datore di lavoro nell’adempimento del proprio dovere di solidarietà sociale </w:t>
      </w:r>
      <w:r>
        <w:rPr>
          <w:i/>
          <w:sz w:val="28"/>
          <w:szCs w:val="28"/>
        </w:rPr>
        <w:t xml:space="preserve">ex </w:t>
      </w:r>
      <w:r>
        <w:rPr>
          <w:sz w:val="28"/>
          <w:szCs w:val="28"/>
        </w:rPr>
        <w:t xml:space="preserve">art. 2 Cost. o del proprio dovere di svolgere l’attività economica senza pregiudizio alla dignità umana </w:t>
      </w:r>
      <w:r>
        <w:rPr>
          <w:i/>
          <w:sz w:val="28"/>
          <w:szCs w:val="28"/>
        </w:rPr>
        <w:t>ex</w:t>
      </w:r>
      <w:r>
        <w:rPr>
          <w:sz w:val="28"/>
          <w:szCs w:val="28"/>
        </w:rPr>
        <w:t xml:space="preserve"> art. 41 Cost., quando abbia deciso di concedere un miglior trattamento economico ad alcuni dei suoi dipendenti. Pertanto se ciò abbia fatto senza concedere le medesime possibilità a tutti i soggetti che svolgano le stesse mansioni di quelli premiati, la condotta andrebbe ritenuta quale violazione dell’obbligo di buona fede</w:t>
      </w:r>
      <w:r>
        <w:rPr>
          <w:rStyle w:val="FootnoteReference"/>
          <w:sz w:val="28"/>
          <w:szCs w:val="28"/>
        </w:rPr>
        <w:footnoteReference w:id="102"/>
      </w:r>
      <w:r>
        <w:rPr>
          <w:sz w:val="28"/>
          <w:szCs w:val="28"/>
        </w:rPr>
        <w:t>. Ciò altro non è che l’adattamento alla fattispecie del riconoscimento dei superminimi individuali di quanto la Cassazione già effettua con riguardo ai casi di concorsi e promozioni deducendo un principio di civiltà giuridica dalle clausole generali</w:t>
      </w:r>
      <w:r>
        <w:rPr>
          <w:rStyle w:val="FootnoteReference"/>
          <w:sz w:val="28"/>
          <w:szCs w:val="28"/>
        </w:rPr>
        <w:footnoteReference w:id="103"/>
      </w:r>
      <w:r>
        <w:rPr>
          <w:sz w:val="28"/>
          <w:szCs w:val="28"/>
        </w:rPr>
        <w:t>.</w:t>
      </w:r>
    </w:p>
    <w:p w:rsidR="00BD2278" w:rsidRDefault="00BD2278" w:rsidP="00FE4032">
      <w:pPr>
        <w:ind w:firstLine="284"/>
        <w:rPr>
          <w:sz w:val="28"/>
          <w:szCs w:val="28"/>
        </w:rPr>
      </w:pPr>
      <w:r>
        <w:rPr>
          <w:sz w:val="28"/>
          <w:szCs w:val="28"/>
        </w:rPr>
        <w:t xml:space="preserve">In definitiva </w:t>
      </w:r>
      <w:r w:rsidRPr="001C798C">
        <w:rPr>
          <w:sz w:val="28"/>
          <w:szCs w:val="28"/>
        </w:rPr>
        <w:t>non può essere oggetto di contestazione</w:t>
      </w:r>
      <w:r>
        <w:rPr>
          <w:sz w:val="28"/>
          <w:szCs w:val="28"/>
        </w:rPr>
        <w:t xml:space="preserve"> che sul datore gravi l’obbligo </w:t>
      </w:r>
      <w:r w:rsidRPr="001C798C">
        <w:rPr>
          <w:sz w:val="28"/>
          <w:szCs w:val="28"/>
        </w:rPr>
        <w:t>di porre tutti i lavoratori nelle (stesse) condizioni di adempiere la propria obbligazione</w:t>
      </w:r>
      <w:r>
        <w:rPr>
          <w:sz w:val="28"/>
          <w:szCs w:val="28"/>
        </w:rPr>
        <w:t>,</w:t>
      </w:r>
      <w:r w:rsidRPr="001C798C">
        <w:rPr>
          <w:sz w:val="28"/>
          <w:szCs w:val="28"/>
        </w:rPr>
        <w:t xml:space="preserve"> </w:t>
      </w:r>
      <w:r>
        <w:rPr>
          <w:sz w:val="28"/>
          <w:szCs w:val="28"/>
        </w:rPr>
        <w:t>in ragione dell’obbligo di conformare le proprie condotte a buona fede</w:t>
      </w:r>
      <w:r w:rsidRPr="001C798C">
        <w:rPr>
          <w:sz w:val="28"/>
          <w:szCs w:val="28"/>
        </w:rPr>
        <w:t>. Pertanto se il datore di lavoro dovesse ret</w:t>
      </w:r>
      <w:r>
        <w:rPr>
          <w:sz w:val="28"/>
          <w:szCs w:val="28"/>
        </w:rPr>
        <w:t>ribuire diversamente i lavoratori, senza porre quelli retribuiti meno in condizione di ottenere il differenziale offrendo una maggiore o migliore prestazione, la condotta dovrebbe esser qualificata come un abuso del diritto (di differenziare i trattamenti).</w:t>
      </w:r>
    </w:p>
    <w:p w:rsidR="00BD2278" w:rsidRDefault="00BD2278" w:rsidP="00FE4032">
      <w:pPr>
        <w:ind w:firstLine="284"/>
        <w:rPr>
          <w:sz w:val="28"/>
          <w:szCs w:val="28"/>
        </w:rPr>
      </w:pPr>
      <w:r>
        <w:rPr>
          <w:sz w:val="28"/>
          <w:szCs w:val="28"/>
        </w:rPr>
        <w:t>Si potrebbe obiettare che il problema non è risolto se in esito alla condotta incontestabilmente corretta del datore di lavoro le prestazioni dovessero risultare di egual pregio e il datore di lavoro volesse ugualmente retribuire diversamente i lavoratori. In tal caso infatti si ritornerebbe nella situazione iniziale di dover negare il diritto del datore di lavoro di dirigere l’attività di impresa liberamente. A tali contestazioni si potrebbe rispondere che si verifica comunque una violazione della clausola generale di correttezza e buona fede in quanto non corrisponderebbe a realtà la circostanza che il datore ha messo i lavoratori nelle condizioni di svolgere la prestazione in modo da ottenerne il massimo risultato in quanto se così fosse dovrebbe riconoscere a tutti i lavoratori parimenti diligenti la medesima retribuzione.</w:t>
      </w:r>
    </w:p>
    <w:p w:rsidR="00BD2278" w:rsidRDefault="00BD2278" w:rsidP="00FE4032">
      <w:pPr>
        <w:ind w:firstLine="284"/>
        <w:rPr>
          <w:sz w:val="28"/>
          <w:szCs w:val="28"/>
        </w:rPr>
      </w:pPr>
      <w:r>
        <w:rPr>
          <w:sz w:val="28"/>
          <w:szCs w:val="28"/>
        </w:rPr>
        <w:t>Il lavoratore non ha dunque il diritto di ottenere la stessa retribuzione dei colleghi, ma il diritto di render la prestazione nel migliore modo per ottenere il miglior risultato, ossia una retribuzione pari a quella massima corrisposta al lavoratore che svolga la medesima attività, sanzionabile in caso di violazione per il tramite dell’art. 1375 c.c. quale violazione dell’obbligo di buona fede. Pertanto al brocardo eguale retribuzione per eguale lavoro potrebbe essere sostituito quello di eguale possibilità di accedere alla migliore retribuzione.</w:t>
      </w:r>
    </w:p>
    <w:p w:rsidR="00BD2278" w:rsidRDefault="00BD2278" w:rsidP="00FE4032">
      <w:pPr>
        <w:ind w:firstLine="284"/>
        <w:rPr>
          <w:sz w:val="28"/>
          <w:szCs w:val="28"/>
        </w:rPr>
      </w:pPr>
      <w:r>
        <w:rPr>
          <w:sz w:val="28"/>
          <w:szCs w:val="28"/>
        </w:rPr>
        <w:t xml:space="preserve">Preme sottolineare che il sindacato del giudice sul giudizio di </w:t>
      </w:r>
      <w:r w:rsidRPr="008A19B8">
        <w:rPr>
          <w:sz w:val="28"/>
          <w:szCs w:val="28"/>
        </w:rPr>
        <w:t>ragionevolezza</w:t>
      </w:r>
      <w:r>
        <w:rPr>
          <w:sz w:val="28"/>
          <w:szCs w:val="28"/>
        </w:rPr>
        <w:t xml:space="preserve"> e sulla buona fede delle scelte effettuate, non comporterebbe un controllo di opportunità  e dunque una valutazione politica. Naturalmente l’obbligo del datore di lavoro dovrebbe concretizzarsi nella valutazione delle prestazioni rese dai lavoratori. In altri termini, per la </w:t>
      </w:r>
      <w:r w:rsidRPr="008A19B8">
        <w:rPr>
          <w:sz w:val="28"/>
          <w:szCs w:val="28"/>
        </w:rPr>
        <w:t>ragionevolezza</w:t>
      </w:r>
      <w:r>
        <w:rPr>
          <w:sz w:val="28"/>
          <w:szCs w:val="28"/>
        </w:rPr>
        <w:t xml:space="preserve"> delle scelte nell’attribuzione delle maggiorazioni retributive, sarebbe sufficiente che il datore di lavoro valutasse i risultati ottenuti tramite la prestazione resa dai lavoratori e attribuisse i premi ai più meritevoli.</w:t>
      </w:r>
    </w:p>
    <w:p w:rsidR="00BD2278" w:rsidRDefault="00BD2278" w:rsidP="00FE4032">
      <w:pPr>
        <w:ind w:firstLine="284"/>
        <w:rPr>
          <w:sz w:val="28"/>
          <w:szCs w:val="28"/>
        </w:rPr>
      </w:pPr>
      <w:r>
        <w:rPr>
          <w:sz w:val="28"/>
          <w:szCs w:val="28"/>
        </w:rPr>
        <w:t>C</w:t>
      </w:r>
      <w:r w:rsidRPr="00EA49B4">
        <w:rPr>
          <w:sz w:val="28"/>
          <w:szCs w:val="28"/>
        </w:rPr>
        <w:t xml:space="preserve">ome </w:t>
      </w:r>
      <w:r>
        <w:rPr>
          <w:sz w:val="28"/>
          <w:szCs w:val="28"/>
        </w:rPr>
        <w:t>si è osservato</w:t>
      </w:r>
      <w:r w:rsidRPr="00EA49B4">
        <w:rPr>
          <w:sz w:val="28"/>
          <w:szCs w:val="28"/>
        </w:rPr>
        <w:t xml:space="preserve"> in passato</w:t>
      </w:r>
      <w:r w:rsidRPr="00EA49B4">
        <w:rPr>
          <w:rStyle w:val="FootnoteReference"/>
          <w:sz w:val="28"/>
          <w:szCs w:val="28"/>
        </w:rPr>
        <w:footnoteReference w:id="104"/>
      </w:r>
      <w:r>
        <w:rPr>
          <w:sz w:val="28"/>
          <w:szCs w:val="28"/>
        </w:rPr>
        <w:t xml:space="preserve"> a</w:t>
      </w:r>
      <w:r w:rsidRPr="00EA49B4">
        <w:rPr>
          <w:sz w:val="28"/>
          <w:szCs w:val="28"/>
        </w:rPr>
        <w:t>ppaiono evidenti le difficoltà legate alle suddette stime</w:t>
      </w:r>
      <w:r>
        <w:rPr>
          <w:sz w:val="28"/>
          <w:szCs w:val="28"/>
        </w:rPr>
        <w:t>,</w:t>
      </w:r>
      <w:r w:rsidRPr="00EA49B4">
        <w:rPr>
          <w:sz w:val="28"/>
          <w:szCs w:val="28"/>
        </w:rPr>
        <w:t xml:space="preserve"> </w:t>
      </w:r>
      <w:r>
        <w:rPr>
          <w:sz w:val="28"/>
          <w:szCs w:val="28"/>
        </w:rPr>
        <w:t xml:space="preserve">tanto che </w:t>
      </w:r>
      <w:r w:rsidRPr="00EA49B4">
        <w:rPr>
          <w:sz w:val="28"/>
          <w:szCs w:val="28"/>
        </w:rPr>
        <w:t>si è ritenuto che per tali motivi la differenziazione non può che essere praticata nella aziende di piccole dimensioni, nell’artigianato e nel commercio con esclusione della grande industria fatto salvo il caso dell’alta specializzazione e della dirigenza.</w:t>
      </w:r>
    </w:p>
    <w:p w:rsidR="00BD2278" w:rsidRDefault="00BD2278" w:rsidP="00FE4032">
      <w:pPr>
        <w:ind w:firstLine="284"/>
        <w:rPr>
          <w:sz w:val="28"/>
          <w:szCs w:val="28"/>
        </w:rPr>
      </w:pPr>
      <w:r>
        <w:rPr>
          <w:sz w:val="28"/>
          <w:szCs w:val="28"/>
        </w:rPr>
        <w:t>Altro problema è quello costituito dall’onere probatorio.</w:t>
      </w:r>
    </w:p>
    <w:p w:rsidR="00BD2278" w:rsidRDefault="00BD2278" w:rsidP="00FE4032">
      <w:pPr>
        <w:ind w:firstLine="284"/>
        <w:rPr>
          <w:sz w:val="28"/>
          <w:szCs w:val="28"/>
        </w:rPr>
      </w:pPr>
      <w:r>
        <w:rPr>
          <w:sz w:val="28"/>
          <w:szCs w:val="28"/>
        </w:rPr>
        <w:t>Assumendo la regola dell’obbligo di parità, con la possibilità di una differenziazione retributiva se fondata su criteri oggettivamente riscontrabili, l’onere di provare la sussistenza delle condizioni di legittimità verrebbe posto a carico del datore di lavoro. Vero è che limitare l’onere processuale del lavoratore alla allegazione del differenziale,  equivale a gravare il datore di datore di lavoro dell’obbligo di precostituirsi la prova ogni volta che voglia premiare un dipendente. Altrettanto vero è che, se l’apporto offerto da un lavoratore giustifica una maggiorazione retributiva, tanto più giustificherà il sacrificio di documentare il vantaggio che ne trae l’impresa.</w:t>
      </w:r>
    </w:p>
    <w:p w:rsidR="00BD2278" w:rsidRDefault="00BD2278" w:rsidP="00FE4032">
      <w:pPr>
        <w:ind w:firstLine="284"/>
        <w:rPr>
          <w:sz w:val="28"/>
          <w:szCs w:val="28"/>
        </w:rPr>
      </w:pPr>
      <w:r>
        <w:rPr>
          <w:sz w:val="28"/>
          <w:szCs w:val="28"/>
        </w:rPr>
        <w:t>La proposta in altri termini è quella di ritenere illegittima la condotta che abbia attribuito livelli retributivi diversi a soggetti che svolgano le stesse mansioni con i medesimi risultati, e di promuovere una presunzione di parità, salva la possibilità del datore di remunerare il maggior apporto di un prestatore, a condizione di essere in grado di sostenerne la prova in giudizio.</w:t>
      </w:r>
    </w:p>
    <w:p w:rsidR="00BD2278" w:rsidRDefault="00BD2278" w:rsidP="00FE4032">
      <w:pPr>
        <w:ind w:firstLine="284"/>
        <w:rPr>
          <w:sz w:val="28"/>
          <w:szCs w:val="28"/>
        </w:rPr>
      </w:pPr>
      <w:r>
        <w:rPr>
          <w:sz w:val="28"/>
          <w:szCs w:val="28"/>
        </w:rPr>
        <w:t>Naturalmente quando l’onere probatorio dovesse ritenersi particolarmente difficile, come nei casi in cui investa aspetti qualitativi e non quantitativi con difficoltà di misurazione del maggior beneficio goduto dall’imprenditore, o ancora quando attenga l’</w:t>
      </w:r>
      <w:r>
        <w:rPr>
          <w:i/>
          <w:sz w:val="28"/>
          <w:szCs w:val="28"/>
        </w:rPr>
        <w:t>intuitus personae</w:t>
      </w:r>
      <w:r>
        <w:rPr>
          <w:sz w:val="28"/>
          <w:szCs w:val="28"/>
        </w:rPr>
        <w:t>, in tutti questi casi sarebbe ipotizzabile ammetterne un’attenuazione. Si potrebbe ritenere infatti soddisfatto quando il datore porti in giudizio un inizio di prova che valga a giustificare le proprie scelte</w:t>
      </w:r>
      <w:r>
        <w:rPr>
          <w:rStyle w:val="FootnoteReference"/>
          <w:sz w:val="28"/>
          <w:szCs w:val="28"/>
        </w:rPr>
        <w:footnoteReference w:id="105"/>
      </w:r>
      <w:r>
        <w:rPr>
          <w:sz w:val="28"/>
          <w:szCs w:val="28"/>
        </w:rPr>
        <w:t xml:space="preserve">. Se non sia assolutamente giustificabile la scelta sotto il profilo della </w:t>
      </w:r>
      <w:r w:rsidRPr="000723CA">
        <w:rPr>
          <w:sz w:val="28"/>
          <w:szCs w:val="28"/>
        </w:rPr>
        <w:t>ragionevolezza</w:t>
      </w:r>
      <w:r>
        <w:rPr>
          <w:sz w:val="28"/>
          <w:szCs w:val="28"/>
        </w:rPr>
        <w:t xml:space="preserve"> si dovrebbe concludere per la esclusione della legittimità del diverso trattamento in quanto, non essendo possibile mettere in condizione i lavoratori di svolgere la propria prestazione in modo da ottenere una maggiorazione retributiva in conseguenza del miglior risultato, ove si voglia premiare i lavoratori occorrerebbe farlo in misura indifferenziata.</w:t>
      </w:r>
    </w:p>
    <w:p w:rsidR="00BD2278" w:rsidRDefault="00BD2278" w:rsidP="00FE4032">
      <w:pPr>
        <w:ind w:firstLine="284"/>
        <w:rPr>
          <w:sz w:val="28"/>
          <w:szCs w:val="28"/>
        </w:rPr>
      </w:pPr>
      <w:r>
        <w:rPr>
          <w:sz w:val="28"/>
          <w:szCs w:val="28"/>
        </w:rPr>
        <w:t>Non rientrerebbe tra gli oneri di allegazione gravanti sul datore di lavoro la comunicazione al prestatore dei criteri di scelta e delle motivazioni delle decisioni. Ancora una volta mutuando la disciplina elaborata dalla giurisprudenza in materia di concorsi e promozioni, si dovrebbe affermare la rispettiva rilevanza solo sul piano probatorio</w:t>
      </w:r>
      <w:r>
        <w:rPr>
          <w:rStyle w:val="FootnoteReference"/>
          <w:sz w:val="28"/>
          <w:szCs w:val="28"/>
        </w:rPr>
        <w:footnoteReference w:id="106"/>
      </w:r>
      <w:r>
        <w:rPr>
          <w:sz w:val="28"/>
          <w:szCs w:val="28"/>
        </w:rPr>
        <w:t>.</w:t>
      </w:r>
    </w:p>
    <w:p w:rsidR="00BD2278" w:rsidRDefault="00BD2278" w:rsidP="00FE4032">
      <w:pPr>
        <w:ind w:firstLine="284"/>
        <w:rPr>
          <w:sz w:val="28"/>
          <w:szCs w:val="28"/>
        </w:rPr>
      </w:pPr>
      <w:r>
        <w:rPr>
          <w:sz w:val="28"/>
          <w:szCs w:val="28"/>
        </w:rPr>
        <w:t xml:space="preserve">Resta da chiarire quali possano essere le conseguenze di una violazione dell’obbligo di buona fede conseguente al diverso trattamento retributivo irragionevole. </w:t>
      </w:r>
    </w:p>
    <w:p w:rsidR="00BD2278" w:rsidRDefault="00BD2278" w:rsidP="00FE4032">
      <w:pPr>
        <w:ind w:firstLine="284"/>
        <w:rPr>
          <w:sz w:val="28"/>
          <w:szCs w:val="28"/>
        </w:rPr>
      </w:pPr>
      <w:r>
        <w:rPr>
          <w:sz w:val="28"/>
          <w:szCs w:val="28"/>
        </w:rPr>
        <w:t>La conseguenza di siffatta violazione non può che essere la condanna al risarcimento del danno. Le tradizionali diffidenze rispetto alla tutela risarcitoria cedono di fronte alla indubbia portata dissuasiva ottenibile con tale rimedio.</w:t>
      </w:r>
    </w:p>
    <w:p w:rsidR="00BD2278" w:rsidRDefault="00BD2278" w:rsidP="00FE4032">
      <w:pPr>
        <w:ind w:firstLine="284"/>
        <w:rPr>
          <w:sz w:val="28"/>
          <w:szCs w:val="28"/>
        </w:rPr>
      </w:pPr>
      <w:r>
        <w:rPr>
          <w:sz w:val="28"/>
          <w:szCs w:val="28"/>
        </w:rPr>
        <w:t xml:space="preserve">Ad altra soluzione si potrebbe addivenire ove si fondasse diversamente l’azione rispetto alla violazione dell’obbligo di buona fede. In alcuni casi la giurisprudenza ha infatti sostenuto l’ammissibilità di un potere di integrazione contrattuale </w:t>
      </w:r>
      <w:r>
        <w:rPr>
          <w:i/>
          <w:sz w:val="28"/>
          <w:szCs w:val="28"/>
        </w:rPr>
        <w:t>ex</w:t>
      </w:r>
      <w:r>
        <w:rPr>
          <w:sz w:val="28"/>
          <w:szCs w:val="28"/>
        </w:rPr>
        <w:t xml:space="preserve"> art. 1374 c.c. Tale ultima soluzione è stata tuttavia criticata dalla dottrina che ha ritenuto che il presupposto di tale potere consistesse in una lacuna del regolamento negoziale. Altra via ritenuta percorribile è costituita dall’estensione degli usi aziendali. Essa tuttavia presuppone l’accoglimento del principio di parità e comporta un giudizio comparatistico volto a determinare la diffusione del trattamento retributivo migliorativo tra i lavoratori addetti ad una determinata mansione o a un gruppo di mansioni</w:t>
      </w:r>
      <w:r>
        <w:rPr>
          <w:rStyle w:val="FootnoteReference"/>
          <w:sz w:val="28"/>
          <w:szCs w:val="28"/>
        </w:rPr>
        <w:footnoteReference w:id="107"/>
      </w:r>
      <w:r>
        <w:rPr>
          <w:sz w:val="28"/>
          <w:szCs w:val="28"/>
        </w:rPr>
        <w:t>.</w:t>
      </w:r>
    </w:p>
    <w:p w:rsidR="00BD2278" w:rsidRDefault="00BD2278" w:rsidP="00FE4032">
      <w:pPr>
        <w:ind w:firstLine="284"/>
        <w:rPr>
          <w:sz w:val="28"/>
          <w:szCs w:val="28"/>
        </w:rPr>
      </w:pPr>
    </w:p>
    <w:p w:rsidR="00BD2278" w:rsidRDefault="00BD2278" w:rsidP="00FE4032">
      <w:pPr>
        <w:ind w:firstLine="284"/>
        <w:rPr>
          <w:sz w:val="28"/>
          <w:szCs w:val="28"/>
        </w:rPr>
      </w:pPr>
    </w:p>
    <w:p w:rsidR="00BD2278" w:rsidRPr="00CE7F46" w:rsidRDefault="00BD2278" w:rsidP="00A01E3A">
      <w:pPr>
        <w:pStyle w:val="ListParagraph"/>
        <w:numPr>
          <w:ilvl w:val="1"/>
          <w:numId w:val="24"/>
        </w:numPr>
        <w:ind w:left="0" w:firstLine="284"/>
        <w:outlineLvl w:val="1"/>
        <w:rPr>
          <w:sz w:val="28"/>
          <w:szCs w:val="28"/>
        </w:rPr>
      </w:pPr>
      <w:r>
        <w:rPr>
          <w:sz w:val="28"/>
          <w:szCs w:val="28"/>
        </w:rPr>
        <w:t xml:space="preserve"> </w:t>
      </w:r>
      <w:bookmarkStart w:id="7" w:name="_Toc285266421"/>
      <w:r w:rsidRPr="009B00A7">
        <w:rPr>
          <w:rStyle w:val="TitoloparagrafoCarattere"/>
          <w:i/>
        </w:rPr>
        <w:t>La parità di trattamento e i limiti all’autonomia collettiva</w:t>
      </w:r>
      <w:r>
        <w:rPr>
          <w:sz w:val="28"/>
          <w:szCs w:val="28"/>
        </w:rPr>
        <w:t>.</w:t>
      </w:r>
      <w:bookmarkEnd w:id="7"/>
    </w:p>
    <w:p w:rsidR="00BD2278" w:rsidRDefault="00BD2278" w:rsidP="00FE4032">
      <w:pPr>
        <w:ind w:firstLine="284"/>
        <w:rPr>
          <w:sz w:val="28"/>
          <w:szCs w:val="28"/>
        </w:rPr>
      </w:pPr>
    </w:p>
    <w:p w:rsidR="00BD2278" w:rsidRDefault="00BD2278" w:rsidP="00FE4032">
      <w:pPr>
        <w:ind w:firstLine="284"/>
        <w:rPr>
          <w:sz w:val="28"/>
          <w:szCs w:val="28"/>
        </w:rPr>
      </w:pPr>
      <w:r>
        <w:rPr>
          <w:sz w:val="28"/>
          <w:szCs w:val="28"/>
        </w:rPr>
        <w:t>La contrattazione collettiva in alcuni frangenti ha mostrato di voler perseguire un intento egualitario</w:t>
      </w:r>
      <w:r>
        <w:rPr>
          <w:rStyle w:val="FootnoteReference"/>
          <w:sz w:val="28"/>
          <w:szCs w:val="28"/>
        </w:rPr>
        <w:footnoteReference w:id="108"/>
      </w:r>
      <w:r>
        <w:rPr>
          <w:sz w:val="28"/>
          <w:szCs w:val="28"/>
        </w:rPr>
        <w:t xml:space="preserve">. Ciò è quanto avvenuto nei primi anni settanta quando lo sventagliamento delle qualifiche e tecniche di </w:t>
      </w:r>
      <w:r>
        <w:rPr>
          <w:i/>
          <w:sz w:val="28"/>
          <w:szCs w:val="28"/>
        </w:rPr>
        <w:t xml:space="preserve">job </w:t>
      </w:r>
      <w:r w:rsidRPr="00C53D02">
        <w:rPr>
          <w:i/>
          <w:sz w:val="28"/>
          <w:szCs w:val="28"/>
        </w:rPr>
        <w:t>evaluation</w:t>
      </w:r>
      <w:r w:rsidRPr="006D3911">
        <w:rPr>
          <w:sz w:val="28"/>
          <w:szCs w:val="28"/>
        </w:rPr>
        <w:t xml:space="preserve"> </w:t>
      </w:r>
      <w:r>
        <w:rPr>
          <w:sz w:val="28"/>
          <w:szCs w:val="28"/>
        </w:rPr>
        <w:t>fuori controllo</w:t>
      </w:r>
      <w:r>
        <w:rPr>
          <w:i/>
          <w:sz w:val="28"/>
          <w:szCs w:val="28"/>
        </w:rPr>
        <w:t xml:space="preserve">, </w:t>
      </w:r>
      <w:r w:rsidRPr="006D3911">
        <w:rPr>
          <w:sz w:val="28"/>
          <w:szCs w:val="28"/>
        </w:rPr>
        <w:t xml:space="preserve">soprattutto a favore di alcune categorie privilegiate di lavoratori, </w:t>
      </w:r>
      <w:r w:rsidRPr="00C53D02">
        <w:rPr>
          <w:sz w:val="28"/>
          <w:szCs w:val="28"/>
        </w:rPr>
        <w:t>ha</w:t>
      </w:r>
      <w:r>
        <w:rPr>
          <w:sz w:val="28"/>
          <w:szCs w:val="28"/>
        </w:rPr>
        <w:t xml:space="preserve">nno determinato </w:t>
      </w:r>
      <w:r>
        <w:rPr>
          <w:i/>
          <w:sz w:val="28"/>
          <w:szCs w:val="28"/>
        </w:rPr>
        <w:t>gap</w:t>
      </w:r>
      <w:r>
        <w:rPr>
          <w:sz w:val="28"/>
          <w:szCs w:val="28"/>
        </w:rPr>
        <w:t xml:space="preserve"> retributivi spesso ingiustificabili, colmati tramite l’inquadramento unico</w:t>
      </w:r>
      <w:r>
        <w:rPr>
          <w:rStyle w:val="FootnoteReference"/>
          <w:sz w:val="28"/>
          <w:szCs w:val="28"/>
        </w:rPr>
        <w:footnoteReference w:id="109"/>
      </w:r>
      <w:r>
        <w:rPr>
          <w:sz w:val="28"/>
          <w:szCs w:val="28"/>
        </w:rPr>
        <w:t>.</w:t>
      </w:r>
    </w:p>
    <w:p w:rsidR="00BD2278" w:rsidRDefault="00BD2278" w:rsidP="00FE4032">
      <w:pPr>
        <w:ind w:firstLine="284"/>
        <w:rPr>
          <w:sz w:val="28"/>
          <w:szCs w:val="28"/>
        </w:rPr>
      </w:pPr>
      <w:r>
        <w:rPr>
          <w:sz w:val="28"/>
          <w:szCs w:val="28"/>
        </w:rPr>
        <w:t>Il problema è che non sempre l’attenzione dell’autonomia collettiva è concentrata sulla perequazione salariale ed in ogni caso l’obiettivo è condizionato da difficoltà contingenti</w:t>
      </w:r>
      <w:r>
        <w:rPr>
          <w:rStyle w:val="FootnoteReference"/>
          <w:sz w:val="28"/>
          <w:szCs w:val="28"/>
        </w:rPr>
        <w:footnoteReference w:id="110"/>
      </w:r>
      <w:r>
        <w:rPr>
          <w:sz w:val="28"/>
          <w:szCs w:val="28"/>
        </w:rPr>
        <w:t>.</w:t>
      </w:r>
    </w:p>
    <w:p w:rsidR="00BD2278" w:rsidRDefault="00BD2278" w:rsidP="00FE4032">
      <w:pPr>
        <w:ind w:firstLine="284"/>
        <w:rPr>
          <w:sz w:val="28"/>
          <w:szCs w:val="28"/>
        </w:rPr>
      </w:pPr>
      <w:r>
        <w:rPr>
          <w:sz w:val="28"/>
          <w:szCs w:val="28"/>
        </w:rPr>
        <w:t>Occorre dunque capire se il dato costituito dalla negoziazione a livello collettivo, renda legittimi gli eventuali trattamenti salariali ingiustificatamente differenziati. Una parte della dottrina, timorosa che un sindacato giurisdizionale sul contratto collettivo potesse depotenziare l’autonomia collettiva, ha ritenuto che la negoziazione collettiva sottragga a qualsiasi controllo da parte del giudice eventuali clausole che introducono differenziazioni retributive.</w:t>
      </w:r>
    </w:p>
    <w:p w:rsidR="00BD2278" w:rsidRDefault="00BD2278" w:rsidP="00FE4032">
      <w:pPr>
        <w:ind w:firstLine="284"/>
        <w:rPr>
          <w:sz w:val="28"/>
          <w:szCs w:val="28"/>
        </w:rPr>
      </w:pPr>
      <w:r>
        <w:rPr>
          <w:sz w:val="28"/>
          <w:szCs w:val="28"/>
        </w:rPr>
        <w:t xml:space="preserve"> Altri hanno ritenuto ammissibile un intervento giudiziale in alcuni casi: quello delle clausole c.d. di riconoscimento formale, che sostanzialmente rinviano per l’inquadramento e l’attribuzione dei trattamenti all’arbitrio del datore di lavoro, quello dei trattamenti retributivi o di classificazione del tutto arbitrari ed infine quello delle previsioni palesemente viziate da errori o da grave contraddittorietà ed incoerenza</w:t>
      </w:r>
      <w:r>
        <w:rPr>
          <w:rStyle w:val="FootnoteReference"/>
          <w:sz w:val="28"/>
          <w:szCs w:val="28"/>
        </w:rPr>
        <w:footnoteReference w:id="111"/>
      </w:r>
      <w:r>
        <w:rPr>
          <w:sz w:val="28"/>
          <w:szCs w:val="28"/>
        </w:rPr>
        <w:t>.</w:t>
      </w:r>
    </w:p>
    <w:p w:rsidR="00BD2278" w:rsidRDefault="00BD2278" w:rsidP="00FE4032">
      <w:pPr>
        <w:ind w:firstLine="284"/>
        <w:rPr>
          <w:sz w:val="28"/>
          <w:szCs w:val="28"/>
        </w:rPr>
      </w:pPr>
      <w:r>
        <w:rPr>
          <w:sz w:val="28"/>
          <w:szCs w:val="28"/>
        </w:rPr>
        <w:t>L’alternativa tra l’ammissibilità dell’intervento giurisdizionale e la legittimità ontologia delle clausole retributive negoziate a livello collettivo pone il problema della conciliabilità dell’esigenza di tutela dell’autonomia collettiva con quella di garanzia della parità di trattamento dei lavoratori.</w:t>
      </w:r>
    </w:p>
    <w:p w:rsidR="00BD2278" w:rsidRDefault="00BD2278" w:rsidP="00FE4032">
      <w:pPr>
        <w:ind w:firstLine="284"/>
        <w:rPr>
          <w:sz w:val="28"/>
          <w:szCs w:val="28"/>
        </w:rPr>
      </w:pPr>
      <w:r>
        <w:rPr>
          <w:sz w:val="28"/>
          <w:szCs w:val="28"/>
        </w:rPr>
        <w:t>Per affrontare correttamente la questione occorre tenere distinto il piano della scelta dei parametri per la determinazione dei trattamenti ulteriori rispetto a quelli minimi di categoria determinati a livello nazionale, da quello delle modalità di attribuzione. Se le prime costituiscono l’esercizio dell’autonomia collettiva e dunque secondo una parte della dottrina sono insuscettibili di formare oggetto di un sindacato giurisdizionale, le seconde possono essere valutate dal giudice chiamato a pronunciarsi sulla legittimità della condotta datoriale nell’erogazione degli emolumenti. Ed in effetti, seppure rari, esistono precedenti in cui si è sostenuta ad esempio la necessità di un corretto adempimento del dovere di informazione da parte datoriale,  dello svolgimento delle procedure di valutazione e dell’ assegnazione degli obiettivi al cui raggiungimento è legata l’erogazione della parte variabile della retribuzione</w:t>
      </w:r>
      <w:r>
        <w:rPr>
          <w:rStyle w:val="FootnoteReference"/>
          <w:sz w:val="28"/>
          <w:szCs w:val="28"/>
        </w:rPr>
        <w:footnoteReference w:id="112"/>
      </w:r>
      <w:r>
        <w:rPr>
          <w:sz w:val="28"/>
          <w:szCs w:val="28"/>
        </w:rPr>
        <w:t>. Pertanto si può ritenere che le erogazioni effettuate dal datore di lavoro solo ad una parte dei prestatori, pur previste dal contratto collettivo, ma effettuate in assenza dei requisiti di legittimità della condotta, possano integrare una violazione dell’obbligo di parità di trattamento ed essere dunque sanzionate dal giudice secondo le prescrizioni e con le modalità già proposte.</w:t>
      </w:r>
    </w:p>
    <w:p w:rsidR="00BD2278" w:rsidRDefault="00BD2278" w:rsidP="00FE4032">
      <w:pPr>
        <w:ind w:firstLine="284"/>
        <w:rPr>
          <w:sz w:val="28"/>
          <w:szCs w:val="28"/>
        </w:rPr>
      </w:pPr>
      <w:r>
        <w:rPr>
          <w:sz w:val="28"/>
          <w:szCs w:val="28"/>
        </w:rPr>
        <w:t>Occorre dare atto anche dell’orientamento di quella parte della dottrina</w:t>
      </w:r>
      <w:r>
        <w:rPr>
          <w:rStyle w:val="FootnoteReference"/>
          <w:sz w:val="28"/>
          <w:szCs w:val="28"/>
        </w:rPr>
        <w:footnoteReference w:id="113"/>
      </w:r>
      <w:r>
        <w:rPr>
          <w:sz w:val="28"/>
          <w:szCs w:val="28"/>
        </w:rPr>
        <w:t xml:space="preserve"> per cui anche la scelta dei parametri per l’erogazione dei trattamenti incentivanti di gruppo può essere soggetta a sindacato giurisdizionale se essi facciano riferimento non solo a indici qualitativi o quantitativi relativi alla prestazione ma anche di qualità, efficacia ed efficienza, individuati diversamente nelle varie unità produttive. Secondo il suddetto orientamento, dovrebbe essere dichiarata l’illegittimità  delle erogazioni quando siano realizzate soluzioni direttamente o indirettamente discriminatorie.</w:t>
      </w:r>
    </w:p>
    <w:p w:rsidR="00BD2278" w:rsidRDefault="00BD2278" w:rsidP="00FE4032">
      <w:pPr>
        <w:ind w:firstLine="284"/>
        <w:rPr>
          <w:sz w:val="28"/>
          <w:szCs w:val="28"/>
        </w:rPr>
      </w:pPr>
      <w:r>
        <w:rPr>
          <w:sz w:val="28"/>
          <w:szCs w:val="28"/>
        </w:rPr>
        <w:t>La questione della parità di trattamento con riguardo all’autonomia collettiva impone un cenno agli usi aziendali.</w:t>
      </w:r>
    </w:p>
    <w:p w:rsidR="00BD2278" w:rsidRDefault="00BD2278" w:rsidP="00FE4032">
      <w:pPr>
        <w:ind w:firstLine="284"/>
        <w:rPr>
          <w:sz w:val="28"/>
          <w:szCs w:val="28"/>
        </w:rPr>
      </w:pPr>
      <w:r>
        <w:rPr>
          <w:sz w:val="28"/>
          <w:szCs w:val="28"/>
        </w:rPr>
        <w:t>Gli usi aziendali costituiscono una categoria di elaborazione giurisprudenziale cui sono ricondotte tutte le elargizioni che abbiano perso la caratteristica di liberalità per le modalità con cui sono predisposte, creando un affidamento sulla stabilità e vincolatività.</w:t>
      </w:r>
    </w:p>
    <w:p w:rsidR="00BD2278" w:rsidRPr="000314C8" w:rsidRDefault="00BD2278" w:rsidP="00FE4032">
      <w:pPr>
        <w:ind w:firstLine="284"/>
        <w:rPr>
          <w:sz w:val="28"/>
          <w:szCs w:val="28"/>
        </w:rPr>
      </w:pPr>
      <w:r>
        <w:rPr>
          <w:sz w:val="28"/>
          <w:szCs w:val="28"/>
        </w:rPr>
        <w:t xml:space="preserve">Esse divengono pertanto un obbligo a carico del datore di lavoro capace di imporsi sul contratto individuale a condizione che esso modifichi in </w:t>
      </w:r>
      <w:r>
        <w:rPr>
          <w:i/>
          <w:sz w:val="28"/>
          <w:szCs w:val="28"/>
        </w:rPr>
        <w:t xml:space="preserve">melius </w:t>
      </w:r>
      <w:r>
        <w:rPr>
          <w:sz w:val="28"/>
          <w:szCs w:val="28"/>
        </w:rPr>
        <w:t>la regolamentazione collettiva</w:t>
      </w:r>
      <w:r>
        <w:rPr>
          <w:rStyle w:val="FootnoteReference"/>
          <w:sz w:val="28"/>
          <w:szCs w:val="28"/>
        </w:rPr>
        <w:footnoteReference w:id="114"/>
      </w:r>
      <w:r>
        <w:rPr>
          <w:sz w:val="28"/>
          <w:szCs w:val="28"/>
        </w:rPr>
        <w:t>.</w:t>
      </w:r>
    </w:p>
    <w:p w:rsidR="00BD2278" w:rsidRDefault="00BD2278" w:rsidP="00FE4032">
      <w:pPr>
        <w:ind w:firstLine="284"/>
        <w:rPr>
          <w:sz w:val="28"/>
          <w:szCs w:val="28"/>
        </w:rPr>
      </w:pPr>
      <w:r>
        <w:rPr>
          <w:sz w:val="28"/>
          <w:szCs w:val="28"/>
        </w:rPr>
        <w:t>Secondo un orientamento giurisprudenziale questa capacità di imporsi al regolamento negoziale del rapporto di lavoro deriverebbe dalla natura interindividuale, assimilabile a quella di un contratto collettivo con la conseguenza che l’uso aziendale comporta ha efficacia soggettiva più estesa della cerchia di soggetti cui era originariamente destinata l’erogazione. L’uso aziendale si configurerebbe quale proposta nei confronti della generalità dei lavoratori anche non direttamente destinatari, tale da integrare un contratto collettivo tacito. Anche nella diversa impostazione dell’uso aziendale quale fonte sociale, sostenuta da coloro che  ne ritengono la qualificazione in termini di contratto collettivo tacito</w:t>
      </w:r>
      <w:r w:rsidRPr="00380AF6">
        <w:rPr>
          <w:sz w:val="28"/>
          <w:szCs w:val="28"/>
        </w:rPr>
        <w:t xml:space="preserve"> </w:t>
      </w:r>
      <w:r>
        <w:rPr>
          <w:sz w:val="28"/>
          <w:szCs w:val="28"/>
        </w:rPr>
        <w:t>un pericolosa finzione</w:t>
      </w:r>
      <w:r>
        <w:rPr>
          <w:rStyle w:val="FootnoteReference"/>
          <w:sz w:val="28"/>
          <w:szCs w:val="28"/>
        </w:rPr>
        <w:footnoteReference w:id="115"/>
      </w:r>
      <w:r>
        <w:rPr>
          <w:sz w:val="28"/>
          <w:szCs w:val="28"/>
        </w:rPr>
        <w:t xml:space="preserve">, esso conserva la caratteristica di un’efficacia estesa anche oltre la cerchia degli originari destinatari della liberalità. </w:t>
      </w:r>
    </w:p>
    <w:p w:rsidR="00BD2278" w:rsidRDefault="00BD2278" w:rsidP="00FE4032">
      <w:pPr>
        <w:ind w:firstLine="284"/>
        <w:rPr>
          <w:sz w:val="28"/>
          <w:szCs w:val="28"/>
        </w:rPr>
      </w:pPr>
      <w:r>
        <w:rPr>
          <w:sz w:val="28"/>
          <w:szCs w:val="28"/>
        </w:rPr>
        <w:t>Tale caratteristica ha indotto una parte della dottrina ad attribuire all’uso aziendale un effetto paritario ispirato a principi di uguaglianza. Secondo un diverso orientamento, non è l’uso aziendale che produce la parità, ma che la contrario è il principio di parità che consente una generalizzazione dell’efficacia dell’uso</w:t>
      </w:r>
      <w:r>
        <w:rPr>
          <w:rStyle w:val="FootnoteReference"/>
          <w:sz w:val="28"/>
          <w:szCs w:val="28"/>
        </w:rPr>
        <w:footnoteReference w:id="116"/>
      </w:r>
      <w:r>
        <w:rPr>
          <w:sz w:val="28"/>
          <w:szCs w:val="28"/>
        </w:rPr>
        <w:t>.</w:t>
      </w:r>
    </w:p>
    <w:p w:rsidR="00BD2278" w:rsidRDefault="00BD2278" w:rsidP="00FE4032">
      <w:pPr>
        <w:ind w:firstLine="284"/>
        <w:rPr>
          <w:sz w:val="28"/>
          <w:szCs w:val="28"/>
        </w:rPr>
      </w:pPr>
    </w:p>
    <w:p w:rsidR="00BD2278" w:rsidRDefault="00BD2278" w:rsidP="00FE4032">
      <w:pPr>
        <w:ind w:firstLine="284"/>
        <w:rPr>
          <w:sz w:val="28"/>
          <w:szCs w:val="28"/>
        </w:rPr>
      </w:pPr>
    </w:p>
    <w:p w:rsidR="00BD2278" w:rsidRPr="00CE7F46" w:rsidRDefault="00BD2278" w:rsidP="00A01E3A">
      <w:pPr>
        <w:pStyle w:val="ListParagraph"/>
        <w:numPr>
          <w:ilvl w:val="1"/>
          <w:numId w:val="25"/>
        </w:numPr>
        <w:ind w:left="0" w:firstLine="284"/>
        <w:outlineLvl w:val="1"/>
        <w:rPr>
          <w:sz w:val="28"/>
          <w:szCs w:val="28"/>
        </w:rPr>
      </w:pPr>
      <w:r>
        <w:rPr>
          <w:sz w:val="28"/>
          <w:szCs w:val="28"/>
        </w:rPr>
        <w:t xml:space="preserve"> </w:t>
      </w:r>
      <w:bookmarkStart w:id="8" w:name="_Toc285266422"/>
      <w:r w:rsidRPr="009B00A7">
        <w:rPr>
          <w:rStyle w:val="TitoloparagrafoCarattere"/>
          <w:i/>
        </w:rPr>
        <w:t>L’attualità della questione della parità di trattamento</w:t>
      </w:r>
      <w:r>
        <w:rPr>
          <w:sz w:val="28"/>
          <w:szCs w:val="28"/>
        </w:rPr>
        <w:t>.</w:t>
      </w:r>
      <w:bookmarkEnd w:id="8"/>
    </w:p>
    <w:p w:rsidR="00BD2278" w:rsidRDefault="00BD2278" w:rsidP="00FE4032">
      <w:pPr>
        <w:ind w:firstLine="284"/>
        <w:rPr>
          <w:sz w:val="28"/>
          <w:szCs w:val="28"/>
        </w:rPr>
      </w:pPr>
    </w:p>
    <w:p w:rsidR="00BD2278" w:rsidRDefault="00BD2278" w:rsidP="00FE4032">
      <w:pPr>
        <w:ind w:firstLine="284"/>
        <w:rPr>
          <w:sz w:val="28"/>
          <w:szCs w:val="28"/>
        </w:rPr>
      </w:pPr>
      <w:r>
        <w:rPr>
          <w:sz w:val="28"/>
          <w:szCs w:val="28"/>
        </w:rPr>
        <w:t>Nonostante possa sembrare che le priorità siano altre, in particolare la conservazione dei livelli di occupazione</w:t>
      </w:r>
      <w:r>
        <w:rPr>
          <w:rStyle w:val="FootnoteReference"/>
          <w:sz w:val="28"/>
          <w:szCs w:val="28"/>
        </w:rPr>
        <w:footnoteReference w:id="117"/>
      </w:r>
      <w:r>
        <w:rPr>
          <w:sz w:val="28"/>
          <w:szCs w:val="28"/>
        </w:rPr>
        <w:t>, dai recenti sviluppi della negoziazione delle regole sugli assetti contrattuali, giungono suggerimenti per riconsiderare l’attualità della questione della parità di trattamento retributivo.</w:t>
      </w:r>
    </w:p>
    <w:p w:rsidR="00BD2278" w:rsidRDefault="00BD2278" w:rsidP="00FE4032">
      <w:pPr>
        <w:ind w:firstLine="284"/>
        <w:rPr>
          <w:sz w:val="28"/>
          <w:szCs w:val="28"/>
        </w:rPr>
      </w:pPr>
      <w:r>
        <w:rPr>
          <w:sz w:val="28"/>
          <w:szCs w:val="28"/>
        </w:rPr>
        <w:t>Il Protocollo sulla politica dei redditi del 23 luglio 1993 prevedeva la possibilità per la contrattazione aziendale di prevedere erogazioni salariali correlate a “incrementi di produttività, di qualità ed altri elementi di produttività”.</w:t>
      </w:r>
    </w:p>
    <w:p w:rsidR="00BD2278" w:rsidRDefault="00BD2278" w:rsidP="00FE4032">
      <w:pPr>
        <w:ind w:firstLine="284"/>
        <w:rPr>
          <w:sz w:val="28"/>
          <w:szCs w:val="28"/>
        </w:rPr>
      </w:pPr>
      <w:r>
        <w:rPr>
          <w:sz w:val="28"/>
          <w:szCs w:val="28"/>
        </w:rPr>
        <w:t>Con il successivo Accordo quadro di riforma degli assetti contrattuali del 22 gennaio 2009, viene riservata al contratto nazionale di categoria la funzione di garanzia dei trattamenti economici comuni per tutti i lavoratori del settore ovunque impiegati nel territorio nazionale e affermata la necessità di incentivare la contrattazione di secondo livello. A quest’ultimae si attribuisce la funzione di collegare gli incentivi economici al raggiungimento di obiettivi di produttività, redditività, qualità, efficienza, efficacia ed altri elementi rilevanti ai fini del miglioramento della competitività.</w:t>
      </w:r>
    </w:p>
    <w:p w:rsidR="00BD2278" w:rsidRDefault="00BD2278" w:rsidP="00FE4032">
      <w:pPr>
        <w:ind w:firstLine="284"/>
        <w:rPr>
          <w:sz w:val="28"/>
          <w:szCs w:val="28"/>
        </w:rPr>
      </w:pPr>
      <w:r>
        <w:rPr>
          <w:sz w:val="28"/>
          <w:szCs w:val="28"/>
        </w:rPr>
        <w:t>Lo scopo dei suddetti accordi è quello di diffondere, in funzione redistributiva, la negoziazione dei premi di risultato già previsti nei contratti già a partire dagli anni ’60. La previsione per cui l’erogazione deve essere vincolata al raggiungimento di obiettivi cela la volontà di prevenire la prassi della erogazione in cifra fissa ed in funzione di recupero della capacità di acquisto dei salari reali</w:t>
      </w:r>
      <w:r>
        <w:rPr>
          <w:rStyle w:val="FootnoteReference"/>
          <w:sz w:val="28"/>
          <w:szCs w:val="28"/>
        </w:rPr>
        <w:footnoteReference w:id="118"/>
      </w:r>
      <w:r>
        <w:rPr>
          <w:sz w:val="28"/>
          <w:szCs w:val="28"/>
        </w:rPr>
        <w:t>.</w:t>
      </w:r>
    </w:p>
    <w:p w:rsidR="00BD2278" w:rsidRDefault="00BD2278" w:rsidP="00FE4032">
      <w:pPr>
        <w:ind w:firstLine="284"/>
        <w:rPr>
          <w:sz w:val="28"/>
          <w:szCs w:val="28"/>
        </w:rPr>
      </w:pPr>
      <w:r>
        <w:rPr>
          <w:sz w:val="28"/>
          <w:szCs w:val="28"/>
        </w:rPr>
        <w:t>La determinazione dei parametri di redditività, qualità efficienza, efficacia che danno accesso ai premi è rimessa alla contrattazione di secondo livello.</w:t>
      </w:r>
    </w:p>
    <w:p w:rsidR="00BD2278" w:rsidRDefault="00BD2278" w:rsidP="00FE4032">
      <w:pPr>
        <w:ind w:firstLine="284"/>
        <w:rPr>
          <w:sz w:val="28"/>
          <w:szCs w:val="28"/>
        </w:rPr>
      </w:pPr>
      <w:r>
        <w:rPr>
          <w:sz w:val="28"/>
          <w:szCs w:val="28"/>
        </w:rPr>
        <w:t>Nell’eventualità in cui non si concluda alcun contratto integrativo sui premi, secondo quanto previsto dall’Accordo interconfederale del 15 aprile 2009 per l’attuazione dell’Accordo quadro sulla riforma degli assetti contrattuali del 22 gennaio, ai dipendenti di aziende private è dovuto un importo a titolo di elemento di garanzia retributiva, la cui misura è stabilita nella contrattazione nazionale.</w:t>
      </w:r>
    </w:p>
    <w:p w:rsidR="00BD2278" w:rsidRDefault="00BD2278" w:rsidP="00FE4032">
      <w:pPr>
        <w:ind w:firstLine="284"/>
        <w:rPr>
          <w:sz w:val="28"/>
          <w:szCs w:val="28"/>
        </w:rPr>
      </w:pPr>
      <w:r>
        <w:rPr>
          <w:sz w:val="28"/>
          <w:szCs w:val="28"/>
        </w:rPr>
        <w:t>L’elemento di garanzia è previsto nell’Accordo interconfederale a sostegno della diffusione della contrattazione di secondo livello e pertanto nelle intenzioni dei sottoscrittori la sua misura dovrebbe essere determinata ad un livello tale da rendere conveniente la sottoscrizione di un contratto integrativo.</w:t>
      </w:r>
    </w:p>
    <w:p w:rsidR="00BD2278" w:rsidRDefault="00BD2278" w:rsidP="00FE4032">
      <w:pPr>
        <w:ind w:firstLine="284"/>
        <w:rPr>
          <w:sz w:val="28"/>
          <w:szCs w:val="28"/>
        </w:rPr>
      </w:pPr>
      <w:r>
        <w:rPr>
          <w:sz w:val="28"/>
          <w:szCs w:val="28"/>
        </w:rPr>
        <w:t>La condizione per l’erogazione dell’emolumento non è unicamente l’assenza di un contratto di tal di secondo livello, in quanto il prestatore di lavoro non deve risultare percettore di ulteriori trattamenti economici individuali o collettivi oltre  quanto spettante per contratto collettivo nazionale di categoria.</w:t>
      </w:r>
    </w:p>
    <w:p w:rsidR="00BD2278" w:rsidRDefault="00BD2278" w:rsidP="00FE4032">
      <w:pPr>
        <w:ind w:firstLine="284"/>
        <w:rPr>
          <w:sz w:val="28"/>
          <w:szCs w:val="28"/>
        </w:rPr>
      </w:pPr>
      <w:r>
        <w:rPr>
          <w:sz w:val="28"/>
          <w:szCs w:val="28"/>
        </w:rPr>
        <w:t>In altri termini l’elemento di garanzia può entrare in competizione con le retribuzioni incentivanti previste al livello contrattuale decentrato</w:t>
      </w:r>
      <w:r>
        <w:rPr>
          <w:rStyle w:val="FootnoteReference"/>
          <w:sz w:val="28"/>
          <w:szCs w:val="28"/>
        </w:rPr>
        <w:footnoteReference w:id="119"/>
      </w:r>
      <w:r>
        <w:rPr>
          <w:sz w:val="28"/>
          <w:szCs w:val="28"/>
        </w:rPr>
        <w:t xml:space="preserve"> ma anche con premi individuali. Infatti è rimessa al datore di lavoro l’alternativa tra l’aprire un confronto a livello aziendale sui premi con l’obiettivo di innescare un circolo virtuoso tra aumenti salariali e produttività, ovvero rinunciare alla stipulazione di un contratto integrativo e corrispondere una somma a titolo di elemento di garanzia ovvero, ancora, attribuire premi individuali in modo da retribuire i lavoratori in misura maggiore rispetto a quanto previsto dal contratto collettivo nazionale. In quest’ultimo caso si ripresenta la questione della parità di trattamento a livello di autonomia individuale la quale pertanto è destinata a conservare un evidente carattere di attualità.</w:t>
      </w:r>
    </w:p>
    <w:p w:rsidR="00BD2278" w:rsidRDefault="00BD2278" w:rsidP="00FE4032">
      <w:pPr>
        <w:ind w:firstLine="284"/>
        <w:rPr>
          <w:sz w:val="28"/>
          <w:szCs w:val="28"/>
        </w:rPr>
      </w:pPr>
      <w:r>
        <w:rPr>
          <w:sz w:val="28"/>
          <w:szCs w:val="28"/>
        </w:rPr>
        <w:t>La documenta bassa litigiosità in tema di procedure di erogazione di premi non può costituire un argomento a favore della tesi della  scarsa rilevanza della questione in quanto essa dipende probabilmente dalla modesta dinamicità dei premi e dall’andamento stabile nel tempo che agevolano una sostanziale condivisione</w:t>
      </w:r>
      <w:r>
        <w:rPr>
          <w:rStyle w:val="FootnoteReference"/>
          <w:sz w:val="28"/>
          <w:szCs w:val="28"/>
        </w:rPr>
        <w:footnoteReference w:id="120"/>
      </w:r>
      <w:r>
        <w:rPr>
          <w:sz w:val="28"/>
          <w:szCs w:val="28"/>
        </w:rPr>
        <w:t>. Pertanto è legittimo aspettarsi che se crescesse la rilevanza dei premi sul totale della retribuzione, con essa crescerebbe proporzionalmente anche l’incidenza del numero di controversie.</w:t>
      </w:r>
    </w:p>
    <w:p w:rsidR="00BD2278" w:rsidRDefault="00BD2278" w:rsidP="00FE4032">
      <w:pPr>
        <w:ind w:firstLine="284"/>
        <w:rPr>
          <w:sz w:val="28"/>
          <w:szCs w:val="28"/>
        </w:rPr>
      </w:pPr>
      <w:r>
        <w:rPr>
          <w:sz w:val="28"/>
          <w:szCs w:val="28"/>
        </w:rPr>
        <w:t>Inoltre si suggerisce che un ruolo fondamentale di composizione del dissenso, e dunque di limitazione dei ricorsi giurisdizionali, possano avere avuto anche le procedure conciliative previste in sede contrattuale. Per tale motivo si è ritenuto che quello dei premi possa diventare campo di applicazione privilegiata della procedura conciliativa facoltativa di cui al nuovo articolo 150 del codice di procedura civile come modificato dalla l. 4 novembre 2010, n. 183 (c.d. collegato lavoro). Ciò in quanto la questione verterebbe essenzialmente sull’interpretazione di norme di contratto collettivo costituendo terreno d’elezione delle procedure arbitrali.</w:t>
      </w:r>
    </w:p>
    <w:p w:rsidR="00BD2278" w:rsidRDefault="00BD2278" w:rsidP="00FE4032">
      <w:pPr>
        <w:ind w:firstLine="284"/>
        <w:rPr>
          <w:sz w:val="28"/>
          <w:szCs w:val="28"/>
        </w:rPr>
      </w:pPr>
    </w:p>
    <w:p w:rsidR="00BD2278" w:rsidRPr="007B1956" w:rsidRDefault="00BD2278" w:rsidP="00FE4032">
      <w:pPr>
        <w:ind w:firstLine="284"/>
        <w:rPr>
          <w:sz w:val="28"/>
          <w:szCs w:val="28"/>
        </w:rPr>
      </w:pPr>
    </w:p>
    <w:p w:rsidR="00BD2278" w:rsidRPr="00CE7F46" w:rsidRDefault="00BD2278" w:rsidP="00A01E3A">
      <w:pPr>
        <w:pStyle w:val="ListParagraph"/>
        <w:numPr>
          <w:ilvl w:val="0"/>
          <w:numId w:val="16"/>
        </w:numPr>
        <w:ind w:left="0" w:firstLine="284"/>
        <w:outlineLvl w:val="1"/>
        <w:rPr>
          <w:sz w:val="28"/>
          <w:szCs w:val="28"/>
        </w:rPr>
      </w:pPr>
      <w:bookmarkStart w:id="9" w:name="_Toc285266423"/>
      <w:r w:rsidRPr="009B00A7">
        <w:rPr>
          <w:rStyle w:val="TitoloparagrafoCarattere"/>
          <w:i/>
        </w:rPr>
        <w:t>Il procedimento di adeguamento</w:t>
      </w:r>
      <w:r>
        <w:rPr>
          <w:sz w:val="28"/>
          <w:szCs w:val="28"/>
        </w:rPr>
        <w:t>.</w:t>
      </w:r>
      <w:bookmarkEnd w:id="9"/>
    </w:p>
    <w:p w:rsidR="00BD2278" w:rsidRDefault="00BD2278" w:rsidP="00FE4032">
      <w:pPr>
        <w:ind w:firstLine="284"/>
        <w:rPr>
          <w:sz w:val="28"/>
          <w:szCs w:val="28"/>
        </w:rPr>
      </w:pPr>
    </w:p>
    <w:p w:rsidR="00BD2278" w:rsidRDefault="00BD2278" w:rsidP="00FE4032">
      <w:pPr>
        <w:ind w:firstLine="284"/>
        <w:rPr>
          <w:sz w:val="28"/>
          <w:szCs w:val="28"/>
        </w:rPr>
      </w:pPr>
      <w:r w:rsidRPr="00EA49B4">
        <w:rPr>
          <w:sz w:val="28"/>
          <w:szCs w:val="28"/>
        </w:rPr>
        <w:t xml:space="preserve">Il procedimento seguito dalla giurisprudenza per giungere alla pronuncia di condanna al pagamento delle differenze retributive per violazione dell’art. 36 Cost. è ben noto. Anzitutto secondo un orientamento di legittimità, occorre che il </w:t>
      </w:r>
      <w:r w:rsidRPr="00EA49B4">
        <w:rPr>
          <w:i/>
          <w:sz w:val="28"/>
          <w:szCs w:val="28"/>
        </w:rPr>
        <w:t>petitum</w:t>
      </w:r>
      <w:r w:rsidRPr="00EA49B4">
        <w:rPr>
          <w:sz w:val="28"/>
          <w:szCs w:val="28"/>
        </w:rPr>
        <w:t xml:space="preserve"> desumib</w:t>
      </w:r>
      <w:r>
        <w:rPr>
          <w:sz w:val="28"/>
          <w:szCs w:val="28"/>
        </w:rPr>
        <w:t>ile dalla domanda, sia formulata</w:t>
      </w:r>
      <w:r w:rsidRPr="00EA49B4">
        <w:rPr>
          <w:sz w:val="28"/>
          <w:szCs w:val="28"/>
        </w:rPr>
        <w:t xml:space="preserve"> con il richiamo al contratto collettivo sia avanzata adducendo l’insufficienza della stessa senza alcun riferimento alla norma collettiva, consista nell’adeguamento della retribuzione in relazione alla quantità e qualità del lavoro prestato, anche in assenza di richiamo espresso all’art. 36 Cost.</w:t>
      </w:r>
    </w:p>
    <w:p w:rsidR="00BD2278" w:rsidRPr="00EA49B4" w:rsidRDefault="00BD2278" w:rsidP="00FE4032">
      <w:pPr>
        <w:ind w:firstLine="284"/>
        <w:rPr>
          <w:sz w:val="28"/>
          <w:szCs w:val="28"/>
        </w:rPr>
      </w:pPr>
      <w:r w:rsidRPr="00EA49B4">
        <w:rPr>
          <w:sz w:val="28"/>
          <w:szCs w:val="28"/>
        </w:rPr>
        <w:t>Inoltre sempre secondo il predetto orientamento è necessario che la doglianza del ricorrente riguardi l’insufficienza di quanto complessivamente percepito</w:t>
      </w:r>
      <w:r>
        <w:rPr>
          <w:sz w:val="28"/>
          <w:szCs w:val="28"/>
        </w:rPr>
        <w:t>,</w:t>
      </w:r>
      <w:r w:rsidRPr="00EA49B4">
        <w:rPr>
          <w:sz w:val="28"/>
          <w:szCs w:val="28"/>
        </w:rPr>
        <w:t xml:space="preserve"> non essendo ammissibile la richiesta di adeguamento di una singola voce della retribuzione.</w:t>
      </w:r>
    </w:p>
    <w:p w:rsidR="00BD2278" w:rsidRPr="00EA49B4" w:rsidRDefault="00BD2278" w:rsidP="00FE4032">
      <w:pPr>
        <w:ind w:firstLine="284"/>
        <w:rPr>
          <w:sz w:val="28"/>
          <w:szCs w:val="28"/>
        </w:rPr>
      </w:pPr>
      <w:r w:rsidRPr="00EA49B4">
        <w:rPr>
          <w:sz w:val="28"/>
          <w:szCs w:val="28"/>
        </w:rPr>
        <w:t>Tale onere di allegazione è la conseguenza del fatto che il criterio della sufficienza di cui all’art. 36 Cost. de</w:t>
      </w:r>
      <w:r>
        <w:rPr>
          <w:sz w:val="28"/>
          <w:szCs w:val="28"/>
        </w:rPr>
        <w:t>ve</w:t>
      </w:r>
      <w:r w:rsidRPr="00EA49B4">
        <w:rPr>
          <w:sz w:val="28"/>
          <w:szCs w:val="28"/>
        </w:rPr>
        <w:t xml:space="preserve"> essere valutato in relazione al trattamento economico complessivo e non alle singole voci</w:t>
      </w:r>
      <w:r w:rsidRPr="00EA49B4">
        <w:rPr>
          <w:rStyle w:val="FootnoteReference"/>
          <w:sz w:val="28"/>
          <w:szCs w:val="28"/>
        </w:rPr>
        <w:footnoteReference w:id="121"/>
      </w:r>
      <w:r w:rsidRPr="00EA49B4">
        <w:rPr>
          <w:sz w:val="28"/>
          <w:szCs w:val="28"/>
        </w:rPr>
        <w:t>.</w:t>
      </w:r>
    </w:p>
    <w:p w:rsidR="00BD2278" w:rsidRDefault="00BD2278" w:rsidP="00FE4032">
      <w:pPr>
        <w:ind w:firstLine="284"/>
        <w:rPr>
          <w:sz w:val="28"/>
          <w:szCs w:val="28"/>
        </w:rPr>
      </w:pPr>
      <w:r w:rsidRPr="00EA49B4">
        <w:rPr>
          <w:sz w:val="28"/>
          <w:szCs w:val="28"/>
        </w:rPr>
        <w:t>Il secondo termine di valutazione nel giudizio comparativo di sufficienza è costituito, secondo l’orientamento prevalente, dal contr</w:t>
      </w:r>
      <w:r>
        <w:rPr>
          <w:sz w:val="28"/>
          <w:szCs w:val="28"/>
        </w:rPr>
        <w:t>atto collettivo di riferimento.</w:t>
      </w:r>
    </w:p>
    <w:p w:rsidR="00BD2278" w:rsidRPr="00EA49B4" w:rsidRDefault="00BD2278" w:rsidP="00FE4032">
      <w:pPr>
        <w:ind w:firstLine="284"/>
        <w:rPr>
          <w:sz w:val="28"/>
          <w:szCs w:val="28"/>
        </w:rPr>
      </w:pPr>
      <w:r w:rsidRPr="00EA49B4">
        <w:rPr>
          <w:sz w:val="28"/>
          <w:szCs w:val="28"/>
        </w:rPr>
        <w:t xml:space="preserve">Il giudice non è vincolato dalle statuizioni del contratto collettivo, dalle quali può discostarsi, </w:t>
      </w:r>
      <w:r>
        <w:rPr>
          <w:sz w:val="28"/>
          <w:szCs w:val="28"/>
        </w:rPr>
        <w:t xml:space="preserve">adeguando </w:t>
      </w:r>
      <w:r w:rsidRPr="00EA49B4">
        <w:rPr>
          <w:sz w:val="28"/>
          <w:szCs w:val="28"/>
        </w:rPr>
        <w:t>il trattamento minimo complessivo riconosciuto ai lavoratori di ogni singolo livello o area professionale con esclusione dei trattamenti accessori</w:t>
      </w:r>
      <w:r w:rsidRPr="00EA49B4">
        <w:rPr>
          <w:rStyle w:val="FootnoteReference"/>
          <w:sz w:val="28"/>
          <w:szCs w:val="28"/>
        </w:rPr>
        <w:footnoteReference w:id="122"/>
      </w:r>
      <w:r w:rsidRPr="00EA49B4">
        <w:rPr>
          <w:sz w:val="28"/>
          <w:szCs w:val="28"/>
        </w:rPr>
        <w:t>.</w:t>
      </w:r>
      <w:r>
        <w:rPr>
          <w:sz w:val="28"/>
          <w:szCs w:val="28"/>
        </w:rPr>
        <w:t xml:space="preserve"> Per trattamento </w:t>
      </w:r>
      <w:r w:rsidRPr="00EA49B4">
        <w:rPr>
          <w:sz w:val="28"/>
          <w:szCs w:val="28"/>
        </w:rPr>
        <w:t xml:space="preserve">minimo </w:t>
      </w:r>
      <w:r>
        <w:rPr>
          <w:sz w:val="28"/>
          <w:szCs w:val="28"/>
        </w:rPr>
        <w:t>deve considerasi la paga base cui va aggiunta</w:t>
      </w:r>
      <w:r w:rsidRPr="00EA49B4">
        <w:rPr>
          <w:sz w:val="28"/>
          <w:szCs w:val="28"/>
        </w:rPr>
        <w:t xml:space="preserve"> esclusivamente l’indennità di contingenza, se ancora computata separatamente nelle tabelle contrattuali, e la tredicesima mensilità</w:t>
      </w:r>
      <w:r>
        <w:rPr>
          <w:sz w:val="28"/>
          <w:szCs w:val="28"/>
        </w:rPr>
        <w:t xml:space="preserve"> previste dal contratto collettivo di riferimento</w:t>
      </w:r>
      <w:r w:rsidRPr="00EA49B4">
        <w:rPr>
          <w:sz w:val="28"/>
          <w:szCs w:val="28"/>
        </w:rPr>
        <w:t>.</w:t>
      </w:r>
    </w:p>
    <w:p w:rsidR="00BD2278" w:rsidRDefault="00BD2278" w:rsidP="00FE4032">
      <w:pPr>
        <w:ind w:firstLine="284"/>
        <w:rPr>
          <w:sz w:val="28"/>
          <w:szCs w:val="28"/>
        </w:rPr>
      </w:pPr>
      <w:r w:rsidRPr="00EA49B4">
        <w:rPr>
          <w:sz w:val="28"/>
          <w:szCs w:val="28"/>
        </w:rPr>
        <w:t>Per inciso va ricordato anche che le parti sono libere di disciplinare il rapporto di lavoro secondo le condizioni prevista da un contratto collettivo stipulato per un settore diverso da quello in cui il datore di lavoro svolge la propria attività</w:t>
      </w:r>
      <w:r w:rsidRPr="00EA49B4">
        <w:rPr>
          <w:rStyle w:val="FootnoteReference"/>
          <w:sz w:val="28"/>
          <w:szCs w:val="28"/>
        </w:rPr>
        <w:footnoteReference w:id="123"/>
      </w:r>
      <w:r>
        <w:rPr>
          <w:sz w:val="28"/>
          <w:szCs w:val="28"/>
        </w:rPr>
        <w:t xml:space="preserve">. La scelta non preclude al lavoratore la possibilità di richiamare </w:t>
      </w:r>
      <w:r w:rsidRPr="00EA49B4">
        <w:rPr>
          <w:sz w:val="28"/>
          <w:szCs w:val="28"/>
        </w:rPr>
        <w:t xml:space="preserve">il minimo tabellare </w:t>
      </w:r>
      <w:r>
        <w:rPr>
          <w:sz w:val="28"/>
          <w:szCs w:val="28"/>
        </w:rPr>
        <w:t xml:space="preserve">di un altro contratto collettivo, eventualmente anche quello del settore in cui opera il datore di lavoro, </w:t>
      </w:r>
      <w:r w:rsidRPr="00EA49B4">
        <w:rPr>
          <w:sz w:val="28"/>
          <w:szCs w:val="28"/>
        </w:rPr>
        <w:t>quale criterio di determinazione della retribuzione sufficiente di cui all’art. 36 Cost.</w:t>
      </w:r>
      <w:r>
        <w:rPr>
          <w:rStyle w:val="FootnoteReference"/>
          <w:sz w:val="28"/>
          <w:szCs w:val="28"/>
        </w:rPr>
        <w:footnoteReference w:id="124"/>
      </w:r>
      <w:r>
        <w:rPr>
          <w:sz w:val="28"/>
          <w:szCs w:val="28"/>
        </w:rPr>
        <w:t xml:space="preserve"> </w:t>
      </w:r>
      <w:r w:rsidRPr="00EA49B4">
        <w:rPr>
          <w:sz w:val="28"/>
          <w:szCs w:val="28"/>
        </w:rPr>
        <w:t>In altri termini il giudice può valutare l</w:t>
      </w:r>
      <w:r>
        <w:rPr>
          <w:sz w:val="28"/>
          <w:szCs w:val="28"/>
        </w:rPr>
        <w:t>e condizioni economiche previste</w:t>
      </w:r>
      <w:r w:rsidRPr="00EA49B4">
        <w:rPr>
          <w:sz w:val="28"/>
          <w:szCs w:val="28"/>
        </w:rPr>
        <w:t xml:space="preserve"> da contratti stipulati per settori affini come avviene nel caso in cui non sia stato stipulato alcun contratto per il settore in cui il datore svolge la propria attività di impresa.</w:t>
      </w:r>
    </w:p>
    <w:p w:rsidR="00BD2278" w:rsidRDefault="00BD2278" w:rsidP="00FE4032">
      <w:pPr>
        <w:ind w:firstLine="284"/>
        <w:rPr>
          <w:sz w:val="28"/>
          <w:szCs w:val="28"/>
        </w:rPr>
      </w:pPr>
      <w:r>
        <w:rPr>
          <w:sz w:val="28"/>
          <w:szCs w:val="28"/>
        </w:rPr>
        <w:t>La statuizione giudiziale sulla domanda di adeguamento della retribuzione p</w:t>
      </w:r>
      <w:r w:rsidRPr="00EA49B4">
        <w:rPr>
          <w:sz w:val="28"/>
          <w:szCs w:val="28"/>
        </w:rPr>
        <w:t>assa per la dichiarazione di nullità della clausola convenuta a livello individuale</w:t>
      </w:r>
      <w:r>
        <w:rPr>
          <w:sz w:val="28"/>
          <w:szCs w:val="28"/>
        </w:rPr>
        <w:t>. In assenza di una valida pattuizione sul compenso,</w:t>
      </w:r>
      <w:r w:rsidRPr="00EA49B4">
        <w:rPr>
          <w:sz w:val="28"/>
          <w:szCs w:val="28"/>
        </w:rPr>
        <w:t xml:space="preserve"> </w:t>
      </w:r>
      <w:r>
        <w:rPr>
          <w:sz w:val="28"/>
          <w:szCs w:val="28"/>
        </w:rPr>
        <w:t xml:space="preserve">la decisione deve essere assunta dal giudice </w:t>
      </w:r>
      <w:r>
        <w:rPr>
          <w:i/>
          <w:sz w:val="28"/>
          <w:szCs w:val="28"/>
        </w:rPr>
        <w:t xml:space="preserve">ex </w:t>
      </w:r>
      <w:r>
        <w:rPr>
          <w:sz w:val="28"/>
          <w:szCs w:val="28"/>
        </w:rPr>
        <w:t>art. 2099 c.c.</w:t>
      </w:r>
      <w:r w:rsidRPr="00EA49B4">
        <w:rPr>
          <w:rStyle w:val="FootnoteReference"/>
          <w:sz w:val="28"/>
          <w:szCs w:val="28"/>
        </w:rPr>
        <w:footnoteReference w:id="125"/>
      </w:r>
      <w:r>
        <w:rPr>
          <w:sz w:val="28"/>
          <w:szCs w:val="28"/>
        </w:rPr>
        <w:t>.</w:t>
      </w:r>
    </w:p>
    <w:p w:rsidR="00BD2278" w:rsidRDefault="00BD2278" w:rsidP="00FE4032">
      <w:pPr>
        <w:ind w:firstLine="284"/>
        <w:rPr>
          <w:sz w:val="28"/>
          <w:szCs w:val="28"/>
        </w:rPr>
      </w:pPr>
    </w:p>
    <w:p w:rsidR="00BD2278" w:rsidRDefault="00BD2278" w:rsidP="00FE4032">
      <w:pPr>
        <w:ind w:firstLine="284"/>
        <w:rPr>
          <w:sz w:val="28"/>
          <w:szCs w:val="28"/>
        </w:rPr>
      </w:pPr>
    </w:p>
    <w:p w:rsidR="00BD2278" w:rsidRDefault="00BD2278" w:rsidP="00FE4032">
      <w:pPr>
        <w:ind w:firstLine="284"/>
        <w:rPr>
          <w:sz w:val="28"/>
          <w:szCs w:val="28"/>
        </w:rPr>
      </w:pPr>
    </w:p>
    <w:p w:rsidR="00BD2278" w:rsidRDefault="00BD2278" w:rsidP="00FE4032">
      <w:pPr>
        <w:ind w:firstLine="284"/>
        <w:rPr>
          <w:sz w:val="28"/>
          <w:szCs w:val="28"/>
        </w:rPr>
      </w:pPr>
    </w:p>
    <w:p w:rsidR="00BD2278" w:rsidRDefault="00BD2278" w:rsidP="00FE4032">
      <w:pPr>
        <w:ind w:firstLine="284"/>
        <w:rPr>
          <w:sz w:val="28"/>
          <w:szCs w:val="28"/>
        </w:rPr>
      </w:pPr>
    </w:p>
    <w:p w:rsidR="00BD2278" w:rsidRPr="00CE7F46" w:rsidRDefault="00BD2278" w:rsidP="00A01E3A">
      <w:pPr>
        <w:pStyle w:val="ListParagraph"/>
        <w:numPr>
          <w:ilvl w:val="0"/>
          <w:numId w:val="16"/>
        </w:numPr>
        <w:ind w:left="0" w:firstLine="284"/>
        <w:outlineLvl w:val="1"/>
        <w:rPr>
          <w:sz w:val="28"/>
          <w:szCs w:val="28"/>
        </w:rPr>
      </w:pPr>
      <w:bookmarkStart w:id="10" w:name="_Toc285266424"/>
      <w:r w:rsidRPr="009B00A7">
        <w:rPr>
          <w:rStyle w:val="TitoloparagrafoCarattere"/>
          <w:i/>
        </w:rPr>
        <w:t>La natura della decisione</w:t>
      </w:r>
      <w:r>
        <w:rPr>
          <w:sz w:val="28"/>
          <w:szCs w:val="28"/>
        </w:rPr>
        <w:t>.</w:t>
      </w:r>
      <w:bookmarkEnd w:id="10"/>
    </w:p>
    <w:p w:rsidR="00BD2278" w:rsidRPr="004F75CB" w:rsidRDefault="00BD2278" w:rsidP="00FE4032">
      <w:pPr>
        <w:pStyle w:val="ListParagraph"/>
        <w:ind w:left="0" w:firstLine="284"/>
        <w:rPr>
          <w:b/>
          <w:sz w:val="28"/>
          <w:szCs w:val="28"/>
        </w:rPr>
      </w:pPr>
    </w:p>
    <w:p w:rsidR="00BD2278" w:rsidRDefault="00BD2278" w:rsidP="00FE4032">
      <w:pPr>
        <w:ind w:firstLine="284"/>
        <w:rPr>
          <w:sz w:val="28"/>
          <w:szCs w:val="28"/>
        </w:rPr>
      </w:pPr>
      <w:r>
        <w:rPr>
          <w:sz w:val="28"/>
          <w:szCs w:val="28"/>
        </w:rPr>
        <w:t>La natura della decisione del giudice sulla richiesta di adeguamento retributivo, in passato ha posto alcuni problemi di inquadramento sistematico.</w:t>
      </w:r>
    </w:p>
    <w:p w:rsidR="00BD2278" w:rsidRDefault="00BD2278" w:rsidP="00FE4032">
      <w:pPr>
        <w:ind w:firstLine="284"/>
        <w:rPr>
          <w:sz w:val="28"/>
          <w:szCs w:val="28"/>
        </w:rPr>
      </w:pPr>
      <w:r>
        <w:rPr>
          <w:sz w:val="28"/>
          <w:szCs w:val="28"/>
        </w:rPr>
        <w:t>U</w:t>
      </w:r>
      <w:r w:rsidRPr="00EA49B4">
        <w:rPr>
          <w:sz w:val="28"/>
          <w:szCs w:val="28"/>
        </w:rPr>
        <w:t xml:space="preserve">na parte della dottrina </w:t>
      </w:r>
      <w:r>
        <w:rPr>
          <w:sz w:val="28"/>
          <w:szCs w:val="28"/>
        </w:rPr>
        <w:t xml:space="preserve">aveva suggerito che la decisione resa </w:t>
      </w:r>
      <w:r>
        <w:rPr>
          <w:i/>
          <w:sz w:val="28"/>
          <w:szCs w:val="28"/>
        </w:rPr>
        <w:t xml:space="preserve">ex </w:t>
      </w:r>
      <w:r>
        <w:rPr>
          <w:sz w:val="28"/>
          <w:szCs w:val="28"/>
        </w:rPr>
        <w:t>art. 2009 c.c. in seguito alla declaratoria di nullità della clausola contenete la determinazione del trattamento fosse ritenuta espressione di un potere equitativo. Ciò avrebbe anche consentito di porsi al riparo da possibili addebiti di violazione de</w:t>
      </w:r>
      <w:r w:rsidRPr="00EA49B4">
        <w:rPr>
          <w:sz w:val="28"/>
          <w:szCs w:val="28"/>
        </w:rPr>
        <w:t>ll’art. 39 Cost.</w:t>
      </w:r>
      <w:r>
        <w:rPr>
          <w:sz w:val="28"/>
          <w:szCs w:val="28"/>
        </w:rPr>
        <w:t>,</w:t>
      </w:r>
      <w:r w:rsidRPr="00EA49B4">
        <w:rPr>
          <w:sz w:val="28"/>
          <w:szCs w:val="28"/>
        </w:rPr>
        <w:t xml:space="preserve"> consistenti in una illegittima estensione del contratto collettivo di diritto comune</w:t>
      </w:r>
      <w:r w:rsidRPr="00EA49B4">
        <w:rPr>
          <w:rStyle w:val="FootnoteReference"/>
          <w:sz w:val="28"/>
          <w:szCs w:val="28"/>
        </w:rPr>
        <w:footnoteReference w:id="126"/>
      </w:r>
      <w:r>
        <w:rPr>
          <w:sz w:val="28"/>
          <w:szCs w:val="28"/>
        </w:rPr>
        <w:t>.</w:t>
      </w:r>
    </w:p>
    <w:p w:rsidR="00BD2278" w:rsidRDefault="00BD2278" w:rsidP="00FE4032">
      <w:pPr>
        <w:ind w:firstLine="284"/>
        <w:rPr>
          <w:sz w:val="28"/>
          <w:szCs w:val="28"/>
        </w:rPr>
      </w:pPr>
      <w:r>
        <w:rPr>
          <w:sz w:val="28"/>
          <w:szCs w:val="28"/>
        </w:rPr>
        <w:t xml:space="preserve">In senso contrario si è fatto osservare che la valutazione equitativa di cui all’art. 432 c.p.c. è ammissibile solo quando l’esistenza del diritto sia certa ma risulti indeterminabile il </w:t>
      </w:r>
      <w:r>
        <w:rPr>
          <w:i/>
          <w:sz w:val="28"/>
          <w:szCs w:val="28"/>
        </w:rPr>
        <w:t>quantum debeatur</w:t>
      </w:r>
      <w:r>
        <w:rPr>
          <w:sz w:val="28"/>
          <w:szCs w:val="28"/>
        </w:rPr>
        <w:t>.</w:t>
      </w:r>
    </w:p>
    <w:p w:rsidR="00BD2278" w:rsidRDefault="00BD2278" w:rsidP="00FE4032">
      <w:pPr>
        <w:ind w:firstLine="284"/>
        <w:rPr>
          <w:sz w:val="28"/>
          <w:szCs w:val="28"/>
        </w:rPr>
      </w:pPr>
      <w:r>
        <w:rPr>
          <w:sz w:val="28"/>
          <w:szCs w:val="28"/>
        </w:rPr>
        <w:t>Nel caso invece della retribuzione sufficiente, il diritto è certo ed anche la somma è determinabile in quanto l’art. 36 Cost. offre gli strumenti costituiti dai criteri di proporzionalità e sufficienza.</w:t>
      </w:r>
    </w:p>
    <w:p w:rsidR="00BD2278" w:rsidRDefault="00BD2278" w:rsidP="00FE4032">
      <w:pPr>
        <w:ind w:firstLine="284"/>
        <w:rPr>
          <w:sz w:val="28"/>
          <w:szCs w:val="28"/>
        </w:rPr>
      </w:pPr>
      <w:r>
        <w:rPr>
          <w:sz w:val="28"/>
          <w:szCs w:val="28"/>
        </w:rPr>
        <w:t>Inoltre l’art. 2099 c.c. letto in combinato disposto con l’art. 36 Cost. fornisce anche l’indicazione dei parametri oggettivi da utilizzare per la determinazione costituiti dai minimi tabellari di cui al contratto collettivo. In questi termini evidentemente l’operazione giurisprudenziale di applicazione dell’art. 36 Cost. non può definirsi di illegittima estensione dell’efficacia in violazione dell’ art. 39 Cost.</w:t>
      </w:r>
    </w:p>
    <w:p w:rsidR="00BD2278" w:rsidRDefault="00BD2278" w:rsidP="00FE4032">
      <w:pPr>
        <w:ind w:firstLine="284"/>
        <w:rPr>
          <w:sz w:val="28"/>
          <w:szCs w:val="28"/>
        </w:rPr>
      </w:pPr>
      <w:r>
        <w:rPr>
          <w:sz w:val="28"/>
          <w:szCs w:val="28"/>
        </w:rPr>
        <w:t>La determinazione dell’equa retribuzione mediante applicazione dei minimi tabellari di cui al contratto costituisce semplicemente il sistema di quantificazione del diritto di credito alla retribuzione sufficiente vantato dal prestatore. Pertanto, secondo questa impostazione, essendo certo il diritto e determinabile la somma dovuta attraverso i criteri indicati dalle norme, il giudizio di accertamento di cui all’art. 2099 non si dovrebbe ritenere quale esercizio di un potere equitativo</w:t>
      </w:r>
      <w:r>
        <w:rPr>
          <w:rStyle w:val="FootnoteReference"/>
          <w:sz w:val="28"/>
          <w:szCs w:val="28"/>
        </w:rPr>
        <w:footnoteReference w:id="127"/>
      </w:r>
      <w:r>
        <w:rPr>
          <w:sz w:val="28"/>
          <w:szCs w:val="28"/>
        </w:rPr>
        <w:t>.</w:t>
      </w:r>
    </w:p>
    <w:p w:rsidR="00BD2278" w:rsidRDefault="00BD2278" w:rsidP="00FE4032">
      <w:pPr>
        <w:ind w:firstLine="284"/>
        <w:rPr>
          <w:sz w:val="28"/>
          <w:szCs w:val="28"/>
        </w:rPr>
      </w:pPr>
      <w:r>
        <w:rPr>
          <w:sz w:val="28"/>
          <w:szCs w:val="28"/>
        </w:rPr>
        <w:t>Tuttavia, l’equità accompagnata alla porta dalla lettura combinata dell’art. 36 Cost. e 2099 c.c., rientra dalla finestra attraverso la facoltà di adeguamento dei livelli tabellari che la giurisprudenza si riserva. Infatti qualora il giudice ritenga il salario fissato dall’autonomia collettiva inadeguato alle esigenze dei lavoratori o alle condizioni del mercato, è solito utilizzare lo strumento residuale ed integrativo dell’equità nella rimodulazione del salario tabellare al principio di sufficienza.</w:t>
      </w:r>
    </w:p>
    <w:p w:rsidR="00BD2278" w:rsidRDefault="00BD2278" w:rsidP="00FE4032">
      <w:pPr>
        <w:ind w:firstLine="284"/>
        <w:jc w:val="left"/>
        <w:rPr>
          <w:sz w:val="28"/>
          <w:szCs w:val="28"/>
        </w:rPr>
      </w:pPr>
    </w:p>
    <w:p w:rsidR="00BD2278" w:rsidRDefault="00BD2278" w:rsidP="00FE4032">
      <w:pPr>
        <w:ind w:firstLine="284"/>
        <w:jc w:val="left"/>
        <w:rPr>
          <w:sz w:val="28"/>
          <w:szCs w:val="28"/>
        </w:rPr>
      </w:pPr>
    </w:p>
    <w:p w:rsidR="00BD2278" w:rsidRPr="00CE7F46" w:rsidRDefault="00BD2278" w:rsidP="00075EBB">
      <w:pPr>
        <w:pStyle w:val="ListParagraph"/>
        <w:numPr>
          <w:ilvl w:val="0"/>
          <w:numId w:val="16"/>
        </w:numPr>
        <w:ind w:left="720" w:hanging="436"/>
        <w:outlineLvl w:val="1"/>
        <w:rPr>
          <w:sz w:val="28"/>
          <w:szCs w:val="28"/>
        </w:rPr>
      </w:pPr>
      <w:bookmarkStart w:id="11" w:name="_Toc285266425"/>
      <w:r w:rsidRPr="009B00A7">
        <w:rPr>
          <w:rStyle w:val="TitoloparagrafoCarattere"/>
          <w:i/>
        </w:rPr>
        <w:t>I criteri di determinazione giudiziale della retribuzione sufficiente: le condizioni economiche e territoriali e la dimensione dell’impresa</w:t>
      </w:r>
      <w:r>
        <w:rPr>
          <w:sz w:val="28"/>
          <w:szCs w:val="28"/>
        </w:rPr>
        <w:t>.</w:t>
      </w:r>
      <w:bookmarkEnd w:id="11"/>
    </w:p>
    <w:p w:rsidR="00BD2278" w:rsidRPr="004F75CB" w:rsidRDefault="00BD2278" w:rsidP="00075EBB">
      <w:pPr>
        <w:ind w:left="720" w:hanging="436"/>
        <w:rPr>
          <w:b/>
          <w:sz w:val="28"/>
          <w:szCs w:val="28"/>
        </w:rPr>
      </w:pPr>
    </w:p>
    <w:p w:rsidR="00BD2278" w:rsidRDefault="00BD2278" w:rsidP="00FE4032">
      <w:pPr>
        <w:ind w:firstLine="284"/>
        <w:rPr>
          <w:sz w:val="28"/>
          <w:szCs w:val="28"/>
        </w:rPr>
      </w:pPr>
      <w:r>
        <w:rPr>
          <w:sz w:val="28"/>
          <w:szCs w:val="28"/>
        </w:rPr>
        <w:t>Secondo un consolidato orientamento di legittimità, nel procedimento di determinazione della giusta retribuzione il riferimento al contratto collettivo è imposto dallo stesso art. 2099 c.c. tuttavia i livelli salariali di cui al contratto collettivo non sono vincolanti per il giudice che può discostarsene.</w:t>
      </w:r>
    </w:p>
    <w:p w:rsidR="00BD2278" w:rsidRDefault="00BD2278" w:rsidP="00FE4032">
      <w:pPr>
        <w:ind w:firstLine="284"/>
        <w:rPr>
          <w:sz w:val="28"/>
          <w:szCs w:val="28"/>
        </w:rPr>
      </w:pPr>
      <w:r>
        <w:rPr>
          <w:sz w:val="28"/>
          <w:szCs w:val="28"/>
        </w:rPr>
        <w:t>Tra le condizioni che legittimano un adeguamento del trattamento tabellare, occorre subito precisare che i</w:t>
      </w:r>
      <w:r w:rsidRPr="00EA49B4">
        <w:rPr>
          <w:sz w:val="28"/>
          <w:szCs w:val="28"/>
        </w:rPr>
        <w:t>l carico familiare non ha avuto accoglimento</w:t>
      </w:r>
      <w:r>
        <w:rPr>
          <w:rStyle w:val="FootnoteReference"/>
          <w:sz w:val="28"/>
          <w:szCs w:val="28"/>
        </w:rPr>
        <w:footnoteReference w:id="128"/>
      </w:r>
      <w:r w:rsidRPr="00EA49B4">
        <w:rPr>
          <w:sz w:val="28"/>
          <w:szCs w:val="28"/>
        </w:rPr>
        <w:t xml:space="preserve"> se non in funzione di adattamento al ribasso in assenza di familiari a carico.</w:t>
      </w:r>
      <w:r>
        <w:rPr>
          <w:sz w:val="28"/>
          <w:szCs w:val="28"/>
        </w:rPr>
        <w:t xml:space="preserve"> Si è ritenuto infatti che non è ammissibile la diversa remunerazione di una medesima prestazione in ragione della situazione familiare di un lavoratore</w:t>
      </w:r>
      <w:r>
        <w:rPr>
          <w:rStyle w:val="FootnoteReference"/>
          <w:sz w:val="28"/>
          <w:szCs w:val="28"/>
        </w:rPr>
        <w:footnoteReference w:id="129"/>
      </w:r>
      <w:r>
        <w:rPr>
          <w:sz w:val="28"/>
          <w:szCs w:val="28"/>
        </w:rPr>
        <w:t>.</w:t>
      </w:r>
    </w:p>
    <w:p w:rsidR="00BD2278" w:rsidRDefault="00BD2278" w:rsidP="00FE4032">
      <w:pPr>
        <w:ind w:firstLine="284"/>
        <w:rPr>
          <w:sz w:val="28"/>
          <w:szCs w:val="28"/>
        </w:rPr>
      </w:pPr>
      <w:r w:rsidRPr="00EA49B4">
        <w:rPr>
          <w:sz w:val="28"/>
          <w:szCs w:val="28"/>
        </w:rPr>
        <w:t>Pertanto si può affermare che nonostante il richiamo di cui all’art. 36 cost. alla esistenza libera e dignitosa della famiglia, il c.d. salario familiare</w:t>
      </w:r>
      <w:r w:rsidRPr="00EA49B4">
        <w:rPr>
          <w:rStyle w:val="FootnoteReference"/>
          <w:sz w:val="28"/>
          <w:szCs w:val="28"/>
        </w:rPr>
        <w:footnoteReference w:id="130"/>
      </w:r>
      <w:r>
        <w:rPr>
          <w:sz w:val="28"/>
          <w:szCs w:val="28"/>
        </w:rPr>
        <w:t>,</w:t>
      </w:r>
      <w:r w:rsidRPr="00EA49B4">
        <w:rPr>
          <w:sz w:val="28"/>
          <w:szCs w:val="28"/>
        </w:rPr>
        <w:t xml:space="preserve"> </w:t>
      </w:r>
      <w:r>
        <w:rPr>
          <w:sz w:val="28"/>
          <w:szCs w:val="28"/>
        </w:rPr>
        <w:t xml:space="preserve">nella sua più risalente eccezione di equo salario comprensivo delle risorse necessarie a far fronte alle esigenze della vita familiare, </w:t>
      </w:r>
      <w:r w:rsidRPr="00EA49B4">
        <w:rPr>
          <w:sz w:val="28"/>
          <w:szCs w:val="28"/>
        </w:rPr>
        <w:t>non ha mai ottenuto riconoscimento quale criterio di determinazione della retribuzione sufficiente.</w:t>
      </w:r>
    </w:p>
    <w:p w:rsidR="00BD2278" w:rsidRPr="00EA49B4" w:rsidRDefault="00BD2278" w:rsidP="00FE4032">
      <w:pPr>
        <w:ind w:firstLine="284"/>
        <w:rPr>
          <w:sz w:val="28"/>
          <w:szCs w:val="28"/>
        </w:rPr>
      </w:pPr>
      <w:r>
        <w:rPr>
          <w:sz w:val="28"/>
          <w:szCs w:val="28"/>
        </w:rPr>
        <w:t>Si è ritenuto che tale orientamento, in cui la funzione di sostegno della famiglia è delegata alle misure previdenziali ed assistenziali, in particolare agli assegni familiari, è fondato su una precisa scelta di politica giudiziaria volta  a prevenire discriminazioni che potrebbero derivare da una diversa e maggiore retribuzione dei lavoratori con carichi familiari</w:t>
      </w:r>
      <w:r>
        <w:rPr>
          <w:rStyle w:val="FootnoteReference"/>
          <w:sz w:val="28"/>
          <w:szCs w:val="28"/>
        </w:rPr>
        <w:footnoteReference w:id="131"/>
      </w:r>
      <w:r>
        <w:rPr>
          <w:sz w:val="28"/>
          <w:szCs w:val="28"/>
        </w:rPr>
        <w:t>.</w:t>
      </w:r>
    </w:p>
    <w:p w:rsidR="00BD2278" w:rsidRDefault="00BD2278" w:rsidP="00FE4032">
      <w:pPr>
        <w:ind w:firstLine="284"/>
        <w:rPr>
          <w:sz w:val="28"/>
          <w:szCs w:val="28"/>
        </w:rPr>
      </w:pPr>
      <w:r>
        <w:rPr>
          <w:sz w:val="28"/>
          <w:szCs w:val="28"/>
        </w:rPr>
        <w:t>Se il criterio del carico familiare non ha avuto accoglimento in giurisprudenza, al</w:t>
      </w:r>
      <w:r w:rsidRPr="002B1D22">
        <w:rPr>
          <w:sz w:val="28"/>
          <w:szCs w:val="28"/>
        </w:rPr>
        <w:t>tri criteri sono invece stati utilizzati di freq</w:t>
      </w:r>
      <w:r>
        <w:rPr>
          <w:sz w:val="28"/>
          <w:szCs w:val="28"/>
        </w:rPr>
        <w:t>uente modo non sempre coerente.</w:t>
      </w:r>
    </w:p>
    <w:p w:rsidR="00BD2278" w:rsidRDefault="00BD2278" w:rsidP="00FE4032">
      <w:pPr>
        <w:ind w:firstLine="284"/>
        <w:rPr>
          <w:sz w:val="28"/>
          <w:szCs w:val="28"/>
        </w:rPr>
      </w:pPr>
      <w:r>
        <w:rPr>
          <w:sz w:val="28"/>
          <w:szCs w:val="28"/>
        </w:rPr>
        <w:t>In particolare hanno trovato accoglimento nella giurisprudenza di merito, e</w:t>
      </w:r>
      <w:r w:rsidRPr="0065039E">
        <w:rPr>
          <w:sz w:val="28"/>
          <w:szCs w:val="28"/>
        </w:rPr>
        <w:t xml:space="preserve"> </w:t>
      </w:r>
      <w:r>
        <w:rPr>
          <w:sz w:val="28"/>
          <w:szCs w:val="28"/>
        </w:rPr>
        <w:t>conferme in quella di legittimità, il criterio del</w:t>
      </w:r>
      <w:r w:rsidRPr="0065039E">
        <w:rPr>
          <w:sz w:val="28"/>
          <w:szCs w:val="28"/>
        </w:rPr>
        <w:t xml:space="preserve">la dimensione dell’impresa e </w:t>
      </w:r>
      <w:r>
        <w:rPr>
          <w:sz w:val="28"/>
          <w:szCs w:val="28"/>
        </w:rPr>
        <w:t>quello</w:t>
      </w:r>
      <w:r w:rsidRPr="001E296A">
        <w:rPr>
          <w:sz w:val="28"/>
          <w:szCs w:val="28"/>
        </w:rPr>
        <w:t xml:space="preserve"> </w:t>
      </w:r>
      <w:r>
        <w:rPr>
          <w:sz w:val="28"/>
          <w:szCs w:val="28"/>
        </w:rPr>
        <w:t>delle</w:t>
      </w:r>
      <w:r w:rsidRPr="0065039E">
        <w:rPr>
          <w:sz w:val="28"/>
          <w:szCs w:val="28"/>
        </w:rPr>
        <w:t xml:space="preserve"> condizioni economiche e territoriali</w:t>
      </w:r>
      <w:r>
        <w:rPr>
          <w:sz w:val="28"/>
          <w:szCs w:val="28"/>
        </w:rPr>
        <w:t>. Quest’ultimo in particolare ha attraversato fortune alterne.</w:t>
      </w:r>
    </w:p>
    <w:p w:rsidR="00BD2278" w:rsidRDefault="00BD2278" w:rsidP="00FE4032">
      <w:pPr>
        <w:ind w:firstLine="284"/>
        <w:rPr>
          <w:sz w:val="28"/>
          <w:szCs w:val="28"/>
        </w:rPr>
      </w:pPr>
      <w:r>
        <w:rPr>
          <w:sz w:val="28"/>
          <w:szCs w:val="28"/>
        </w:rPr>
        <w:t>In passato si è infatti ritenuto ammissibile una riduzione della retribuzione indicata dal contratto collettivo in considerazione della circostanza che la prestazione fosse resa in una zona economicamente depressa con potere di acquisto della moneta accertato come superiore alla media nazionale</w:t>
      </w:r>
      <w:r>
        <w:rPr>
          <w:rStyle w:val="FootnoteReference"/>
          <w:sz w:val="28"/>
          <w:szCs w:val="28"/>
        </w:rPr>
        <w:footnoteReference w:id="132"/>
      </w:r>
      <w:r>
        <w:rPr>
          <w:sz w:val="28"/>
          <w:szCs w:val="28"/>
        </w:rPr>
        <w:t>. La giurisprudenza di legittimità poneva tuttavia alcune condizioni alla decurtazione. Anzitutto il divieto di scienza privata del giudice, per cui la decisione sulla superiore capacità di acquisto del salario dovrebbe essere fondata su dati statistici ufficiali o generalmente riconosciuti come attendibili, rilevati ed elaborati da istituti di ricerca preferibilmente pubblici. Inoltre si dovrebbe tenere conto dell’effetto riduttivo determinato dalla selezione di voci riconducibili al minimo costituzionale salvo il limite costituito dalla misura dell’indennità che era riconosciuta fino al 1991, oltre il quale non si potrebbe scendere nell’adegumaneto al ribasso dei minimi tabellari.</w:t>
      </w:r>
    </w:p>
    <w:p w:rsidR="00BD2278" w:rsidRDefault="00BD2278" w:rsidP="00FE4032">
      <w:pPr>
        <w:ind w:firstLine="284"/>
        <w:rPr>
          <w:sz w:val="28"/>
          <w:szCs w:val="28"/>
        </w:rPr>
      </w:pPr>
      <w:r>
        <w:rPr>
          <w:sz w:val="28"/>
          <w:szCs w:val="28"/>
        </w:rPr>
        <w:t>A questo orientamento se ne oppone altro</w:t>
      </w:r>
      <w:r>
        <w:rPr>
          <w:rStyle w:val="FootnoteReference"/>
          <w:sz w:val="28"/>
          <w:szCs w:val="28"/>
        </w:rPr>
        <w:footnoteReference w:id="133"/>
      </w:r>
      <w:r>
        <w:rPr>
          <w:sz w:val="28"/>
          <w:szCs w:val="28"/>
        </w:rPr>
        <w:t xml:space="preserve"> che esclude la legittimità di un adeguamento dei parametri tabellari, ai fini della determinazione della giusta retribuzione, fondato sulle condizioni ambientali e territoriali depresse. Ciò in quanto lo stesso art. 36 Cost. è rivolto ad impedire ogni forma di sfruttamento del lavoratore e quindi anche quella che si realizzasse per il tramite dell’abbattimento del minimo sindacale per ragioni legate alla situazione socio-economica del mercato del lavoro. Secondo tale orientamento dunque l’adeguamento al ribasso dei minimi sarebbe ammissibile solo con riferimento a situazioni oggettive inerenti la prestazione di lavoro.</w:t>
      </w:r>
    </w:p>
    <w:p w:rsidR="00BD2278" w:rsidRPr="00850333" w:rsidRDefault="00BD2278" w:rsidP="00FE4032">
      <w:pPr>
        <w:ind w:firstLine="284"/>
        <w:rPr>
          <w:sz w:val="28"/>
          <w:szCs w:val="28"/>
        </w:rPr>
      </w:pPr>
      <w:r>
        <w:rPr>
          <w:sz w:val="28"/>
          <w:szCs w:val="28"/>
        </w:rPr>
        <w:t>Quest’ultimo sembra l’orientamento più rispettoso delle intenzioni del legislatore costituente ove si consideri che nel sistema fondato sull’</w:t>
      </w:r>
      <w:r>
        <w:rPr>
          <w:i/>
          <w:sz w:val="28"/>
          <w:szCs w:val="28"/>
        </w:rPr>
        <w:t>erga omnes</w:t>
      </w:r>
      <w:r>
        <w:rPr>
          <w:sz w:val="28"/>
          <w:szCs w:val="28"/>
        </w:rPr>
        <w:t xml:space="preserve"> del contratto collettivo, se si fosse data attuazione all’art. 39 Cost., confinato dunque l’art. 36 tra le affermazioni di principio prive di reale incidenza</w:t>
      </w:r>
      <w:r>
        <w:rPr>
          <w:rStyle w:val="FootnoteReference"/>
          <w:sz w:val="28"/>
          <w:szCs w:val="28"/>
        </w:rPr>
        <w:footnoteReference w:id="134"/>
      </w:r>
      <w:r>
        <w:rPr>
          <w:sz w:val="28"/>
          <w:szCs w:val="28"/>
        </w:rPr>
        <w:t xml:space="preserve"> le uniche legittime differenziazioni retributive fondate sulle condizioni di mercato sarebbero state quale contemplate dall’autonomia collettiva. Pertanto il giudice ad esse soltanto, ove previste, dovrebbe fare riferimento qualora fosse richiesto un suo intervento per la statuizione della retribuzione sufficiente </w:t>
      </w:r>
      <w:r>
        <w:rPr>
          <w:i/>
          <w:sz w:val="28"/>
          <w:szCs w:val="28"/>
        </w:rPr>
        <w:t>ex</w:t>
      </w:r>
      <w:r>
        <w:rPr>
          <w:sz w:val="28"/>
          <w:szCs w:val="28"/>
        </w:rPr>
        <w:t xml:space="preserve"> art. 36 Cost.</w:t>
      </w:r>
    </w:p>
    <w:p w:rsidR="00BD2278" w:rsidRDefault="00BD2278" w:rsidP="00FE4032">
      <w:pPr>
        <w:ind w:firstLine="284"/>
        <w:rPr>
          <w:sz w:val="28"/>
          <w:szCs w:val="28"/>
        </w:rPr>
      </w:pPr>
      <w:r>
        <w:rPr>
          <w:sz w:val="28"/>
          <w:szCs w:val="28"/>
        </w:rPr>
        <w:t>Sulla rilevanza delle condizioni di mercato nella determinazione dell’equo salario non vi è dunque una uniformità di orientamenti di legittimità.</w:t>
      </w:r>
    </w:p>
    <w:p w:rsidR="00BD2278" w:rsidRPr="00930886" w:rsidRDefault="00BD2278" w:rsidP="00FE4032">
      <w:pPr>
        <w:ind w:firstLine="284"/>
        <w:rPr>
          <w:b/>
          <w:sz w:val="28"/>
          <w:szCs w:val="28"/>
        </w:rPr>
      </w:pPr>
      <w:r>
        <w:rPr>
          <w:sz w:val="28"/>
          <w:szCs w:val="28"/>
        </w:rPr>
        <w:t>Lo stesso orientamento che esclude il riferimento alle condizioni di depressione del mercato del lavoro quale criterio di abbattimento della retribuzione fissata dal contratto collettivo, ammette l’operazione in considerazione delle modeste dimensioni dell’impresa</w:t>
      </w:r>
      <w:r>
        <w:rPr>
          <w:rStyle w:val="FootnoteReference"/>
          <w:sz w:val="28"/>
          <w:szCs w:val="28"/>
        </w:rPr>
        <w:footnoteReference w:id="135"/>
      </w:r>
      <w:r>
        <w:rPr>
          <w:sz w:val="28"/>
          <w:szCs w:val="28"/>
        </w:rPr>
        <w:t>.</w:t>
      </w:r>
    </w:p>
    <w:p w:rsidR="00BD2278" w:rsidRDefault="00BD2278" w:rsidP="00FE4032">
      <w:pPr>
        <w:ind w:firstLine="284"/>
        <w:jc w:val="center"/>
        <w:rPr>
          <w:b/>
          <w:sz w:val="28"/>
          <w:szCs w:val="28"/>
        </w:rPr>
      </w:pPr>
    </w:p>
    <w:p w:rsidR="00BD2278" w:rsidRDefault="00BD2278" w:rsidP="00FE4032">
      <w:pPr>
        <w:ind w:firstLine="284"/>
        <w:jc w:val="center"/>
        <w:rPr>
          <w:b/>
          <w:sz w:val="28"/>
          <w:szCs w:val="28"/>
        </w:rPr>
      </w:pPr>
    </w:p>
    <w:p w:rsidR="00BD2278" w:rsidRDefault="00BD2278" w:rsidP="00FE4032">
      <w:pPr>
        <w:ind w:firstLine="284"/>
        <w:jc w:val="center"/>
        <w:rPr>
          <w:b/>
          <w:sz w:val="28"/>
          <w:szCs w:val="28"/>
        </w:rPr>
      </w:pPr>
    </w:p>
    <w:p w:rsidR="00BD2278" w:rsidRDefault="00BD2278" w:rsidP="00FE4032">
      <w:pPr>
        <w:ind w:firstLine="284"/>
        <w:jc w:val="center"/>
        <w:rPr>
          <w:b/>
          <w:sz w:val="28"/>
          <w:szCs w:val="28"/>
        </w:rPr>
      </w:pPr>
    </w:p>
    <w:p w:rsidR="00BD2278" w:rsidRDefault="00BD2278" w:rsidP="00FE4032">
      <w:pPr>
        <w:ind w:firstLine="284"/>
        <w:jc w:val="center"/>
        <w:rPr>
          <w:b/>
          <w:sz w:val="28"/>
          <w:szCs w:val="28"/>
        </w:rPr>
      </w:pPr>
    </w:p>
    <w:p w:rsidR="00BD2278" w:rsidRPr="00C1582A" w:rsidRDefault="00BD2278" w:rsidP="00FE4032">
      <w:pPr>
        <w:ind w:firstLine="284"/>
        <w:jc w:val="center"/>
        <w:rPr>
          <w:sz w:val="28"/>
          <w:szCs w:val="28"/>
        </w:rPr>
      </w:pPr>
      <w:r w:rsidRPr="00C1582A">
        <w:rPr>
          <w:sz w:val="28"/>
          <w:szCs w:val="28"/>
        </w:rPr>
        <w:t>CAPITOLO II</w:t>
      </w:r>
    </w:p>
    <w:p w:rsidR="00BD2278" w:rsidRDefault="00BD2278" w:rsidP="00A30F38">
      <w:pPr>
        <w:pStyle w:val="Titolocapitolo"/>
      </w:pPr>
      <w:bookmarkStart w:id="12" w:name="_Toc285266426"/>
      <w:r w:rsidRPr="005245A4">
        <w:t>Retribuzione ed assetto della contrattazione</w:t>
      </w:r>
      <w:bookmarkEnd w:id="12"/>
    </w:p>
    <w:p w:rsidR="00BD2278" w:rsidRPr="005245A4" w:rsidRDefault="00BD2278" w:rsidP="00A30F38">
      <w:pPr>
        <w:pStyle w:val="Titolocapitolo"/>
      </w:pPr>
    </w:p>
    <w:p w:rsidR="00BD2278" w:rsidRPr="00C1582A" w:rsidRDefault="00BD2278" w:rsidP="00FE4032">
      <w:pPr>
        <w:pStyle w:val="ListParagraph"/>
        <w:tabs>
          <w:tab w:val="left" w:pos="142"/>
          <w:tab w:val="left" w:pos="709"/>
        </w:tabs>
        <w:spacing w:line="240" w:lineRule="auto"/>
        <w:ind w:left="0" w:firstLine="284"/>
      </w:pPr>
      <w:r w:rsidRPr="00C1582A">
        <w:t>Sommario: 1. Retribuzione e assetto della contrattazione. – 2. La riforma degli assetti contrattuali: il ruolo del contratto nazionale e la funzione di garanzia della certezza dei trattamenti economici. – 3. La contrattazione di secondo livello. La contrattazione aziendale e il premio variabile. – 4. La riforma degli assetti contrattuali: i rapporti tra diversi livelli e il fenomeno della contrattazione aziendale separata. – 5. La riforma degli assetti contrattuali: L’elemento di garanzia retributiva.</w:t>
      </w:r>
    </w:p>
    <w:p w:rsidR="00BD2278" w:rsidRDefault="00BD2278" w:rsidP="00FE4032">
      <w:pPr>
        <w:ind w:firstLine="284"/>
        <w:jc w:val="center"/>
        <w:rPr>
          <w:b/>
          <w:sz w:val="28"/>
          <w:szCs w:val="28"/>
        </w:rPr>
      </w:pPr>
    </w:p>
    <w:p w:rsidR="00BD2278" w:rsidRDefault="00BD2278" w:rsidP="00FE4032">
      <w:pPr>
        <w:ind w:firstLine="284"/>
        <w:jc w:val="center"/>
        <w:rPr>
          <w:b/>
          <w:sz w:val="28"/>
          <w:szCs w:val="28"/>
        </w:rPr>
      </w:pPr>
    </w:p>
    <w:p w:rsidR="00BD2278" w:rsidRDefault="00BD2278" w:rsidP="00FE4032">
      <w:pPr>
        <w:ind w:firstLine="284"/>
        <w:jc w:val="center"/>
        <w:rPr>
          <w:b/>
          <w:sz w:val="28"/>
          <w:szCs w:val="28"/>
        </w:rPr>
      </w:pPr>
    </w:p>
    <w:p w:rsidR="00BD2278" w:rsidRDefault="00BD2278" w:rsidP="00A30F38">
      <w:pPr>
        <w:pStyle w:val="ListParagraph"/>
        <w:numPr>
          <w:ilvl w:val="0"/>
          <w:numId w:val="26"/>
        </w:numPr>
        <w:ind w:left="0" w:firstLine="284"/>
        <w:outlineLvl w:val="1"/>
        <w:rPr>
          <w:sz w:val="28"/>
          <w:szCs w:val="28"/>
        </w:rPr>
      </w:pPr>
      <w:bookmarkStart w:id="13" w:name="_Toc285266427"/>
      <w:r w:rsidRPr="009B00A7">
        <w:rPr>
          <w:rStyle w:val="TitoloparagrafoCarattere"/>
          <w:i/>
        </w:rPr>
        <w:t>Retribuzione e assetto della contrattazione</w:t>
      </w:r>
      <w:r>
        <w:rPr>
          <w:sz w:val="28"/>
          <w:szCs w:val="28"/>
        </w:rPr>
        <w:t>.</w:t>
      </w:r>
      <w:bookmarkEnd w:id="13"/>
    </w:p>
    <w:p w:rsidR="00BD2278" w:rsidRPr="00640B3C" w:rsidRDefault="00BD2278" w:rsidP="00640B3C">
      <w:pPr>
        <w:rPr>
          <w:sz w:val="28"/>
          <w:szCs w:val="28"/>
        </w:rPr>
      </w:pPr>
    </w:p>
    <w:p w:rsidR="00BD2278" w:rsidRDefault="00BD2278" w:rsidP="00FE4032">
      <w:pPr>
        <w:ind w:firstLine="284"/>
        <w:rPr>
          <w:sz w:val="28"/>
          <w:szCs w:val="28"/>
        </w:rPr>
      </w:pPr>
      <w:r>
        <w:rPr>
          <w:sz w:val="28"/>
          <w:szCs w:val="28"/>
        </w:rPr>
        <w:t>La regolamentazione della retribuzione ha uno stretto legame con la contrattazione collettiva tanto che, secondo risalenti testimonianze</w:t>
      </w:r>
      <w:r>
        <w:rPr>
          <w:rStyle w:val="FootnoteReference"/>
          <w:sz w:val="28"/>
          <w:szCs w:val="28"/>
        </w:rPr>
        <w:footnoteReference w:id="136"/>
      </w:r>
      <w:r>
        <w:rPr>
          <w:sz w:val="28"/>
          <w:szCs w:val="28"/>
        </w:rPr>
        <w:t xml:space="preserve">, la stessa nascita delle </w:t>
      </w:r>
      <w:r>
        <w:rPr>
          <w:i/>
          <w:sz w:val="28"/>
          <w:szCs w:val="28"/>
        </w:rPr>
        <w:t>Trade unions</w:t>
      </w:r>
      <w:r>
        <w:rPr>
          <w:sz w:val="28"/>
          <w:szCs w:val="28"/>
        </w:rPr>
        <w:t xml:space="preserve"> è legata alla organizzazione di gruppi spontanei di pressione per il miglioramento delle condizioni (anche economiche) dei salariati. Nella risalente dottrina nazionale, si è osservato che la nascita della negoziazione collettiva si è verificata per ottenere un miglior corrispettivo nella cessione di manodopera, giungendo alla conclusione dei primi concordati di tariffa</w:t>
      </w:r>
      <w:r>
        <w:rPr>
          <w:rStyle w:val="FootnoteReference"/>
          <w:sz w:val="28"/>
          <w:szCs w:val="28"/>
        </w:rPr>
        <w:footnoteReference w:id="137"/>
      </w:r>
      <w:r>
        <w:rPr>
          <w:sz w:val="28"/>
          <w:szCs w:val="28"/>
        </w:rPr>
        <w:t>.</w:t>
      </w:r>
    </w:p>
    <w:p w:rsidR="00BD2278" w:rsidRDefault="00BD2278" w:rsidP="00FE4032">
      <w:pPr>
        <w:ind w:firstLine="284"/>
        <w:rPr>
          <w:sz w:val="28"/>
          <w:szCs w:val="28"/>
        </w:rPr>
      </w:pPr>
      <w:r>
        <w:rPr>
          <w:sz w:val="28"/>
          <w:szCs w:val="28"/>
        </w:rPr>
        <w:t>Dalla stretta connessione tra contrattazione collettiva e retribuzione, appare evidente la funzione economica del contratto collettivo nell’individuazione del punto di equilibrio dei livelli salariali. Essa è rimasta sostanzialmente invariata nel tempo, con un’unica parentesi nel periodo corporativo, in cui il contratto collettivo rappresenta l’ espressione “della solidarietà fra i vari fattori di produzione nell’interesse supremo della Nazione”</w:t>
      </w:r>
      <w:r>
        <w:rPr>
          <w:rStyle w:val="FootnoteReference"/>
          <w:sz w:val="28"/>
          <w:szCs w:val="28"/>
        </w:rPr>
        <w:footnoteReference w:id="138"/>
      </w:r>
      <w:r>
        <w:rPr>
          <w:sz w:val="28"/>
          <w:szCs w:val="28"/>
        </w:rPr>
        <w:t xml:space="preserve"> e la sua funzione economica è quella di determinare il livello salariale che garantisce la massima intensità di produzione: come si legge nella IV Dichiarazione della Carta del Lavoro, gli opposti interessi dei datori di lavoro e dei lavoratori sono subordinati agli interessi superiori della produzione. Secondo le convinzioni del legislatore fascista in tal modo il criterio della giustizia retributiva sarebbe compenetrato con quello dell’organizzazione produttiva”</w:t>
      </w:r>
      <w:r>
        <w:rPr>
          <w:rStyle w:val="FootnoteReference"/>
          <w:sz w:val="28"/>
          <w:szCs w:val="28"/>
        </w:rPr>
        <w:footnoteReference w:id="139"/>
      </w:r>
      <w:r>
        <w:rPr>
          <w:sz w:val="28"/>
          <w:szCs w:val="28"/>
        </w:rPr>
        <w:t>.</w:t>
      </w:r>
    </w:p>
    <w:p w:rsidR="00BD2278" w:rsidRDefault="00BD2278" w:rsidP="00FE4032">
      <w:pPr>
        <w:ind w:firstLine="284"/>
        <w:rPr>
          <w:sz w:val="28"/>
          <w:szCs w:val="28"/>
        </w:rPr>
      </w:pPr>
      <w:r>
        <w:rPr>
          <w:sz w:val="28"/>
          <w:szCs w:val="28"/>
        </w:rPr>
        <w:t xml:space="preserve">Mentre la funzione economica è rimasta sostanzialmente invariata, con l’unica transitoria eccezione del periodo corporativo, nel tempo è intervenuto il riconoscimento del contratto collettivo quale fonte giuridica formale (inderogabile </w:t>
      </w:r>
      <w:r>
        <w:rPr>
          <w:i/>
          <w:sz w:val="28"/>
          <w:szCs w:val="28"/>
        </w:rPr>
        <w:t>in pejus</w:t>
      </w:r>
      <w:r>
        <w:rPr>
          <w:sz w:val="28"/>
          <w:szCs w:val="28"/>
        </w:rPr>
        <w:t>) di disciplina del rapporto individuale.</w:t>
      </w:r>
    </w:p>
    <w:p w:rsidR="00BD2278" w:rsidRDefault="00BD2278" w:rsidP="00FE4032">
      <w:pPr>
        <w:ind w:firstLine="284"/>
        <w:rPr>
          <w:sz w:val="28"/>
          <w:szCs w:val="28"/>
        </w:rPr>
      </w:pPr>
      <w:r>
        <w:rPr>
          <w:sz w:val="28"/>
          <w:szCs w:val="28"/>
        </w:rPr>
        <w:t>Per giungere a tale risultato si è partiti dalle teorie fondate su modelli privatistici di obbligatorietà del contratto collettivo, declinate in diverse ipotesi di responsabilità civile, accomunate dal timore di una deriva autoritativa del riconoscimento per legge dell’efficacia obbligatoria</w:t>
      </w:r>
      <w:r>
        <w:rPr>
          <w:rStyle w:val="FootnoteReference"/>
          <w:sz w:val="28"/>
          <w:szCs w:val="28"/>
        </w:rPr>
        <w:footnoteReference w:id="140"/>
      </w:r>
      <w:r>
        <w:rPr>
          <w:sz w:val="28"/>
          <w:szCs w:val="28"/>
        </w:rPr>
        <w:t>. Preparato dall’ “etero-comando” di carneluttiana memoria</w:t>
      </w:r>
      <w:r>
        <w:rPr>
          <w:rStyle w:val="FootnoteReference"/>
          <w:sz w:val="28"/>
          <w:szCs w:val="28"/>
        </w:rPr>
        <w:footnoteReference w:id="141"/>
      </w:r>
      <w:r>
        <w:rPr>
          <w:sz w:val="28"/>
          <w:szCs w:val="28"/>
        </w:rPr>
        <w:t>, il passo successivo fu l’obbligo per le associazioni professionali di regolare i rapporti di lavoro mediante contratti collettivi stipulati dal sindacato legalmente riconosciuto e sottoposto al controllo dello Stato. Nel sistema corporativo il rapporto tra contratto e retribuzione è sancito dalla XII dichiarazione della Carta del Lavoro, ove si legge che la determinazione del salario è sottratta a qualsiasi norma generale e rimessa all’accordo delle parti nel contratto collettivo.</w:t>
      </w:r>
    </w:p>
    <w:p w:rsidR="00BD2278" w:rsidRDefault="00BD2278" w:rsidP="00FE4032">
      <w:pPr>
        <w:ind w:firstLine="284"/>
        <w:rPr>
          <w:sz w:val="28"/>
          <w:szCs w:val="28"/>
        </w:rPr>
      </w:pPr>
      <w:r>
        <w:rPr>
          <w:sz w:val="28"/>
          <w:szCs w:val="28"/>
        </w:rPr>
        <w:t>Anche a seguito dell’intervento della Costituzione repubblicana non si dubita del ruolo fondamentale della contrattazione collettiva nella disciplina del rapporto individuale di lavoro</w:t>
      </w:r>
      <w:r>
        <w:rPr>
          <w:rStyle w:val="FootnoteReference"/>
          <w:sz w:val="28"/>
          <w:szCs w:val="28"/>
        </w:rPr>
        <w:footnoteReference w:id="142"/>
      </w:r>
      <w:r>
        <w:rPr>
          <w:sz w:val="28"/>
          <w:szCs w:val="28"/>
        </w:rPr>
        <w:t>.</w:t>
      </w:r>
    </w:p>
    <w:p w:rsidR="00BD2278" w:rsidRDefault="00BD2278" w:rsidP="00FE4032">
      <w:pPr>
        <w:ind w:firstLine="284"/>
        <w:rPr>
          <w:sz w:val="28"/>
          <w:szCs w:val="28"/>
        </w:rPr>
      </w:pPr>
      <w:r>
        <w:rPr>
          <w:sz w:val="28"/>
          <w:szCs w:val="28"/>
        </w:rPr>
        <w:t>Esso risulta in tutta evidenza proprio dal meccanismo predisposto dal legislatore costituente per attuare il precetto della giusta retribuzione attraverso la contrattazione collettiva</w:t>
      </w:r>
      <w:r>
        <w:rPr>
          <w:rStyle w:val="FootnoteReference"/>
          <w:sz w:val="28"/>
          <w:szCs w:val="28"/>
        </w:rPr>
        <w:footnoteReference w:id="143"/>
      </w:r>
      <w:r>
        <w:rPr>
          <w:sz w:val="28"/>
          <w:szCs w:val="28"/>
        </w:rPr>
        <w:t xml:space="preserve"> e si traduce nella individuazione nel contratto collettivo dello strumento naturale per la determinazione dei trattamenti retributivi.</w:t>
      </w:r>
    </w:p>
    <w:p w:rsidR="00BD2278" w:rsidRDefault="00BD2278" w:rsidP="00FE4032">
      <w:pPr>
        <w:ind w:firstLine="284"/>
        <w:rPr>
          <w:sz w:val="28"/>
          <w:szCs w:val="28"/>
        </w:rPr>
      </w:pPr>
      <w:r>
        <w:rPr>
          <w:sz w:val="28"/>
          <w:szCs w:val="28"/>
        </w:rPr>
        <w:t>Lo storico rapporto che intercorre tra contrattazione collettiva e rivendicazioni salariali, unitamente all’attuale rilevanza delle statuizioni dell’autonomia collettiva nel procedimento di determinazione della giusta retribuzione, sia pure per il tramite giurisdizionale, basterebbe a motivare l’interesse per il tema, recentemente tornato d’attualità dopo quasi un ventennio di torpore, delle regole della contrattazione, modificate a seguito del rinnovo degli assetti realizzato con l’Accordo Quadro del 22 gennaio 2009 cui è seguito il relativo Accordo Interconfederale di attuazione del 15 aprile 2009</w:t>
      </w:r>
      <w:r>
        <w:rPr>
          <w:rStyle w:val="FootnoteReference"/>
          <w:sz w:val="28"/>
          <w:szCs w:val="28"/>
        </w:rPr>
        <w:footnoteReference w:id="144"/>
      </w:r>
      <w:r>
        <w:rPr>
          <w:sz w:val="28"/>
          <w:szCs w:val="28"/>
        </w:rPr>
        <w:t>.</w:t>
      </w:r>
    </w:p>
    <w:p w:rsidR="00BD2278" w:rsidRDefault="00BD2278" w:rsidP="00FE4032">
      <w:pPr>
        <w:ind w:firstLine="284"/>
        <w:rPr>
          <w:sz w:val="28"/>
          <w:szCs w:val="28"/>
        </w:rPr>
      </w:pPr>
      <w:r>
        <w:rPr>
          <w:sz w:val="28"/>
          <w:szCs w:val="28"/>
        </w:rPr>
        <w:t>A ciò si aggiunga che successivamente alle suddette modifiche, si sono verificate alcune condizioni che potrebbero avere riflessi sulla rilevanza del ccnl nella determinazione dei trattamenti retributivi.</w:t>
      </w:r>
    </w:p>
    <w:p w:rsidR="00BD2278" w:rsidRDefault="00BD2278" w:rsidP="00FE4032">
      <w:pPr>
        <w:ind w:firstLine="284"/>
        <w:rPr>
          <w:sz w:val="28"/>
          <w:szCs w:val="28"/>
        </w:rPr>
      </w:pPr>
      <w:r>
        <w:rPr>
          <w:sz w:val="28"/>
          <w:szCs w:val="28"/>
        </w:rPr>
        <w:t>Da un lato infatti</w:t>
      </w:r>
      <w:r w:rsidRPr="006F4545">
        <w:rPr>
          <w:sz w:val="28"/>
          <w:szCs w:val="28"/>
        </w:rPr>
        <w:t xml:space="preserve"> </w:t>
      </w:r>
      <w:r>
        <w:rPr>
          <w:sz w:val="28"/>
          <w:szCs w:val="28"/>
        </w:rPr>
        <w:t>Federmeccanica, Fim-Cisl e Uil-Uilm senza l’adesione della Fiom-Cgil, il 15 ottobre del 2009 hanno sottoscritto il ccnl per il settore metalmeccanico. Dunque occorre interrogarsi sulla efficacia soggettiva degli accordi separati e sulle conseguenze in tema di centralità del livello nazionale nel processo di determinazione dei livelli retributivi.</w:t>
      </w:r>
    </w:p>
    <w:p w:rsidR="00BD2278" w:rsidRDefault="00BD2278" w:rsidP="00FE4032">
      <w:pPr>
        <w:ind w:firstLine="284"/>
        <w:rPr>
          <w:sz w:val="28"/>
          <w:szCs w:val="28"/>
        </w:rPr>
      </w:pPr>
      <w:r>
        <w:rPr>
          <w:sz w:val="28"/>
          <w:szCs w:val="28"/>
        </w:rPr>
        <w:t>Inoltre ulteriori spunti di riflessione giungono dagli esiti della negoziazione del contratto collettivo per lo stabilimento Fiat di Pomigliano d’Arco. Come noto, il timore che la sottoscrizione separata del contratto aziendale potesse ingenerare un lungo contenzioso giudiziale sull’applicabilità dello stesso ai lavoratori non aderenti alle sigle firmatarie, nonostante il positivo esito del referendum, ha condotto alla creazione di una società, denominata Fabbrica Italia Pomigliano, interamente di proprietà della Fiat stessa, cui è stato ceduto lo stabilimento. La suddetta società non aderisce al sistema di Confindustria pertanto il contratto da essa sottoscritto il 29 dicembre 2010 insieme a Fim-Cisl, Uilm-Uil, Fismic, Ugl Metalmeccanici e l’Associazione Quadri e Capi Fiat, si configura come un contratto di primo livello.</w:t>
      </w:r>
    </w:p>
    <w:p w:rsidR="00BD2278" w:rsidRDefault="00BD2278" w:rsidP="00FE4032">
      <w:pPr>
        <w:ind w:firstLine="284"/>
        <w:rPr>
          <w:sz w:val="28"/>
          <w:szCs w:val="28"/>
        </w:rPr>
      </w:pPr>
      <w:r>
        <w:rPr>
          <w:sz w:val="28"/>
          <w:szCs w:val="28"/>
        </w:rPr>
        <w:t>Prima ancora della circostanza che si sia arrivati ad un contratto alternativo a quello nazionale tramite l’uscita di FIAT da Confindustria e conseguente disapplicazione del ccnl del 15 ottobre 2009, il metodo della negoziazione</w:t>
      </w:r>
      <w:r>
        <w:rPr>
          <w:rStyle w:val="FootnoteReference"/>
          <w:sz w:val="28"/>
          <w:szCs w:val="28"/>
        </w:rPr>
        <w:footnoteReference w:id="145"/>
      </w:r>
      <w:r>
        <w:rPr>
          <w:sz w:val="28"/>
          <w:szCs w:val="28"/>
        </w:rPr>
        <w:t xml:space="preserve"> ha indotto ad una riflessione sulla possibilità che il nuovo equilibrio di forze, sbilanciato a favore datoriale dalla facoltà di delocalizzare la produzione, possa indurre i lavoratori, astretti dalla  alternativa di perdere l’occupazione, all’accettazione di condizioni economiche sempre più basse</w:t>
      </w:r>
      <w:r>
        <w:rPr>
          <w:rStyle w:val="FootnoteReference"/>
          <w:sz w:val="28"/>
          <w:szCs w:val="28"/>
        </w:rPr>
        <w:footnoteReference w:id="146"/>
      </w:r>
      <w:r>
        <w:rPr>
          <w:sz w:val="28"/>
          <w:szCs w:val="28"/>
        </w:rPr>
        <w:t>.</w:t>
      </w:r>
    </w:p>
    <w:p w:rsidR="00BD2278" w:rsidRDefault="00BD2278" w:rsidP="00FE4032">
      <w:pPr>
        <w:ind w:firstLine="284"/>
        <w:rPr>
          <w:sz w:val="28"/>
          <w:szCs w:val="28"/>
        </w:rPr>
      </w:pPr>
      <w:r>
        <w:rPr>
          <w:sz w:val="28"/>
          <w:szCs w:val="28"/>
        </w:rPr>
        <w:t>Poiché la vicenda di Pomigliano, oltre il ripetersi a livello aziendale come si sta verificando nello stabilimento di Mirafiori, è possibile che diventi un modello per il futuro</w:t>
      </w:r>
      <w:r>
        <w:rPr>
          <w:rStyle w:val="FootnoteReference"/>
          <w:sz w:val="28"/>
          <w:szCs w:val="28"/>
        </w:rPr>
        <w:footnoteReference w:id="147"/>
      </w:r>
      <w:r>
        <w:rPr>
          <w:sz w:val="28"/>
          <w:szCs w:val="28"/>
        </w:rPr>
        <w:t>, occorrerà interrogarsi sull’attualità del contratto nazionale di lavoro quale strumento parametrico di determinazione della retribuzione.</w:t>
      </w:r>
    </w:p>
    <w:p w:rsidR="00BD2278" w:rsidRDefault="00BD2278" w:rsidP="00FE4032">
      <w:pPr>
        <w:ind w:firstLine="284"/>
        <w:rPr>
          <w:sz w:val="28"/>
          <w:szCs w:val="28"/>
        </w:rPr>
      </w:pPr>
      <w:r>
        <w:rPr>
          <w:sz w:val="28"/>
          <w:szCs w:val="28"/>
        </w:rPr>
        <w:t xml:space="preserve">In altri termini, quello che non è stato compiuto da tutti gli interventi legislativi che hanno puntato sulla contrattazione territoriale o aziendale a vari fini (emersione del sommerso o illegale, adeguamento degli </w:t>
      </w:r>
      <w:r>
        <w:rPr>
          <w:i/>
          <w:sz w:val="28"/>
          <w:szCs w:val="28"/>
        </w:rPr>
        <w:t>standards</w:t>
      </w:r>
      <w:r>
        <w:rPr>
          <w:sz w:val="28"/>
          <w:szCs w:val="28"/>
        </w:rPr>
        <w:t xml:space="preserve"> individuali al contratto collettivo, aumento della produttività e flessibilizzazione delle condizioni di lavoro)</w:t>
      </w:r>
      <w:r>
        <w:rPr>
          <w:rStyle w:val="FootnoteReference"/>
          <w:sz w:val="28"/>
          <w:szCs w:val="28"/>
        </w:rPr>
        <w:footnoteReference w:id="148"/>
      </w:r>
      <w:r>
        <w:rPr>
          <w:sz w:val="28"/>
          <w:szCs w:val="28"/>
        </w:rPr>
        <w:t xml:space="preserve"> in alcuni casi anche a rischio della centralità del contratto nazionale</w:t>
      </w:r>
      <w:r>
        <w:rPr>
          <w:rStyle w:val="FootnoteReference"/>
          <w:sz w:val="28"/>
          <w:szCs w:val="28"/>
        </w:rPr>
        <w:footnoteReference w:id="149"/>
      </w:r>
      <w:r>
        <w:rPr>
          <w:sz w:val="28"/>
          <w:szCs w:val="28"/>
        </w:rPr>
        <w:t>, potrebbe essere realizzato dalla diffusione di contratti aziendali di primo livello negoziati sotto la minaccia di una delocalizzazione della produzione.</w:t>
      </w:r>
    </w:p>
    <w:p w:rsidR="00BD2278" w:rsidRDefault="00BD2278" w:rsidP="00FE4032">
      <w:pPr>
        <w:ind w:firstLine="284"/>
        <w:rPr>
          <w:sz w:val="28"/>
          <w:szCs w:val="28"/>
        </w:rPr>
      </w:pPr>
      <w:r>
        <w:rPr>
          <w:sz w:val="28"/>
          <w:szCs w:val="28"/>
        </w:rPr>
        <w:t>I rischi sul piano del trattamento retributivo, che la diffusione di tale assetto negoziale su un unico livello comporterebbe sono evidenti.</w:t>
      </w:r>
    </w:p>
    <w:p w:rsidR="00BD2278" w:rsidRDefault="00BD2278" w:rsidP="00FE4032">
      <w:pPr>
        <w:ind w:firstLine="284"/>
        <w:rPr>
          <w:sz w:val="28"/>
          <w:szCs w:val="28"/>
        </w:rPr>
      </w:pPr>
      <w:r>
        <w:rPr>
          <w:sz w:val="28"/>
          <w:szCs w:val="28"/>
        </w:rPr>
        <w:t>Per disegnare i possibili scenari futuri,  si potrebbe tentare una comparazione con gli ordinamenti, come quello tedesco, in cui la negoziazione collettiva ha condotto a contratti del tipo di quello di Pomigliano.</w:t>
      </w:r>
    </w:p>
    <w:p w:rsidR="00BD2278" w:rsidRDefault="00BD2278" w:rsidP="00FE4032">
      <w:pPr>
        <w:ind w:firstLine="284"/>
        <w:rPr>
          <w:sz w:val="28"/>
          <w:szCs w:val="28"/>
        </w:rPr>
      </w:pPr>
      <w:r>
        <w:rPr>
          <w:sz w:val="28"/>
          <w:szCs w:val="28"/>
        </w:rPr>
        <w:t>Tuttavia una operazione di tal genere è preclusa dalle differenti condizioni in cui si verifica il negoziato. In Germania le rappresentanze dei lavoratori hanno migliori possibilità di condurre le trattative, dettate dalla partecipazione ai processi decisionali che li pone in condizione di conoscere i piani industriali e dunque di compiere scelte consapevoli</w:t>
      </w:r>
      <w:r>
        <w:rPr>
          <w:rStyle w:val="FootnoteReference"/>
          <w:sz w:val="28"/>
          <w:szCs w:val="28"/>
        </w:rPr>
        <w:footnoteReference w:id="150"/>
      </w:r>
      <w:r>
        <w:rPr>
          <w:sz w:val="28"/>
          <w:szCs w:val="28"/>
        </w:rPr>
        <w:t>.</w:t>
      </w:r>
    </w:p>
    <w:p w:rsidR="00BD2278" w:rsidRDefault="00BD2278" w:rsidP="00FE4032">
      <w:pPr>
        <w:ind w:firstLine="284"/>
        <w:rPr>
          <w:sz w:val="28"/>
          <w:szCs w:val="28"/>
        </w:rPr>
      </w:pPr>
      <w:r>
        <w:rPr>
          <w:sz w:val="28"/>
          <w:szCs w:val="28"/>
        </w:rPr>
        <w:t>Qualora i rapporti tra i datori di lavoro e i rappresentanti aziendali (ove si sia costituita una rappresentanza) siano tali che i primi contrastano l’operato dei secondi omettendo di informarli delle scelte strategiche, e questi ultimi sono privi di adeguati strumenti per valutare i piani aziendali</w:t>
      </w:r>
      <w:r>
        <w:rPr>
          <w:rStyle w:val="FootnoteReference"/>
          <w:sz w:val="28"/>
          <w:szCs w:val="28"/>
        </w:rPr>
        <w:footnoteReference w:id="151"/>
      </w:r>
      <w:r>
        <w:rPr>
          <w:sz w:val="28"/>
          <w:szCs w:val="28"/>
        </w:rPr>
        <w:t>, non sussistono le condizioni per una equa negoziazione a livello decentrato.</w:t>
      </w:r>
    </w:p>
    <w:p w:rsidR="00BD2278" w:rsidRDefault="00BD2278" w:rsidP="00FE4032">
      <w:pPr>
        <w:ind w:firstLine="284"/>
        <w:rPr>
          <w:sz w:val="28"/>
          <w:szCs w:val="28"/>
        </w:rPr>
      </w:pPr>
      <w:r>
        <w:rPr>
          <w:sz w:val="28"/>
          <w:szCs w:val="28"/>
        </w:rPr>
        <w:t>Si potrebbe essere indotti a pensare che la questione della diffusione della negoziazione a livello unico decentrato, non interessi il tema della retribuzione in quanto la manodopera incide in misura infinitesimale sul costo di produzione e la grande industria ha l’obiettivo primario la saturazione degli impianti di produzione nei momenti di maggior richiesta di beni da parte del mercato, piuttosto che quello della riduzione delle retribuzioni</w:t>
      </w:r>
      <w:r>
        <w:rPr>
          <w:rStyle w:val="FootnoteReference"/>
          <w:sz w:val="28"/>
          <w:szCs w:val="28"/>
        </w:rPr>
        <w:footnoteReference w:id="152"/>
      </w:r>
      <w:r>
        <w:rPr>
          <w:sz w:val="28"/>
          <w:szCs w:val="28"/>
        </w:rPr>
        <w:t>. Pertanto le condizioni peggiorative dovrebbero riguardare esclusivamente i diritti e i ritmi di produzione, senza interessamento dei livelli salariali che rimarrebbero invariati rispetto a quelli fissati nei contratti nazionali. Tuttavia, nell’ottica della contrattazione aziendale o d’impresa, non si può escludere a priori che la capacità di pressione derivante dalla possibilità di spostare altrove la produzione, possa indurre i datori di lavoro a pretendere, in periodi di contrazione della domanda, una minore incidenza del costo della manodopera.</w:t>
      </w:r>
    </w:p>
    <w:p w:rsidR="00BD2278" w:rsidRDefault="00BD2278" w:rsidP="00FE4032">
      <w:pPr>
        <w:ind w:firstLine="284"/>
        <w:rPr>
          <w:sz w:val="28"/>
          <w:szCs w:val="28"/>
        </w:rPr>
      </w:pPr>
      <w:r>
        <w:rPr>
          <w:sz w:val="28"/>
          <w:szCs w:val="28"/>
        </w:rPr>
        <w:t>Ferme restando le precedenti considerazioni, occorre fare alcune precisazioni.</w:t>
      </w:r>
    </w:p>
    <w:p w:rsidR="00BD2278" w:rsidRDefault="00BD2278" w:rsidP="00FE4032">
      <w:pPr>
        <w:ind w:firstLine="284"/>
        <w:rPr>
          <w:sz w:val="28"/>
          <w:szCs w:val="28"/>
        </w:rPr>
      </w:pPr>
      <w:r>
        <w:rPr>
          <w:sz w:val="28"/>
          <w:szCs w:val="28"/>
        </w:rPr>
        <w:t xml:space="preserve">Anzitutto quanto finora detto deve essere riferito esclusivamente a quelle imprese che, in ragione della globalizzazione dei mercati, sono in condizione di imporre pratiche di </w:t>
      </w:r>
      <w:r>
        <w:rPr>
          <w:i/>
          <w:sz w:val="28"/>
          <w:szCs w:val="28"/>
        </w:rPr>
        <w:t>open shop</w:t>
      </w:r>
      <w:r>
        <w:rPr>
          <w:sz w:val="28"/>
          <w:szCs w:val="28"/>
        </w:rPr>
        <w:t xml:space="preserve"> sotto la minaccia della delocalizzazione dell’impresa.</w:t>
      </w:r>
    </w:p>
    <w:p w:rsidR="00BD2278" w:rsidRDefault="00BD2278" w:rsidP="00FE4032">
      <w:pPr>
        <w:ind w:firstLine="284"/>
        <w:rPr>
          <w:sz w:val="28"/>
          <w:szCs w:val="28"/>
        </w:rPr>
      </w:pPr>
      <w:r>
        <w:rPr>
          <w:sz w:val="28"/>
          <w:szCs w:val="28"/>
        </w:rPr>
        <w:t>Inoltre non è detto che le istanze di rinuncia al contratto nazionale, che possono derivare quale conseguenza emulativa del modello Pomigliano, siano in grado di incidere a carattere definitivo sulla struttura della contrattazione collettiva</w:t>
      </w:r>
      <w:r>
        <w:rPr>
          <w:rStyle w:val="FootnoteReference"/>
          <w:sz w:val="28"/>
          <w:szCs w:val="28"/>
        </w:rPr>
        <w:footnoteReference w:id="153"/>
      </w:r>
      <w:r>
        <w:rPr>
          <w:sz w:val="28"/>
          <w:szCs w:val="28"/>
        </w:rPr>
        <w:t>. Pertanto tutte le considerazioni sulla incidenza delle modifiche al sistema di relazioni industriali sulla retribuzione, al pari di ogni proposta legislativa del sistema contrattuale e di rappresentanza, devono essere rimandate al momento in cui tali modifiche dovessero essere</w:t>
      </w:r>
      <w:r w:rsidRPr="00511AE3">
        <w:rPr>
          <w:sz w:val="28"/>
          <w:szCs w:val="28"/>
        </w:rPr>
        <w:t xml:space="preserve"> </w:t>
      </w:r>
      <w:r>
        <w:rPr>
          <w:sz w:val="28"/>
          <w:szCs w:val="28"/>
        </w:rPr>
        <w:t>confermate. Su tale necessità concorda anche chi ritiene che la portata innovativa dell’accordo di Pomigliano possa essere in grado di innescare processi che producano modifiche definitive nell’assetto delle relazioni industriali</w:t>
      </w:r>
      <w:r>
        <w:rPr>
          <w:rStyle w:val="FootnoteReference"/>
          <w:sz w:val="28"/>
          <w:szCs w:val="28"/>
        </w:rPr>
        <w:footnoteReference w:id="154"/>
      </w:r>
      <w:r>
        <w:rPr>
          <w:sz w:val="28"/>
          <w:szCs w:val="28"/>
        </w:rPr>
        <w:t>.</w:t>
      </w:r>
      <w:r w:rsidRPr="00497EC7">
        <w:rPr>
          <w:sz w:val="28"/>
          <w:szCs w:val="28"/>
        </w:rPr>
        <w:t xml:space="preserve"> </w:t>
      </w:r>
      <w:r>
        <w:rPr>
          <w:sz w:val="28"/>
          <w:szCs w:val="28"/>
        </w:rPr>
        <w:t>Nonostante l’urgenza con cui quella parte del mondo sindacale, da sempre formalmente favorevole, preme per l’avvio di un dibattito parlamentare su una legge di applicazione dell’art. 39 Cost.</w:t>
      </w:r>
      <w:r>
        <w:rPr>
          <w:rStyle w:val="FootnoteReference"/>
          <w:sz w:val="28"/>
          <w:szCs w:val="28"/>
        </w:rPr>
        <w:footnoteReference w:id="155"/>
      </w:r>
      <w:r>
        <w:rPr>
          <w:sz w:val="28"/>
          <w:szCs w:val="28"/>
        </w:rPr>
        <w:t>, possa far apparire prossime nuove evoluzioni del sistema di relazioni industriali, è necessaria molta prudenza ed è opportuno rinviare ogni considerazione al momento in cui si dovessero realizzare.</w:t>
      </w:r>
    </w:p>
    <w:p w:rsidR="00BD2278" w:rsidRDefault="00BD2278" w:rsidP="00FE4032">
      <w:pPr>
        <w:ind w:firstLine="284"/>
        <w:rPr>
          <w:sz w:val="28"/>
          <w:szCs w:val="28"/>
        </w:rPr>
      </w:pPr>
      <w:r>
        <w:rPr>
          <w:sz w:val="28"/>
          <w:szCs w:val="28"/>
        </w:rPr>
        <w:t>Altra aggressione alla centralità del contratto nazionale giunge</w:t>
      </w:r>
      <w:r w:rsidRPr="00783744">
        <w:rPr>
          <w:sz w:val="28"/>
          <w:szCs w:val="28"/>
        </w:rPr>
        <w:t xml:space="preserve"> </w:t>
      </w:r>
      <w:r>
        <w:rPr>
          <w:sz w:val="28"/>
          <w:szCs w:val="28"/>
        </w:rPr>
        <w:t>nella forma dei contratti separati, in conseguenza della mancanza di unità sindacale.</w:t>
      </w:r>
    </w:p>
    <w:p w:rsidR="00BD2278" w:rsidRDefault="00BD2278" w:rsidP="00FE4032">
      <w:pPr>
        <w:ind w:firstLine="284"/>
        <w:rPr>
          <w:sz w:val="28"/>
          <w:szCs w:val="28"/>
        </w:rPr>
      </w:pPr>
      <w:r>
        <w:rPr>
          <w:sz w:val="28"/>
          <w:szCs w:val="28"/>
        </w:rPr>
        <w:t>Come già ricordato infatti il 15 ottobre del 2009 vi è stata la conclusione dell’accordo di rinnovo del ccnl per il settore metalmeccanico senza la sottoscrizione di una parte rilevante del mondo sindacale.</w:t>
      </w:r>
    </w:p>
    <w:p w:rsidR="00BD2278" w:rsidRDefault="00BD2278" w:rsidP="00FE4032">
      <w:pPr>
        <w:ind w:firstLine="284"/>
        <w:rPr>
          <w:sz w:val="28"/>
          <w:szCs w:val="28"/>
        </w:rPr>
      </w:pPr>
      <w:r>
        <w:rPr>
          <w:sz w:val="28"/>
          <w:szCs w:val="28"/>
        </w:rPr>
        <w:t>Secondo alcuni il rischio della perdita di centralità della parte economica è limitato. Infatti ancorché non sottoscritto da tutte le rappresentanze dei lavoratori, esso mantiene efficacia normativa per l’intera categoria</w:t>
      </w:r>
      <w:r>
        <w:rPr>
          <w:rStyle w:val="FootnoteReference"/>
          <w:sz w:val="28"/>
          <w:szCs w:val="28"/>
        </w:rPr>
        <w:footnoteReference w:id="156"/>
      </w:r>
      <w:r>
        <w:rPr>
          <w:sz w:val="28"/>
          <w:szCs w:val="28"/>
        </w:rPr>
        <w:t>.</w:t>
      </w:r>
    </w:p>
    <w:p w:rsidR="00BD2278" w:rsidRDefault="00BD2278" w:rsidP="00FE4032">
      <w:pPr>
        <w:ind w:firstLine="284"/>
        <w:rPr>
          <w:sz w:val="28"/>
          <w:szCs w:val="28"/>
        </w:rPr>
      </w:pPr>
      <w:r>
        <w:rPr>
          <w:sz w:val="28"/>
          <w:szCs w:val="28"/>
        </w:rPr>
        <w:t>Inoltre, nel valutare il grado di diffusione occorre tenere presente che al contratto separato per i metalmeccanici sono seguiti contratti sottoscritti da tutti i sindacati di categoria confederati nelle centrali maggiormente rappresentative (comparto alimentare settore industria 22 settembre 2009, telecomunicazioni 23 ottobre 2009 e comparto chimici 18 dicembre 2009) a loro volta seguiti da altri contratti separati (orafi ed argentieri 24 settembre 2010).</w:t>
      </w:r>
    </w:p>
    <w:p w:rsidR="00BD2278" w:rsidRDefault="00BD2278" w:rsidP="00FE4032">
      <w:pPr>
        <w:ind w:firstLine="284"/>
        <w:rPr>
          <w:sz w:val="28"/>
          <w:szCs w:val="28"/>
        </w:rPr>
      </w:pPr>
      <w:r>
        <w:rPr>
          <w:sz w:val="28"/>
          <w:szCs w:val="28"/>
        </w:rPr>
        <w:t xml:space="preserve"> Secondo una certa interpretazione del fenomeno, esso mostrerebbe il carattere fluido del nuovo modello contrattuale introdotto con la riforma del 2009 (per la cui analisi si rinvia al paragrafo successivo) che ne consente una applicazione a geometria variabile e che costituisce un apprezzabile passo avanti rispetto all’assetto dettato dal Protocollo del 1993</w:t>
      </w:r>
      <w:r>
        <w:rPr>
          <w:rStyle w:val="FootnoteReference"/>
          <w:sz w:val="28"/>
          <w:szCs w:val="28"/>
        </w:rPr>
        <w:footnoteReference w:id="157"/>
      </w:r>
      <w:r>
        <w:rPr>
          <w:sz w:val="28"/>
          <w:szCs w:val="28"/>
        </w:rPr>
        <w:t>.</w:t>
      </w:r>
    </w:p>
    <w:p w:rsidR="00BD2278" w:rsidRDefault="00BD2278" w:rsidP="00FE4032">
      <w:pPr>
        <w:ind w:firstLine="284"/>
        <w:rPr>
          <w:sz w:val="28"/>
          <w:szCs w:val="28"/>
        </w:rPr>
      </w:pPr>
      <w:r>
        <w:rPr>
          <w:sz w:val="28"/>
          <w:szCs w:val="28"/>
        </w:rPr>
        <w:t>Non si può tuttavia escludere che il carattere ondivago della composizione sindacale del fronte dei sottoscrittori, costituisca semplicemente un riflesso della mancanza di unitarietà dell’azione a livello confederale.</w:t>
      </w:r>
    </w:p>
    <w:p w:rsidR="00BD2278" w:rsidRDefault="00BD2278" w:rsidP="00FE4032">
      <w:pPr>
        <w:ind w:firstLine="284"/>
        <w:rPr>
          <w:sz w:val="28"/>
          <w:szCs w:val="28"/>
        </w:rPr>
      </w:pPr>
      <w:r>
        <w:rPr>
          <w:sz w:val="28"/>
          <w:szCs w:val="28"/>
        </w:rPr>
        <w:t>La centralità del livello nazionale, soggetta alla corrosione delle sue fondamenta dal fenomeno della contrattazione separata e, in prospettiva futura, dal fenomeno della contrattazione aziendale di primo livello, sembra invece sostenuta dall’accordo quadro sulla riforma degli assetti contrattuali sottoscritto il 22 gennaio 2009 dalle principali centrali sindacali con l’esclusione della sola CGIL.</w:t>
      </w:r>
    </w:p>
    <w:p w:rsidR="00BD2278" w:rsidRPr="00CE7F46" w:rsidRDefault="00BD2278" w:rsidP="00744FAC">
      <w:pPr>
        <w:pStyle w:val="ListParagraph"/>
        <w:numPr>
          <w:ilvl w:val="0"/>
          <w:numId w:val="26"/>
        </w:numPr>
        <w:ind w:left="720" w:hanging="436"/>
        <w:outlineLvl w:val="1"/>
        <w:rPr>
          <w:sz w:val="28"/>
          <w:szCs w:val="28"/>
        </w:rPr>
      </w:pPr>
      <w:bookmarkStart w:id="14" w:name="_Toc285266428"/>
      <w:r w:rsidRPr="009B00A7">
        <w:rPr>
          <w:rStyle w:val="TitoloparagrafoCarattere"/>
          <w:i/>
        </w:rPr>
        <w:t>La riforma degli assetti contrattuali: il ruolo del contratto nazionale e la funzione di garanzia della certezza dei trattamenti economici</w:t>
      </w:r>
      <w:r w:rsidRPr="00CE7F46">
        <w:rPr>
          <w:sz w:val="28"/>
          <w:szCs w:val="28"/>
        </w:rPr>
        <w:t>.</w:t>
      </w:r>
      <w:bookmarkEnd w:id="14"/>
    </w:p>
    <w:p w:rsidR="00BD2278" w:rsidRPr="000763FB" w:rsidRDefault="00BD2278" w:rsidP="00BD66D7">
      <w:pPr>
        <w:pStyle w:val="ListParagraph"/>
        <w:ind w:left="993"/>
        <w:rPr>
          <w:b/>
          <w:sz w:val="28"/>
          <w:szCs w:val="28"/>
        </w:rPr>
      </w:pPr>
    </w:p>
    <w:p w:rsidR="00BD2278" w:rsidRDefault="00BD2278" w:rsidP="00FE4032">
      <w:pPr>
        <w:ind w:firstLine="284"/>
        <w:rPr>
          <w:sz w:val="28"/>
          <w:szCs w:val="28"/>
        </w:rPr>
      </w:pPr>
      <w:r>
        <w:rPr>
          <w:sz w:val="28"/>
          <w:szCs w:val="28"/>
        </w:rPr>
        <w:t>L’Accordo interconfederale conferma la centralità del contratto nazionale di categoria nell’impianto introdotto dall’art. 2 del Protocollo del 1993.</w:t>
      </w:r>
    </w:p>
    <w:p w:rsidR="00BD2278" w:rsidRDefault="00BD2278" w:rsidP="00FE4032">
      <w:pPr>
        <w:ind w:firstLine="284"/>
        <w:rPr>
          <w:sz w:val="28"/>
          <w:szCs w:val="28"/>
        </w:rPr>
      </w:pPr>
      <w:r>
        <w:rPr>
          <w:sz w:val="28"/>
          <w:szCs w:val="28"/>
        </w:rPr>
        <w:t>Si conferma dunque l’attualità dell’opinione che il modello su due livelli conferisce al sistema un equilibrio tra le esigenze di controllo centrale delle retribuzioni e la necessità di flessibilità e di decentramento</w:t>
      </w:r>
      <w:r>
        <w:rPr>
          <w:rStyle w:val="FootnoteReference"/>
          <w:sz w:val="28"/>
          <w:szCs w:val="28"/>
        </w:rPr>
        <w:footnoteReference w:id="158"/>
      </w:r>
      <w:r>
        <w:rPr>
          <w:sz w:val="28"/>
          <w:szCs w:val="28"/>
        </w:rPr>
        <w:t>.</w:t>
      </w:r>
    </w:p>
    <w:p w:rsidR="00BD2278" w:rsidRPr="00984DC6" w:rsidRDefault="00BD2278" w:rsidP="00FE4032">
      <w:pPr>
        <w:ind w:firstLine="284"/>
        <w:rPr>
          <w:sz w:val="28"/>
          <w:szCs w:val="28"/>
        </w:rPr>
      </w:pPr>
      <w:r>
        <w:rPr>
          <w:sz w:val="28"/>
          <w:szCs w:val="28"/>
        </w:rPr>
        <w:t>La centralità del contratto nazionale di categoria è esplicitata al punto 1 dell’A.Q., ove si legge che “l’assetto della contrattazione è confermato su due livelli”, ribadita nella premessa e al punto 2.3 dell’A.I. con cui le parti convengono che “la contrattazione collettiva nazionale di categoria o confederale regola il sistema di relazioni industriali a livello nazionale, territoriale e aziendale o di pubblica amministrazione”.</w:t>
      </w:r>
    </w:p>
    <w:p w:rsidR="00BD2278" w:rsidRDefault="00BD2278" w:rsidP="00FE4032">
      <w:pPr>
        <w:ind w:firstLine="284"/>
        <w:rPr>
          <w:sz w:val="28"/>
          <w:szCs w:val="28"/>
        </w:rPr>
      </w:pPr>
      <w:r w:rsidRPr="00C316CE">
        <w:rPr>
          <w:sz w:val="28"/>
          <w:szCs w:val="28"/>
        </w:rPr>
        <w:t>Ma soprattutto l’assetto centralista dettato dall’A.I. si desume da</w:t>
      </w:r>
      <w:r>
        <w:rPr>
          <w:sz w:val="28"/>
          <w:szCs w:val="28"/>
        </w:rPr>
        <w:t>lla clausola che limita la competenza della contrattazione di secondo livello alle materie delegate.</w:t>
      </w:r>
    </w:p>
    <w:p w:rsidR="00BD2278" w:rsidRDefault="00BD2278" w:rsidP="00FE4032">
      <w:pPr>
        <w:ind w:firstLine="284"/>
        <w:rPr>
          <w:sz w:val="28"/>
          <w:szCs w:val="28"/>
        </w:rPr>
      </w:pPr>
      <w:r>
        <w:rPr>
          <w:sz w:val="28"/>
          <w:szCs w:val="28"/>
        </w:rPr>
        <w:t>Interessante è la comparazione tra la formulazione del Protocollo del 1993 e quella dell’A.I. del 2009, riguardo al rapporto tra il contratto nazionale e il contratto di secondo livello.</w:t>
      </w:r>
    </w:p>
    <w:p w:rsidR="00BD2278" w:rsidRDefault="00BD2278" w:rsidP="00FE4032">
      <w:pPr>
        <w:ind w:firstLine="284"/>
        <w:rPr>
          <w:sz w:val="28"/>
          <w:szCs w:val="28"/>
        </w:rPr>
      </w:pPr>
      <w:r>
        <w:rPr>
          <w:sz w:val="28"/>
          <w:szCs w:val="28"/>
        </w:rPr>
        <w:t>Nel primo infatti si legge che “la contrattazione aziendale o territoriale è prevista secondo le modalità e negli ambiti di applicazione che saranno definiti dal contratto nazionale di categoria”.</w:t>
      </w:r>
    </w:p>
    <w:p w:rsidR="00BD2278" w:rsidRDefault="00BD2278" w:rsidP="00FE4032">
      <w:pPr>
        <w:ind w:firstLine="284"/>
        <w:rPr>
          <w:sz w:val="28"/>
          <w:szCs w:val="28"/>
        </w:rPr>
      </w:pPr>
      <w:r>
        <w:rPr>
          <w:sz w:val="28"/>
          <w:szCs w:val="28"/>
        </w:rPr>
        <w:t>Da ciò si potrebbe ritenere che, quando il contratto di categoria non determina gli ambiti entro i quali debba limitarsi il contratto di secondo livello, questo possa avere la più ampia estensione.</w:t>
      </w:r>
    </w:p>
    <w:p w:rsidR="00BD2278" w:rsidRDefault="00BD2278" w:rsidP="00FE4032">
      <w:pPr>
        <w:ind w:firstLine="284"/>
        <w:rPr>
          <w:sz w:val="28"/>
          <w:szCs w:val="28"/>
        </w:rPr>
      </w:pPr>
      <w:r>
        <w:rPr>
          <w:sz w:val="28"/>
          <w:szCs w:val="28"/>
        </w:rPr>
        <w:t>Al contrario l’A.I., che pure contiene una clausola dal contenuto assimilabile a quello di cui al Protocollo del 1993 (“Il contratto nazionale di categoria definisce le modalità e gli ambiti di applicazione della contrattazione di secondo livello”), prevede espressamente che “la contrattazione collettiva di secondo livello si esercita per le materie delegate, in tutto o in parte, dal contratto collettivo nazionale di lavoro di categoria”.</w:t>
      </w:r>
    </w:p>
    <w:p w:rsidR="00BD2278" w:rsidRDefault="00BD2278" w:rsidP="00FE4032">
      <w:pPr>
        <w:ind w:firstLine="284"/>
        <w:rPr>
          <w:sz w:val="28"/>
          <w:szCs w:val="28"/>
        </w:rPr>
      </w:pPr>
      <w:r>
        <w:rPr>
          <w:sz w:val="28"/>
          <w:szCs w:val="28"/>
        </w:rPr>
        <w:t>Dalla ambigua formulazione utilizzata dalle parti nell’A.I. del 2009, si può dedurre che la contrattazione di secondo livello deve essere esercitata solo per le materie espressamente delegate. In effetti una parte della dottrina ha ritenuto che nel passaggio dalla regolamentazione degli assetti contrattuali dettata nel 1993 a quella del A.I. del 2009 vi sia stata una riduzione dello spazio della contrattazione di secondo livello</w:t>
      </w:r>
      <w:r>
        <w:rPr>
          <w:rStyle w:val="FootnoteReference"/>
          <w:sz w:val="28"/>
          <w:szCs w:val="28"/>
        </w:rPr>
        <w:footnoteReference w:id="159"/>
      </w:r>
      <w:r>
        <w:rPr>
          <w:sz w:val="28"/>
          <w:szCs w:val="28"/>
        </w:rPr>
        <w:t>, anche se questo contrasterebbe con la volontà dichiarata di incentivarne la diffusione.</w:t>
      </w:r>
    </w:p>
    <w:p w:rsidR="00BD2278" w:rsidRDefault="00BD2278" w:rsidP="00FE4032">
      <w:pPr>
        <w:ind w:firstLine="284"/>
        <w:rPr>
          <w:sz w:val="28"/>
          <w:szCs w:val="28"/>
        </w:rPr>
      </w:pPr>
      <w:r>
        <w:rPr>
          <w:sz w:val="28"/>
          <w:szCs w:val="28"/>
        </w:rPr>
        <w:t>La funzione del contratto nazionale è quella di “garantire la certezza dei trattamenti economici e normativi comuni per tutti i lavoratori del settore ovunque impiegati nel territorio nazionale”.</w:t>
      </w:r>
    </w:p>
    <w:p w:rsidR="00BD2278" w:rsidRDefault="00BD2278" w:rsidP="00FE4032">
      <w:pPr>
        <w:ind w:firstLine="284"/>
        <w:rPr>
          <w:sz w:val="28"/>
          <w:szCs w:val="28"/>
        </w:rPr>
      </w:pPr>
      <w:r>
        <w:rPr>
          <w:sz w:val="28"/>
          <w:szCs w:val="28"/>
        </w:rPr>
        <w:t>Ciò comporta la fissazione nel contratto nazionale dei minimi tabellari, dell’indennità di anzianità e di ogni altra indennità spettante ai lavoratori.</w:t>
      </w:r>
    </w:p>
    <w:p w:rsidR="00BD2278" w:rsidRDefault="00BD2278" w:rsidP="00FE4032">
      <w:pPr>
        <w:ind w:firstLine="284"/>
        <w:rPr>
          <w:sz w:val="28"/>
          <w:szCs w:val="28"/>
        </w:rPr>
      </w:pPr>
      <w:r>
        <w:rPr>
          <w:sz w:val="28"/>
          <w:szCs w:val="28"/>
        </w:rPr>
        <w:t>Ai fini della determinazione del trattamento economico in sede di rinnovo e del recupero del potere di acquisto dei salari reali, l’A.I. indica quale strumento il nuovo indice previsionale costruito sulla base dell’IPCA (indice dei prezzi al consumo armonizzato in ambito europeo).</w:t>
      </w:r>
    </w:p>
    <w:p w:rsidR="00BD2278" w:rsidRDefault="00BD2278" w:rsidP="00FE4032">
      <w:pPr>
        <w:ind w:firstLine="284"/>
        <w:rPr>
          <w:sz w:val="28"/>
          <w:szCs w:val="28"/>
        </w:rPr>
      </w:pPr>
      <w:r>
        <w:rPr>
          <w:sz w:val="28"/>
          <w:szCs w:val="28"/>
        </w:rPr>
        <w:t>Il mutamento rispetto al Protocollo del 1993 può sembrare di poco momento, in quanto si è semplicemente sostituito l’indice IPCA ai tassi di inflazione programmata.</w:t>
      </w:r>
    </w:p>
    <w:p w:rsidR="00BD2278" w:rsidRDefault="00BD2278" w:rsidP="00FE4032">
      <w:pPr>
        <w:ind w:firstLine="284"/>
        <w:rPr>
          <w:sz w:val="28"/>
          <w:szCs w:val="28"/>
        </w:rPr>
      </w:pPr>
      <w:r>
        <w:rPr>
          <w:sz w:val="28"/>
          <w:szCs w:val="28"/>
        </w:rPr>
        <w:t>In realtà la novità è rilevante e, a parere di alcuni, costituisce la resa ad una modalità di contrattazione fondata sui meri rapporti di forza</w:t>
      </w:r>
      <w:r>
        <w:rPr>
          <w:rStyle w:val="FootnoteReference"/>
          <w:sz w:val="28"/>
          <w:szCs w:val="28"/>
        </w:rPr>
        <w:footnoteReference w:id="160"/>
      </w:r>
      <w:r>
        <w:rPr>
          <w:sz w:val="28"/>
          <w:szCs w:val="28"/>
        </w:rPr>
        <w:t>. Ciò in quanto si sostituisce alla concertazione sugli obiettivi comuni, che avrebbero dovuto portare alla determinazione del tasso di inflazione programmata, la delega ad un “soggetto terzo di riconosciuta autorevolezza ed affidabilità</w:t>
      </w:r>
      <w:r>
        <w:rPr>
          <w:rStyle w:val="FootnoteReference"/>
          <w:sz w:val="28"/>
          <w:szCs w:val="28"/>
        </w:rPr>
        <w:footnoteReference w:id="161"/>
      </w:r>
      <w:r>
        <w:rPr>
          <w:sz w:val="28"/>
          <w:szCs w:val="28"/>
        </w:rPr>
        <w:t xml:space="preserve"> sulla base di una specifica lettera di incarico”, della funzione di determinazione dell’indicatore.</w:t>
      </w:r>
    </w:p>
    <w:p w:rsidR="00BD2278" w:rsidRDefault="00BD2278" w:rsidP="00FE4032">
      <w:pPr>
        <w:ind w:firstLine="284"/>
        <w:rPr>
          <w:sz w:val="28"/>
          <w:szCs w:val="28"/>
        </w:rPr>
      </w:pPr>
      <w:r>
        <w:rPr>
          <w:sz w:val="28"/>
          <w:szCs w:val="28"/>
        </w:rPr>
        <w:t>Se da un lato si tenta di oggettivizzare la valutazione sul tasso di inflazione</w:t>
      </w:r>
      <w:r>
        <w:rPr>
          <w:rStyle w:val="FootnoteReference"/>
          <w:sz w:val="28"/>
          <w:szCs w:val="28"/>
        </w:rPr>
        <w:footnoteReference w:id="162"/>
      </w:r>
      <w:r>
        <w:rPr>
          <w:sz w:val="28"/>
          <w:szCs w:val="28"/>
        </w:rPr>
        <w:t>, dall’altro si accantona il sistema concertativo a favore della libera negoziazione. Si è così sancito il passaggio, già avvenuto nei fatti, da una contrattazione collettiva virtuosa ad una portata avanti coi muscoli.</w:t>
      </w:r>
    </w:p>
    <w:p w:rsidR="00BD2278" w:rsidRDefault="00BD2278" w:rsidP="00FE4032">
      <w:pPr>
        <w:ind w:firstLine="284"/>
        <w:rPr>
          <w:sz w:val="28"/>
          <w:szCs w:val="28"/>
        </w:rPr>
      </w:pPr>
      <w:r>
        <w:rPr>
          <w:sz w:val="28"/>
          <w:szCs w:val="28"/>
        </w:rPr>
        <w:t>L’indice IPCA costituisce la base di calcolo di due operazioni: quella di adeguamento dei salari in occasione dei rinnovi e quella di recupero del potere di acquisto dei salari reali in caso di scostamento significativo tra l’inflazione prevista e quella effettivamente osservata, attraverso la modifica dei minimi, piuttosto che con una autonoma voce come avveniva in passato.</w:t>
      </w:r>
    </w:p>
    <w:p w:rsidR="00BD2278" w:rsidRDefault="00BD2278" w:rsidP="00FE4032">
      <w:pPr>
        <w:ind w:firstLine="284"/>
        <w:rPr>
          <w:sz w:val="28"/>
          <w:szCs w:val="28"/>
        </w:rPr>
      </w:pPr>
      <w:r>
        <w:rPr>
          <w:sz w:val="28"/>
          <w:szCs w:val="28"/>
        </w:rPr>
        <w:t>Quest’ultima verifica si rende necessaria a causa della durata triennale del contratto collettivo, sia per la parte normativa sia economica senza previsione di rinnovo di quest’ultima, a differenza di quanto avveniva in forza del Protocollo del 1993 dove era previsto che il ccnl avesse durata di quattro anni con rinnovo biennale della parte economica.</w:t>
      </w:r>
    </w:p>
    <w:p w:rsidR="00BD2278" w:rsidRDefault="00BD2278" w:rsidP="00FE4032">
      <w:pPr>
        <w:ind w:firstLine="284"/>
        <w:rPr>
          <w:sz w:val="28"/>
          <w:szCs w:val="28"/>
        </w:rPr>
      </w:pPr>
      <w:r>
        <w:rPr>
          <w:sz w:val="28"/>
          <w:szCs w:val="28"/>
        </w:rPr>
        <w:t>La scelta di rivedere il termine di efficacia del ccnl è coerente con le indicazione della Commissione Giugni per la verifica del Protocollo</w:t>
      </w:r>
      <w:r>
        <w:rPr>
          <w:rStyle w:val="FootnoteReference"/>
          <w:sz w:val="28"/>
          <w:szCs w:val="28"/>
        </w:rPr>
        <w:footnoteReference w:id="163"/>
      </w:r>
      <w:r>
        <w:rPr>
          <w:sz w:val="28"/>
          <w:szCs w:val="28"/>
        </w:rPr>
        <w:t xml:space="preserve">. Nella relazione finale è stata suggerita l’opportunità del superamento dello sdoppiamento delle scadenze del ccnl (quadriennale per la parte normativa e biennale per la parte economica) e la conseguente sovrapposizione dei cicli negoziali. Le soluzioni proposte erano due: da un lato l’abolizione del rinnovo biennale e la sostituzione con un adeguamento annuale o con una durata quadriennale dell’intero ccnl. La prima soluzione avrebbe avuto il vantaggio di permetter un migliore assorbimento degli </w:t>
      </w:r>
      <w:r>
        <w:rPr>
          <w:i/>
          <w:sz w:val="28"/>
          <w:szCs w:val="28"/>
        </w:rPr>
        <w:t xml:space="preserve">shock </w:t>
      </w:r>
      <w:r>
        <w:rPr>
          <w:sz w:val="28"/>
          <w:szCs w:val="28"/>
        </w:rPr>
        <w:t>inflazionistici ma lo svantaggio di comportare alti costi di negoziazione e soprattutto di portare al blocco della contrattazione decentrata. L’allungamento della durata dell’intero contratto aveva invece il vantaggio di risolvere il problema della maggiore difficoltà della distribuzione della produttività in assenza di una idonea diffusione della contrattazione aziendale e dell’assenza di un meccanismo di tutela in caso di scostamenti rilevanti tra l’inflazione programmata e quella registrata. La scelta delle parti è caduta su quest’ultima possibilità sia pure con una durata triennale degli accordi, e non quadriennale come suggerito dalla Commissione. I due problemi sono stati risolti attraverso misure promozionali della contrattazione di secondo livello e, per quanto riguarda gli scostamenti rilevanti, attraverso il monitoraggio dell’andamento dei prezzi al consumo da parte del soggetto preposto alla elaborazione dell’indice previsionale.</w:t>
      </w:r>
    </w:p>
    <w:p w:rsidR="00BD2278" w:rsidRDefault="00BD2278" w:rsidP="00FE4032">
      <w:pPr>
        <w:ind w:firstLine="284"/>
        <w:rPr>
          <w:sz w:val="28"/>
          <w:szCs w:val="28"/>
        </w:rPr>
      </w:pPr>
      <w:r>
        <w:rPr>
          <w:sz w:val="28"/>
          <w:szCs w:val="28"/>
        </w:rPr>
        <w:t>Tale soggetto si limita a verificare eventuali scostamenti tra l’inflazione prevista e quella osservata, il cui recupero, in termini di aumento dei minimi, è previsto solo in caso di significatività della differenza.</w:t>
      </w:r>
    </w:p>
    <w:p w:rsidR="00BD2278" w:rsidRDefault="00BD2278" w:rsidP="00FE4032">
      <w:pPr>
        <w:ind w:firstLine="284"/>
        <w:rPr>
          <w:sz w:val="28"/>
          <w:szCs w:val="28"/>
        </w:rPr>
      </w:pPr>
      <w:r>
        <w:rPr>
          <w:sz w:val="28"/>
          <w:szCs w:val="28"/>
        </w:rPr>
        <w:t>Il soggetto cui L’A.I. rimette la valutazione della significatività dello scostamento è un Comitato paritetico costituito a livello interconfederale.</w:t>
      </w:r>
    </w:p>
    <w:p w:rsidR="00BD2278" w:rsidRDefault="00BD2278" w:rsidP="00FE4032">
      <w:pPr>
        <w:ind w:firstLine="284"/>
        <w:rPr>
          <w:sz w:val="28"/>
          <w:szCs w:val="28"/>
        </w:rPr>
      </w:pPr>
      <w:r>
        <w:rPr>
          <w:sz w:val="28"/>
          <w:szCs w:val="28"/>
        </w:rPr>
        <w:t>Non è specificato invece il criterio per stabilire il grado di significatività dello scostamento, che sembra destinato ad essere governato dal solito sistema dei rapporti di forza</w:t>
      </w:r>
      <w:r>
        <w:rPr>
          <w:rStyle w:val="FootnoteReference"/>
          <w:sz w:val="28"/>
          <w:szCs w:val="28"/>
        </w:rPr>
        <w:footnoteReference w:id="164"/>
      </w:r>
      <w:r>
        <w:rPr>
          <w:sz w:val="28"/>
          <w:szCs w:val="28"/>
        </w:rPr>
        <w:t>, cui è rimessa anche la determinazione dell’altro fattore di calcolo dei salari in occasione dei rinnovi, ovvero la retribuzione alla quale applicare l’indice IPCA.</w:t>
      </w:r>
    </w:p>
    <w:p w:rsidR="00BD2278" w:rsidRDefault="00BD2278" w:rsidP="00FE4032">
      <w:pPr>
        <w:ind w:firstLine="284"/>
        <w:rPr>
          <w:sz w:val="28"/>
          <w:szCs w:val="28"/>
        </w:rPr>
      </w:pPr>
      <w:r>
        <w:rPr>
          <w:sz w:val="28"/>
          <w:szCs w:val="28"/>
        </w:rPr>
        <w:t>L’A.I. prevede infatti che “le parti stipulanti applicheranno il nuovo indice previsionale ad un valore retributivo medio assunto quale base di computo composto dai minimi tabellari, dal valore degli aumenti periodici di anzianità considerata l’anzianità media di settore e dalle altre eventuali indennità in cifra fissa stabilite dallo stesso contratto collettivo nazionale di lavoro di categoria”.</w:t>
      </w:r>
    </w:p>
    <w:p w:rsidR="00BD2278" w:rsidRDefault="00BD2278" w:rsidP="00FE4032">
      <w:pPr>
        <w:ind w:firstLine="284"/>
        <w:rPr>
          <w:sz w:val="28"/>
          <w:szCs w:val="28"/>
        </w:rPr>
      </w:pPr>
      <w:r>
        <w:rPr>
          <w:sz w:val="28"/>
          <w:szCs w:val="28"/>
        </w:rPr>
        <w:t>E’ facile prevedere che sul fattore al quale applicare l’indice si concentreranno gli scontri in occasione dei rinnovi.</w:t>
      </w:r>
    </w:p>
    <w:p w:rsidR="00BD2278" w:rsidRPr="00C316CE" w:rsidRDefault="00BD2278" w:rsidP="00FE4032">
      <w:pPr>
        <w:ind w:firstLine="284"/>
        <w:rPr>
          <w:sz w:val="28"/>
          <w:szCs w:val="28"/>
        </w:rPr>
      </w:pPr>
      <w:r>
        <w:rPr>
          <w:sz w:val="28"/>
          <w:szCs w:val="28"/>
        </w:rPr>
        <w:t>Sull’indice IPCA si sono appuntate le maggiori polemiche</w:t>
      </w:r>
      <w:r>
        <w:rPr>
          <w:rStyle w:val="FootnoteReference"/>
          <w:sz w:val="28"/>
          <w:szCs w:val="28"/>
        </w:rPr>
        <w:footnoteReference w:id="165"/>
      </w:r>
      <w:r>
        <w:rPr>
          <w:sz w:val="28"/>
          <w:szCs w:val="28"/>
        </w:rPr>
        <w:t xml:space="preserve"> ed i criteri della sua elaborazione hanno costituito uno dei motivi per cui l’A.Q. non è stato sottoscritto dalla CGIL.</w:t>
      </w:r>
    </w:p>
    <w:p w:rsidR="00BD2278" w:rsidRDefault="00BD2278" w:rsidP="00FE4032">
      <w:pPr>
        <w:ind w:firstLine="284"/>
        <w:rPr>
          <w:sz w:val="28"/>
          <w:szCs w:val="28"/>
        </w:rPr>
      </w:pPr>
      <w:r>
        <w:rPr>
          <w:sz w:val="28"/>
          <w:szCs w:val="28"/>
        </w:rPr>
        <w:t>Le critiche mosse sono classificabili in due categorie.</w:t>
      </w:r>
    </w:p>
    <w:p w:rsidR="00BD2278" w:rsidRDefault="00BD2278" w:rsidP="00FE4032">
      <w:pPr>
        <w:ind w:firstLine="284"/>
        <w:rPr>
          <w:sz w:val="28"/>
          <w:szCs w:val="28"/>
        </w:rPr>
      </w:pPr>
      <w:r>
        <w:rPr>
          <w:sz w:val="28"/>
          <w:szCs w:val="28"/>
        </w:rPr>
        <w:t>Da una parte quelle metodologiche, in precedenza affrontate, per cui attraverso il carattere pregnante che esso riveste nella negoziazione della parte economica del contratto collettivo in occasione dei rinnovi, si realizzerebbe una sostanziale indicizzazione di salari.</w:t>
      </w:r>
    </w:p>
    <w:p w:rsidR="00BD2278" w:rsidRDefault="00BD2278" w:rsidP="00FE4032">
      <w:pPr>
        <w:ind w:firstLine="284"/>
        <w:rPr>
          <w:sz w:val="28"/>
          <w:szCs w:val="28"/>
        </w:rPr>
      </w:pPr>
      <w:r>
        <w:rPr>
          <w:sz w:val="28"/>
          <w:szCs w:val="28"/>
        </w:rPr>
        <w:t>Dall’altra quelle relative all’inidoneità dell’indicatore basato sull’indice IPCA “depurato dalla dinamica dei prezzi dei beni energetici importati”, a garantire un effettivo mantenimento del potere di acquisto dei salari reali</w:t>
      </w:r>
      <w:r>
        <w:rPr>
          <w:rStyle w:val="FootnoteReference"/>
          <w:sz w:val="28"/>
          <w:szCs w:val="28"/>
        </w:rPr>
        <w:footnoteReference w:id="166"/>
      </w:r>
      <w:r>
        <w:rPr>
          <w:sz w:val="28"/>
          <w:szCs w:val="28"/>
        </w:rPr>
        <w:t>.</w:t>
      </w:r>
    </w:p>
    <w:p w:rsidR="00BD2278" w:rsidRDefault="00BD2278" w:rsidP="00FE4032">
      <w:pPr>
        <w:ind w:firstLine="284"/>
        <w:rPr>
          <w:sz w:val="28"/>
          <w:szCs w:val="28"/>
        </w:rPr>
      </w:pPr>
      <w:r>
        <w:rPr>
          <w:sz w:val="28"/>
          <w:szCs w:val="28"/>
        </w:rPr>
        <w:t>Da quest’ultimo punto di vista, l’opposizione più intensa si è concentrata sulla scelta convenzionale di escludere dal calcolo dell’indice i prezzi dei beni energetici importati. Non sempre tuttavia essa è apparsa sostenuta da stringenti argomentazioni scientifiche.</w:t>
      </w:r>
    </w:p>
    <w:p w:rsidR="00BD2278" w:rsidRDefault="00BD2278" w:rsidP="00FE4032">
      <w:pPr>
        <w:ind w:firstLine="284"/>
        <w:rPr>
          <w:sz w:val="28"/>
          <w:szCs w:val="28"/>
        </w:rPr>
      </w:pPr>
      <w:r>
        <w:rPr>
          <w:sz w:val="28"/>
          <w:szCs w:val="28"/>
        </w:rPr>
        <w:t>Pertanto pare opportuna qualche puntualizzazione in argomento.</w:t>
      </w:r>
    </w:p>
    <w:p w:rsidR="00BD2278" w:rsidRDefault="00BD2278" w:rsidP="00FE4032">
      <w:pPr>
        <w:autoSpaceDE w:val="0"/>
        <w:autoSpaceDN w:val="0"/>
        <w:adjustRightInd w:val="0"/>
        <w:ind w:firstLine="284"/>
        <w:rPr>
          <w:sz w:val="28"/>
          <w:szCs w:val="28"/>
        </w:rPr>
      </w:pPr>
      <w:r>
        <w:rPr>
          <w:sz w:val="28"/>
          <w:szCs w:val="28"/>
        </w:rPr>
        <w:t>Le motivazioni della esclusione dei prezzi energetici dal calcolo dell’indicatore sul quale parametrare gli adeguamenti retributivi in occasione dei rinnovi contrattuali e gli adeguamenti dei minimi in caso di scostamenti significativi tra l’inflazione prevista e quella osservata, risiedono nella scelta di evitare che la rincorsa dei salari al costo dei beni del paniere, sia condizionata da fattori estranei alle scelte di politica economica, quali quelli relativi alla fissazione dei prezzi dei beni energetici da parte dei paesi produttori che influiscono sul prezzo finale dei beni di consumo.</w:t>
      </w:r>
    </w:p>
    <w:p w:rsidR="00BD2278" w:rsidRDefault="00BD2278" w:rsidP="00FE4032">
      <w:pPr>
        <w:autoSpaceDE w:val="0"/>
        <w:autoSpaceDN w:val="0"/>
        <w:adjustRightInd w:val="0"/>
        <w:ind w:firstLine="284"/>
        <w:rPr>
          <w:sz w:val="28"/>
          <w:szCs w:val="28"/>
        </w:rPr>
      </w:pPr>
      <w:r>
        <w:rPr>
          <w:sz w:val="28"/>
          <w:szCs w:val="28"/>
        </w:rPr>
        <w:t xml:space="preserve">In altri termini osservato il picco inflazionistico che si è verificato nel 2008 e ritenuto che esso fosse stato determinato da ragioni esogene rispetto alle scelte economiche delle imprese, </w:t>
      </w:r>
      <w:r w:rsidRPr="00B3113B">
        <w:rPr>
          <w:sz w:val="28"/>
          <w:szCs w:val="28"/>
        </w:rPr>
        <w:t xml:space="preserve">si è ritenuto di evitare che shock </w:t>
      </w:r>
      <w:r>
        <w:rPr>
          <w:sz w:val="28"/>
          <w:szCs w:val="28"/>
        </w:rPr>
        <w:t>temporanei,</w:t>
      </w:r>
      <w:r w:rsidRPr="00B3113B">
        <w:rPr>
          <w:sz w:val="28"/>
          <w:szCs w:val="28"/>
        </w:rPr>
        <w:t xml:space="preserve"> come quell</w:t>
      </w:r>
      <w:r>
        <w:rPr>
          <w:sz w:val="28"/>
          <w:szCs w:val="28"/>
        </w:rPr>
        <w:t>o</w:t>
      </w:r>
      <w:r w:rsidRPr="00B3113B">
        <w:rPr>
          <w:sz w:val="28"/>
          <w:szCs w:val="28"/>
        </w:rPr>
        <w:t xml:space="preserve"> </w:t>
      </w:r>
      <w:r>
        <w:rPr>
          <w:sz w:val="28"/>
          <w:szCs w:val="28"/>
        </w:rPr>
        <w:t>in questione</w:t>
      </w:r>
      <w:r w:rsidRPr="00B3113B">
        <w:rPr>
          <w:sz w:val="28"/>
          <w:szCs w:val="28"/>
        </w:rPr>
        <w:t xml:space="preserve">, </w:t>
      </w:r>
      <w:r>
        <w:rPr>
          <w:sz w:val="28"/>
          <w:szCs w:val="28"/>
        </w:rPr>
        <w:t>“</w:t>
      </w:r>
      <w:r w:rsidRPr="00B3113B">
        <w:rPr>
          <w:sz w:val="28"/>
          <w:szCs w:val="28"/>
        </w:rPr>
        <w:t>si perpetuino e propaghino l’inflazione attraverso una rincorsa delle retribuzioni a recuperare il potere d’acquisto perduto a favore non di altri redditi italiani ma del reddito dei Paesi produttori di beni energetici. Questa eco inflazionistica si tradurrebbe in dannosa perdita di competitività, giacché negli altri Paesi tale rincorsa non avverrebbe e l’inflazione rientrerebbe in fretta, e senza nessun vantaggio reale per le buste paga ma anzi con una minore occupazione</w:t>
      </w:r>
      <w:r>
        <w:rPr>
          <w:sz w:val="28"/>
          <w:szCs w:val="28"/>
        </w:rPr>
        <w:t>”</w:t>
      </w:r>
      <w:r w:rsidRPr="007F3519">
        <w:rPr>
          <w:rStyle w:val="FootnoteReference"/>
          <w:sz w:val="28"/>
          <w:szCs w:val="28"/>
        </w:rPr>
        <w:t xml:space="preserve"> </w:t>
      </w:r>
      <w:r>
        <w:rPr>
          <w:rStyle w:val="FootnoteReference"/>
          <w:sz w:val="28"/>
          <w:szCs w:val="28"/>
        </w:rPr>
        <w:footnoteReference w:id="167"/>
      </w:r>
      <w:r w:rsidRPr="00B3113B">
        <w:rPr>
          <w:sz w:val="28"/>
          <w:szCs w:val="28"/>
        </w:rPr>
        <w:t>.</w:t>
      </w:r>
    </w:p>
    <w:p w:rsidR="00BD2278" w:rsidRDefault="00BD2278" w:rsidP="00FE4032">
      <w:pPr>
        <w:autoSpaceDE w:val="0"/>
        <w:autoSpaceDN w:val="0"/>
        <w:adjustRightInd w:val="0"/>
        <w:ind w:firstLine="284"/>
        <w:rPr>
          <w:sz w:val="28"/>
          <w:szCs w:val="28"/>
        </w:rPr>
      </w:pPr>
      <w:r>
        <w:rPr>
          <w:noProof/>
          <w:lang w:eastAsia="it-IT"/>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magine 0" o:spid="_x0000_s1026" type="#_x0000_t75" alt="Inflazione gobba 2008.png" style="position:absolute;left:0;text-align:left;margin-left:0;margin-top:0;width:345.15pt;height:230.65pt;z-index:251658240;visibility:visible;mso-position-horizontal:center;mso-position-horizontal-relative:margin;mso-position-vertical:top;mso-position-vertical-relative:margin">
            <v:imagedata r:id="rId7" o:title=""/>
            <w10:wrap type="square" anchorx="margin" anchory="margin"/>
          </v:shape>
        </w:pict>
      </w:r>
    </w:p>
    <w:p w:rsidR="00BD2278" w:rsidRDefault="00BD2278" w:rsidP="00FE4032">
      <w:pPr>
        <w:autoSpaceDE w:val="0"/>
        <w:autoSpaceDN w:val="0"/>
        <w:adjustRightInd w:val="0"/>
        <w:ind w:firstLine="284"/>
        <w:rPr>
          <w:sz w:val="28"/>
          <w:szCs w:val="28"/>
        </w:rPr>
      </w:pPr>
      <w:r>
        <w:rPr>
          <w:sz w:val="28"/>
          <w:szCs w:val="28"/>
        </w:rPr>
        <w:tab/>
      </w:r>
    </w:p>
    <w:p w:rsidR="00BD2278" w:rsidRDefault="00BD2278" w:rsidP="00FE4032">
      <w:pPr>
        <w:autoSpaceDE w:val="0"/>
        <w:autoSpaceDN w:val="0"/>
        <w:adjustRightInd w:val="0"/>
        <w:ind w:firstLine="284"/>
        <w:rPr>
          <w:sz w:val="28"/>
          <w:szCs w:val="28"/>
        </w:rPr>
      </w:pPr>
      <w:r>
        <w:rPr>
          <w:sz w:val="28"/>
          <w:szCs w:val="28"/>
        </w:rPr>
        <w:t>Si è osservato che in alcuni casi la depurazione del prezzo degli energetici dal calcolo dell’indicatore usato per l’adeguamento delle retribuzioni, può addirittura comportare per i lavoratori il beneficio dell’aumento dei livelli retribuivi con un tasso superiore a quello effettivo di crescita dei prezzi, quale conseguenza del fenomeno, come avvenuto nel 2009, della caduta delle quotazioni del petrolio in misura proporzionalmente superiore al tasso di inflazione</w:t>
      </w:r>
      <w:r>
        <w:rPr>
          <w:rStyle w:val="FootnoteReference"/>
          <w:sz w:val="28"/>
          <w:szCs w:val="28"/>
        </w:rPr>
        <w:footnoteReference w:id="168"/>
      </w:r>
      <w:r>
        <w:rPr>
          <w:sz w:val="28"/>
          <w:szCs w:val="28"/>
        </w:rPr>
        <w:t>.</w:t>
      </w:r>
    </w:p>
    <w:p w:rsidR="00BD2278" w:rsidRDefault="00BD2278" w:rsidP="00FE4032">
      <w:pPr>
        <w:autoSpaceDE w:val="0"/>
        <w:autoSpaceDN w:val="0"/>
        <w:adjustRightInd w:val="0"/>
        <w:ind w:firstLine="284"/>
        <w:rPr>
          <w:sz w:val="28"/>
          <w:szCs w:val="28"/>
        </w:rPr>
      </w:pPr>
      <w:r>
        <w:rPr>
          <w:sz w:val="28"/>
          <w:szCs w:val="28"/>
        </w:rPr>
        <w:t>Si è ritenuto che il verificarsi di questa eventualità possa essere il frutto di un errore di valutazione della rappresentanza di parte datoriale delle conseguenze dell’adozione di un indicatore basato sull’IPCA depurato, oppure l’oggetto di una concessione</w:t>
      </w:r>
      <w:r>
        <w:rPr>
          <w:rStyle w:val="FootnoteReference"/>
          <w:sz w:val="28"/>
          <w:szCs w:val="28"/>
        </w:rPr>
        <w:footnoteReference w:id="169"/>
      </w:r>
      <w:r>
        <w:rPr>
          <w:sz w:val="28"/>
          <w:szCs w:val="28"/>
        </w:rPr>
        <w:t>.</w:t>
      </w:r>
    </w:p>
    <w:p w:rsidR="00BD2278" w:rsidRDefault="00BD2278" w:rsidP="00FE4032">
      <w:pPr>
        <w:autoSpaceDE w:val="0"/>
        <w:autoSpaceDN w:val="0"/>
        <w:adjustRightInd w:val="0"/>
        <w:ind w:firstLine="284"/>
        <w:rPr>
          <w:sz w:val="28"/>
          <w:szCs w:val="28"/>
        </w:rPr>
      </w:pPr>
      <w:r>
        <w:rPr>
          <w:sz w:val="28"/>
          <w:szCs w:val="28"/>
        </w:rPr>
        <w:t>Sulla base di alcuni recenti studi</w:t>
      </w:r>
      <w:r>
        <w:rPr>
          <w:rStyle w:val="FootnoteReference"/>
          <w:sz w:val="28"/>
          <w:szCs w:val="28"/>
        </w:rPr>
        <w:footnoteReference w:id="170"/>
      </w:r>
      <w:r>
        <w:rPr>
          <w:sz w:val="28"/>
          <w:szCs w:val="28"/>
        </w:rPr>
        <w:t xml:space="preserve"> si potrebbe essere indotti a pensare che non si tratti né del frutto di un errore di valutazione, né tantomeno di una concessione bensì di un possibile sacrificio, peraltro neanche facile a verificarsi nuovamente, che le imprese sono state disposte a pagare in cambio dei benefici che esse trarranno dall’adozione dell’indicatore suddetto.</w:t>
      </w:r>
    </w:p>
    <w:p w:rsidR="00BD2278" w:rsidRDefault="00BD2278" w:rsidP="00FE4032">
      <w:pPr>
        <w:autoSpaceDE w:val="0"/>
        <w:autoSpaceDN w:val="0"/>
        <w:adjustRightInd w:val="0"/>
        <w:ind w:firstLine="284"/>
        <w:rPr>
          <w:sz w:val="28"/>
          <w:szCs w:val="28"/>
        </w:rPr>
      </w:pPr>
      <w:r>
        <w:rPr>
          <w:sz w:val="28"/>
          <w:szCs w:val="28"/>
        </w:rPr>
        <w:t>Gli stessi studi lamentano una inadeguatezza dell’indicatore  su base IPCA perché quest’ultimo comprende esclusivamente gli affitti effettivi, che riguardano solo il 17,2% delle famiglie, e non quelli figurativi che invece incidono sul patrimonio dei proprietari (o beneficiari di un diritto reale di godimento) degli immobili adibiti ad uso abitativo che sono l’82,8%.</w:t>
      </w:r>
    </w:p>
    <w:p w:rsidR="00BD2278" w:rsidRDefault="00BD2278" w:rsidP="00FE4032">
      <w:pPr>
        <w:autoSpaceDE w:val="0"/>
        <w:autoSpaceDN w:val="0"/>
        <w:adjustRightInd w:val="0"/>
        <w:ind w:firstLine="284"/>
        <w:rPr>
          <w:b/>
          <w:sz w:val="28"/>
          <w:szCs w:val="28"/>
        </w:rPr>
      </w:pPr>
      <w:r>
        <w:rPr>
          <w:sz w:val="28"/>
          <w:szCs w:val="28"/>
        </w:rPr>
        <w:t>Infine l’indicatore utilizzato nell’A.I. del 2009 è contestato perché le modalità di calcolo escludono dal paniere dell’IPCA beni il cui costo incide maggiormente sui consumi dei percettori di salari medio-bassi.</w:t>
      </w:r>
    </w:p>
    <w:p w:rsidR="00BD2278" w:rsidRDefault="00BD2278" w:rsidP="00FE4032">
      <w:pPr>
        <w:pStyle w:val="ListParagraph"/>
        <w:ind w:left="1440" w:firstLine="284"/>
        <w:rPr>
          <w:b/>
          <w:sz w:val="28"/>
          <w:szCs w:val="28"/>
        </w:rPr>
      </w:pPr>
    </w:p>
    <w:p w:rsidR="00BD2278" w:rsidRDefault="00BD2278" w:rsidP="00FE4032">
      <w:pPr>
        <w:pStyle w:val="ListParagraph"/>
        <w:ind w:left="1440" w:firstLine="284"/>
        <w:rPr>
          <w:b/>
          <w:sz w:val="28"/>
          <w:szCs w:val="28"/>
        </w:rPr>
      </w:pPr>
    </w:p>
    <w:p w:rsidR="00BD2278" w:rsidRPr="00CE7F46" w:rsidRDefault="00BD2278" w:rsidP="00075EBB">
      <w:pPr>
        <w:pStyle w:val="ListParagraph"/>
        <w:numPr>
          <w:ilvl w:val="0"/>
          <w:numId w:val="26"/>
        </w:numPr>
        <w:autoSpaceDE w:val="0"/>
        <w:autoSpaceDN w:val="0"/>
        <w:adjustRightInd w:val="0"/>
        <w:ind w:left="720" w:hanging="436"/>
        <w:outlineLvl w:val="1"/>
        <w:rPr>
          <w:sz w:val="28"/>
          <w:szCs w:val="28"/>
        </w:rPr>
      </w:pPr>
      <w:bookmarkStart w:id="15" w:name="_Toc285266429"/>
      <w:r w:rsidRPr="009B00A7">
        <w:rPr>
          <w:rStyle w:val="TitoloparagrafoCarattere"/>
          <w:i/>
        </w:rPr>
        <w:t>La contrattazione di secondo livello. La contrattazione aziendale e il premio variabile</w:t>
      </w:r>
      <w:r w:rsidRPr="00CE7F46">
        <w:rPr>
          <w:sz w:val="28"/>
          <w:szCs w:val="28"/>
        </w:rPr>
        <w:t>.</w:t>
      </w:r>
      <w:bookmarkEnd w:id="15"/>
    </w:p>
    <w:p w:rsidR="00BD2278" w:rsidRPr="003C1290" w:rsidRDefault="00BD2278" w:rsidP="00FE4032">
      <w:pPr>
        <w:autoSpaceDE w:val="0"/>
        <w:autoSpaceDN w:val="0"/>
        <w:adjustRightInd w:val="0"/>
        <w:ind w:firstLine="284"/>
        <w:rPr>
          <w:sz w:val="28"/>
          <w:szCs w:val="28"/>
        </w:rPr>
      </w:pPr>
    </w:p>
    <w:p w:rsidR="00BD2278" w:rsidRDefault="00BD2278" w:rsidP="00FE4032">
      <w:pPr>
        <w:autoSpaceDE w:val="0"/>
        <w:autoSpaceDN w:val="0"/>
        <w:adjustRightInd w:val="0"/>
        <w:ind w:firstLine="284"/>
        <w:rPr>
          <w:sz w:val="28"/>
          <w:szCs w:val="28"/>
        </w:rPr>
      </w:pPr>
      <w:r>
        <w:rPr>
          <w:sz w:val="28"/>
          <w:szCs w:val="28"/>
        </w:rPr>
        <w:t>L</w:t>
      </w:r>
      <w:r w:rsidRPr="002C67DE">
        <w:rPr>
          <w:sz w:val="28"/>
          <w:szCs w:val="28"/>
        </w:rPr>
        <w:t xml:space="preserve">’idea che la competitività del sistema produttivo andasse perseguita attraverso una politica di adeguamento dei salari all’inflazione, </w:t>
      </w:r>
      <w:r>
        <w:rPr>
          <w:sz w:val="28"/>
          <w:szCs w:val="28"/>
        </w:rPr>
        <w:t>r</w:t>
      </w:r>
      <w:r w:rsidRPr="002C67DE">
        <w:rPr>
          <w:sz w:val="28"/>
          <w:szCs w:val="28"/>
        </w:rPr>
        <w:t>isale ai primi anni 80’</w:t>
      </w:r>
      <w:r>
        <w:rPr>
          <w:sz w:val="28"/>
          <w:szCs w:val="28"/>
        </w:rPr>
        <w:t xml:space="preserve"> ed è frutto di una nota scuola economica post-Keynesiana. In particolare, si riteneva opportuna la programmazione di un tasso di inflazione sul quale costruire la politica monetaria e salariale, vincolando gli aumenti delle retribuzioni oltre la soglia del tasso di inflazione alla condizione di un aumento della produttività, evitando spirali inflazionistiche e stimolando lo sviluppo tecnologico.</w:t>
      </w:r>
    </w:p>
    <w:p w:rsidR="00BD2278" w:rsidRDefault="00BD2278" w:rsidP="00FE4032">
      <w:pPr>
        <w:autoSpaceDE w:val="0"/>
        <w:autoSpaceDN w:val="0"/>
        <w:adjustRightInd w:val="0"/>
        <w:ind w:firstLine="284"/>
        <w:rPr>
          <w:sz w:val="28"/>
          <w:szCs w:val="28"/>
        </w:rPr>
      </w:pPr>
      <w:r>
        <w:rPr>
          <w:sz w:val="28"/>
          <w:szCs w:val="28"/>
        </w:rPr>
        <w:t xml:space="preserve"> La tesi fortemente riformista fu quella di ritenere che l’adeguamento dei salari all’inflazione potesse essere perseguita attraverso pratiche concertative da attuarsi a livello centrale, in occasione dei rinnovi dei contratti nazionali, piuttosto che attraverso sistemi di indicizzazione</w:t>
      </w:r>
      <w:r>
        <w:rPr>
          <w:rStyle w:val="FootnoteReference"/>
          <w:sz w:val="28"/>
          <w:szCs w:val="28"/>
        </w:rPr>
        <w:footnoteReference w:id="171"/>
      </w:r>
      <w:r>
        <w:rPr>
          <w:sz w:val="28"/>
          <w:szCs w:val="28"/>
        </w:rPr>
        <w:t>.</w:t>
      </w:r>
    </w:p>
    <w:p w:rsidR="00BD2278" w:rsidRDefault="00BD2278" w:rsidP="00FE4032">
      <w:pPr>
        <w:autoSpaceDE w:val="0"/>
        <w:autoSpaceDN w:val="0"/>
        <w:adjustRightInd w:val="0"/>
        <w:ind w:firstLine="284"/>
        <w:rPr>
          <w:sz w:val="28"/>
          <w:szCs w:val="28"/>
        </w:rPr>
      </w:pPr>
      <w:r>
        <w:rPr>
          <w:sz w:val="28"/>
          <w:szCs w:val="28"/>
        </w:rPr>
        <w:t>In quest’ottica il livello nazionale assumeva la funzione di perno dell’intero sistema della contrattazione del settore privato, mentre alla contrattazione di secondo livello, ed in particolare al contratto aziendale, era delegata la funzione di redistribuzione della produttività.</w:t>
      </w:r>
    </w:p>
    <w:p w:rsidR="00BD2278" w:rsidRDefault="00BD2278" w:rsidP="00FE4032">
      <w:pPr>
        <w:autoSpaceDE w:val="0"/>
        <w:autoSpaceDN w:val="0"/>
        <w:adjustRightInd w:val="0"/>
        <w:ind w:firstLine="284"/>
        <w:rPr>
          <w:sz w:val="28"/>
          <w:szCs w:val="28"/>
        </w:rPr>
      </w:pPr>
      <w:r>
        <w:rPr>
          <w:sz w:val="28"/>
          <w:szCs w:val="28"/>
        </w:rPr>
        <w:t>Il compito di limitare le spinte inflazionistiche che, secondo le teorie keynesiane, sono la naturale conseguenza dell’aumento della domanda aggregata, sarebbe stato del Governo che avrebbe dovuto realizzarlo attraverso le politiche monetarie, anch’esse concertate con accordi triangolari per renderle efficaci attraverso il coordinamento con le politiche salariali.</w:t>
      </w:r>
    </w:p>
    <w:p w:rsidR="00BD2278" w:rsidRDefault="00BD2278" w:rsidP="00FE4032">
      <w:pPr>
        <w:autoSpaceDE w:val="0"/>
        <w:autoSpaceDN w:val="0"/>
        <w:adjustRightInd w:val="0"/>
        <w:ind w:firstLine="284"/>
        <w:rPr>
          <w:sz w:val="28"/>
          <w:szCs w:val="28"/>
        </w:rPr>
      </w:pPr>
      <w:r>
        <w:rPr>
          <w:sz w:val="28"/>
          <w:szCs w:val="28"/>
        </w:rPr>
        <w:t>Il Protocollo del 1993 era evidentemente e dichiaratamente ispirato a queste teorie. In esso infatti si è cercato di contemperare le esigenze di controllo centrale delle retribuzioni con le esigenze di flessibilità, delegando la contrattazione aziendale la determinazione delle erogazioni retributive legate ai risultati di produttività, attraverso un sistema di clausole di rinvio e c.d. di specializzazione</w:t>
      </w:r>
      <w:r>
        <w:rPr>
          <w:rStyle w:val="FootnoteReference"/>
          <w:sz w:val="28"/>
          <w:szCs w:val="28"/>
        </w:rPr>
        <w:footnoteReference w:id="172"/>
      </w:r>
      <w:r>
        <w:rPr>
          <w:sz w:val="28"/>
          <w:szCs w:val="28"/>
        </w:rPr>
        <w:t>.</w:t>
      </w:r>
    </w:p>
    <w:p w:rsidR="00BD2278" w:rsidRDefault="00BD2278" w:rsidP="00FE4032">
      <w:pPr>
        <w:autoSpaceDE w:val="0"/>
        <w:autoSpaceDN w:val="0"/>
        <w:adjustRightInd w:val="0"/>
        <w:ind w:firstLine="284"/>
        <w:rPr>
          <w:sz w:val="28"/>
          <w:szCs w:val="28"/>
        </w:rPr>
      </w:pPr>
      <w:r>
        <w:rPr>
          <w:sz w:val="28"/>
          <w:szCs w:val="28"/>
        </w:rPr>
        <w:t>Il punto di partenza per l’attuazione delle politiche monetarie e salariali, e dunque per l’azione del governo da un lato e delle parti sociali dall’altro, sarebbe stata l’inflazione programmata.</w:t>
      </w:r>
    </w:p>
    <w:p w:rsidR="00BD2278" w:rsidRDefault="00BD2278" w:rsidP="00FE4032">
      <w:pPr>
        <w:autoSpaceDE w:val="0"/>
        <w:autoSpaceDN w:val="0"/>
        <w:adjustRightInd w:val="0"/>
        <w:ind w:firstLine="284"/>
        <w:rPr>
          <w:sz w:val="28"/>
          <w:szCs w:val="28"/>
        </w:rPr>
      </w:pPr>
      <w:r>
        <w:rPr>
          <w:sz w:val="28"/>
          <w:szCs w:val="28"/>
        </w:rPr>
        <w:t>Come noto, lo strumento progettato con il Protocollo del 1993 si è dimostrato efficace a livello macro economico nel contenere la crescita del tasso di inflazione mantenendo i salari coerenti con i tassi programmati</w:t>
      </w:r>
      <w:r>
        <w:rPr>
          <w:rStyle w:val="FootnoteReference"/>
          <w:sz w:val="28"/>
          <w:szCs w:val="28"/>
        </w:rPr>
        <w:footnoteReference w:id="173"/>
      </w:r>
      <w:r>
        <w:rPr>
          <w:sz w:val="28"/>
          <w:szCs w:val="28"/>
        </w:rPr>
        <w:t>.</w:t>
      </w:r>
    </w:p>
    <w:p w:rsidR="00BD2278" w:rsidRDefault="00BD2278" w:rsidP="00FE4032">
      <w:pPr>
        <w:autoSpaceDE w:val="0"/>
        <w:autoSpaceDN w:val="0"/>
        <w:adjustRightInd w:val="0"/>
        <w:ind w:firstLine="284"/>
        <w:rPr>
          <w:sz w:val="28"/>
          <w:szCs w:val="28"/>
        </w:rPr>
      </w:pPr>
      <w:r>
        <w:rPr>
          <w:sz w:val="28"/>
          <w:szCs w:val="28"/>
        </w:rPr>
        <w:t>Tuttavia, a causa di una limitata diffusione della contrattazione di secondo livello, non si è realizzata la flessibilità del sistema auspicata dalle parti</w:t>
      </w:r>
      <w:r>
        <w:rPr>
          <w:rStyle w:val="FootnoteReference"/>
          <w:sz w:val="28"/>
          <w:szCs w:val="28"/>
        </w:rPr>
        <w:footnoteReference w:id="174"/>
      </w:r>
      <w:r>
        <w:rPr>
          <w:sz w:val="28"/>
          <w:szCs w:val="28"/>
        </w:rPr>
        <w:t>.</w:t>
      </w:r>
    </w:p>
    <w:p w:rsidR="00BD2278" w:rsidRPr="00456491" w:rsidRDefault="00BD2278" w:rsidP="00FE4032">
      <w:pPr>
        <w:ind w:firstLine="284"/>
        <w:rPr>
          <w:sz w:val="28"/>
          <w:szCs w:val="28"/>
        </w:rPr>
      </w:pPr>
      <w:r>
        <w:rPr>
          <w:sz w:val="28"/>
          <w:szCs w:val="28"/>
        </w:rPr>
        <w:t>Pertanto la Commissione Giugni, avendo preso atto e registrato l’unanime riconoscimento del successo sul piano macro economico, suggerì ipotesi di modifica del Protocollo del 1993 facendo osservare che “pur non richiedendo radicali revisioni della sua struttura” tuttavia necessitasse di “una revisione volta al consolidamento dei risultati raggiunti”.</w:t>
      </w:r>
    </w:p>
    <w:p w:rsidR="00BD2278" w:rsidRDefault="00BD2278" w:rsidP="00FE4032">
      <w:pPr>
        <w:ind w:firstLine="284"/>
        <w:rPr>
          <w:sz w:val="28"/>
          <w:szCs w:val="28"/>
        </w:rPr>
      </w:pPr>
      <w:r>
        <w:rPr>
          <w:sz w:val="28"/>
          <w:szCs w:val="28"/>
        </w:rPr>
        <w:t>In effetti, con la riforma degli assetti del 2009 non si è operata alcuna modifica sostanziale rispetto all’impostazione del Protocollo</w:t>
      </w:r>
      <w:r>
        <w:rPr>
          <w:rStyle w:val="FootnoteReference"/>
          <w:sz w:val="28"/>
          <w:szCs w:val="28"/>
        </w:rPr>
        <w:footnoteReference w:id="175"/>
      </w:r>
      <w:r>
        <w:rPr>
          <w:sz w:val="28"/>
          <w:szCs w:val="28"/>
        </w:rPr>
        <w:t>.</w:t>
      </w:r>
    </w:p>
    <w:p w:rsidR="00BD2278" w:rsidRPr="00836436" w:rsidRDefault="00BD2278" w:rsidP="00FE4032">
      <w:pPr>
        <w:ind w:firstLine="284"/>
        <w:rPr>
          <w:sz w:val="28"/>
          <w:szCs w:val="28"/>
        </w:rPr>
      </w:pPr>
      <w:r>
        <w:rPr>
          <w:sz w:val="28"/>
          <w:szCs w:val="28"/>
        </w:rPr>
        <w:t>L’assetto resta centralistico, solo che alla “politica salariale d’anticipo” basata sulla concertazione del tasso d’inflazione programmata, si è sostituito un sistema che non indicizza in modo adeguato il salario nominale</w:t>
      </w:r>
      <w:r>
        <w:rPr>
          <w:rStyle w:val="FootnoteReference"/>
          <w:sz w:val="28"/>
          <w:szCs w:val="28"/>
        </w:rPr>
        <w:footnoteReference w:id="176"/>
      </w:r>
      <w:r>
        <w:rPr>
          <w:sz w:val="28"/>
          <w:szCs w:val="28"/>
        </w:rPr>
        <w:t>, in cui la negoziazione  è legata ad un indicatore dalla struttura contestata.</w:t>
      </w:r>
    </w:p>
    <w:p w:rsidR="00BD2278" w:rsidRDefault="00BD2278" w:rsidP="00FE4032">
      <w:pPr>
        <w:ind w:firstLine="284"/>
        <w:rPr>
          <w:sz w:val="28"/>
          <w:szCs w:val="28"/>
        </w:rPr>
      </w:pPr>
      <w:r>
        <w:rPr>
          <w:sz w:val="28"/>
          <w:szCs w:val="28"/>
        </w:rPr>
        <w:t>La funzione della contrattazione di secondo livello continua ad essere quella redistributiva, essendo previsto al punto 3 dell’A.I. che essa “collega gli aumenti salariali al raggiungimento di obiettivi di produttività, redditività, qualità, efficienza, efficacia ed altri elementi rilevanti ai fini del miglioramento della competitività, nonché ai risultati legati all’andamento economico delle imprese”.</w:t>
      </w:r>
    </w:p>
    <w:p w:rsidR="00BD2278" w:rsidRDefault="00BD2278" w:rsidP="00FE4032">
      <w:pPr>
        <w:ind w:firstLine="284"/>
        <w:rPr>
          <w:sz w:val="28"/>
          <w:szCs w:val="28"/>
        </w:rPr>
      </w:pPr>
      <w:r>
        <w:rPr>
          <w:sz w:val="28"/>
          <w:szCs w:val="28"/>
        </w:rPr>
        <w:t>Il rapporto tra la contrattazione di primo e secondo livello continua ad essere regolato attraverso il sistema delle clausole di rinvio e di specializzazione che devono considerarsi in rapporto alternativo: quando vi è rinvio del contratto nazionale può intervenire quello di secondo livello, mentre in assenza di rinvio può riaprirsi la negoziazione, ma solo su quanto non statuito al livello superiore</w:t>
      </w:r>
      <w:r>
        <w:rPr>
          <w:rStyle w:val="FootnoteReference"/>
          <w:sz w:val="28"/>
          <w:szCs w:val="28"/>
        </w:rPr>
        <w:footnoteReference w:id="177"/>
      </w:r>
      <w:r>
        <w:rPr>
          <w:sz w:val="28"/>
          <w:szCs w:val="28"/>
        </w:rPr>
        <w:t xml:space="preserve">. Quanto stabilito dal contratto nazionale è infatti coperto dal limite del </w:t>
      </w:r>
      <w:r>
        <w:rPr>
          <w:i/>
          <w:sz w:val="28"/>
          <w:szCs w:val="28"/>
        </w:rPr>
        <w:t>ne bis in idem</w:t>
      </w:r>
      <w:r>
        <w:rPr>
          <w:sz w:val="28"/>
          <w:szCs w:val="28"/>
        </w:rPr>
        <w:t>, di cui al punto 3.2 dell’A.I.</w:t>
      </w:r>
    </w:p>
    <w:p w:rsidR="00BD2278" w:rsidRPr="00782CEA" w:rsidRDefault="00BD2278" w:rsidP="00FE4032">
      <w:pPr>
        <w:ind w:firstLine="284"/>
        <w:rPr>
          <w:sz w:val="28"/>
          <w:szCs w:val="28"/>
        </w:rPr>
      </w:pPr>
      <w:r>
        <w:rPr>
          <w:sz w:val="28"/>
          <w:szCs w:val="28"/>
        </w:rPr>
        <w:t>L’unica eccezione al divieto posto al contratto di secondo livello, di disciplinare aspetti coperti dal contratto nazionale, è ammissibile solo quando quest’ultimo, a norma del punto 5 dell’A.I., consenta la deroga delle disposizioni in esso previste, nei casi di crisi aziendali o per favorire lo sviluppo economico. Ciò, se da un lato può costituire un  incentivo alla contrattazione aziendale, dall’altro rischia di corrodere la funzione centrale del contratto nazionale</w:t>
      </w:r>
      <w:r>
        <w:rPr>
          <w:rStyle w:val="FootnoteReference"/>
          <w:sz w:val="28"/>
          <w:szCs w:val="28"/>
        </w:rPr>
        <w:footnoteReference w:id="178"/>
      </w:r>
      <w:r>
        <w:rPr>
          <w:sz w:val="28"/>
          <w:szCs w:val="28"/>
        </w:rPr>
        <w:t>.</w:t>
      </w:r>
    </w:p>
    <w:p w:rsidR="00BD2278" w:rsidRDefault="00BD2278" w:rsidP="00FE4032">
      <w:pPr>
        <w:ind w:firstLine="284"/>
        <w:rPr>
          <w:sz w:val="28"/>
          <w:szCs w:val="28"/>
        </w:rPr>
      </w:pPr>
      <w:r>
        <w:rPr>
          <w:sz w:val="28"/>
          <w:szCs w:val="28"/>
        </w:rPr>
        <w:t>Il secondo livello di contrattazione può essere aziendale o territoriale. Quest’ultimo era risultato sostanzialmente inattuato essendo stati stipulati un numero irrilevante di contratti regionali o provinciali rispetto al numero di quelli aziendali</w:t>
      </w:r>
      <w:r>
        <w:rPr>
          <w:rStyle w:val="FootnoteReference"/>
          <w:sz w:val="28"/>
          <w:szCs w:val="28"/>
        </w:rPr>
        <w:footnoteReference w:id="179"/>
      </w:r>
      <w:r>
        <w:rPr>
          <w:sz w:val="28"/>
          <w:szCs w:val="28"/>
        </w:rPr>
        <w:t>.</w:t>
      </w:r>
    </w:p>
    <w:p w:rsidR="00BD2278" w:rsidRDefault="00BD2278" w:rsidP="00FE4032">
      <w:pPr>
        <w:ind w:firstLine="284"/>
        <w:rPr>
          <w:sz w:val="28"/>
          <w:szCs w:val="28"/>
        </w:rPr>
      </w:pPr>
      <w:r>
        <w:rPr>
          <w:sz w:val="28"/>
          <w:szCs w:val="28"/>
        </w:rPr>
        <w:t>Le ragioni di tale limitata diffusione sono da ricercarsi principalmente in una scarsa sindacalizzazione a livello di unità produttiva, specie nelle piccole imprese del mezzogiorno.</w:t>
      </w:r>
    </w:p>
    <w:p w:rsidR="00BD2278" w:rsidRDefault="00BD2278" w:rsidP="00FE4032">
      <w:pPr>
        <w:ind w:firstLine="284"/>
        <w:rPr>
          <w:sz w:val="28"/>
          <w:szCs w:val="28"/>
        </w:rPr>
      </w:pPr>
      <w:r>
        <w:rPr>
          <w:sz w:val="28"/>
          <w:szCs w:val="28"/>
        </w:rPr>
        <w:t>Nonostante le dichiarazioni programmatiche sulla rilevanza della diffusione della contrattazione di secondo livello per la crescita della produttività e delle retribuzioni, nonché sulla necessità di incrementare le misure volte ad incentivarla, dalla lettura dell’A.I. non emerge la presenza strumenti idonei a sostenere la contrattazione regionale e provinciale. Anzi dalla formulazione del punto 1 dell’Accordo, nella parte in cui si dice che la contrattazione territoriale può considerarsi parte del nuovo modello di assetti “laddove previsto, secondo l’attuale prassi” sembra possibile desumere la volontà delle parti di contenere la diffusione di contratti regionali o provinciali nei limiti di quanto già praticato.</w:t>
      </w:r>
    </w:p>
    <w:p w:rsidR="00BD2278" w:rsidRDefault="00BD2278" w:rsidP="00FE4032">
      <w:pPr>
        <w:ind w:firstLine="284"/>
        <w:rPr>
          <w:sz w:val="28"/>
          <w:szCs w:val="28"/>
        </w:rPr>
      </w:pPr>
      <w:r>
        <w:rPr>
          <w:sz w:val="28"/>
          <w:szCs w:val="28"/>
        </w:rPr>
        <w:t>Una parte della dottrina</w:t>
      </w:r>
      <w:r>
        <w:rPr>
          <w:rStyle w:val="FootnoteReference"/>
          <w:sz w:val="28"/>
          <w:szCs w:val="28"/>
        </w:rPr>
        <w:footnoteReference w:id="180"/>
      </w:r>
      <w:r>
        <w:rPr>
          <w:sz w:val="28"/>
          <w:szCs w:val="28"/>
        </w:rPr>
        <w:t xml:space="preserve"> inoltre fa osservare come le parti hanno perso l’opportunità di valorizzare nell’ A.Q. le esperienze accumulate in tema di contrattazione territoriale con gli accordi di programma.</w:t>
      </w:r>
    </w:p>
    <w:p w:rsidR="00BD2278" w:rsidRDefault="00BD2278" w:rsidP="00FE4032">
      <w:pPr>
        <w:ind w:firstLine="284"/>
        <w:rPr>
          <w:sz w:val="28"/>
          <w:szCs w:val="28"/>
        </w:rPr>
      </w:pPr>
      <w:r>
        <w:rPr>
          <w:sz w:val="28"/>
          <w:szCs w:val="28"/>
        </w:rPr>
        <w:t>Anche se risulta molto più diffusa di quella territoriale, la contrattazione aziendale tuttavia soffre di un notevole ritardo rispetto a quanto avviene in altri paesi. Le ragioni della difficoltà ad imporsi sono da ricercarsi nella scarsa sindacalizzazione dovuta all’ostracismo dei piccoli imprenditori che si oppongono alla diffusione del sindacato in azienda e alla resistenza di una parte del mondo sindacale che tradizionalmente vede, non senza ragione, sotto cattiva luce il decentramento della contrattazione per i rischi che essa comporta nel senso di un peggioramento delle condizioni retributive</w:t>
      </w:r>
      <w:r>
        <w:rPr>
          <w:rStyle w:val="FootnoteReference"/>
          <w:sz w:val="28"/>
          <w:szCs w:val="28"/>
        </w:rPr>
        <w:footnoteReference w:id="181"/>
      </w:r>
      <w:r>
        <w:rPr>
          <w:sz w:val="28"/>
          <w:szCs w:val="28"/>
        </w:rPr>
        <w:t>.</w:t>
      </w:r>
    </w:p>
    <w:p w:rsidR="00BD2278" w:rsidRDefault="00BD2278" w:rsidP="00FE4032">
      <w:pPr>
        <w:ind w:firstLine="284"/>
        <w:rPr>
          <w:sz w:val="28"/>
          <w:szCs w:val="28"/>
        </w:rPr>
      </w:pPr>
      <w:r>
        <w:rPr>
          <w:sz w:val="28"/>
          <w:szCs w:val="28"/>
        </w:rPr>
        <w:t>Per espressa previsione del punto 3.3 dell’A.I. lo strumento attraverso cui la contrattazione aziendale dovrebbe svolgere la funzione redistributiva è costituito dai premi variabili.</w:t>
      </w:r>
    </w:p>
    <w:p w:rsidR="00BD2278" w:rsidRDefault="00BD2278" w:rsidP="00FE4032">
      <w:pPr>
        <w:ind w:firstLine="284"/>
        <w:rPr>
          <w:sz w:val="28"/>
          <w:szCs w:val="28"/>
        </w:rPr>
      </w:pPr>
    </w:p>
    <w:p w:rsidR="00BD2278" w:rsidRDefault="00BD2278" w:rsidP="00FE4032">
      <w:pPr>
        <w:ind w:firstLine="284"/>
        <w:rPr>
          <w:sz w:val="28"/>
          <w:szCs w:val="28"/>
        </w:rPr>
      </w:pPr>
    </w:p>
    <w:p w:rsidR="00BD2278" w:rsidRPr="00CE7F46" w:rsidRDefault="00BD2278" w:rsidP="00075EBB">
      <w:pPr>
        <w:pStyle w:val="ListParagraph"/>
        <w:numPr>
          <w:ilvl w:val="0"/>
          <w:numId w:val="26"/>
        </w:numPr>
        <w:ind w:left="720" w:hanging="436"/>
        <w:outlineLvl w:val="1"/>
        <w:rPr>
          <w:sz w:val="28"/>
          <w:szCs w:val="28"/>
        </w:rPr>
      </w:pPr>
      <w:bookmarkStart w:id="16" w:name="_Toc285266430"/>
      <w:r w:rsidRPr="009B00A7">
        <w:rPr>
          <w:rStyle w:val="TitoloparagrafoCarattere"/>
          <w:i/>
        </w:rPr>
        <w:t>La riforma degli assetti contrattuali: i rapporti tra diversi livelli e il fenomeno della contrattazione aziendale separata</w:t>
      </w:r>
      <w:r w:rsidRPr="00CE7F46">
        <w:rPr>
          <w:sz w:val="28"/>
          <w:szCs w:val="28"/>
        </w:rPr>
        <w:t>.</w:t>
      </w:r>
      <w:bookmarkEnd w:id="16"/>
    </w:p>
    <w:p w:rsidR="00BD2278" w:rsidRDefault="00BD2278" w:rsidP="00FE4032">
      <w:pPr>
        <w:pStyle w:val="ListParagraph"/>
        <w:ind w:left="284" w:firstLine="284"/>
        <w:rPr>
          <w:b/>
          <w:sz w:val="28"/>
          <w:szCs w:val="28"/>
        </w:rPr>
      </w:pPr>
    </w:p>
    <w:p w:rsidR="00BD2278" w:rsidRDefault="00BD2278" w:rsidP="00FE4032">
      <w:pPr>
        <w:ind w:firstLine="284"/>
        <w:rPr>
          <w:sz w:val="28"/>
          <w:szCs w:val="28"/>
        </w:rPr>
      </w:pPr>
      <w:r w:rsidRPr="004A65C6">
        <w:rPr>
          <w:sz w:val="28"/>
          <w:szCs w:val="28"/>
        </w:rPr>
        <w:t xml:space="preserve">In precedenza </w:t>
      </w:r>
      <w:r>
        <w:rPr>
          <w:sz w:val="28"/>
          <w:szCs w:val="28"/>
        </w:rPr>
        <w:t>si è accennato al fenomeno della contrattazione nazionale separata, riportando l’esempio del ccnl per il settore metalmeccanico del 2009 e quello per i dipendenti orafi e argentieri  delle imprese artigiane del 2010.</w:t>
      </w:r>
    </w:p>
    <w:p w:rsidR="00BD2278" w:rsidRDefault="00BD2278" w:rsidP="00FE4032">
      <w:pPr>
        <w:ind w:firstLine="284"/>
        <w:rPr>
          <w:sz w:val="28"/>
          <w:szCs w:val="28"/>
        </w:rPr>
      </w:pPr>
      <w:r>
        <w:rPr>
          <w:sz w:val="28"/>
          <w:szCs w:val="28"/>
        </w:rPr>
        <w:t>Il fenomeno non si limita al solo livello nazionale infatti si è verificata anche la sottoscrizione separata di contratti aziendali.</w:t>
      </w:r>
    </w:p>
    <w:p w:rsidR="00BD2278" w:rsidRDefault="00BD2278" w:rsidP="00FE4032">
      <w:pPr>
        <w:ind w:firstLine="284"/>
        <w:rPr>
          <w:sz w:val="28"/>
          <w:szCs w:val="28"/>
        </w:rPr>
      </w:pPr>
      <w:r>
        <w:rPr>
          <w:sz w:val="28"/>
          <w:szCs w:val="28"/>
        </w:rPr>
        <w:t>Quando un contratto aziendale non sia sottoscritto da tutte le organizzazioni sindacali firmatarie a livello nazionale, per determinarne la efficacia soggettiva occorre distinguere tra fattispecie migliorative e peggiorative.</w:t>
      </w:r>
    </w:p>
    <w:p w:rsidR="00BD2278" w:rsidRDefault="00BD2278" w:rsidP="00FE4032">
      <w:pPr>
        <w:ind w:firstLine="284"/>
        <w:rPr>
          <w:sz w:val="28"/>
          <w:szCs w:val="28"/>
        </w:rPr>
      </w:pPr>
      <w:r>
        <w:rPr>
          <w:sz w:val="28"/>
          <w:szCs w:val="28"/>
        </w:rPr>
        <w:t>Il caso di scuola rappresentato da un contratto aziendale dal contenuto migliorativo rispetto al contratto nazionale e non sottoscritto da tutti i rappresentanti dei sindacati maggiormente rappresentativi di comparto, non pone particolari problemi.</w:t>
      </w:r>
    </w:p>
    <w:p w:rsidR="00BD2278" w:rsidRDefault="00BD2278" w:rsidP="00FE4032">
      <w:pPr>
        <w:ind w:firstLine="284"/>
        <w:rPr>
          <w:sz w:val="28"/>
          <w:szCs w:val="28"/>
        </w:rPr>
      </w:pPr>
      <w:r>
        <w:rPr>
          <w:sz w:val="28"/>
          <w:szCs w:val="28"/>
        </w:rPr>
        <w:t>Infatti, con risultati alterni, si è sostenuto da parte di dottrina e giurisprudenza, sulla base di ragionamenti che prendono avvio da caratteristiche intrinseche del contratto (il fatto di riguardare una certa realtà produttiva) o da meccanismi eteronomi rispetto alle dinamiche di conclusione del contratto (referendum di approvazione da parte dei lavoratori), che il contratto aziendale sottoscritto dal datore di lavoro, lo vincola quale parte negoziale, all’applicazione nei confronti di tutti i lavoratori</w:t>
      </w:r>
      <w:r>
        <w:rPr>
          <w:rStyle w:val="FootnoteReference"/>
          <w:sz w:val="28"/>
          <w:szCs w:val="28"/>
        </w:rPr>
        <w:footnoteReference w:id="182"/>
      </w:r>
      <w:r>
        <w:rPr>
          <w:sz w:val="28"/>
          <w:szCs w:val="28"/>
        </w:rPr>
        <w:t>.</w:t>
      </w:r>
    </w:p>
    <w:p w:rsidR="00BD2278" w:rsidRDefault="00BD2278" w:rsidP="00FE4032">
      <w:pPr>
        <w:ind w:firstLine="284"/>
        <w:rPr>
          <w:sz w:val="28"/>
          <w:szCs w:val="28"/>
        </w:rPr>
      </w:pPr>
      <w:r>
        <w:rPr>
          <w:sz w:val="28"/>
          <w:szCs w:val="28"/>
        </w:rPr>
        <w:t xml:space="preserve">Il fondamento di tale effetto è fatto discendere dalla teoria della indivisibilità degli interessi collettivi a livello aziendale che comporta la sostanziale efficacia </w:t>
      </w:r>
      <w:r>
        <w:rPr>
          <w:i/>
          <w:sz w:val="28"/>
          <w:szCs w:val="28"/>
        </w:rPr>
        <w:t>erga omnes</w:t>
      </w:r>
      <w:r>
        <w:rPr>
          <w:sz w:val="28"/>
          <w:szCs w:val="28"/>
        </w:rPr>
        <w:t xml:space="preserve"> del contratto aziendale migliorativo</w:t>
      </w:r>
      <w:r>
        <w:rPr>
          <w:rStyle w:val="FootnoteReference"/>
          <w:sz w:val="28"/>
          <w:szCs w:val="28"/>
        </w:rPr>
        <w:footnoteReference w:id="183"/>
      </w:r>
      <w:r>
        <w:rPr>
          <w:sz w:val="28"/>
          <w:szCs w:val="28"/>
        </w:rPr>
        <w:t>.</w:t>
      </w:r>
    </w:p>
    <w:p w:rsidR="00BD2278" w:rsidRDefault="00BD2278" w:rsidP="00FE4032">
      <w:pPr>
        <w:ind w:firstLine="284"/>
        <w:rPr>
          <w:sz w:val="28"/>
          <w:szCs w:val="28"/>
        </w:rPr>
      </w:pPr>
      <w:r>
        <w:rPr>
          <w:sz w:val="28"/>
          <w:szCs w:val="28"/>
        </w:rPr>
        <w:t>Interessante è l’osservazione di quella dottrina che ritiene che l’estensione dell’efficacia del contratto aziendale a tutti dipendenti sia iscritti alle organizzazioni firmatarie, sia a tutti gli altri, non comporta la violazione dell’art. 39 Cost. in quanto il  contratto collettivo cui esso si riferisce è esclusivamente quello di livello nazionale</w:t>
      </w:r>
      <w:r>
        <w:rPr>
          <w:rStyle w:val="FootnoteReference"/>
          <w:sz w:val="28"/>
          <w:szCs w:val="28"/>
        </w:rPr>
        <w:footnoteReference w:id="184"/>
      </w:r>
      <w:r>
        <w:rPr>
          <w:sz w:val="28"/>
          <w:szCs w:val="28"/>
        </w:rPr>
        <w:t>.</w:t>
      </w:r>
    </w:p>
    <w:p w:rsidR="00BD2278" w:rsidRDefault="00BD2278" w:rsidP="00FE4032">
      <w:pPr>
        <w:ind w:firstLine="284"/>
        <w:rPr>
          <w:sz w:val="28"/>
          <w:szCs w:val="28"/>
        </w:rPr>
      </w:pPr>
      <w:r>
        <w:rPr>
          <w:sz w:val="28"/>
          <w:szCs w:val="28"/>
        </w:rPr>
        <w:t>Il problema si pone invece rispetto ai contratti aziendali separati che hanno un contenuto peggiorativo rispetto ai precedenti contratti nazionali.</w:t>
      </w:r>
    </w:p>
    <w:p w:rsidR="00BD2278" w:rsidRDefault="00BD2278" w:rsidP="00FE4032">
      <w:pPr>
        <w:ind w:firstLine="284"/>
        <w:rPr>
          <w:sz w:val="28"/>
          <w:szCs w:val="28"/>
        </w:rPr>
      </w:pPr>
      <w:r>
        <w:rPr>
          <w:sz w:val="28"/>
          <w:szCs w:val="28"/>
        </w:rPr>
        <w:t>In tal caso, quando le condizioni peggiorative non siano compensate da vantaggi, la giurisprudenza ha ritenuto in più occasioni i lavoratori non iscritti alla organizzazioni sindacali firmatarie del contratto aziendale, non vincolati da esso</w:t>
      </w:r>
      <w:r>
        <w:rPr>
          <w:rStyle w:val="FootnoteReference"/>
          <w:sz w:val="28"/>
          <w:szCs w:val="28"/>
        </w:rPr>
        <w:footnoteReference w:id="185"/>
      </w:r>
      <w:r>
        <w:rPr>
          <w:sz w:val="28"/>
          <w:szCs w:val="28"/>
        </w:rPr>
        <w:t>.</w:t>
      </w:r>
    </w:p>
    <w:p w:rsidR="00BD2278" w:rsidRDefault="00BD2278" w:rsidP="00FE4032">
      <w:pPr>
        <w:ind w:firstLine="284"/>
        <w:rPr>
          <w:sz w:val="28"/>
          <w:szCs w:val="28"/>
        </w:rPr>
      </w:pPr>
      <w:r>
        <w:rPr>
          <w:sz w:val="28"/>
          <w:szCs w:val="28"/>
        </w:rPr>
        <w:t>Pertanto se un contratto aziendale prevedesse condizioni economiche peggiorative rispetto a quelle contenute nel contratto nazionale di riferimento, queste ultime e non le prime dovrebbero essere applicate ai lavoratori non aderenti ad alcun sindacato o aderenti ad un sindacato non firmatario del contratto aziendale</w:t>
      </w:r>
      <w:r>
        <w:rPr>
          <w:rStyle w:val="FootnoteReference"/>
          <w:sz w:val="28"/>
          <w:szCs w:val="28"/>
        </w:rPr>
        <w:footnoteReference w:id="186"/>
      </w:r>
      <w:r>
        <w:rPr>
          <w:sz w:val="28"/>
          <w:szCs w:val="28"/>
        </w:rPr>
        <w:t>.</w:t>
      </w:r>
    </w:p>
    <w:p w:rsidR="00BD2278" w:rsidRDefault="00BD2278" w:rsidP="00FE4032">
      <w:pPr>
        <w:ind w:firstLine="284"/>
        <w:rPr>
          <w:sz w:val="28"/>
          <w:szCs w:val="28"/>
        </w:rPr>
      </w:pPr>
      <w:r>
        <w:rPr>
          <w:sz w:val="28"/>
          <w:szCs w:val="28"/>
        </w:rPr>
        <w:t>A fronte di molteplici argomentazioni, quelle utilizzate dalla giurisprudenza sono prevalentemente fondate sulla inefficacia del contratto aziendale, non solo nei confronti dei lavoratori non iscritti ai sindacati firmatari, ma addirittura anche nei confronti del lavorati che abbiano espresso il proprio dissenso individuale aderendo a questi ultimi successivamente alla stipula dell’aziendale: unico limite il contratto gestionale che la cui efficacia è ritenuta estesa oltre il limite del dissenso individuale</w:t>
      </w:r>
      <w:r>
        <w:rPr>
          <w:rStyle w:val="FootnoteReference"/>
          <w:sz w:val="28"/>
          <w:szCs w:val="28"/>
        </w:rPr>
        <w:footnoteReference w:id="187"/>
      </w:r>
      <w:r>
        <w:rPr>
          <w:sz w:val="28"/>
          <w:szCs w:val="28"/>
        </w:rPr>
        <w:t>.</w:t>
      </w:r>
    </w:p>
    <w:p w:rsidR="00BD2278" w:rsidRDefault="00BD2278" w:rsidP="00FE4032">
      <w:pPr>
        <w:ind w:left="1080" w:firstLine="284"/>
        <w:rPr>
          <w:b/>
          <w:sz w:val="28"/>
          <w:szCs w:val="28"/>
        </w:rPr>
      </w:pPr>
    </w:p>
    <w:p w:rsidR="00BD2278" w:rsidRPr="00E82143" w:rsidRDefault="00BD2278" w:rsidP="00FE4032">
      <w:pPr>
        <w:ind w:left="1080" w:firstLine="284"/>
        <w:rPr>
          <w:b/>
          <w:sz w:val="28"/>
          <w:szCs w:val="28"/>
        </w:rPr>
      </w:pPr>
    </w:p>
    <w:p w:rsidR="00BD2278" w:rsidRPr="00CE7F46" w:rsidRDefault="00BD2278" w:rsidP="00075EBB">
      <w:pPr>
        <w:pStyle w:val="ListParagraph"/>
        <w:numPr>
          <w:ilvl w:val="0"/>
          <w:numId w:val="26"/>
        </w:numPr>
        <w:ind w:left="720" w:hanging="436"/>
        <w:outlineLvl w:val="1"/>
        <w:rPr>
          <w:sz w:val="28"/>
          <w:szCs w:val="28"/>
        </w:rPr>
      </w:pPr>
      <w:r w:rsidRPr="00CE7F46">
        <w:rPr>
          <w:sz w:val="28"/>
          <w:szCs w:val="28"/>
        </w:rPr>
        <w:t xml:space="preserve"> </w:t>
      </w:r>
      <w:bookmarkStart w:id="17" w:name="_Toc285266431"/>
      <w:r w:rsidRPr="009B00A7">
        <w:rPr>
          <w:rStyle w:val="TitoloparagrafoCarattere"/>
          <w:i/>
        </w:rPr>
        <w:t>La riforma degli assetti contrattuali: L’elemento di garanzia retributiva</w:t>
      </w:r>
      <w:r>
        <w:rPr>
          <w:sz w:val="28"/>
          <w:szCs w:val="28"/>
        </w:rPr>
        <w:t>.</w:t>
      </w:r>
      <w:bookmarkEnd w:id="17"/>
    </w:p>
    <w:p w:rsidR="00BD2278" w:rsidRDefault="00BD2278" w:rsidP="00FE4032">
      <w:pPr>
        <w:pStyle w:val="ListParagraph"/>
        <w:ind w:left="709" w:firstLine="284"/>
        <w:rPr>
          <w:b/>
          <w:sz w:val="28"/>
          <w:szCs w:val="28"/>
        </w:rPr>
      </w:pPr>
    </w:p>
    <w:p w:rsidR="00BD2278" w:rsidRDefault="00BD2278" w:rsidP="00FE4032">
      <w:pPr>
        <w:ind w:firstLine="284"/>
        <w:rPr>
          <w:sz w:val="28"/>
          <w:szCs w:val="28"/>
        </w:rPr>
      </w:pPr>
      <w:r>
        <w:rPr>
          <w:sz w:val="28"/>
          <w:szCs w:val="28"/>
        </w:rPr>
        <w:t>La riforma degli assetti contrattuali del 2009 si muove dichiaratamente nella direzione dell’incentivazione della contrattazione di secondo livello, ed in effetti alle enunciazioni programmatiche, di cui all’art. 3 del Accordo interconfederale del 15 aprile del 2009 di attuazione dell’Accordo quadro, segue la introduzione del c.d. elemento di garanzia retributiva.</w:t>
      </w:r>
    </w:p>
    <w:p w:rsidR="00BD2278" w:rsidRPr="00E446A2" w:rsidRDefault="00BD2278" w:rsidP="00FE4032">
      <w:pPr>
        <w:ind w:firstLine="284"/>
        <w:rPr>
          <w:sz w:val="28"/>
          <w:szCs w:val="28"/>
        </w:rPr>
      </w:pPr>
      <w:r>
        <w:rPr>
          <w:sz w:val="28"/>
          <w:szCs w:val="28"/>
        </w:rPr>
        <w:t>Tale trattamento accessorio dovrebbe compensare la minor consistenza salariale dei lavoratori che non beneficiano della contrattazione aziendale e che non percepiscono altri trattamenti economici individuali o collettivi, oltre a quanto spettante per contratto collettivo nazionale di categoria. Pertanto, se adeguatamente commisurato potrebbe costituire una misura incentivante per la  diffusione della contrattazione di secondo livello.</w:t>
      </w:r>
    </w:p>
    <w:p w:rsidR="00BD2278" w:rsidRDefault="00BD2278" w:rsidP="00FE4032">
      <w:pPr>
        <w:autoSpaceDE w:val="0"/>
        <w:autoSpaceDN w:val="0"/>
        <w:adjustRightInd w:val="0"/>
        <w:ind w:firstLine="284"/>
        <w:rPr>
          <w:sz w:val="28"/>
          <w:szCs w:val="28"/>
        </w:rPr>
      </w:pPr>
      <w:r w:rsidRPr="00E446A2">
        <w:rPr>
          <w:sz w:val="28"/>
          <w:szCs w:val="28"/>
        </w:rPr>
        <w:t xml:space="preserve">In realtà </w:t>
      </w:r>
      <w:r>
        <w:rPr>
          <w:sz w:val="28"/>
          <w:szCs w:val="28"/>
        </w:rPr>
        <w:t xml:space="preserve">un elemento perequativo simile </w:t>
      </w:r>
      <w:r w:rsidRPr="00E446A2">
        <w:rPr>
          <w:sz w:val="28"/>
          <w:szCs w:val="28"/>
        </w:rPr>
        <w:t>era già previsto</w:t>
      </w:r>
      <w:r>
        <w:rPr>
          <w:sz w:val="28"/>
          <w:szCs w:val="28"/>
        </w:rPr>
        <w:t xml:space="preserve"> in molti d</w:t>
      </w:r>
      <w:r w:rsidRPr="00E446A2">
        <w:rPr>
          <w:sz w:val="28"/>
          <w:szCs w:val="28"/>
        </w:rPr>
        <w:t>ei contratti nazionali di categoria</w:t>
      </w:r>
      <w:r>
        <w:rPr>
          <w:sz w:val="28"/>
          <w:szCs w:val="28"/>
        </w:rPr>
        <w:t xml:space="preserve"> stipulati in precedenza, con la differenza che, secondo quanto previsto dell’A.I., nella attuale formulazione beneficia </w:t>
      </w:r>
      <w:r w:rsidRPr="00E446A2">
        <w:rPr>
          <w:sz w:val="28"/>
          <w:szCs w:val="28"/>
        </w:rPr>
        <w:t>coloro che non ha</w:t>
      </w:r>
      <w:r>
        <w:rPr>
          <w:sz w:val="28"/>
          <w:szCs w:val="28"/>
        </w:rPr>
        <w:t>nno</w:t>
      </w:r>
      <w:r w:rsidRPr="00E446A2">
        <w:rPr>
          <w:sz w:val="28"/>
          <w:szCs w:val="28"/>
        </w:rPr>
        <w:t xml:space="preserve"> altro in busta paga oltre i minimi tabellari ma anche chi non ha ottenuto aumenti nell’ultimo quadriennio</w:t>
      </w:r>
      <w:r w:rsidRPr="00E446A2">
        <w:rPr>
          <w:rStyle w:val="FootnoteReference"/>
          <w:color w:val="191919"/>
          <w:sz w:val="28"/>
          <w:szCs w:val="28"/>
        </w:rPr>
        <w:footnoteReference w:id="188"/>
      </w:r>
      <w:r w:rsidRPr="00E446A2">
        <w:rPr>
          <w:sz w:val="28"/>
          <w:szCs w:val="28"/>
        </w:rPr>
        <w:t>.</w:t>
      </w:r>
    </w:p>
    <w:p w:rsidR="00BD2278" w:rsidRPr="00E446A2" w:rsidRDefault="00BD2278" w:rsidP="00FE4032">
      <w:pPr>
        <w:autoSpaceDE w:val="0"/>
        <w:autoSpaceDN w:val="0"/>
        <w:adjustRightInd w:val="0"/>
        <w:ind w:firstLine="284"/>
        <w:rPr>
          <w:sz w:val="28"/>
          <w:szCs w:val="28"/>
        </w:rPr>
      </w:pPr>
      <w:r>
        <w:rPr>
          <w:sz w:val="28"/>
          <w:szCs w:val="28"/>
        </w:rPr>
        <w:t>La conseguenza di ciò sarebbe la sua valorizzazione rispetto a quanto previsto fino all’Accordo interconfederale in funzione sanzionatoria nei confronti di quei datori di lavoro che decidessero di concederlo in sostituzione dell’apertura di un negoziato aziendale.</w:t>
      </w:r>
    </w:p>
    <w:p w:rsidR="00BD2278" w:rsidRDefault="00BD2278" w:rsidP="00FE4032">
      <w:pPr>
        <w:autoSpaceDE w:val="0"/>
        <w:autoSpaceDN w:val="0"/>
        <w:adjustRightInd w:val="0"/>
        <w:ind w:firstLine="284"/>
        <w:rPr>
          <w:sz w:val="28"/>
          <w:szCs w:val="28"/>
        </w:rPr>
      </w:pPr>
      <w:r>
        <w:rPr>
          <w:sz w:val="28"/>
          <w:szCs w:val="28"/>
        </w:rPr>
        <w:t>L’effettiva utilità dell’elemento di garanzia è tuttavia rimessa interamente alla contrattazione collettiva nazionale di categoria  cui l’Accordo interconfederale rinvia per determinarne la misura.</w:t>
      </w:r>
    </w:p>
    <w:p w:rsidR="00BD2278" w:rsidRDefault="00BD2278" w:rsidP="00FE4032">
      <w:pPr>
        <w:autoSpaceDE w:val="0"/>
        <w:autoSpaceDN w:val="0"/>
        <w:adjustRightInd w:val="0"/>
        <w:ind w:firstLine="284"/>
        <w:rPr>
          <w:sz w:val="28"/>
          <w:szCs w:val="28"/>
        </w:rPr>
      </w:pPr>
      <w:r>
        <w:rPr>
          <w:sz w:val="28"/>
          <w:szCs w:val="28"/>
        </w:rPr>
        <w:t>Quindi, anzitutto, l’applicazione dell’elemento è subordinato alla sua adozione da parte del contratto collettivo, ed in ogni caso l’effettiva funzione promozionale della contrattazione di secondo livello è subordinata alla determinazione in misura idonea a costituire una sanzione civile privata, adeguata a spingere il singolo datore di lavoro a giungere alla conclusione di un accordo.</w:t>
      </w:r>
    </w:p>
    <w:p w:rsidR="00BD2278" w:rsidRDefault="00BD2278" w:rsidP="00FE4032">
      <w:pPr>
        <w:autoSpaceDE w:val="0"/>
        <w:autoSpaceDN w:val="0"/>
        <w:adjustRightInd w:val="0"/>
        <w:ind w:firstLine="284"/>
        <w:rPr>
          <w:sz w:val="28"/>
          <w:szCs w:val="28"/>
        </w:rPr>
      </w:pPr>
      <w:r>
        <w:rPr>
          <w:sz w:val="28"/>
          <w:szCs w:val="28"/>
        </w:rPr>
        <w:t>In effetti nelle ultime tornate contrattuali si è introdotto l’elemento di garanzia in quasi tutti gli accordi ad eccezione di quello per l’energia elettrica e quello per il petrolifero.</w:t>
      </w:r>
    </w:p>
    <w:p w:rsidR="00BD2278" w:rsidRDefault="00BD2278" w:rsidP="00FE4032">
      <w:pPr>
        <w:autoSpaceDE w:val="0"/>
        <w:autoSpaceDN w:val="0"/>
        <w:adjustRightInd w:val="0"/>
        <w:ind w:firstLine="284"/>
        <w:rPr>
          <w:sz w:val="28"/>
          <w:szCs w:val="28"/>
        </w:rPr>
      </w:pPr>
      <w:r>
        <w:rPr>
          <w:sz w:val="28"/>
          <w:szCs w:val="28"/>
        </w:rPr>
        <w:t>Nel rispetto della previsione di cui all’art. 4 dell’Accordo interconfederale è previsto in tutti i casi che l’erogazione è dovuta ai dipendenti di imprese private prive di contrattazione di secondo livello a condizione che non siano dovuti trattamenti economici ulteriori rispetto a quanto spettante in forza del contratto nazionale. In due soli casi (chimica; gomma e plastica) è previsto l’ulteriore requisito dimensionale dell’impresa, per cui la voce retributiva è dovuta unicamente al superamento in azienda dei 70 e 100 dipendenti.</w:t>
      </w:r>
    </w:p>
    <w:p w:rsidR="00BD2278" w:rsidRDefault="00BD2278" w:rsidP="00FE4032">
      <w:pPr>
        <w:autoSpaceDE w:val="0"/>
        <w:autoSpaceDN w:val="0"/>
        <w:adjustRightInd w:val="0"/>
        <w:ind w:firstLine="284"/>
        <w:rPr>
          <w:sz w:val="28"/>
          <w:szCs w:val="28"/>
        </w:rPr>
      </w:pPr>
      <w:r>
        <w:rPr>
          <w:sz w:val="28"/>
          <w:szCs w:val="28"/>
        </w:rPr>
        <w:t>Merita menzione la previsione di cui al ccnl del turismo per cui l’erogazione è dovuta solo a condizione che sia stata presentata una piattaforma senza il raggiungimento dell’accordo.</w:t>
      </w:r>
      <w:r>
        <w:rPr>
          <w:sz w:val="28"/>
          <w:szCs w:val="28"/>
        </w:rPr>
        <w:tab/>
        <w:t xml:space="preserve"> </w:t>
      </w:r>
    </w:p>
    <w:p w:rsidR="00BD2278" w:rsidRDefault="00BD2278" w:rsidP="00FE4032">
      <w:pPr>
        <w:autoSpaceDE w:val="0"/>
        <w:autoSpaceDN w:val="0"/>
        <w:adjustRightInd w:val="0"/>
        <w:ind w:firstLine="284"/>
        <w:rPr>
          <w:sz w:val="28"/>
          <w:szCs w:val="28"/>
        </w:rPr>
      </w:pPr>
      <w:r>
        <w:rPr>
          <w:sz w:val="28"/>
          <w:szCs w:val="28"/>
        </w:rPr>
        <w:t>Da ultimo occorre ricordare che L’Accordo Interconfederale ha disposto che la erogazione prevista dai contratti nazionali di lavoro avvenisse “nella misura ed alle condizioni concordate nei medesimi contratti con particolare riguardo per le situazioni di difficoltà economico-produttiva”. La possibilità prevista dall’A.I. per cui è consentito che i contratti nazionali di categoria prendano in considerazione una situazione di difficoltà dell’impresa quale causa di esclusione dell’obbligo di corrispondere l’erogazione, è stata tradotta in soli tre casi in una clausola di uscita a favore del datore di lavoro il quale, sussistendo le condizioni previste, può sottrarsi alla corresponsione del trattamento. Tale clausola è stata introdotta nei soli ccnl del settore telecomunicazioni, del settore cemento, calce e gesso e nel settore del turismo. Le parti, ponendosi il problema dell’accertamento della sussistenza della condizione sospensiva dell’obbligo di corrispondere l’elemento di garanzia, hanno scelto il parametro costituito dal ricorso agli ammortizzatori sociali.</w:t>
      </w:r>
    </w:p>
    <w:p w:rsidR="00BD2278" w:rsidRDefault="00BD2278" w:rsidP="00FE4032">
      <w:pPr>
        <w:autoSpaceDE w:val="0"/>
        <w:autoSpaceDN w:val="0"/>
        <w:adjustRightInd w:val="0"/>
        <w:ind w:firstLine="284"/>
        <w:rPr>
          <w:sz w:val="28"/>
          <w:szCs w:val="28"/>
        </w:rPr>
      </w:pPr>
      <w:r>
        <w:rPr>
          <w:sz w:val="28"/>
          <w:szCs w:val="28"/>
        </w:rPr>
        <w:t>Preme sottolineare che in molti casi il beneficio dell’elemento di garanzia retributiva è stato limitato ai soli lavoratori a tempo indeterminato. Nei casi, come quello del settore delle telecomunicazioni, in cui ciò avvenga e la percentuale di lavoratori a termine è più elevata, l’esclusione di questi può costituire un limite alla diffusione della contrattazione di secondo livello quando il datore di lavoro preferisca sopportare il costo economico dell’erogazione dell’elemento di garanzia per i pochi  dipendenti a tempo indeterminato, in proporzione al totale degli occupati, piuttosto che aprire un negoziato aziendale.</w:t>
      </w:r>
    </w:p>
    <w:p w:rsidR="00BD2278" w:rsidRDefault="00BD2278" w:rsidP="00FE4032">
      <w:pPr>
        <w:autoSpaceDE w:val="0"/>
        <w:autoSpaceDN w:val="0"/>
        <w:adjustRightInd w:val="0"/>
        <w:ind w:firstLine="284"/>
        <w:rPr>
          <w:sz w:val="28"/>
          <w:szCs w:val="28"/>
        </w:rPr>
      </w:pPr>
      <w:r>
        <w:rPr>
          <w:sz w:val="28"/>
          <w:szCs w:val="28"/>
        </w:rPr>
        <w:t xml:space="preserve"> In ordine alla misura dell’importo occorre sottolineare come essa sia stata compresa dai contratti nazionali di categoria tra un minimo di 72 euro e un massimo di 455 per il settore metalmeccanico.</w:t>
      </w:r>
    </w:p>
    <w:p w:rsidR="00BD2278" w:rsidRDefault="00BD2278" w:rsidP="00FE4032">
      <w:pPr>
        <w:autoSpaceDE w:val="0"/>
        <w:autoSpaceDN w:val="0"/>
        <w:adjustRightInd w:val="0"/>
        <w:ind w:firstLine="284"/>
        <w:rPr>
          <w:sz w:val="28"/>
          <w:szCs w:val="28"/>
        </w:rPr>
      </w:pPr>
      <w:r>
        <w:rPr>
          <w:sz w:val="28"/>
          <w:szCs w:val="28"/>
        </w:rPr>
        <w:t>Solo i dati sulla diffusione della contrattazione aziendale nei prossimi anni potranno permettere di giudicare l’idoneità della misura fissata nei contratti collettivi nazionali.</w:t>
      </w:r>
      <w:r>
        <w:rPr>
          <w:sz w:val="28"/>
          <w:szCs w:val="28"/>
        </w:rPr>
        <w:tab/>
      </w:r>
    </w:p>
    <w:p w:rsidR="00BD2278" w:rsidRPr="00E446A2" w:rsidRDefault="00BD2278" w:rsidP="00FE4032">
      <w:pPr>
        <w:autoSpaceDE w:val="0"/>
        <w:autoSpaceDN w:val="0"/>
        <w:adjustRightInd w:val="0"/>
        <w:ind w:firstLine="284"/>
        <w:rPr>
          <w:sz w:val="28"/>
          <w:szCs w:val="28"/>
        </w:rPr>
      </w:pPr>
      <w:r>
        <w:rPr>
          <w:sz w:val="28"/>
          <w:szCs w:val="28"/>
        </w:rPr>
        <w:t>Da ultimo deve farsi osservare che l’idoneità dell’elemento di garanzia retributiva a costituire un incentivo alla diffusione della contrattazione di secondo livello è notevolmente depotenziato dalla previsione al punto 4 dell’A.I. di una condizione necessaria al sorgere della obbligazione di corrispondere la relativa somma: l’elemento sarà infatti dovuto in assenza di contrattazione aziendale, solo se i lavoratori non siano percettori di “altri trattamenti economici individuali”. Da ciò risulta evidente il rischio che i datori di lavoro preferiscano contrattare singolarmente erogazioni individuali piuttosto che avviare una negoziazione collettiva</w:t>
      </w:r>
      <w:r>
        <w:rPr>
          <w:rStyle w:val="FootnoteReference"/>
          <w:sz w:val="28"/>
          <w:szCs w:val="28"/>
        </w:rPr>
        <w:footnoteReference w:id="189"/>
      </w:r>
      <w:r>
        <w:rPr>
          <w:sz w:val="28"/>
          <w:szCs w:val="28"/>
        </w:rPr>
        <w:t>.</w:t>
      </w:r>
    </w:p>
    <w:p w:rsidR="00BD2278" w:rsidRDefault="00BD2278" w:rsidP="00FE4032">
      <w:pPr>
        <w:ind w:firstLine="284"/>
        <w:jc w:val="center"/>
        <w:rPr>
          <w:b/>
          <w:sz w:val="28"/>
          <w:szCs w:val="28"/>
        </w:rPr>
      </w:pPr>
    </w:p>
    <w:p w:rsidR="00BD2278" w:rsidRDefault="00BD2278" w:rsidP="00FE4032">
      <w:pPr>
        <w:ind w:firstLine="284"/>
        <w:jc w:val="center"/>
        <w:rPr>
          <w:b/>
          <w:sz w:val="28"/>
          <w:szCs w:val="28"/>
        </w:rPr>
      </w:pPr>
    </w:p>
    <w:p w:rsidR="00BD2278" w:rsidRDefault="00BD2278" w:rsidP="00FE4032">
      <w:pPr>
        <w:ind w:firstLine="284"/>
        <w:jc w:val="center"/>
        <w:rPr>
          <w:b/>
          <w:sz w:val="28"/>
          <w:szCs w:val="28"/>
        </w:rPr>
      </w:pPr>
    </w:p>
    <w:p w:rsidR="00BD2278" w:rsidRDefault="00BD2278" w:rsidP="00FE4032">
      <w:pPr>
        <w:ind w:firstLine="284"/>
        <w:jc w:val="center"/>
        <w:rPr>
          <w:b/>
          <w:sz w:val="28"/>
          <w:szCs w:val="28"/>
        </w:rPr>
      </w:pPr>
    </w:p>
    <w:p w:rsidR="00BD2278" w:rsidRDefault="00BD2278" w:rsidP="00FE4032">
      <w:pPr>
        <w:ind w:firstLine="284"/>
        <w:jc w:val="center"/>
        <w:rPr>
          <w:b/>
          <w:sz w:val="28"/>
          <w:szCs w:val="28"/>
        </w:rPr>
      </w:pPr>
    </w:p>
    <w:p w:rsidR="00BD2278" w:rsidRDefault="00BD2278" w:rsidP="00FE4032">
      <w:pPr>
        <w:ind w:firstLine="284"/>
        <w:jc w:val="center"/>
        <w:rPr>
          <w:b/>
          <w:sz w:val="28"/>
          <w:szCs w:val="28"/>
        </w:rPr>
      </w:pPr>
    </w:p>
    <w:p w:rsidR="00BD2278" w:rsidRDefault="00BD2278" w:rsidP="00FE4032">
      <w:pPr>
        <w:ind w:firstLine="284"/>
        <w:jc w:val="center"/>
        <w:rPr>
          <w:b/>
          <w:sz w:val="28"/>
          <w:szCs w:val="28"/>
        </w:rPr>
      </w:pPr>
    </w:p>
    <w:p w:rsidR="00BD2278" w:rsidRDefault="00BD2278" w:rsidP="00FE4032">
      <w:pPr>
        <w:ind w:firstLine="284"/>
        <w:jc w:val="center"/>
        <w:rPr>
          <w:b/>
          <w:sz w:val="28"/>
          <w:szCs w:val="28"/>
        </w:rPr>
      </w:pPr>
    </w:p>
    <w:p w:rsidR="00BD2278" w:rsidRDefault="00BD2278" w:rsidP="00FE4032">
      <w:pPr>
        <w:ind w:firstLine="284"/>
        <w:jc w:val="center"/>
        <w:rPr>
          <w:b/>
          <w:sz w:val="28"/>
          <w:szCs w:val="28"/>
        </w:rPr>
      </w:pPr>
    </w:p>
    <w:p w:rsidR="00BD2278" w:rsidRDefault="00BD2278" w:rsidP="00FE4032">
      <w:pPr>
        <w:ind w:firstLine="284"/>
        <w:jc w:val="center"/>
        <w:rPr>
          <w:b/>
          <w:sz w:val="28"/>
          <w:szCs w:val="28"/>
        </w:rPr>
      </w:pPr>
    </w:p>
    <w:p w:rsidR="00BD2278" w:rsidRDefault="00BD2278" w:rsidP="00FE4032">
      <w:pPr>
        <w:ind w:firstLine="284"/>
        <w:jc w:val="center"/>
        <w:rPr>
          <w:b/>
          <w:sz w:val="28"/>
          <w:szCs w:val="28"/>
        </w:rPr>
      </w:pPr>
    </w:p>
    <w:p w:rsidR="00BD2278" w:rsidRDefault="00BD2278" w:rsidP="00FE4032">
      <w:pPr>
        <w:ind w:firstLine="284"/>
        <w:jc w:val="center"/>
        <w:rPr>
          <w:b/>
          <w:sz w:val="28"/>
          <w:szCs w:val="28"/>
        </w:rPr>
      </w:pPr>
    </w:p>
    <w:p w:rsidR="00BD2278" w:rsidRDefault="00BD2278" w:rsidP="00FE4032">
      <w:pPr>
        <w:ind w:firstLine="284"/>
        <w:jc w:val="center"/>
        <w:rPr>
          <w:b/>
          <w:sz w:val="28"/>
          <w:szCs w:val="28"/>
        </w:rPr>
      </w:pPr>
    </w:p>
    <w:p w:rsidR="00BD2278" w:rsidRDefault="00BD2278" w:rsidP="00FE4032">
      <w:pPr>
        <w:ind w:firstLine="284"/>
        <w:jc w:val="center"/>
        <w:rPr>
          <w:b/>
          <w:sz w:val="28"/>
          <w:szCs w:val="28"/>
        </w:rPr>
      </w:pPr>
    </w:p>
    <w:p w:rsidR="00BD2278" w:rsidRDefault="00BD2278" w:rsidP="00FE4032">
      <w:pPr>
        <w:ind w:firstLine="284"/>
        <w:jc w:val="center"/>
        <w:rPr>
          <w:b/>
          <w:sz w:val="28"/>
          <w:szCs w:val="28"/>
        </w:rPr>
      </w:pPr>
    </w:p>
    <w:p w:rsidR="00BD2278" w:rsidRDefault="00BD2278" w:rsidP="00FE4032">
      <w:pPr>
        <w:ind w:firstLine="284"/>
        <w:jc w:val="center"/>
        <w:rPr>
          <w:b/>
          <w:sz w:val="28"/>
          <w:szCs w:val="28"/>
        </w:rPr>
      </w:pPr>
    </w:p>
    <w:p w:rsidR="00BD2278" w:rsidRDefault="00BD2278" w:rsidP="00FE4032">
      <w:pPr>
        <w:ind w:firstLine="284"/>
        <w:jc w:val="center"/>
        <w:rPr>
          <w:b/>
          <w:sz w:val="28"/>
          <w:szCs w:val="28"/>
        </w:rPr>
      </w:pPr>
    </w:p>
    <w:p w:rsidR="00BD2278" w:rsidRDefault="00BD2278" w:rsidP="00FE4032">
      <w:pPr>
        <w:ind w:firstLine="284"/>
        <w:jc w:val="center"/>
        <w:rPr>
          <w:b/>
          <w:sz w:val="28"/>
          <w:szCs w:val="28"/>
        </w:rPr>
      </w:pPr>
    </w:p>
    <w:p w:rsidR="00BD2278" w:rsidRDefault="00BD2278" w:rsidP="00FE4032">
      <w:pPr>
        <w:ind w:firstLine="284"/>
        <w:jc w:val="center"/>
        <w:rPr>
          <w:b/>
          <w:sz w:val="28"/>
          <w:szCs w:val="28"/>
        </w:rPr>
      </w:pPr>
    </w:p>
    <w:p w:rsidR="00BD2278" w:rsidRDefault="00BD2278" w:rsidP="00FE4032">
      <w:pPr>
        <w:ind w:firstLine="284"/>
        <w:jc w:val="center"/>
        <w:rPr>
          <w:b/>
          <w:sz w:val="28"/>
          <w:szCs w:val="28"/>
        </w:rPr>
      </w:pPr>
    </w:p>
    <w:p w:rsidR="00BD2278" w:rsidRDefault="00BD2278" w:rsidP="00FE4032">
      <w:pPr>
        <w:ind w:firstLine="284"/>
        <w:jc w:val="center"/>
        <w:rPr>
          <w:b/>
          <w:sz w:val="28"/>
          <w:szCs w:val="28"/>
        </w:rPr>
      </w:pPr>
    </w:p>
    <w:p w:rsidR="00BD2278" w:rsidRDefault="00BD2278" w:rsidP="00FE4032">
      <w:pPr>
        <w:ind w:firstLine="284"/>
        <w:jc w:val="center"/>
        <w:rPr>
          <w:b/>
          <w:sz w:val="28"/>
          <w:szCs w:val="28"/>
        </w:rPr>
      </w:pPr>
    </w:p>
    <w:p w:rsidR="00BD2278" w:rsidRDefault="00BD2278" w:rsidP="00FE4032">
      <w:pPr>
        <w:ind w:firstLine="284"/>
        <w:jc w:val="center"/>
        <w:rPr>
          <w:b/>
          <w:sz w:val="28"/>
          <w:szCs w:val="28"/>
        </w:rPr>
      </w:pPr>
    </w:p>
    <w:p w:rsidR="00BD2278" w:rsidRPr="005245A4" w:rsidRDefault="00BD2278" w:rsidP="00FE4032">
      <w:pPr>
        <w:tabs>
          <w:tab w:val="left" w:pos="142"/>
          <w:tab w:val="left" w:pos="709"/>
        </w:tabs>
        <w:ind w:firstLine="284"/>
        <w:jc w:val="center"/>
        <w:rPr>
          <w:sz w:val="28"/>
          <w:szCs w:val="28"/>
        </w:rPr>
      </w:pPr>
      <w:r w:rsidRPr="005245A4">
        <w:rPr>
          <w:sz w:val="28"/>
          <w:szCs w:val="28"/>
        </w:rPr>
        <w:t>CAPITOLO III</w:t>
      </w:r>
    </w:p>
    <w:p w:rsidR="00BD2278" w:rsidRDefault="00BD2278" w:rsidP="00F92F90">
      <w:pPr>
        <w:pStyle w:val="Titolocapitolo"/>
      </w:pPr>
      <w:bookmarkStart w:id="18" w:name="_Toc285266432"/>
      <w:r>
        <w:t>I sistemi retributivi</w:t>
      </w:r>
      <w:bookmarkEnd w:id="18"/>
    </w:p>
    <w:p w:rsidR="00BD2278" w:rsidRPr="005245A4" w:rsidRDefault="00BD2278" w:rsidP="00F92F90">
      <w:pPr>
        <w:pStyle w:val="Titolocapitolo"/>
      </w:pPr>
    </w:p>
    <w:p w:rsidR="00BD2278" w:rsidRPr="001D25F6" w:rsidRDefault="00BD2278" w:rsidP="00FE4032">
      <w:pPr>
        <w:tabs>
          <w:tab w:val="left" w:pos="142"/>
          <w:tab w:val="left" w:pos="709"/>
        </w:tabs>
        <w:ind w:firstLine="284"/>
        <w:rPr>
          <w:sz w:val="22"/>
          <w:szCs w:val="22"/>
        </w:rPr>
      </w:pPr>
      <w:r>
        <w:rPr>
          <w:sz w:val="22"/>
          <w:szCs w:val="22"/>
        </w:rPr>
        <w:t xml:space="preserve">Sommario: </w:t>
      </w:r>
      <w:r w:rsidRPr="001D25F6">
        <w:rPr>
          <w:sz w:val="22"/>
          <w:szCs w:val="22"/>
        </w:rPr>
        <w:t xml:space="preserve">. – </w:t>
      </w:r>
      <w:r>
        <w:rPr>
          <w:sz w:val="22"/>
          <w:szCs w:val="22"/>
        </w:rPr>
        <w:t>1</w:t>
      </w:r>
      <w:r w:rsidRPr="001D25F6">
        <w:rPr>
          <w:sz w:val="22"/>
          <w:szCs w:val="22"/>
        </w:rPr>
        <w:t xml:space="preserve">. </w:t>
      </w:r>
      <w:r>
        <w:rPr>
          <w:sz w:val="22"/>
          <w:szCs w:val="22"/>
        </w:rPr>
        <w:t>La retribuzione ad economia. – 2</w:t>
      </w:r>
      <w:r w:rsidRPr="001D25F6">
        <w:rPr>
          <w:sz w:val="22"/>
          <w:szCs w:val="22"/>
        </w:rPr>
        <w:t>. Sistemi retributivi incentivanti: il cottimo. – 3. Sistemi retributivi incentivanti:cenni sui premi di produzione. – 4. Sistemi retributivi incentivanti: la retribuzione v</w:t>
      </w:r>
      <w:r>
        <w:rPr>
          <w:sz w:val="22"/>
          <w:szCs w:val="22"/>
        </w:rPr>
        <w:t>ariabile e i premi di risultato</w:t>
      </w:r>
      <w:r w:rsidRPr="001D25F6">
        <w:rPr>
          <w:sz w:val="22"/>
          <w:szCs w:val="22"/>
        </w:rPr>
        <w:t xml:space="preserve">. – 5. </w:t>
      </w:r>
      <w:r>
        <w:rPr>
          <w:sz w:val="22"/>
          <w:szCs w:val="22"/>
        </w:rPr>
        <w:t>Meriti e premi n</w:t>
      </w:r>
      <w:r w:rsidRPr="001D25F6">
        <w:rPr>
          <w:sz w:val="22"/>
          <w:szCs w:val="22"/>
        </w:rPr>
        <w:t>el pubblico impiego</w:t>
      </w:r>
      <w:r>
        <w:rPr>
          <w:sz w:val="22"/>
          <w:szCs w:val="22"/>
        </w:rPr>
        <w:t>: cenni</w:t>
      </w:r>
      <w:r w:rsidRPr="001D25F6">
        <w:rPr>
          <w:sz w:val="22"/>
          <w:szCs w:val="22"/>
        </w:rPr>
        <w:t>.</w:t>
      </w:r>
    </w:p>
    <w:p w:rsidR="00BD2278" w:rsidRDefault="00BD2278" w:rsidP="00FE4032">
      <w:pPr>
        <w:ind w:firstLine="284"/>
        <w:rPr>
          <w:b/>
        </w:rPr>
      </w:pPr>
    </w:p>
    <w:p w:rsidR="00BD2278" w:rsidRDefault="00BD2278" w:rsidP="00FE4032">
      <w:pPr>
        <w:ind w:firstLine="284"/>
        <w:rPr>
          <w:b/>
        </w:rPr>
      </w:pPr>
    </w:p>
    <w:p w:rsidR="00BD2278" w:rsidRDefault="00BD2278" w:rsidP="006C18F2">
      <w:pPr>
        <w:pStyle w:val="ListParagraph"/>
        <w:numPr>
          <w:ilvl w:val="0"/>
          <w:numId w:val="27"/>
        </w:numPr>
        <w:ind w:left="0" w:firstLine="284"/>
        <w:outlineLvl w:val="1"/>
        <w:rPr>
          <w:sz w:val="28"/>
          <w:szCs w:val="28"/>
        </w:rPr>
      </w:pPr>
      <w:bookmarkStart w:id="19" w:name="_Toc285266433"/>
      <w:r w:rsidRPr="009B00A7">
        <w:rPr>
          <w:rStyle w:val="TitoloparagrafoCarattere"/>
          <w:i/>
        </w:rPr>
        <w:t>La retribuzione ad economia</w:t>
      </w:r>
      <w:r>
        <w:rPr>
          <w:sz w:val="28"/>
          <w:szCs w:val="28"/>
        </w:rPr>
        <w:t>.</w:t>
      </w:r>
      <w:bookmarkEnd w:id="19"/>
    </w:p>
    <w:p w:rsidR="00BD2278" w:rsidRPr="00CE7F46" w:rsidRDefault="00BD2278" w:rsidP="00F92F90">
      <w:pPr>
        <w:pStyle w:val="ListParagraph"/>
        <w:ind w:left="284"/>
        <w:rPr>
          <w:sz w:val="28"/>
          <w:szCs w:val="28"/>
        </w:rPr>
      </w:pPr>
    </w:p>
    <w:p w:rsidR="00BD2278" w:rsidRDefault="00BD2278" w:rsidP="00FE4032">
      <w:pPr>
        <w:ind w:firstLine="284"/>
        <w:rPr>
          <w:sz w:val="28"/>
          <w:szCs w:val="28"/>
        </w:rPr>
      </w:pPr>
      <w:r w:rsidRPr="004F68BD">
        <w:rPr>
          <w:sz w:val="28"/>
          <w:szCs w:val="28"/>
        </w:rPr>
        <w:t>Il primo ed il terzo comma dell’art. 2099</w:t>
      </w:r>
      <w:r>
        <w:rPr>
          <w:sz w:val="28"/>
          <w:szCs w:val="28"/>
        </w:rPr>
        <w:t xml:space="preserve"> c.c. delineano i sistemi di retribuzione. Il lavoratore può essere retribuito a tempo o a cottimo ovvero, in tutto o in parte, con partecipazione agli utili o ai prodotti.</w:t>
      </w:r>
    </w:p>
    <w:p w:rsidR="00BD2278" w:rsidRDefault="00BD2278" w:rsidP="00FE4032">
      <w:pPr>
        <w:ind w:firstLine="284"/>
        <w:rPr>
          <w:sz w:val="28"/>
          <w:szCs w:val="28"/>
        </w:rPr>
      </w:pPr>
      <w:r>
        <w:rPr>
          <w:sz w:val="28"/>
          <w:szCs w:val="28"/>
        </w:rPr>
        <w:t xml:space="preserve">La retribuzione a tempo, comunemente denominata anche “ad economia”, è quella determinata in misura proporzionale alle unità di tempo in cui la prestazione è stata resa o messa a disposizione del datore di lavoro. </w:t>
      </w:r>
    </w:p>
    <w:p w:rsidR="00BD2278" w:rsidRDefault="00BD2278" w:rsidP="00FE4032">
      <w:pPr>
        <w:ind w:firstLine="284"/>
        <w:rPr>
          <w:sz w:val="28"/>
          <w:szCs w:val="28"/>
        </w:rPr>
      </w:pPr>
      <w:r>
        <w:rPr>
          <w:sz w:val="28"/>
          <w:szCs w:val="28"/>
        </w:rPr>
        <w:t>La retribuzione a tempo è la più diffusa e le altre forme costituiscono normalmente compensi parziali o elementi accessori di un sistema complesso, in cui il lavoratore conserva in ogni caso una parte fissa determinata ad economia. Ciò rappresenta evidentemente il risultato di una scelta di politica retributiva effettuata in sede di contrattazione collettiva, ma anche un obbligo giuridico. Si ritiene infatti che sistemi retributivi totalmente aleatori, in cui anche l’</w:t>
      </w:r>
      <w:r>
        <w:rPr>
          <w:i/>
          <w:sz w:val="28"/>
          <w:szCs w:val="28"/>
        </w:rPr>
        <w:t xml:space="preserve">an </w:t>
      </w:r>
      <w:r>
        <w:rPr>
          <w:sz w:val="28"/>
          <w:szCs w:val="28"/>
        </w:rPr>
        <w:t>dell’obbligazione non sia certo, sono da considerasi contrari al precetto costituzionale di cui all’art. 36, in forza del quale deve essere garantita la sufficienza, a prescindere dalla qualità e quantità dell’impegno profuso</w:t>
      </w:r>
      <w:r>
        <w:rPr>
          <w:rStyle w:val="FootnoteReference"/>
          <w:sz w:val="28"/>
          <w:szCs w:val="28"/>
        </w:rPr>
        <w:footnoteReference w:id="190"/>
      </w:r>
      <w:r>
        <w:rPr>
          <w:sz w:val="28"/>
          <w:szCs w:val="28"/>
        </w:rPr>
        <w:t>.</w:t>
      </w:r>
    </w:p>
    <w:p w:rsidR="00BD2278" w:rsidRDefault="00BD2278" w:rsidP="00FE4032">
      <w:pPr>
        <w:ind w:firstLine="284"/>
        <w:rPr>
          <w:sz w:val="28"/>
          <w:szCs w:val="28"/>
        </w:rPr>
      </w:pPr>
      <w:r>
        <w:rPr>
          <w:sz w:val="28"/>
          <w:szCs w:val="28"/>
        </w:rPr>
        <w:t>Il tempo dell’obbligazione retributiva ad economia viene normalmente determinato a cadenza fissa, per cui si parla comunemente di c.d. postnumerazione. A seguito del processo avviato nel 1973 con cui si è operato il riavvicinamento delle categorie degli operai e degli impiegati, il periodo di riferimento di maturazione dell’obbligazione e di commisurazione della retribuzione è normalmente costituito dal mese. La diffusa mensilizzazione della retribuzione non ha influito sulla comune definizione della retribuzione in termini di salario per gli operai e di stipendio per gli impiegati: la differente denominazione continua a conservare una efficacia descrittiva della diversa modalità di computo della prestazione.</w:t>
      </w:r>
    </w:p>
    <w:p w:rsidR="00BD2278" w:rsidRDefault="00BD2278" w:rsidP="00FE4032">
      <w:pPr>
        <w:ind w:firstLine="284"/>
        <w:rPr>
          <w:sz w:val="28"/>
          <w:szCs w:val="28"/>
        </w:rPr>
      </w:pPr>
      <w:r>
        <w:rPr>
          <w:sz w:val="28"/>
          <w:szCs w:val="28"/>
        </w:rPr>
        <w:t>Infatti, per gli operai la retribuzione è tradizionalmente calcolata sulla base delle ore di lavoro effettivamente rese: in tal modo il datore non si assume il rischio della mancata prestazione non derivante da inadempimento</w:t>
      </w:r>
      <w:r>
        <w:rPr>
          <w:rStyle w:val="FootnoteReference"/>
          <w:sz w:val="28"/>
          <w:szCs w:val="28"/>
        </w:rPr>
        <w:footnoteReference w:id="191"/>
      </w:r>
      <w:r>
        <w:rPr>
          <w:sz w:val="28"/>
          <w:szCs w:val="28"/>
        </w:rPr>
        <w:t>.</w:t>
      </w:r>
    </w:p>
    <w:p w:rsidR="00BD2278" w:rsidRDefault="00BD2278" w:rsidP="00FE4032">
      <w:pPr>
        <w:ind w:firstLine="284"/>
        <w:rPr>
          <w:sz w:val="28"/>
          <w:szCs w:val="28"/>
        </w:rPr>
      </w:pPr>
      <w:r>
        <w:rPr>
          <w:sz w:val="28"/>
          <w:szCs w:val="28"/>
        </w:rPr>
        <w:t>Per gli impiegati manca, invece, un rapporto tra le ore di lavoro effettivamente prestato e la retribuzione, pertanto compete al datore l’utilizzazione della prestazione nel modo più funzionale: il lavoratore è esonerato da ogni responsabilità quando abbia diligentemente messo a disposizione le proprie energie psico-fisiche e conserva il diritto alla controprestazione anche se il datore non se ne è avvalso. In tal caso infatti si configura una ipotesi di mora del creditore le cui cause di esclusione sono costituite dalla forza maggiore o dalla condotta altrui, tempestivamente comunicate al prestatore</w:t>
      </w:r>
      <w:r>
        <w:rPr>
          <w:rStyle w:val="FootnoteReference"/>
          <w:sz w:val="28"/>
          <w:szCs w:val="28"/>
        </w:rPr>
        <w:footnoteReference w:id="192"/>
      </w:r>
      <w:r>
        <w:rPr>
          <w:sz w:val="28"/>
          <w:szCs w:val="28"/>
        </w:rPr>
        <w:t>.</w:t>
      </w:r>
    </w:p>
    <w:p w:rsidR="00BD2278" w:rsidRDefault="00BD2278" w:rsidP="00FE4032">
      <w:pPr>
        <w:ind w:firstLine="284"/>
        <w:rPr>
          <w:sz w:val="28"/>
          <w:szCs w:val="28"/>
        </w:rPr>
      </w:pPr>
      <w:r>
        <w:rPr>
          <w:sz w:val="28"/>
          <w:szCs w:val="28"/>
        </w:rPr>
        <w:t>Il calcolo della retribuzione su base mensile non comporta necessariamente la corresponsione con eguale cadenza, che avviene solo per la c.d. retribuzione diretta.</w:t>
      </w:r>
    </w:p>
    <w:p w:rsidR="00BD2278" w:rsidRDefault="00BD2278" w:rsidP="00FE4032">
      <w:pPr>
        <w:ind w:firstLine="284"/>
        <w:rPr>
          <w:sz w:val="28"/>
          <w:szCs w:val="28"/>
        </w:rPr>
      </w:pPr>
      <w:r>
        <w:rPr>
          <w:sz w:val="28"/>
          <w:szCs w:val="28"/>
        </w:rPr>
        <w:t>Vi sono elementi che pur calcolati secondo il medesimo criterio, vengono corrisposti solo a fine anno o al termine del rapporto di lavoro: nella prima categoria rientrano la tredicesima e quattordicesima mensilità mentre nella seconda il trattamento di fine rapporto</w:t>
      </w:r>
      <w:r>
        <w:rPr>
          <w:rStyle w:val="FootnoteReference"/>
          <w:sz w:val="28"/>
          <w:szCs w:val="28"/>
        </w:rPr>
        <w:footnoteReference w:id="193"/>
      </w:r>
      <w:r>
        <w:rPr>
          <w:sz w:val="28"/>
          <w:szCs w:val="28"/>
        </w:rPr>
        <w:t xml:space="preserve"> che potrebbe essere definito come una retribuzione accantonata a corresponsione differita</w:t>
      </w:r>
      <w:r>
        <w:rPr>
          <w:rStyle w:val="FootnoteReference"/>
          <w:sz w:val="28"/>
          <w:szCs w:val="28"/>
        </w:rPr>
        <w:footnoteReference w:id="194"/>
      </w:r>
      <w:r>
        <w:rPr>
          <w:sz w:val="28"/>
          <w:szCs w:val="28"/>
        </w:rPr>
        <w:t>.</w:t>
      </w:r>
    </w:p>
    <w:p w:rsidR="00BD2278" w:rsidRDefault="00BD2278" w:rsidP="00FE4032">
      <w:pPr>
        <w:ind w:firstLine="284"/>
        <w:rPr>
          <w:sz w:val="28"/>
          <w:szCs w:val="28"/>
        </w:rPr>
      </w:pPr>
      <w:r>
        <w:rPr>
          <w:sz w:val="28"/>
          <w:szCs w:val="28"/>
        </w:rPr>
        <w:t>Accanto all’obbligo di corrispondere la retribuzione secondo le modalità convenute, sul datore grava anche quello di consegnare al prestatore il prospetto paga, secondo quanto previsto dalla legge 5 gennaio 1953, n. 4.</w:t>
      </w:r>
    </w:p>
    <w:p w:rsidR="00BD2278" w:rsidRDefault="00BD2278" w:rsidP="00FE4032">
      <w:pPr>
        <w:ind w:firstLine="284"/>
        <w:rPr>
          <w:sz w:val="28"/>
          <w:szCs w:val="28"/>
        </w:rPr>
      </w:pPr>
      <w:r>
        <w:rPr>
          <w:sz w:val="28"/>
          <w:szCs w:val="28"/>
        </w:rPr>
        <w:t xml:space="preserve">Il prospetto deve contenere il nome, il cognome e la qualifica professionale del prestatore, nonché il periodo </w:t>
      </w:r>
      <w:r w:rsidRPr="00767EE5">
        <w:rPr>
          <w:sz w:val="28"/>
          <w:szCs w:val="28"/>
        </w:rPr>
        <w:t>cui la retribuzione si riferisce e tutti   gli   altri   elementi   che,   comunque,   compongono  detta retribuzione</w:t>
      </w:r>
      <w:r>
        <w:rPr>
          <w:sz w:val="28"/>
          <w:szCs w:val="28"/>
        </w:rPr>
        <w:t>, in modo da consentire al destinatario di verificare la correttezza dei calcoli sulle erogazioni.</w:t>
      </w:r>
    </w:p>
    <w:p w:rsidR="00BD2278" w:rsidRDefault="00BD2278" w:rsidP="00FE4032">
      <w:pPr>
        <w:ind w:firstLine="284"/>
        <w:rPr>
          <w:sz w:val="28"/>
          <w:szCs w:val="28"/>
        </w:rPr>
      </w:pPr>
      <w:r>
        <w:rPr>
          <w:sz w:val="28"/>
          <w:szCs w:val="28"/>
        </w:rPr>
        <w:t>Con l’introduzione del libro unico del lavoro ad opera del d.l. 112 del 2008 convertito con la l. 133 del 2009, a norma dell’art. 49 comma quinto, l’obbligo di consegna del prospetto può essere adempiuto anche mediante consegna di copia di un estratto dal suddetto libro.</w:t>
      </w:r>
    </w:p>
    <w:p w:rsidR="00BD2278" w:rsidRDefault="00BD2278" w:rsidP="006C18F2">
      <w:pPr>
        <w:pStyle w:val="ListParagraph"/>
        <w:numPr>
          <w:ilvl w:val="0"/>
          <w:numId w:val="27"/>
        </w:numPr>
        <w:ind w:left="0" w:firstLine="284"/>
        <w:outlineLvl w:val="1"/>
        <w:rPr>
          <w:sz w:val="28"/>
          <w:szCs w:val="28"/>
        </w:rPr>
      </w:pPr>
      <w:bookmarkStart w:id="20" w:name="_Toc285266434"/>
      <w:r w:rsidRPr="009B00A7">
        <w:rPr>
          <w:rStyle w:val="TitoloparagrafoCarattere"/>
          <w:i/>
        </w:rPr>
        <w:t>Sistemi retributivi incentivanti: il cottimo</w:t>
      </w:r>
      <w:r w:rsidRPr="00CE7F46">
        <w:rPr>
          <w:sz w:val="28"/>
          <w:szCs w:val="28"/>
        </w:rPr>
        <w:t>.</w:t>
      </w:r>
      <w:bookmarkEnd w:id="20"/>
    </w:p>
    <w:p w:rsidR="00BD2278" w:rsidRPr="00CE7F46" w:rsidRDefault="00BD2278" w:rsidP="00640B3C">
      <w:pPr>
        <w:pStyle w:val="ListParagraph"/>
        <w:ind w:left="284"/>
        <w:rPr>
          <w:sz w:val="28"/>
          <w:szCs w:val="28"/>
        </w:rPr>
      </w:pPr>
    </w:p>
    <w:p w:rsidR="00BD2278" w:rsidRDefault="00BD2278" w:rsidP="00FE4032">
      <w:pPr>
        <w:ind w:firstLine="284"/>
        <w:rPr>
          <w:sz w:val="28"/>
          <w:szCs w:val="28"/>
        </w:rPr>
      </w:pPr>
      <w:r>
        <w:rPr>
          <w:sz w:val="28"/>
          <w:szCs w:val="28"/>
        </w:rPr>
        <w:t>L’altro sistema previsto dall’art. 2099 c.c. accanto alla retribuzione a tempo, è costituito dal cottimo.</w:t>
      </w:r>
    </w:p>
    <w:p w:rsidR="00BD2278" w:rsidRDefault="00BD2278" w:rsidP="00FE4032">
      <w:pPr>
        <w:ind w:firstLine="284"/>
        <w:rPr>
          <w:sz w:val="28"/>
          <w:szCs w:val="28"/>
        </w:rPr>
      </w:pPr>
      <w:r>
        <w:rPr>
          <w:sz w:val="28"/>
          <w:szCs w:val="28"/>
        </w:rPr>
        <w:t>Il cottimo è una forma retributiva di tipo incentivante, diretta a stimolare la maggiore produttività del prestatore di lavoro</w:t>
      </w:r>
      <w:r>
        <w:rPr>
          <w:rStyle w:val="FootnoteReference"/>
          <w:sz w:val="28"/>
          <w:szCs w:val="28"/>
        </w:rPr>
        <w:footnoteReference w:id="195"/>
      </w:r>
      <w:r>
        <w:rPr>
          <w:sz w:val="28"/>
          <w:szCs w:val="28"/>
        </w:rPr>
        <w:t>.</w:t>
      </w:r>
    </w:p>
    <w:p w:rsidR="00BD2278" w:rsidRDefault="00BD2278" w:rsidP="00FE4032">
      <w:pPr>
        <w:ind w:firstLine="284"/>
        <w:rPr>
          <w:sz w:val="28"/>
          <w:szCs w:val="28"/>
        </w:rPr>
      </w:pPr>
      <w:r>
        <w:rPr>
          <w:sz w:val="28"/>
          <w:szCs w:val="28"/>
        </w:rPr>
        <w:t>Il cottimo viene utilizzato nella remunerazione del prestatore di lavoro subordinato mutuando il sistema di corrispettivo del lavoro autonomo</w:t>
      </w:r>
      <w:r>
        <w:rPr>
          <w:rStyle w:val="FootnoteReference"/>
          <w:sz w:val="28"/>
          <w:szCs w:val="28"/>
        </w:rPr>
        <w:footnoteReference w:id="196"/>
      </w:r>
      <w:r>
        <w:rPr>
          <w:sz w:val="28"/>
          <w:szCs w:val="28"/>
        </w:rPr>
        <w:t>.</w:t>
      </w:r>
    </w:p>
    <w:p w:rsidR="00BD2278" w:rsidRDefault="00BD2278" w:rsidP="00FE4032">
      <w:pPr>
        <w:ind w:firstLine="284"/>
        <w:rPr>
          <w:sz w:val="28"/>
          <w:szCs w:val="28"/>
        </w:rPr>
      </w:pPr>
      <w:r>
        <w:rPr>
          <w:sz w:val="28"/>
          <w:szCs w:val="28"/>
        </w:rPr>
        <w:t>Soprattutto nel settore manifatturiero la diffusione del cottimo precede la rivoluzione industriale, ma è solo con l’affermarsi di sistemi produttivi di tipo tayloristico che esso diventa metodo tipico di remunerazione della manodopera operaia</w:t>
      </w:r>
      <w:r>
        <w:rPr>
          <w:rStyle w:val="FootnoteReference"/>
          <w:sz w:val="28"/>
          <w:szCs w:val="28"/>
        </w:rPr>
        <w:footnoteReference w:id="197"/>
      </w:r>
      <w:r>
        <w:rPr>
          <w:sz w:val="28"/>
          <w:szCs w:val="28"/>
        </w:rPr>
        <w:t>.</w:t>
      </w:r>
    </w:p>
    <w:p w:rsidR="00BD2278" w:rsidRDefault="00BD2278" w:rsidP="00FE4032">
      <w:pPr>
        <w:ind w:firstLine="284"/>
        <w:rPr>
          <w:sz w:val="28"/>
          <w:szCs w:val="28"/>
        </w:rPr>
      </w:pPr>
      <w:r>
        <w:rPr>
          <w:sz w:val="28"/>
          <w:szCs w:val="28"/>
        </w:rPr>
        <w:t>Il cottimo si diffuse particolarmente nell’industria automobilistica in conseguenza dell’elaborazione di sistemi di misurazione dei tempi necessari a compiere determinate operazioni del ciclo produttivo</w:t>
      </w:r>
      <w:r>
        <w:rPr>
          <w:rStyle w:val="FootnoteReference"/>
          <w:sz w:val="28"/>
          <w:szCs w:val="28"/>
        </w:rPr>
        <w:footnoteReference w:id="198"/>
      </w:r>
      <w:r>
        <w:rPr>
          <w:sz w:val="28"/>
          <w:szCs w:val="28"/>
        </w:rPr>
        <w:t>. In questi sistemi, il premio consistente nella maggiorazione retributiva che il prestatore può ottenere attraverso la riduzione dei tempi ovvero nel compimento di un maggior numero di operazioni nel medesimo tempo, costituisce la quota di retribuzione corrisposta a cottimo</w:t>
      </w:r>
      <w:r>
        <w:rPr>
          <w:rStyle w:val="FootnoteReference"/>
          <w:sz w:val="28"/>
          <w:szCs w:val="28"/>
        </w:rPr>
        <w:footnoteReference w:id="199"/>
      </w:r>
      <w:r>
        <w:rPr>
          <w:sz w:val="28"/>
          <w:szCs w:val="28"/>
        </w:rPr>
        <w:t>.</w:t>
      </w:r>
    </w:p>
    <w:p w:rsidR="00BD2278" w:rsidRDefault="00BD2278" w:rsidP="00FE4032">
      <w:pPr>
        <w:ind w:firstLine="284"/>
        <w:rPr>
          <w:sz w:val="28"/>
          <w:szCs w:val="28"/>
        </w:rPr>
      </w:pPr>
      <w:r>
        <w:rPr>
          <w:sz w:val="28"/>
          <w:szCs w:val="28"/>
        </w:rPr>
        <w:t>Una prima regolamentazione giuridica del cottimo viene introdotta nel periodo corporativo con la Carta del lavoro, ove alla Dichiarazione XIV si dice che “le tariffe di cottimo devono essere determinate in modo che all’operaio laborioso, di normale capacità lavorativa sia consentito di conseguire una guadagno minimo oltre la paga base”.</w:t>
      </w:r>
    </w:p>
    <w:p w:rsidR="00BD2278" w:rsidRDefault="00BD2278" w:rsidP="00FE4032">
      <w:pPr>
        <w:ind w:firstLine="284"/>
        <w:rPr>
          <w:sz w:val="28"/>
          <w:szCs w:val="28"/>
        </w:rPr>
      </w:pPr>
      <w:r>
        <w:rPr>
          <w:sz w:val="28"/>
          <w:szCs w:val="28"/>
        </w:rPr>
        <w:t>L’interessamento del legislatore fascista è finalizzato all’ottimizzazione della capacità produttiva dell’apparato industriale, con il solito fine costituito dall’interesse superiore della produzione nazionale riducendo al contempo il rischio di un uso estorsivo del cottimo per ottenere “pluslavoro”</w:t>
      </w:r>
      <w:r>
        <w:rPr>
          <w:rStyle w:val="FootnoteReference"/>
          <w:sz w:val="28"/>
          <w:szCs w:val="28"/>
        </w:rPr>
        <w:footnoteReference w:id="200"/>
      </w:r>
      <w:r>
        <w:rPr>
          <w:sz w:val="28"/>
          <w:szCs w:val="28"/>
        </w:rPr>
        <w:t>.</w:t>
      </w:r>
    </w:p>
    <w:p w:rsidR="00BD2278" w:rsidRDefault="00BD2278" w:rsidP="00FE4032">
      <w:pPr>
        <w:ind w:firstLine="284"/>
        <w:rPr>
          <w:sz w:val="28"/>
          <w:szCs w:val="28"/>
        </w:rPr>
      </w:pPr>
      <w:r>
        <w:rPr>
          <w:sz w:val="28"/>
          <w:szCs w:val="28"/>
        </w:rPr>
        <w:t>La derivazione del cottimo da lavoro autonomo ha probabilmente generato la tradizionale lettura secondo cui il tratto caratterizzante di tale sistema retributivo sarebbe dato dal risultato dell’attività lavorativa</w:t>
      </w:r>
      <w:r>
        <w:rPr>
          <w:rStyle w:val="FootnoteReference"/>
          <w:sz w:val="28"/>
          <w:szCs w:val="28"/>
        </w:rPr>
        <w:footnoteReference w:id="201"/>
      </w:r>
      <w:r>
        <w:rPr>
          <w:sz w:val="28"/>
          <w:szCs w:val="28"/>
        </w:rPr>
        <w:t>.</w:t>
      </w:r>
    </w:p>
    <w:p w:rsidR="00BD2278" w:rsidRDefault="00BD2278" w:rsidP="00FE4032">
      <w:pPr>
        <w:ind w:firstLine="284"/>
        <w:rPr>
          <w:sz w:val="28"/>
          <w:szCs w:val="28"/>
        </w:rPr>
      </w:pPr>
      <w:r>
        <w:rPr>
          <w:sz w:val="28"/>
          <w:szCs w:val="28"/>
        </w:rPr>
        <w:t>In particolare, secondo alcune risalenti opinioni, quando sia stabilita la retribuzione a cottimo, il risultato entra nella causa del contratto</w:t>
      </w:r>
      <w:r>
        <w:rPr>
          <w:rStyle w:val="FootnoteReference"/>
          <w:sz w:val="28"/>
          <w:szCs w:val="28"/>
        </w:rPr>
        <w:footnoteReference w:id="202"/>
      </w:r>
      <w:r>
        <w:rPr>
          <w:sz w:val="28"/>
          <w:szCs w:val="28"/>
        </w:rPr>
        <w:t>.</w:t>
      </w:r>
    </w:p>
    <w:p w:rsidR="00BD2278" w:rsidRDefault="00BD2278" w:rsidP="00FE4032">
      <w:pPr>
        <w:ind w:firstLine="284"/>
        <w:rPr>
          <w:sz w:val="28"/>
          <w:szCs w:val="28"/>
        </w:rPr>
      </w:pPr>
      <w:r>
        <w:rPr>
          <w:sz w:val="28"/>
          <w:szCs w:val="28"/>
        </w:rPr>
        <w:t>Nel “contratto accessorio” con cui si stabilisce tale sistema di retribuzione, inserito nel contratto individuale di lavoro, il lavoratore si assumerebbe l’obbligo di un rendimento più elevato.</w:t>
      </w:r>
    </w:p>
    <w:p w:rsidR="00BD2278" w:rsidRDefault="00BD2278" w:rsidP="00FE4032">
      <w:pPr>
        <w:ind w:firstLine="284"/>
        <w:rPr>
          <w:sz w:val="28"/>
          <w:szCs w:val="28"/>
        </w:rPr>
      </w:pPr>
      <w:r>
        <w:rPr>
          <w:sz w:val="28"/>
          <w:szCs w:val="28"/>
        </w:rPr>
        <w:t>Sulla base di queste premesse si ravvisa un inadempimento nella condotta del lavoratore che mantenga un rendimento sistematicamente pari a quello ad economia</w:t>
      </w:r>
      <w:r>
        <w:rPr>
          <w:rStyle w:val="FootnoteReference"/>
          <w:sz w:val="28"/>
          <w:szCs w:val="28"/>
        </w:rPr>
        <w:footnoteReference w:id="203"/>
      </w:r>
      <w:r>
        <w:rPr>
          <w:sz w:val="28"/>
          <w:szCs w:val="28"/>
        </w:rPr>
        <w:t>.</w:t>
      </w:r>
    </w:p>
    <w:p w:rsidR="00BD2278" w:rsidRDefault="00BD2278" w:rsidP="00FE4032">
      <w:pPr>
        <w:ind w:firstLine="284"/>
        <w:rPr>
          <w:sz w:val="28"/>
          <w:szCs w:val="28"/>
        </w:rPr>
      </w:pPr>
      <w:r>
        <w:rPr>
          <w:sz w:val="28"/>
          <w:szCs w:val="28"/>
        </w:rPr>
        <w:t>In tempi più recenti si è preferito sostituire il criterio del rendimento a quello del risultato quale sistema di commisurazione della retribuzione, per cui resta fermo il diritto alla retribuzione anche quando, per fatto non imputabile al prestatore, il risultato non corrisponda al lavoro svolto</w:t>
      </w:r>
      <w:r>
        <w:rPr>
          <w:rStyle w:val="FootnoteReference"/>
          <w:sz w:val="28"/>
          <w:szCs w:val="28"/>
        </w:rPr>
        <w:footnoteReference w:id="204"/>
      </w:r>
      <w:r>
        <w:rPr>
          <w:sz w:val="28"/>
          <w:szCs w:val="28"/>
        </w:rPr>
        <w:t>.</w:t>
      </w:r>
    </w:p>
    <w:p w:rsidR="00BD2278" w:rsidRDefault="00BD2278" w:rsidP="00FE4032">
      <w:pPr>
        <w:ind w:firstLine="284"/>
        <w:rPr>
          <w:sz w:val="28"/>
          <w:szCs w:val="28"/>
        </w:rPr>
      </w:pPr>
      <w:r>
        <w:rPr>
          <w:sz w:val="28"/>
          <w:szCs w:val="28"/>
        </w:rPr>
        <w:t>La remunerazione a cottimo, che a norma dell’art. 2099 c.c. costituisce una scelta alternativa rimessa alla libertà delle parti rispetto a quella ad economia, in alcuni casi rappresenta il sistema obbligatorio di retribuzione. Ciò avviene in due casi: l’uno rappresentato dalla fattispecie a struttura aperta di cui all’art. 2100 c.c. e l’altro dalla fattispecie tipica di cui all’art. 8 della l. 18 dicembre 1973, n. 877.</w:t>
      </w:r>
    </w:p>
    <w:p w:rsidR="00BD2278" w:rsidRDefault="00BD2278" w:rsidP="00FE4032">
      <w:pPr>
        <w:ind w:firstLine="284"/>
        <w:rPr>
          <w:sz w:val="28"/>
          <w:szCs w:val="28"/>
          <w:lang w:eastAsia="it-IT"/>
        </w:rPr>
      </w:pPr>
      <w:r>
        <w:rPr>
          <w:sz w:val="28"/>
          <w:szCs w:val="28"/>
        </w:rPr>
        <w:t xml:space="preserve">Quest’ultima prescrive infatti la corresponsione della retribuzione dei lavoratori </w:t>
      </w:r>
      <w:r w:rsidRPr="00375389">
        <w:rPr>
          <w:sz w:val="28"/>
          <w:szCs w:val="28"/>
          <w:lang w:eastAsia="it-IT"/>
        </w:rPr>
        <w:t>che</w:t>
      </w:r>
      <w:r>
        <w:rPr>
          <w:sz w:val="28"/>
          <w:szCs w:val="28"/>
          <w:lang w:eastAsia="it-IT"/>
        </w:rPr>
        <w:t xml:space="preserve"> eseguono lavoro a domicilio, </w:t>
      </w:r>
      <w:r w:rsidRPr="00375389">
        <w:rPr>
          <w:sz w:val="28"/>
          <w:szCs w:val="28"/>
          <w:lang w:eastAsia="it-IT"/>
        </w:rPr>
        <w:t>sulla base di tariffe di cottimo pieno risultanti dai contratti collettivi della categoria</w:t>
      </w:r>
      <w:r>
        <w:rPr>
          <w:sz w:val="28"/>
          <w:szCs w:val="28"/>
          <w:lang w:eastAsia="it-IT"/>
        </w:rPr>
        <w:t xml:space="preserve">. La scelta del legislatore è vincolata dalla circostanza contingente per cui non è possibile controllare la durata della prestazione lavorativa e dunque non è praticabile la remunerazione a tempo. Il cottimo pieno di cui al suddetto articolo, obbligatorio </w:t>
      </w:r>
      <w:r w:rsidRPr="008B577A">
        <w:rPr>
          <w:sz w:val="28"/>
          <w:szCs w:val="28"/>
          <w:lang w:eastAsia="it-IT"/>
        </w:rPr>
        <w:t>ex</w:t>
      </w:r>
      <w:r>
        <w:rPr>
          <w:sz w:val="28"/>
          <w:szCs w:val="28"/>
          <w:lang w:eastAsia="it-IT"/>
        </w:rPr>
        <w:t xml:space="preserve"> art. 8 della l. 18 dicembre 1973, n. 877 </w:t>
      </w:r>
      <w:r w:rsidRPr="008B577A">
        <w:rPr>
          <w:sz w:val="28"/>
          <w:szCs w:val="28"/>
          <w:lang w:eastAsia="it-IT"/>
        </w:rPr>
        <w:t>per</w:t>
      </w:r>
      <w:r>
        <w:rPr>
          <w:sz w:val="28"/>
          <w:szCs w:val="28"/>
          <w:lang w:eastAsia="it-IT"/>
        </w:rPr>
        <w:t xml:space="preserve"> la remunerazione del lavoro a domicilio, costituisce il sistema in cui l’intera retribuzione è stabilita sulla base del rendimento del prestatore. Oltre al cottimo pieno esistono forme di cottimo a tempo (o cottimo misto) in cui una parte della retribuzione è determinata ad economia.</w:t>
      </w:r>
    </w:p>
    <w:p w:rsidR="00BD2278" w:rsidRDefault="00BD2278" w:rsidP="00FE4032">
      <w:pPr>
        <w:ind w:firstLine="284"/>
        <w:rPr>
          <w:sz w:val="28"/>
          <w:szCs w:val="28"/>
          <w:lang w:eastAsia="it-IT"/>
        </w:rPr>
      </w:pPr>
      <w:r>
        <w:rPr>
          <w:sz w:val="28"/>
          <w:szCs w:val="28"/>
          <w:lang w:eastAsia="it-IT"/>
        </w:rPr>
        <w:t>L’art. 2100 c.c. prescrive invece la retribuzione a cottimo quando la prestazione sia vincolata ai ritmi produttivi imposti dall’organizzazione del lavoro e quando la valutazione della prestazione si basi sui risultati conseguiti nell’unità di tempo. In passato erano le norme corporative a definire i casi rientranti nella fattispecie astratta descritta all’art. 2100 c.c. Venuto meno l’ordinamento corporativo, solo di rado si è posto il problema della qualificazione giurisprudenziale della verifica di tali condizioni, ed in alcuni risalenti pronunce è stato ritenuto sussistente l’obbligo quando la natura della prestazione avesse richiesto “sforzi superiori al normale”</w:t>
      </w:r>
      <w:r>
        <w:rPr>
          <w:rStyle w:val="FootnoteReference"/>
          <w:sz w:val="28"/>
          <w:szCs w:val="28"/>
          <w:lang w:eastAsia="it-IT"/>
        </w:rPr>
        <w:footnoteReference w:id="205"/>
      </w:r>
      <w:r>
        <w:rPr>
          <w:sz w:val="28"/>
          <w:szCs w:val="28"/>
          <w:lang w:eastAsia="it-IT"/>
        </w:rPr>
        <w:t>.</w:t>
      </w:r>
    </w:p>
    <w:p w:rsidR="00BD2278" w:rsidRDefault="00BD2278" w:rsidP="00FE4032">
      <w:pPr>
        <w:ind w:firstLine="284"/>
        <w:rPr>
          <w:sz w:val="28"/>
          <w:szCs w:val="28"/>
        </w:rPr>
      </w:pPr>
      <w:r>
        <w:rPr>
          <w:sz w:val="28"/>
          <w:szCs w:val="28"/>
        </w:rPr>
        <w:t>Infine, per completezza occorre segnalare che l’art. 2101 c.c. impone a carico del datore di lavoro l’obbligo di comunicare preventivamente al prestatore le condizioni di cui alla tariffa di cottimo, le lavorazioni da eseguire ed il relativo compenso unitario.</w:t>
      </w:r>
    </w:p>
    <w:p w:rsidR="00BD2278" w:rsidRDefault="00BD2278" w:rsidP="00FE4032">
      <w:pPr>
        <w:ind w:firstLine="284"/>
        <w:rPr>
          <w:sz w:val="28"/>
          <w:szCs w:val="28"/>
        </w:rPr>
      </w:pPr>
      <w:r>
        <w:rPr>
          <w:sz w:val="28"/>
          <w:szCs w:val="28"/>
        </w:rPr>
        <w:t>Inoltre le sostituzioni o modificazioni delle condizioni di cui alla tariffa di cottimo sono legittime solo se intervengono mutamenti nelle condizioni di esecuzione del lavoro ed in ogni caso sono efficaci decorso il “periodo di esperimento” previsto nei contratti collettivi. Appare evidente in tali previsioni la volontà di tutelare il cottimista dalle modificazioni unilaterali ad opera del datore di lavoro volte ad aumentare il guadagno marginale, sfruttando le capacità acquisite nel tempo dal prestatore</w:t>
      </w:r>
      <w:r>
        <w:rPr>
          <w:rStyle w:val="FootnoteReference"/>
          <w:sz w:val="28"/>
          <w:szCs w:val="28"/>
        </w:rPr>
        <w:footnoteReference w:id="206"/>
      </w:r>
      <w:r>
        <w:rPr>
          <w:sz w:val="28"/>
          <w:szCs w:val="28"/>
        </w:rPr>
        <w:t>.</w:t>
      </w:r>
    </w:p>
    <w:p w:rsidR="00BD2278" w:rsidRDefault="00BD2278" w:rsidP="00FE4032">
      <w:pPr>
        <w:ind w:firstLine="284"/>
        <w:rPr>
          <w:sz w:val="28"/>
          <w:szCs w:val="28"/>
        </w:rPr>
      </w:pPr>
      <w:r>
        <w:rPr>
          <w:sz w:val="28"/>
          <w:szCs w:val="28"/>
        </w:rPr>
        <w:t>La retribuzione a cottimo, che per lungo tempo è stato un sistema molto diffuso di remunerazione della manodopera operaia, attraversa una fase di crisi di utilizzazione le cui ragioni più evidenti sono costituite dalla modifica dei sistemi di produzione</w:t>
      </w:r>
      <w:r>
        <w:rPr>
          <w:rStyle w:val="FootnoteReference"/>
          <w:sz w:val="28"/>
          <w:szCs w:val="28"/>
        </w:rPr>
        <w:footnoteReference w:id="207"/>
      </w:r>
      <w:r>
        <w:rPr>
          <w:sz w:val="28"/>
          <w:szCs w:val="28"/>
        </w:rPr>
        <w:t>.</w:t>
      </w:r>
    </w:p>
    <w:p w:rsidR="00BD2278" w:rsidRDefault="00BD2278" w:rsidP="00FE4032">
      <w:pPr>
        <w:ind w:firstLine="284"/>
        <w:rPr>
          <w:sz w:val="28"/>
          <w:szCs w:val="28"/>
        </w:rPr>
      </w:pPr>
      <w:r>
        <w:rPr>
          <w:sz w:val="28"/>
          <w:szCs w:val="28"/>
        </w:rPr>
        <w:t>L’applicabilità del cottimo è infatti vincolata alla organizzazione del lavoro di tipo taylorista, caratterizzata dalla specializzazione e ripetitività dei compiti. Mutato il contesto organizzativo delle imprese, esso trova spazi di applicazione limitatamente a quei settori dove ancora esiste una struttura organizzativa assimilabile a quella suddetta, come l’industria tessile e quella meccanica.</w:t>
      </w:r>
    </w:p>
    <w:p w:rsidR="00BD2278" w:rsidRDefault="00BD2278" w:rsidP="00FE4032">
      <w:pPr>
        <w:ind w:firstLine="284"/>
        <w:rPr>
          <w:sz w:val="28"/>
          <w:szCs w:val="28"/>
        </w:rPr>
      </w:pPr>
      <w:r>
        <w:rPr>
          <w:sz w:val="28"/>
          <w:szCs w:val="28"/>
        </w:rPr>
        <w:t>Esiste anche un’altra ragione del declino del sistema di retribuzione a cottimo, ed è essenzialmente di tipo “ideologico-sindacale</w:t>
      </w:r>
      <w:r>
        <w:rPr>
          <w:rStyle w:val="FootnoteReference"/>
          <w:sz w:val="28"/>
          <w:szCs w:val="28"/>
        </w:rPr>
        <w:footnoteReference w:id="208"/>
      </w:r>
      <w:r>
        <w:rPr>
          <w:sz w:val="28"/>
          <w:szCs w:val="28"/>
        </w:rPr>
        <w:t>”: da un lato a partire dagli anni 60 si è diffusa una aperta ostilità verso il c.d. “super-sfruttamento” conseguenza dell’applicazione del cottimo, dall’altro si è registrata una spinta egualitaria per il livellamento delle retribuzioni.</w:t>
      </w:r>
    </w:p>
    <w:p w:rsidR="00BD2278" w:rsidRDefault="00BD2278" w:rsidP="00FE4032">
      <w:pPr>
        <w:ind w:firstLine="284"/>
        <w:rPr>
          <w:sz w:val="28"/>
          <w:szCs w:val="28"/>
        </w:rPr>
      </w:pPr>
      <w:r>
        <w:rPr>
          <w:sz w:val="28"/>
          <w:szCs w:val="28"/>
        </w:rPr>
        <w:t>I mutamenti dei contesti produttivi hanno comportato il declino del cottimo e la diffusione di nuovi sistemi retributivi incentivanti che hanno aperto la strada alla c.d. retribuzione variabile (v. par. 5).</w:t>
      </w:r>
    </w:p>
    <w:p w:rsidR="00BD2278" w:rsidRDefault="00BD2278" w:rsidP="00FE4032">
      <w:pPr>
        <w:ind w:firstLine="284"/>
        <w:rPr>
          <w:sz w:val="28"/>
          <w:szCs w:val="28"/>
        </w:rPr>
      </w:pPr>
    </w:p>
    <w:p w:rsidR="00BD2278" w:rsidRDefault="00BD2278" w:rsidP="00FE4032">
      <w:pPr>
        <w:ind w:firstLine="284"/>
        <w:rPr>
          <w:sz w:val="28"/>
          <w:szCs w:val="28"/>
        </w:rPr>
      </w:pPr>
    </w:p>
    <w:p w:rsidR="00BD2278" w:rsidRDefault="00BD2278" w:rsidP="006C18F2">
      <w:pPr>
        <w:pStyle w:val="ListParagraph"/>
        <w:numPr>
          <w:ilvl w:val="0"/>
          <w:numId w:val="27"/>
        </w:numPr>
        <w:ind w:left="0" w:firstLine="284"/>
        <w:outlineLvl w:val="1"/>
        <w:rPr>
          <w:sz w:val="28"/>
          <w:szCs w:val="28"/>
        </w:rPr>
      </w:pPr>
      <w:bookmarkStart w:id="21" w:name="_Toc285266435"/>
      <w:r w:rsidRPr="009B00A7">
        <w:rPr>
          <w:rStyle w:val="TitoloparagrafoCarattere"/>
          <w:i/>
        </w:rPr>
        <w:t>Sistemi retributivi incentivanti: i premi di produzione</w:t>
      </w:r>
      <w:r w:rsidRPr="00CE7F46">
        <w:rPr>
          <w:sz w:val="28"/>
          <w:szCs w:val="28"/>
        </w:rPr>
        <w:t>.</w:t>
      </w:r>
      <w:bookmarkEnd w:id="21"/>
    </w:p>
    <w:p w:rsidR="00BD2278" w:rsidRPr="00CE7F46" w:rsidRDefault="00BD2278" w:rsidP="00640B3C">
      <w:pPr>
        <w:pStyle w:val="ListParagraph"/>
        <w:ind w:left="284"/>
        <w:rPr>
          <w:sz w:val="28"/>
          <w:szCs w:val="28"/>
        </w:rPr>
      </w:pPr>
    </w:p>
    <w:p w:rsidR="00BD2278" w:rsidRDefault="00BD2278" w:rsidP="00FE4032">
      <w:pPr>
        <w:ind w:firstLine="284"/>
        <w:rPr>
          <w:sz w:val="28"/>
          <w:szCs w:val="28"/>
        </w:rPr>
      </w:pPr>
      <w:r>
        <w:rPr>
          <w:sz w:val="28"/>
          <w:szCs w:val="28"/>
        </w:rPr>
        <w:t>A partire dagli anni ’50, soprattutto grazie alla spinta delle Commissioni interne, si diffonde nella contrattazione aziendale un nuovo strumento di incentivazione salariale costituito dal premio di produzione, con il quale il cottimo convivrà e dividerà la fase di declino</w:t>
      </w:r>
      <w:r>
        <w:rPr>
          <w:rStyle w:val="FootnoteReference"/>
          <w:sz w:val="28"/>
          <w:szCs w:val="28"/>
        </w:rPr>
        <w:footnoteReference w:id="209"/>
      </w:r>
      <w:r>
        <w:rPr>
          <w:sz w:val="28"/>
          <w:szCs w:val="28"/>
        </w:rPr>
        <w:t>.</w:t>
      </w:r>
    </w:p>
    <w:p w:rsidR="00BD2278" w:rsidRDefault="00BD2278" w:rsidP="00FE4032">
      <w:pPr>
        <w:ind w:firstLine="284"/>
        <w:rPr>
          <w:sz w:val="28"/>
          <w:szCs w:val="28"/>
        </w:rPr>
      </w:pPr>
      <w:r>
        <w:rPr>
          <w:sz w:val="28"/>
          <w:szCs w:val="28"/>
        </w:rPr>
        <w:t>Quale forma retributiva incentivante, il premio nasce per aumentare la produttività del lavoro con la promessa di una partecipazione ai risultati aziendali in termini di aumento del salario percepito</w:t>
      </w:r>
      <w:r>
        <w:rPr>
          <w:rStyle w:val="FootnoteReference"/>
          <w:sz w:val="28"/>
          <w:szCs w:val="28"/>
        </w:rPr>
        <w:footnoteReference w:id="210"/>
      </w:r>
      <w:r>
        <w:rPr>
          <w:sz w:val="28"/>
          <w:szCs w:val="28"/>
        </w:rPr>
        <w:t>.</w:t>
      </w:r>
    </w:p>
    <w:p w:rsidR="00BD2278" w:rsidRDefault="00BD2278" w:rsidP="00FE4032">
      <w:pPr>
        <w:ind w:firstLine="284"/>
        <w:rPr>
          <w:sz w:val="28"/>
          <w:szCs w:val="28"/>
        </w:rPr>
      </w:pPr>
      <w:r>
        <w:rPr>
          <w:sz w:val="28"/>
          <w:szCs w:val="28"/>
        </w:rPr>
        <w:t>L’atteggiamento delle parti negoziali rispetto ai premi di produzione è molto diverso a seconda del livello in cui esse operano: la Confindustria e la Cgil non li gradivano temendo la diffusione di trattamenti economici differenziati la prima, e la proliferazione di tendenze corporative la seconda, mentre la Cisl era più possibilista sulla opportunità di prevedere nel contratto nazionale il riconoscimento della facoltà di negoziare i premi a livello aziendale; contrariamente, a livello decentrato, le organizzazioni dei lavoratori in fabbrica e le grandi imprese, ostili all’accentramento delle politiche salariali, trattavano sempre più spesso le condizioni per l’erogazione dei suddetti premi</w:t>
      </w:r>
      <w:r>
        <w:rPr>
          <w:rStyle w:val="FootnoteReference"/>
          <w:sz w:val="28"/>
          <w:szCs w:val="28"/>
        </w:rPr>
        <w:footnoteReference w:id="211"/>
      </w:r>
      <w:r>
        <w:rPr>
          <w:sz w:val="28"/>
          <w:szCs w:val="28"/>
        </w:rPr>
        <w:t>.</w:t>
      </w:r>
    </w:p>
    <w:p w:rsidR="00BD2278" w:rsidRDefault="00BD2278" w:rsidP="00FE4032">
      <w:pPr>
        <w:ind w:firstLine="284"/>
        <w:rPr>
          <w:sz w:val="28"/>
          <w:szCs w:val="28"/>
        </w:rPr>
      </w:pPr>
      <w:r>
        <w:rPr>
          <w:sz w:val="28"/>
          <w:szCs w:val="28"/>
        </w:rPr>
        <w:t>Con la diffusione estesa dei premi di produzione nei contratti aziendali degli anni ’70 si è verificato un mutamento di fatto della funzione dell’istituto, che venne sempre più utilizzato al fine di recuperare la capacità di acquisto dei salari ed erogato a prescindere da aumenti della produttività e come compenso fisso in cifra identica per tutti i lavoratori</w:t>
      </w:r>
      <w:r>
        <w:rPr>
          <w:rStyle w:val="FootnoteReference"/>
          <w:sz w:val="28"/>
          <w:szCs w:val="28"/>
        </w:rPr>
        <w:footnoteReference w:id="212"/>
      </w:r>
      <w:r>
        <w:rPr>
          <w:sz w:val="28"/>
          <w:szCs w:val="28"/>
        </w:rPr>
        <w:t>.</w:t>
      </w:r>
    </w:p>
    <w:p w:rsidR="00BD2278" w:rsidRDefault="00BD2278" w:rsidP="00FE4032">
      <w:pPr>
        <w:ind w:firstLine="284"/>
        <w:rPr>
          <w:sz w:val="28"/>
          <w:szCs w:val="28"/>
        </w:rPr>
      </w:pPr>
      <w:r>
        <w:rPr>
          <w:sz w:val="28"/>
          <w:szCs w:val="28"/>
        </w:rPr>
        <w:t>Dopo il periodo di forte diffusione negli anni ’70, nel decennio successivo si è aperta la fase di declino dei sistemi incentivanti di tipo tradizionale, successivamente certificata nel Protocollo del 1993, e determinata dall’introduzione di erogazioni effettivamente legate a parametri misurabili di produttività e redditività aziendale calcolata sulla base di indicatori tecnico-economici come il fatturato, la qualità del prodotto, il margine operativo lordo, ed attribuita solo al verificarsi della condizione del raggiungimento degli obiettivi programmati</w:t>
      </w:r>
      <w:r>
        <w:rPr>
          <w:rStyle w:val="FootnoteReference"/>
          <w:sz w:val="28"/>
          <w:szCs w:val="28"/>
        </w:rPr>
        <w:footnoteReference w:id="213"/>
      </w:r>
      <w:r>
        <w:rPr>
          <w:sz w:val="28"/>
          <w:szCs w:val="28"/>
        </w:rPr>
        <w:t>.</w:t>
      </w:r>
      <w:r>
        <w:rPr>
          <w:sz w:val="28"/>
          <w:szCs w:val="28"/>
        </w:rPr>
        <w:tab/>
      </w:r>
    </w:p>
    <w:p w:rsidR="00BD2278" w:rsidRDefault="00BD2278" w:rsidP="00FE4032">
      <w:pPr>
        <w:tabs>
          <w:tab w:val="left" w:pos="284"/>
        </w:tabs>
        <w:ind w:firstLine="284"/>
        <w:rPr>
          <w:sz w:val="28"/>
          <w:szCs w:val="28"/>
        </w:rPr>
      </w:pPr>
      <w:r>
        <w:rPr>
          <w:sz w:val="28"/>
          <w:szCs w:val="28"/>
        </w:rPr>
        <w:t>L’impegno delle parti sociali e del Governo, sancito nel Protocollo del 1993, per una politica dei redditi concertata a livello centrale e coordinata a politiche monetarie sostenibili allo scopo di mantenere i salari adeguati al costo della vita, non lasciava spazio a miglioramenti retributivi stabiliti a livello aziendale che non fossero legati ad aumenti di produttività, in modo che si evitassero spirali inflazionistiche e si consentisse la partecipazione dei lavoratori ai risultati dell’impresa rendendo effettiva la funzione incentivante.</w:t>
      </w:r>
    </w:p>
    <w:p w:rsidR="00BD2278" w:rsidRDefault="00BD2278" w:rsidP="00FE4032">
      <w:pPr>
        <w:tabs>
          <w:tab w:val="left" w:pos="284"/>
        </w:tabs>
        <w:ind w:firstLine="284"/>
        <w:rPr>
          <w:sz w:val="28"/>
          <w:szCs w:val="28"/>
        </w:rPr>
      </w:pPr>
      <w:r>
        <w:rPr>
          <w:sz w:val="28"/>
          <w:szCs w:val="28"/>
        </w:rPr>
        <w:t>Pertanto il sistema di relazioni industriali sembrava muoversi verso sistemi retributivi incentivanti di tipo partecipativo, basati sulla redditività aziendale</w:t>
      </w:r>
      <w:r>
        <w:rPr>
          <w:rStyle w:val="FootnoteReference"/>
          <w:sz w:val="28"/>
          <w:szCs w:val="28"/>
        </w:rPr>
        <w:footnoteReference w:id="214"/>
      </w:r>
      <w:r>
        <w:rPr>
          <w:sz w:val="28"/>
          <w:szCs w:val="28"/>
        </w:rPr>
        <w:t>, anche se inizialmente, pur apprezzandosi la novità, si osservava come l’entità delle voci retributive legate ad indici variabili fosse contenuta</w:t>
      </w:r>
      <w:r>
        <w:rPr>
          <w:rStyle w:val="FootnoteReference"/>
          <w:sz w:val="28"/>
          <w:szCs w:val="28"/>
        </w:rPr>
        <w:footnoteReference w:id="215"/>
      </w:r>
      <w:r>
        <w:rPr>
          <w:sz w:val="28"/>
          <w:szCs w:val="28"/>
        </w:rPr>
        <w:t>.</w:t>
      </w:r>
    </w:p>
    <w:p w:rsidR="00BD2278" w:rsidRDefault="00BD2278" w:rsidP="00FE4032">
      <w:pPr>
        <w:ind w:firstLine="284"/>
        <w:jc w:val="center"/>
        <w:rPr>
          <w:sz w:val="28"/>
          <w:szCs w:val="28"/>
        </w:rPr>
      </w:pPr>
    </w:p>
    <w:p w:rsidR="00BD2278" w:rsidRPr="001612AF" w:rsidRDefault="00BD2278" w:rsidP="00FE4032">
      <w:pPr>
        <w:ind w:firstLine="284"/>
        <w:jc w:val="center"/>
        <w:rPr>
          <w:sz w:val="28"/>
          <w:szCs w:val="28"/>
        </w:rPr>
      </w:pPr>
      <w:r>
        <w:rPr>
          <w:sz w:val="28"/>
          <w:szCs w:val="28"/>
        </w:rPr>
        <w:t xml:space="preserve"> </w:t>
      </w:r>
    </w:p>
    <w:p w:rsidR="00BD2278" w:rsidRDefault="00BD2278" w:rsidP="00075EBB">
      <w:pPr>
        <w:pStyle w:val="ListParagraph"/>
        <w:numPr>
          <w:ilvl w:val="0"/>
          <w:numId w:val="27"/>
        </w:numPr>
        <w:ind w:hanging="436"/>
        <w:outlineLvl w:val="1"/>
        <w:rPr>
          <w:sz w:val="28"/>
          <w:szCs w:val="28"/>
        </w:rPr>
      </w:pPr>
      <w:bookmarkStart w:id="22" w:name="_Toc285266436"/>
      <w:r w:rsidRPr="009B00A7">
        <w:rPr>
          <w:rStyle w:val="TitoloparagrafoCarattere"/>
          <w:i/>
        </w:rPr>
        <w:t>Sistemi retributivi incentivanti: la retribuzione variabile e i premi di risultato</w:t>
      </w:r>
      <w:r w:rsidRPr="00CE7F46">
        <w:rPr>
          <w:sz w:val="28"/>
          <w:szCs w:val="28"/>
        </w:rPr>
        <w:t>.</w:t>
      </w:r>
      <w:bookmarkEnd w:id="22"/>
    </w:p>
    <w:p w:rsidR="00BD2278" w:rsidRPr="00CE7F46" w:rsidRDefault="00BD2278" w:rsidP="00640B3C">
      <w:pPr>
        <w:pStyle w:val="ListParagraph"/>
        <w:ind w:left="284"/>
        <w:rPr>
          <w:sz w:val="28"/>
          <w:szCs w:val="28"/>
        </w:rPr>
      </w:pPr>
    </w:p>
    <w:p w:rsidR="00BD2278" w:rsidRDefault="00BD2278" w:rsidP="00FE4032">
      <w:pPr>
        <w:ind w:firstLine="284"/>
        <w:rPr>
          <w:sz w:val="28"/>
          <w:szCs w:val="28"/>
        </w:rPr>
      </w:pPr>
      <w:r>
        <w:rPr>
          <w:sz w:val="28"/>
          <w:szCs w:val="28"/>
        </w:rPr>
        <w:t>Per retribuzione variabile si intende la quota, sul corrispettivo totale percepito dal prestatore, calcolata sulla base di indici estrinseci al lavoro come la produttività o redditività dell’impresa</w:t>
      </w:r>
      <w:r>
        <w:rPr>
          <w:rStyle w:val="FootnoteReference"/>
          <w:sz w:val="28"/>
          <w:szCs w:val="28"/>
        </w:rPr>
        <w:footnoteReference w:id="216"/>
      </w:r>
      <w:r>
        <w:rPr>
          <w:sz w:val="28"/>
          <w:szCs w:val="28"/>
        </w:rPr>
        <w:t>.</w:t>
      </w:r>
    </w:p>
    <w:p w:rsidR="00BD2278" w:rsidRDefault="00BD2278" w:rsidP="00FE4032">
      <w:pPr>
        <w:ind w:firstLine="284"/>
        <w:rPr>
          <w:sz w:val="28"/>
          <w:szCs w:val="28"/>
        </w:rPr>
      </w:pPr>
      <w:r>
        <w:rPr>
          <w:sz w:val="28"/>
          <w:szCs w:val="28"/>
        </w:rPr>
        <w:t>L’affermazione dei premi di produttività e di redditività quale principale forma retributiva incentivante è conseguenza della esigenza di partecipazione ai risultati d’impresa e di flessibilità dell’industria post-fordista.</w:t>
      </w:r>
    </w:p>
    <w:p w:rsidR="00BD2278" w:rsidRDefault="00BD2278" w:rsidP="00FE4032">
      <w:pPr>
        <w:ind w:firstLine="284"/>
        <w:rPr>
          <w:sz w:val="28"/>
          <w:szCs w:val="28"/>
        </w:rPr>
      </w:pPr>
      <w:r>
        <w:rPr>
          <w:sz w:val="28"/>
          <w:szCs w:val="28"/>
        </w:rPr>
        <w:t>In particolare la funzione incentivante dei premi di produttività, con cui si consente al lavoratore di partecipare ai risultati di impresa determinati da prestazioni virtuose, risulta evidente dagli indicatori utilizzati (qualità e quantità del prodotto, percentuale degli scarti, risparmio dei costi) che ricadono nella “sfera di dominio e controllo dei lavoratori”; mentre è evidente la funzione di flessibilizzazione nei premi di redditività dagli indici (fatturato, rapporto tra costo del lavoro e valore della produzione, risultato di gestione, margine operativo lordo, utile di gestione) in cui il risultato prescinde da condotte del lavoratore e dipende da scelte strategiche e condizioni di mercato sulle quali non può agire</w:t>
      </w:r>
      <w:r>
        <w:rPr>
          <w:rStyle w:val="FootnoteReference"/>
          <w:sz w:val="28"/>
          <w:szCs w:val="28"/>
        </w:rPr>
        <w:footnoteReference w:id="217"/>
      </w:r>
      <w:r>
        <w:rPr>
          <w:sz w:val="28"/>
          <w:szCs w:val="28"/>
        </w:rPr>
        <w:t>.</w:t>
      </w:r>
    </w:p>
    <w:p w:rsidR="00BD2278" w:rsidRDefault="00BD2278" w:rsidP="00FE4032">
      <w:pPr>
        <w:ind w:firstLine="284"/>
        <w:rPr>
          <w:sz w:val="28"/>
          <w:szCs w:val="28"/>
        </w:rPr>
      </w:pPr>
      <w:r>
        <w:rPr>
          <w:sz w:val="28"/>
          <w:szCs w:val="28"/>
        </w:rPr>
        <w:t>In entrambi i casi può sembrare che il sistema retributivo variabile si sottragga alla regola della corrispettività: per i premi di redditività ciò risulta evidente dalla circostanza che gli indicatori sfuggono al controllo del lavoratore e dunque la retribuzione variabile è sciolta dalla prestazione. Mentre per i premi di produttività, la percezione dell’aumento salariale è incerta nell’</w:t>
      </w:r>
      <w:r w:rsidRPr="00D61B45">
        <w:rPr>
          <w:i/>
          <w:sz w:val="28"/>
          <w:szCs w:val="28"/>
        </w:rPr>
        <w:t>an</w:t>
      </w:r>
      <w:r>
        <w:rPr>
          <w:sz w:val="28"/>
          <w:szCs w:val="28"/>
        </w:rPr>
        <w:t xml:space="preserve"> </w:t>
      </w:r>
      <w:r w:rsidRPr="00037D0E">
        <w:rPr>
          <w:sz w:val="28"/>
          <w:szCs w:val="28"/>
        </w:rPr>
        <w:t>e</w:t>
      </w:r>
      <w:r>
        <w:rPr>
          <w:i/>
          <w:sz w:val="28"/>
          <w:szCs w:val="28"/>
        </w:rPr>
        <w:t xml:space="preserve"> </w:t>
      </w:r>
      <w:r w:rsidRPr="00D61B45">
        <w:rPr>
          <w:sz w:val="28"/>
          <w:szCs w:val="28"/>
        </w:rPr>
        <w:t>nel</w:t>
      </w:r>
      <w:r>
        <w:rPr>
          <w:i/>
          <w:sz w:val="28"/>
          <w:szCs w:val="28"/>
        </w:rPr>
        <w:t xml:space="preserve"> </w:t>
      </w:r>
      <w:r w:rsidRPr="00D61B45">
        <w:rPr>
          <w:i/>
          <w:sz w:val="28"/>
          <w:szCs w:val="28"/>
        </w:rPr>
        <w:t>quantum</w:t>
      </w:r>
      <w:r>
        <w:rPr>
          <w:sz w:val="28"/>
          <w:szCs w:val="28"/>
        </w:rPr>
        <w:t xml:space="preserve"> perché non dipende dall’utilità della prestazione del lavoratore, come evidente per i premi collettivi, in cui la produttività è valutata con riguardo alla prestazione di tutti i lavoratori dell’impresa o di una parte ben identificata di essa.</w:t>
      </w:r>
    </w:p>
    <w:p w:rsidR="00BD2278" w:rsidRDefault="00BD2278" w:rsidP="00FE4032">
      <w:pPr>
        <w:ind w:firstLine="284"/>
        <w:rPr>
          <w:sz w:val="28"/>
          <w:szCs w:val="28"/>
        </w:rPr>
      </w:pPr>
      <w:r>
        <w:rPr>
          <w:sz w:val="28"/>
          <w:szCs w:val="28"/>
        </w:rPr>
        <w:t>In realtà il carattere della corrispettività non viene meno ma per verificarne la ricorrenza occorre rimodulare gli indici tradizionali.</w:t>
      </w:r>
    </w:p>
    <w:p w:rsidR="00BD2278" w:rsidRDefault="00BD2278" w:rsidP="00FE4032">
      <w:pPr>
        <w:ind w:firstLine="284"/>
        <w:rPr>
          <w:sz w:val="28"/>
          <w:szCs w:val="28"/>
        </w:rPr>
      </w:pPr>
      <w:r>
        <w:rPr>
          <w:sz w:val="28"/>
          <w:szCs w:val="28"/>
        </w:rPr>
        <w:t>Infatti i premi di produttività remunerano l’utilità della prestazione in relazione al risultato ottenuto mentre i premi di redditività non determinano un aumento della retribuzione svincolato dalla prestazione ma rivalutano la remunerazione della prestazione in relazione ai risultati dell’impresa</w:t>
      </w:r>
      <w:r>
        <w:rPr>
          <w:rStyle w:val="FootnoteReference"/>
          <w:sz w:val="28"/>
          <w:szCs w:val="28"/>
        </w:rPr>
        <w:footnoteReference w:id="218"/>
      </w:r>
      <w:r>
        <w:rPr>
          <w:sz w:val="28"/>
          <w:szCs w:val="28"/>
        </w:rPr>
        <w:t>.</w:t>
      </w:r>
    </w:p>
    <w:p w:rsidR="00BD2278" w:rsidRDefault="00BD2278" w:rsidP="00FE4032">
      <w:pPr>
        <w:ind w:firstLine="284"/>
        <w:rPr>
          <w:sz w:val="28"/>
          <w:szCs w:val="28"/>
        </w:rPr>
      </w:pPr>
      <w:r>
        <w:rPr>
          <w:sz w:val="28"/>
          <w:szCs w:val="28"/>
        </w:rPr>
        <w:t>In altri termini, analizzando con approccio relativistico gli incentivi di redditività</w:t>
      </w:r>
      <w:r>
        <w:rPr>
          <w:rStyle w:val="FootnoteReference"/>
          <w:sz w:val="28"/>
          <w:szCs w:val="28"/>
        </w:rPr>
        <w:footnoteReference w:id="219"/>
      </w:r>
      <w:r>
        <w:rPr>
          <w:sz w:val="28"/>
          <w:szCs w:val="28"/>
        </w:rPr>
        <w:t xml:space="preserve">, e dunque prendendo in considerazione esclusivamente la parte variabile della retribuzione, poiché manca ogni relazione tra il </w:t>
      </w:r>
      <w:r>
        <w:rPr>
          <w:i/>
          <w:sz w:val="28"/>
          <w:szCs w:val="28"/>
        </w:rPr>
        <w:t xml:space="preserve">facere </w:t>
      </w:r>
      <w:r>
        <w:rPr>
          <w:sz w:val="28"/>
          <w:szCs w:val="28"/>
        </w:rPr>
        <w:t>e l’obbligazione retributiva, potrebbe ritenersi violato il principio costituzionale della proporzionalità. Tuttavia, l’obbligazione retributiva deve essere considerata complessivamente come comprendente tanto la retribuzione variabile quanto quella fissa. Perciò  fintanto che la componente variabile non assuma rilievo preponderante potrà ritenersi sussistente una corrispettività tra l’obbligazione del prestatore e del datore di lavoro, nonché rispettato il principio della proporzionalità</w:t>
      </w:r>
      <w:r>
        <w:rPr>
          <w:rStyle w:val="FootnoteReference"/>
          <w:sz w:val="28"/>
          <w:szCs w:val="28"/>
        </w:rPr>
        <w:footnoteReference w:id="220"/>
      </w:r>
      <w:r>
        <w:rPr>
          <w:sz w:val="28"/>
          <w:szCs w:val="28"/>
        </w:rPr>
        <w:t>.</w:t>
      </w:r>
    </w:p>
    <w:p w:rsidR="00BD2278" w:rsidRDefault="00BD2278" w:rsidP="00FE4032">
      <w:pPr>
        <w:ind w:firstLine="284"/>
        <w:rPr>
          <w:sz w:val="28"/>
          <w:szCs w:val="28"/>
        </w:rPr>
      </w:pPr>
      <w:r>
        <w:rPr>
          <w:sz w:val="28"/>
          <w:szCs w:val="28"/>
        </w:rPr>
        <w:t>Superata la questione di una possibile violazione del canone della proporzionalità alla condizione che mantenga una posizione centrale la natura corrispettiva dell’obbligazione retributiva, resta da capire se l’eventuale compressione della retribuzione in esito ad eventi che sfuggono al controllo del lavoratore possa determinare una violazione del principio di irriducibilità della retribuzione desumibile dall’art. 36 Cost.</w:t>
      </w:r>
    </w:p>
    <w:p w:rsidR="00BD2278" w:rsidRDefault="00BD2278" w:rsidP="00FE4032">
      <w:pPr>
        <w:ind w:firstLine="284"/>
        <w:rPr>
          <w:sz w:val="28"/>
          <w:szCs w:val="28"/>
        </w:rPr>
      </w:pPr>
      <w:r>
        <w:rPr>
          <w:sz w:val="28"/>
          <w:szCs w:val="28"/>
        </w:rPr>
        <w:t>In realtà si fa osservare che tale principio riguarda esclusivamente il criterio della sufficienza e pertanto finché permane una relazione corrispettiva tra prestazione e</w:t>
      </w:r>
      <w:r w:rsidRPr="00180012">
        <w:rPr>
          <w:sz w:val="28"/>
          <w:szCs w:val="28"/>
        </w:rPr>
        <w:t xml:space="preserve"> </w:t>
      </w:r>
      <w:r>
        <w:rPr>
          <w:sz w:val="28"/>
          <w:szCs w:val="28"/>
        </w:rPr>
        <w:t>retribuzione, determinata nella sua quota fissa in misura sufficiente, non può ipotizzarsi alcuna rilevanza della questione</w:t>
      </w:r>
      <w:r>
        <w:rPr>
          <w:rStyle w:val="FootnoteReference"/>
          <w:sz w:val="28"/>
          <w:szCs w:val="28"/>
        </w:rPr>
        <w:footnoteReference w:id="221"/>
      </w:r>
      <w:r>
        <w:rPr>
          <w:sz w:val="28"/>
          <w:szCs w:val="28"/>
        </w:rPr>
        <w:t>.</w:t>
      </w:r>
    </w:p>
    <w:p w:rsidR="00BD2278" w:rsidRDefault="00BD2278" w:rsidP="00FE4032">
      <w:pPr>
        <w:ind w:firstLine="284"/>
        <w:rPr>
          <w:sz w:val="28"/>
          <w:szCs w:val="28"/>
        </w:rPr>
      </w:pPr>
      <w:r>
        <w:rPr>
          <w:sz w:val="28"/>
          <w:szCs w:val="28"/>
        </w:rPr>
        <w:t>Pertanto, finché sussistono le condizioni esposte, possono ritenersi superate le questioni di costituzionalità dei premi variabili, anche nella forma degli incentivi di redditività.</w:t>
      </w:r>
    </w:p>
    <w:p w:rsidR="00BD2278" w:rsidRDefault="00BD2278" w:rsidP="00FE4032">
      <w:pPr>
        <w:ind w:firstLine="284"/>
        <w:rPr>
          <w:sz w:val="28"/>
          <w:szCs w:val="28"/>
        </w:rPr>
      </w:pPr>
      <w:r>
        <w:rPr>
          <w:sz w:val="28"/>
          <w:szCs w:val="28"/>
        </w:rPr>
        <w:t>Superati i problemi di legittimità costituzionale, con il Protocollo del 1993 sembra aperta la strada ad una reale diffusione della contrattazione decentrata, in particolare di quella aziendale, e dei premi, che ne costituiscono l’oggetto principale. Tuttavia le ricerche hanno dimostrato la limitata diffusione della retribuzione incentivante</w:t>
      </w:r>
      <w:r>
        <w:rPr>
          <w:rStyle w:val="FootnoteReference"/>
          <w:sz w:val="28"/>
          <w:szCs w:val="28"/>
        </w:rPr>
        <w:footnoteReference w:id="222"/>
      </w:r>
      <w:r>
        <w:rPr>
          <w:sz w:val="28"/>
          <w:szCs w:val="28"/>
        </w:rPr>
        <w:t>.</w:t>
      </w:r>
    </w:p>
    <w:p w:rsidR="00BD2278" w:rsidRDefault="00BD2278" w:rsidP="00FE4032">
      <w:pPr>
        <w:ind w:firstLine="284"/>
        <w:rPr>
          <w:sz w:val="28"/>
          <w:szCs w:val="28"/>
        </w:rPr>
      </w:pPr>
      <w:r>
        <w:rPr>
          <w:sz w:val="28"/>
          <w:szCs w:val="28"/>
        </w:rPr>
        <w:t>Le ragioni di una scarsa diffusione sono molteplici (cfr. Cap. II, par. 4), alcune anche legate alla particolare congiuntura economica che ha determinato la scarsezza delle risorse da destinare alla redistribuzione attraverso gli incentivi. Tuttavia tra essi non si può ignorare il dato della “convergenza fra le preferenze delle imprese e dei lavoratori” ed in particolare la resistenza di questi ultimi ad accettare la possibilità di una riduzione dei livelli retributivi nei periodi di crisi della produttività. Ciò, tanto più nel caso di incentivi di redditività i cui indicatori sfuggono al potere di controllo del prestatore</w:t>
      </w:r>
      <w:r>
        <w:rPr>
          <w:rStyle w:val="FootnoteReference"/>
          <w:sz w:val="28"/>
          <w:szCs w:val="28"/>
        </w:rPr>
        <w:footnoteReference w:id="223"/>
      </w:r>
      <w:r>
        <w:rPr>
          <w:sz w:val="28"/>
          <w:szCs w:val="28"/>
        </w:rPr>
        <w:t>.</w:t>
      </w:r>
    </w:p>
    <w:p w:rsidR="00BD2278" w:rsidRDefault="00BD2278" w:rsidP="00FE4032">
      <w:pPr>
        <w:ind w:firstLine="284"/>
        <w:rPr>
          <w:sz w:val="28"/>
          <w:szCs w:val="28"/>
        </w:rPr>
      </w:pPr>
      <w:r>
        <w:rPr>
          <w:sz w:val="28"/>
          <w:szCs w:val="28"/>
        </w:rPr>
        <w:t xml:space="preserve">Si può ipotizzare inoltre che la resistenza alla diffusione degli incentivi alla produttività derivi anche dalla percezione tra tutti i soggetti, individuali e collettivi, della difficoltà di equilibrare, nel sistema di indicatori, l’esigenza di semplicità necessarie a dare certezza agli obiettivi da raggiungere (e consentire un semplice controllo </w:t>
      </w:r>
      <w:r>
        <w:rPr>
          <w:i/>
          <w:sz w:val="28"/>
          <w:szCs w:val="28"/>
        </w:rPr>
        <w:t>ex</w:t>
      </w:r>
      <w:r>
        <w:rPr>
          <w:sz w:val="28"/>
          <w:szCs w:val="28"/>
        </w:rPr>
        <w:t xml:space="preserve"> </w:t>
      </w:r>
      <w:r>
        <w:rPr>
          <w:i/>
          <w:sz w:val="28"/>
          <w:szCs w:val="28"/>
        </w:rPr>
        <w:t>post</w:t>
      </w:r>
      <w:r>
        <w:rPr>
          <w:sz w:val="28"/>
          <w:szCs w:val="28"/>
        </w:rPr>
        <w:t>) con l’esigenza di tenere conto di tutte le variabili che influenzano i comportamenti personali e organizzativi</w:t>
      </w:r>
      <w:r>
        <w:rPr>
          <w:rStyle w:val="FootnoteReference"/>
          <w:sz w:val="28"/>
          <w:szCs w:val="28"/>
        </w:rPr>
        <w:footnoteReference w:id="224"/>
      </w:r>
      <w:r>
        <w:rPr>
          <w:sz w:val="28"/>
          <w:szCs w:val="28"/>
        </w:rPr>
        <w:t>.</w:t>
      </w:r>
    </w:p>
    <w:p w:rsidR="00BD2278" w:rsidRDefault="00BD2278" w:rsidP="00FE4032">
      <w:pPr>
        <w:ind w:firstLine="284"/>
        <w:rPr>
          <w:sz w:val="28"/>
          <w:szCs w:val="28"/>
        </w:rPr>
      </w:pPr>
      <w:r>
        <w:rPr>
          <w:sz w:val="28"/>
          <w:szCs w:val="28"/>
        </w:rPr>
        <w:t>Sulla base di queste premesse si può legittimamente dubitare della riuscita del tentativo di rilanciare la contrattazione di secondo livello e dunque dei premi di risultato che dovrebbero perseguire la finalità redistributiva che le è propria.</w:t>
      </w:r>
    </w:p>
    <w:p w:rsidR="00BD2278" w:rsidRDefault="00BD2278" w:rsidP="00FE4032">
      <w:pPr>
        <w:ind w:firstLine="284"/>
        <w:rPr>
          <w:sz w:val="28"/>
          <w:szCs w:val="28"/>
        </w:rPr>
      </w:pPr>
      <w:r>
        <w:rPr>
          <w:sz w:val="28"/>
          <w:szCs w:val="28"/>
        </w:rPr>
        <w:t>Da ultimo deve essere data la necessaria rilevanza al fatto che, nella maggior parte dei casi in cui vi la contrattazione aziendale abbia previsto l’erogazione di premi, sono negoziate misure incentivanti di tipo collettivo.</w:t>
      </w:r>
    </w:p>
    <w:p w:rsidR="00BD2278" w:rsidRDefault="00BD2278" w:rsidP="00FE4032">
      <w:pPr>
        <w:ind w:firstLine="284"/>
        <w:rPr>
          <w:sz w:val="28"/>
          <w:szCs w:val="28"/>
        </w:rPr>
      </w:pPr>
      <w:r>
        <w:rPr>
          <w:sz w:val="28"/>
          <w:szCs w:val="28"/>
        </w:rPr>
        <w:t>Ai premi collettivi la giurisprudenza prevalente equipara il caso di concessioni unilaterali di compensi legati alla produttività a tutti o ad una parte dei dipendenti. Queste concessioni, se presentano determinate caratteristiche quali la ripetitività o l’assenza di riserve di revocabilità, vengono qualificate come usi aziendali e, innescando nei prestatori di lavoro l’affidamento sulla stabilità, sono ritenute idonee a rappresentare un fatto concludente con cui il datore si assume l’ obbligo giuridico di non interromperle</w:t>
      </w:r>
      <w:r>
        <w:rPr>
          <w:rStyle w:val="FootnoteReference"/>
          <w:sz w:val="28"/>
          <w:szCs w:val="28"/>
        </w:rPr>
        <w:footnoteReference w:id="225"/>
      </w:r>
      <w:r>
        <w:rPr>
          <w:sz w:val="28"/>
          <w:szCs w:val="28"/>
        </w:rPr>
        <w:t>.</w:t>
      </w:r>
    </w:p>
    <w:p w:rsidR="00BD2278" w:rsidRDefault="00BD2278" w:rsidP="00FE4032">
      <w:pPr>
        <w:ind w:firstLine="284"/>
        <w:rPr>
          <w:sz w:val="28"/>
          <w:szCs w:val="28"/>
        </w:rPr>
      </w:pPr>
      <w:r>
        <w:rPr>
          <w:sz w:val="28"/>
          <w:szCs w:val="28"/>
        </w:rPr>
        <w:t>La giurisprudenza più recente ha mutato orientamento e abbandonato l’idea che il datore si assumesse obblighi singolarmente con ciascuno dei percettori delle irrogazioni: secondo il nuovo corso gli usi aziendali fanno sorgere un obbligo unilaterale a carattere collettivo che agisce sui rapporti individuali alla stessa stregua di un contratto collettivo</w:t>
      </w:r>
      <w:r>
        <w:rPr>
          <w:rStyle w:val="FootnoteReference"/>
          <w:sz w:val="28"/>
          <w:szCs w:val="28"/>
        </w:rPr>
        <w:footnoteReference w:id="226"/>
      </w:r>
      <w:r>
        <w:rPr>
          <w:sz w:val="28"/>
          <w:szCs w:val="28"/>
        </w:rPr>
        <w:t>.</w:t>
      </w:r>
    </w:p>
    <w:p w:rsidR="00BD2278" w:rsidRDefault="00BD2278" w:rsidP="00FE4032">
      <w:pPr>
        <w:ind w:firstLine="284"/>
        <w:rPr>
          <w:sz w:val="28"/>
          <w:szCs w:val="28"/>
        </w:rPr>
      </w:pPr>
      <w:r>
        <w:rPr>
          <w:sz w:val="28"/>
          <w:szCs w:val="28"/>
        </w:rPr>
        <w:t>Negli stessi precedenti di legittimità viene anche prospettata l’alternativa, sul piano della qualificazione giuridica, di considerare gli usi aziendali come “fonte sociale”.</w:t>
      </w:r>
    </w:p>
    <w:p w:rsidR="00BD2278" w:rsidRDefault="00BD2278" w:rsidP="00FE4032">
      <w:pPr>
        <w:ind w:firstLine="284"/>
        <w:rPr>
          <w:sz w:val="28"/>
          <w:szCs w:val="28"/>
        </w:rPr>
      </w:pPr>
    </w:p>
    <w:p w:rsidR="00BD2278" w:rsidRPr="009362DA" w:rsidRDefault="00BD2278" w:rsidP="00FE4032">
      <w:pPr>
        <w:ind w:firstLine="284"/>
        <w:rPr>
          <w:sz w:val="28"/>
          <w:szCs w:val="28"/>
        </w:rPr>
      </w:pPr>
    </w:p>
    <w:p w:rsidR="00BD2278" w:rsidRDefault="00BD2278" w:rsidP="006C18F2">
      <w:pPr>
        <w:pStyle w:val="ListParagraph"/>
        <w:numPr>
          <w:ilvl w:val="0"/>
          <w:numId w:val="27"/>
        </w:numPr>
        <w:ind w:left="0" w:firstLine="284"/>
        <w:outlineLvl w:val="1"/>
        <w:rPr>
          <w:sz w:val="28"/>
          <w:szCs w:val="28"/>
        </w:rPr>
      </w:pPr>
      <w:bookmarkStart w:id="23" w:name="_Toc285266437"/>
      <w:r w:rsidRPr="009B00A7">
        <w:rPr>
          <w:rStyle w:val="TitoloparagrafoCarattere"/>
          <w:i/>
        </w:rPr>
        <w:t>Meriti e premi nel pubblico impiego: cenni</w:t>
      </w:r>
      <w:r w:rsidRPr="00CE7F46">
        <w:rPr>
          <w:sz w:val="28"/>
          <w:szCs w:val="28"/>
        </w:rPr>
        <w:t>.</w:t>
      </w:r>
      <w:bookmarkEnd w:id="23"/>
    </w:p>
    <w:p w:rsidR="00BD2278" w:rsidRPr="00CE7F46" w:rsidRDefault="00BD2278" w:rsidP="00640B3C">
      <w:pPr>
        <w:pStyle w:val="ListParagraph"/>
        <w:ind w:left="284"/>
        <w:rPr>
          <w:sz w:val="28"/>
          <w:szCs w:val="28"/>
        </w:rPr>
      </w:pPr>
    </w:p>
    <w:p w:rsidR="00BD2278" w:rsidRDefault="00BD2278" w:rsidP="00FE4032">
      <w:pPr>
        <w:ind w:firstLine="284"/>
        <w:rPr>
          <w:sz w:val="28"/>
          <w:szCs w:val="28"/>
        </w:rPr>
      </w:pPr>
      <w:r>
        <w:rPr>
          <w:sz w:val="28"/>
          <w:szCs w:val="28"/>
        </w:rPr>
        <w:t>A norma dell’art. 2 comma 3, del d.lgs.  30 marzo 2001, n. 165, nel pubblico impiego i trattamenti economici possono essere attribuiti “esclusivamente mediante contratti collettivi, o alle condizioni previste, mediante contratti individuali”. Inoltre, a conferma della rilevanza attribuita all’autonomia collettiva nella transizione alla privatizzazione, il successivo capoverso prevede che “le disposizioni di legge, regolamenti o atti amministrativi che attribuiscono incrementi retributivi non previsti da contratti cessano di avere efficacia a far data  dall’entrata in vigore del relativo rinnovo contrattuale”. Peraltro è previsto il riassorbimento dei trattamenti economici più favorevoli con le modalità previste nei contratti collettivi, e i risparmi di spesa incrementano le risorse disponibili per la contrattazione collettiva.</w:t>
      </w:r>
    </w:p>
    <w:p w:rsidR="00BD2278" w:rsidRDefault="00BD2278" w:rsidP="00FE4032">
      <w:pPr>
        <w:ind w:firstLine="284"/>
        <w:rPr>
          <w:sz w:val="28"/>
          <w:szCs w:val="28"/>
        </w:rPr>
      </w:pPr>
      <w:r>
        <w:rPr>
          <w:sz w:val="28"/>
          <w:szCs w:val="28"/>
        </w:rPr>
        <w:t>Il suddetto terzo comma pone contiene una norma generale, in forza della quale la retribuzione è stabilita nel pubblico impiego dal contratto collettivo, ed una norma speciale per cui, quando la legge lo consente il trattamento economico può essere stabilito dal contratto individuale.</w:t>
      </w:r>
    </w:p>
    <w:p w:rsidR="00BD2278" w:rsidRDefault="00BD2278" w:rsidP="00FE4032">
      <w:pPr>
        <w:ind w:firstLine="284"/>
        <w:rPr>
          <w:sz w:val="28"/>
          <w:szCs w:val="28"/>
        </w:rPr>
      </w:pPr>
      <w:r>
        <w:rPr>
          <w:sz w:val="28"/>
          <w:szCs w:val="28"/>
        </w:rPr>
        <w:t>Rientra in quest’ultima previsione la fattispecie di cui al comma 2 dell’art. 19 del d.lgs. 165/2001: il contratto individuale che accede al provvedimento di conferimento dell’incarico, deve prevedere il corrispondente trattamento economico fissato nei limiti di cui al successivo art. 24 e può essere integrato da una indennità commisurata alla specifica qualificazione professionale.</w:t>
      </w:r>
    </w:p>
    <w:p w:rsidR="00BD2278" w:rsidRDefault="00BD2278" w:rsidP="00FE4032">
      <w:pPr>
        <w:ind w:firstLine="284"/>
        <w:rPr>
          <w:sz w:val="28"/>
          <w:szCs w:val="28"/>
        </w:rPr>
      </w:pPr>
      <w:r>
        <w:rPr>
          <w:sz w:val="28"/>
          <w:szCs w:val="28"/>
        </w:rPr>
        <w:t>Inoltre le disposizioni di cui agli articoli 40 e 47-</w:t>
      </w:r>
      <w:r>
        <w:rPr>
          <w:i/>
          <w:sz w:val="28"/>
          <w:szCs w:val="28"/>
        </w:rPr>
        <w:t xml:space="preserve">bis, </w:t>
      </w:r>
      <w:r w:rsidRPr="00F81A13">
        <w:rPr>
          <w:sz w:val="28"/>
          <w:szCs w:val="28"/>
        </w:rPr>
        <w:t>come</w:t>
      </w:r>
      <w:r>
        <w:rPr>
          <w:sz w:val="28"/>
          <w:szCs w:val="28"/>
        </w:rPr>
        <w:t xml:space="preserve"> modificati dal d.lgs. 27 ottobre 2009, n. 150, che si collocano nel solco della “riduzione dell’autonomia della contrattazione nella regolazione delle retribuzioni” perseguita dalla riforma</w:t>
      </w:r>
      <w:r>
        <w:rPr>
          <w:rStyle w:val="FootnoteReference"/>
          <w:sz w:val="28"/>
          <w:szCs w:val="28"/>
        </w:rPr>
        <w:footnoteReference w:id="227"/>
      </w:r>
      <w:r>
        <w:rPr>
          <w:sz w:val="28"/>
          <w:szCs w:val="28"/>
        </w:rPr>
        <w:t>, possono essere considerate norme speciali rispetto all’art. 2, giusta la previsione di cui all’art. 45</w:t>
      </w:r>
      <w:r>
        <w:rPr>
          <w:rStyle w:val="FootnoteReference"/>
          <w:sz w:val="28"/>
          <w:szCs w:val="28"/>
        </w:rPr>
        <w:footnoteReference w:id="228"/>
      </w:r>
      <w:r>
        <w:rPr>
          <w:sz w:val="28"/>
          <w:szCs w:val="28"/>
        </w:rPr>
        <w:t>. L’art. 40 comma 3-</w:t>
      </w:r>
      <w:r>
        <w:rPr>
          <w:i/>
          <w:sz w:val="28"/>
          <w:szCs w:val="28"/>
        </w:rPr>
        <w:t>ter</w:t>
      </w:r>
      <w:r>
        <w:rPr>
          <w:sz w:val="28"/>
          <w:szCs w:val="28"/>
        </w:rPr>
        <w:t xml:space="preserve"> ammette la erogazione unilaterale in via provvisoria e fino alla successiva sottoscrizione, di trattamenti economici da parte dell’amministrazione in caso di mancato accordo sul contratto integrativo. Mentre l’art. 47-</w:t>
      </w:r>
      <w:r>
        <w:rPr>
          <w:i/>
          <w:sz w:val="28"/>
          <w:szCs w:val="28"/>
        </w:rPr>
        <w:t>bis</w:t>
      </w:r>
      <w:r>
        <w:rPr>
          <w:sz w:val="28"/>
          <w:szCs w:val="28"/>
        </w:rPr>
        <w:t xml:space="preserve"> prevede che, decorso un termine di sessanta giorni dalla entrata in vigore della legge finanziaria che dispone in materia di rinnovi dei contratti collettivi, gli incrementi previsti per il trattamento stipendiale possano essere erogati in via provvisoria ad alcune condizioni (deliberazione dei comitati di settore e sentite le organizzazioni sindacali), salvo conguaglio all’atto della stipulazione dei contratti collettivi nazionali di lavoro.</w:t>
      </w:r>
    </w:p>
    <w:p w:rsidR="00BD2278" w:rsidRDefault="00BD2278" w:rsidP="00FE4032">
      <w:pPr>
        <w:ind w:firstLine="284"/>
        <w:rPr>
          <w:bCs/>
          <w:sz w:val="28"/>
          <w:szCs w:val="28"/>
        </w:rPr>
      </w:pPr>
      <w:r>
        <w:rPr>
          <w:sz w:val="28"/>
          <w:szCs w:val="28"/>
        </w:rPr>
        <w:t xml:space="preserve">A norma dell’art. 45, spetta ai contratti collettivi definire, nei limiti di spesa determinati a norma dell’art. 48 e inseriti con apposita norma nella legge finanziaria, non solo i trattamenti economici principali, ma anche quelli accessori che devono essere collegati alla </w:t>
      </w:r>
      <w:r>
        <w:rPr>
          <w:i/>
          <w:sz w:val="28"/>
          <w:szCs w:val="28"/>
        </w:rPr>
        <w:t>performance</w:t>
      </w:r>
      <w:r>
        <w:rPr>
          <w:sz w:val="28"/>
          <w:szCs w:val="28"/>
        </w:rPr>
        <w:t xml:space="preserve"> individuale, alla </w:t>
      </w:r>
      <w:r>
        <w:rPr>
          <w:i/>
          <w:sz w:val="28"/>
          <w:szCs w:val="28"/>
        </w:rPr>
        <w:t>performance</w:t>
      </w:r>
      <w:r>
        <w:rPr>
          <w:sz w:val="28"/>
          <w:szCs w:val="28"/>
        </w:rPr>
        <w:t xml:space="preserve"> organizzativa </w:t>
      </w:r>
      <w:r w:rsidRPr="001733DF">
        <w:rPr>
          <w:bCs/>
          <w:sz w:val="28"/>
          <w:szCs w:val="28"/>
        </w:rPr>
        <w:t>con riferimento all'amministrazione nel suo complesso</w:t>
      </w:r>
      <w:r>
        <w:rPr>
          <w:bCs/>
          <w:sz w:val="28"/>
          <w:szCs w:val="28"/>
        </w:rPr>
        <w:t xml:space="preserve"> </w:t>
      </w:r>
      <w:r w:rsidRPr="001733DF">
        <w:rPr>
          <w:bCs/>
          <w:sz w:val="28"/>
          <w:szCs w:val="28"/>
        </w:rPr>
        <w:t>e alle unità organizzative o aree di responsabilità in cui si articola l'</w:t>
      </w:r>
      <w:r>
        <w:rPr>
          <w:bCs/>
          <w:sz w:val="28"/>
          <w:szCs w:val="28"/>
        </w:rPr>
        <w:t>amministrazione,</w:t>
      </w:r>
      <w:r w:rsidRPr="001733DF">
        <w:rPr>
          <w:bCs/>
          <w:sz w:val="28"/>
          <w:szCs w:val="28"/>
        </w:rPr>
        <w:t xml:space="preserve"> all'effettivo svolgimento di attività particolarmente disagiate ovvero pericolose o</w:t>
      </w:r>
      <w:r>
        <w:rPr>
          <w:bCs/>
          <w:sz w:val="28"/>
          <w:szCs w:val="28"/>
        </w:rPr>
        <w:t xml:space="preserve"> </w:t>
      </w:r>
      <w:r w:rsidRPr="001733DF">
        <w:rPr>
          <w:bCs/>
          <w:sz w:val="28"/>
          <w:szCs w:val="28"/>
        </w:rPr>
        <w:t>dannose per la salute.</w:t>
      </w:r>
    </w:p>
    <w:p w:rsidR="00BD2278" w:rsidRDefault="00BD2278" w:rsidP="00FE4032">
      <w:pPr>
        <w:autoSpaceDE w:val="0"/>
        <w:autoSpaceDN w:val="0"/>
        <w:adjustRightInd w:val="0"/>
        <w:ind w:firstLine="284"/>
        <w:rPr>
          <w:sz w:val="28"/>
          <w:szCs w:val="28"/>
        </w:rPr>
      </w:pPr>
      <w:r>
        <w:rPr>
          <w:bCs/>
          <w:sz w:val="28"/>
          <w:szCs w:val="28"/>
        </w:rPr>
        <w:t>Il comma 2-</w:t>
      </w:r>
      <w:r>
        <w:rPr>
          <w:bCs/>
          <w:i/>
          <w:sz w:val="28"/>
          <w:szCs w:val="28"/>
        </w:rPr>
        <w:t>bis</w:t>
      </w:r>
      <w:r>
        <w:rPr>
          <w:bCs/>
          <w:sz w:val="28"/>
          <w:szCs w:val="28"/>
        </w:rPr>
        <w:t xml:space="preserve"> prevede inoltre che le risorse che possono essere destinate a premiare il merito ed il miglioramento delle </w:t>
      </w:r>
      <w:r>
        <w:rPr>
          <w:bCs/>
          <w:i/>
          <w:sz w:val="28"/>
          <w:szCs w:val="28"/>
        </w:rPr>
        <w:t>performance,</w:t>
      </w:r>
      <w:r>
        <w:rPr>
          <w:bCs/>
          <w:sz w:val="28"/>
          <w:szCs w:val="28"/>
        </w:rPr>
        <w:t xml:space="preserve"> sono solo quelle determinate dai contratti collettivi nazionali di lavoro, nei limiti </w:t>
      </w:r>
      <w:r w:rsidRPr="004465C2">
        <w:rPr>
          <w:bCs/>
          <w:sz w:val="28"/>
          <w:szCs w:val="28"/>
        </w:rPr>
        <w:t>compatibilmente con i vincoli di finanza</w:t>
      </w:r>
      <w:r>
        <w:rPr>
          <w:bCs/>
          <w:sz w:val="28"/>
          <w:szCs w:val="28"/>
        </w:rPr>
        <w:t xml:space="preserve"> p</w:t>
      </w:r>
      <w:r w:rsidRPr="004465C2">
        <w:rPr>
          <w:bCs/>
          <w:sz w:val="28"/>
          <w:szCs w:val="28"/>
        </w:rPr>
        <w:t>ubblica</w:t>
      </w:r>
      <w:r>
        <w:rPr>
          <w:bCs/>
          <w:sz w:val="28"/>
          <w:szCs w:val="28"/>
        </w:rPr>
        <w:t>. La conseguenza della disposizione di cui al comma 2-</w:t>
      </w:r>
      <w:r>
        <w:rPr>
          <w:bCs/>
          <w:i/>
          <w:sz w:val="28"/>
          <w:szCs w:val="28"/>
        </w:rPr>
        <w:t>bis</w:t>
      </w:r>
      <w:r>
        <w:rPr>
          <w:bCs/>
          <w:sz w:val="28"/>
          <w:szCs w:val="28"/>
        </w:rPr>
        <w:t xml:space="preserve"> è</w:t>
      </w:r>
      <w:r>
        <w:rPr>
          <w:sz w:val="28"/>
          <w:szCs w:val="28"/>
        </w:rPr>
        <w:t xml:space="preserve"> che le amministrazioni pubbliche non possono sottoscrivere contratti integrativi in contrasto con le previsioni del contratto nazionale, ed in ogni caso, giusto il controllo a valle disposto dal titolo V del d.lgs. 165/2001, che comportino oneri maggiori a quelli concessi dagli strumenti di programmazione di ciascuna amministrazione</w:t>
      </w:r>
      <w:r>
        <w:rPr>
          <w:rStyle w:val="FootnoteReference"/>
          <w:sz w:val="28"/>
          <w:szCs w:val="28"/>
        </w:rPr>
        <w:footnoteReference w:id="229"/>
      </w:r>
      <w:r>
        <w:rPr>
          <w:sz w:val="28"/>
          <w:szCs w:val="28"/>
        </w:rPr>
        <w:t>.</w:t>
      </w:r>
    </w:p>
    <w:p w:rsidR="00BD2278" w:rsidRDefault="00BD2278" w:rsidP="00FE4032">
      <w:pPr>
        <w:autoSpaceDE w:val="0"/>
        <w:autoSpaceDN w:val="0"/>
        <w:adjustRightInd w:val="0"/>
        <w:ind w:firstLine="284"/>
        <w:rPr>
          <w:sz w:val="28"/>
          <w:szCs w:val="28"/>
        </w:rPr>
      </w:pPr>
      <w:r>
        <w:rPr>
          <w:sz w:val="28"/>
          <w:szCs w:val="28"/>
        </w:rPr>
        <w:t>La contrattazione collettiva resta dunque la fonte della disciplina del trattamento economico dei dipendenti della p.a., pur con una rilevante limitazione dell’autonomia a seguito della riforma del 2009 dovuta ad un aumento del tasso di regolamentazione legislativa</w:t>
      </w:r>
      <w:r>
        <w:rPr>
          <w:rStyle w:val="FootnoteReference"/>
          <w:sz w:val="28"/>
          <w:szCs w:val="28"/>
        </w:rPr>
        <w:footnoteReference w:id="230"/>
      </w:r>
      <w:r>
        <w:rPr>
          <w:sz w:val="28"/>
          <w:szCs w:val="28"/>
        </w:rPr>
        <w:t>.</w:t>
      </w:r>
    </w:p>
    <w:p w:rsidR="00BD2278" w:rsidRDefault="00BD2278" w:rsidP="00FE4032">
      <w:pPr>
        <w:autoSpaceDE w:val="0"/>
        <w:autoSpaceDN w:val="0"/>
        <w:adjustRightInd w:val="0"/>
        <w:ind w:firstLine="284"/>
        <w:rPr>
          <w:sz w:val="28"/>
          <w:szCs w:val="28"/>
        </w:rPr>
      </w:pPr>
      <w:r>
        <w:rPr>
          <w:sz w:val="28"/>
          <w:szCs w:val="28"/>
        </w:rPr>
        <w:t xml:space="preserve">Inoltre il d.lgs. opera da un lato la centralizzazione delle regole contrattuali relative alla retribuzione accessoria, sottoponendola ad un sistema di valutazione delle </w:t>
      </w:r>
      <w:r>
        <w:rPr>
          <w:i/>
          <w:sz w:val="28"/>
          <w:szCs w:val="28"/>
        </w:rPr>
        <w:t>performance</w:t>
      </w:r>
      <w:r>
        <w:rPr>
          <w:sz w:val="28"/>
          <w:szCs w:val="28"/>
        </w:rPr>
        <w:t xml:space="preserve"> stringente, e dall’altro la funzionalizzazione della contrattazione integrativa alla efficienza e produttività a norma dell’art. 45. Comma 2</w:t>
      </w:r>
      <w:r>
        <w:rPr>
          <w:rStyle w:val="FootnoteReference"/>
          <w:sz w:val="28"/>
          <w:szCs w:val="28"/>
        </w:rPr>
        <w:footnoteReference w:id="231"/>
      </w:r>
      <w:r>
        <w:rPr>
          <w:sz w:val="28"/>
          <w:szCs w:val="28"/>
        </w:rPr>
        <w:t>.</w:t>
      </w:r>
    </w:p>
    <w:p w:rsidR="00BD2278" w:rsidRDefault="00BD2278" w:rsidP="00FE4032">
      <w:pPr>
        <w:autoSpaceDE w:val="0"/>
        <w:autoSpaceDN w:val="0"/>
        <w:adjustRightInd w:val="0"/>
        <w:ind w:firstLine="284"/>
        <w:rPr>
          <w:sz w:val="28"/>
          <w:szCs w:val="28"/>
        </w:rPr>
      </w:pPr>
      <w:r>
        <w:rPr>
          <w:sz w:val="28"/>
          <w:szCs w:val="28"/>
        </w:rPr>
        <w:t>Per quanto concerne la retribuzione accessoria, la riforma, che pone al centro del processo di ottimizzazione della produttività e della efficienza il sistema di valutazione del personale, sembra muoversi verso una riduzione o esclusione del trattamento per quei soggetti che vengono collocati più in basso nella graduatoria di cui all’art. 19 della l. 150/2009</w:t>
      </w:r>
      <w:r>
        <w:rPr>
          <w:rStyle w:val="FootnoteReference"/>
          <w:sz w:val="28"/>
          <w:szCs w:val="28"/>
        </w:rPr>
        <w:footnoteReference w:id="232"/>
      </w:r>
      <w:r>
        <w:rPr>
          <w:sz w:val="28"/>
          <w:szCs w:val="28"/>
        </w:rPr>
        <w:t>. Questa possibilità, palesata da una interpretazione letterale dell’art. 19, viene tuttavia smentita nei fatti dalle intenzioni manifestate dalle parti con l’Intesa tra Governo e organizzazioni sindacali del 4 febbraio 2011 ove si legge che “le parti convengono che le retribuzioni complessive, comprensive della parte accessoria, conseguite dai lavoratori nel corso del 2010, non devono diminuire per effetto dell’applicazione dell’art. 19 del d.lgs. 150 del 2009”.</w:t>
      </w:r>
    </w:p>
    <w:p w:rsidR="00BD2278" w:rsidRDefault="00BD2278" w:rsidP="00FE4032">
      <w:pPr>
        <w:autoSpaceDE w:val="0"/>
        <w:autoSpaceDN w:val="0"/>
        <w:adjustRightInd w:val="0"/>
        <w:ind w:firstLine="284"/>
        <w:rPr>
          <w:sz w:val="28"/>
          <w:szCs w:val="28"/>
        </w:rPr>
      </w:pPr>
      <w:r>
        <w:rPr>
          <w:sz w:val="28"/>
          <w:szCs w:val="28"/>
        </w:rPr>
        <w:t xml:space="preserve">L’efficacia sanzionatoria dell’art. 19, che si sarebbe concretizzata in una diminuzione delle retribuzioni accessorie per i lavoratori con valutazioni negative, viene posta nel nulla: dalla classificazione dei lavoratori in base alle </w:t>
      </w:r>
      <w:r>
        <w:rPr>
          <w:i/>
          <w:sz w:val="28"/>
          <w:szCs w:val="28"/>
        </w:rPr>
        <w:t>performance</w:t>
      </w:r>
      <w:r>
        <w:rPr>
          <w:sz w:val="28"/>
          <w:szCs w:val="28"/>
        </w:rPr>
        <w:t>, ossessivamente sbandierata, si passa all’azzeramento di qualsiasi differenziazione retributiva. Viene così portato a compimento il processo di smantellamento della riforma iniziato con il blocco della contrattazione integrativa conseguente alla manovra finanziaria del maggio del 2010.</w:t>
      </w:r>
    </w:p>
    <w:p w:rsidR="00BD2278" w:rsidRDefault="00BD2278" w:rsidP="00FE4032">
      <w:pPr>
        <w:autoSpaceDE w:val="0"/>
        <w:autoSpaceDN w:val="0"/>
        <w:adjustRightInd w:val="0"/>
        <w:ind w:firstLine="284"/>
        <w:rPr>
          <w:sz w:val="28"/>
          <w:szCs w:val="28"/>
        </w:rPr>
      </w:pPr>
      <w:r>
        <w:rPr>
          <w:sz w:val="28"/>
          <w:szCs w:val="28"/>
        </w:rPr>
        <w:t>Secondo l’accordo del 4 febbraio, le risorse destinate alla retribuzione accessoria e soggette al criterio di distribuzione previste al comma II del medesimo art. 19, sono quelle derivanti dal c.d. dividendo dell’efficienza, di cui al comma 17 dell’art. 61 del d.l. 25 giugno 2008, n. 112 convertito con l. 133/2008. Vale la pena soffermarsi ad osservare che le medesime risorse, derivanti dai risparmi di spesa, avrebbero dovuto alimentare l’erogazione del premio di efficienza di cui al successivo art. 27 del d.lgs. 150/2009 destinato al personale coinvolto in processi di ristrutturazione, riorganizzazione e innovazione, dai quali siano derivati risparmi sui costi di funzionamento delle amministrazioni, oltre che la contrattazione integrativa</w:t>
      </w:r>
      <w:r>
        <w:rPr>
          <w:rStyle w:val="FootnoteReference"/>
          <w:sz w:val="28"/>
          <w:szCs w:val="28"/>
        </w:rPr>
        <w:footnoteReference w:id="233"/>
      </w:r>
      <w:r>
        <w:rPr>
          <w:sz w:val="28"/>
          <w:szCs w:val="28"/>
        </w:rPr>
        <w:t>.</w:t>
      </w:r>
    </w:p>
    <w:p w:rsidR="00BD2278" w:rsidRDefault="00BD2278" w:rsidP="00FE4032">
      <w:pPr>
        <w:autoSpaceDE w:val="0"/>
        <w:autoSpaceDN w:val="0"/>
        <w:adjustRightInd w:val="0"/>
        <w:ind w:firstLine="284"/>
        <w:rPr>
          <w:sz w:val="28"/>
          <w:szCs w:val="28"/>
        </w:rPr>
      </w:pPr>
      <w:r>
        <w:rPr>
          <w:sz w:val="28"/>
          <w:szCs w:val="28"/>
        </w:rPr>
        <w:t>Per quanto concerne i premi di risultato, essi formano l’oggetto principale della negoziazione decentrata. Quest’ultima risulta notevolmente più diffusa di quanto avviene nel privato</w:t>
      </w:r>
      <w:r>
        <w:rPr>
          <w:rStyle w:val="FootnoteReference"/>
          <w:sz w:val="28"/>
          <w:szCs w:val="28"/>
        </w:rPr>
        <w:footnoteReference w:id="234"/>
      </w:r>
      <w:r>
        <w:rPr>
          <w:sz w:val="28"/>
          <w:szCs w:val="28"/>
        </w:rPr>
        <w:t xml:space="preserve"> poiché costituisce un obbligo per l’amministrazione (salva la facoltà di determinazione unilaterale in via provvisoria del trattamento a norma del comma 3-</w:t>
      </w:r>
      <w:r>
        <w:rPr>
          <w:i/>
          <w:sz w:val="28"/>
          <w:szCs w:val="28"/>
        </w:rPr>
        <w:t>ter</w:t>
      </w:r>
      <w:r>
        <w:rPr>
          <w:sz w:val="28"/>
          <w:szCs w:val="28"/>
        </w:rPr>
        <w:t>, art. 40, d.lgs. 150/2009)</w:t>
      </w:r>
      <w:r>
        <w:rPr>
          <w:rStyle w:val="FootnoteReference"/>
          <w:sz w:val="28"/>
          <w:szCs w:val="28"/>
        </w:rPr>
        <w:footnoteReference w:id="235"/>
      </w:r>
      <w:r>
        <w:rPr>
          <w:sz w:val="28"/>
          <w:szCs w:val="28"/>
        </w:rPr>
        <w:t>.</w:t>
      </w:r>
    </w:p>
    <w:p w:rsidR="00BD2278" w:rsidRDefault="00BD2278" w:rsidP="00FE4032">
      <w:pPr>
        <w:autoSpaceDE w:val="0"/>
        <w:autoSpaceDN w:val="0"/>
        <w:adjustRightInd w:val="0"/>
        <w:ind w:firstLine="284"/>
        <w:rPr>
          <w:sz w:val="28"/>
          <w:szCs w:val="28"/>
        </w:rPr>
      </w:pPr>
      <w:r>
        <w:rPr>
          <w:sz w:val="28"/>
          <w:szCs w:val="28"/>
        </w:rPr>
        <w:t>Pur non potendosi stimare l’incidenza dei premi di risultato sulle retribuzioni individuali</w:t>
      </w:r>
      <w:r>
        <w:rPr>
          <w:rStyle w:val="FootnoteReference"/>
          <w:sz w:val="28"/>
          <w:szCs w:val="28"/>
        </w:rPr>
        <w:footnoteReference w:id="236"/>
      </w:r>
      <w:r>
        <w:rPr>
          <w:sz w:val="28"/>
          <w:szCs w:val="28"/>
        </w:rPr>
        <w:t>, si può ritenere che l’ampia diffusione degli stessi abbia contribuito alla crescita delle retribuzioni globali dei dipendenti del p.i., registrata nel periodo compreso tra il 2001 e il 2006</w:t>
      </w:r>
      <w:r>
        <w:rPr>
          <w:rStyle w:val="FootnoteReference"/>
          <w:sz w:val="28"/>
          <w:szCs w:val="28"/>
        </w:rPr>
        <w:footnoteReference w:id="237"/>
      </w:r>
      <w:r>
        <w:rPr>
          <w:sz w:val="28"/>
          <w:szCs w:val="28"/>
        </w:rPr>
        <w:t>. Tuttavia dall’analisi dei risultati delle ricerche, le quali rilevano prassi prevalenti di appiattimento delle forme retributive definite a livello locale unitamente alla distribuzione dei premi in misura automatica, in modo generalizzato o al più collegato a parametri rudimentali come la presenza sul luogo di lavoro, si può concludere che l’istituto sia stato utilizzato esclusivamente per il recupero dalla capacità di acquisto dei salari reali alla stregua di quanto avvenuto nel privato.</w:t>
      </w:r>
    </w:p>
    <w:p w:rsidR="00BD2278" w:rsidRDefault="00BD2278" w:rsidP="00FE4032">
      <w:pPr>
        <w:autoSpaceDE w:val="0"/>
        <w:autoSpaceDN w:val="0"/>
        <w:adjustRightInd w:val="0"/>
        <w:ind w:firstLine="284"/>
        <w:rPr>
          <w:sz w:val="28"/>
          <w:szCs w:val="28"/>
        </w:rPr>
      </w:pPr>
      <w:r>
        <w:rPr>
          <w:sz w:val="28"/>
          <w:szCs w:val="28"/>
        </w:rPr>
        <w:t xml:space="preserve">Al fine di realizzare lo scopo primario della riforma, ovvero il miglioramento dell’ efficienza e produttività, il d. lgs. n. 150 ha vietato la distribuzione a pioggia dei premi e assoggettato l’erogazione degli stessi al “ciclo di gestione della </w:t>
      </w:r>
      <w:r>
        <w:rPr>
          <w:i/>
          <w:sz w:val="28"/>
          <w:szCs w:val="28"/>
        </w:rPr>
        <w:t>performance</w:t>
      </w:r>
      <w:r>
        <w:rPr>
          <w:sz w:val="28"/>
          <w:szCs w:val="28"/>
        </w:rPr>
        <w:t>”, perseguendo un obiettivo apprezzabile con strumenti di cui non si è mancato di rilevare ambiguità e possibili inadeguatezze</w:t>
      </w:r>
      <w:r>
        <w:rPr>
          <w:rStyle w:val="FootnoteReference"/>
          <w:sz w:val="28"/>
          <w:szCs w:val="28"/>
        </w:rPr>
        <w:footnoteReference w:id="238"/>
      </w:r>
      <w:r>
        <w:rPr>
          <w:sz w:val="28"/>
          <w:szCs w:val="28"/>
        </w:rPr>
        <w:t>.</w:t>
      </w:r>
    </w:p>
    <w:p w:rsidR="00BD2278" w:rsidRDefault="00BD2278" w:rsidP="00FE4032">
      <w:pPr>
        <w:pStyle w:val="HTMLPreformatted"/>
        <w:spacing w:line="360" w:lineRule="auto"/>
        <w:ind w:firstLine="284"/>
        <w:jc w:val="both"/>
        <w:rPr>
          <w:rFonts w:ascii="Times New Roman" w:hAnsi="Times New Roman" w:cs="Times New Roman"/>
          <w:sz w:val="28"/>
          <w:szCs w:val="28"/>
        </w:rPr>
      </w:pPr>
      <w:r w:rsidRPr="00141185">
        <w:rPr>
          <w:rFonts w:ascii="Times New Roman" w:hAnsi="Times New Roman" w:cs="Times New Roman"/>
          <w:sz w:val="28"/>
          <w:szCs w:val="28"/>
        </w:rPr>
        <w:t>Si deve osservare</w:t>
      </w:r>
      <w:r>
        <w:rPr>
          <w:rFonts w:ascii="Times New Roman" w:hAnsi="Times New Roman" w:cs="Times New Roman"/>
          <w:sz w:val="28"/>
          <w:szCs w:val="28"/>
        </w:rPr>
        <w:t>,</w:t>
      </w:r>
      <w:r w:rsidRPr="00141185">
        <w:rPr>
          <w:rFonts w:ascii="Times New Roman" w:hAnsi="Times New Roman" w:cs="Times New Roman"/>
          <w:sz w:val="28"/>
          <w:szCs w:val="28"/>
        </w:rPr>
        <w:t xml:space="preserve"> tuttavia</w:t>
      </w:r>
      <w:r>
        <w:rPr>
          <w:rFonts w:ascii="Times New Roman" w:hAnsi="Times New Roman" w:cs="Times New Roman"/>
          <w:sz w:val="28"/>
          <w:szCs w:val="28"/>
        </w:rPr>
        <w:t>,</w:t>
      </w:r>
      <w:r w:rsidRPr="00141185">
        <w:rPr>
          <w:rFonts w:ascii="Times New Roman" w:hAnsi="Times New Roman" w:cs="Times New Roman"/>
          <w:sz w:val="28"/>
          <w:szCs w:val="28"/>
        </w:rPr>
        <w:t xml:space="preserve"> come la </w:t>
      </w:r>
      <w:r>
        <w:rPr>
          <w:rFonts w:ascii="Times New Roman" w:hAnsi="Times New Roman" w:cs="Times New Roman"/>
          <w:sz w:val="28"/>
          <w:szCs w:val="28"/>
        </w:rPr>
        <w:t xml:space="preserve">verifica della </w:t>
      </w:r>
      <w:r w:rsidRPr="00141185">
        <w:rPr>
          <w:rFonts w:ascii="Times New Roman" w:hAnsi="Times New Roman" w:cs="Times New Roman"/>
          <w:sz w:val="28"/>
          <w:szCs w:val="28"/>
        </w:rPr>
        <w:t>funzionalità</w:t>
      </w:r>
      <w:r>
        <w:rPr>
          <w:rFonts w:ascii="Times New Roman" w:hAnsi="Times New Roman" w:cs="Times New Roman"/>
          <w:sz w:val="28"/>
          <w:szCs w:val="28"/>
        </w:rPr>
        <w:t xml:space="preserve"> </w:t>
      </w:r>
      <w:r w:rsidRPr="00141185">
        <w:rPr>
          <w:rFonts w:ascii="Times New Roman" w:hAnsi="Times New Roman" w:cs="Times New Roman"/>
          <w:sz w:val="28"/>
          <w:szCs w:val="28"/>
        </w:rPr>
        <w:t>della riforma, prima ancora che la sua utilità</w:t>
      </w:r>
      <w:r>
        <w:rPr>
          <w:rFonts w:ascii="Times New Roman" w:hAnsi="Times New Roman" w:cs="Times New Roman"/>
          <w:sz w:val="28"/>
          <w:szCs w:val="28"/>
        </w:rPr>
        <w:t xml:space="preserve"> possa essere dimostrata</w:t>
      </w:r>
      <w:r w:rsidRPr="00141185">
        <w:rPr>
          <w:rFonts w:ascii="Times New Roman" w:hAnsi="Times New Roman" w:cs="Times New Roman"/>
          <w:sz w:val="28"/>
          <w:szCs w:val="28"/>
        </w:rPr>
        <w:t>, rischia di essere compromessa</w:t>
      </w:r>
      <w:r>
        <w:rPr>
          <w:rFonts w:ascii="Times New Roman" w:hAnsi="Times New Roman" w:cs="Times New Roman"/>
          <w:sz w:val="28"/>
          <w:szCs w:val="28"/>
        </w:rPr>
        <w:t>, o quantomeno rinviata, per effetto</w:t>
      </w:r>
      <w:r w:rsidRPr="00141185">
        <w:rPr>
          <w:rFonts w:ascii="Times New Roman" w:hAnsi="Times New Roman" w:cs="Times New Roman"/>
          <w:sz w:val="28"/>
          <w:szCs w:val="28"/>
        </w:rPr>
        <w:t xml:space="preserve"> d</w:t>
      </w:r>
      <w:r>
        <w:rPr>
          <w:rFonts w:ascii="Times New Roman" w:hAnsi="Times New Roman" w:cs="Times New Roman"/>
          <w:sz w:val="28"/>
          <w:szCs w:val="28"/>
        </w:rPr>
        <w:t>e</w:t>
      </w:r>
      <w:r w:rsidRPr="00141185">
        <w:rPr>
          <w:rFonts w:ascii="Times New Roman" w:hAnsi="Times New Roman" w:cs="Times New Roman"/>
          <w:sz w:val="28"/>
          <w:szCs w:val="28"/>
        </w:rPr>
        <w:t>l blocco della contrattazione integrativa determinato dalla manovra finanziaria varata nel maggio del 2010. Infatti l’art. 9 del d.l. 31 maggio 2010, n. 78, convertito con l. 30 luglio 2010, n. 122,</w:t>
      </w:r>
      <w:r>
        <w:rPr>
          <w:rFonts w:ascii="Times New Roman" w:hAnsi="Times New Roman" w:cs="Times New Roman"/>
          <w:sz w:val="28"/>
          <w:szCs w:val="28"/>
        </w:rPr>
        <w:t xml:space="preserve"> in funzione di contenimento della spesa pubblica,</w:t>
      </w:r>
      <w:r w:rsidRPr="00141185">
        <w:rPr>
          <w:rFonts w:ascii="Times New Roman" w:hAnsi="Times New Roman" w:cs="Times New Roman"/>
          <w:sz w:val="28"/>
          <w:szCs w:val="28"/>
        </w:rPr>
        <w:t xml:space="preserve"> dispone che “</w:t>
      </w:r>
      <w:r>
        <w:rPr>
          <w:rFonts w:ascii="Times New Roman" w:hAnsi="Times New Roman" w:cs="Times New Roman"/>
          <w:sz w:val="28"/>
          <w:szCs w:val="28"/>
        </w:rPr>
        <w:t>per gli anni 2011,  2012 e 2013 il</w:t>
      </w:r>
      <w:r w:rsidRPr="00141185">
        <w:rPr>
          <w:rFonts w:ascii="Times New Roman" w:hAnsi="Times New Roman" w:cs="Times New Roman"/>
          <w:sz w:val="28"/>
          <w:szCs w:val="28"/>
        </w:rPr>
        <w:t xml:space="preserve"> trattamento economico</w:t>
      </w:r>
      <w:r>
        <w:rPr>
          <w:rFonts w:ascii="Times New Roman" w:hAnsi="Times New Roman" w:cs="Times New Roman"/>
          <w:sz w:val="28"/>
          <w:szCs w:val="28"/>
        </w:rPr>
        <w:t xml:space="preserve"> complessivo</w:t>
      </w:r>
      <w:r w:rsidRPr="00141185">
        <w:rPr>
          <w:rFonts w:ascii="Times New Roman" w:hAnsi="Times New Roman" w:cs="Times New Roman"/>
          <w:sz w:val="28"/>
          <w:szCs w:val="28"/>
        </w:rPr>
        <w:t xml:space="preserve"> dei singoli dipendenti, anche di qualifica dirigenziale,</w:t>
      </w:r>
      <w:r>
        <w:rPr>
          <w:rFonts w:ascii="Times New Roman" w:hAnsi="Times New Roman" w:cs="Times New Roman"/>
          <w:sz w:val="28"/>
          <w:szCs w:val="28"/>
        </w:rPr>
        <w:t xml:space="preserve"> ivi </w:t>
      </w:r>
      <w:r w:rsidRPr="00141185">
        <w:rPr>
          <w:rFonts w:ascii="Times New Roman" w:hAnsi="Times New Roman" w:cs="Times New Roman"/>
          <w:sz w:val="28"/>
          <w:szCs w:val="28"/>
        </w:rPr>
        <w:t>compreso</w:t>
      </w:r>
      <w:r>
        <w:rPr>
          <w:rFonts w:ascii="Times New Roman" w:hAnsi="Times New Roman" w:cs="Times New Roman"/>
          <w:sz w:val="28"/>
          <w:szCs w:val="28"/>
        </w:rPr>
        <w:t xml:space="preserve"> il  trattamento accessorio”</w:t>
      </w:r>
      <w:r w:rsidRPr="00141185">
        <w:rPr>
          <w:rFonts w:ascii="Times New Roman" w:hAnsi="Times New Roman" w:cs="Times New Roman"/>
          <w:sz w:val="28"/>
          <w:szCs w:val="28"/>
        </w:rPr>
        <w:t xml:space="preserve"> </w:t>
      </w:r>
      <w:r>
        <w:rPr>
          <w:rFonts w:ascii="Times New Roman" w:hAnsi="Times New Roman" w:cs="Times New Roman"/>
          <w:sz w:val="28"/>
          <w:szCs w:val="28"/>
        </w:rPr>
        <w:t>“</w:t>
      </w:r>
      <w:r w:rsidRPr="00141185">
        <w:rPr>
          <w:rFonts w:ascii="Times New Roman" w:hAnsi="Times New Roman" w:cs="Times New Roman"/>
          <w:sz w:val="28"/>
          <w:szCs w:val="28"/>
        </w:rPr>
        <w:t>non</w:t>
      </w:r>
      <w:r>
        <w:rPr>
          <w:rFonts w:ascii="Times New Roman" w:hAnsi="Times New Roman" w:cs="Times New Roman"/>
          <w:sz w:val="28"/>
          <w:szCs w:val="28"/>
        </w:rPr>
        <w:t xml:space="preserve"> può</w:t>
      </w:r>
      <w:r w:rsidRPr="00141185">
        <w:rPr>
          <w:rFonts w:ascii="Times New Roman" w:hAnsi="Times New Roman" w:cs="Times New Roman"/>
          <w:sz w:val="28"/>
          <w:szCs w:val="28"/>
        </w:rPr>
        <w:t xml:space="preserve"> superare, </w:t>
      </w:r>
      <w:r>
        <w:rPr>
          <w:rFonts w:ascii="Times New Roman" w:hAnsi="Times New Roman" w:cs="Times New Roman"/>
          <w:sz w:val="28"/>
          <w:szCs w:val="28"/>
        </w:rPr>
        <w:t>in</w:t>
      </w:r>
      <w:r w:rsidRPr="00141185">
        <w:rPr>
          <w:rFonts w:ascii="Times New Roman" w:hAnsi="Times New Roman" w:cs="Times New Roman"/>
          <w:sz w:val="28"/>
          <w:szCs w:val="28"/>
        </w:rPr>
        <w:t xml:space="preserve"> ogni caso, il trattamento in godimento nell'anno</w:t>
      </w:r>
      <w:r>
        <w:rPr>
          <w:rFonts w:ascii="Times New Roman" w:hAnsi="Times New Roman" w:cs="Times New Roman"/>
          <w:sz w:val="28"/>
          <w:szCs w:val="28"/>
        </w:rPr>
        <w:t xml:space="preserve"> </w:t>
      </w:r>
      <w:r w:rsidRPr="00141185">
        <w:rPr>
          <w:rFonts w:ascii="Times New Roman" w:hAnsi="Times New Roman" w:cs="Times New Roman"/>
          <w:sz w:val="28"/>
          <w:szCs w:val="28"/>
        </w:rPr>
        <w:t>2010</w:t>
      </w:r>
      <w:r>
        <w:rPr>
          <w:rFonts w:ascii="Times New Roman" w:hAnsi="Times New Roman" w:cs="Times New Roman"/>
          <w:sz w:val="28"/>
          <w:szCs w:val="28"/>
        </w:rPr>
        <w:t>”.</w:t>
      </w:r>
    </w:p>
    <w:p w:rsidR="00BD2278" w:rsidRDefault="00BD2278" w:rsidP="004A5FEA">
      <w:pPr>
        <w:pStyle w:val="HTMLPreformatted"/>
        <w:spacing w:line="360" w:lineRule="auto"/>
        <w:ind w:firstLine="284"/>
        <w:jc w:val="both"/>
        <w:rPr>
          <w:rFonts w:ascii="Times New Roman" w:hAnsi="Times New Roman" w:cs="Times New Roman"/>
          <w:sz w:val="28"/>
          <w:szCs w:val="28"/>
        </w:rPr>
      </w:pPr>
    </w:p>
    <w:p w:rsidR="00BD2278" w:rsidRDefault="00BD2278" w:rsidP="004A5FEA">
      <w:pPr>
        <w:pStyle w:val="HTMLPreformatted"/>
        <w:spacing w:line="360" w:lineRule="auto"/>
        <w:ind w:firstLine="284"/>
        <w:jc w:val="both"/>
        <w:rPr>
          <w:rFonts w:ascii="Times New Roman" w:hAnsi="Times New Roman" w:cs="Times New Roman"/>
          <w:sz w:val="28"/>
          <w:szCs w:val="28"/>
        </w:rPr>
      </w:pPr>
    </w:p>
    <w:p w:rsidR="00BD2278" w:rsidRDefault="00BD2278" w:rsidP="004A5FEA">
      <w:pPr>
        <w:pStyle w:val="HTMLPreformatted"/>
        <w:spacing w:line="360" w:lineRule="auto"/>
        <w:ind w:firstLine="284"/>
        <w:jc w:val="both"/>
        <w:rPr>
          <w:rFonts w:ascii="Times New Roman" w:hAnsi="Times New Roman" w:cs="Times New Roman"/>
          <w:sz w:val="28"/>
          <w:szCs w:val="28"/>
        </w:rPr>
      </w:pPr>
    </w:p>
    <w:p w:rsidR="00BD2278" w:rsidRDefault="00BD2278" w:rsidP="004A5FEA">
      <w:pPr>
        <w:pStyle w:val="HTMLPreformatted"/>
        <w:spacing w:line="360" w:lineRule="auto"/>
        <w:ind w:firstLine="284"/>
        <w:jc w:val="both"/>
        <w:rPr>
          <w:rFonts w:ascii="Times New Roman" w:hAnsi="Times New Roman" w:cs="Times New Roman"/>
          <w:sz w:val="28"/>
          <w:szCs w:val="28"/>
        </w:rPr>
      </w:pPr>
    </w:p>
    <w:p w:rsidR="00BD2278" w:rsidRDefault="00BD2278" w:rsidP="004A5FEA">
      <w:pPr>
        <w:pStyle w:val="HTMLPreformatted"/>
        <w:spacing w:line="360" w:lineRule="auto"/>
        <w:ind w:firstLine="284"/>
        <w:jc w:val="both"/>
        <w:rPr>
          <w:rFonts w:ascii="Times New Roman" w:hAnsi="Times New Roman" w:cs="Times New Roman"/>
          <w:sz w:val="28"/>
          <w:szCs w:val="28"/>
        </w:rPr>
      </w:pPr>
    </w:p>
    <w:p w:rsidR="00BD2278" w:rsidRDefault="00BD2278" w:rsidP="004A5FEA">
      <w:pPr>
        <w:pStyle w:val="HTMLPreformatted"/>
        <w:spacing w:line="360" w:lineRule="auto"/>
        <w:ind w:firstLine="284"/>
        <w:jc w:val="both"/>
        <w:rPr>
          <w:rFonts w:ascii="Times New Roman" w:hAnsi="Times New Roman" w:cs="Times New Roman"/>
          <w:sz w:val="28"/>
          <w:szCs w:val="28"/>
        </w:rPr>
      </w:pPr>
    </w:p>
    <w:p w:rsidR="00BD2278" w:rsidRDefault="00BD2278" w:rsidP="004A5FEA">
      <w:pPr>
        <w:pStyle w:val="HTMLPreformatted"/>
        <w:spacing w:line="360" w:lineRule="auto"/>
        <w:ind w:firstLine="284"/>
        <w:jc w:val="both"/>
        <w:rPr>
          <w:rFonts w:ascii="Times New Roman" w:hAnsi="Times New Roman" w:cs="Times New Roman"/>
          <w:sz w:val="28"/>
          <w:szCs w:val="28"/>
        </w:rPr>
      </w:pPr>
    </w:p>
    <w:p w:rsidR="00BD2278" w:rsidRDefault="00BD2278" w:rsidP="004A5FEA">
      <w:pPr>
        <w:pStyle w:val="HTMLPreformatted"/>
        <w:spacing w:line="360" w:lineRule="auto"/>
        <w:ind w:firstLine="284"/>
        <w:jc w:val="both"/>
        <w:rPr>
          <w:rFonts w:ascii="Times New Roman" w:hAnsi="Times New Roman" w:cs="Times New Roman"/>
          <w:sz w:val="28"/>
          <w:szCs w:val="28"/>
        </w:rPr>
      </w:pPr>
    </w:p>
    <w:p w:rsidR="00BD2278" w:rsidRDefault="00BD2278" w:rsidP="004A5FEA">
      <w:pPr>
        <w:pStyle w:val="HTMLPreformatted"/>
        <w:spacing w:line="360" w:lineRule="auto"/>
        <w:ind w:firstLine="284"/>
        <w:jc w:val="both"/>
        <w:rPr>
          <w:rFonts w:ascii="Times New Roman" w:hAnsi="Times New Roman" w:cs="Times New Roman"/>
          <w:sz w:val="28"/>
          <w:szCs w:val="28"/>
        </w:rPr>
      </w:pPr>
    </w:p>
    <w:p w:rsidR="00BD2278" w:rsidRDefault="00BD2278" w:rsidP="004A5FEA">
      <w:pPr>
        <w:pStyle w:val="HTMLPreformatted"/>
        <w:spacing w:line="360" w:lineRule="auto"/>
        <w:ind w:firstLine="284"/>
        <w:jc w:val="both"/>
        <w:rPr>
          <w:rFonts w:ascii="Times New Roman" w:hAnsi="Times New Roman" w:cs="Times New Roman"/>
          <w:sz w:val="28"/>
          <w:szCs w:val="28"/>
        </w:rPr>
      </w:pPr>
    </w:p>
    <w:p w:rsidR="00BD2278" w:rsidRDefault="00BD2278" w:rsidP="004A5FEA">
      <w:pPr>
        <w:pStyle w:val="HTMLPreformatted"/>
        <w:spacing w:line="360" w:lineRule="auto"/>
        <w:ind w:firstLine="284"/>
        <w:jc w:val="both"/>
        <w:rPr>
          <w:rFonts w:ascii="Times New Roman" w:hAnsi="Times New Roman" w:cs="Times New Roman"/>
          <w:sz w:val="28"/>
          <w:szCs w:val="28"/>
        </w:rPr>
      </w:pPr>
    </w:p>
    <w:p w:rsidR="00BD2278" w:rsidRDefault="00BD2278" w:rsidP="004A5FEA">
      <w:pPr>
        <w:pStyle w:val="HTMLPreformatted"/>
        <w:spacing w:line="360" w:lineRule="auto"/>
        <w:ind w:firstLine="284"/>
        <w:jc w:val="both"/>
        <w:rPr>
          <w:rFonts w:ascii="Times New Roman" w:hAnsi="Times New Roman" w:cs="Times New Roman"/>
          <w:sz w:val="28"/>
          <w:szCs w:val="28"/>
        </w:rPr>
      </w:pPr>
    </w:p>
    <w:p w:rsidR="00BD2278" w:rsidRDefault="00BD2278" w:rsidP="004A5FEA">
      <w:pPr>
        <w:pStyle w:val="HTMLPreformatted"/>
        <w:spacing w:line="360" w:lineRule="auto"/>
        <w:ind w:firstLine="284"/>
        <w:jc w:val="both"/>
        <w:rPr>
          <w:rFonts w:ascii="Times New Roman" w:hAnsi="Times New Roman" w:cs="Times New Roman"/>
          <w:sz w:val="28"/>
          <w:szCs w:val="28"/>
        </w:rPr>
      </w:pPr>
    </w:p>
    <w:p w:rsidR="00BD2278" w:rsidRDefault="00BD2278" w:rsidP="004A5FEA">
      <w:pPr>
        <w:pStyle w:val="HTMLPreformatted"/>
        <w:spacing w:line="360" w:lineRule="auto"/>
        <w:ind w:firstLine="284"/>
        <w:jc w:val="both"/>
        <w:rPr>
          <w:rFonts w:ascii="Times New Roman" w:hAnsi="Times New Roman" w:cs="Times New Roman"/>
          <w:sz w:val="28"/>
          <w:szCs w:val="28"/>
        </w:rPr>
      </w:pPr>
    </w:p>
    <w:p w:rsidR="00BD2278" w:rsidRDefault="00BD2278" w:rsidP="004A5FEA">
      <w:pPr>
        <w:pStyle w:val="HTMLPreformatted"/>
        <w:spacing w:line="360" w:lineRule="auto"/>
        <w:ind w:firstLine="284"/>
        <w:jc w:val="both"/>
        <w:rPr>
          <w:rFonts w:ascii="Times New Roman" w:hAnsi="Times New Roman" w:cs="Times New Roman"/>
          <w:sz w:val="28"/>
          <w:szCs w:val="28"/>
        </w:rPr>
      </w:pPr>
    </w:p>
    <w:p w:rsidR="00BD2278" w:rsidRDefault="00BD2278" w:rsidP="004A5FEA">
      <w:pPr>
        <w:pStyle w:val="HTMLPreformatted"/>
        <w:spacing w:line="360" w:lineRule="auto"/>
        <w:ind w:firstLine="284"/>
        <w:jc w:val="both"/>
        <w:rPr>
          <w:rFonts w:ascii="Times New Roman" w:hAnsi="Times New Roman" w:cs="Times New Roman"/>
          <w:sz w:val="28"/>
          <w:szCs w:val="28"/>
        </w:rPr>
      </w:pPr>
    </w:p>
    <w:p w:rsidR="00BD2278" w:rsidRDefault="00BD2278" w:rsidP="004A5FEA">
      <w:pPr>
        <w:pStyle w:val="HTMLPreformatted"/>
        <w:spacing w:line="360" w:lineRule="auto"/>
        <w:ind w:firstLine="284"/>
        <w:jc w:val="both"/>
        <w:rPr>
          <w:rFonts w:ascii="Times New Roman" w:hAnsi="Times New Roman" w:cs="Times New Roman"/>
          <w:sz w:val="28"/>
          <w:szCs w:val="28"/>
        </w:rPr>
      </w:pPr>
    </w:p>
    <w:p w:rsidR="00BD2278" w:rsidRDefault="00BD2278" w:rsidP="004A5FEA">
      <w:pPr>
        <w:pStyle w:val="HTMLPreformatted"/>
        <w:spacing w:line="360" w:lineRule="auto"/>
        <w:ind w:firstLine="284"/>
        <w:jc w:val="both"/>
        <w:rPr>
          <w:rFonts w:ascii="Times New Roman" w:hAnsi="Times New Roman" w:cs="Times New Roman"/>
          <w:sz w:val="28"/>
          <w:szCs w:val="28"/>
        </w:rPr>
      </w:pPr>
    </w:p>
    <w:p w:rsidR="00BD2278" w:rsidRDefault="00BD2278" w:rsidP="004A5FEA">
      <w:pPr>
        <w:pStyle w:val="HTMLPreformatted"/>
        <w:spacing w:line="360" w:lineRule="auto"/>
        <w:ind w:firstLine="284"/>
        <w:jc w:val="both"/>
        <w:rPr>
          <w:rFonts w:ascii="Times New Roman" w:hAnsi="Times New Roman" w:cs="Times New Roman"/>
          <w:sz w:val="28"/>
          <w:szCs w:val="28"/>
        </w:rPr>
      </w:pPr>
    </w:p>
    <w:p w:rsidR="00BD2278" w:rsidRDefault="00BD2278" w:rsidP="004A5FEA">
      <w:pPr>
        <w:pStyle w:val="HTMLPreformatted"/>
        <w:spacing w:line="360" w:lineRule="auto"/>
        <w:ind w:firstLine="284"/>
        <w:jc w:val="both"/>
        <w:rPr>
          <w:rFonts w:ascii="Times New Roman" w:hAnsi="Times New Roman" w:cs="Times New Roman"/>
          <w:sz w:val="28"/>
          <w:szCs w:val="28"/>
        </w:rPr>
      </w:pPr>
    </w:p>
    <w:p w:rsidR="00BD2278" w:rsidRDefault="00BD2278" w:rsidP="004A5FEA">
      <w:pPr>
        <w:pStyle w:val="HTMLPreformatted"/>
        <w:spacing w:line="360" w:lineRule="auto"/>
        <w:ind w:firstLine="284"/>
        <w:jc w:val="both"/>
        <w:rPr>
          <w:rFonts w:ascii="Times New Roman" w:hAnsi="Times New Roman" w:cs="Times New Roman"/>
          <w:sz w:val="28"/>
          <w:szCs w:val="28"/>
        </w:rPr>
      </w:pPr>
    </w:p>
    <w:p w:rsidR="00BD2278" w:rsidRDefault="00BD2278" w:rsidP="004A5FEA">
      <w:pPr>
        <w:pStyle w:val="FootnoteText"/>
        <w:spacing w:line="360" w:lineRule="auto"/>
        <w:rPr>
          <w:sz w:val="28"/>
          <w:szCs w:val="28"/>
        </w:rPr>
      </w:pPr>
    </w:p>
    <w:p w:rsidR="00BD2278" w:rsidRDefault="00BD2278" w:rsidP="00F92F90">
      <w:pPr>
        <w:pStyle w:val="Titolocapitolo"/>
        <w:outlineLvl w:val="2"/>
      </w:pPr>
      <w:bookmarkStart w:id="24" w:name="_Toc285266438"/>
      <w:r>
        <w:t>Bibliografia</w:t>
      </w:r>
      <w:bookmarkEnd w:id="24"/>
    </w:p>
    <w:p w:rsidR="00BD2278" w:rsidRDefault="00BD2278" w:rsidP="004A5FEA">
      <w:pPr>
        <w:pStyle w:val="FootnoteText"/>
        <w:spacing w:line="360" w:lineRule="auto"/>
        <w:rPr>
          <w:sz w:val="28"/>
          <w:szCs w:val="28"/>
        </w:rPr>
      </w:pPr>
    </w:p>
    <w:p w:rsidR="00BD2278" w:rsidRDefault="00BD2278" w:rsidP="004A5FEA">
      <w:pPr>
        <w:pStyle w:val="FootnoteText"/>
        <w:spacing w:line="360" w:lineRule="auto"/>
        <w:rPr>
          <w:sz w:val="28"/>
          <w:szCs w:val="28"/>
        </w:rPr>
      </w:pPr>
    </w:p>
    <w:p w:rsidR="00BD2278" w:rsidRPr="00640B3C" w:rsidRDefault="00BD2278" w:rsidP="004A5FEA">
      <w:pPr>
        <w:pStyle w:val="FootnoteText"/>
        <w:spacing w:line="360" w:lineRule="auto"/>
        <w:rPr>
          <w:sz w:val="28"/>
          <w:szCs w:val="28"/>
        </w:rPr>
      </w:pPr>
      <w:r w:rsidRPr="00640B3C">
        <w:rPr>
          <w:sz w:val="28"/>
          <w:szCs w:val="28"/>
        </w:rPr>
        <w:t xml:space="preserve">AA.VV., </w:t>
      </w:r>
      <w:r w:rsidRPr="00640B3C">
        <w:rPr>
          <w:i/>
          <w:sz w:val="28"/>
          <w:szCs w:val="28"/>
        </w:rPr>
        <w:t>Commissione per la verifica del Protocollo del 23 luglio 1993. Relazione finale</w:t>
      </w:r>
      <w:r w:rsidRPr="00640B3C">
        <w:rPr>
          <w:sz w:val="28"/>
          <w:szCs w:val="28"/>
        </w:rPr>
        <w:t xml:space="preserve">, in </w:t>
      </w:r>
      <w:r w:rsidRPr="00640B3C">
        <w:rPr>
          <w:i/>
          <w:sz w:val="28"/>
          <w:szCs w:val="28"/>
        </w:rPr>
        <w:t>Econ. Lav.</w:t>
      </w:r>
      <w:r w:rsidRPr="00640B3C">
        <w:rPr>
          <w:sz w:val="28"/>
          <w:szCs w:val="28"/>
        </w:rPr>
        <w:t>, 1998, 3, p. 99 e ss;</w:t>
      </w:r>
    </w:p>
    <w:p w:rsidR="00BD2278" w:rsidRPr="00640B3C" w:rsidRDefault="00BD2278" w:rsidP="004A5FEA">
      <w:pPr>
        <w:rPr>
          <w:sz w:val="28"/>
          <w:szCs w:val="28"/>
        </w:rPr>
      </w:pPr>
      <w:r w:rsidRPr="00640B3C">
        <w:rPr>
          <w:sz w:val="28"/>
          <w:szCs w:val="28"/>
        </w:rPr>
        <w:t xml:space="preserve">AA.VV., </w:t>
      </w:r>
      <w:r w:rsidRPr="00640B3C">
        <w:rPr>
          <w:i/>
          <w:sz w:val="28"/>
          <w:szCs w:val="28"/>
        </w:rPr>
        <w:t>Il problema dei c.d. “automatismi retributivi”: questioni giuridiche e orientamenti sindacali</w:t>
      </w:r>
      <w:r w:rsidRPr="00640B3C">
        <w:rPr>
          <w:sz w:val="28"/>
          <w:szCs w:val="28"/>
        </w:rPr>
        <w:t xml:space="preserve">, in </w:t>
      </w:r>
      <w:r w:rsidRPr="00640B3C">
        <w:rPr>
          <w:i/>
          <w:sz w:val="28"/>
          <w:szCs w:val="28"/>
        </w:rPr>
        <w:t>Riv. giur. lav. prev. soc.</w:t>
      </w:r>
      <w:r w:rsidRPr="00640B3C">
        <w:rPr>
          <w:sz w:val="28"/>
          <w:szCs w:val="28"/>
        </w:rPr>
        <w:t>, 1977, 6, parte I, p. 495;</w:t>
      </w:r>
    </w:p>
    <w:p w:rsidR="00BD2278" w:rsidRPr="00640B3C" w:rsidRDefault="00BD2278" w:rsidP="004A5FEA">
      <w:pPr>
        <w:rPr>
          <w:sz w:val="28"/>
          <w:szCs w:val="28"/>
        </w:rPr>
      </w:pPr>
      <w:r w:rsidRPr="00640B3C">
        <w:rPr>
          <w:sz w:val="28"/>
          <w:szCs w:val="28"/>
        </w:rPr>
        <w:t xml:space="preserve">AA.VV., </w:t>
      </w:r>
      <w:r w:rsidRPr="00640B3C">
        <w:rPr>
          <w:i/>
          <w:sz w:val="28"/>
          <w:szCs w:val="28"/>
        </w:rPr>
        <w:t>La disdetta della scala mobile: quali problemi giuridici?</w:t>
      </w:r>
      <w:r w:rsidRPr="00640B3C">
        <w:rPr>
          <w:sz w:val="28"/>
          <w:szCs w:val="28"/>
        </w:rPr>
        <w:t xml:space="preserve">, in </w:t>
      </w:r>
      <w:r w:rsidRPr="00640B3C">
        <w:rPr>
          <w:i/>
          <w:sz w:val="28"/>
          <w:szCs w:val="28"/>
        </w:rPr>
        <w:t xml:space="preserve">Riv. giur. lav. prev. soc., </w:t>
      </w:r>
      <w:r w:rsidRPr="00640B3C">
        <w:rPr>
          <w:sz w:val="28"/>
          <w:szCs w:val="28"/>
        </w:rPr>
        <w:t>1982, I, p. 527;</w:t>
      </w:r>
    </w:p>
    <w:p w:rsidR="00BD2278" w:rsidRPr="00640B3C" w:rsidRDefault="00BD2278" w:rsidP="004A5FEA">
      <w:pPr>
        <w:rPr>
          <w:sz w:val="28"/>
          <w:szCs w:val="28"/>
        </w:rPr>
      </w:pPr>
      <w:r w:rsidRPr="00640B3C">
        <w:rPr>
          <w:sz w:val="28"/>
          <w:szCs w:val="28"/>
        </w:rPr>
        <w:t xml:space="preserve">AA.VV., </w:t>
      </w:r>
      <w:r w:rsidRPr="00640B3C">
        <w:rPr>
          <w:i/>
          <w:sz w:val="28"/>
          <w:szCs w:val="28"/>
        </w:rPr>
        <w:t>La retribuzione. Struttura e regime giuridico</w:t>
      </w:r>
      <w:r w:rsidRPr="00640B3C">
        <w:rPr>
          <w:sz w:val="28"/>
          <w:szCs w:val="28"/>
        </w:rPr>
        <w:t>, a cura di B. Caruso, C. Zoli, L. Zoppoli, Napoli, 1994;</w:t>
      </w:r>
    </w:p>
    <w:p w:rsidR="00BD2278" w:rsidRPr="00640B3C" w:rsidRDefault="00BD2278" w:rsidP="004A5FEA">
      <w:pPr>
        <w:rPr>
          <w:sz w:val="28"/>
          <w:szCs w:val="28"/>
        </w:rPr>
      </w:pPr>
      <w:r w:rsidRPr="00640B3C">
        <w:rPr>
          <w:sz w:val="28"/>
          <w:szCs w:val="28"/>
        </w:rPr>
        <w:t xml:space="preserve">AA.VV., </w:t>
      </w:r>
      <w:r w:rsidRPr="00640B3C">
        <w:rPr>
          <w:i/>
          <w:sz w:val="28"/>
          <w:szCs w:val="28"/>
        </w:rPr>
        <w:t>Le riforme che mancano</w:t>
      </w:r>
      <w:r w:rsidRPr="00640B3C">
        <w:rPr>
          <w:sz w:val="28"/>
          <w:szCs w:val="28"/>
        </w:rPr>
        <w:t>, a cura di C. Dell’Aringa e T. Treu, Roma, 2009;</w:t>
      </w:r>
    </w:p>
    <w:p w:rsidR="00BD2278" w:rsidRPr="00640B3C" w:rsidRDefault="00BD2278" w:rsidP="004A5FEA">
      <w:pPr>
        <w:rPr>
          <w:sz w:val="28"/>
          <w:szCs w:val="28"/>
        </w:rPr>
      </w:pPr>
      <w:r w:rsidRPr="00640B3C">
        <w:rPr>
          <w:sz w:val="28"/>
          <w:szCs w:val="28"/>
        </w:rPr>
        <w:t xml:space="preserve">AA.VV., </w:t>
      </w:r>
      <w:r w:rsidRPr="00640B3C">
        <w:rPr>
          <w:i/>
          <w:sz w:val="28"/>
          <w:szCs w:val="28"/>
        </w:rPr>
        <w:t>Retribuzione, costo del lavoro, livelli della contrattazione</w:t>
      </w:r>
      <w:r w:rsidRPr="00640B3C">
        <w:rPr>
          <w:sz w:val="28"/>
          <w:szCs w:val="28"/>
        </w:rPr>
        <w:t>, a cura di R. Brunetta, Milano, 1992;</w:t>
      </w:r>
    </w:p>
    <w:p w:rsidR="00BD2278" w:rsidRPr="00640B3C" w:rsidRDefault="00BD2278" w:rsidP="004A5FEA">
      <w:pPr>
        <w:rPr>
          <w:sz w:val="28"/>
          <w:szCs w:val="28"/>
        </w:rPr>
      </w:pPr>
      <w:r w:rsidRPr="00640B3C">
        <w:rPr>
          <w:sz w:val="28"/>
          <w:szCs w:val="28"/>
        </w:rPr>
        <w:t>AA.VV.,</w:t>
      </w:r>
      <w:r w:rsidRPr="00640B3C">
        <w:rPr>
          <w:i/>
          <w:sz w:val="28"/>
          <w:szCs w:val="28"/>
        </w:rPr>
        <w:t xml:space="preserve">Valorizzazione del merito e metodi di incentivazione della produttività e della qualità della prestazione lavorativa, </w:t>
      </w:r>
      <w:r w:rsidRPr="00640B3C">
        <w:rPr>
          <w:sz w:val="28"/>
          <w:szCs w:val="28"/>
        </w:rPr>
        <w:t xml:space="preserve">in </w:t>
      </w:r>
      <w:r w:rsidRPr="00640B3C">
        <w:rPr>
          <w:i/>
          <w:sz w:val="28"/>
          <w:szCs w:val="28"/>
        </w:rPr>
        <w:t>Ideologia e tecnica nella riforma del lavoro pubblico</w:t>
      </w:r>
      <w:r w:rsidRPr="00640B3C">
        <w:rPr>
          <w:sz w:val="28"/>
          <w:szCs w:val="28"/>
        </w:rPr>
        <w:t>, a cura di L. Zoppoli, Napoli, 2009;</w:t>
      </w:r>
    </w:p>
    <w:p w:rsidR="00BD2278" w:rsidRPr="00640B3C" w:rsidRDefault="00BD2278" w:rsidP="004A5FEA">
      <w:pPr>
        <w:pStyle w:val="FootnoteText"/>
        <w:spacing w:line="360" w:lineRule="auto"/>
        <w:rPr>
          <w:bCs/>
          <w:sz w:val="28"/>
          <w:szCs w:val="28"/>
        </w:rPr>
      </w:pPr>
      <w:r w:rsidRPr="00640B3C">
        <w:rPr>
          <w:sz w:val="28"/>
          <w:szCs w:val="28"/>
        </w:rPr>
        <w:t xml:space="preserve">Acocella N., Leoni R., </w:t>
      </w:r>
      <w:r w:rsidRPr="00640B3C">
        <w:rPr>
          <w:bCs/>
          <w:i/>
          <w:sz w:val="28"/>
          <w:szCs w:val="28"/>
        </w:rPr>
        <w:t>La riforma della contrattazione: redistribuzione perversa o produzione di reddito?</w:t>
      </w:r>
      <w:r w:rsidRPr="00640B3C">
        <w:rPr>
          <w:bCs/>
          <w:sz w:val="28"/>
          <w:szCs w:val="28"/>
        </w:rPr>
        <w:t>, in Riv. it. econ., 2010, 2, p. 237;</w:t>
      </w:r>
    </w:p>
    <w:p w:rsidR="00BD2278" w:rsidRPr="00640B3C" w:rsidRDefault="00BD2278" w:rsidP="004A5FEA">
      <w:pPr>
        <w:rPr>
          <w:sz w:val="28"/>
          <w:szCs w:val="28"/>
        </w:rPr>
      </w:pPr>
      <w:r w:rsidRPr="00640B3C">
        <w:rPr>
          <w:sz w:val="28"/>
          <w:szCs w:val="28"/>
        </w:rPr>
        <w:t xml:space="preserve">Alaimo A., </w:t>
      </w:r>
      <w:r w:rsidRPr="00640B3C">
        <w:rPr>
          <w:i/>
          <w:sz w:val="28"/>
          <w:szCs w:val="28"/>
        </w:rPr>
        <w:t xml:space="preserve">Gli incentivi retributivi nell’industria, </w:t>
      </w:r>
      <w:r w:rsidRPr="00640B3C">
        <w:rPr>
          <w:sz w:val="28"/>
          <w:szCs w:val="28"/>
        </w:rPr>
        <w:t xml:space="preserve">in </w:t>
      </w:r>
      <w:r w:rsidRPr="00640B3C">
        <w:rPr>
          <w:i/>
          <w:sz w:val="28"/>
          <w:szCs w:val="28"/>
        </w:rPr>
        <w:t xml:space="preserve">Retribuzione incentivante e rapporti di lavoro, </w:t>
      </w:r>
      <w:r w:rsidRPr="00640B3C">
        <w:rPr>
          <w:sz w:val="28"/>
          <w:szCs w:val="28"/>
        </w:rPr>
        <w:t>ricerca diretta da L. Zoppoli, Milano, 1994;</w:t>
      </w:r>
    </w:p>
    <w:p w:rsidR="00BD2278" w:rsidRPr="00640B3C" w:rsidRDefault="00BD2278" w:rsidP="004A5FEA">
      <w:pPr>
        <w:pStyle w:val="FootnoteText"/>
        <w:spacing w:line="360" w:lineRule="auto"/>
        <w:rPr>
          <w:sz w:val="28"/>
          <w:szCs w:val="28"/>
        </w:rPr>
      </w:pPr>
      <w:r w:rsidRPr="00640B3C">
        <w:rPr>
          <w:sz w:val="28"/>
          <w:szCs w:val="28"/>
        </w:rPr>
        <w:t xml:space="preserve">Alaimo A., </w:t>
      </w:r>
      <w:r w:rsidRPr="00640B3C">
        <w:rPr>
          <w:i/>
          <w:sz w:val="28"/>
          <w:szCs w:val="28"/>
        </w:rPr>
        <w:t>La contrattazione collettiva nel settore pubblico tra vincoli, controlli e blocchi: dalla riforma brunetta alla manovra finanziaria 2010</w:t>
      </w:r>
      <w:r w:rsidRPr="00640B3C">
        <w:rPr>
          <w:sz w:val="28"/>
          <w:szCs w:val="28"/>
        </w:rPr>
        <w:t xml:space="preserve">, in </w:t>
      </w:r>
      <w:r w:rsidRPr="00640B3C">
        <w:rPr>
          <w:i/>
          <w:sz w:val="28"/>
          <w:szCs w:val="28"/>
        </w:rPr>
        <w:t>Lav. pub. amm.</w:t>
      </w:r>
      <w:r w:rsidRPr="00640B3C">
        <w:rPr>
          <w:sz w:val="28"/>
          <w:szCs w:val="28"/>
        </w:rPr>
        <w:t>, 2010, 2, p. 287;</w:t>
      </w:r>
    </w:p>
    <w:p w:rsidR="00BD2278" w:rsidRPr="00640B3C" w:rsidRDefault="00BD2278" w:rsidP="004A5FEA">
      <w:pPr>
        <w:pStyle w:val="FootnoteText"/>
        <w:spacing w:line="360" w:lineRule="auto"/>
        <w:rPr>
          <w:sz w:val="28"/>
          <w:szCs w:val="28"/>
        </w:rPr>
      </w:pPr>
      <w:r w:rsidRPr="00640B3C">
        <w:rPr>
          <w:sz w:val="28"/>
          <w:szCs w:val="28"/>
        </w:rPr>
        <w:t xml:space="preserve">Alaimo A., </w:t>
      </w:r>
      <w:r w:rsidRPr="00640B3C">
        <w:rPr>
          <w:i/>
          <w:sz w:val="28"/>
          <w:szCs w:val="28"/>
        </w:rPr>
        <w:t>Sistemi partecipativi e incentivanti di retribuzione: l’evoluzione storica in Italia</w:t>
      </w:r>
      <w:r w:rsidRPr="00640B3C">
        <w:rPr>
          <w:sz w:val="28"/>
          <w:szCs w:val="28"/>
        </w:rPr>
        <w:t xml:space="preserve">, in </w:t>
      </w:r>
      <w:r w:rsidRPr="00640B3C">
        <w:rPr>
          <w:i/>
          <w:sz w:val="28"/>
          <w:szCs w:val="28"/>
        </w:rPr>
        <w:t>Dir. rel. ind.</w:t>
      </w:r>
      <w:r w:rsidRPr="00640B3C">
        <w:rPr>
          <w:sz w:val="28"/>
          <w:szCs w:val="28"/>
        </w:rPr>
        <w:t>, 1991, 1, p. 18;</w:t>
      </w:r>
    </w:p>
    <w:p w:rsidR="00BD2278" w:rsidRPr="00640B3C" w:rsidRDefault="00BD2278" w:rsidP="004A5FEA">
      <w:pPr>
        <w:rPr>
          <w:sz w:val="28"/>
          <w:szCs w:val="28"/>
        </w:rPr>
      </w:pPr>
      <w:r w:rsidRPr="00640B3C">
        <w:rPr>
          <w:sz w:val="28"/>
          <w:szCs w:val="28"/>
        </w:rPr>
        <w:t xml:space="preserve">Albi P., </w:t>
      </w:r>
      <w:r w:rsidRPr="00640B3C">
        <w:rPr>
          <w:i/>
          <w:sz w:val="28"/>
          <w:szCs w:val="28"/>
        </w:rPr>
        <w:t>La contrattazione sindacale nella programmazione negoziata per lo sviluppo</w:t>
      </w:r>
      <w:r w:rsidRPr="00640B3C">
        <w:rPr>
          <w:sz w:val="28"/>
          <w:szCs w:val="28"/>
        </w:rPr>
        <w:t xml:space="preserve">, in </w:t>
      </w:r>
      <w:r w:rsidRPr="00640B3C">
        <w:rPr>
          <w:i/>
          <w:sz w:val="28"/>
          <w:szCs w:val="28"/>
        </w:rPr>
        <w:t>Giorn. dir. lav. rel. ind.</w:t>
      </w:r>
      <w:r w:rsidRPr="00640B3C">
        <w:rPr>
          <w:sz w:val="28"/>
          <w:szCs w:val="28"/>
        </w:rPr>
        <w:t>, 2001, 91, p. 453;</w:t>
      </w:r>
    </w:p>
    <w:p w:rsidR="00BD2278" w:rsidRPr="00640B3C" w:rsidRDefault="00BD2278" w:rsidP="004A5FEA">
      <w:pPr>
        <w:rPr>
          <w:sz w:val="28"/>
          <w:szCs w:val="28"/>
        </w:rPr>
      </w:pPr>
      <w:r w:rsidRPr="00640B3C">
        <w:rPr>
          <w:sz w:val="28"/>
          <w:szCs w:val="28"/>
        </w:rPr>
        <w:t xml:space="preserve">Alleva P., </w:t>
      </w:r>
      <w:r w:rsidRPr="00640B3C">
        <w:rPr>
          <w:i/>
          <w:sz w:val="28"/>
          <w:szCs w:val="28"/>
        </w:rPr>
        <w:t>Il tramonto degli automatismi salariali</w:t>
      </w:r>
      <w:r w:rsidRPr="00640B3C">
        <w:rPr>
          <w:sz w:val="28"/>
          <w:szCs w:val="28"/>
        </w:rPr>
        <w:t xml:space="preserve">, in </w:t>
      </w:r>
      <w:r w:rsidRPr="00640B3C">
        <w:rPr>
          <w:i/>
          <w:sz w:val="28"/>
          <w:szCs w:val="28"/>
        </w:rPr>
        <w:t>Pol. dir.</w:t>
      </w:r>
      <w:r w:rsidRPr="00640B3C">
        <w:rPr>
          <w:sz w:val="28"/>
          <w:szCs w:val="28"/>
        </w:rPr>
        <w:t>, 1982, 3, p. 423;</w:t>
      </w:r>
    </w:p>
    <w:p w:rsidR="00BD2278" w:rsidRPr="00640B3C" w:rsidRDefault="00BD2278" w:rsidP="004A5FEA">
      <w:pPr>
        <w:rPr>
          <w:sz w:val="28"/>
          <w:szCs w:val="28"/>
        </w:rPr>
      </w:pPr>
      <w:r w:rsidRPr="00640B3C">
        <w:rPr>
          <w:sz w:val="28"/>
          <w:szCs w:val="28"/>
        </w:rPr>
        <w:t xml:space="preserve">Alleva p., </w:t>
      </w:r>
      <w:r w:rsidRPr="00640B3C">
        <w:rPr>
          <w:i/>
          <w:sz w:val="28"/>
          <w:szCs w:val="28"/>
        </w:rPr>
        <w:t>L’accordo del 23 luglio 1993: un’analisi critica</w:t>
      </w:r>
      <w:r w:rsidRPr="00640B3C">
        <w:rPr>
          <w:sz w:val="28"/>
          <w:szCs w:val="28"/>
        </w:rPr>
        <w:t xml:space="preserve">, </w:t>
      </w:r>
      <w:r w:rsidRPr="00640B3C">
        <w:rPr>
          <w:i/>
          <w:sz w:val="28"/>
          <w:szCs w:val="28"/>
        </w:rPr>
        <w:t>Riv. giur. lav. prev. soc.</w:t>
      </w:r>
      <w:r w:rsidRPr="00640B3C">
        <w:rPr>
          <w:sz w:val="28"/>
          <w:szCs w:val="28"/>
        </w:rPr>
        <w:t>, 1993, I, p.243;</w:t>
      </w:r>
    </w:p>
    <w:p w:rsidR="00BD2278" w:rsidRPr="00640B3C" w:rsidRDefault="00BD2278" w:rsidP="004A5FEA">
      <w:pPr>
        <w:rPr>
          <w:sz w:val="28"/>
          <w:szCs w:val="28"/>
        </w:rPr>
      </w:pPr>
      <w:r w:rsidRPr="00640B3C">
        <w:rPr>
          <w:sz w:val="28"/>
          <w:szCs w:val="28"/>
        </w:rPr>
        <w:t xml:space="preserve">Alleva P., </w:t>
      </w:r>
      <w:r w:rsidRPr="00640B3C">
        <w:rPr>
          <w:i/>
          <w:sz w:val="28"/>
          <w:szCs w:val="28"/>
        </w:rPr>
        <w:t xml:space="preserve">La questione della scala mobile, </w:t>
      </w:r>
      <w:r w:rsidRPr="00640B3C">
        <w:rPr>
          <w:sz w:val="28"/>
          <w:szCs w:val="28"/>
        </w:rPr>
        <w:t xml:space="preserve">in </w:t>
      </w:r>
      <w:r w:rsidRPr="00640B3C">
        <w:rPr>
          <w:i/>
          <w:sz w:val="28"/>
          <w:szCs w:val="28"/>
        </w:rPr>
        <w:t>Riv. giur. lav. prev. soc.,</w:t>
      </w:r>
      <w:r w:rsidRPr="00640B3C">
        <w:rPr>
          <w:sz w:val="28"/>
          <w:szCs w:val="28"/>
        </w:rPr>
        <w:t>1992, I, p. 1;</w:t>
      </w:r>
    </w:p>
    <w:p w:rsidR="00BD2278" w:rsidRPr="00640B3C" w:rsidRDefault="00BD2278" w:rsidP="004A5FEA">
      <w:pPr>
        <w:rPr>
          <w:sz w:val="28"/>
          <w:szCs w:val="28"/>
        </w:rPr>
      </w:pPr>
      <w:r w:rsidRPr="00640B3C">
        <w:rPr>
          <w:sz w:val="28"/>
          <w:szCs w:val="28"/>
        </w:rPr>
        <w:t xml:space="preserve">Alleva P., voce </w:t>
      </w:r>
      <w:r w:rsidRPr="00640B3C">
        <w:rPr>
          <w:i/>
          <w:sz w:val="28"/>
          <w:szCs w:val="28"/>
        </w:rPr>
        <w:t>automatismi salariali</w:t>
      </w:r>
      <w:r w:rsidRPr="00640B3C">
        <w:rPr>
          <w:sz w:val="28"/>
          <w:szCs w:val="28"/>
        </w:rPr>
        <w:t xml:space="preserve">, in </w:t>
      </w:r>
      <w:r w:rsidRPr="00640B3C">
        <w:rPr>
          <w:i/>
          <w:sz w:val="28"/>
          <w:szCs w:val="28"/>
        </w:rPr>
        <w:t xml:space="preserve">Dig. IV, disc. priv. sez. comm., </w:t>
      </w:r>
      <w:r w:rsidRPr="00640B3C">
        <w:rPr>
          <w:sz w:val="28"/>
          <w:szCs w:val="28"/>
        </w:rPr>
        <w:t>II, Torino, 1987, p. 1;</w:t>
      </w:r>
    </w:p>
    <w:p w:rsidR="00BD2278" w:rsidRPr="00640B3C" w:rsidRDefault="00BD2278" w:rsidP="004A5FEA">
      <w:pPr>
        <w:rPr>
          <w:sz w:val="28"/>
          <w:szCs w:val="28"/>
        </w:rPr>
      </w:pPr>
      <w:r w:rsidRPr="00640B3C">
        <w:rPr>
          <w:sz w:val="28"/>
          <w:szCs w:val="28"/>
        </w:rPr>
        <w:t xml:space="preserve">Angiello L., </w:t>
      </w:r>
      <w:r w:rsidRPr="00640B3C">
        <w:rPr>
          <w:i/>
          <w:sz w:val="28"/>
          <w:szCs w:val="28"/>
        </w:rPr>
        <w:t xml:space="preserve">La retribuzione, </w:t>
      </w:r>
      <w:r w:rsidRPr="00640B3C">
        <w:rPr>
          <w:sz w:val="28"/>
          <w:szCs w:val="28"/>
        </w:rPr>
        <w:t>Milano, 1990;</w:t>
      </w:r>
    </w:p>
    <w:p w:rsidR="00BD2278" w:rsidRPr="00640B3C" w:rsidRDefault="00BD2278" w:rsidP="004A5FEA">
      <w:pPr>
        <w:rPr>
          <w:sz w:val="28"/>
          <w:szCs w:val="28"/>
        </w:rPr>
      </w:pPr>
      <w:r w:rsidRPr="00640B3C">
        <w:rPr>
          <w:sz w:val="28"/>
          <w:szCs w:val="28"/>
        </w:rPr>
        <w:t xml:space="preserve">Antignani A., </w:t>
      </w:r>
      <w:r w:rsidRPr="00640B3C">
        <w:rPr>
          <w:i/>
          <w:sz w:val="28"/>
          <w:szCs w:val="28"/>
        </w:rPr>
        <w:t>Riflessioni su retribuzione, parità di trattamento, automatismi e art. 36, 1° comma della costituzione</w:t>
      </w:r>
      <w:r w:rsidRPr="00640B3C">
        <w:rPr>
          <w:sz w:val="28"/>
          <w:szCs w:val="28"/>
        </w:rPr>
        <w:t xml:space="preserve">, in </w:t>
      </w:r>
      <w:r w:rsidRPr="00640B3C">
        <w:rPr>
          <w:i/>
          <w:sz w:val="28"/>
          <w:szCs w:val="28"/>
        </w:rPr>
        <w:t>Riv. giur. lav. prev. soc.</w:t>
      </w:r>
      <w:r w:rsidRPr="00640B3C">
        <w:rPr>
          <w:sz w:val="28"/>
          <w:szCs w:val="28"/>
        </w:rPr>
        <w:t>, 1981, I, p.277;</w:t>
      </w:r>
    </w:p>
    <w:p w:rsidR="00BD2278" w:rsidRPr="00640B3C" w:rsidRDefault="00BD2278" w:rsidP="004A5FEA">
      <w:pPr>
        <w:rPr>
          <w:sz w:val="28"/>
          <w:szCs w:val="28"/>
        </w:rPr>
      </w:pPr>
      <w:r w:rsidRPr="00640B3C">
        <w:rPr>
          <w:sz w:val="28"/>
          <w:szCs w:val="28"/>
        </w:rPr>
        <w:t xml:space="preserve">Barassi L. </w:t>
      </w:r>
      <w:r w:rsidRPr="00640B3C">
        <w:rPr>
          <w:i/>
          <w:sz w:val="28"/>
          <w:szCs w:val="28"/>
        </w:rPr>
        <w:t>Il diritto del lavoro</w:t>
      </w:r>
      <w:r w:rsidRPr="00640B3C">
        <w:rPr>
          <w:sz w:val="28"/>
          <w:szCs w:val="28"/>
        </w:rPr>
        <w:t>, Milano, 1949;</w:t>
      </w:r>
    </w:p>
    <w:p w:rsidR="00BD2278" w:rsidRPr="00640B3C" w:rsidRDefault="00BD2278" w:rsidP="004A5FEA">
      <w:pPr>
        <w:rPr>
          <w:sz w:val="28"/>
          <w:szCs w:val="28"/>
        </w:rPr>
      </w:pPr>
      <w:r w:rsidRPr="00640B3C">
        <w:rPr>
          <w:sz w:val="28"/>
          <w:szCs w:val="28"/>
        </w:rPr>
        <w:t xml:space="preserve">Bavaro V., </w:t>
      </w:r>
      <w:r w:rsidRPr="00640B3C">
        <w:rPr>
          <w:i/>
          <w:sz w:val="28"/>
          <w:szCs w:val="28"/>
        </w:rPr>
        <w:t>Contrattazione collettiva e relazioni industriali nell’archetipo Fiat di Pomigliano d’Arco</w:t>
      </w:r>
      <w:r w:rsidRPr="00640B3C">
        <w:rPr>
          <w:sz w:val="28"/>
          <w:szCs w:val="28"/>
        </w:rPr>
        <w:t>, dattiloscritto in corso di pubblicazione su Quad. rass. sind., Adapt, boll. spec. 2011, 44;</w:t>
      </w:r>
    </w:p>
    <w:p w:rsidR="00BD2278" w:rsidRPr="00640B3C" w:rsidRDefault="00BD2278" w:rsidP="004A5FEA">
      <w:pPr>
        <w:rPr>
          <w:sz w:val="28"/>
          <w:szCs w:val="28"/>
        </w:rPr>
      </w:pPr>
      <w:r w:rsidRPr="00640B3C">
        <w:rPr>
          <w:sz w:val="28"/>
          <w:szCs w:val="28"/>
        </w:rPr>
        <w:t xml:space="preserve">Bellavista A., </w:t>
      </w:r>
      <w:r w:rsidRPr="00640B3C">
        <w:rPr>
          <w:i/>
          <w:sz w:val="28"/>
          <w:szCs w:val="28"/>
        </w:rPr>
        <w:t>I contratti di riallineamento retributivo e l’emersione del lavoro sommerso</w:t>
      </w:r>
      <w:r w:rsidRPr="00640B3C">
        <w:rPr>
          <w:sz w:val="28"/>
          <w:szCs w:val="28"/>
        </w:rPr>
        <w:t xml:space="preserve">, in </w:t>
      </w:r>
      <w:r w:rsidRPr="00640B3C">
        <w:rPr>
          <w:i/>
          <w:sz w:val="28"/>
          <w:szCs w:val="28"/>
        </w:rPr>
        <w:t>Riv. giur. dir. lav. prev. soc.</w:t>
      </w:r>
      <w:r w:rsidRPr="00640B3C">
        <w:rPr>
          <w:sz w:val="28"/>
          <w:szCs w:val="28"/>
        </w:rPr>
        <w:t>, 1998, I, p. 93;</w:t>
      </w:r>
    </w:p>
    <w:p w:rsidR="00BD2278" w:rsidRPr="00640B3C" w:rsidRDefault="00BD2278" w:rsidP="004A5FEA">
      <w:pPr>
        <w:rPr>
          <w:sz w:val="28"/>
          <w:szCs w:val="28"/>
        </w:rPr>
      </w:pPr>
      <w:r w:rsidRPr="00640B3C">
        <w:rPr>
          <w:sz w:val="28"/>
          <w:szCs w:val="28"/>
        </w:rPr>
        <w:t xml:space="preserve">Bellavista A., </w:t>
      </w:r>
      <w:r w:rsidRPr="00640B3C">
        <w:rPr>
          <w:i/>
          <w:sz w:val="28"/>
          <w:szCs w:val="28"/>
        </w:rPr>
        <w:t>I contratti di riallineamento retributivo,</w:t>
      </w:r>
      <w:r w:rsidRPr="00640B3C">
        <w:rPr>
          <w:sz w:val="28"/>
          <w:szCs w:val="28"/>
        </w:rPr>
        <w:t xml:space="preserve">sub art. 23 l. 24 giugno 1997, n. 196, in </w:t>
      </w:r>
      <w:r w:rsidRPr="00640B3C">
        <w:rPr>
          <w:i/>
          <w:sz w:val="28"/>
          <w:szCs w:val="28"/>
        </w:rPr>
        <w:t>Le nuove leggi civili commentate</w:t>
      </w:r>
      <w:r w:rsidRPr="00640B3C">
        <w:rPr>
          <w:sz w:val="28"/>
          <w:szCs w:val="28"/>
        </w:rPr>
        <w:t xml:space="preserve">, a </w:t>
      </w:r>
      <w:r>
        <w:rPr>
          <w:sz w:val="28"/>
          <w:szCs w:val="28"/>
        </w:rPr>
        <w:t>cura di M. Napoli, Padova, 1998;</w:t>
      </w:r>
    </w:p>
    <w:p w:rsidR="00BD2278" w:rsidRPr="00640B3C" w:rsidRDefault="00BD2278" w:rsidP="004A5FEA">
      <w:pPr>
        <w:pStyle w:val="FootnoteText"/>
        <w:spacing w:line="360" w:lineRule="auto"/>
        <w:rPr>
          <w:sz w:val="28"/>
          <w:szCs w:val="28"/>
        </w:rPr>
      </w:pPr>
      <w:r w:rsidRPr="00640B3C">
        <w:rPr>
          <w:sz w:val="28"/>
          <w:szCs w:val="28"/>
        </w:rPr>
        <w:t xml:space="preserve">Bellocchi P., Sub art. 39 Cost., in </w:t>
      </w:r>
      <w:r w:rsidRPr="00640B3C">
        <w:rPr>
          <w:i/>
          <w:sz w:val="28"/>
          <w:szCs w:val="28"/>
        </w:rPr>
        <w:t>Diritto del lavoro</w:t>
      </w:r>
      <w:r w:rsidRPr="00640B3C">
        <w:rPr>
          <w:sz w:val="28"/>
          <w:szCs w:val="28"/>
        </w:rPr>
        <w:t>, a cura di G. Amoroso, V. Di Cerbo, A. Maresca, Milano, 2009, p. 347;</w:t>
      </w:r>
    </w:p>
    <w:p w:rsidR="00BD2278" w:rsidRPr="00640B3C" w:rsidRDefault="00BD2278" w:rsidP="004A5FEA">
      <w:pPr>
        <w:rPr>
          <w:sz w:val="28"/>
          <w:szCs w:val="28"/>
        </w:rPr>
      </w:pPr>
      <w:r w:rsidRPr="00640B3C">
        <w:rPr>
          <w:sz w:val="28"/>
          <w:szCs w:val="28"/>
        </w:rPr>
        <w:t xml:space="preserve">Bellomo S., </w:t>
      </w:r>
      <w:r w:rsidRPr="00640B3C">
        <w:rPr>
          <w:i/>
          <w:sz w:val="28"/>
          <w:szCs w:val="28"/>
        </w:rPr>
        <w:t>Retribuzione sufficiente e autonomia collettiva</w:t>
      </w:r>
      <w:r w:rsidRPr="00640B3C">
        <w:rPr>
          <w:sz w:val="28"/>
          <w:szCs w:val="28"/>
        </w:rPr>
        <w:t>, Torino, 2002;</w:t>
      </w:r>
    </w:p>
    <w:p w:rsidR="00BD2278" w:rsidRPr="00640B3C" w:rsidRDefault="00BD2278" w:rsidP="004A5FEA">
      <w:pPr>
        <w:rPr>
          <w:sz w:val="28"/>
          <w:szCs w:val="28"/>
        </w:rPr>
      </w:pPr>
      <w:r w:rsidRPr="00640B3C">
        <w:rPr>
          <w:sz w:val="28"/>
          <w:szCs w:val="28"/>
        </w:rPr>
        <w:t xml:space="preserve">Bellomo S., Sub art. 36 Cost., 2099, 2100, 2101, 2102 c.c., in </w:t>
      </w:r>
      <w:r w:rsidRPr="00640B3C">
        <w:rPr>
          <w:i/>
          <w:sz w:val="28"/>
          <w:szCs w:val="28"/>
        </w:rPr>
        <w:t>Diritto del lavoro</w:t>
      </w:r>
      <w:r w:rsidRPr="00640B3C">
        <w:rPr>
          <w:sz w:val="28"/>
          <w:szCs w:val="28"/>
        </w:rPr>
        <w:t>, a cura di G. Amoroso, V. Di Cerbo, A. Maresca, Milano, 2009;</w:t>
      </w:r>
    </w:p>
    <w:p w:rsidR="00BD2278" w:rsidRPr="00640B3C" w:rsidRDefault="00BD2278" w:rsidP="004A5FEA">
      <w:pPr>
        <w:rPr>
          <w:sz w:val="28"/>
          <w:szCs w:val="28"/>
        </w:rPr>
      </w:pPr>
      <w:r w:rsidRPr="00640B3C">
        <w:rPr>
          <w:sz w:val="28"/>
          <w:szCs w:val="28"/>
        </w:rPr>
        <w:t xml:space="preserve">Bianchi D’Urso, </w:t>
      </w:r>
      <w:r w:rsidRPr="00640B3C">
        <w:rPr>
          <w:i/>
          <w:sz w:val="28"/>
          <w:szCs w:val="28"/>
        </w:rPr>
        <w:t>Spunti critici in tema di onnicomprensività e continuità della retribuzione</w:t>
      </w:r>
      <w:r w:rsidRPr="00640B3C">
        <w:rPr>
          <w:sz w:val="28"/>
          <w:szCs w:val="28"/>
        </w:rPr>
        <w:t xml:space="preserve">, in </w:t>
      </w:r>
      <w:r w:rsidRPr="00640B3C">
        <w:rPr>
          <w:i/>
          <w:sz w:val="28"/>
          <w:szCs w:val="28"/>
        </w:rPr>
        <w:t>Riv. it. dir. lav.</w:t>
      </w:r>
      <w:r w:rsidRPr="00640B3C">
        <w:rPr>
          <w:sz w:val="28"/>
          <w:szCs w:val="28"/>
        </w:rPr>
        <w:t>, 1983, I, p. 393,</w:t>
      </w:r>
    </w:p>
    <w:p w:rsidR="00BD2278" w:rsidRPr="00640B3C" w:rsidRDefault="00BD2278" w:rsidP="004A5FEA">
      <w:pPr>
        <w:rPr>
          <w:sz w:val="28"/>
          <w:szCs w:val="28"/>
        </w:rPr>
      </w:pPr>
      <w:r w:rsidRPr="00640B3C">
        <w:rPr>
          <w:sz w:val="28"/>
          <w:szCs w:val="28"/>
        </w:rPr>
        <w:t xml:space="preserve">Bonaretti L., </w:t>
      </w:r>
      <w:r w:rsidRPr="00640B3C">
        <w:rPr>
          <w:i/>
          <w:sz w:val="28"/>
          <w:szCs w:val="28"/>
        </w:rPr>
        <w:t>L’equa retribuzione nella costituzione e nella giurisprudenza</w:t>
      </w:r>
      <w:r w:rsidRPr="00640B3C">
        <w:rPr>
          <w:sz w:val="28"/>
          <w:szCs w:val="28"/>
        </w:rPr>
        <w:t>, Milano, 1994;</w:t>
      </w:r>
    </w:p>
    <w:p w:rsidR="00BD2278" w:rsidRPr="00640B3C" w:rsidRDefault="00BD2278" w:rsidP="004A5FEA">
      <w:pPr>
        <w:rPr>
          <w:sz w:val="28"/>
          <w:szCs w:val="28"/>
        </w:rPr>
      </w:pPr>
      <w:r w:rsidRPr="00640B3C">
        <w:rPr>
          <w:sz w:val="28"/>
          <w:szCs w:val="28"/>
        </w:rPr>
        <w:t xml:space="preserve">Bottai G., </w:t>
      </w:r>
      <w:r w:rsidRPr="00640B3C">
        <w:rPr>
          <w:i/>
          <w:sz w:val="28"/>
          <w:szCs w:val="28"/>
        </w:rPr>
        <w:t>La Carta del Lavoro</w:t>
      </w:r>
      <w:r w:rsidRPr="00640B3C">
        <w:rPr>
          <w:sz w:val="28"/>
          <w:szCs w:val="28"/>
        </w:rPr>
        <w:t>, Roma, 1927;</w:t>
      </w:r>
    </w:p>
    <w:p w:rsidR="00BD2278" w:rsidRPr="00640B3C" w:rsidRDefault="00BD2278" w:rsidP="004A5FEA">
      <w:pPr>
        <w:rPr>
          <w:i/>
          <w:sz w:val="28"/>
          <w:szCs w:val="28"/>
        </w:rPr>
      </w:pPr>
      <w:r w:rsidRPr="00640B3C">
        <w:rPr>
          <w:sz w:val="28"/>
          <w:szCs w:val="28"/>
        </w:rPr>
        <w:t xml:space="preserve">Carinci F., De Luca Tamajo R., Tosi P., Treu T., </w:t>
      </w:r>
      <w:r w:rsidRPr="00640B3C">
        <w:rPr>
          <w:i/>
          <w:sz w:val="28"/>
          <w:szCs w:val="28"/>
        </w:rPr>
        <w:t xml:space="preserve">Il rapporto di lavoro subordinato, </w:t>
      </w:r>
      <w:r w:rsidRPr="00640B3C">
        <w:rPr>
          <w:sz w:val="28"/>
          <w:szCs w:val="28"/>
        </w:rPr>
        <w:t>Torino, 2006;</w:t>
      </w:r>
    </w:p>
    <w:p w:rsidR="00BD2278" w:rsidRPr="00640B3C" w:rsidRDefault="00BD2278" w:rsidP="004A5FEA">
      <w:pPr>
        <w:rPr>
          <w:sz w:val="28"/>
          <w:szCs w:val="28"/>
        </w:rPr>
      </w:pPr>
      <w:r w:rsidRPr="00640B3C">
        <w:rPr>
          <w:sz w:val="28"/>
          <w:szCs w:val="28"/>
        </w:rPr>
        <w:t xml:space="preserve">Carinci F., </w:t>
      </w:r>
      <w:r w:rsidRPr="00640B3C">
        <w:rPr>
          <w:i/>
          <w:sz w:val="28"/>
          <w:szCs w:val="28"/>
        </w:rPr>
        <w:t>Scala mobile, si o no (Storia tormentata senza eredità)</w:t>
      </w:r>
      <w:r w:rsidRPr="00640B3C">
        <w:rPr>
          <w:sz w:val="28"/>
          <w:szCs w:val="28"/>
        </w:rPr>
        <w:t xml:space="preserve">, in </w:t>
      </w:r>
      <w:r w:rsidRPr="00640B3C">
        <w:rPr>
          <w:i/>
          <w:sz w:val="28"/>
          <w:szCs w:val="28"/>
        </w:rPr>
        <w:t>Giur. it.</w:t>
      </w:r>
      <w:r w:rsidRPr="00640B3C">
        <w:rPr>
          <w:sz w:val="28"/>
          <w:szCs w:val="28"/>
        </w:rPr>
        <w:t>, 1993, IV, p.193;</w:t>
      </w:r>
    </w:p>
    <w:p w:rsidR="00BD2278" w:rsidRPr="00640B3C" w:rsidRDefault="00BD2278" w:rsidP="004A5FEA">
      <w:pPr>
        <w:rPr>
          <w:sz w:val="28"/>
          <w:szCs w:val="28"/>
        </w:rPr>
      </w:pPr>
      <w:r w:rsidRPr="00640B3C">
        <w:rPr>
          <w:sz w:val="28"/>
          <w:szCs w:val="28"/>
        </w:rPr>
        <w:t xml:space="preserve">Carinci F., </w:t>
      </w:r>
      <w:r w:rsidRPr="00640B3C">
        <w:rPr>
          <w:bCs/>
          <w:i/>
          <w:sz w:val="28"/>
          <w:szCs w:val="28"/>
        </w:rPr>
        <w:t>Se quarant’anni vi sembran pochi: dallo Statuto dei lavoratori all’Accordo di Pomigliano</w:t>
      </w:r>
      <w:r w:rsidRPr="00640B3C">
        <w:rPr>
          <w:bCs/>
          <w:sz w:val="28"/>
          <w:szCs w:val="28"/>
        </w:rPr>
        <w:t xml:space="preserve">, in </w:t>
      </w:r>
      <w:r w:rsidRPr="00640B3C">
        <w:rPr>
          <w:bCs/>
          <w:i/>
          <w:sz w:val="28"/>
          <w:szCs w:val="28"/>
        </w:rPr>
        <w:t>ADL</w:t>
      </w:r>
      <w:r w:rsidRPr="00640B3C">
        <w:rPr>
          <w:bCs/>
          <w:sz w:val="28"/>
          <w:szCs w:val="28"/>
        </w:rPr>
        <w:t>, 2010, 3, p. 581;</w:t>
      </w:r>
    </w:p>
    <w:p w:rsidR="00BD2278" w:rsidRPr="00640B3C" w:rsidRDefault="00BD2278" w:rsidP="004A5FEA">
      <w:pPr>
        <w:rPr>
          <w:sz w:val="28"/>
          <w:szCs w:val="28"/>
        </w:rPr>
      </w:pPr>
      <w:r w:rsidRPr="00640B3C">
        <w:rPr>
          <w:sz w:val="28"/>
          <w:szCs w:val="28"/>
        </w:rPr>
        <w:t xml:space="preserve">Carnelutti F., </w:t>
      </w:r>
      <w:r w:rsidRPr="00640B3C">
        <w:rPr>
          <w:i/>
          <w:sz w:val="28"/>
          <w:szCs w:val="28"/>
        </w:rPr>
        <w:t>Contratto collettivo</w:t>
      </w:r>
      <w:r w:rsidRPr="00640B3C">
        <w:rPr>
          <w:sz w:val="28"/>
          <w:szCs w:val="28"/>
        </w:rPr>
        <w:t xml:space="preserve">, in </w:t>
      </w:r>
      <w:r w:rsidRPr="00640B3C">
        <w:rPr>
          <w:i/>
          <w:sz w:val="28"/>
          <w:szCs w:val="28"/>
        </w:rPr>
        <w:t>Dir. lav.</w:t>
      </w:r>
      <w:r w:rsidRPr="00640B3C">
        <w:rPr>
          <w:sz w:val="28"/>
          <w:szCs w:val="28"/>
        </w:rPr>
        <w:t>, 1928, I, p. 184 e ss;</w:t>
      </w:r>
    </w:p>
    <w:p w:rsidR="00BD2278" w:rsidRPr="00640B3C" w:rsidRDefault="00BD2278" w:rsidP="004A5FEA">
      <w:pPr>
        <w:pStyle w:val="FootnoteText"/>
        <w:spacing w:line="360" w:lineRule="auto"/>
        <w:rPr>
          <w:sz w:val="28"/>
          <w:szCs w:val="28"/>
        </w:rPr>
      </w:pPr>
      <w:r w:rsidRPr="00640B3C">
        <w:rPr>
          <w:sz w:val="28"/>
          <w:szCs w:val="28"/>
        </w:rPr>
        <w:t xml:space="preserve">Casadio P., </w:t>
      </w:r>
      <w:r w:rsidRPr="00640B3C">
        <w:rPr>
          <w:i/>
          <w:sz w:val="28"/>
          <w:szCs w:val="28"/>
        </w:rPr>
        <w:t>Contrattazione aziendale integrativa e differenziali salariali territoriali: informazioni dall’indagine sulle imprese della Banca d’Italia</w:t>
      </w:r>
      <w:r w:rsidRPr="00640B3C">
        <w:rPr>
          <w:sz w:val="28"/>
          <w:szCs w:val="28"/>
        </w:rPr>
        <w:t xml:space="preserve">, in </w:t>
      </w:r>
      <w:r w:rsidRPr="00640B3C">
        <w:rPr>
          <w:i/>
          <w:sz w:val="28"/>
          <w:szCs w:val="28"/>
        </w:rPr>
        <w:t>Mezzogiorno e politiche regionali</w:t>
      </w:r>
      <w:r w:rsidRPr="00640B3C">
        <w:rPr>
          <w:sz w:val="28"/>
          <w:szCs w:val="28"/>
        </w:rPr>
        <w:t>, Roma, 2009;</w:t>
      </w:r>
    </w:p>
    <w:p w:rsidR="00BD2278" w:rsidRPr="00640B3C" w:rsidRDefault="00BD2278" w:rsidP="004A5FEA">
      <w:pPr>
        <w:rPr>
          <w:sz w:val="28"/>
          <w:szCs w:val="28"/>
        </w:rPr>
      </w:pPr>
      <w:r w:rsidRPr="00640B3C">
        <w:rPr>
          <w:sz w:val="28"/>
          <w:szCs w:val="28"/>
        </w:rPr>
        <w:t xml:space="preserve">Cassì V., </w:t>
      </w:r>
      <w:r w:rsidRPr="00640B3C">
        <w:rPr>
          <w:i/>
          <w:sz w:val="28"/>
          <w:szCs w:val="28"/>
        </w:rPr>
        <w:t>La retribuzione nel contratto di lavoro</w:t>
      </w:r>
      <w:r w:rsidRPr="00640B3C">
        <w:rPr>
          <w:sz w:val="28"/>
          <w:szCs w:val="28"/>
        </w:rPr>
        <w:t>, Milano, 1951;</w:t>
      </w:r>
    </w:p>
    <w:p w:rsidR="00BD2278" w:rsidRPr="00640B3C" w:rsidRDefault="00BD2278" w:rsidP="004A5FEA">
      <w:pPr>
        <w:rPr>
          <w:sz w:val="28"/>
          <w:szCs w:val="28"/>
        </w:rPr>
      </w:pPr>
      <w:r w:rsidRPr="00640B3C">
        <w:rPr>
          <w:sz w:val="28"/>
          <w:szCs w:val="28"/>
        </w:rPr>
        <w:t xml:space="preserve">Castro M., </w:t>
      </w:r>
      <w:r w:rsidRPr="00640B3C">
        <w:rPr>
          <w:i/>
          <w:sz w:val="28"/>
          <w:szCs w:val="28"/>
        </w:rPr>
        <w:t xml:space="preserve">Partecipazione, contrattazione, remunerazione: il caso Zanussi, </w:t>
      </w:r>
      <w:r w:rsidRPr="00640B3C">
        <w:rPr>
          <w:sz w:val="28"/>
          <w:szCs w:val="28"/>
        </w:rPr>
        <w:t xml:space="preserve">in </w:t>
      </w:r>
      <w:r w:rsidRPr="00640B3C">
        <w:rPr>
          <w:i/>
          <w:sz w:val="28"/>
          <w:szCs w:val="28"/>
        </w:rPr>
        <w:t>Giorn. dir. lav. rel. ind.</w:t>
      </w:r>
      <w:r w:rsidRPr="00640B3C">
        <w:rPr>
          <w:sz w:val="28"/>
          <w:szCs w:val="28"/>
        </w:rPr>
        <w:t>, 1996, 3, p.609;</w:t>
      </w:r>
    </w:p>
    <w:p w:rsidR="00BD2278" w:rsidRPr="00640B3C" w:rsidRDefault="00BD2278" w:rsidP="004A5FEA">
      <w:pPr>
        <w:rPr>
          <w:sz w:val="28"/>
          <w:szCs w:val="28"/>
        </w:rPr>
      </w:pPr>
      <w:r w:rsidRPr="00640B3C">
        <w:rPr>
          <w:sz w:val="28"/>
          <w:szCs w:val="28"/>
        </w:rPr>
        <w:t xml:space="preserve">Cella G. P., </w:t>
      </w:r>
      <w:r w:rsidRPr="00640B3C">
        <w:rPr>
          <w:i/>
          <w:sz w:val="28"/>
          <w:szCs w:val="28"/>
        </w:rPr>
        <w:t>Dopo Pomigliano</w:t>
      </w:r>
      <w:r w:rsidRPr="00640B3C">
        <w:rPr>
          <w:sz w:val="28"/>
          <w:szCs w:val="28"/>
        </w:rPr>
        <w:t xml:space="preserve">, in </w:t>
      </w:r>
      <w:r w:rsidRPr="00640B3C">
        <w:rPr>
          <w:i/>
          <w:sz w:val="28"/>
          <w:szCs w:val="28"/>
        </w:rPr>
        <w:t xml:space="preserve">Il Mulino, </w:t>
      </w:r>
      <w:r w:rsidRPr="00640B3C">
        <w:rPr>
          <w:sz w:val="28"/>
          <w:szCs w:val="28"/>
        </w:rPr>
        <w:t>2010, 5, p.</w:t>
      </w:r>
    </w:p>
    <w:p w:rsidR="00BD2278" w:rsidRPr="00640B3C" w:rsidRDefault="00BD2278" w:rsidP="004A5FEA">
      <w:pPr>
        <w:rPr>
          <w:sz w:val="28"/>
          <w:szCs w:val="28"/>
        </w:rPr>
      </w:pPr>
      <w:r w:rsidRPr="00640B3C">
        <w:rPr>
          <w:sz w:val="28"/>
          <w:szCs w:val="28"/>
        </w:rPr>
        <w:t xml:space="preserve">Cella G.P. – Treu T., </w:t>
      </w:r>
      <w:r w:rsidRPr="00640B3C">
        <w:rPr>
          <w:i/>
          <w:sz w:val="28"/>
          <w:szCs w:val="28"/>
        </w:rPr>
        <w:t>Le nuove relazioni industriali</w:t>
      </w:r>
      <w:r w:rsidRPr="00640B3C">
        <w:rPr>
          <w:sz w:val="28"/>
          <w:szCs w:val="28"/>
        </w:rPr>
        <w:t>, Bologna, 1998;</w:t>
      </w:r>
    </w:p>
    <w:p w:rsidR="00BD2278" w:rsidRPr="00640B3C" w:rsidRDefault="00BD2278" w:rsidP="004A5FEA">
      <w:pPr>
        <w:rPr>
          <w:sz w:val="28"/>
          <w:szCs w:val="28"/>
        </w:rPr>
      </w:pPr>
      <w:r w:rsidRPr="00640B3C">
        <w:rPr>
          <w:sz w:val="28"/>
          <w:szCs w:val="28"/>
        </w:rPr>
        <w:t xml:space="preserve">Cella G.P., </w:t>
      </w:r>
      <w:r w:rsidRPr="00640B3C">
        <w:rPr>
          <w:i/>
          <w:sz w:val="28"/>
          <w:szCs w:val="28"/>
        </w:rPr>
        <w:t xml:space="preserve">Determinanti e effetti sociali della struttura salariale, </w:t>
      </w:r>
      <w:r w:rsidRPr="00640B3C">
        <w:rPr>
          <w:sz w:val="28"/>
          <w:szCs w:val="28"/>
        </w:rPr>
        <w:t xml:space="preserve">in </w:t>
      </w:r>
      <w:r w:rsidRPr="00640B3C">
        <w:rPr>
          <w:i/>
          <w:sz w:val="28"/>
          <w:szCs w:val="28"/>
        </w:rPr>
        <w:t>Quaderni dir. lav. rel. ind.</w:t>
      </w:r>
      <w:r w:rsidRPr="00640B3C">
        <w:rPr>
          <w:sz w:val="28"/>
          <w:szCs w:val="28"/>
        </w:rPr>
        <w:t>, 1998;</w:t>
      </w:r>
    </w:p>
    <w:p w:rsidR="00BD2278" w:rsidRPr="00640B3C" w:rsidRDefault="00BD2278" w:rsidP="004A5FEA">
      <w:pPr>
        <w:rPr>
          <w:i/>
          <w:sz w:val="28"/>
          <w:szCs w:val="28"/>
        </w:rPr>
      </w:pPr>
      <w:r w:rsidRPr="00640B3C">
        <w:rPr>
          <w:sz w:val="28"/>
          <w:szCs w:val="28"/>
        </w:rPr>
        <w:t xml:space="preserve">Cessari A., </w:t>
      </w:r>
      <w:r w:rsidRPr="00640B3C">
        <w:rPr>
          <w:i/>
          <w:sz w:val="28"/>
          <w:szCs w:val="28"/>
        </w:rPr>
        <w:t xml:space="preserve">L’invalidità del contratto di lavoro per violazione dell’art. 36 Cost., </w:t>
      </w:r>
      <w:r w:rsidRPr="00640B3C">
        <w:rPr>
          <w:sz w:val="28"/>
          <w:szCs w:val="28"/>
        </w:rPr>
        <w:t xml:space="preserve">in </w:t>
      </w:r>
      <w:r w:rsidRPr="00640B3C">
        <w:rPr>
          <w:i/>
          <w:sz w:val="28"/>
          <w:szCs w:val="28"/>
        </w:rPr>
        <w:t xml:space="preserve">Dir. lav., </w:t>
      </w:r>
      <w:r w:rsidRPr="00640B3C">
        <w:rPr>
          <w:sz w:val="28"/>
          <w:szCs w:val="28"/>
        </w:rPr>
        <w:t>1951, II, p.200;</w:t>
      </w:r>
    </w:p>
    <w:p w:rsidR="00BD2278" w:rsidRPr="00640B3C" w:rsidRDefault="00BD2278" w:rsidP="004A5FEA">
      <w:pPr>
        <w:rPr>
          <w:sz w:val="28"/>
          <w:szCs w:val="28"/>
        </w:rPr>
      </w:pPr>
      <w:r w:rsidRPr="00640B3C">
        <w:rPr>
          <w:sz w:val="28"/>
          <w:szCs w:val="28"/>
        </w:rPr>
        <w:t xml:space="preserve">Ciucciovino S., </w:t>
      </w:r>
      <w:r w:rsidRPr="00640B3C">
        <w:rPr>
          <w:i/>
          <w:sz w:val="28"/>
          <w:szCs w:val="28"/>
        </w:rPr>
        <w:t>Autonomia collettiva e funzioni della retribuzione</w:t>
      </w:r>
      <w:r w:rsidRPr="00640B3C">
        <w:rPr>
          <w:sz w:val="28"/>
          <w:szCs w:val="28"/>
        </w:rPr>
        <w:t xml:space="preserve">, in </w:t>
      </w:r>
      <w:r w:rsidRPr="00640B3C">
        <w:rPr>
          <w:i/>
          <w:sz w:val="28"/>
          <w:szCs w:val="28"/>
        </w:rPr>
        <w:t>ADL</w:t>
      </w:r>
      <w:r w:rsidRPr="00640B3C">
        <w:rPr>
          <w:sz w:val="28"/>
          <w:szCs w:val="28"/>
        </w:rPr>
        <w:t>, 1995, 2, p. 207;</w:t>
      </w:r>
    </w:p>
    <w:p w:rsidR="00BD2278" w:rsidRPr="00640B3C" w:rsidRDefault="00BD2278" w:rsidP="004A5FEA">
      <w:pPr>
        <w:rPr>
          <w:sz w:val="28"/>
          <w:szCs w:val="28"/>
        </w:rPr>
      </w:pPr>
      <w:r w:rsidRPr="00640B3C">
        <w:rPr>
          <w:sz w:val="28"/>
          <w:szCs w:val="28"/>
        </w:rPr>
        <w:t xml:space="preserve">Ciucciovino S., </w:t>
      </w:r>
      <w:r w:rsidRPr="00640B3C">
        <w:rPr>
          <w:i/>
          <w:sz w:val="28"/>
          <w:szCs w:val="28"/>
        </w:rPr>
        <w:t xml:space="preserve">Il premio di risultato nel contratto collettivo dei metalmeccanici, </w:t>
      </w:r>
      <w:r w:rsidRPr="00640B3C">
        <w:rPr>
          <w:sz w:val="28"/>
          <w:szCs w:val="28"/>
        </w:rPr>
        <w:t xml:space="preserve">in </w:t>
      </w:r>
      <w:r w:rsidRPr="00640B3C">
        <w:rPr>
          <w:i/>
          <w:sz w:val="28"/>
          <w:szCs w:val="28"/>
        </w:rPr>
        <w:t>Giorn. dir. lav. rel. ind.</w:t>
      </w:r>
      <w:r w:rsidRPr="00640B3C">
        <w:rPr>
          <w:sz w:val="28"/>
          <w:szCs w:val="28"/>
        </w:rPr>
        <w:t>, 1996, 3, p.551;</w:t>
      </w:r>
    </w:p>
    <w:p w:rsidR="00BD2278" w:rsidRPr="00640B3C" w:rsidRDefault="00BD2278" w:rsidP="004A5FEA">
      <w:pPr>
        <w:rPr>
          <w:sz w:val="28"/>
          <w:szCs w:val="28"/>
        </w:rPr>
      </w:pPr>
      <w:r w:rsidRPr="00640B3C">
        <w:rPr>
          <w:sz w:val="28"/>
          <w:szCs w:val="28"/>
        </w:rPr>
        <w:t xml:space="preserve">D’Antona M.,  </w:t>
      </w:r>
      <w:r w:rsidRPr="00640B3C">
        <w:rPr>
          <w:i/>
          <w:sz w:val="28"/>
          <w:szCs w:val="28"/>
        </w:rPr>
        <w:t xml:space="preserve">Appunti sulle fonti di determinazione della retribuzione, </w:t>
      </w:r>
      <w:r w:rsidRPr="00640B3C">
        <w:rPr>
          <w:sz w:val="28"/>
          <w:szCs w:val="28"/>
        </w:rPr>
        <w:t xml:space="preserve">in </w:t>
      </w:r>
      <w:r w:rsidRPr="00640B3C">
        <w:rPr>
          <w:i/>
          <w:sz w:val="28"/>
          <w:szCs w:val="28"/>
        </w:rPr>
        <w:t xml:space="preserve">Riv. giur. dir. lav. rel. ind., </w:t>
      </w:r>
      <w:r w:rsidRPr="00640B3C">
        <w:rPr>
          <w:sz w:val="28"/>
          <w:szCs w:val="28"/>
        </w:rPr>
        <w:t>1986, I, p. 393;</w:t>
      </w:r>
    </w:p>
    <w:p w:rsidR="00BD2278" w:rsidRPr="00640B3C" w:rsidRDefault="00BD2278" w:rsidP="004A5FEA">
      <w:pPr>
        <w:rPr>
          <w:sz w:val="28"/>
          <w:szCs w:val="28"/>
        </w:rPr>
      </w:pPr>
      <w:r w:rsidRPr="00640B3C">
        <w:rPr>
          <w:sz w:val="28"/>
          <w:szCs w:val="28"/>
        </w:rPr>
        <w:t xml:space="preserve">D’Antona M., </w:t>
      </w:r>
      <w:r w:rsidRPr="00640B3C">
        <w:rPr>
          <w:i/>
          <w:sz w:val="28"/>
          <w:szCs w:val="28"/>
        </w:rPr>
        <w:t>Il protocollo sul costo del lavoro e l’”autunno freddo” dell’occupazione</w:t>
      </w:r>
      <w:r w:rsidRPr="00640B3C">
        <w:rPr>
          <w:sz w:val="28"/>
          <w:szCs w:val="28"/>
        </w:rPr>
        <w:t xml:space="preserve">, in </w:t>
      </w:r>
      <w:r w:rsidRPr="00640B3C">
        <w:rPr>
          <w:i/>
          <w:sz w:val="28"/>
          <w:szCs w:val="28"/>
        </w:rPr>
        <w:t xml:space="preserve">Riv. it. dir. lav., </w:t>
      </w:r>
      <w:r w:rsidRPr="00640B3C">
        <w:rPr>
          <w:sz w:val="28"/>
          <w:szCs w:val="28"/>
        </w:rPr>
        <w:t>1993, I, p.411;</w:t>
      </w:r>
    </w:p>
    <w:p w:rsidR="00BD2278" w:rsidRPr="00640B3C" w:rsidRDefault="00BD2278" w:rsidP="004A5FEA">
      <w:pPr>
        <w:rPr>
          <w:sz w:val="28"/>
          <w:szCs w:val="28"/>
        </w:rPr>
      </w:pPr>
      <w:r w:rsidRPr="00640B3C">
        <w:rPr>
          <w:sz w:val="28"/>
          <w:szCs w:val="28"/>
        </w:rPr>
        <w:t xml:space="preserve">D’Antona M., </w:t>
      </w:r>
      <w:r w:rsidRPr="00640B3C">
        <w:rPr>
          <w:i/>
          <w:sz w:val="28"/>
          <w:szCs w:val="28"/>
        </w:rPr>
        <w:t>Le nozioni giuridiche della retribuzione</w:t>
      </w:r>
      <w:r w:rsidRPr="00640B3C">
        <w:rPr>
          <w:sz w:val="28"/>
          <w:szCs w:val="28"/>
        </w:rPr>
        <w:t xml:space="preserve">, in </w:t>
      </w:r>
      <w:r w:rsidRPr="00640B3C">
        <w:rPr>
          <w:i/>
          <w:sz w:val="28"/>
          <w:szCs w:val="28"/>
        </w:rPr>
        <w:t>Giorn. dir. lav. rel. ind.</w:t>
      </w:r>
      <w:r w:rsidRPr="00640B3C">
        <w:rPr>
          <w:sz w:val="28"/>
          <w:szCs w:val="28"/>
        </w:rPr>
        <w:t>, 1984, 22, p. 269;</w:t>
      </w:r>
    </w:p>
    <w:p w:rsidR="00BD2278" w:rsidRPr="00640B3C" w:rsidRDefault="00BD2278" w:rsidP="004A5FEA">
      <w:pPr>
        <w:pStyle w:val="FootnoteText"/>
        <w:spacing w:line="360" w:lineRule="auto"/>
        <w:rPr>
          <w:sz w:val="28"/>
          <w:szCs w:val="28"/>
        </w:rPr>
      </w:pPr>
      <w:r w:rsidRPr="00640B3C">
        <w:rPr>
          <w:sz w:val="28"/>
          <w:szCs w:val="28"/>
        </w:rPr>
        <w:t xml:space="preserve">D’Antona M., R. De Luca Tamajo, </w:t>
      </w:r>
      <w:r w:rsidRPr="00640B3C">
        <w:rPr>
          <w:i/>
          <w:sz w:val="28"/>
          <w:szCs w:val="28"/>
        </w:rPr>
        <w:t>La retribuzione ad incentivi: introduzione</w:t>
      </w:r>
      <w:r w:rsidRPr="00640B3C">
        <w:rPr>
          <w:sz w:val="28"/>
          <w:szCs w:val="28"/>
        </w:rPr>
        <w:t xml:space="preserve">, in </w:t>
      </w:r>
      <w:r w:rsidRPr="00640B3C">
        <w:rPr>
          <w:i/>
          <w:sz w:val="28"/>
          <w:szCs w:val="28"/>
        </w:rPr>
        <w:t>Dir. rel. ind.</w:t>
      </w:r>
      <w:r w:rsidRPr="00640B3C">
        <w:rPr>
          <w:sz w:val="28"/>
          <w:szCs w:val="28"/>
        </w:rPr>
        <w:t>, 1991, 1, p. 5;</w:t>
      </w:r>
    </w:p>
    <w:p w:rsidR="00BD2278" w:rsidRPr="00640B3C" w:rsidRDefault="00BD2278" w:rsidP="004A5FEA">
      <w:pPr>
        <w:rPr>
          <w:sz w:val="28"/>
          <w:szCs w:val="28"/>
        </w:rPr>
      </w:pPr>
      <w:r w:rsidRPr="00640B3C">
        <w:rPr>
          <w:sz w:val="28"/>
          <w:szCs w:val="28"/>
        </w:rPr>
        <w:t xml:space="preserve">De Cristofaro M. L., </w:t>
      </w:r>
      <w:r w:rsidRPr="00640B3C">
        <w:rPr>
          <w:i/>
          <w:sz w:val="28"/>
          <w:szCs w:val="28"/>
        </w:rPr>
        <w:t xml:space="preserve">La giusta retribuzione, </w:t>
      </w:r>
      <w:r w:rsidRPr="00640B3C">
        <w:rPr>
          <w:sz w:val="28"/>
          <w:szCs w:val="28"/>
        </w:rPr>
        <w:t>Bologna, 1971;</w:t>
      </w:r>
    </w:p>
    <w:p w:rsidR="00BD2278" w:rsidRPr="00640B3C" w:rsidRDefault="00BD2278" w:rsidP="004A5FEA">
      <w:pPr>
        <w:rPr>
          <w:sz w:val="28"/>
          <w:szCs w:val="28"/>
        </w:rPr>
      </w:pPr>
      <w:r w:rsidRPr="00640B3C">
        <w:rPr>
          <w:sz w:val="28"/>
          <w:szCs w:val="28"/>
        </w:rPr>
        <w:t xml:space="preserve">De Luca M., </w:t>
      </w:r>
      <w:r w:rsidRPr="00640B3C">
        <w:rPr>
          <w:i/>
          <w:sz w:val="28"/>
          <w:szCs w:val="28"/>
        </w:rPr>
        <w:t>Clausole generali e rapporto di lavoro</w:t>
      </w:r>
      <w:r w:rsidRPr="00640B3C">
        <w:rPr>
          <w:sz w:val="28"/>
          <w:szCs w:val="28"/>
        </w:rPr>
        <w:t xml:space="preserve">, in </w:t>
      </w:r>
      <w:r w:rsidRPr="00640B3C">
        <w:rPr>
          <w:i/>
          <w:sz w:val="28"/>
          <w:szCs w:val="28"/>
        </w:rPr>
        <w:t>Dir. lav.</w:t>
      </w:r>
      <w:r w:rsidRPr="00640B3C">
        <w:rPr>
          <w:sz w:val="28"/>
          <w:szCs w:val="28"/>
        </w:rPr>
        <w:t>, 1994, I, p. 25;</w:t>
      </w:r>
    </w:p>
    <w:p w:rsidR="00BD2278" w:rsidRPr="00640B3C" w:rsidRDefault="00BD2278" w:rsidP="004A5FEA">
      <w:pPr>
        <w:rPr>
          <w:sz w:val="28"/>
          <w:szCs w:val="28"/>
        </w:rPr>
      </w:pPr>
      <w:r w:rsidRPr="00640B3C">
        <w:rPr>
          <w:sz w:val="28"/>
          <w:szCs w:val="28"/>
        </w:rPr>
        <w:t xml:space="preserve">De Luca Tamajo R., </w:t>
      </w:r>
      <w:r w:rsidRPr="00640B3C">
        <w:rPr>
          <w:i/>
          <w:sz w:val="28"/>
          <w:szCs w:val="28"/>
        </w:rPr>
        <w:t>Accordo di Pomigliano e criticità del sistema di relazioni industriali italiane</w:t>
      </w:r>
      <w:r w:rsidRPr="00640B3C">
        <w:rPr>
          <w:sz w:val="28"/>
          <w:szCs w:val="28"/>
        </w:rPr>
        <w:t xml:space="preserve">, in </w:t>
      </w:r>
      <w:r w:rsidRPr="00640B3C">
        <w:rPr>
          <w:i/>
          <w:sz w:val="28"/>
          <w:szCs w:val="28"/>
        </w:rPr>
        <w:t>Riv. it. dir. lav.,</w:t>
      </w:r>
      <w:r w:rsidRPr="00640B3C">
        <w:rPr>
          <w:sz w:val="28"/>
          <w:szCs w:val="28"/>
        </w:rPr>
        <w:t>2010, I, p. 797 e ss.;</w:t>
      </w:r>
    </w:p>
    <w:p w:rsidR="00BD2278" w:rsidRPr="00640B3C" w:rsidRDefault="00BD2278" w:rsidP="004A5FEA">
      <w:pPr>
        <w:rPr>
          <w:sz w:val="28"/>
          <w:szCs w:val="28"/>
        </w:rPr>
      </w:pPr>
      <w:r w:rsidRPr="00640B3C">
        <w:rPr>
          <w:sz w:val="28"/>
          <w:szCs w:val="28"/>
        </w:rPr>
        <w:t xml:space="preserve">De Luca Tamajo R., </w:t>
      </w:r>
      <w:r w:rsidRPr="00640B3C">
        <w:rPr>
          <w:i/>
          <w:sz w:val="28"/>
          <w:szCs w:val="28"/>
        </w:rPr>
        <w:t>Per un controllo sindacale della retribuzione</w:t>
      </w:r>
      <w:r w:rsidRPr="00640B3C">
        <w:rPr>
          <w:sz w:val="28"/>
          <w:szCs w:val="28"/>
        </w:rPr>
        <w:t xml:space="preserve">, in </w:t>
      </w:r>
      <w:r w:rsidRPr="00640B3C">
        <w:rPr>
          <w:i/>
          <w:sz w:val="28"/>
          <w:szCs w:val="28"/>
        </w:rPr>
        <w:t>Pol. dir.</w:t>
      </w:r>
      <w:r w:rsidRPr="00640B3C">
        <w:rPr>
          <w:sz w:val="28"/>
          <w:szCs w:val="28"/>
        </w:rPr>
        <w:t>, 1982, 3, p. 347;</w:t>
      </w:r>
    </w:p>
    <w:p w:rsidR="00BD2278" w:rsidRPr="00640B3C" w:rsidRDefault="00BD2278" w:rsidP="004A5FEA">
      <w:pPr>
        <w:rPr>
          <w:sz w:val="28"/>
          <w:szCs w:val="28"/>
        </w:rPr>
      </w:pPr>
      <w:r w:rsidRPr="00640B3C">
        <w:rPr>
          <w:sz w:val="28"/>
          <w:szCs w:val="28"/>
        </w:rPr>
        <w:t xml:space="preserve">Del Punta R., </w:t>
      </w:r>
      <w:r w:rsidRPr="00640B3C">
        <w:rPr>
          <w:i/>
          <w:sz w:val="28"/>
          <w:szCs w:val="28"/>
        </w:rPr>
        <w:t>L’economia e le ragioni del diritto del lavoro</w:t>
      </w:r>
      <w:r w:rsidRPr="00640B3C">
        <w:rPr>
          <w:sz w:val="28"/>
          <w:szCs w:val="28"/>
        </w:rPr>
        <w:t xml:space="preserve">, in </w:t>
      </w:r>
      <w:r w:rsidRPr="00640B3C">
        <w:rPr>
          <w:i/>
          <w:sz w:val="28"/>
          <w:szCs w:val="28"/>
        </w:rPr>
        <w:t>Giorn. dir. lav. rel. ind.</w:t>
      </w:r>
      <w:r w:rsidRPr="00640B3C">
        <w:rPr>
          <w:sz w:val="28"/>
          <w:szCs w:val="28"/>
        </w:rPr>
        <w:t>, 2001, 1, p. 3;</w:t>
      </w:r>
    </w:p>
    <w:p w:rsidR="00BD2278" w:rsidRPr="00640B3C" w:rsidRDefault="00BD2278" w:rsidP="004A5FEA">
      <w:pPr>
        <w:rPr>
          <w:sz w:val="28"/>
          <w:szCs w:val="28"/>
        </w:rPr>
      </w:pPr>
      <w:r w:rsidRPr="00640B3C">
        <w:rPr>
          <w:sz w:val="28"/>
          <w:szCs w:val="28"/>
        </w:rPr>
        <w:t xml:space="preserve">Dell’Aringa C., </w:t>
      </w:r>
      <w:r w:rsidRPr="00640B3C">
        <w:rPr>
          <w:bCs/>
          <w:i/>
          <w:iCs/>
          <w:color w:val="191919"/>
          <w:sz w:val="28"/>
          <w:szCs w:val="28"/>
        </w:rPr>
        <w:t>Le nuove relazioni industriali, la partecipazione e la sicurezza sul lavoro</w:t>
      </w:r>
      <w:r w:rsidRPr="00640B3C">
        <w:rPr>
          <w:bCs/>
          <w:iCs/>
          <w:color w:val="191919"/>
          <w:sz w:val="28"/>
          <w:szCs w:val="28"/>
        </w:rPr>
        <w:t xml:space="preserve">, in </w:t>
      </w:r>
      <w:r w:rsidRPr="00640B3C">
        <w:rPr>
          <w:rStyle w:val="Strong"/>
          <w:b w:val="0"/>
          <w:i/>
          <w:sz w:val="28"/>
          <w:szCs w:val="28"/>
        </w:rPr>
        <w:t xml:space="preserve">Review of Economic Conditions in Italy, </w:t>
      </w:r>
      <w:r w:rsidRPr="00640B3C">
        <w:rPr>
          <w:rStyle w:val="Strong"/>
          <w:b w:val="0"/>
          <w:sz w:val="28"/>
          <w:szCs w:val="28"/>
        </w:rPr>
        <w:t>2010, 1, p. 124.</w:t>
      </w:r>
    </w:p>
    <w:p w:rsidR="00BD2278" w:rsidRPr="00640B3C" w:rsidRDefault="00BD2278" w:rsidP="004A5FEA">
      <w:pPr>
        <w:rPr>
          <w:sz w:val="28"/>
          <w:szCs w:val="28"/>
        </w:rPr>
      </w:pPr>
      <w:r w:rsidRPr="00640B3C">
        <w:rPr>
          <w:sz w:val="28"/>
          <w:szCs w:val="28"/>
        </w:rPr>
        <w:t xml:space="preserve">Dell’Olio M., </w:t>
      </w:r>
      <w:r w:rsidRPr="00640B3C">
        <w:rPr>
          <w:i/>
          <w:sz w:val="28"/>
          <w:szCs w:val="28"/>
        </w:rPr>
        <w:t xml:space="preserve">La retribuzione, </w:t>
      </w:r>
      <w:r w:rsidRPr="00640B3C">
        <w:rPr>
          <w:sz w:val="28"/>
          <w:szCs w:val="28"/>
        </w:rPr>
        <w:t xml:space="preserve">in </w:t>
      </w:r>
      <w:r w:rsidRPr="00640B3C">
        <w:rPr>
          <w:i/>
          <w:sz w:val="28"/>
          <w:szCs w:val="28"/>
        </w:rPr>
        <w:t xml:space="preserve">Trattato di diritto privato </w:t>
      </w:r>
      <w:r w:rsidRPr="00640B3C">
        <w:rPr>
          <w:sz w:val="28"/>
          <w:szCs w:val="28"/>
        </w:rPr>
        <w:t>diretto da P. Rescigno, Torino, 1986;</w:t>
      </w:r>
    </w:p>
    <w:p w:rsidR="00BD2278" w:rsidRPr="00640B3C" w:rsidRDefault="00BD2278" w:rsidP="004A5FEA">
      <w:pPr>
        <w:rPr>
          <w:sz w:val="28"/>
          <w:szCs w:val="28"/>
        </w:rPr>
      </w:pPr>
      <w:r w:rsidRPr="00640B3C">
        <w:rPr>
          <w:sz w:val="28"/>
          <w:szCs w:val="28"/>
        </w:rPr>
        <w:t xml:space="preserve">Dell’Olio M., </w:t>
      </w:r>
      <w:r w:rsidRPr="00640B3C">
        <w:rPr>
          <w:i/>
          <w:sz w:val="28"/>
          <w:szCs w:val="28"/>
        </w:rPr>
        <w:t xml:space="preserve">Retribuzione, quantità e qualità di lavoro, </w:t>
      </w:r>
      <w:r w:rsidRPr="00640B3C">
        <w:rPr>
          <w:sz w:val="28"/>
          <w:szCs w:val="28"/>
        </w:rPr>
        <w:t xml:space="preserve">in </w:t>
      </w:r>
      <w:r w:rsidRPr="00640B3C">
        <w:rPr>
          <w:i/>
          <w:sz w:val="28"/>
          <w:szCs w:val="28"/>
        </w:rPr>
        <w:t>ADL</w:t>
      </w:r>
      <w:r w:rsidRPr="00640B3C">
        <w:rPr>
          <w:sz w:val="28"/>
          <w:szCs w:val="28"/>
        </w:rPr>
        <w:t>, 1995, 2, p. 1;</w:t>
      </w:r>
    </w:p>
    <w:p w:rsidR="00BD2278" w:rsidRPr="00640B3C" w:rsidRDefault="00BD2278" w:rsidP="004A5FEA">
      <w:pPr>
        <w:rPr>
          <w:sz w:val="28"/>
          <w:szCs w:val="28"/>
        </w:rPr>
      </w:pPr>
      <w:r w:rsidRPr="00640B3C">
        <w:rPr>
          <w:sz w:val="28"/>
          <w:szCs w:val="28"/>
        </w:rPr>
        <w:t xml:space="preserve">Di Majo A., </w:t>
      </w:r>
      <w:r w:rsidRPr="00640B3C">
        <w:rPr>
          <w:i/>
          <w:sz w:val="28"/>
          <w:szCs w:val="28"/>
        </w:rPr>
        <w:t xml:space="preserve">Aspetti civilistici della obbligazione retributiva, </w:t>
      </w:r>
      <w:r w:rsidRPr="00640B3C">
        <w:rPr>
          <w:sz w:val="28"/>
          <w:szCs w:val="28"/>
        </w:rPr>
        <w:t xml:space="preserve">in </w:t>
      </w:r>
      <w:r w:rsidRPr="00640B3C">
        <w:rPr>
          <w:i/>
          <w:sz w:val="28"/>
          <w:szCs w:val="28"/>
        </w:rPr>
        <w:t xml:space="preserve">Riv. giur. lav. prev. soc., </w:t>
      </w:r>
      <w:r w:rsidRPr="00640B3C">
        <w:rPr>
          <w:sz w:val="28"/>
          <w:szCs w:val="28"/>
        </w:rPr>
        <w:t>I, 1982, p. 393;</w:t>
      </w:r>
    </w:p>
    <w:p w:rsidR="00BD2278" w:rsidRPr="00640B3C" w:rsidRDefault="00BD2278" w:rsidP="004A5FEA">
      <w:pPr>
        <w:pStyle w:val="FootnoteText"/>
        <w:spacing w:line="360" w:lineRule="auto"/>
        <w:rPr>
          <w:sz w:val="28"/>
          <w:szCs w:val="28"/>
        </w:rPr>
      </w:pPr>
      <w:r w:rsidRPr="00640B3C">
        <w:rPr>
          <w:sz w:val="28"/>
          <w:szCs w:val="28"/>
        </w:rPr>
        <w:t xml:space="preserve">F. Santoro-Passarelli, </w:t>
      </w:r>
      <w:r w:rsidRPr="00640B3C">
        <w:rPr>
          <w:i/>
          <w:sz w:val="28"/>
          <w:szCs w:val="28"/>
        </w:rPr>
        <w:t>Cottimo</w:t>
      </w:r>
      <w:r w:rsidRPr="00640B3C">
        <w:rPr>
          <w:sz w:val="28"/>
          <w:szCs w:val="28"/>
        </w:rPr>
        <w:t xml:space="preserve">, in </w:t>
      </w:r>
      <w:r w:rsidRPr="00640B3C">
        <w:rPr>
          <w:i/>
          <w:sz w:val="28"/>
          <w:szCs w:val="28"/>
        </w:rPr>
        <w:t>Novissimo Digesto italiano</w:t>
      </w:r>
      <w:r w:rsidRPr="00640B3C">
        <w:rPr>
          <w:sz w:val="28"/>
          <w:szCs w:val="28"/>
        </w:rPr>
        <w:t>, Torino, 1957;</w:t>
      </w:r>
    </w:p>
    <w:p w:rsidR="00BD2278" w:rsidRPr="00640B3C" w:rsidRDefault="00BD2278" w:rsidP="004A5FEA">
      <w:pPr>
        <w:rPr>
          <w:sz w:val="28"/>
          <w:szCs w:val="28"/>
        </w:rPr>
      </w:pPr>
      <w:r w:rsidRPr="00640B3C">
        <w:rPr>
          <w:sz w:val="28"/>
          <w:szCs w:val="28"/>
        </w:rPr>
        <w:t xml:space="preserve">Ferrante V., </w:t>
      </w:r>
      <w:r w:rsidRPr="00640B3C">
        <w:rPr>
          <w:i/>
          <w:sz w:val="28"/>
          <w:szCs w:val="28"/>
        </w:rPr>
        <w:t>L’accordo interconfederale dell’aprile del 2009 di riforma del sistema della contrattazione collettiva: brevi note</w:t>
      </w:r>
      <w:r w:rsidRPr="00640B3C">
        <w:rPr>
          <w:sz w:val="28"/>
          <w:szCs w:val="28"/>
        </w:rPr>
        <w:t xml:space="preserve">, in </w:t>
      </w:r>
      <w:r w:rsidRPr="00640B3C">
        <w:rPr>
          <w:i/>
          <w:sz w:val="28"/>
          <w:szCs w:val="28"/>
        </w:rPr>
        <w:t>ADL</w:t>
      </w:r>
      <w:r w:rsidRPr="00640B3C">
        <w:rPr>
          <w:sz w:val="28"/>
          <w:szCs w:val="28"/>
        </w:rPr>
        <w:t>, 2009, 4-5, p. 1020;</w:t>
      </w:r>
    </w:p>
    <w:p w:rsidR="00BD2278" w:rsidRPr="00640B3C" w:rsidRDefault="00BD2278" w:rsidP="004A5FEA">
      <w:pPr>
        <w:rPr>
          <w:sz w:val="28"/>
          <w:szCs w:val="28"/>
        </w:rPr>
      </w:pPr>
      <w:r w:rsidRPr="00640B3C">
        <w:rPr>
          <w:sz w:val="28"/>
          <w:szCs w:val="28"/>
        </w:rPr>
        <w:t xml:space="preserve">Ferraro G., </w:t>
      </w:r>
      <w:r w:rsidRPr="00640B3C">
        <w:rPr>
          <w:i/>
          <w:sz w:val="28"/>
          <w:szCs w:val="28"/>
        </w:rPr>
        <w:t>Poteri imprenditoriali e clausole generali</w:t>
      </w:r>
      <w:r w:rsidRPr="00640B3C">
        <w:rPr>
          <w:sz w:val="28"/>
          <w:szCs w:val="28"/>
        </w:rPr>
        <w:t xml:space="preserve">, in </w:t>
      </w:r>
      <w:r w:rsidRPr="00640B3C">
        <w:rPr>
          <w:i/>
          <w:sz w:val="28"/>
          <w:szCs w:val="28"/>
        </w:rPr>
        <w:t>Dir. rel. ind.</w:t>
      </w:r>
      <w:r w:rsidRPr="00640B3C">
        <w:rPr>
          <w:sz w:val="28"/>
          <w:szCs w:val="28"/>
        </w:rPr>
        <w:t>, 1991, 1, p. 159;</w:t>
      </w:r>
    </w:p>
    <w:p w:rsidR="00BD2278" w:rsidRPr="00640B3C" w:rsidRDefault="00BD2278" w:rsidP="004A5FEA">
      <w:pPr>
        <w:rPr>
          <w:sz w:val="28"/>
          <w:szCs w:val="28"/>
        </w:rPr>
      </w:pPr>
      <w:r w:rsidRPr="00640B3C">
        <w:rPr>
          <w:sz w:val="28"/>
          <w:szCs w:val="28"/>
        </w:rPr>
        <w:t xml:space="preserve">Ferraro G., </w:t>
      </w:r>
      <w:r w:rsidRPr="00640B3C">
        <w:rPr>
          <w:i/>
          <w:sz w:val="28"/>
          <w:szCs w:val="28"/>
        </w:rPr>
        <w:t>Retribuzione e assetto della contrattazione collettiva</w:t>
      </w:r>
      <w:r w:rsidRPr="00640B3C">
        <w:rPr>
          <w:sz w:val="28"/>
          <w:szCs w:val="28"/>
        </w:rPr>
        <w:t xml:space="preserve">, in </w:t>
      </w:r>
      <w:r w:rsidRPr="00640B3C">
        <w:rPr>
          <w:i/>
          <w:sz w:val="28"/>
          <w:szCs w:val="28"/>
        </w:rPr>
        <w:t>Riv. it. dir. lav.</w:t>
      </w:r>
      <w:r w:rsidRPr="00640B3C">
        <w:rPr>
          <w:sz w:val="28"/>
          <w:szCs w:val="28"/>
        </w:rPr>
        <w:t>, 2010, I, p. 694;</w:t>
      </w:r>
    </w:p>
    <w:p w:rsidR="00BD2278" w:rsidRPr="00640B3C" w:rsidRDefault="00BD2278" w:rsidP="004A5FEA">
      <w:pPr>
        <w:rPr>
          <w:sz w:val="28"/>
          <w:szCs w:val="28"/>
        </w:rPr>
      </w:pPr>
      <w:r w:rsidRPr="00640B3C">
        <w:rPr>
          <w:sz w:val="28"/>
          <w:szCs w:val="28"/>
        </w:rPr>
        <w:t xml:space="preserve">Fiorillo L., </w:t>
      </w:r>
      <w:r w:rsidRPr="00640B3C">
        <w:rPr>
          <w:i/>
          <w:sz w:val="28"/>
          <w:szCs w:val="28"/>
        </w:rPr>
        <w:t xml:space="preserve">La nuova struttura della retribuzione nel lavoro pubblico, </w:t>
      </w:r>
      <w:r w:rsidRPr="00640B3C">
        <w:rPr>
          <w:sz w:val="28"/>
          <w:szCs w:val="28"/>
        </w:rPr>
        <w:t xml:space="preserve">in </w:t>
      </w:r>
      <w:r w:rsidRPr="00640B3C">
        <w:rPr>
          <w:i/>
          <w:sz w:val="28"/>
          <w:szCs w:val="28"/>
        </w:rPr>
        <w:t>Giorn. dir. lav. rel. ind.</w:t>
      </w:r>
      <w:r w:rsidRPr="00640B3C">
        <w:rPr>
          <w:sz w:val="28"/>
          <w:szCs w:val="28"/>
        </w:rPr>
        <w:t>, 1996, 3, p.483;</w:t>
      </w:r>
    </w:p>
    <w:p w:rsidR="00BD2278" w:rsidRPr="00640B3C" w:rsidRDefault="00BD2278" w:rsidP="004A5FEA">
      <w:pPr>
        <w:pStyle w:val="FootnoteText"/>
        <w:spacing w:line="360" w:lineRule="auto"/>
        <w:rPr>
          <w:sz w:val="28"/>
          <w:szCs w:val="28"/>
        </w:rPr>
      </w:pPr>
      <w:r w:rsidRPr="00640B3C">
        <w:rPr>
          <w:sz w:val="28"/>
          <w:szCs w:val="28"/>
        </w:rPr>
        <w:t xml:space="preserve">Galantino L., </w:t>
      </w:r>
      <w:r w:rsidRPr="00640B3C">
        <w:rPr>
          <w:i/>
          <w:sz w:val="28"/>
          <w:szCs w:val="28"/>
        </w:rPr>
        <w:t>Diritto del lavoro pubblico</w:t>
      </w:r>
      <w:r w:rsidRPr="00640B3C">
        <w:rPr>
          <w:sz w:val="28"/>
          <w:szCs w:val="28"/>
        </w:rPr>
        <w:t>, Torino, 2010;</w:t>
      </w:r>
    </w:p>
    <w:p w:rsidR="00BD2278" w:rsidRPr="00640B3C" w:rsidRDefault="00BD2278" w:rsidP="004A5FEA">
      <w:pPr>
        <w:rPr>
          <w:sz w:val="28"/>
          <w:szCs w:val="28"/>
        </w:rPr>
      </w:pPr>
      <w:r w:rsidRPr="00640B3C">
        <w:rPr>
          <w:sz w:val="28"/>
          <w:szCs w:val="28"/>
        </w:rPr>
        <w:t xml:space="preserve">Galantino L., </w:t>
      </w:r>
      <w:r w:rsidRPr="00640B3C">
        <w:rPr>
          <w:i/>
          <w:sz w:val="28"/>
          <w:szCs w:val="28"/>
        </w:rPr>
        <w:t>Sui trattamenti retributivi individuali più favorevoli</w:t>
      </w:r>
      <w:r w:rsidRPr="00640B3C">
        <w:rPr>
          <w:sz w:val="28"/>
          <w:szCs w:val="28"/>
        </w:rPr>
        <w:t xml:space="preserve">, in </w:t>
      </w:r>
      <w:r w:rsidRPr="00640B3C">
        <w:rPr>
          <w:i/>
          <w:sz w:val="28"/>
          <w:szCs w:val="28"/>
        </w:rPr>
        <w:t>Riv. it. dir. lav.</w:t>
      </w:r>
      <w:r w:rsidRPr="00640B3C">
        <w:rPr>
          <w:sz w:val="28"/>
          <w:szCs w:val="28"/>
        </w:rPr>
        <w:t>, 1980, I, p. 153;</w:t>
      </w:r>
    </w:p>
    <w:p w:rsidR="00BD2278" w:rsidRPr="00640B3C" w:rsidRDefault="00BD2278" w:rsidP="004A5FEA">
      <w:pPr>
        <w:rPr>
          <w:sz w:val="28"/>
          <w:szCs w:val="28"/>
        </w:rPr>
      </w:pPr>
      <w:r w:rsidRPr="00640B3C">
        <w:rPr>
          <w:sz w:val="28"/>
          <w:szCs w:val="28"/>
        </w:rPr>
        <w:t xml:space="preserve">Garilli A., Bellavista A., </w:t>
      </w:r>
      <w:r w:rsidRPr="00640B3C">
        <w:rPr>
          <w:i/>
          <w:sz w:val="28"/>
          <w:szCs w:val="28"/>
        </w:rPr>
        <w:t>Riregolazione legale e decontrattualizzazione: la neo ibridazione normativa del lavoro nelle pubbliche amministrazioni</w:t>
      </w:r>
      <w:r w:rsidRPr="00640B3C">
        <w:rPr>
          <w:sz w:val="28"/>
          <w:szCs w:val="28"/>
        </w:rPr>
        <w:t xml:space="preserve">, in </w:t>
      </w:r>
      <w:r w:rsidRPr="00640B3C">
        <w:rPr>
          <w:i/>
          <w:sz w:val="28"/>
          <w:szCs w:val="28"/>
        </w:rPr>
        <w:t>Lav. pub.amm.</w:t>
      </w:r>
      <w:r w:rsidRPr="00640B3C">
        <w:rPr>
          <w:sz w:val="28"/>
          <w:szCs w:val="28"/>
        </w:rPr>
        <w:t>, 2010, 1, p. 1;</w:t>
      </w:r>
    </w:p>
    <w:p w:rsidR="00BD2278" w:rsidRPr="00640B3C" w:rsidRDefault="00BD2278" w:rsidP="004A5FEA">
      <w:pPr>
        <w:rPr>
          <w:sz w:val="28"/>
          <w:szCs w:val="28"/>
        </w:rPr>
      </w:pPr>
      <w:r w:rsidRPr="00640B3C">
        <w:rPr>
          <w:sz w:val="28"/>
          <w:szCs w:val="28"/>
        </w:rPr>
        <w:t xml:space="preserve">Garilli A., </w:t>
      </w:r>
      <w:r w:rsidRPr="00640B3C">
        <w:rPr>
          <w:i/>
          <w:sz w:val="28"/>
          <w:szCs w:val="28"/>
        </w:rPr>
        <w:t>Il lavoro nel sud</w:t>
      </w:r>
      <w:r w:rsidRPr="00640B3C">
        <w:rPr>
          <w:sz w:val="28"/>
          <w:szCs w:val="28"/>
        </w:rPr>
        <w:t>, Torino, 1997;</w:t>
      </w:r>
    </w:p>
    <w:p w:rsidR="00BD2278" w:rsidRPr="00640B3C" w:rsidRDefault="00BD2278" w:rsidP="004A5FEA">
      <w:pPr>
        <w:rPr>
          <w:sz w:val="28"/>
          <w:szCs w:val="28"/>
        </w:rPr>
      </w:pPr>
      <w:r w:rsidRPr="00640B3C">
        <w:rPr>
          <w:sz w:val="28"/>
          <w:szCs w:val="28"/>
        </w:rPr>
        <w:t xml:space="preserve">Garilli A., </w:t>
      </w:r>
      <w:r w:rsidRPr="00640B3C">
        <w:rPr>
          <w:i/>
          <w:sz w:val="28"/>
          <w:szCs w:val="28"/>
        </w:rPr>
        <w:t>Le categorie dei prestatori di lavoro</w:t>
      </w:r>
      <w:r w:rsidRPr="00640B3C">
        <w:rPr>
          <w:sz w:val="28"/>
          <w:szCs w:val="28"/>
        </w:rPr>
        <w:t>, Napoli, 1988;</w:t>
      </w:r>
    </w:p>
    <w:p w:rsidR="00BD2278" w:rsidRPr="00640B3C" w:rsidRDefault="00BD2278" w:rsidP="004A5FEA">
      <w:pPr>
        <w:rPr>
          <w:sz w:val="28"/>
          <w:szCs w:val="28"/>
        </w:rPr>
      </w:pPr>
      <w:r w:rsidRPr="00640B3C">
        <w:rPr>
          <w:sz w:val="28"/>
          <w:szCs w:val="28"/>
        </w:rPr>
        <w:t xml:space="preserve">Ghera E., </w:t>
      </w:r>
      <w:r w:rsidRPr="00640B3C">
        <w:rPr>
          <w:i/>
          <w:sz w:val="28"/>
          <w:szCs w:val="28"/>
        </w:rPr>
        <w:t>Retribuzione, professionalità e costo del lavoro</w:t>
      </w:r>
      <w:r w:rsidRPr="00640B3C">
        <w:rPr>
          <w:sz w:val="28"/>
          <w:szCs w:val="28"/>
        </w:rPr>
        <w:t xml:space="preserve">, in </w:t>
      </w:r>
      <w:r w:rsidRPr="00640B3C">
        <w:rPr>
          <w:i/>
          <w:sz w:val="28"/>
          <w:szCs w:val="28"/>
        </w:rPr>
        <w:t>Giorn. dir. lav. rel. ind.</w:t>
      </w:r>
      <w:r w:rsidRPr="00640B3C">
        <w:rPr>
          <w:sz w:val="28"/>
          <w:szCs w:val="28"/>
        </w:rPr>
        <w:t>, 1981, 11, p. 401;</w:t>
      </w:r>
    </w:p>
    <w:p w:rsidR="00BD2278" w:rsidRPr="00640B3C" w:rsidRDefault="00BD2278" w:rsidP="004A5FEA">
      <w:pPr>
        <w:rPr>
          <w:sz w:val="28"/>
          <w:szCs w:val="28"/>
        </w:rPr>
      </w:pPr>
      <w:r w:rsidRPr="00640B3C">
        <w:rPr>
          <w:sz w:val="28"/>
          <w:szCs w:val="28"/>
        </w:rPr>
        <w:t xml:space="preserve">Giugni G., </w:t>
      </w:r>
      <w:r w:rsidRPr="00640B3C">
        <w:rPr>
          <w:i/>
          <w:sz w:val="28"/>
          <w:szCs w:val="28"/>
        </w:rPr>
        <w:t>Introduzione</w:t>
      </w:r>
      <w:r w:rsidRPr="00640B3C">
        <w:rPr>
          <w:sz w:val="28"/>
          <w:szCs w:val="28"/>
        </w:rPr>
        <w:t xml:space="preserve">, in M. De Cristofaro, </w:t>
      </w:r>
      <w:r w:rsidRPr="00640B3C">
        <w:rPr>
          <w:i/>
          <w:sz w:val="28"/>
          <w:szCs w:val="28"/>
        </w:rPr>
        <w:t xml:space="preserve">La Giusta retribuzione, </w:t>
      </w:r>
      <w:r w:rsidRPr="00640B3C">
        <w:rPr>
          <w:sz w:val="28"/>
          <w:szCs w:val="28"/>
        </w:rPr>
        <w:t>Bologna, 1971, p. 9.</w:t>
      </w:r>
    </w:p>
    <w:p w:rsidR="00BD2278" w:rsidRPr="00640B3C" w:rsidRDefault="00BD2278" w:rsidP="004A5FEA">
      <w:pPr>
        <w:rPr>
          <w:sz w:val="28"/>
          <w:szCs w:val="28"/>
        </w:rPr>
      </w:pPr>
      <w:r w:rsidRPr="00640B3C">
        <w:rPr>
          <w:sz w:val="28"/>
          <w:szCs w:val="28"/>
        </w:rPr>
        <w:t xml:space="preserve">Giugni G., </w:t>
      </w:r>
      <w:r w:rsidRPr="00640B3C">
        <w:rPr>
          <w:i/>
          <w:sz w:val="28"/>
          <w:szCs w:val="28"/>
        </w:rPr>
        <w:t>Organizzazione dell’impresa ed evoluzione dei rapporti giuridici. La retribuzione a cottimo</w:t>
      </w:r>
      <w:r w:rsidRPr="00640B3C">
        <w:rPr>
          <w:sz w:val="28"/>
          <w:szCs w:val="28"/>
        </w:rPr>
        <w:t xml:space="preserve">, in </w:t>
      </w:r>
      <w:r w:rsidRPr="00640B3C">
        <w:rPr>
          <w:i/>
          <w:sz w:val="28"/>
          <w:szCs w:val="28"/>
        </w:rPr>
        <w:t>Riv. it. dir. lav.</w:t>
      </w:r>
      <w:r w:rsidRPr="00640B3C">
        <w:rPr>
          <w:sz w:val="28"/>
          <w:szCs w:val="28"/>
        </w:rPr>
        <w:t>, 1968, I, p.3;</w:t>
      </w:r>
    </w:p>
    <w:p w:rsidR="00BD2278" w:rsidRPr="00640B3C" w:rsidRDefault="00BD2278" w:rsidP="004A5FEA">
      <w:pPr>
        <w:pStyle w:val="FootnoteText"/>
        <w:spacing w:line="360" w:lineRule="auto"/>
        <w:rPr>
          <w:sz w:val="28"/>
          <w:szCs w:val="28"/>
        </w:rPr>
      </w:pPr>
      <w:r w:rsidRPr="00640B3C">
        <w:rPr>
          <w:sz w:val="28"/>
          <w:szCs w:val="28"/>
        </w:rPr>
        <w:t xml:space="preserve">Golino A., Minicucci P., Tronti L., </w:t>
      </w:r>
      <w:r w:rsidRPr="00640B3C">
        <w:rPr>
          <w:i/>
          <w:sz w:val="28"/>
          <w:szCs w:val="28"/>
        </w:rPr>
        <w:t>Le retribuzioni dei dipendenti pubblici. Tendenze e confronti con il settore privato</w:t>
      </w:r>
      <w:r w:rsidRPr="00640B3C">
        <w:rPr>
          <w:sz w:val="28"/>
          <w:szCs w:val="28"/>
        </w:rPr>
        <w:t xml:space="preserve">, in </w:t>
      </w:r>
      <w:r w:rsidRPr="00640B3C">
        <w:rPr>
          <w:i/>
          <w:sz w:val="28"/>
          <w:szCs w:val="28"/>
        </w:rPr>
        <w:t>Econ.lav.</w:t>
      </w:r>
      <w:r w:rsidRPr="00640B3C">
        <w:rPr>
          <w:sz w:val="28"/>
          <w:szCs w:val="28"/>
        </w:rPr>
        <w:t>, 2008, 2, p. 187 e ss;</w:t>
      </w:r>
    </w:p>
    <w:p w:rsidR="00BD2278" w:rsidRPr="00640B3C" w:rsidRDefault="00BD2278" w:rsidP="004A5FEA">
      <w:pPr>
        <w:rPr>
          <w:sz w:val="28"/>
          <w:szCs w:val="28"/>
        </w:rPr>
      </w:pPr>
      <w:r w:rsidRPr="00640B3C">
        <w:rPr>
          <w:sz w:val="28"/>
          <w:szCs w:val="28"/>
        </w:rPr>
        <w:t xml:space="preserve">Gragnoli E., </w:t>
      </w:r>
      <w:r w:rsidRPr="00640B3C">
        <w:rPr>
          <w:i/>
          <w:sz w:val="28"/>
          <w:szCs w:val="28"/>
        </w:rPr>
        <w:t>Retribuzione ad incentivo e principi costituzionali</w:t>
      </w:r>
      <w:r w:rsidRPr="00640B3C">
        <w:rPr>
          <w:sz w:val="28"/>
          <w:szCs w:val="28"/>
        </w:rPr>
        <w:t xml:space="preserve">, in </w:t>
      </w:r>
      <w:r w:rsidRPr="00640B3C">
        <w:rPr>
          <w:i/>
          <w:sz w:val="28"/>
          <w:szCs w:val="28"/>
        </w:rPr>
        <w:t>ADL</w:t>
      </w:r>
      <w:r w:rsidRPr="00640B3C">
        <w:rPr>
          <w:sz w:val="28"/>
          <w:szCs w:val="28"/>
        </w:rPr>
        <w:t>, 1995, 2, p. 221;</w:t>
      </w:r>
    </w:p>
    <w:p w:rsidR="00BD2278" w:rsidRPr="00640B3C" w:rsidRDefault="00BD2278" w:rsidP="004A5FEA">
      <w:pPr>
        <w:rPr>
          <w:sz w:val="28"/>
          <w:szCs w:val="28"/>
        </w:rPr>
      </w:pPr>
      <w:r w:rsidRPr="00640B3C">
        <w:rPr>
          <w:sz w:val="28"/>
          <w:szCs w:val="28"/>
        </w:rPr>
        <w:t xml:space="preserve">Grandi M., </w:t>
      </w:r>
      <w:r w:rsidRPr="00640B3C">
        <w:rPr>
          <w:i/>
          <w:sz w:val="28"/>
          <w:szCs w:val="28"/>
        </w:rPr>
        <w:t>Osservazioni critiche sulla prestazione gratuita di lavoro subordinato</w:t>
      </w:r>
      <w:r w:rsidRPr="00640B3C">
        <w:rPr>
          <w:sz w:val="28"/>
          <w:szCs w:val="28"/>
        </w:rPr>
        <w:t xml:space="preserve">, in </w:t>
      </w:r>
      <w:r w:rsidRPr="00640B3C">
        <w:rPr>
          <w:i/>
          <w:sz w:val="28"/>
          <w:szCs w:val="28"/>
        </w:rPr>
        <w:t>ADL</w:t>
      </w:r>
      <w:r w:rsidRPr="00640B3C">
        <w:rPr>
          <w:sz w:val="28"/>
          <w:szCs w:val="28"/>
        </w:rPr>
        <w:t>, 2000, 1, p. 439;</w:t>
      </w:r>
    </w:p>
    <w:p w:rsidR="00BD2278" w:rsidRPr="00640B3C" w:rsidRDefault="00BD2278" w:rsidP="004A5FEA">
      <w:pPr>
        <w:rPr>
          <w:sz w:val="28"/>
          <w:szCs w:val="28"/>
        </w:rPr>
      </w:pPr>
      <w:r w:rsidRPr="00640B3C">
        <w:rPr>
          <w:sz w:val="28"/>
          <w:szCs w:val="28"/>
        </w:rPr>
        <w:t xml:space="preserve">Guidotti F., </w:t>
      </w:r>
      <w:r w:rsidRPr="00640B3C">
        <w:rPr>
          <w:i/>
          <w:sz w:val="28"/>
          <w:szCs w:val="28"/>
        </w:rPr>
        <w:t>La retribuzione nel rapporto di lavoro</w:t>
      </w:r>
      <w:r w:rsidRPr="00640B3C">
        <w:rPr>
          <w:sz w:val="28"/>
          <w:szCs w:val="28"/>
        </w:rPr>
        <w:t>, Milano, 1956;</w:t>
      </w:r>
    </w:p>
    <w:p w:rsidR="00BD2278" w:rsidRPr="00640B3C" w:rsidRDefault="00BD2278" w:rsidP="004A5FEA">
      <w:pPr>
        <w:rPr>
          <w:sz w:val="28"/>
          <w:szCs w:val="28"/>
        </w:rPr>
      </w:pPr>
      <w:r w:rsidRPr="00640B3C">
        <w:rPr>
          <w:sz w:val="28"/>
          <w:szCs w:val="28"/>
        </w:rPr>
        <w:t xml:space="preserve">Hernandez S., </w:t>
      </w:r>
      <w:r w:rsidRPr="00640B3C">
        <w:rPr>
          <w:i/>
          <w:sz w:val="28"/>
          <w:szCs w:val="28"/>
        </w:rPr>
        <w:t>I principi costituzionali in tema di retribuzioni</w:t>
      </w:r>
      <w:r w:rsidRPr="00640B3C">
        <w:rPr>
          <w:sz w:val="28"/>
          <w:szCs w:val="28"/>
        </w:rPr>
        <w:t xml:space="preserve">, in </w:t>
      </w:r>
      <w:r w:rsidRPr="00640B3C">
        <w:rPr>
          <w:i/>
          <w:sz w:val="28"/>
          <w:szCs w:val="28"/>
        </w:rPr>
        <w:t xml:space="preserve">Dir. lav., </w:t>
      </w:r>
      <w:r w:rsidRPr="00640B3C">
        <w:rPr>
          <w:sz w:val="28"/>
          <w:szCs w:val="28"/>
        </w:rPr>
        <w:t>1997, I, p.153;</w:t>
      </w:r>
    </w:p>
    <w:p w:rsidR="00BD2278" w:rsidRPr="00640B3C" w:rsidRDefault="00BD2278" w:rsidP="004A5FEA">
      <w:pPr>
        <w:rPr>
          <w:sz w:val="28"/>
          <w:szCs w:val="28"/>
        </w:rPr>
      </w:pPr>
      <w:r w:rsidRPr="00640B3C">
        <w:rPr>
          <w:sz w:val="28"/>
          <w:szCs w:val="28"/>
        </w:rPr>
        <w:t xml:space="preserve">Ichino P., </w:t>
      </w:r>
      <w:r w:rsidRPr="00640B3C">
        <w:rPr>
          <w:i/>
          <w:sz w:val="28"/>
          <w:szCs w:val="28"/>
        </w:rPr>
        <w:t>Il contratto di lavoro, II,</w:t>
      </w:r>
      <w:r w:rsidRPr="00640B3C">
        <w:rPr>
          <w:sz w:val="28"/>
          <w:szCs w:val="28"/>
        </w:rPr>
        <w:t xml:space="preserve"> in </w:t>
      </w:r>
      <w:r w:rsidRPr="00640B3C">
        <w:rPr>
          <w:i/>
          <w:sz w:val="28"/>
          <w:szCs w:val="28"/>
        </w:rPr>
        <w:t xml:space="preserve">Trattato di diritto civile e commerciale </w:t>
      </w:r>
      <w:r w:rsidRPr="00640B3C">
        <w:rPr>
          <w:sz w:val="28"/>
          <w:szCs w:val="28"/>
        </w:rPr>
        <w:t>diretto da A. Cicu, F. Messineo, continuato da L. Mengoni</w:t>
      </w:r>
      <w:r w:rsidRPr="00640B3C">
        <w:t xml:space="preserve">, </w:t>
      </w:r>
      <w:r w:rsidRPr="00640B3C">
        <w:rPr>
          <w:sz w:val="28"/>
          <w:szCs w:val="28"/>
        </w:rPr>
        <w:t>Milano, 2003;</w:t>
      </w:r>
    </w:p>
    <w:p w:rsidR="00BD2278" w:rsidRPr="00640B3C" w:rsidRDefault="00BD2278" w:rsidP="004A5FEA">
      <w:pPr>
        <w:rPr>
          <w:sz w:val="28"/>
          <w:szCs w:val="28"/>
        </w:rPr>
      </w:pPr>
      <w:r w:rsidRPr="00640B3C">
        <w:rPr>
          <w:sz w:val="28"/>
          <w:szCs w:val="28"/>
        </w:rPr>
        <w:t xml:space="preserve">Ichino P., </w:t>
      </w:r>
      <w:r w:rsidRPr="00640B3C">
        <w:rPr>
          <w:i/>
          <w:sz w:val="28"/>
          <w:szCs w:val="28"/>
        </w:rPr>
        <w:t>La nozione di “giusta retribuzione” nell’art. 36 della costituzione,</w:t>
      </w:r>
      <w:r w:rsidRPr="00640B3C">
        <w:rPr>
          <w:sz w:val="28"/>
          <w:szCs w:val="28"/>
        </w:rPr>
        <w:t xml:space="preserve"> in </w:t>
      </w:r>
      <w:r w:rsidRPr="00640B3C">
        <w:rPr>
          <w:i/>
          <w:sz w:val="28"/>
          <w:szCs w:val="28"/>
        </w:rPr>
        <w:t>Riv. it. dir. lav.</w:t>
      </w:r>
      <w:r w:rsidRPr="00640B3C">
        <w:rPr>
          <w:sz w:val="28"/>
          <w:szCs w:val="28"/>
        </w:rPr>
        <w:t>, I, 2010, p. 717;</w:t>
      </w:r>
    </w:p>
    <w:p w:rsidR="00BD2278" w:rsidRPr="00640B3C" w:rsidRDefault="00BD2278" w:rsidP="004A5FEA">
      <w:pPr>
        <w:rPr>
          <w:sz w:val="28"/>
          <w:szCs w:val="28"/>
        </w:rPr>
      </w:pPr>
      <w:r w:rsidRPr="00640B3C">
        <w:rPr>
          <w:sz w:val="28"/>
          <w:szCs w:val="28"/>
        </w:rPr>
        <w:t xml:space="preserve">Lambertucci P., </w:t>
      </w:r>
      <w:r w:rsidRPr="00640B3C">
        <w:rPr>
          <w:i/>
          <w:sz w:val="28"/>
          <w:szCs w:val="28"/>
        </w:rPr>
        <w:t>Determinazione giudiziale della retribuzione, minimi sindacali e condizioni territoriali</w:t>
      </w:r>
      <w:r w:rsidRPr="00640B3C">
        <w:rPr>
          <w:sz w:val="28"/>
          <w:szCs w:val="28"/>
        </w:rPr>
        <w:t xml:space="preserve">, in </w:t>
      </w:r>
      <w:r w:rsidRPr="00640B3C">
        <w:rPr>
          <w:i/>
          <w:sz w:val="28"/>
          <w:szCs w:val="28"/>
        </w:rPr>
        <w:t>ADL</w:t>
      </w:r>
      <w:r w:rsidRPr="00640B3C">
        <w:rPr>
          <w:sz w:val="28"/>
          <w:szCs w:val="28"/>
        </w:rPr>
        <w:t>, 1995, 1, p. 201;</w:t>
      </w:r>
    </w:p>
    <w:p w:rsidR="00BD2278" w:rsidRPr="00640B3C" w:rsidRDefault="00BD2278" w:rsidP="004A5FEA">
      <w:pPr>
        <w:pStyle w:val="FootnoteText"/>
        <w:spacing w:line="360" w:lineRule="auto"/>
        <w:rPr>
          <w:sz w:val="28"/>
          <w:szCs w:val="28"/>
        </w:rPr>
      </w:pPr>
      <w:r w:rsidRPr="00640B3C">
        <w:rPr>
          <w:sz w:val="28"/>
          <w:szCs w:val="28"/>
        </w:rPr>
        <w:t xml:space="preserve">Lassandari A., </w:t>
      </w:r>
      <w:r w:rsidRPr="00640B3C">
        <w:rPr>
          <w:i/>
          <w:sz w:val="28"/>
          <w:szCs w:val="28"/>
        </w:rPr>
        <w:t>Il contratto collettivo aziendale e decentrato</w:t>
      </w:r>
      <w:r w:rsidRPr="00640B3C">
        <w:rPr>
          <w:sz w:val="28"/>
          <w:szCs w:val="28"/>
        </w:rPr>
        <w:t>, Milano, 2001;</w:t>
      </w:r>
    </w:p>
    <w:p w:rsidR="00BD2278" w:rsidRPr="00640B3C" w:rsidRDefault="00BD2278" w:rsidP="004A5FEA">
      <w:pPr>
        <w:rPr>
          <w:sz w:val="28"/>
          <w:szCs w:val="28"/>
        </w:rPr>
      </w:pPr>
      <w:r w:rsidRPr="00640B3C">
        <w:rPr>
          <w:sz w:val="28"/>
          <w:szCs w:val="28"/>
        </w:rPr>
        <w:t xml:space="preserve">Lassandari A., </w:t>
      </w:r>
      <w:r w:rsidRPr="00640B3C">
        <w:rPr>
          <w:i/>
          <w:sz w:val="28"/>
          <w:szCs w:val="28"/>
        </w:rPr>
        <w:t>Le nuove regole sulla contrattazione collettiva: problemi giuridici e di efficacia</w:t>
      </w:r>
      <w:r w:rsidRPr="00640B3C">
        <w:rPr>
          <w:sz w:val="28"/>
          <w:szCs w:val="28"/>
        </w:rPr>
        <w:t xml:space="preserve">, in </w:t>
      </w:r>
      <w:r w:rsidRPr="00640B3C">
        <w:rPr>
          <w:i/>
          <w:sz w:val="28"/>
          <w:szCs w:val="28"/>
        </w:rPr>
        <w:t>Riv. giur. lav. prev. soc.</w:t>
      </w:r>
      <w:r w:rsidRPr="00640B3C">
        <w:rPr>
          <w:sz w:val="28"/>
          <w:szCs w:val="28"/>
        </w:rPr>
        <w:t>, 2010, 1, p. 45;</w:t>
      </w:r>
    </w:p>
    <w:p w:rsidR="00BD2278" w:rsidRPr="00640B3C" w:rsidRDefault="00BD2278" w:rsidP="004A5FEA">
      <w:pPr>
        <w:rPr>
          <w:sz w:val="28"/>
          <w:szCs w:val="28"/>
        </w:rPr>
      </w:pPr>
      <w:r w:rsidRPr="00640B3C">
        <w:rPr>
          <w:sz w:val="28"/>
          <w:szCs w:val="28"/>
        </w:rPr>
        <w:t xml:space="preserve">Liebman S., </w:t>
      </w:r>
      <w:r w:rsidRPr="00640B3C">
        <w:rPr>
          <w:i/>
          <w:sz w:val="28"/>
          <w:szCs w:val="28"/>
        </w:rPr>
        <w:t>Individuale e collettivo nel rapporto di lavoro: il problema degli usi aziendali</w:t>
      </w:r>
      <w:r w:rsidRPr="00640B3C">
        <w:rPr>
          <w:sz w:val="28"/>
          <w:szCs w:val="28"/>
        </w:rPr>
        <w:t xml:space="preserve">, in </w:t>
      </w:r>
      <w:r w:rsidRPr="00640B3C">
        <w:rPr>
          <w:i/>
          <w:sz w:val="28"/>
          <w:szCs w:val="28"/>
        </w:rPr>
        <w:t>Dir. rel. ind.</w:t>
      </w:r>
      <w:r w:rsidRPr="00640B3C">
        <w:rPr>
          <w:sz w:val="28"/>
          <w:szCs w:val="28"/>
        </w:rPr>
        <w:t>, 1991, 1, p. 60;</w:t>
      </w:r>
    </w:p>
    <w:p w:rsidR="00BD2278" w:rsidRPr="00640B3C" w:rsidRDefault="00BD2278" w:rsidP="004A5FEA">
      <w:pPr>
        <w:rPr>
          <w:sz w:val="28"/>
          <w:szCs w:val="28"/>
        </w:rPr>
      </w:pPr>
      <w:r w:rsidRPr="00640B3C">
        <w:rPr>
          <w:sz w:val="28"/>
          <w:szCs w:val="28"/>
        </w:rPr>
        <w:t xml:space="preserve">Magnani M., </w:t>
      </w:r>
      <w:r w:rsidRPr="00640B3C">
        <w:rPr>
          <w:i/>
          <w:sz w:val="28"/>
          <w:szCs w:val="28"/>
        </w:rPr>
        <w:t>Dopo Mirafiori, cosa?</w:t>
      </w:r>
      <w:r w:rsidRPr="00640B3C">
        <w:rPr>
          <w:sz w:val="28"/>
          <w:szCs w:val="28"/>
        </w:rPr>
        <w:t xml:space="preserve">, in </w:t>
      </w:r>
      <w:r w:rsidRPr="00640B3C">
        <w:rPr>
          <w:i/>
          <w:sz w:val="28"/>
          <w:szCs w:val="28"/>
        </w:rPr>
        <w:t>Boll. ord.</w:t>
      </w:r>
      <w:r w:rsidRPr="00640B3C">
        <w:rPr>
          <w:sz w:val="28"/>
          <w:szCs w:val="28"/>
        </w:rPr>
        <w:t xml:space="preserve"> ADAPT, 17 gennaio 2011;</w:t>
      </w:r>
    </w:p>
    <w:p w:rsidR="00BD2278" w:rsidRPr="00640B3C" w:rsidRDefault="00BD2278" w:rsidP="004A5FEA">
      <w:pPr>
        <w:rPr>
          <w:sz w:val="28"/>
          <w:szCs w:val="28"/>
        </w:rPr>
      </w:pPr>
      <w:r w:rsidRPr="00640B3C">
        <w:rPr>
          <w:sz w:val="28"/>
          <w:szCs w:val="28"/>
        </w:rPr>
        <w:t xml:space="preserve">Magnani M., </w:t>
      </w:r>
      <w:r w:rsidRPr="00640B3C">
        <w:rPr>
          <w:i/>
          <w:sz w:val="28"/>
          <w:szCs w:val="28"/>
        </w:rPr>
        <w:t>I nodi attuali del sistema di relazioni industriali e l’accordo quadro del 22 gennaio 2009</w:t>
      </w:r>
      <w:r w:rsidRPr="00640B3C">
        <w:rPr>
          <w:sz w:val="28"/>
          <w:szCs w:val="28"/>
        </w:rPr>
        <w:t xml:space="preserve">, in </w:t>
      </w:r>
      <w:r w:rsidRPr="00640B3C">
        <w:rPr>
          <w:i/>
          <w:sz w:val="28"/>
          <w:szCs w:val="28"/>
        </w:rPr>
        <w:t>ADL</w:t>
      </w:r>
      <w:r w:rsidRPr="00640B3C">
        <w:rPr>
          <w:sz w:val="28"/>
          <w:szCs w:val="28"/>
        </w:rPr>
        <w:t>, 2009, 6, p. 1279;</w:t>
      </w:r>
    </w:p>
    <w:p w:rsidR="00BD2278" w:rsidRPr="00640B3C" w:rsidRDefault="00BD2278" w:rsidP="004A5FEA">
      <w:pPr>
        <w:rPr>
          <w:sz w:val="28"/>
          <w:szCs w:val="28"/>
        </w:rPr>
      </w:pPr>
      <w:r w:rsidRPr="00640B3C">
        <w:rPr>
          <w:sz w:val="28"/>
          <w:szCs w:val="28"/>
        </w:rPr>
        <w:t xml:space="preserve">Marinelli M., </w:t>
      </w:r>
      <w:r w:rsidRPr="00640B3C">
        <w:rPr>
          <w:i/>
          <w:sz w:val="28"/>
          <w:szCs w:val="28"/>
        </w:rPr>
        <w:t xml:space="preserve">Il diritto alla retribuzione proporzionata e sufficiente: problemi e prospettive, </w:t>
      </w:r>
      <w:r w:rsidRPr="00640B3C">
        <w:rPr>
          <w:sz w:val="28"/>
          <w:szCs w:val="28"/>
        </w:rPr>
        <w:t xml:space="preserve">in </w:t>
      </w:r>
      <w:r w:rsidRPr="00640B3C">
        <w:rPr>
          <w:i/>
          <w:sz w:val="28"/>
          <w:szCs w:val="28"/>
        </w:rPr>
        <w:t xml:space="preserve">Arg. Dir. lav., </w:t>
      </w:r>
      <w:r w:rsidRPr="00640B3C">
        <w:rPr>
          <w:sz w:val="28"/>
          <w:szCs w:val="28"/>
        </w:rPr>
        <w:t>2010, I, p. 86;</w:t>
      </w:r>
    </w:p>
    <w:p w:rsidR="00BD2278" w:rsidRPr="00640B3C" w:rsidRDefault="00BD2278" w:rsidP="004A5FEA">
      <w:pPr>
        <w:rPr>
          <w:sz w:val="28"/>
          <w:szCs w:val="28"/>
        </w:rPr>
      </w:pPr>
      <w:r w:rsidRPr="00640B3C">
        <w:rPr>
          <w:sz w:val="28"/>
          <w:szCs w:val="28"/>
        </w:rPr>
        <w:t xml:space="preserve">Mengoni L., </w:t>
      </w:r>
      <w:r w:rsidRPr="00640B3C">
        <w:rPr>
          <w:i/>
          <w:sz w:val="28"/>
          <w:szCs w:val="28"/>
        </w:rPr>
        <w:t>L’argomentazione nel diritto costituzionale</w:t>
      </w:r>
      <w:r w:rsidRPr="00640B3C">
        <w:rPr>
          <w:sz w:val="28"/>
          <w:szCs w:val="28"/>
        </w:rPr>
        <w:t xml:space="preserve">, in </w:t>
      </w:r>
      <w:r w:rsidRPr="00640B3C">
        <w:rPr>
          <w:i/>
          <w:sz w:val="28"/>
          <w:szCs w:val="28"/>
        </w:rPr>
        <w:t>Ermeneutica e dogmatica giuridica</w:t>
      </w:r>
      <w:r w:rsidRPr="00640B3C">
        <w:rPr>
          <w:sz w:val="28"/>
          <w:szCs w:val="28"/>
        </w:rPr>
        <w:t>, Milano, 1996;</w:t>
      </w:r>
    </w:p>
    <w:p w:rsidR="00BD2278" w:rsidRPr="00640B3C" w:rsidRDefault="00BD2278" w:rsidP="004A5FEA">
      <w:pPr>
        <w:rPr>
          <w:sz w:val="28"/>
          <w:szCs w:val="28"/>
        </w:rPr>
      </w:pPr>
      <w:r w:rsidRPr="00640B3C">
        <w:rPr>
          <w:sz w:val="28"/>
          <w:szCs w:val="28"/>
        </w:rPr>
        <w:t xml:space="preserve">Mengoni L., </w:t>
      </w:r>
      <w:r w:rsidRPr="00640B3C">
        <w:rPr>
          <w:i/>
          <w:sz w:val="28"/>
          <w:szCs w:val="28"/>
        </w:rPr>
        <w:t>Spunti per una teoria delle clausole generali</w:t>
      </w:r>
      <w:r w:rsidRPr="00640B3C">
        <w:rPr>
          <w:sz w:val="28"/>
          <w:szCs w:val="28"/>
        </w:rPr>
        <w:t xml:space="preserve">, in </w:t>
      </w:r>
      <w:r w:rsidRPr="00640B3C">
        <w:rPr>
          <w:i/>
          <w:sz w:val="28"/>
          <w:szCs w:val="28"/>
        </w:rPr>
        <w:t>Riv. crit. dir. priv.</w:t>
      </w:r>
      <w:r w:rsidRPr="00640B3C">
        <w:rPr>
          <w:sz w:val="28"/>
          <w:szCs w:val="28"/>
        </w:rPr>
        <w:t>, 1986, 1, p.5;</w:t>
      </w:r>
    </w:p>
    <w:p w:rsidR="00BD2278" w:rsidRPr="00640B3C" w:rsidRDefault="00BD2278" w:rsidP="004A5FEA">
      <w:pPr>
        <w:rPr>
          <w:sz w:val="28"/>
          <w:szCs w:val="28"/>
        </w:rPr>
      </w:pPr>
      <w:r w:rsidRPr="00640B3C">
        <w:rPr>
          <w:sz w:val="28"/>
          <w:szCs w:val="28"/>
        </w:rPr>
        <w:t xml:space="preserve">Messina G., </w:t>
      </w:r>
      <w:r w:rsidRPr="00640B3C">
        <w:rPr>
          <w:i/>
          <w:sz w:val="28"/>
          <w:szCs w:val="28"/>
        </w:rPr>
        <w:t>I concordati di tariffe nell’ordinamento giuridico del lavoro</w:t>
      </w:r>
      <w:r w:rsidRPr="00640B3C">
        <w:rPr>
          <w:sz w:val="28"/>
          <w:szCs w:val="28"/>
        </w:rPr>
        <w:t xml:space="preserve">, in </w:t>
      </w:r>
      <w:r w:rsidRPr="00640B3C">
        <w:rPr>
          <w:i/>
          <w:sz w:val="28"/>
          <w:szCs w:val="28"/>
        </w:rPr>
        <w:t>Riv. dir. comm.</w:t>
      </w:r>
      <w:r w:rsidRPr="00640B3C">
        <w:rPr>
          <w:sz w:val="28"/>
          <w:szCs w:val="28"/>
        </w:rPr>
        <w:t>, 1904, I, p. 458;</w:t>
      </w:r>
    </w:p>
    <w:p w:rsidR="00BD2278" w:rsidRPr="00640B3C" w:rsidRDefault="00BD2278" w:rsidP="004A5FEA">
      <w:pPr>
        <w:rPr>
          <w:sz w:val="28"/>
          <w:szCs w:val="28"/>
        </w:rPr>
      </w:pPr>
      <w:r w:rsidRPr="00640B3C">
        <w:rPr>
          <w:sz w:val="28"/>
          <w:szCs w:val="28"/>
        </w:rPr>
        <w:t xml:space="preserve">Mortillaro F., voce </w:t>
      </w:r>
      <w:r w:rsidRPr="00640B3C">
        <w:rPr>
          <w:i/>
          <w:sz w:val="28"/>
          <w:szCs w:val="28"/>
        </w:rPr>
        <w:t xml:space="preserve">Retribuzione. 1)  Rapporto di lavoro privato, </w:t>
      </w:r>
      <w:r w:rsidRPr="00640B3C">
        <w:rPr>
          <w:sz w:val="28"/>
          <w:szCs w:val="28"/>
        </w:rPr>
        <w:t xml:space="preserve">in </w:t>
      </w:r>
      <w:r w:rsidRPr="00640B3C">
        <w:rPr>
          <w:i/>
          <w:sz w:val="28"/>
          <w:szCs w:val="28"/>
        </w:rPr>
        <w:t>Enc. Giur.</w:t>
      </w:r>
      <w:r w:rsidRPr="00640B3C">
        <w:rPr>
          <w:sz w:val="28"/>
          <w:szCs w:val="28"/>
        </w:rPr>
        <w:t>, Roma, 1991;</w:t>
      </w:r>
    </w:p>
    <w:p w:rsidR="00BD2278" w:rsidRPr="00640B3C" w:rsidRDefault="00BD2278" w:rsidP="004A5FEA">
      <w:pPr>
        <w:rPr>
          <w:sz w:val="28"/>
          <w:szCs w:val="28"/>
        </w:rPr>
      </w:pPr>
      <w:r w:rsidRPr="00640B3C">
        <w:rPr>
          <w:sz w:val="28"/>
          <w:szCs w:val="28"/>
        </w:rPr>
        <w:t xml:space="preserve">Napoletano D., </w:t>
      </w:r>
      <w:r w:rsidRPr="00640B3C">
        <w:rPr>
          <w:i/>
          <w:sz w:val="28"/>
          <w:szCs w:val="28"/>
        </w:rPr>
        <w:t xml:space="preserve">Natura ed efficacia della norma di cui all’art. 36, co. 1 Cost. e sua rilevanza, </w:t>
      </w:r>
      <w:r w:rsidRPr="00640B3C">
        <w:rPr>
          <w:sz w:val="28"/>
          <w:szCs w:val="28"/>
        </w:rPr>
        <w:t xml:space="preserve">in </w:t>
      </w:r>
      <w:r w:rsidRPr="00640B3C">
        <w:rPr>
          <w:i/>
          <w:sz w:val="28"/>
          <w:szCs w:val="28"/>
        </w:rPr>
        <w:t xml:space="preserve">Mass. giur. lav., </w:t>
      </w:r>
      <w:r w:rsidRPr="00640B3C">
        <w:rPr>
          <w:sz w:val="28"/>
          <w:szCs w:val="28"/>
        </w:rPr>
        <w:t>1951;</w:t>
      </w:r>
    </w:p>
    <w:p w:rsidR="00BD2278" w:rsidRPr="00640B3C" w:rsidRDefault="00BD2278" w:rsidP="004A5FEA">
      <w:pPr>
        <w:rPr>
          <w:i/>
          <w:sz w:val="28"/>
          <w:szCs w:val="28"/>
        </w:rPr>
      </w:pPr>
      <w:r w:rsidRPr="00640B3C">
        <w:rPr>
          <w:sz w:val="28"/>
          <w:szCs w:val="28"/>
        </w:rPr>
        <w:t xml:space="preserve">Natoli U., </w:t>
      </w:r>
      <w:r w:rsidRPr="00640B3C">
        <w:rPr>
          <w:i/>
          <w:sz w:val="28"/>
          <w:szCs w:val="28"/>
        </w:rPr>
        <w:t xml:space="preserve">Ancora sull’art. 36 della Costituzione e sulla sua pratica applicazione, </w:t>
      </w:r>
      <w:r w:rsidRPr="00640B3C">
        <w:rPr>
          <w:sz w:val="28"/>
          <w:szCs w:val="28"/>
        </w:rPr>
        <w:t xml:space="preserve">in </w:t>
      </w:r>
      <w:r w:rsidRPr="00640B3C">
        <w:rPr>
          <w:i/>
          <w:sz w:val="28"/>
          <w:szCs w:val="28"/>
        </w:rPr>
        <w:t>Riv. giur. lav.,</w:t>
      </w:r>
      <w:r w:rsidRPr="00640B3C">
        <w:rPr>
          <w:sz w:val="28"/>
          <w:szCs w:val="28"/>
        </w:rPr>
        <w:t xml:space="preserve"> 1952, II;</w:t>
      </w:r>
    </w:p>
    <w:p w:rsidR="00BD2278" w:rsidRPr="00640B3C" w:rsidRDefault="00BD2278" w:rsidP="004A5FEA">
      <w:pPr>
        <w:pStyle w:val="FootnoteText"/>
        <w:spacing w:line="360" w:lineRule="auto"/>
        <w:rPr>
          <w:sz w:val="28"/>
          <w:szCs w:val="28"/>
        </w:rPr>
      </w:pPr>
      <w:r w:rsidRPr="00640B3C">
        <w:rPr>
          <w:sz w:val="28"/>
          <w:szCs w:val="28"/>
        </w:rPr>
        <w:t xml:space="preserve">Paolazzi L., Rapacciulo C., Scapperrotta L., </w:t>
      </w:r>
      <w:r w:rsidRPr="00640B3C">
        <w:rPr>
          <w:i/>
          <w:sz w:val="28"/>
          <w:szCs w:val="28"/>
        </w:rPr>
        <w:t xml:space="preserve">Più retribuzioni e più produttività: lo scambio per la crescita. Gli effetti positivi del sistema che decentra la </w:t>
      </w:r>
      <w:r w:rsidRPr="00640B3C">
        <w:rPr>
          <w:sz w:val="28"/>
          <w:szCs w:val="28"/>
        </w:rPr>
        <w:t>negoziazione, Nota del Centro Studi di Confindustria, n. 08-5 del 29 Gennaio 2009;</w:t>
      </w:r>
    </w:p>
    <w:p w:rsidR="00BD2278" w:rsidRPr="00640B3C" w:rsidRDefault="00BD2278" w:rsidP="004A5FEA">
      <w:pPr>
        <w:pStyle w:val="FootnoteText"/>
        <w:spacing w:line="360" w:lineRule="auto"/>
        <w:rPr>
          <w:sz w:val="28"/>
          <w:szCs w:val="28"/>
        </w:rPr>
      </w:pPr>
      <w:r w:rsidRPr="00640B3C">
        <w:rPr>
          <w:sz w:val="28"/>
          <w:szCs w:val="28"/>
        </w:rPr>
        <w:t xml:space="preserve">Pasetti G., </w:t>
      </w:r>
      <w:r w:rsidRPr="00640B3C">
        <w:rPr>
          <w:i/>
          <w:sz w:val="28"/>
          <w:szCs w:val="28"/>
        </w:rPr>
        <w:t>Parita di trattamento</w:t>
      </w:r>
      <w:r w:rsidRPr="00640B3C">
        <w:rPr>
          <w:sz w:val="28"/>
          <w:szCs w:val="28"/>
        </w:rPr>
        <w:t xml:space="preserve">, </w:t>
      </w:r>
      <w:r w:rsidRPr="00640B3C">
        <w:rPr>
          <w:i/>
          <w:sz w:val="28"/>
          <w:szCs w:val="28"/>
        </w:rPr>
        <w:t xml:space="preserve">, </w:t>
      </w:r>
      <w:r w:rsidRPr="00640B3C">
        <w:rPr>
          <w:sz w:val="28"/>
          <w:szCs w:val="28"/>
        </w:rPr>
        <w:t xml:space="preserve">in </w:t>
      </w:r>
      <w:r w:rsidRPr="00640B3C">
        <w:rPr>
          <w:i/>
          <w:sz w:val="28"/>
          <w:szCs w:val="28"/>
        </w:rPr>
        <w:t>Enc. Giur.</w:t>
      </w:r>
      <w:r w:rsidRPr="00640B3C">
        <w:rPr>
          <w:sz w:val="28"/>
          <w:szCs w:val="28"/>
        </w:rPr>
        <w:t>, Roma, 1991;</w:t>
      </w:r>
    </w:p>
    <w:p w:rsidR="00BD2278" w:rsidRPr="00640B3C" w:rsidRDefault="00BD2278" w:rsidP="004A5FEA">
      <w:pPr>
        <w:rPr>
          <w:i/>
          <w:sz w:val="28"/>
          <w:szCs w:val="28"/>
        </w:rPr>
      </w:pPr>
      <w:r w:rsidRPr="00640B3C">
        <w:rPr>
          <w:sz w:val="28"/>
          <w:szCs w:val="28"/>
        </w:rPr>
        <w:t xml:space="preserve">Pera G., </w:t>
      </w:r>
      <w:r w:rsidRPr="00640B3C">
        <w:rPr>
          <w:i/>
          <w:sz w:val="28"/>
          <w:szCs w:val="28"/>
        </w:rPr>
        <w:t>La giusta retribuzione dell’art. 36 della Cost.</w:t>
      </w:r>
      <w:r w:rsidRPr="00640B3C">
        <w:rPr>
          <w:sz w:val="28"/>
          <w:szCs w:val="28"/>
        </w:rPr>
        <w:t xml:space="preserve">, in </w:t>
      </w:r>
      <w:r w:rsidRPr="00640B3C">
        <w:rPr>
          <w:i/>
          <w:sz w:val="28"/>
          <w:szCs w:val="28"/>
        </w:rPr>
        <w:t>Dir. lav.</w:t>
      </w:r>
      <w:r w:rsidRPr="00640B3C">
        <w:rPr>
          <w:sz w:val="28"/>
          <w:szCs w:val="28"/>
        </w:rPr>
        <w:t xml:space="preserve">, 1953, I, p. 99, ripubblicato in </w:t>
      </w:r>
      <w:r w:rsidRPr="00640B3C">
        <w:rPr>
          <w:i/>
          <w:sz w:val="28"/>
          <w:szCs w:val="28"/>
        </w:rPr>
        <w:t xml:space="preserve">Scritti di Giuseppe Pera, </w:t>
      </w:r>
      <w:r w:rsidRPr="00640B3C">
        <w:rPr>
          <w:sz w:val="28"/>
          <w:szCs w:val="28"/>
        </w:rPr>
        <w:t>Milano, 2007, Vol. I;</w:t>
      </w:r>
    </w:p>
    <w:p w:rsidR="00BD2278" w:rsidRPr="00640B3C" w:rsidRDefault="00BD2278" w:rsidP="004A5FEA">
      <w:pPr>
        <w:rPr>
          <w:sz w:val="28"/>
          <w:szCs w:val="28"/>
        </w:rPr>
      </w:pPr>
      <w:r w:rsidRPr="00640B3C">
        <w:rPr>
          <w:sz w:val="28"/>
          <w:szCs w:val="28"/>
        </w:rPr>
        <w:t xml:space="preserve">Perone G., </w:t>
      </w:r>
      <w:r w:rsidRPr="00640B3C">
        <w:rPr>
          <w:i/>
          <w:sz w:val="28"/>
          <w:szCs w:val="28"/>
        </w:rPr>
        <w:t xml:space="preserve">Retribuzione, </w:t>
      </w:r>
      <w:r w:rsidRPr="00640B3C">
        <w:rPr>
          <w:sz w:val="28"/>
          <w:szCs w:val="28"/>
        </w:rPr>
        <w:t xml:space="preserve">in </w:t>
      </w:r>
      <w:r w:rsidRPr="00640B3C">
        <w:rPr>
          <w:i/>
          <w:sz w:val="28"/>
          <w:szCs w:val="28"/>
        </w:rPr>
        <w:t>Enc. dir.,</w:t>
      </w:r>
      <w:r w:rsidRPr="00640B3C">
        <w:rPr>
          <w:sz w:val="28"/>
          <w:szCs w:val="28"/>
        </w:rPr>
        <w:t xml:space="preserve">Milano, 1989, vol. XL; </w:t>
      </w:r>
    </w:p>
    <w:p w:rsidR="00BD2278" w:rsidRPr="00640B3C" w:rsidRDefault="00BD2278" w:rsidP="004A5FEA">
      <w:pPr>
        <w:rPr>
          <w:sz w:val="28"/>
          <w:szCs w:val="28"/>
        </w:rPr>
      </w:pPr>
      <w:r w:rsidRPr="00640B3C">
        <w:rPr>
          <w:sz w:val="28"/>
          <w:szCs w:val="28"/>
        </w:rPr>
        <w:t xml:space="preserve">Persiani M., </w:t>
      </w:r>
      <w:r w:rsidRPr="00640B3C">
        <w:rPr>
          <w:i/>
          <w:sz w:val="28"/>
          <w:szCs w:val="28"/>
        </w:rPr>
        <w:t>I nuovi problemi della retribuzione</w:t>
      </w:r>
      <w:r w:rsidRPr="00640B3C">
        <w:rPr>
          <w:sz w:val="28"/>
          <w:szCs w:val="28"/>
        </w:rPr>
        <w:t>, Padova, 1982;</w:t>
      </w:r>
    </w:p>
    <w:p w:rsidR="00BD2278" w:rsidRPr="00640B3C" w:rsidRDefault="00BD2278" w:rsidP="004A5FEA">
      <w:pPr>
        <w:rPr>
          <w:i/>
          <w:sz w:val="28"/>
          <w:szCs w:val="28"/>
        </w:rPr>
      </w:pPr>
      <w:r w:rsidRPr="00640B3C">
        <w:rPr>
          <w:sz w:val="28"/>
          <w:szCs w:val="28"/>
        </w:rPr>
        <w:t>Pessi R</w:t>
      </w:r>
      <w:r w:rsidRPr="00640B3C">
        <w:rPr>
          <w:i/>
          <w:sz w:val="28"/>
          <w:szCs w:val="28"/>
        </w:rPr>
        <w:t>., Retribuzione. 3) Nuove forme,</w:t>
      </w:r>
      <w:r w:rsidRPr="00640B3C">
        <w:rPr>
          <w:sz w:val="28"/>
          <w:szCs w:val="28"/>
        </w:rPr>
        <w:t xml:space="preserve"> in </w:t>
      </w:r>
      <w:r w:rsidRPr="00640B3C">
        <w:rPr>
          <w:i/>
          <w:sz w:val="28"/>
          <w:szCs w:val="28"/>
        </w:rPr>
        <w:t>Enc. Giur. Treccani</w:t>
      </w:r>
      <w:r w:rsidRPr="00640B3C">
        <w:rPr>
          <w:sz w:val="28"/>
          <w:szCs w:val="28"/>
        </w:rPr>
        <w:t>, XXVII, 1991;</w:t>
      </w:r>
    </w:p>
    <w:p w:rsidR="00BD2278" w:rsidRPr="00640B3C" w:rsidRDefault="00BD2278" w:rsidP="004A5FEA">
      <w:pPr>
        <w:rPr>
          <w:sz w:val="28"/>
          <w:szCs w:val="28"/>
        </w:rPr>
      </w:pPr>
      <w:r w:rsidRPr="00640B3C">
        <w:rPr>
          <w:sz w:val="28"/>
          <w:szCs w:val="28"/>
        </w:rPr>
        <w:t xml:space="preserve">Piccinini I., </w:t>
      </w:r>
      <w:r w:rsidRPr="00640B3C">
        <w:rPr>
          <w:i/>
          <w:sz w:val="28"/>
          <w:szCs w:val="28"/>
        </w:rPr>
        <w:t>Retribuzione ed equità</w:t>
      </w:r>
      <w:r w:rsidRPr="00640B3C">
        <w:rPr>
          <w:sz w:val="28"/>
          <w:szCs w:val="28"/>
        </w:rPr>
        <w:t xml:space="preserve">, in </w:t>
      </w:r>
      <w:r w:rsidRPr="00640B3C">
        <w:rPr>
          <w:i/>
          <w:sz w:val="28"/>
          <w:szCs w:val="28"/>
        </w:rPr>
        <w:t>ADL</w:t>
      </w:r>
      <w:r w:rsidRPr="00640B3C">
        <w:rPr>
          <w:sz w:val="28"/>
          <w:szCs w:val="28"/>
        </w:rPr>
        <w:t>, 1995, 2, p. 227;</w:t>
      </w:r>
    </w:p>
    <w:p w:rsidR="00BD2278" w:rsidRPr="00640B3C" w:rsidRDefault="00BD2278" w:rsidP="004A5FEA">
      <w:pPr>
        <w:rPr>
          <w:i/>
          <w:sz w:val="28"/>
          <w:szCs w:val="28"/>
        </w:rPr>
      </w:pPr>
      <w:r w:rsidRPr="00640B3C">
        <w:rPr>
          <w:sz w:val="28"/>
          <w:szCs w:val="28"/>
        </w:rPr>
        <w:t xml:space="preserve">Pugliatti S., </w:t>
      </w:r>
      <w:r w:rsidRPr="00640B3C">
        <w:rPr>
          <w:i/>
          <w:sz w:val="28"/>
          <w:szCs w:val="28"/>
        </w:rPr>
        <w:t xml:space="preserve">La retribuzione sufficiente e le norme della Costituzione, </w:t>
      </w:r>
      <w:r w:rsidRPr="00640B3C">
        <w:rPr>
          <w:sz w:val="28"/>
          <w:szCs w:val="28"/>
        </w:rPr>
        <w:t xml:space="preserve">in </w:t>
      </w:r>
      <w:r w:rsidRPr="00640B3C">
        <w:rPr>
          <w:i/>
          <w:sz w:val="28"/>
          <w:szCs w:val="28"/>
        </w:rPr>
        <w:t xml:space="preserve">Riv. Giur. Lav., </w:t>
      </w:r>
      <w:r w:rsidRPr="00640B3C">
        <w:rPr>
          <w:sz w:val="28"/>
          <w:szCs w:val="28"/>
        </w:rPr>
        <w:t>1950, I, p. 189;</w:t>
      </w:r>
    </w:p>
    <w:p w:rsidR="00BD2278" w:rsidRPr="00640B3C" w:rsidRDefault="00BD2278" w:rsidP="004A5FEA">
      <w:pPr>
        <w:rPr>
          <w:sz w:val="28"/>
          <w:szCs w:val="28"/>
        </w:rPr>
      </w:pPr>
      <w:r w:rsidRPr="00640B3C">
        <w:rPr>
          <w:sz w:val="28"/>
          <w:szCs w:val="28"/>
        </w:rPr>
        <w:t xml:space="preserve">Ricci M., </w:t>
      </w:r>
      <w:r w:rsidRPr="00640B3C">
        <w:rPr>
          <w:i/>
          <w:sz w:val="28"/>
          <w:szCs w:val="28"/>
        </w:rPr>
        <w:t>Il protocollo del 23 luglio 1993 sul costo del lavoro: verso l’istituzionalizzazione delle relazioni industriali?</w:t>
      </w:r>
      <w:r w:rsidRPr="00640B3C">
        <w:rPr>
          <w:sz w:val="28"/>
          <w:szCs w:val="28"/>
        </w:rPr>
        <w:t xml:space="preserve">, in </w:t>
      </w:r>
      <w:r w:rsidRPr="00640B3C">
        <w:rPr>
          <w:i/>
          <w:sz w:val="28"/>
          <w:szCs w:val="28"/>
        </w:rPr>
        <w:t>Riv. giur. lav. prev. soc.</w:t>
      </w:r>
      <w:r w:rsidRPr="00640B3C">
        <w:rPr>
          <w:sz w:val="28"/>
          <w:szCs w:val="28"/>
        </w:rPr>
        <w:t>, 1993, I, p. 279;</w:t>
      </w:r>
    </w:p>
    <w:p w:rsidR="00BD2278" w:rsidRPr="00640B3C" w:rsidRDefault="00BD2278" w:rsidP="004A5FEA">
      <w:pPr>
        <w:rPr>
          <w:sz w:val="28"/>
          <w:szCs w:val="28"/>
        </w:rPr>
      </w:pPr>
      <w:r w:rsidRPr="00640B3C">
        <w:rPr>
          <w:sz w:val="28"/>
          <w:szCs w:val="28"/>
        </w:rPr>
        <w:t xml:space="preserve">Ricci M., </w:t>
      </w:r>
      <w:r w:rsidRPr="00640B3C">
        <w:rPr>
          <w:i/>
          <w:sz w:val="28"/>
          <w:szCs w:val="28"/>
        </w:rPr>
        <w:t xml:space="preserve">L’accordo quadro e l’accordo interconfederale del 2009: contenuti, criticità e modelli di relazioni industriali, </w:t>
      </w:r>
      <w:r w:rsidRPr="00640B3C">
        <w:rPr>
          <w:sz w:val="28"/>
          <w:szCs w:val="28"/>
        </w:rPr>
        <w:t>in Riv. it. dir. lav., 2009, I, p. 353;</w:t>
      </w:r>
    </w:p>
    <w:p w:rsidR="00BD2278" w:rsidRPr="00640B3C" w:rsidRDefault="00BD2278" w:rsidP="004A5FEA">
      <w:pPr>
        <w:rPr>
          <w:sz w:val="28"/>
          <w:szCs w:val="28"/>
        </w:rPr>
      </w:pPr>
      <w:r w:rsidRPr="00640B3C">
        <w:rPr>
          <w:sz w:val="28"/>
          <w:szCs w:val="28"/>
        </w:rPr>
        <w:t xml:space="preserve">Ricci M., </w:t>
      </w:r>
      <w:r w:rsidRPr="00640B3C">
        <w:rPr>
          <w:i/>
          <w:sz w:val="28"/>
          <w:szCs w:val="28"/>
        </w:rPr>
        <w:t>Le forme di incentivazione del lavoro nella contrattazione aziendale (1968-1974)</w:t>
      </w:r>
      <w:r w:rsidRPr="00640B3C">
        <w:rPr>
          <w:sz w:val="28"/>
          <w:szCs w:val="28"/>
        </w:rPr>
        <w:t xml:space="preserve">, in </w:t>
      </w:r>
      <w:r w:rsidRPr="00640B3C">
        <w:rPr>
          <w:i/>
          <w:sz w:val="28"/>
          <w:szCs w:val="28"/>
        </w:rPr>
        <w:t>Riv. giur. lav. prev. soc.</w:t>
      </w:r>
      <w:r w:rsidRPr="00640B3C">
        <w:rPr>
          <w:sz w:val="28"/>
          <w:szCs w:val="28"/>
        </w:rPr>
        <w:t>, 1975, I, p.665;</w:t>
      </w:r>
    </w:p>
    <w:p w:rsidR="00BD2278" w:rsidRPr="00640B3C" w:rsidRDefault="00BD2278" w:rsidP="004A5FEA">
      <w:pPr>
        <w:rPr>
          <w:sz w:val="28"/>
          <w:szCs w:val="28"/>
        </w:rPr>
      </w:pPr>
      <w:r w:rsidRPr="00640B3C">
        <w:rPr>
          <w:sz w:val="28"/>
          <w:szCs w:val="28"/>
        </w:rPr>
        <w:t xml:space="preserve">Ricciardi M., </w:t>
      </w:r>
      <w:r w:rsidRPr="00640B3C">
        <w:rPr>
          <w:i/>
          <w:sz w:val="28"/>
          <w:szCs w:val="28"/>
        </w:rPr>
        <w:t xml:space="preserve">Politiche retributive e relazioni industriali negli anni ‘90, </w:t>
      </w:r>
      <w:r w:rsidRPr="00640B3C">
        <w:rPr>
          <w:sz w:val="28"/>
          <w:szCs w:val="28"/>
        </w:rPr>
        <w:t xml:space="preserve">in </w:t>
      </w:r>
      <w:r w:rsidRPr="00640B3C">
        <w:rPr>
          <w:i/>
          <w:sz w:val="28"/>
          <w:szCs w:val="28"/>
        </w:rPr>
        <w:t>Giorn. dir. lav. rel. ind.</w:t>
      </w:r>
      <w:r w:rsidRPr="00640B3C">
        <w:rPr>
          <w:sz w:val="28"/>
          <w:szCs w:val="28"/>
        </w:rPr>
        <w:t>, 1996, 3, p.397;</w:t>
      </w:r>
    </w:p>
    <w:p w:rsidR="00BD2278" w:rsidRPr="00640B3C" w:rsidRDefault="00BD2278" w:rsidP="004A5FEA">
      <w:pPr>
        <w:rPr>
          <w:sz w:val="28"/>
          <w:szCs w:val="28"/>
        </w:rPr>
      </w:pPr>
      <w:r w:rsidRPr="00640B3C">
        <w:rPr>
          <w:sz w:val="28"/>
          <w:szCs w:val="28"/>
        </w:rPr>
        <w:t xml:space="preserve">Riva Sanseverino L., Commento </w:t>
      </w:r>
      <w:r w:rsidRPr="00640B3C">
        <w:rPr>
          <w:i/>
          <w:sz w:val="28"/>
          <w:szCs w:val="28"/>
        </w:rPr>
        <w:t>sub art. 2099</w:t>
      </w:r>
      <w:r w:rsidRPr="00640B3C">
        <w:rPr>
          <w:sz w:val="28"/>
          <w:szCs w:val="28"/>
        </w:rPr>
        <w:t xml:space="preserve">, in </w:t>
      </w:r>
      <w:r w:rsidRPr="00640B3C">
        <w:rPr>
          <w:i/>
          <w:sz w:val="28"/>
          <w:szCs w:val="28"/>
        </w:rPr>
        <w:t>Commentario del codice civile</w:t>
      </w:r>
      <w:r w:rsidRPr="00640B3C">
        <w:rPr>
          <w:sz w:val="28"/>
          <w:szCs w:val="28"/>
        </w:rPr>
        <w:t xml:space="preserve"> a cura di A. Scialoja, G. Branca, Bologna-Roma, 1986;</w:t>
      </w:r>
    </w:p>
    <w:p w:rsidR="00BD2278" w:rsidRPr="00640B3C" w:rsidRDefault="00BD2278" w:rsidP="004A5FEA">
      <w:pPr>
        <w:rPr>
          <w:sz w:val="28"/>
          <w:szCs w:val="28"/>
        </w:rPr>
      </w:pPr>
      <w:r w:rsidRPr="00640B3C">
        <w:rPr>
          <w:sz w:val="28"/>
          <w:szCs w:val="28"/>
        </w:rPr>
        <w:t xml:space="preserve">Riva Sanseverino L., </w:t>
      </w:r>
      <w:r w:rsidRPr="00640B3C">
        <w:rPr>
          <w:i/>
          <w:sz w:val="28"/>
          <w:szCs w:val="28"/>
        </w:rPr>
        <w:t>Salario minimo e salario corporativo</w:t>
      </w:r>
      <w:r w:rsidRPr="00640B3C">
        <w:rPr>
          <w:sz w:val="28"/>
          <w:szCs w:val="28"/>
        </w:rPr>
        <w:t>, Roma, 1931;</w:t>
      </w:r>
    </w:p>
    <w:p w:rsidR="00BD2278" w:rsidRPr="00640B3C" w:rsidRDefault="00BD2278" w:rsidP="004A5FEA">
      <w:pPr>
        <w:rPr>
          <w:sz w:val="28"/>
          <w:szCs w:val="28"/>
        </w:rPr>
      </w:pPr>
      <w:r w:rsidRPr="00640B3C">
        <w:rPr>
          <w:sz w:val="28"/>
          <w:szCs w:val="28"/>
        </w:rPr>
        <w:t xml:space="preserve">Roccella M, </w:t>
      </w:r>
      <w:r w:rsidRPr="00640B3C">
        <w:rPr>
          <w:i/>
          <w:sz w:val="28"/>
          <w:szCs w:val="28"/>
        </w:rPr>
        <w:t>Azione sindacale e politica dei redditi: appunti sull’accordo triangolare del 23 luglio 1993</w:t>
      </w:r>
      <w:r w:rsidRPr="00640B3C">
        <w:rPr>
          <w:sz w:val="28"/>
          <w:szCs w:val="28"/>
        </w:rPr>
        <w:t>, in</w:t>
      </w:r>
      <w:r w:rsidRPr="00640B3C">
        <w:rPr>
          <w:i/>
          <w:sz w:val="28"/>
          <w:szCs w:val="28"/>
        </w:rPr>
        <w:t xml:space="preserve"> Riv. giur. lav. prev. soc.</w:t>
      </w:r>
      <w:r w:rsidRPr="00640B3C">
        <w:rPr>
          <w:sz w:val="28"/>
          <w:szCs w:val="28"/>
        </w:rPr>
        <w:t>, 1993, I, p.263;</w:t>
      </w:r>
    </w:p>
    <w:p w:rsidR="00BD2278" w:rsidRPr="00640B3C" w:rsidRDefault="00BD2278" w:rsidP="004A5FEA">
      <w:pPr>
        <w:rPr>
          <w:sz w:val="28"/>
          <w:szCs w:val="28"/>
        </w:rPr>
      </w:pPr>
      <w:r w:rsidRPr="00640B3C">
        <w:rPr>
          <w:sz w:val="28"/>
          <w:szCs w:val="28"/>
        </w:rPr>
        <w:t xml:space="preserve">Roccella M., </w:t>
      </w:r>
      <w:r w:rsidRPr="00640B3C">
        <w:rPr>
          <w:i/>
          <w:sz w:val="28"/>
          <w:szCs w:val="28"/>
        </w:rPr>
        <w:t xml:space="preserve">I salari, </w:t>
      </w:r>
      <w:r w:rsidRPr="00640B3C">
        <w:rPr>
          <w:sz w:val="28"/>
          <w:szCs w:val="28"/>
        </w:rPr>
        <w:t>Bologna, 1986</w:t>
      </w:r>
      <w:r>
        <w:rPr>
          <w:sz w:val="28"/>
          <w:szCs w:val="28"/>
        </w:rPr>
        <w:t>;</w:t>
      </w:r>
    </w:p>
    <w:p w:rsidR="00BD2278" w:rsidRPr="00640B3C" w:rsidRDefault="00BD2278" w:rsidP="004A5FEA">
      <w:pPr>
        <w:pStyle w:val="FootnoteText"/>
        <w:spacing w:line="360" w:lineRule="auto"/>
        <w:rPr>
          <w:sz w:val="28"/>
          <w:szCs w:val="28"/>
        </w:rPr>
      </w:pPr>
      <w:r w:rsidRPr="00640B3C">
        <w:rPr>
          <w:sz w:val="28"/>
          <w:szCs w:val="28"/>
        </w:rPr>
        <w:t xml:space="preserve">Roccella M., </w:t>
      </w:r>
      <w:r w:rsidRPr="00640B3C">
        <w:rPr>
          <w:i/>
          <w:sz w:val="28"/>
          <w:szCs w:val="28"/>
        </w:rPr>
        <w:t>Manuale di diritto del lavoro</w:t>
      </w:r>
      <w:r w:rsidRPr="00640B3C">
        <w:rPr>
          <w:sz w:val="28"/>
          <w:szCs w:val="28"/>
        </w:rPr>
        <w:t>, Torino, 2010;</w:t>
      </w:r>
    </w:p>
    <w:p w:rsidR="00BD2278" w:rsidRPr="00640B3C" w:rsidRDefault="00BD2278" w:rsidP="004A5FEA">
      <w:pPr>
        <w:rPr>
          <w:sz w:val="28"/>
          <w:szCs w:val="28"/>
        </w:rPr>
      </w:pPr>
      <w:r w:rsidRPr="00640B3C">
        <w:rPr>
          <w:sz w:val="28"/>
          <w:szCs w:val="28"/>
        </w:rPr>
        <w:t xml:space="preserve">Roccella M., </w:t>
      </w:r>
      <w:r w:rsidRPr="00640B3C">
        <w:rPr>
          <w:i/>
          <w:sz w:val="28"/>
          <w:szCs w:val="28"/>
        </w:rPr>
        <w:t>Oltre l’indicizzazione dei salari. Una risposta a Piergiovanni Alleva</w:t>
      </w:r>
      <w:r w:rsidRPr="00640B3C">
        <w:rPr>
          <w:sz w:val="28"/>
          <w:szCs w:val="28"/>
        </w:rPr>
        <w:t xml:space="preserve">, in </w:t>
      </w:r>
      <w:r w:rsidRPr="00640B3C">
        <w:rPr>
          <w:i/>
          <w:sz w:val="28"/>
          <w:szCs w:val="28"/>
        </w:rPr>
        <w:t>Lav. Dir.</w:t>
      </w:r>
      <w:r w:rsidRPr="00640B3C">
        <w:rPr>
          <w:sz w:val="28"/>
          <w:szCs w:val="28"/>
        </w:rPr>
        <w:t>, 1993, 3, p.425;</w:t>
      </w:r>
    </w:p>
    <w:p w:rsidR="00BD2278" w:rsidRPr="00640B3C" w:rsidRDefault="00BD2278" w:rsidP="004A5FEA">
      <w:pPr>
        <w:rPr>
          <w:sz w:val="28"/>
          <w:szCs w:val="28"/>
        </w:rPr>
      </w:pPr>
      <w:r w:rsidRPr="00640B3C">
        <w:rPr>
          <w:sz w:val="28"/>
          <w:szCs w:val="28"/>
        </w:rPr>
        <w:t xml:space="preserve">Roccella M., </w:t>
      </w:r>
      <w:r w:rsidRPr="00640B3C">
        <w:rPr>
          <w:i/>
          <w:sz w:val="28"/>
          <w:szCs w:val="28"/>
        </w:rPr>
        <w:t>Politiche retributive e livelli della contrattazione collettiva</w:t>
      </w:r>
      <w:r w:rsidRPr="00640B3C">
        <w:rPr>
          <w:sz w:val="28"/>
          <w:szCs w:val="28"/>
        </w:rPr>
        <w:t xml:space="preserve">, in </w:t>
      </w:r>
      <w:r w:rsidRPr="00640B3C">
        <w:rPr>
          <w:i/>
          <w:sz w:val="28"/>
          <w:szCs w:val="28"/>
        </w:rPr>
        <w:t>Quaderni dir. lav. rel. ind.</w:t>
      </w:r>
      <w:r w:rsidRPr="00640B3C">
        <w:rPr>
          <w:sz w:val="28"/>
          <w:szCs w:val="28"/>
        </w:rPr>
        <w:t>, 1998;</w:t>
      </w:r>
    </w:p>
    <w:p w:rsidR="00BD2278" w:rsidRPr="00640B3C" w:rsidRDefault="00BD2278" w:rsidP="004A5FEA">
      <w:pPr>
        <w:rPr>
          <w:sz w:val="28"/>
          <w:szCs w:val="28"/>
        </w:rPr>
      </w:pPr>
      <w:r w:rsidRPr="00640B3C">
        <w:rPr>
          <w:sz w:val="28"/>
          <w:szCs w:val="28"/>
        </w:rPr>
        <w:t xml:space="preserve">Romagnoli U., </w:t>
      </w:r>
      <w:r w:rsidRPr="00640B3C">
        <w:rPr>
          <w:i/>
          <w:sz w:val="28"/>
          <w:szCs w:val="28"/>
        </w:rPr>
        <w:t>Per ricordare Gino Giugni</w:t>
      </w:r>
      <w:r w:rsidRPr="00640B3C">
        <w:rPr>
          <w:sz w:val="28"/>
          <w:szCs w:val="28"/>
        </w:rPr>
        <w:t xml:space="preserve">, in </w:t>
      </w:r>
      <w:r w:rsidRPr="00640B3C">
        <w:rPr>
          <w:i/>
          <w:sz w:val="28"/>
          <w:szCs w:val="28"/>
        </w:rPr>
        <w:t>Riv. it. dir. lav.</w:t>
      </w:r>
      <w:r w:rsidRPr="00640B3C">
        <w:rPr>
          <w:sz w:val="28"/>
          <w:szCs w:val="28"/>
        </w:rPr>
        <w:t>, I, 2010, p. 627;</w:t>
      </w:r>
    </w:p>
    <w:p w:rsidR="00BD2278" w:rsidRPr="00640B3C" w:rsidRDefault="00BD2278" w:rsidP="004A5FEA">
      <w:pPr>
        <w:rPr>
          <w:sz w:val="28"/>
          <w:szCs w:val="28"/>
        </w:rPr>
      </w:pPr>
      <w:r w:rsidRPr="00640B3C">
        <w:rPr>
          <w:sz w:val="28"/>
          <w:szCs w:val="28"/>
        </w:rPr>
        <w:t xml:space="preserve">Santoro-Passarelli G., </w:t>
      </w:r>
      <w:r w:rsidRPr="00640B3C">
        <w:rPr>
          <w:i/>
          <w:sz w:val="28"/>
          <w:szCs w:val="28"/>
        </w:rPr>
        <w:t>Efficacia soggettiva del contratto collettivo: accordi separati, dissenso individuale e clausola di rinvio</w:t>
      </w:r>
      <w:r w:rsidRPr="00640B3C">
        <w:rPr>
          <w:sz w:val="28"/>
          <w:szCs w:val="28"/>
        </w:rPr>
        <w:t xml:space="preserve">, in </w:t>
      </w:r>
      <w:r w:rsidRPr="00640B3C">
        <w:rPr>
          <w:i/>
          <w:sz w:val="28"/>
          <w:szCs w:val="28"/>
        </w:rPr>
        <w:t>Riv. it. dir. lav.</w:t>
      </w:r>
      <w:r w:rsidRPr="00640B3C">
        <w:rPr>
          <w:sz w:val="28"/>
          <w:szCs w:val="28"/>
        </w:rPr>
        <w:t>, 2010, 3, p. 487;</w:t>
      </w:r>
    </w:p>
    <w:p w:rsidR="00BD2278" w:rsidRPr="00640B3C" w:rsidRDefault="00BD2278" w:rsidP="004A5FEA">
      <w:pPr>
        <w:rPr>
          <w:sz w:val="28"/>
          <w:szCs w:val="28"/>
        </w:rPr>
      </w:pPr>
      <w:r w:rsidRPr="00640B3C">
        <w:rPr>
          <w:sz w:val="28"/>
          <w:szCs w:val="28"/>
        </w:rPr>
        <w:t xml:space="preserve">Santucci R., </w:t>
      </w:r>
      <w:r w:rsidRPr="00640B3C">
        <w:rPr>
          <w:i/>
          <w:sz w:val="28"/>
          <w:szCs w:val="28"/>
        </w:rPr>
        <w:t>L’art. 36 della costituzione, la parità retributiva e l’autonomia negoziale</w:t>
      </w:r>
      <w:r w:rsidRPr="00640B3C">
        <w:rPr>
          <w:sz w:val="28"/>
          <w:szCs w:val="28"/>
        </w:rPr>
        <w:t xml:space="preserve">, in </w:t>
      </w:r>
      <w:r w:rsidRPr="00640B3C">
        <w:rPr>
          <w:i/>
          <w:sz w:val="28"/>
          <w:szCs w:val="28"/>
        </w:rPr>
        <w:t>ADL</w:t>
      </w:r>
      <w:r w:rsidRPr="00640B3C">
        <w:rPr>
          <w:sz w:val="28"/>
          <w:szCs w:val="28"/>
        </w:rPr>
        <w:t>, 1995, 2, p. 241;</w:t>
      </w:r>
    </w:p>
    <w:p w:rsidR="00BD2278" w:rsidRPr="00640B3C" w:rsidRDefault="00BD2278" w:rsidP="004A5FEA">
      <w:pPr>
        <w:rPr>
          <w:sz w:val="28"/>
          <w:szCs w:val="28"/>
        </w:rPr>
      </w:pPr>
      <w:r w:rsidRPr="00640B3C">
        <w:rPr>
          <w:sz w:val="28"/>
          <w:szCs w:val="28"/>
        </w:rPr>
        <w:t xml:space="preserve">Santucci R., </w:t>
      </w:r>
      <w:r w:rsidRPr="00640B3C">
        <w:rPr>
          <w:i/>
          <w:sz w:val="28"/>
          <w:szCs w:val="28"/>
        </w:rPr>
        <w:t xml:space="preserve">Le retribuzioni incentivanti nel pubblico impiego, </w:t>
      </w:r>
      <w:r w:rsidRPr="00640B3C">
        <w:rPr>
          <w:sz w:val="28"/>
          <w:szCs w:val="28"/>
        </w:rPr>
        <w:t xml:space="preserve">in </w:t>
      </w:r>
      <w:r w:rsidRPr="00640B3C">
        <w:rPr>
          <w:i/>
          <w:sz w:val="28"/>
          <w:szCs w:val="28"/>
        </w:rPr>
        <w:t>Giorn. dir. lav. rel. ind.</w:t>
      </w:r>
      <w:r w:rsidRPr="00640B3C">
        <w:rPr>
          <w:sz w:val="28"/>
          <w:szCs w:val="28"/>
        </w:rPr>
        <w:t>, 1996, 3, p.501;</w:t>
      </w:r>
    </w:p>
    <w:p w:rsidR="00BD2278" w:rsidRPr="00640B3C" w:rsidRDefault="00BD2278" w:rsidP="004A5FEA">
      <w:pPr>
        <w:rPr>
          <w:sz w:val="28"/>
          <w:szCs w:val="28"/>
        </w:rPr>
      </w:pPr>
      <w:r w:rsidRPr="00640B3C">
        <w:rPr>
          <w:sz w:val="28"/>
          <w:szCs w:val="28"/>
        </w:rPr>
        <w:t xml:space="preserve">Scarpelli F., </w:t>
      </w:r>
      <w:r w:rsidRPr="00640B3C">
        <w:rPr>
          <w:i/>
          <w:sz w:val="28"/>
          <w:szCs w:val="28"/>
        </w:rPr>
        <w:t>Retribuzione e vicende di trasformazione dell’impresa: problemi e limiti di disponibilità dei livelli retributivi in sede sindacale</w:t>
      </w:r>
      <w:r w:rsidRPr="00640B3C">
        <w:rPr>
          <w:sz w:val="28"/>
          <w:szCs w:val="28"/>
        </w:rPr>
        <w:t xml:space="preserve">, in </w:t>
      </w:r>
      <w:r w:rsidRPr="00640B3C">
        <w:rPr>
          <w:i/>
          <w:sz w:val="28"/>
          <w:szCs w:val="28"/>
        </w:rPr>
        <w:t>ADL</w:t>
      </w:r>
      <w:r w:rsidRPr="00640B3C">
        <w:rPr>
          <w:sz w:val="28"/>
          <w:szCs w:val="28"/>
        </w:rPr>
        <w:t>, 1995, 2, p. 247;</w:t>
      </w:r>
    </w:p>
    <w:p w:rsidR="00BD2278" w:rsidRPr="00640B3C" w:rsidRDefault="00BD2278" w:rsidP="004A5FEA">
      <w:pPr>
        <w:rPr>
          <w:sz w:val="28"/>
          <w:szCs w:val="28"/>
        </w:rPr>
      </w:pPr>
      <w:r w:rsidRPr="00640B3C">
        <w:rPr>
          <w:sz w:val="28"/>
          <w:szCs w:val="28"/>
        </w:rPr>
        <w:t xml:space="preserve">Scognamiglio R, </w:t>
      </w:r>
      <w:r w:rsidRPr="00640B3C">
        <w:rPr>
          <w:i/>
          <w:sz w:val="28"/>
          <w:szCs w:val="28"/>
        </w:rPr>
        <w:t xml:space="preserve">Sull’applicabilità dell’art. 36 della Costituzione in tema di retribuzione del lavoratore, </w:t>
      </w:r>
      <w:r w:rsidRPr="00640B3C">
        <w:rPr>
          <w:sz w:val="28"/>
          <w:szCs w:val="28"/>
        </w:rPr>
        <w:t xml:space="preserve">in </w:t>
      </w:r>
      <w:r w:rsidRPr="00640B3C">
        <w:rPr>
          <w:i/>
          <w:sz w:val="28"/>
          <w:szCs w:val="28"/>
        </w:rPr>
        <w:t xml:space="preserve">Foro civ., 1951 </w:t>
      </w:r>
      <w:r w:rsidRPr="00640B3C">
        <w:rPr>
          <w:sz w:val="28"/>
          <w:szCs w:val="28"/>
        </w:rPr>
        <w:t xml:space="preserve">ripubblicato in </w:t>
      </w:r>
      <w:r w:rsidRPr="00640B3C">
        <w:rPr>
          <w:i/>
          <w:sz w:val="28"/>
          <w:szCs w:val="28"/>
        </w:rPr>
        <w:t xml:space="preserve">Scritti giuridici, </w:t>
      </w:r>
      <w:r w:rsidRPr="00640B3C">
        <w:rPr>
          <w:sz w:val="28"/>
          <w:szCs w:val="28"/>
        </w:rPr>
        <w:t>Napoli 1996, pagg. 1033;</w:t>
      </w:r>
    </w:p>
    <w:p w:rsidR="00BD2278" w:rsidRPr="00640B3C" w:rsidRDefault="00BD2278" w:rsidP="004A5FEA">
      <w:pPr>
        <w:rPr>
          <w:sz w:val="28"/>
          <w:szCs w:val="28"/>
        </w:rPr>
      </w:pPr>
      <w:r w:rsidRPr="00640B3C">
        <w:rPr>
          <w:sz w:val="28"/>
          <w:szCs w:val="28"/>
        </w:rPr>
        <w:t xml:space="preserve">Tarantelli E., </w:t>
      </w:r>
      <w:r w:rsidRPr="00640B3C">
        <w:rPr>
          <w:i/>
          <w:sz w:val="28"/>
          <w:szCs w:val="28"/>
        </w:rPr>
        <w:t>Economia politica del lavoro</w:t>
      </w:r>
      <w:r w:rsidRPr="00640B3C">
        <w:rPr>
          <w:sz w:val="28"/>
          <w:szCs w:val="28"/>
        </w:rPr>
        <w:t>, Torino, 1986;</w:t>
      </w:r>
    </w:p>
    <w:p w:rsidR="00BD2278" w:rsidRPr="00640B3C" w:rsidRDefault="00BD2278" w:rsidP="004A5FEA">
      <w:pPr>
        <w:rPr>
          <w:sz w:val="28"/>
          <w:szCs w:val="28"/>
        </w:rPr>
      </w:pPr>
      <w:r w:rsidRPr="00640B3C">
        <w:rPr>
          <w:sz w:val="28"/>
          <w:szCs w:val="28"/>
        </w:rPr>
        <w:t xml:space="preserve">Treu T., </w:t>
      </w:r>
      <w:r w:rsidRPr="00640B3C">
        <w:rPr>
          <w:i/>
          <w:sz w:val="28"/>
          <w:szCs w:val="28"/>
        </w:rPr>
        <w:t xml:space="preserve">Commento sub art. 36, </w:t>
      </w:r>
      <w:r w:rsidRPr="00640B3C">
        <w:rPr>
          <w:sz w:val="28"/>
          <w:szCs w:val="28"/>
        </w:rPr>
        <w:t xml:space="preserve">in </w:t>
      </w:r>
      <w:r w:rsidRPr="00640B3C">
        <w:rPr>
          <w:i/>
          <w:sz w:val="28"/>
          <w:szCs w:val="28"/>
        </w:rPr>
        <w:t xml:space="preserve">Commentario della Costituzione, </w:t>
      </w:r>
      <w:r w:rsidRPr="00640B3C">
        <w:rPr>
          <w:sz w:val="28"/>
          <w:szCs w:val="28"/>
        </w:rPr>
        <w:t>a cura di G. Branca, Bologna-Roma, 1979, p. 72;</w:t>
      </w:r>
    </w:p>
    <w:p w:rsidR="00BD2278" w:rsidRPr="00640B3C" w:rsidRDefault="00BD2278" w:rsidP="004A5FEA">
      <w:pPr>
        <w:rPr>
          <w:sz w:val="28"/>
          <w:szCs w:val="28"/>
        </w:rPr>
      </w:pPr>
      <w:r w:rsidRPr="00640B3C">
        <w:rPr>
          <w:sz w:val="28"/>
          <w:szCs w:val="28"/>
        </w:rPr>
        <w:t xml:space="preserve">Treu T., </w:t>
      </w:r>
      <w:r w:rsidRPr="00640B3C">
        <w:rPr>
          <w:i/>
          <w:sz w:val="28"/>
          <w:szCs w:val="28"/>
        </w:rPr>
        <w:t>L’accordo del 23 luglio 1993: assetto contrattuale e struttura della retribuzione</w:t>
      </w:r>
      <w:r w:rsidRPr="00640B3C">
        <w:rPr>
          <w:sz w:val="28"/>
          <w:szCs w:val="28"/>
        </w:rPr>
        <w:t xml:space="preserve">, in </w:t>
      </w:r>
      <w:r w:rsidRPr="00640B3C">
        <w:rPr>
          <w:i/>
          <w:sz w:val="28"/>
          <w:szCs w:val="28"/>
        </w:rPr>
        <w:t>Riv. giur. lav. prev. soc.</w:t>
      </w:r>
      <w:r w:rsidRPr="00640B3C">
        <w:rPr>
          <w:sz w:val="28"/>
          <w:szCs w:val="28"/>
        </w:rPr>
        <w:t>, 1993, I, p.215;</w:t>
      </w:r>
    </w:p>
    <w:p w:rsidR="00BD2278" w:rsidRPr="00640B3C" w:rsidRDefault="00BD2278" w:rsidP="004A5FEA">
      <w:pPr>
        <w:rPr>
          <w:sz w:val="28"/>
          <w:szCs w:val="28"/>
        </w:rPr>
      </w:pPr>
      <w:r w:rsidRPr="00640B3C">
        <w:rPr>
          <w:sz w:val="28"/>
          <w:szCs w:val="28"/>
        </w:rPr>
        <w:t xml:space="preserve">Treu T., </w:t>
      </w:r>
      <w:r w:rsidRPr="00640B3C">
        <w:rPr>
          <w:i/>
          <w:sz w:val="28"/>
          <w:szCs w:val="28"/>
        </w:rPr>
        <w:t>La retribuzione: il quadro istituzionale</w:t>
      </w:r>
      <w:r w:rsidRPr="00640B3C">
        <w:rPr>
          <w:sz w:val="28"/>
          <w:szCs w:val="28"/>
        </w:rPr>
        <w:t xml:space="preserve">, in </w:t>
      </w:r>
      <w:r w:rsidRPr="00640B3C">
        <w:rPr>
          <w:i/>
          <w:sz w:val="28"/>
          <w:szCs w:val="28"/>
        </w:rPr>
        <w:t>Quaderni dir. lav. rel. ind.</w:t>
      </w:r>
      <w:r w:rsidRPr="00640B3C">
        <w:rPr>
          <w:sz w:val="28"/>
          <w:szCs w:val="28"/>
        </w:rPr>
        <w:t>, 1998;</w:t>
      </w:r>
    </w:p>
    <w:p w:rsidR="00BD2278" w:rsidRPr="00640B3C" w:rsidRDefault="00BD2278" w:rsidP="004A5FEA">
      <w:pPr>
        <w:rPr>
          <w:sz w:val="28"/>
          <w:szCs w:val="28"/>
        </w:rPr>
      </w:pPr>
      <w:r w:rsidRPr="00640B3C">
        <w:rPr>
          <w:sz w:val="28"/>
          <w:szCs w:val="28"/>
        </w:rPr>
        <w:t xml:space="preserve">Treu T., </w:t>
      </w:r>
      <w:r w:rsidRPr="00640B3C">
        <w:rPr>
          <w:i/>
          <w:sz w:val="28"/>
          <w:szCs w:val="28"/>
        </w:rPr>
        <w:t>Le forme retributive incentivanti</w:t>
      </w:r>
      <w:r w:rsidRPr="00640B3C">
        <w:rPr>
          <w:sz w:val="28"/>
          <w:szCs w:val="28"/>
        </w:rPr>
        <w:t xml:space="preserve">, in </w:t>
      </w:r>
      <w:r w:rsidRPr="00640B3C">
        <w:rPr>
          <w:i/>
          <w:sz w:val="28"/>
          <w:szCs w:val="28"/>
        </w:rPr>
        <w:t>Riv. it. dir. lav.</w:t>
      </w:r>
      <w:r w:rsidRPr="00640B3C">
        <w:rPr>
          <w:sz w:val="28"/>
          <w:szCs w:val="28"/>
        </w:rPr>
        <w:t>, I, 2010, p. 637;</w:t>
      </w:r>
    </w:p>
    <w:p w:rsidR="00BD2278" w:rsidRPr="00640B3C" w:rsidRDefault="00BD2278" w:rsidP="004A5FEA">
      <w:pPr>
        <w:rPr>
          <w:sz w:val="28"/>
          <w:szCs w:val="28"/>
        </w:rPr>
      </w:pPr>
      <w:r w:rsidRPr="00640B3C">
        <w:rPr>
          <w:sz w:val="28"/>
          <w:szCs w:val="28"/>
        </w:rPr>
        <w:t xml:space="preserve">Treu T., </w:t>
      </w:r>
      <w:r w:rsidRPr="00640B3C">
        <w:rPr>
          <w:i/>
          <w:sz w:val="28"/>
          <w:szCs w:val="28"/>
        </w:rPr>
        <w:t>Onerosità e corrispettività nel rapporto di lavoro</w:t>
      </w:r>
      <w:r w:rsidRPr="00640B3C">
        <w:rPr>
          <w:sz w:val="28"/>
          <w:szCs w:val="28"/>
        </w:rPr>
        <w:t>, Milano, 1968;</w:t>
      </w:r>
    </w:p>
    <w:p w:rsidR="00BD2278" w:rsidRPr="00640B3C" w:rsidRDefault="00BD2278" w:rsidP="004A5FEA">
      <w:pPr>
        <w:rPr>
          <w:sz w:val="28"/>
          <w:szCs w:val="28"/>
        </w:rPr>
      </w:pPr>
      <w:r w:rsidRPr="00640B3C">
        <w:rPr>
          <w:sz w:val="28"/>
          <w:szCs w:val="28"/>
        </w:rPr>
        <w:t xml:space="preserve">Treu T., </w:t>
      </w:r>
      <w:r w:rsidRPr="00640B3C">
        <w:rPr>
          <w:i/>
          <w:sz w:val="28"/>
          <w:szCs w:val="28"/>
        </w:rPr>
        <w:t>Problemi giuridici della retribuzione</w:t>
      </w:r>
      <w:r w:rsidRPr="00640B3C">
        <w:rPr>
          <w:sz w:val="28"/>
          <w:szCs w:val="28"/>
        </w:rPr>
        <w:t xml:space="preserve">, in </w:t>
      </w:r>
      <w:r w:rsidRPr="00640B3C">
        <w:rPr>
          <w:i/>
          <w:sz w:val="28"/>
          <w:szCs w:val="28"/>
        </w:rPr>
        <w:t>Giorn. dir. lav. rel. Ind.</w:t>
      </w:r>
      <w:r w:rsidRPr="00640B3C">
        <w:rPr>
          <w:sz w:val="28"/>
          <w:szCs w:val="28"/>
        </w:rPr>
        <w:t>, 1980, 5, p. 1;</w:t>
      </w:r>
    </w:p>
    <w:p w:rsidR="00BD2278" w:rsidRPr="00640B3C" w:rsidRDefault="00BD2278" w:rsidP="004A5FEA">
      <w:pPr>
        <w:rPr>
          <w:sz w:val="28"/>
          <w:szCs w:val="28"/>
        </w:rPr>
      </w:pPr>
      <w:r w:rsidRPr="00640B3C">
        <w:rPr>
          <w:sz w:val="28"/>
          <w:szCs w:val="28"/>
        </w:rPr>
        <w:t xml:space="preserve">Tronti L., </w:t>
      </w:r>
      <w:r w:rsidRPr="00640B3C">
        <w:rPr>
          <w:i/>
          <w:sz w:val="28"/>
          <w:szCs w:val="28"/>
        </w:rPr>
        <w:t xml:space="preserve">La nuova regolazione della retribuzione: aspetti economici ed effetti sulle relazioni industriali, </w:t>
      </w:r>
      <w:r w:rsidRPr="00640B3C">
        <w:rPr>
          <w:sz w:val="28"/>
          <w:szCs w:val="28"/>
        </w:rPr>
        <w:t xml:space="preserve">in </w:t>
      </w:r>
      <w:r w:rsidRPr="00640B3C">
        <w:rPr>
          <w:i/>
          <w:sz w:val="28"/>
          <w:szCs w:val="28"/>
        </w:rPr>
        <w:t>Giorn. dir. lav. rel. ind.</w:t>
      </w:r>
      <w:r w:rsidRPr="00640B3C">
        <w:rPr>
          <w:sz w:val="28"/>
          <w:szCs w:val="28"/>
        </w:rPr>
        <w:t>, 1996, 3, p.429;</w:t>
      </w:r>
    </w:p>
    <w:p w:rsidR="00BD2278" w:rsidRPr="00640B3C" w:rsidRDefault="00BD2278" w:rsidP="004A5FEA">
      <w:pPr>
        <w:rPr>
          <w:sz w:val="28"/>
          <w:szCs w:val="28"/>
        </w:rPr>
      </w:pPr>
      <w:r w:rsidRPr="00640B3C">
        <w:rPr>
          <w:sz w:val="28"/>
          <w:szCs w:val="28"/>
        </w:rPr>
        <w:t xml:space="preserve">Veneziani B., Vardaro G., </w:t>
      </w:r>
      <w:r w:rsidRPr="00640B3C">
        <w:rPr>
          <w:i/>
          <w:sz w:val="28"/>
          <w:szCs w:val="28"/>
        </w:rPr>
        <w:t>La rivista di diritto commerciale e la dottrina giuslavoristica delle origini</w:t>
      </w:r>
      <w:r w:rsidRPr="00640B3C">
        <w:rPr>
          <w:sz w:val="28"/>
          <w:szCs w:val="28"/>
        </w:rPr>
        <w:t xml:space="preserve">, in </w:t>
      </w:r>
      <w:r w:rsidRPr="00640B3C">
        <w:rPr>
          <w:i/>
          <w:sz w:val="28"/>
          <w:szCs w:val="28"/>
        </w:rPr>
        <w:t>Quad. fior.</w:t>
      </w:r>
      <w:r w:rsidRPr="00640B3C">
        <w:rPr>
          <w:sz w:val="28"/>
          <w:szCs w:val="28"/>
        </w:rPr>
        <w:t>, 1987, 16, p. 454 e ss.;</w:t>
      </w:r>
    </w:p>
    <w:p w:rsidR="00BD2278" w:rsidRPr="00640B3C" w:rsidRDefault="00BD2278" w:rsidP="004A5FEA">
      <w:pPr>
        <w:rPr>
          <w:sz w:val="28"/>
          <w:szCs w:val="28"/>
        </w:rPr>
      </w:pPr>
      <w:r w:rsidRPr="00640B3C">
        <w:rPr>
          <w:sz w:val="28"/>
          <w:szCs w:val="28"/>
        </w:rPr>
        <w:t xml:space="preserve">Villani G., </w:t>
      </w:r>
      <w:r w:rsidRPr="00640B3C">
        <w:rPr>
          <w:i/>
          <w:sz w:val="28"/>
          <w:szCs w:val="28"/>
        </w:rPr>
        <w:t>La questione retributiva: problemi di merito</w:t>
      </w:r>
      <w:r w:rsidRPr="00640B3C">
        <w:rPr>
          <w:sz w:val="28"/>
          <w:szCs w:val="28"/>
        </w:rPr>
        <w:t xml:space="preserve">, in </w:t>
      </w:r>
      <w:r w:rsidRPr="00640B3C">
        <w:rPr>
          <w:i/>
          <w:sz w:val="28"/>
          <w:szCs w:val="28"/>
        </w:rPr>
        <w:t>Quaderni dir. lav. rel. ind.</w:t>
      </w:r>
      <w:r w:rsidRPr="00640B3C">
        <w:rPr>
          <w:sz w:val="28"/>
          <w:szCs w:val="28"/>
        </w:rPr>
        <w:t>, 1998;</w:t>
      </w:r>
    </w:p>
    <w:p w:rsidR="00BD2278" w:rsidRPr="00640B3C" w:rsidRDefault="00BD2278" w:rsidP="004A5FEA">
      <w:pPr>
        <w:rPr>
          <w:sz w:val="28"/>
          <w:szCs w:val="28"/>
        </w:rPr>
      </w:pPr>
      <w:r w:rsidRPr="00640B3C">
        <w:rPr>
          <w:sz w:val="28"/>
          <w:szCs w:val="28"/>
        </w:rPr>
        <w:t xml:space="preserve">Webb S., Webb B., </w:t>
      </w:r>
      <w:r w:rsidRPr="00640B3C">
        <w:rPr>
          <w:i/>
          <w:sz w:val="28"/>
          <w:szCs w:val="28"/>
        </w:rPr>
        <w:t>Industrial democracy</w:t>
      </w:r>
      <w:r w:rsidRPr="00640B3C">
        <w:rPr>
          <w:sz w:val="28"/>
          <w:szCs w:val="28"/>
        </w:rPr>
        <w:t>, Edimburgo, 1897</w:t>
      </w:r>
    </w:p>
    <w:p w:rsidR="00BD2278" w:rsidRPr="00640B3C" w:rsidRDefault="00BD2278" w:rsidP="004A5FEA">
      <w:pPr>
        <w:rPr>
          <w:sz w:val="28"/>
          <w:szCs w:val="28"/>
        </w:rPr>
      </w:pPr>
      <w:r w:rsidRPr="00640B3C">
        <w:rPr>
          <w:sz w:val="28"/>
          <w:szCs w:val="28"/>
        </w:rPr>
        <w:t xml:space="preserve">Zoli C., </w:t>
      </w:r>
      <w:r w:rsidRPr="00640B3C">
        <w:rPr>
          <w:i/>
          <w:sz w:val="28"/>
          <w:szCs w:val="28"/>
        </w:rPr>
        <w:t>La giurisprudenza sui concorsi privati tra logiche pubblicistiche e strumenti civilistici: oscillazioni e aggiustamenti</w:t>
      </w:r>
      <w:r w:rsidRPr="00640B3C">
        <w:rPr>
          <w:sz w:val="28"/>
          <w:szCs w:val="28"/>
        </w:rPr>
        <w:t xml:space="preserve">, in </w:t>
      </w:r>
      <w:r w:rsidRPr="00640B3C">
        <w:rPr>
          <w:i/>
          <w:sz w:val="28"/>
          <w:szCs w:val="28"/>
        </w:rPr>
        <w:t>Riv. it. dir. lav.</w:t>
      </w:r>
      <w:r w:rsidRPr="00640B3C">
        <w:rPr>
          <w:sz w:val="28"/>
          <w:szCs w:val="28"/>
        </w:rPr>
        <w:t>, 1992, I, p. 11;</w:t>
      </w:r>
    </w:p>
    <w:p w:rsidR="00BD2278" w:rsidRPr="00640B3C" w:rsidRDefault="00BD2278" w:rsidP="004A5FEA">
      <w:pPr>
        <w:rPr>
          <w:sz w:val="28"/>
          <w:szCs w:val="28"/>
        </w:rPr>
      </w:pPr>
      <w:r w:rsidRPr="00640B3C">
        <w:rPr>
          <w:sz w:val="28"/>
          <w:szCs w:val="28"/>
        </w:rPr>
        <w:t xml:space="preserve">Zoli C., </w:t>
      </w:r>
      <w:r w:rsidRPr="00640B3C">
        <w:rPr>
          <w:i/>
          <w:sz w:val="28"/>
          <w:szCs w:val="28"/>
        </w:rPr>
        <w:t xml:space="preserve">Retribuzione (impiego privato) </w:t>
      </w:r>
      <w:r w:rsidRPr="00640B3C">
        <w:rPr>
          <w:sz w:val="28"/>
          <w:szCs w:val="28"/>
        </w:rPr>
        <w:t xml:space="preserve">in </w:t>
      </w:r>
      <w:r w:rsidRPr="00640B3C">
        <w:rPr>
          <w:i/>
          <w:sz w:val="28"/>
          <w:szCs w:val="28"/>
        </w:rPr>
        <w:t xml:space="preserve">Dig. disc. priv. sez. comm., </w:t>
      </w:r>
      <w:r w:rsidRPr="00640B3C">
        <w:rPr>
          <w:sz w:val="28"/>
          <w:szCs w:val="28"/>
        </w:rPr>
        <w:t>XIII, Torino, 1996, p. 430;</w:t>
      </w:r>
    </w:p>
    <w:p w:rsidR="00BD2278" w:rsidRPr="00640B3C" w:rsidRDefault="00BD2278" w:rsidP="004A5FEA">
      <w:pPr>
        <w:rPr>
          <w:sz w:val="28"/>
          <w:szCs w:val="28"/>
        </w:rPr>
      </w:pPr>
      <w:r w:rsidRPr="00640B3C">
        <w:rPr>
          <w:sz w:val="28"/>
          <w:szCs w:val="28"/>
        </w:rPr>
        <w:t xml:space="preserve">Zoppoli L., </w:t>
      </w:r>
      <w:r w:rsidRPr="00640B3C">
        <w:rPr>
          <w:i/>
          <w:sz w:val="28"/>
          <w:szCs w:val="28"/>
        </w:rPr>
        <w:t>Accordi sindacali sul salario variabile nell’industria e rapporti di lavoro,</w:t>
      </w:r>
      <w:r w:rsidRPr="00640B3C">
        <w:rPr>
          <w:sz w:val="28"/>
          <w:szCs w:val="28"/>
        </w:rPr>
        <w:t xml:space="preserve"> in </w:t>
      </w:r>
      <w:r w:rsidRPr="00640B3C">
        <w:rPr>
          <w:i/>
          <w:sz w:val="28"/>
          <w:szCs w:val="28"/>
        </w:rPr>
        <w:t xml:space="preserve">Retribuzione incentivante e rapporti di lavoro, </w:t>
      </w:r>
      <w:r w:rsidRPr="00640B3C">
        <w:rPr>
          <w:sz w:val="28"/>
          <w:szCs w:val="28"/>
        </w:rPr>
        <w:t>ricerca diretta da L. Zoppoli, Milano, 1994;</w:t>
      </w:r>
    </w:p>
    <w:p w:rsidR="00BD2278" w:rsidRPr="00640B3C" w:rsidRDefault="00BD2278" w:rsidP="004A5FEA">
      <w:pPr>
        <w:pStyle w:val="FootnoteText"/>
        <w:spacing w:line="360" w:lineRule="auto"/>
        <w:rPr>
          <w:sz w:val="28"/>
          <w:szCs w:val="28"/>
        </w:rPr>
      </w:pPr>
      <w:r w:rsidRPr="00640B3C">
        <w:rPr>
          <w:sz w:val="28"/>
          <w:szCs w:val="28"/>
        </w:rPr>
        <w:t xml:space="preserve">Zoppoli L., </w:t>
      </w:r>
      <w:r w:rsidRPr="00640B3C">
        <w:rPr>
          <w:i/>
          <w:sz w:val="28"/>
          <w:szCs w:val="28"/>
        </w:rPr>
        <w:t>Nozione giuridica di retribuzione, incentivazione e salario variabile</w:t>
      </w:r>
      <w:r w:rsidRPr="00640B3C">
        <w:rPr>
          <w:sz w:val="28"/>
          <w:szCs w:val="28"/>
        </w:rPr>
        <w:t xml:space="preserve">, in </w:t>
      </w:r>
      <w:r w:rsidRPr="00640B3C">
        <w:rPr>
          <w:i/>
          <w:sz w:val="28"/>
          <w:szCs w:val="28"/>
        </w:rPr>
        <w:t>Dir. rel. ind.</w:t>
      </w:r>
      <w:r w:rsidRPr="00640B3C">
        <w:rPr>
          <w:sz w:val="28"/>
          <w:szCs w:val="28"/>
        </w:rPr>
        <w:t>, 1991, 1, p. 32;</w:t>
      </w:r>
    </w:p>
    <w:p w:rsidR="00BD2278" w:rsidRPr="00640B3C" w:rsidRDefault="00BD2278" w:rsidP="004A5FEA">
      <w:pPr>
        <w:rPr>
          <w:sz w:val="28"/>
          <w:szCs w:val="28"/>
        </w:rPr>
      </w:pPr>
      <w:r w:rsidRPr="00640B3C">
        <w:rPr>
          <w:sz w:val="28"/>
          <w:szCs w:val="28"/>
        </w:rPr>
        <w:t xml:space="preserve">Zoppoli L., </w:t>
      </w:r>
      <w:r w:rsidRPr="00640B3C">
        <w:rPr>
          <w:i/>
          <w:sz w:val="28"/>
          <w:szCs w:val="28"/>
        </w:rPr>
        <w:t xml:space="preserve">Retribuzione, politiche dei redditi e tecniche regolative, </w:t>
      </w:r>
      <w:r w:rsidRPr="00640B3C">
        <w:rPr>
          <w:sz w:val="28"/>
          <w:szCs w:val="28"/>
        </w:rPr>
        <w:t xml:space="preserve">in </w:t>
      </w:r>
      <w:r w:rsidRPr="00640B3C">
        <w:rPr>
          <w:i/>
          <w:sz w:val="28"/>
          <w:szCs w:val="28"/>
        </w:rPr>
        <w:t>Giorn. dir. lav. rel. ind.</w:t>
      </w:r>
      <w:r w:rsidRPr="00640B3C">
        <w:rPr>
          <w:sz w:val="28"/>
          <w:szCs w:val="28"/>
        </w:rPr>
        <w:t>, 1996, 3, p.357;</w:t>
      </w:r>
    </w:p>
    <w:p w:rsidR="00BD2278" w:rsidRPr="00640B3C" w:rsidRDefault="00BD2278" w:rsidP="004A5FEA">
      <w:pPr>
        <w:rPr>
          <w:sz w:val="28"/>
          <w:szCs w:val="28"/>
        </w:rPr>
      </w:pPr>
      <w:r w:rsidRPr="00640B3C">
        <w:rPr>
          <w:sz w:val="28"/>
          <w:szCs w:val="28"/>
        </w:rPr>
        <w:t xml:space="preserve">Zoppoli l., </w:t>
      </w:r>
      <w:r w:rsidRPr="00640B3C">
        <w:rPr>
          <w:i/>
          <w:sz w:val="28"/>
          <w:szCs w:val="28"/>
        </w:rPr>
        <w:t>Spunti per un dibattito</w:t>
      </w:r>
      <w:r w:rsidRPr="00640B3C">
        <w:rPr>
          <w:sz w:val="28"/>
          <w:szCs w:val="28"/>
        </w:rPr>
        <w:t xml:space="preserve">, in </w:t>
      </w:r>
      <w:r w:rsidRPr="00640B3C">
        <w:rPr>
          <w:i/>
          <w:sz w:val="28"/>
          <w:szCs w:val="28"/>
        </w:rPr>
        <w:t>ADL</w:t>
      </w:r>
      <w:r>
        <w:rPr>
          <w:sz w:val="28"/>
          <w:szCs w:val="28"/>
        </w:rPr>
        <w:t>, 1995, 2, p. 187.</w:t>
      </w:r>
    </w:p>
    <w:p w:rsidR="00BD2278" w:rsidRDefault="00BD2278" w:rsidP="004A5FEA">
      <w:pPr>
        <w:pStyle w:val="HTMLPreformatted"/>
        <w:spacing w:line="360" w:lineRule="auto"/>
        <w:ind w:firstLine="284"/>
        <w:jc w:val="both"/>
        <w:rPr>
          <w:rFonts w:ascii="Times New Roman" w:hAnsi="Times New Roman" w:cs="Times New Roman"/>
          <w:sz w:val="28"/>
          <w:szCs w:val="28"/>
        </w:rPr>
      </w:pPr>
    </w:p>
    <w:p w:rsidR="00BD2278" w:rsidRPr="00141185" w:rsidRDefault="00BD2278" w:rsidP="004A5FEA">
      <w:pPr>
        <w:pStyle w:val="HTMLPreformatted"/>
        <w:spacing w:line="360" w:lineRule="auto"/>
        <w:ind w:firstLine="284"/>
        <w:jc w:val="both"/>
        <w:rPr>
          <w:rFonts w:ascii="Times New Roman" w:hAnsi="Times New Roman" w:cs="Times New Roman"/>
          <w:sz w:val="28"/>
          <w:szCs w:val="28"/>
        </w:rPr>
      </w:pPr>
    </w:p>
    <w:p w:rsidR="00BD2278" w:rsidRDefault="00BD2278"/>
    <w:sectPr w:rsidR="00BD2278" w:rsidSect="002462E3">
      <w:footerReference w:type="default" r:id="rId8"/>
      <w:pgSz w:w="11906" w:h="16838"/>
      <w:pgMar w:top="1701" w:right="1701" w:bottom="1701" w:left="2268"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D2278" w:rsidRDefault="00BD2278" w:rsidP="004A5FEA">
      <w:pPr>
        <w:spacing w:line="240" w:lineRule="auto"/>
      </w:pPr>
      <w:r>
        <w:separator/>
      </w:r>
    </w:p>
  </w:endnote>
  <w:endnote w:type="continuationSeparator" w:id="0">
    <w:p w:rsidR="00BD2278" w:rsidRDefault="00BD2278" w:rsidP="004A5FEA">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AdvP6F00">
    <w:panose1 w:val="00000000000000000000"/>
    <w:charset w:val="00"/>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D2278" w:rsidRDefault="00BD2278">
    <w:pPr>
      <w:pStyle w:val="Footer"/>
      <w:jc w:val="center"/>
    </w:pPr>
    <w:fldSimple w:instr=" PAGE   \* MERGEFORMAT ">
      <w:r>
        <w:rPr>
          <w:noProof/>
        </w:rPr>
        <w:t>121</w:t>
      </w:r>
    </w:fldSimple>
  </w:p>
  <w:p w:rsidR="00BD2278" w:rsidRDefault="00BD2278">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D2278" w:rsidRDefault="00BD2278" w:rsidP="004A5FEA">
      <w:pPr>
        <w:spacing w:line="240" w:lineRule="auto"/>
      </w:pPr>
      <w:r>
        <w:separator/>
      </w:r>
    </w:p>
  </w:footnote>
  <w:footnote w:type="continuationSeparator" w:id="0">
    <w:p w:rsidR="00BD2278" w:rsidRDefault="00BD2278" w:rsidP="004A5FEA">
      <w:pPr>
        <w:spacing w:line="240" w:lineRule="auto"/>
      </w:pPr>
      <w:r>
        <w:continuationSeparator/>
      </w:r>
    </w:p>
  </w:footnote>
  <w:footnote w:id="1">
    <w:p w:rsidR="00BD2278" w:rsidRDefault="00BD2278" w:rsidP="00120EC1">
      <w:pPr>
        <w:pStyle w:val="FootnoteText"/>
      </w:pPr>
      <w:r w:rsidRPr="00390603">
        <w:rPr>
          <w:rStyle w:val="FootnoteReference"/>
          <w:sz w:val="24"/>
          <w:szCs w:val="24"/>
        </w:rPr>
        <w:footnoteRef/>
      </w:r>
      <w:r w:rsidRPr="00390603">
        <w:rPr>
          <w:sz w:val="24"/>
          <w:szCs w:val="24"/>
        </w:rPr>
        <w:t xml:space="preserve"> Cfr. T. Treu, </w:t>
      </w:r>
      <w:r w:rsidRPr="00390603">
        <w:rPr>
          <w:i/>
          <w:sz w:val="24"/>
          <w:szCs w:val="24"/>
        </w:rPr>
        <w:t xml:space="preserve">Commento sub art. </w:t>
      </w:r>
      <w:smartTag w:uri="urn:schemas-microsoft-com:office:smarttags" w:element="metricconverter">
        <w:smartTagPr>
          <w:attr w:name="ProductID" w:val="36, in"/>
        </w:smartTagPr>
        <w:r w:rsidRPr="00390603">
          <w:rPr>
            <w:i/>
            <w:sz w:val="24"/>
            <w:szCs w:val="24"/>
          </w:rPr>
          <w:t xml:space="preserve">36, </w:t>
        </w:r>
        <w:r w:rsidRPr="00390603">
          <w:rPr>
            <w:sz w:val="24"/>
            <w:szCs w:val="24"/>
          </w:rPr>
          <w:t>in</w:t>
        </w:r>
      </w:smartTag>
      <w:r w:rsidRPr="00390603">
        <w:rPr>
          <w:sz w:val="24"/>
          <w:szCs w:val="24"/>
        </w:rPr>
        <w:t xml:space="preserve"> </w:t>
      </w:r>
      <w:r w:rsidRPr="00390603">
        <w:rPr>
          <w:i/>
          <w:sz w:val="24"/>
          <w:szCs w:val="24"/>
        </w:rPr>
        <w:t xml:space="preserve">Commentario della Costituzione, </w:t>
      </w:r>
      <w:r w:rsidRPr="00390603">
        <w:rPr>
          <w:sz w:val="24"/>
          <w:szCs w:val="24"/>
        </w:rPr>
        <w:t>a cura di G. Branca, Bologna-Roma, 1979, p. 77 e ss.</w:t>
      </w:r>
    </w:p>
  </w:footnote>
  <w:footnote w:id="2">
    <w:p w:rsidR="00BD2278" w:rsidRDefault="00BD2278" w:rsidP="00120EC1">
      <w:pPr>
        <w:pStyle w:val="FootnoteText"/>
      </w:pPr>
      <w:r w:rsidRPr="00390603">
        <w:rPr>
          <w:rStyle w:val="FootnoteReference"/>
          <w:sz w:val="24"/>
          <w:szCs w:val="24"/>
        </w:rPr>
        <w:footnoteRef/>
      </w:r>
      <w:r w:rsidRPr="00390603">
        <w:rPr>
          <w:sz w:val="24"/>
          <w:szCs w:val="24"/>
        </w:rPr>
        <w:t xml:space="preserve"> G. Perone, voce </w:t>
      </w:r>
      <w:r w:rsidRPr="00390603">
        <w:rPr>
          <w:i/>
          <w:sz w:val="24"/>
          <w:szCs w:val="24"/>
        </w:rPr>
        <w:t>Retribuzione</w:t>
      </w:r>
      <w:r w:rsidRPr="00390603">
        <w:rPr>
          <w:sz w:val="24"/>
          <w:szCs w:val="24"/>
        </w:rPr>
        <w:t xml:space="preserve">, in </w:t>
      </w:r>
      <w:r w:rsidRPr="00390603">
        <w:rPr>
          <w:i/>
          <w:sz w:val="24"/>
          <w:szCs w:val="24"/>
        </w:rPr>
        <w:t>Enc. giur.</w:t>
      </w:r>
      <w:r w:rsidRPr="00390603">
        <w:rPr>
          <w:sz w:val="24"/>
          <w:szCs w:val="24"/>
        </w:rPr>
        <w:t xml:space="preserve">, Milano, 1989, vol. XL, p. 40; A. Di Majo, </w:t>
      </w:r>
      <w:r w:rsidRPr="00390603">
        <w:rPr>
          <w:i/>
          <w:sz w:val="24"/>
          <w:szCs w:val="24"/>
        </w:rPr>
        <w:t xml:space="preserve">Aspetti civilistici della obbligazione retributiva, </w:t>
      </w:r>
      <w:r w:rsidRPr="00390603">
        <w:rPr>
          <w:sz w:val="24"/>
          <w:szCs w:val="24"/>
        </w:rPr>
        <w:t xml:space="preserve">in </w:t>
      </w:r>
      <w:r w:rsidRPr="00390603">
        <w:rPr>
          <w:i/>
          <w:sz w:val="24"/>
          <w:szCs w:val="24"/>
        </w:rPr>
        <w:t xml:space="preserve">Riv. giur. lav. prev. soc., </w:t>
      </w:r>
      <w:r w:rsidRPr="00390603">
        <w:rPr>
          <w:sz w:val="24"/>
          <w:szCs w:val="24"/>
        </w:rPr>
        <w:t>I, 1982, p. 397.</w:t>
      </w:r>
    </w:p>
  </w:footnote>
  <w:footnote w:id="3">
    <w:p w:rsidR="00BD2278" w:rsidRDefault="00BD2278" w:rsidP="00120EC1">
      <w:pPr>
        <w:pStyle w:val="FootnoteText"/>
      </w:pPr>
      <w:r w:rsidRPr="00390603">
        <w:rPr>
          <w:rStyle w:val="FootnoteReference"/>
          <w:sz w:val="24"/>
          <w:szCs w:val="24"/>
        </w:rPr>
        <w:footnoteRef/>
      </w:r>
      <w:r w:rsidRPr="00390603">
        <w:rPr>
          <w:sz w:val="24"/>
          <w:szCs w:val="24"/>
        </w:rPr>
        <w:t xml:space="preserve"> Cfr S. Webb, B. Webb, </w:t>
      </w:r>
      <w:r w:rsidRPr="00390603">
        <w:rPr>
          <w:i/>
          <w:sz w:val="24"/>
          <w:szCs w:val="24"/>
        </w:rPr>
        <w:t>Industrial democracy</w:t>
      </w:r>
      <w:r w:rsidRPr="00390603">
        <w:rPr>
          <w:sz w:val="24"/>
          <w:szCs w:val="24"/>
        </w:rPr>
        <w:t>, Edimburgo, 1897.</w:t>
      </w:r>
    </w:p>
  </w:footnote>
  <w:footnote w:id="4">
    <w:p w:rsidR="00BD2278" w:rsidRDefault="00BD2278" w:rsidP="00120EC1">
      <w:pPr>
        <w:spacing w:line="240" w:lineRule="auto"/>
      </w:pPr>
      <w:r w:rsidRPr="00390603">
        <w:rPr>
          <w:rStyle w:val="FootnoteReference"/>
        </w:rPr>
        <w:footnoteRef/>
      </w:r>
      <w:r w:rsidRPr="00390603">
        <w:t xml:space="preserve"> T. Treu, </w:t>
      </w:r>
      <w:r w:rsidRPr="00390603">
        <w:rPr>
          <w:i/>
        </w:rPr>
        <w:t>Onerosità e corrispettività nel rapporto di lavoro</w:t>
      </w:r>
      <w:r w:rsidRPr="00390603">
        <w:t>, Milano, 1968, p. 45: “Nel contratto di lavoro oneroso la prestazione subordinata è svolta come mezzo di scambio per ottenere il sostentamento o comunque in vista di un corrispettivo. Si realizza così la naturale funzione del lavoro e la situazione tipica in cui si attua nel sistema economica la utilizzazione delle energie produttive umane”.</w:t>
      </w:r>
    </w:p>
  </w:footnote>
  <w:footnote w:id="5">
    <w:p w:rsidR="00BD2278" w:rsidRDefault="00BD2278" w:rsidP="00120EC1">
      <w:pPr>
        <w:pStyle w:val="FootnoteText"/>
      </w:pPr>
      <w:r w:rsidRPr="00390603">
        <w:rPr>
          <w:rStyle w:val="FootnoteReference"/>
          <w:sz w:val="24"/>
          <w:szCs w:val="24"/>
        </w:rPr>
        <w:footnoteRef/>
      </w:r>
      <w:r w:rsidRPr="00390603">
        <w:rPr>
          <w:sz w:val="24"/>
          <w:szCs w:val="24"/>
        </w:rPr>
        <w:t xml:space="preserve"> T. Treu, </w:t>
      </w:r>
      <w:r w:rsidRPr="00390603">
        <w:rPr>
          <w:i/>
          <w:sz w:val="24"/>
          <w:szCs w:val="24"/>
        </w:rPr>
        <w:t>Onerosità e corrispettività</w:t>
      </w:r>
      <w:r w:rsidRPr="00390603">
        <w:rPr>
          <w:sz w:val="24"/>
          <w:szCs w:val="24"/>
        </w:rPr>
        <w:t>, cit. p. 3.</w:t>
      </w:r>
    </w:p>
  </w:footnote>
  <w:footnote w:id="6">
    <w:p w:rsidR="00BD2278" w:rsidRDefault="00BD2278" w:rsidP="00120EC1">
      <w:pPr>
        <w:spacing w:line="240" w:lineRule="auto"/>
      </w:pPr>
      <w:r w:rsidRPr="00390603">
        <w:rPr>
          <w:rStyle w:val="FootnoteReference"/>
        </w:rPr>
        <w:footnoteRef/>
      </w:r>
      <w:r w:rsidRPr="00390603">
        <w:t xml:space="preserve">M. Dell’Olio, </w:t>
      </w:r>
      <w:r w:rsidRPr="00390603">
        <w:rPr>
          <w:i/>
        </w:rPr>
        <w:t xml:space="preserve">Retribuzione, quantità e qualità di lavoro, </w:t>
      </w:r>
      <w:r w:rsidRPr="00390603">
        <w:t xml:space="preserve">in </w:t>
      </w:r>
      <w:r w:rsidRPr="00390603">
        <w:rPr>
          <w:i/>
        </w:rPr>
        <w:t>ADL</w:t>
      </w:r>
      <w:r w:rsidRPr="00390603">
        <w:t>, 1995, 2, p. 1 e ss.</w:t>
      </w:r>
    </w:p>
  </w:footnote>
  <w:footnote w:id="7">
    <w:p w:rsidR="00BD2278" w:rsidRDefault="00BD2278" w:rsidP="00120EC1">
      <w:pPr>
        <w:pStyle w:val="FootnoteText"/>
      </w:pPr>
      <w:r w:rsidRPr="00390603">
        <w:rPr>
          <w:rStyle w:val="FootnoteReference"/>
          <w:sz w:val="24"/>
          <w:szCs w:val="24"/>
        </w:rPr>
        <w:footnoteRef/>
      </w:r>
      <w:r w:rsidRPr="00390603">
        <w:rPr>
          <w:sz w:val="24"/>
          <w:szCs w:val="24"/>
        </w:rPr>
        <w:t xml:space="preserve"> L. Riva Sanseverino, Commento </w:t>
      </w:r>
      <w:r w:rsidRPr="00390603">
        <w:rPr>
          <w:i/>
          <w:sz w:val="24"/>
          <w:szCs w:val="24"/>
        </w:rPr>
        <w:t xml:space="preserve">sub art. </w:t>
      </w:r>
      <w:smartTag w:uri="urn:schemas-microsoft-com:office:smarttags" w:element="metricconverter">
        <w:smartTagPr>
          <w:attr w:name="ProductID" w:val="2103, in"/>
        </w:smartTagPr>
        <w:r w:rsidRPr="00390603">
          <w:rPr>
            <w:i/>
            <w:sz w:val="24"/>
            <w:szCs w:val="24"/>
          </w:rPr>
          <w:t>2103</w:t>
        </w:r>
        <w:r w:rsidRPr="00390603">
          <w:rPr>
            <w:sz w:val="24"/>
            <w:szCs w:val="24"/>
          </w:rPr>
          <w:t>, in</w:t>
        </w:r>
      </w:smartTag>
      <w:r w:rsidRPr="00390603">
        <w:rPr>
          <w:sz w:val="24"/>
          <w:szCs w:val="24"/>
        </w:rPr>
        <w:t xml:space="preserve"> </w:t>
      </w:r>
      <w:r w:rsidRPr="00390603">
        <w:rPr>
          <w:i/>
          <w:sz w:val="24"/>
          <w:szCs w:val="24"/>
        </w:rPr>
        <w:t>Commentario del codice civile</w:t>
      </w:r>
      <w:r w:rsidRPr="00390603">
        <w:rPr>
          <w:sz w:val="24"/>
          <w:szCs w:val="24"/>
        </w:rPr>
        <w:t xml:space="preserve"> a cura di A. Scialoja, G. Branca, , Bologna-Roma, 1986, p. 312.</w:t>
      </w:r>
    </w:p>
  </w:footnote>
  <w:footnote w:id="8">
    <w:p w:rsidR="00BD2278" w:rsidRPr="00390603" w:rsidRDefault="00BD2278" w:rsidP="00120EC1">
      <w:pPr>
        <w:pStyle w:val="FootnoteText"/>
        <w:rPr>
          <w:sz w:val="24"/>
          <w:szCs w:val="24"/>
        </w:rPr>
      </w:pPr>
      <w:r w:rsidRPr="00390603">
        <w:rPr>
          <w:rStyle w:val="FootnoteReference"/>
          <w:sz w:val="24"/>
          <w:szCs w:val="24"/>
        </w:rPr>
        <w:footnoteRef/>
      </w:r>
      <w:r w:rsidRPr="00390603">
        <w:rPr>
          <w:sz w:val="24"/>
          <w:szCs w:val="24"/>
        </w:rPr>
        <w:t xml:space="preserve"> T. Treu, </w:t>
      </w:r>
      <w:r w:rsidRPr="00390603">
        <w:rPr>
          <w:i/>
          <w:sz w:val="24"/>
          <w:szCs w:val="24"/>
        </w:rPr>
        <w:t>Onerosità e corrispettività</w:t>
      </w:r>
      <w:r w:rsidRPr="00390603">
        <w:rPr>
          <w:sz w:val="24"/>
          <w:szCs w:val="24"/>
        </w:rPr>
        <w:t>, cit., p. 45: “Nell’ipotesi in cui invece il lavoratore accetti di prestare la propria opera alle dipendenze altrui senza contropartite, a titolo di liberalità, l’attività subordinata non si configura come strumento per attuare uno scambio di utilità reciproche tra i contraenti, ma serve per la soddisfazione di scopi altruistici o, comunque, di interessi non esprimentesi in controprestazioni obbligatorie”.</w:t>
      </w:r>
    </w:p>
    <w:p w:rsidR="00BD2278" w:rsidRDefault="00BD2278" w:rsidP="00120EC1">
      <w:pPr>
        <w:pStyle w:val="FootnoteText"/>
      </w:pPr>
      <w:r w:rsidRPr="00390603">
        <w:rPr>
          <w:sz w:val="24"/>
          <w:szCs w:val="24"/>
        </w:rPr>
        <w:t xml:space="preserve">Contra cfr. M. Grandi, </w:t>
      </w:r>
      <w:r w:rsidRPr="00390603">
        <w:rPr>
          <w:i/>
          <w:sz w:val="24"/>
          <w:szCs w:val="24"/>
        </w:rPr>
        <w:t>Osservazioni critiche sulla prestazione gratuita di lavoro subordinato</w:t>
      </w:r>
      <w:r w:rsidRPr="00390603">
        <w:rPr>
          <w:sz w:val="24"/>
          <w:szCs w:val="24"/>
        </w:rPr>
        <w:t xml:space="preserve">, in </w:t>
      </w:r>
      <w:r w:rsidRPr="00390603">
        <w:rPr>
          <w:i/>
          <w:sz w:val="24"/>
          <w:szCs w:val="24"/>
        </w:rPr>
        <w:t>ADL</w:t>
      </w:r>
      <w:r w:rsidRPr="00390603">
        <w:rPr>
          <w:sz w:val="24"/>
          <w:szCs w:val="24"/>
        </w:rPr>
        <w:t>, 2000, 1, p. 444 e ss., secondo cui “La trasformazione del contratto di lavoro da oneroso in gratuito determina una mutazione genetica del tipo contrattuale incompatibile con la sua struttura regolativa: lo schema tipico del lavoro subordinato include l’onerosità come elemento causale essenziale”. Secondo l’A. “Esclusa la possibilità di conservare la tipicità dello schema contrattuale al prezzo dell’esclusione dell’onerosità, per i fautori della gratuità non resta che ritrarsi nel comprensorio dell’atipicità, attestandosi sulla prospettiva offerta dall’art. 1322, secondo comma c.c.”, “Questo ripiegamento, però, impone il pagamento di un prezzo: la rinunzia al requisito della subordinazione della prestazione lavorativa”.</w:t>
      </w:r>
    </w:p>
  </w:footnote>
  <w:footnote w:id="9">
    <w:p w:rsidR="00BD2278" w:rsidRDefault="00BD2278" w:rsidP="00120EC1">
      <w:pPr>
        <w:pStyle w:val="FootnoteText"/>
      </w:pPr>
      <w:r w:rsidRPr="00390603">
        <w:rPr>
          <w:rStyle w:val="FootnoteReference"/>
          <w:sz w:val="24"/>
          <w:szCs w:val="24"/>
        </w:rPr>
        <w:footnoteRef/>
      </w:r>
      <w:r w:rsidRPr="00390603">
        <w:rPr>
          <w:sz w:val="24"/>
          <w:szCs w:val="24"/>
        </w:rPr>
        <w:t xml:space="preserve"> cfr. M. Grandi, </w:t>
      </w:r>
      <w:r w:rsidRPr="00390603">
        <w:rPr>
          <w:i/>
          <w:sz w:val="24"/>
          <w:szCs w:val="24"/>
        </w:rPr>
        <w:t>Osservazioni critiche</w:t>
      </w:r>
      <w:r w:rsidRPr="00390603">
        <w:rPr>
          <w:sz w:val="24"/>
          <w:szCs w:val="24"/>
        </w:rPr>
        <w:t>, cit. p. 465.</w:t>
      </w:r>
    </w:p>
  </w:footnote>
  <w:footnote w:id="10">
    <w:p w:rsidR="00BD2278" w:rsidRPr="00390603" w:rsidRDefault="00BD2278" w:rsidP="00120EC1">
      <w:pPr>
        <w:pStyle w:val="FootnoteText"/>
        <w:rPr>
          <w:sz w:val="24"/>
          <w:szCs w:val="24"/>
        </w:rPr>
      </w:pPr>
      <w:r w:rsidRPr="00390603">
        <w:rPr>
          <w:rStyle w:val="FootnoteReference"/>
          <w:sz w:val="24"/>
          <w:szCs w:val="24"/>
        </w:rPr>
        <w:footnoteRef/>
      </w:r>
      <w:r w:rsidRPr="00390603">
        <w:rPr>
          <w:sz w:val="24"/>
          <w:szCs w:val="24"/>
        </w:rPr>
        <w:t xml:space="preserve"> F. Mortillaro, voce </w:t>
      </w:r>
      <w:r w:rsidRPr="00390603">
        <w:rPr>
          <w:i/>
          <w:sz w:val="24"/>
          <w:szCs w:val="24"/>
        </w:rPr>
        <w:t xml:space="preserve">Retribuzione. 1)  Rapporto di lavoro privato, </w:t>
      </w:r>
      <w:r w:rsidRPr="00390603">
        <w:rPr>
          <w:sz w:val="24"/>
          <w:szCs w:val="24"/>
        </w:rPr>
        <w:t xml:space="preserve">in </w:t>
      </w:r>
      <w:r w:rsidRPr="00390603">
        <w:rPr>
          <w:i/>
          <w:sz w:val="24"/>
          <w:szCs w:val="24"/>
        </w:rPr>
        <w:t>Enc. Giur.</w:t>
      </w:r>
      <w:r w:rsidRPr="00390603">
        <w:rPr>
          <w:sz w:val="24"/>
          <w:szCs w:val="24"/>
        </w:rPr>
        <w:t>, Roma, 1991, p. 1 e ss.</w:t>
      </w:r>
    </w:p>
    <w:p w:rsidR="00BD2278" w:rsidRPr="00390603" w:rsidRDefault="00BD2278" w:rsidP="00120EC1">
      <w:pPr>
        <w:spacing w:line="240" w:lineRule="auto"/>
      </w:pPr>
      <w:r w:rsidRPr="00390603">
        <w:t>Più complesso appare l’inquadramento sistematico delle fattispecie di attività di volontariato prestata spontaneamente e a titolo gratuito (L. 11 agosto 1991, n. 266. Legge-quadro sul volontariato) e l’attività svolta nell’ambito di un progetto di servizio civile (D.Lgs. 5 aprile 2002, n. 77. Disciplina del Servizio civile nazionale a norma dell'articolo 2 della legge 6 marzo 2001, n. 64). Con riguardo ai suddetti istituti, a prima lettura sembra ricorrere lo schema del rapporto di lavoro gratuito, come risulta evidente dal fatto che in entrambi i casi il legislatore si affretta a escludere che i volontari acquisiscano il diritto alla retribuzione (art. 2 comma 1, L. 11 agosto 1991, n. 266 e art. 10 D.Lgs. 5 aprile 2002, n. 77)  e che si costituisca un rapporto di lavoro (art. art. 2 comma 3, L. 11 agosto 1991, n. 266 e art. 9 D. Lgs. 5 aprile 2002, n. 77). In particolare nel caso del servizio civile, il rapporto contrattuale tra il volontario, l’Ufficio Nazionale per il Servizio Civile e l’ente selezionatore riproduce una triangolazione strutturalmente identica a quella della somministrazione di cui al d.lgs. 10 settembre 2003, n. 276. Tuttavia in ragione della tassativa esclusione da parte delle disposizioni legislative, deve concludersi che si tratti in entrambi i casi di attività materialmente lavorativa senza la costituzione di un rapporto di lavoro.</w:t>
      </w:r>
    </w:p>
    <w:p w:rsidR="00BD2278" w:rsidRDefault="00BD2278" w:rsidP="00120EC1">
      <w:pPr>
        <w:spacing w:line="240" w:lineRule="auto"/>
      </w:pPr>
      <w:r w:rsidRPr="00390603">
        <w:t>I casi del lavoro volontario e di quello reso nell’ambito di un progetto di servizio civile non sono gli unici di attività lavorativa senza rapporto di lavoro. Rientrano in questa categoria anche i lavori socialmente utili (</w:t>
      </w:r>
      <w:r w:rsidRPr="00390603">
        <w:rPr>
          <w:lang w:eastAsia="it-IT"/>
        </w:rPr>
        <w:t xml:space="preserve">D. Lgs. 1° dicembre 1997, n. 468. </w:t>
      </w:r>
      <w:r w:rsidRPr="00390603">
        <w:rPr>
          <w:bCs/>
          <w:lang w:eastAsia="it-IT"/>
        </w:rPr>
        <w:t xml:space="preserve">Revisione della disciplina sui lavori socialmente utili, a norma dell'articolo 22 della legge 24 giugno 1997, n. 196 e </w:t>
      </w:r>
      <w:r w:rsidRPr="00390603">
        <w:t>D. Lgs. 28 febbraio 2000, n. 81. Integrazioni e modifiche della disciplina dei lavori socialmente utili, a norma dell'articolo 45, comma 2, della legge 17 maggio 1999, n. 144).</w:t>
      </w:r>
    </w:p>
  </w:footnote>
  <w:footnote w:id="11">
    <w:p w:rsidR="00BD2278" w:rsidRDefault="00BD2278" w:rsidP="00120EC1">
      <w:pPr>
        <w:pStyle w:val="FootnoteText"/>
        <w:contextualSpacing/>
      </w:pPr>
      <w:r w:rsidRPr="00390603">
        <w:rPr>
          <w:rStyle w:val="FootnoteReference"/>
          <w:sz w:val="24"/>
          <w:szCs w:val="24"/>
        </w:rPr>
        <w:footnoteRef/>
      </w:r>
      <w:r w:rsidRPr="00390603">
        <w:rPr>
          <w:sz w:val="24"/>
          <w:szCs w:val="24"/>
        </w:rPr>
        <w:t xml:space="preserve"> F. Mortillaro, voce </w:t>
      </w:r>
      <w:r w:rsidRPr="00390603">
        <w:rPr>
          <w:i/>
          <w:sz w:val="24"/>
          <w:szCs w:val="24"/>
        </w:rPr>
        <w:t>Retribuzione.</w:t>
      </w:r>
      <w:r w:rsidRPr="00390603">
        <w:rPr>
          <w:sz w:val="24"/>
          <w:szCs w:val="24"/>
        </w:rPr>
        <w:t>, cit., p. 3.</w:t>
      </w:r>
    </w:p>
  </w:footnote>
  <w:footnote w:id="12">
    <w:p w:rsidR="00BD2278" w:rsidRDefault="00BD2278" w:rsidP="00120EC1">
      <w:pPr>
        <w:autoSpaceDE w:val="0"/>
        <w:autoSpaceDN w:val="0"/>
        <w:adjustRightInd w:val="0"/>
        <w:spacing w:line="240" w:lineRule="auto"/>
      </w:pPr>
      <w:r w:rsidRPr="00390603">
        <w:rPr>
          <w:rStyle w:val="FootnoteReference"/>
        </w:rPr>
        <w:footnoteRef/>
      </w:r>
      <w:r w:rsidRPr="00390603">
        <w:t xml:space="preserve"> DDL S.601, </w:t>
      </w:r>
      <w:r w:rsidRPr="00390603">
        <w:rPr>
          <w:i/>
        </w:rPr>
        <w:t>Modifiche al regio decreto-legge 27 novembre 1933, n. 1578, convertito, con modificazioni, dalla legge 22 gennaio 1934, n. 36, in materia di riforma dell'accesso alla professione forense e raccordo con l'istruzione universitaria, approvato con il nuovo titolo “Nuova disciplina dell’ordinamento ella professione forense”</w:t>
      </w:r>
      <w:r w:rsidRPr="00390603">
        <w:t>, art. 39 comma 8, Il tirocinio professionale non determina l’instaurazione di rapporto di lavoro subordinato anche occasionale. Al praticante avvocato è sempre dovuto il rimborso delle spese sostenute per conto dello studio presso il quale svolge il tirocinio. Ad eccezione che negli enti pubblici e presso l’Avvocatura dello Stato, decorso il primo anno, l’avvocato riconosce al praticante avvocato un rimborso congruo per l’attività svolta per conto dello studio, commisurato all’effettivo apporto professionale dato nell’esercizio delle prestazioni e tenuto altresì conto dell’utilizzo da parte del praticante avvocato dei servizi e delle strutture dello studio.</w:t>
      </w:r>
    </w:p>
  </w:footnote>
  <w:footnote w:id="13">
    <w:p w:rsidR="00BD2278" w:rsidRDefault="00BD2278" w:rsidP="00120EC1">
      <w:pPr>
        <w:pStyle w:val="FootnoteText"/>
      </w:pPr>
      <w:r w:rsidRPr="00390603">
        <w:rPr>
          <w:rStyle w:val="FootnoteReference"/>
          <w:sz w:val="24"/>
          <w:szCs w:val="24"/>
        </w:rPr>
        <w:footnoteRef/>
      </w:r>
      <w:r w:rsidRPr="00390603">
        <w:rPr>
          <w:sz w:val="24"/>
          <w:szCs w:val="24"/>
        </w:rPr>
        <w:t xml:space="preserve"> Cfr. G. Basso, Pellizzari M., </w:t>
      </w:r>
      <w:r w:rsidRPr="00390603">
        <w:rPr>
          <w:i/>
          <w:sz w:val="24"/>
          <w:szCs w:val="24"/>
        </w:rPr>
        <w:t>Quelle barriere per gli aspiranti avvocati</w:t>
      </w:r>
      <w:r w:rsidRPr="00390603">
        <w:rPr>
          <w:sz w:val="24"/>
          <w:szCs w:val="24"/>
        </w:rPr>
        <w:t xml:space="preserve">, in </w:t>
      </w:r>
      <w:r w:rsidRPr="00390603">
        <w:rPr>
          <w:i/>
          <w:sz w:val="24"/>
          <w:szCs w:val="24"/>
        </w:rPr>
        <w:t>Lavoce.info</w:t>
      </w:r>
      <w:r w:rsidRPr="00390603">
        <w:rPr>
          <w:sz w:val="24"/>
          <w:szCs w:val="24"/>
        </w:rPr>
        <w:t>, 2010.</w:t>
      </w:r>
    </w:p>
  </w:footnote>
  <w:footnote w:id="14">
    <w:p w:rsidR="00BD2278" w:rsidRDefault="00BD2278" w:rsidP="00120EC1">
      <w:pPr>
        <w:pStyle w:val="FootnoteText"/>
      </w:pPr>
      <w:r w:rsidRPr="00390603">
        <w:rPr>
          <w:rStyle w:val="FootnoteReference"/>
          <w:sz w:val="24"/>
          <w:szCs w:val="24"/>
        </w:rPr>
        <w:footnoteRef/>
      </w:r>
      <w:r w:rsidRPr="00390603">
        <w:rPr>
          <w:sz w:val="24"/>
          <w:szCs w:val="24"/>
        </w:rPr>
        <w:t xml:space="preserve"> Si pensi allo svolgimento dell’attività di cancelleria o di notificazione presso gli uffici UNEP nello svolg</w:t>
      </w:r>
      <w:r>
        <w:rPr>
          <w:sz w:val="24"/>
          <w:szCs w:val="24"/>
        </w:rPr>
        <w:t>imento della pratica forense.</w:t>
      </w:r>
    </w:p>
  </w:footnote>
  <w:footnote w:id="15">
    <w:p w:rsidR="00BD2278" w:rsidRDefault="00BD2278" w:rsidP="00120EC1">
      <w:pPr>
        <w:pStyle w:val="FootnoteText"/>
      </w:pPr>
      <w:r w:rsidRPr="00390603">
        <w:rPr>
          <w:rStyle w:val="FootnoteReference"/>
          <w:sz w:val="24"/>
          <w:szCs w:val="24"/>
        </w:rPr>
        <w:footnoteRef/>
      </w:r>
      <w:r w:rsidRPr="00390603">
        <w:rPr>
          <w:sz w:val="24"/>
          <w:szCs w:val="24"/>
        </w:rPr>
        <w:t xml:space="preserve"> Cfr. T. Treu, </w:t>
      </w:r>
      <w:r w:rsidRPr="00390603">
        <w:rPr>
          <w:i/>
          <w:sz w:val="24"/>
          <w:szCs w:val="24"/>
        </w:rPr>
        <w:t>Onerosità e corrispettività</w:t>
      </w:r>
      <w:r w:rsidRPr="00390603">
        <w:rPr>
          <w:sz w:val="24"/>
          <w:szCs w:val="24"/>
        </w:rPr>
        <w:t>, cit., p. 100.</w:t>
      </w:r>
    </w:p>
  </w:footnote>
  <w:footnote w:id="16">
    <w:p w:rsidR="00BD2278" w:rsidRDefault="00BD2278" w:rsidP="00120EC1">
      <w:pPr>
        <w:pStyle w:val="FootnoteText"/>
      </w:pPr>
      <w:r w:rsidRPr="00390603">
        <w:rPr>
          <w:rStyle w:val="FootnoteReference"/>
          <w:sz w:val="24"/>
          <w:szCs w:val="24"/>
        </w:rPr>
        <w:footnoteRef/>
      </w:r>
      <w:r w:rsidRPr="00390603">
        <w:rPr>
          <w:sz w:val="24"/>
          <w:szCs w:val="24"/>
        </w:rPr>
        <w:t xml:space="preserve"> Cfr. T. Treu, </w:t>
      </w:r>
      <w:r w:rsidRPr="00390603">
        <w:rPr>
          <w:i/>
          <w:sz w:val="24"/>
          <w:szCs w:val="24"/>
        </w:rPr>
        <w:t>Onerosità e corrispettività</w:t>
      </w:r>
      <w:r w:rsidRPr="00390603">
        <w:rPr>
          <w:sz w:val="24"/>
          <w:szCs w:val="24"/>
        </w:rPr>
        <w:t>, cit., p. 115 e ss.</w:t>
      </w:r>
    </w:p>
  </w:footnote>
  <w:footnote w:id="17">
    <w:p w:rsidR="00BD2278" w:rsidRDefault="00BD2278" w:rsidP="00120EC1">
      <w:pPr>
        <w:pStyle w:val="FootnoteText"/>
      </w:pPr>
      <w:r w:rsidRPr="00390603">
        <w:rPr>
          <w:rStyle w:val="FootnoteReference"/>
          <w:sz w:val="24"/>
          <w:szCs w:val="24"/>
        </w:rPr>
        <w:footnoteRef/>
      </w:r>
      <w:r w:rsidRPr="00390603">
        <w:rPr>
          <w:sz w:val="24"/>
          <w:szCs w:val="24"/>
        </w:rPr>
        <w:t xml:space="preserve"> Cfr. P. Ichino, </w:t>
      </w:r>
      <w:r w:rsidRPr="00390603">
        <w:rPr>
          <w:i/>
          <w:sz w:val="24"/>
          <w:szCs w:val="24"/>
        </w:rPr>
        <w:t xml:space="preserve">La nozione di giusta retribuzione nell’art. 36 Cost., </w:t>
      </w:r>
      <w:r w:rsidRPr="00390603">
        <w:rPr>
          <w:sz w:val="24"/>
          <w:szCs w:val="24"/>
        </w:rPr>
        <w:t xml:space="preserve">in </w:t>
      </w:r>
      <w:r w:rsidRPr="00390603">
        <w:rPr>
          <w:i/>
          <w:sz w:val="24"/>
          <w:szCs w:val="24"/>
        </w:rPr>
        <w:t>Riv. it. dir. lav.</w:t>
      </w:r>
      <w:r w:rsidRPr="00390603">
        <w:rPr>
          <w:sz w:val="24"/>
          <w:szCs w:val="24"/>
        </w:rPr>
        <w:t>, 2010, I, p. 751.</w:t>
      </w:r>
    </w:p>
  </w:footnote>
  <w:footnote w:id="18">
    <w:p w:rsidR="00BD2278" w:rsidRDefault="00BD2278" w:rsidP="00120EC1">
      <w:pPr>
        <w:pStyle w:val="FootnoteText"/>
      </w:pPr>
      <w:r w:rsidRPr="00390603">
        <w:rPr>
          <w:rStyle w:val="FootnoteReference"/>
          <w:sz w:val="24"/>
          <w:szCs w:val="24"/>
        </w:rPr>
        <w:footnoteRef/>
      </w:r>
      <w:r w:rsidRPr="00390603">
        <w:rPr>
          <w:sz w:val="24"/>
          <w:szCs w:val="24"/>
        </w:rPr>
        <w:t xml:space="preserve"> Cfr. M. Roccella, </w:t>
      </w:r>
      <w:r w:rsidRPr="00390603">
        <w:rPr>
          <w:i/>
          <w:sz w:val="24"/>
          <w:szCs w:val="24"/>
        </w:rPr>
        <w:t>Manuale di diritto del lavoro</w:t>
      </w:r>
      <w:r w:rsidRPr="00390603">
        <w:rPr>
          <w:sz w:val="24"/>
          <w:szCs w:val="24"/>
        </w:rPr>
        <w:t>, Torino, 2010, p. 368.</w:t>
      </w:r>
    </w:p>
  </w:footnote>
  <w:footnote w:id="19">
    <w:p w:rsidR="00BD2278" w:rsidRDefault="00BD2278" w:rsidP="00120EC1">
      <w:pPr>
        <w:pStyle w:val="FootnoteText"/>
      </w:pPr>
      <w:r w:rsidRPr="00390603">
        <w:rPr>
          <w:rStyle w:val="FootnoteReference"/>
          <w:sz w:val="24"/>
          <w:szCs w:val="24"/>
        </w:rPr>
        <w:footnoteRef/>
      </w:r>
      <w:r w:rsidRPr="00390603">
        <w:rPr>
          <w:sz w:val="24"/>
          <w:szCs w:val="24"/>
        </w:rPr>
        <w:t xml:space="preserve"> Cfr. F. Carinci, R. De Luca Tamajo, P. Tosi, T. Treu, </w:t>
      </w:r>
      <w:r w:rsidRPr="00390603">
        <w:rPr>
          <w:i/>
          <w:sz w:val="24"/>
          <w:szCs w:val="24"/>
        </w:rPr>
        <w:t xml:space="preserve">Il rapporto di lavoro subordinato, </w:t>
      </w:r>
      <w:r w:rsidRPr="00390603">
        <w:rPr>
          <w:sz w:val="24"/>
          <w:szCs w:val="24"/>
        </w:rPr>
        <w:t>Torino, 2006, p. 246.</w:t>
      </w:r>
    </w:p>
  </w:footnote>
  <w:footnote w:id="20">
    <w:p w:rsidR="00BD2278" w:rsidRDefault="00BD2278" w:rsidP="00120EC1">
      <w:pPr>
        <w:pStyle w:val="FootnoteText"/>
      </w:pPr>
      <w:r w:rsidRPr="00390603">
        <w:rPr>
          <w:rStyle w:val="FootnoteReference"/>
          <w:sz w:val="24"/>
          <w:szCs w:val="24"/>
        </w:rPr>
        <w:footnoteRef/>
      </w:r>
      <w:r w:rsidRPr="00390603">
        <w:rPr>
          <w:sz w:val="24"/>
          <w:szCs w:val="24"/>
        </w:rPr>
        <w:t xml:space="preserve"> Cfr. M. D’Antona, </w:t>
      </w:r>
      <w:r w:rsidRPr="00390603">
        <w:rPr>
          <w:i/>
          <w:sz w:val="24"/>
          <w:szCs w:val="24"/>
        </w:rPr>
        <w:t>Appunti sulle fonti di determinazione della retribuzione</w:t>
      </w:r>
      <w:r w:rsidRPr="00390603">
        <w:rPr>
          <w:sz w:val="24"/>
          <w:szCs w:val="24"/>
        </w:rPr>
        <w:t xml:space="preserve">, in </w:t>
      </w:r>
      <w:r w:rsidRPr="00390603">
        <w:rPr>
          <w:i/>
          <w:sz w:val="24"/>
          <w:szCs w:val="24"/>
        </w:rPr>
        <w:t>Riv. giur. lav. prev. soc.</w:t>
      </w:r>
      <w:r w:rsidRPr="00390603">
        <w:rPr>
          <w:sz w:val="24"/>
          <w:szCs w:val="24"/>
        </w:rPr>
        <w:t>, 1986, I, p. 11.</w:t>
      </w:r>
    </w:p>
  </w:footnote>
  <w:footnote w:id="21">
    <w:p w:rsidR="00BD2278" w:rsidRDefault="00BD2278" w:rsidP="00120EC1">
      <w:pPr>
        <w:pStyle w:val="FootnoteText"/>
      </w:pPr>
      <w:r w:rsidRPr="00390603">
        <w:rPr>
          <w:rStyle w:val="FootnoteReference"/>
          <w:sz w:val="24"/>
          <w:szCs w:val="24"/>
        </w:rPr>
        <w:footnoteRef/>
      </w:r>
      <w:r w:rsidRPr="00390603">
        <w:rPr>
          <w:sz w:val="24"/>
          <w:szCs w:val="24"/>
        </w:rPr>
        <w:t xml:space="preserve"> Cfr. M. Roccella, </w:t>
      </w:r>
      <w:r w:rsidRPr="00390603">
        <w:rPr>
          <w:i/>
          <w:sz w:val="24"/>
          <w:szCs w:val="24"/>
        </w:rPr>
        <w:t>Manuale di diritto del lavoro</w:t>
      </w:r>
      <w:r w:rsidRPr="00390603">
        <w:rPr>
          <w:sz w:val="24"/>
          <w:szCs w:val="24"/>
        </w:rPr>
        <w:t>, Torino, 2010, p. 368.</w:t>
      </w:r>
    </w:p>
  </w:footnote>
  <w:footnote w:id="22">
    <w:p w:rsidR="00BD2278" w:rsidRDefault="00BD2278" w:rsidP="00120EC1">
      <w:pPr>
        <w:pStyle w:val="FootnoteText"/>
      </w:pPr>
      <w:r w:rsidRPr="00390603">
        <w:rPr>
          <w:rStyle w:val="FootnoteReference"/>
          <w:sz w:val="24"/>
          <w:szCs w:val="24"/>
        </w:rPr>
        <w:footnoteRef/>
      </w:r>
      <w:r w:rsidRPr="00390603">
        <w:rPr>
          <w:sz w:val="24"/>
          <w:szCs w:val="24"/>
        </w:rPr>
        <w:t xml:space="preserve"> Cfr. Carinci F., De Luca Tamajo R., Tosi P., Treu T., </w:t>
      </w:r>
      <w:r w:rsidRPr="00390603">
        <w:rPr>
          <w:i/>
          <w:sz w:val="24"/>
          <w:szCs w:val="24"/>
        </w:rPr>
        <w:t xml:space="preserve">Il </w:t>
      </w:r>
      <w:r>
        <w:rPr>
          <w:i/>
          <w:sz w:val="24"/>
          <w:szCs w:val="24"/>
        </w:rPr>
        <w:t>rapporto di lavoro subordinato</w:t>
      </w:r>
      <w:r w:rsidRPr="00390603">
        <w:rPr>
          <w:sz w:val="24"/>
          <w:szCs w:val="24"/>
        </w:rPr>
        <w:t>,</w:t>
      </w:r>
      <w:r>
        <w:rPr>
          <w:sz w:val="24"/>
          <w:szCs w:val="24"/>
        </w:rPr>
        <w:t xml:space="preserve"> cit.,</w:t>
      </w:r>
      <w:r w:rsidRPr="00390603">
        <w:rPr>
          <w:sz w:val="24"/>
          <w:szCs w:val="24"/>
        </w:rPr>
        <w:t xml:space="preserve"> p. 247.</w:t>
      </w:r>
    </w:p>
  </w:footnote>
  <w:footnote w:id="23">
    <w:p w:rsidR="00BD2278" w:rsidRDefault="00BD2278" w:rsidP="00120EC1">
      <w:pPr>
        <w:pStyle w:val="FootnoteText"/>
      </w:pPr>
      <w:r w:rsidRPr="00390603">
        <w:rPr>
          <w:rStyle w:val="FootnoteReference"/>
          <w:sz w:val="24"/>
          <w:szCs w:val="24"/>
        </w:rPr>
        <w:footnoteRef/>
      </w:r>
      <w:r w:rsidRPr="00390603">
        <w:rPr>
          <w:sz w:val="24"/>
          <w:szCs w:val="24"/>
        </w:rPr>
        <w:t xml:space="preserve"> Cfr. M. D’Antona, </w:t>
      </w:r>
      <w:r w:rsidRPr="00390603">
        <w:rPr>
          <w:i/>
          <w:sz w:val="24"/>
          <w:szCs w:val="24"/>
        </w:rPr>
        <w:t>Le nozioni giuridiche della retribuzione</w:t>
      </w:r>
      <w:r w:rsidRPr="00390603">
        <w:rPr>
          <w:sz w:val="24"/>
          <w:szCs w:val="24"/>
        </w:rPr>
        <w:t xml:space="preserve">, in </w:t>
      </w:r>
      <w:r w:rsidRPr="00390603">
        <w:rPr>
          <w:i/>
          <w:sz w:val="24"/>
          <w:szCs w:val="24"/>
        </w:rPr>
        <w:t>Giorn. dir. lav. rel. ind.</w:t>
      </w:r>
      <w:r w:rsidRPr="00390603">
        <w:rPr>
          <w:sz w:val="24"/>
          <w:szCs w:val="24"/>
        </w:rPr>
        <w:t>, 1984, 22, p. 271.</w:t>
      </w:r>
    </w:p>
  </w:footnote>
  <w:footnote w:id="24">
    <w:p w:rsidR="00BD2278" w:rsidRDefault="00BD2278" w:rsidP="00120EC1">
      <w:pPr>
        <w:pStyle w:val="FootnoteText"/>
      </w:pPr>
      <w:r w:rsidRPr="00390603">
        <w:rPr>
          <w:rStyle w:val="FootnoteReference"/>
          <w:sz w:val="24"/>
          <w:szCs w:val="24"/>
        </w:rPr>
        <w:footnoteRef/>
      </w:r>
      <w:r w:rsidRPr="00390603">
        <w:rPr>
          <w:sz w:val="24"/>
          <w:szCs w:val="24"/>
        </w:rPr>
        <w:t xml:space="preserve"> Cfr. M. D’Antona, </w:t>
      </w:r>
      <w:r w:rsidRPr="00390603">
        <w:rPr>
          <w:i/>
          <w:sz w:val="24"/>
          <w:szCs w:val="24"/>
        </w:rPr>
        <w:t>Appunti sulle fonti</w:t>
      </w:r>
      <w:r w:rsidRPr="00390603">
        <w:rPr>
          <w:sz w:val="24"/>
          <w:szCs w:val="24"/>
        </w:rPr>
        <w:t>, cit. p. 11.</w:t>
      </w:r>
    </w:p>
  </w:footnote>
  <w:footnote w:id="25">
    <w:p w:rsidR="00BD2278" w:rsidRDefault="00BD2278" w:rsidP="00120EC1">
      <w:pPr>
        <w:pStyle w:val="FootnoteText"/>
      </w:pPr>
      <w:r w:rsidRPr="00390603">
        <w:rPr>
          <w:rStyle w:val="FootnoteReference"/>
          <w:sz w:val="24"/>
          <w:szCs w:val="24"/>
        </w:rPr>
        <w:footnoteRef/>
      </w:r>
      <w:r w:rsidRPr="00390603">
        <w:rPr>
          <w:sz w:val="24"/>
          <w:szCs w:val="24"/>
        </w:rPr>
        <w:t xml:space="preserve"> Cfr. F. Mortillaro, </w:t>
      </w:r>
      <w:r w:rsidRPr="00390603">
        <w:rPr>
          <w:i/>
          <w:sz w:val="24"/>
          <w:szCs w:val="24"/>
        </w:rPr>
        <w:t xml:space="preserve">Retribuzione. 1)  Rapporto di lavoro privato, </w:t>
      </w:r>
      <w:r w:rsidRPr="00390603">
        <w:rPr>
          <w:sz w:val="24"/>
          <w:szCs w:val="24"/>
        </w:rPr>
        <w:t xml:space="preserve">in </w:t>
      </w:r>
      <w:r w:rsidRPr="00390603">
        <w:rPr>
          <w:i/>
          <w:sz w:val="24"/>
          <w:szCs w:val="24"/>
        </w:rPr>
        <w:t>Enc. Giur. Treccani</w:t>
      </w:r>
      <w:r w:rsidRPr="00390603">
        <w:rPr>
          <w:sz w:val="24"/>
          <w:szCs w:val="24"/>
        </w:rPr>
        <w:t>, XXVII, 1991, p 6.</w:t>
      </w:r>
    </w:p>
  </w:footnote>
  <w:footnote w:id="26">
    <w:p w:rsidR="00BD2278" w:rsidRDefault="00BD2278" w:rsidP="00120EC1">
      <w:pPr>
        <w:pStyle w:val="FootnoteText"/>
      </w:pPr>
      <w:r w:rsidRPr="00390603">
        <w:rPr>
          <w:rStyle w:val="FootnoteReference"/>
          <w:sz w:val="24"/>
          <w:szCs w:val="24"/>
        </w:rPr>
        <w:footnoteRef/>
      </w:r>
      <w:r w:rsidRPr="00390603">
        <w:rPr>
          <w:sz w:val="24"/>
          <w:szCs w:val="24"/>
        </w:rPr>
        <w:t xml:space="preserve"> Cfr. Carinci F., De Luca Tamajo R., Tosi P., Treu T., </w:t>
      </w:r>
      <w:r w:rsidRPr="00390603">
        <w:rPr>
          <w:i/>
          <w:sz w:val="24"/>
          <w:szCs w:val="24"/>
        </w:rPr>
        <w:t>Il rapporto di lavoro</w:t>
      </w:r>
      <w:r w:rsidRPr="00390603">
        <w:rPr>
          <w:sz w:val="24"/>
          <w:szCs w:val="24"/>
        </w:rPr>
        <w:t>,</w:t>
      </w:r>
      <w:r>
        <w:rPr>
          <w:sz w:val="24"/>
          <w:szCs w:val="24"/>
        </w:rPr>
        <w:t xml:space="preserve"> cit.,</w:t>
      </w:r>
      <w:r w:rsidRPr="00390603">
        <w:rPr>
          <w:sz w:val="24"/>
          <w:szCs w:val="24"/>
        </w:rPr>
        <w:t xml:space="preserve"> p. 248.</w:t>
      </w:r>
    </w:p>
  </w:footnote>
  <w:footnote w:id="27">
    <w:p w:rsidR="00BD2278" w:rsidRDefault="00BD2278" w:rsidP="00120EC1">
      <w:pPr>
        <w:pStyle w:val="FootnoteText"/>
      </w:pPr>
      <w:r w:rsidRPr="00390603">
        <w:rPr>
          <w:rStyle w:val="FootnoteReference"/>
          <w:sz w:val="24"/>
          <w:szCs w:val="24"/>
        </w:rPr>
        <w:footnoteRef/>
      </w:r>
      <w:r w:rsidRPr="00390603">
        <w:rPr>
          <w:sz w:val="24"/>
          <w:szCs w:val="24"/>
        </w:rPr>
        <w:t xml:space="preserve"> T. Treu, </w:t>
      </w:r>
      <w:r w:rsidRPr="00390603">
        <w:rPr>
          <w:i/>
          <w:sz w:val="24"/>
          <w:szCs w:val="24"/>
        </w:rPr>
        <w:t>Problemi giuridici della retribuzione</w:t>
      </w:r>
      <w:r w:rsidRPr="00390603">
        <w:rPr>
          <w:sz w:val="24"/>
          <w:szCs w:val="24"/>
        </w:rPr>
        <w:t xml:space="preserve">, in </w:t>
      </w:r>
      <w:r w:rsidRPr="00390603">
        <w:rPr>
          <w:i/>
          <w:sz w:val="24"/>
          <w:szCs w:val="24"/>
        </w:rPr>
        <w:t>Giorn. dir. lav. rel. Ind.</w:t>
      </w:r>
      <w:r w:rsidRPr="00390603">
        <w:rPr>
          <w:sz w:val="24"/>
          <w:szCs w:val="24"/>
        </w:rPr>
        <w:t>, 1980, 5, p. 38.</w:t>
      </w:r>
    </w:p>
  </w:footnote>
  <w:footnote w:id="28">
    <w:p w:rsidR="00BD2278" w:rsidRDefault="00BD2278" w:rsidP="00120EC1">
      <w:pPr>
        <w:pStyle w:val="FootnoteText"/>
      </w:pPr>
      <w:r w:rsidRPr="00390603">
        <w:rPr>
          <w:rStyle w:val="FootnoteReference"/>
          <w:sz w:val="24"/>
          <w:szCs w:val="24"/>
        </w:rPr>
        <w:footnoteRef/>
      </w:r>
      <w:r w:rsidRPr="00390603">
        <w:rPr>
          <w:sz w:val="24"/>
          <w:szCs w:val="24"/>
        </w:rPr>
        <w:t xml:space="preserve"> Cfr. F. Mortillaro, </w:t>
      </w:r>
      <w:r w:rsidRPr="00390603">
        <w:rPr>
          <w:i/>
          <w:sz w:val="24"/>
          <w:szCs w:val="24"/>
        </w:rPr>
        <w:t>Retribuzione</w:t>
      </w:r>
      <w:r w:rsidRPr="00390603">
        <w:rPr>
          <w:sz w:val="24"/>
          <w:szCs w:val="24"/>
        </w:rPr>
        <w:t>,</w:t>
      </w:r>
      <w:r>
        <w:rPr>
          <w:sz w:val="24"/>
          <w:szCs w:val="24"/>
        </w:rPr>
        <w:t xml:space="preserve"> cit.,</w:t>
      </w:r>
      <w:r w:rsidRPr="00390603">
        <w:rPr>
          <w:sz w:val="24"/>
          <w:szCs w:val="24"/>
        </w:rPr>
        <w:t xml:space="preserve"> p 6.</w:t>
      </w:r>
    </w:p>
  </w:footnote>
  <w:footnote w:id="29">
    <w:p w:rsidR="00BD2278" w:rsidRDefault="00BD2278" w:rsidP="00120EC1">
      <w:pPr>
        <w:pStyle w:val="FootnoteText"/>
      </w:pPr>
      <w:r w:rsidRPr="00390603">
        <w:rPr>
          <w:rStyle w:val="FootnoteReference"/>
          <w:sz w:val="24"/>
          <w:szCs w:val="24"/>
        </w:rPr>
        <w:footnoteRef/>
      </w:r>
      <w:r w:rsidRPr="00390603">
        <w:rPr>
          <w:sz w:val="24"/>
          <w:szCs w:val="24"/>
        </w:rPr>
        <w:t xml:space="preserve"> Cfr. F. Bianchi D’Urso, </w:t>
      </w:r>
      <w:r w:rsidRPr="00390603">
        <w:rPr>
          <w:i/>
          <w:sz w:val="24"/>
          <w:szCs w:val="24"/>
        </w:rPr>
        <w:t>Spunti critici in tema di onnicomprensività e continuità della retribuzione</w:t>
      </w:r>
      <w:r w:rsidRPr="00390603">
        <w:rPr>
          <w:sz w:val="24"/>
          <w:szCs w:val="24"/>
        </w:rPr>
        <w:t xml:space="preserve">, in </w:t>
      </w:r>
      <w:r w:rsidRPr="00390603">
        <w:rPr>
          <w:i/>
          <w:sz w:val="24"/>
          <w:szCs w:val="24"/>
        </w:rPr>
        <w:t>Riv. it. dir. lav.</w:t>
      </w:r>
      <w:r w:rsidRPr="00390603">
        <w:rPr>
          <w:sz w:val="24"/>
          <w:szCs w:val="24"/>
        </w:rPr>
        <w:t>, 1983, I, p. 394.</w:t>
      </w:r>
    </w:p>
  </w:footnote>
  <w:footnote w:id="30">
    <w:p w:rsidR="00BD2278" w:rsidRDefault="00BD2278" w:rsidP="00120EC1">
      <w:pPr>
        <w:pStyle w:val="FootnoteText"/>
      </w:pPr>
      <w:r w:rsidRPr="00390603">
        <w:rPr>
          <w:rStyle w:val="FootnoteReference"/>
          <w:sz w:val="24"/>
          <w:szCs w:val="24"/>
        </w:rPr>
        <w:footnoteRef/>
      </w:r>
      <w:r w:rsidRPr="00390603">
        <w:rPr>
          <w:sz w:val="24"/>
          <w:szCs w:val="24"/>
        </w:rPr>
        <w:t xml:space="preserve"> Cfr. F. Mortillaro, </w:t>
      </w:r>
      <w:r w:rsidRPr="00390603">
        <w:rPr>
          <w:i/>
          <w:sz w:val="24"/>
          <w:szCs w:val="24"/>
        </w:rPr>
        <w:t>Retribuzione</w:t>
      </w:r>
      <w:r w:rsidRPr="00390603">
        <w:rPr>
          <w:sz w:val="24"/>
          <w:szCs w:val="24"/>
        </w:rPr>
        <w:t>,</w:t>
      </w:r>
      <w:r>
        <w:rPr>
          <w:sz w:val="24"/>
          <w:szCs w:val="24"/>
        </w:rPr>
        <w:t xml:space="preserve"> cit.,</w:t>
      </w:r>
      <w:r w:rsidRPr="00390603">
        <w:rPr>
          <w:sz w:val="24"/>
          <w:szCs w:val="24"/>
        </w:rPr>
        <w:t xml:space="preserve"> p 6.</w:t>
      </w:r>
    </w:p>
  </w:footnote>
  <w:footnote w:id="31">
    <w:p w:rsidR="00BD2278" w:rsidRDefault="00BD2278" w:rsidP="00120EC1">
      <w:pPr>
        <w:pStyle w:val="FootnoteText"/>
      </w:pPr>
      <w:r w:rsidRPr="00390603">
        <w:rPr>
          <w:rStyle w:val="FootnoteReference"/>
          <w:sz w:val="24"/>
          <w:szCs w:val="24"/>
        </w:rPr>
        <w:footnoteRef/>
      </w:r>
      <w:r w:rsidRPr="00390603">
        <w:rPr>
          <w:sz w:val="24"/>
          <w:szCs w:val="24"/>
        </w:rPr>
        <w:t xml:space="preserve"> Cfr. M. D’Antona, </w:t>
      </w:r>
      <w:r w:rsidRPr="00390603">
        <w:rPr>
          <w:i/>
          <w:sz w:val="24"/>
          <w:szCs w:val="24"/>
        </w:rPr>
        <w:t>Appunti sulle fonti</w:t>
      </w:r>
      <w:r w:rsidRPr="00390603">
        <w:rPr>
          <w:sz w:val="24"/>
          <w:szCs w:val="24"/>
        </w:rPr>
        <w:t>, cit. p. 12.</w:t>
      </w:r>
    </w:p>
  </w:footnote>
  <w:footnote w:id="32">
    <w:p w:rsidR="00BD2278" w:rsidRDefault="00BD2278" w:rsidP="00120EC1">
      <w:pPr>
        <w:pStyle w:val="FootnoteText"/>
        <w:jc w:val="left"/>
      </w:pPr>
      <w:r w:rsidRPr="00390603">
        <w:rPr>
          <w:rStyle w:val="FootnoteReference"/>
          <w:sz w:val="24"/>
          <w:szCs w:val="24"/>
        </w:rPr>
        <w:footnoteRef/>
      </w:r>
      <w:r w:rsidRPr="00390603">
        <w:rPr>
          <w:sz w:val="24"/>
          <w:szCs w:val="24"/>
        </w:rPr>
        <w:t xml:space="preserve"> Cfr. Corte Cass., S.U., 13 febbraio 1984, n. 1081, in </w:t>
      </w:r>
      <w:r w:rsidRPr="00390603">
        <w:rPr>
          <w:i/>
          <w:sz w:val="24"/>
          <w:szCs w:val="24"/>
        </w:rPr>
        <w:t>Foro it.</w:t>
      </w:r>
      <w:r w:rsidRPr="00390603">
        <w:rPr>
          <w:sz w:val="24"/>
          <w:szCs w:val="24"/>
        </w:rPr>
        <w:t>, 1984, I, p. 677.</w:t>
      </w:r>
    </w:p>
  </w:footnote>
  <w:footnote w:id="33">
    <w:p w:rsidR="00BD2278" w:rsidRDefault="00BD2278" w:rsidP="00120EC1">
      <w:pPr>
        <w:pStyle w:val="FootnoteText"/>
      </w:pPr>
      <w:r w:rsidRPr="00390603">
        <w:rPr>
          <w:rStyle w:val="FootnoteReference"/>
          <w:sz w:val="24"/>
          <w:szCs w:val="24"/>
        </w:rPr>
        <w:footnoteRef/>
      </w:r>
      <w:r w:rsidRPr="00390603">
        <w:rPr>
          <w:sz w:val="24"/>
          <w:szCs w:val="24"/>
        </w:rPr>
        <w:t xml:space="preserve"> Cfr. M. D’Antona, </w:t>
      </w:r>
      <w:r w:rsidRPr="00390603">
        <w:rPr>
          <w:i/>
          <w:sz w:val="24"/>
          <w:szCs w:val="24"/>
        </w:rPr>
        <w:t>Le nozioni giuridiche della retribuzione</w:t>
      </w:r>
      <w:r w:rsidRPr="00390603">
        <w:rPr>
          <w:sz w:val="24"/>
          <w:szCs w:val="24"/>
        </w:rPr>
        <w:t>, cit., p. 274.</w:t>
      </w:r>
    </w:p>
  </w:footnote>
  <w:footnote w:id="34">
    <w:p w:rsidR="00BD2278" w:rsidRDefault="00BD2278" w:rsidP="00120EC1">
      <w:pPr>
        <w:pStyle w:val="FootnoteText"/>
      </w:pPr>
      <w:r w:rsidRPr="00390603">
        <w:rPr>
          <w:rStyle w:val="FootnoteReference"/>
          <w:sz w:val="24"/>
          <w:szCs w:val="24"/>
        </w:rPr>
        <w:footnoteRef/>
      </w:r>
      <w:r w:rsidRPr="00390603">
        <w:rPr>
          <w:sz w:val="24"/>
          <w:szCs w:val="24"/>
        </w:rPr>
        <w:t xml:space="preserve"> </w:t>
      </w:r>
      <w:r>
        <w:rPr>
          <w:sz w:val="24"/>
          <w:szCs w:val="24"/>
        </w:rPr>
        <w:t xml:space="preserve">Cfr. </w:t>
      </w:r>
      <w:r w:rsidRPr="00390603">
        <w:rPr>
          <w:sz w:val="24"/>
          <w:szCs w:val="24"/>
        </w:rPr>
        <w:t xml:space="preserve">T. Treu, </w:t>
      </w:r>
      <w:r w:rsidRPr="00390603">
        <w:rPr>
          <w:i/>
          <w:sz w:val="24"/>
          <w:szCs w:val="24"/>
        </w:rPr>
        <w:t>Onerosità e corrispettività</w:t>
      </w:r>
      <w:r w:rsidRPr="00390603">
        <w:rPr>
          <w:sz w:val="24"/>
          <w:szCs w:val="24"/>
        </w:rPr>
        <w:t>,</w:t>
      </w:r>
      <w:r>
        <w:rPr>
          <w:sz w:val="24"/>
          <w:szCs w:val="24"/>
        </w:rPr>
        <w:t xml:space="preserve"> cit.,</w:t>
      </w:r>
      <w:r w:rsidRPr="00390603">
        <w:rPr>
          <w:sz w:val="24"/>
          <w:szCs w:val="24"/>
        </w:rPr>
        <w:t xml:space="preserve"> p. 165 e ss.</w:t>
      </w:r>
    </w:p>
  </w:footnote>
  <w:footnote w:id="35">
    <w:p w:rsidR="00BD2278" w:rsidRDefault="00BD2278" w:rsidP="00120EC1">
      <w:pPr>
        <w:pStyle w:val="FootnoteText"/>
      </w:pPr>
      <w:r w:rsidRPr="00390603">
        <w:rPr>
          <w:rStyle w:val="FootnoteReference"/>
          <w:sz w:val="24"/>
          <w:szCs w:val="24"/>
        </w:rPr>
        <w:footnoteRef/>
      </w:r>
      <w:r w:rsidRPr="00390603">
        <w:rPr>
          <w:sz w:val="24"/>
          <w:szCs w:val="24"/>
        </w:rPr>
        <w:t xml:space="preserve"> Cfr. M. D’Antona, </w:t>
      </w:r>
      <w:r w:rsidRPr="00390603">
        <w:rPr>
          <w:i/>
          <w:sz w:val="24"/>
          <w:szCs w:val="24"/>
        </w:rPr>
        <w:t>Le nozioni giuridiche</w:t>
      </w:r>
      <w:r w:rsidRPr="00390603">
        <w:rPr>
          <w:sz w:val="24"/>
          <w:szCs w:val="24"/>
        </w:rPr>
        <w:t>,</w:t>
      </w:r>
      <w:r>
        <w:rPr>
          <w:sz w:val="24"/>
          <w:szCs w:val="24"/>
        </w:rPr>
        <w:t xml:space="preserve"> cit.,</w:t>
      </w:r>
      <w:r w:rsidRPr="00390603">
        <w:rPr>
          <w:sz w:val="24"/>
          <w:szCs w:val="24"/>
        </w:rPr>
        <w:t xml:space="preserve"> p. 274.</w:t>
      </w:r>
    </w:p>
  </w:footnote>
  <w:footnote w:id="36">
    <w:p w:rsidR="00BD2278" w:rsidRDefault="00BD2278" w:rsidP="00120EC1">
      <w:pPr>
        <w:pStyle w:val="FootnoteText"/>
      </w:pPr>
      <w:r w:rsidRPr="00390603">
        <w:rPr>
          <w:rStyle w:val="FootnoteReference"/>
          <w:sz w:val="24"/>
          <w:szCs w:val="24"/>
        </w:rPr>
        <w:footnoteRef/>
      </w:r>
      <w:r w:rsidRPr="00390603">
        <w:rPr>
          <w:sz w:val="24"/>
          <w:szCs w:val="24"/>
        </w:rPr>
        <w:t xml:space="preserve"> Cfr. C. Zoli, G. Zilio Grandi, </w:t>
      </w:r>
      <w:r w:rsidRPr="00390603">
        <w:rPr>
          <w:i/>
          <w:sz w:val="24"/>
          <w:szCs w:val="24"/>
        </w:rPr>
        <w:t>Qualificazione e quantificazione</w:t>
      </w:r>
      <w:r w:rsidRPr="00390603">
        <w:rPr>
          <w:sz w:val="24"/>
          <w:szCs w:val="24"/>
        </w:rPr>
        <w:t xml:space="preserve">, in </w:t>
      </w:r>
      <w:r w:rsidRPr="00390603">
        <w:rPr>
          <w:i/>
          <w:sz w:val="24"/>
          <w:szCs w:val="24"/>
        </w:rPr>
        <w:t>La retribuzione. Struttura e regime giuridico</w:t>
      </w:r>
      <w:r w:rsidRPr="00390603">
        <w:rPr>
          <w:sz w:val="24"/>
          <w:szCs w:val="24"/>
        </w:rPr>
        <w:t>, a cura di B. Caruso, C. Zoli, L. Zoppoli, Napoli, 1994, p. 231.</w:t>
      </w:r>
    </w:p>
  </w:footnote>
  <w:footnote w:id="37">
    <w:p w:rsidR="00BD2278" w:rsidRDefault="00BD2278" w:rsidP="00120EC1">
      <w:pPr>
        <w:pStyle w:val="FootnoteText"/>
      </w:pPr>
      <w:r w:rsidRPr="00390603">
        <w:rPr>
          <w:rStyle w:val="FootnoteReference"/>
          <w:sz w:val="24"/>
          <w:szCs w:val="24"/>
        </w:rPr>
        <w:footnoteRef/>
      </w:r>
      <w:r w:rsidRPr="00390603">
        <w:rPr>
          <w:sz w:val="24"/>
          <w:szCs w:val="24"/>
        </w:rPr>
        <w:t xml:space="preserve"> Cfr. C. Zoli, G. Zilio Grandi, </w:t>
      </w:r>
      <w:r w:rsidRPr="00390603">
        <w:rPr>
          <w:i/>
          <w:sz w:val="24"/>
          <w:szCs w:val="24"/>
        </w:rPr>
        <w:t>Qualificazione e quantificazione</w:t>
      </w:r>
      <w:r w:rsidRPr="00390603">
        <w:rPr>
          <w:sz w:val="24"/>
          <w:szCs w:val="24"/>
        </w:rPr>
        <w:t>, cit. p. 232.</w:t>
      </w:r>
    </w:p>
  </w:footnote>
  <w:footnote w:id="38">
    <w:p w:rsidR="00BD2278" w:rsidRDefault="00BD2278" w:rsidP="00120EC1">
      <w:pPr>
        <w:pStyle w:val="FootnoteText"/>
      </w:pPr>
      <w:r w:rsidRPr="00390603">
        <w:rPr>
          <w:rStyle w:val="FootnoteReference"/>
          <w:sz w:val="24"/>
          <w:szCs w:val="24"/>
        </w:rPr>
        <w:footnoteRef/>
      </w:r>
      <w:r w:rsidRPr="00390603">
        <w:rPr>
          <w:sz w:val="24"/>
          <w:szCs w:val="24"/>
        </w:rPr>
        <w:t xml:space="preserve"> Cfr. A. Garilli, </w:t>
      </w:r>
      <w:r w:rsidRPr="00390603">
        <w:rPr>
          <w:i/>
          <w:sz w:val="24"/>
          <w:szCs w:val="24"/>
        </w:rPr>
        <w:t>I trattamenti economici di fine rapporto</w:t>
      </w:r>
      <w:r w:rsidRPr="00390603">
        <w:rPr>
          <w:sz w:val="24"/>
          <w:szCs w:val="24"/>
        </w:rPr>
        <w:t xml:space="preserve">, in </w:t>
      </w:r>
      <w:r w:rsidRPr="00390603">
        <w:rPr>
          <w:i/>
          <w:sz w:val="24"/>
          <w:szCs w:val="24"/>
        </w:rPr>
        <w:t>La retribuzione. Struttura e regime giuridico</w:t>
      </w:r>
      <w:r w:rsidRPr="00390603">
        <w:rPr>
          <w:sz w:val="24"/>
          <w:szCs w:val="24"/>
        </w:rPr>
        <w:t>, a cura di B. Caruso, C. Zoli, L. Zoppoli, Napoli, 1994, p. 249.</w:t>
      </w:r>
    </w:p>
  </w:footnote>
  <w:footnote w:id="39">
    <w:p w:rsidR="00BD2278" w:rsidRDefault="00BD2278" w:rsidP="00120EC1">
      <w:pPr>
        <w:pStyle w:val="FootnoteText"/>
      </w:pPr>
      <w:r w:rsidRPr="00390603">
        <w:rPr>
          <w:rStyle w:val="FootnoteReference"/>
          <w:sz w:val="24"/>
          <w:szCs w:val="24"/>
        </w:rPr>
        <w:footnoteRef/>
      </w:r>
      <w:r w:rsidRPr="00390603">
        <w:rPr>
          <w:sz w:val="24"/>
          <w:szCs w:val="24"/>
        </w:rPr>
        <w:t xml:space="preserve"> Per una completa rassegna cfr. M. N. Bettini, </w:t>
      </w:r>
      <w:r w:rsidRPr="00390603">
        <w:rPr>
          <w:i/>
          <w:sz w:val="24"/>
          <w:szCs w:val="24"/>
        </w:rPr>
        <w:t>sub art. 2120 c.c.</w:t>
      </w:r>
      <w:r w:rsidRPr="00390603">
        <w:rPr>
          <w:sz w:val="24"/>
          <w:szCs w:val="24"/>
        </w:rPr>
        <w:t xml:space="preserve">, in </w:t>
      </w:r>
      <w:r w:rsidRPr="00390603">
        <w:rPr>
          <w:i/>
          <w:sz w:val="24"/>
          <w:szCs w:val="24"/>
        </w:rPr>
        <w:t>Diritto del lavoro</w:t>
      </w:r>
      <w:r w:rsidRPr="00390603">
        <w:rPr>
          <w:sz w:val="24"/>
          <w:szCs w:val="24"/>
        </w:rPr>
        <w:t>, vol. I, a cura di G. Amoroso</w:t>
      </w:r>
      <w:r>
        <w:rPr>
          <w:sz w:val="24"/>
          <w:szCs w:val="24"/>
        </w:rPr>
        <w:t>,</w:t>
      </w:r>
      <w:r w:rsidRPr="00390603">
        <w:rPr>
          <w:sz w:val="24"/>
          <w:szCs w:val="24"/>
        </w:rPr>
        <w:t xml:space="preserve"> V. Di Cerbo</w:t>
      </w:r>
      <w:r>
        <w:rPr>
          <w:sz w:val="24"/>
          <w:szCs w:val="24"/>
        </w:rPr>
        <w:t>,</w:t>
      </w:r>
      <w:r w:rsidRPr="00390603">
        <w:rPr>
          <w:sz w:val="24"/>
          <w:szCs w:val="24"/>
        </w:rPr>
        <w:t xml:space="preserve"> A. Maresca, Milano, 2009, p. 1214 e ss.</w:t>
      </w:r>
    </w:p>
  </w:footnote>
  <w:footnote w:id="40">
    <w:p w:rsidR="00BD2278" w:rsidRDefault="00BD2278" w:rsidP="00120EC1">
      <w:pPr>
        <w:pStyle w:val="FootnoteText"/>
      </w:pPr>
      <w:r w:rsidRPr="00390603">
        <w:rPr>
          <w:rStyle w:val="FootnoteReference"/>
          <w:sz w:val="24"/>
          <w:szCs w:val="24"/>
        </w:rPr>
        <w:footnoteRef/>
      </w:r>
      <w:r w:rsidRPr="00390603">
        <w:rPr>
          <w:sz w:val="24"/>
          <w:szCs w:val="24"/>
        </w:rPr>
        <w:t xml:space="preserve"> Cfr. G. Giugni, R. De Luca Tamajo, G. Ferraro, </w:t>
      </w:r>
      <w:r w:rsidRPr="00390603">
        <w:rPr>
          <w:i/>
          <w:sz w:val="24"/>
          <w:szCs w:val="24"/>
        </w:rPr>
        <w:t>Il trattamento di fine rapporto</w:t>
      </w:r>
      <w:r w:rsidRPr="00390603">
        <w:rPr>
          <w:sz w:val="24"/>
          <w:szCs w:val="24"/>
        </w:rPr>
        <w:t>, Padova, 1984, p. 59 e ss.</w:t>
      </w:r>
    </w:p>
  </w:footnote>
  <w:footnote w:id="41">
    <w:p w:rsidR="00BD2278" w:rsidRDefault="00BD2278" w:rsidP="00120EC1">
      <w:pPr>
        <w:pStyle w:val="FootnoteText"/>
      </w:pPr>
      <w:r w:rsidRPr="00390603">
        <w:rPr>
          <w:rStyle w:val="FootnoteReference"/>
          <w:sz w:val="24"/>
          <w:szCs w:val="24"/>
        </w:rPr>
        <w:footnoteRef/>
      </w:r>
      <w:r w:rsidRPr="00390603">
        <w:rPr>
          <w:sz w:val="24"/>
          <w:szCs w:val="24"/>
        </w:rPr>
        <w:t xml:space="preserve"> Cfr. M. Novella Bettini, </w:t>
      </w:r>
      <w:r w:rsidRPr="00390603">
        <w:rPr>
          <w:i/>
          <w:sz w:val="24"/>
          <w:szCs w:val="24"/>
        </w:rPr>
        <w:t>sub art. 2120 c.c.</w:t>
      </w:r>
      <w:r w:rsidRPr="00390603">
        <w:rPr>
          <w:sz w:val="24"/>
          <w:szCs w:val="24"/>
        </w:rPr>
        <w:t>, cit., p. 1224 e ss.</w:t>
      </w:r>
    </w:p>
  </w:footnote>
  <w:footnote w:id="42">
    <w:p w:rsidR="00BD2278" w:rsidRDefault="00BD2278" w:rsidP="00120EC1">
      <w:pPr>
        <w:pStyle w:val="FootnoteText"/>
      </w:pPr>
      <w:r w:rsidRPr="00390603">
        <w:rPr>
          <w:rStyle w:val="FootnoteReference"/>
          <w:sz w:val="24"/>
          <w:szCs w:val="24"/>
        </w:rPr>
        <w:footnoteRef/>
      </w:r>
      <w:r w:rsidRPr="00390603">
        <w:rPr>
          <w:sz w:val="24"/>
          <w:szCs w:val="24"/>
        </w:rPr>
        <w:t xml:space="preserve"> Cfr S. Bellomo, </w:t>
      </w:r>
      <w:r w:rsidRPr="00853ED6">
        <w:rPr>
          <w:i/>
          <w:sz w:val="24"/>
          <w:szCs w:val="24"/>
        </w:rPr>
        <w:t>Orario e riposo</w:t>
      </w:r>
      <w:r w:rsidRPr="00390603">
        <w:rPr>
          <w:sz w:val="24"/>
          <w:szCs w:val="24"/>
        </w:rPr>
        <w:t>,</w:t>
      </w:r>
      <w:r>
        <w:rPr>
          <w:sz w:val="24"/>
          <w:szCs w:val="24"/>
        </w:rPr>
        <w:t xml:space="preserve"> commento</w:t>
      </w:r>
      <w:r w:rsidRPr="00390603">
        <w:rPr>
          <w:sz w:val="24"/>
          <w:szCs w:val="24"/>
        </w:rPr>
        <w:t xml:space="preserve"> </w:t>
      </w:r>
      <w:r w:rsidRPr="00390603">
        <w:rPr>
          <w:i/>
          <w:sz w:val="24"/>
          <w:szCs w:val="24"/>
        </w:rPr>
        <w:t xml:space="preserve">sub </w:t>
      </w:r>
      <w:r w:rsidRPr="00EA05B3">
        <w:rPr>
          <w:sz w:val="24"/>
          <w:szCs w:val="24"/>
        </w:rPr>
        <w:t>artt. 2106, 2107, 2108 e 2109 c.c.</w:t>
      </w:r>
      <w:r w:rsidRPr="00390603">
        <w:rPr>
          <w:sz w:val="24"/>
          <w:szCs w:val="24"/>
        </w:rPr>
        <w:t xml:space="preserve">, in </w:t>
      </w:r>
      <w:r w:rsidRPr="00390603">
        <w:rPr>
          <w:i/>
          <w:sz w:val="24"/>
          <w:szCs w:val="24"/>
        </w:rPr>
        <w:t>Diritto del lavoro</w:t>
      </w:r>
      <w:r w:rsidRPr="00390603">
        <w:rPr>
          <w:sz w:val="24"/>
          <w:szCs w:val="24"/>
        </w:rPr>
        <w:t>, vol. I, a cura di G. Amoroso, V. Di Cerbo, A. Maresca, Milano, 2009, p. 1007 e ss.</w:t>
      </w:r>
    </w:p>
  </w:footnote>
  <w:footnote w:id="43">
    <w:p w:rsidR="00BD2278" w:rsidRDefault="00BD2278" w:rsidP="00120EC1">
      <w:pPr>
        <w:pStyle w:val="FootnoteText"/>
      </w:pPr>
      <w:r w:rsidRPr="00390603">
        <w:rPr>
          <w:rStyle w:val="FootnoteReference"/>
          <w:sz w:val="24"/>
          <w:szCs w:val="24"/>
        </w:rPr>
        <w:footnoteRef/>
      </w:r>
      <w:r w:rsidRPr="00390603">
        <w:rPr>
          <w:sz w:val="24"/>
          <w:szCs w:val="24"/>
        </w:rPr>
        <w:t xml:space="preserve"> Cfr. Corte Cass., S.U., 3 aprile 1989, n. 1607 in </w:t>
      </w:r>
      <w:r w:rsidRPr="00390603">
        <w:rPr>
          <w:i/>
          <w:sz w:val="24"/>
          <w:szCs w:val="24"/>
        </w:rPr>
        <w:t>Mass. giur. lav.</w:t>
      </w:r>
      <w:r w:rsidRPr="00390603">
        <w:rPr>
          <w:sz w:val="24"/>
          <w:szCs w:val="24"/>
        </w:rPr>
        <w:t>, 1989, p. 455, con nota di Mormile.</w:t>
      </w:r>
    </w:p>
  </w:footnote>
  <w:footnote w:id="44">
    <w:p w:rsidR="00BD2278" w:rsidRDefault="00BD2278" w:rsidP="00120EC1">
      <w:pPr>
        <w:pStyle w:val="FootnoteText"/>
      </w:pPr>
      <w:r w:rsidRPr="00390603">
        <w:rPr>
          <w:rStyle w:val="FootnoteReference"/>
          <w:sz w:val="24"/>
          <w:szCs w:val="24"/>
        </w:rPr>
        <w:footnoteRef/>
      </w:r>
      <w:r w:rsidRPr="00390603">
        <w:rPr>
          <w:sz w:val="24"/>
          <w:szCs w:val="24"/>
        </w:rPr>
        <w:t xml:space="preserve"> Cfr. C. Zoli, G. Zilio Grandi, </w:t>
      </w:r>
      <w:r w:rsidRPr="00390603">
        <w:rPr>
          <w:i/>
          <w:sz w:val="24"/>
          <w:szCs w:val="24"/>
        </w:rPr>
        <w:t>Qualificazione e quantificazione</w:t>
      </w:r>
      <w:r w:rsidRPr="00390603">
        <w:rPr>
          <w:sz w:val="24"/>
          <w:szCs w:val="24"/>
        </w:rPr>
        <w:t>, cit., p. 233.</w:t>
      </w:r>
    </w:p>
  </w:footnote>
  <w:footnote w:id="45">
    <w:p w:rsidR="00BD2278" w:rsidRDefault="00BD2278" w:rsidP="00120EC1">
      <w:pPr>
        <w:pStyle w:val="FootnoteText"/>
      </w:pPr>
      <w:r w:rsidRPr="00390603">
        <w:rPr>
          <w:rStyle w:val="FootnoteReference"/>
          <w:sz w:val="24"/>
          <w:szCs w:val="24"/>
        </w:rPr>
        <w:footnoteRef/>
      </w:r>
      <w:r w:rsidRPr="00390603">
        <w:rPr>
          <w:sz w:val="24"/>
          <w:szCs w:val="24"/>
        </w:rPr>
        <w:t xml:space="preserve"> Tra di essi v. S. Pugliatti, </w:t>
      </w:r>
      <w:r w:rsidRPr="00390603">
        <w:rPr>
          <w:i/>
          <w:sz w:val="24"/>
          <w:szCs w:val="24"/>
        </w:rPr>
        <w:t>La retribuzione sufficiente e le norme della Costituzione</w:t>
      </w:r>
      <w:r w:rsidRPr="00390603">
        <w:rPr>
          <w:sz w:val="24"/>
          <w:szCs w:val="24"/>
        </w:rPr>
        <w:t xml:space="preserve">, in </w:t>
      </w:r>
      <w:r w:rsidRPr="00390603">
        <w:rPr>
          <w:i/>
          <w:sz w:val="24"/>
          <w:szCs w:val="24"/>
        </w:rPr>
        <w:t>RGL</w:t>
      </w:r>
      <w:r w:rsidRPr="00390603">
        <w:rPr>
          <w:sz w:val="24"/>
          <w:szCs w:val="24"/>
        </w:rPr>
        <w:t xml:space="preserve">, 1950, I, p. 190, A. Cessari, </w:t>
      </w:r>
      <w:r w:rsidRPr="00390603">
        <w:rPr>
          <w:i/>
          <w:sz w:val="24"/>
          <w:szCs w:val="24"/>
        </w:rPr>
        <w:t>L’invalidità del contratto di lavoro per violazione dell’art. 36 Cost.</w:t>
      </w:r>
      <w:r w:rsidRPr="00390603">
        <w:rPr>
          <w:sz w:val="24"/>
          <w:szCs w:val="24"/>
        </w:rPr>
        <w:t xml:space="preserve">, in </w:t>
      </w:r>
      <w:r w:rsidRPr="00390603">
        <w:rPr>
          <w:i/>
          <w:sz w:val="24"/>
          <w:szCs w:val="24"/>
        </w:rPr>
        <w:t>Dir. lav.</w:t>
      </w:r>
      <w:r w:rsidRPr="00390603">
        <w:rPr>
          <w:sz w:val="24"/>
          <w:szCs w:val="24"/>
        </w:rPr>
        <w:t xml:space="preserve">, 1951, II, p. 197, U. Natoli, </w:t>
      </w:r>
      <w:r w:rsidRPr="00390603">
        <w:rPr>
          <w:i/>
          <w:sz w:val="24"/>
          <w:szCs w:val="24"/>
        </w:rPr>
        <w:t>Ancora sull’art. 36 Cost. e sulla sua pratica attuazione</w:t>
      </w:r>
      <w:r w:rsidRPr="00390603">
        <w:rPr>
          <w:sz w:val="24"/>
          <w:szCs w:val="24"/>
        </w:rPr>
        <w:t xml:space="preserve">, in </w:t>
      </w:r>
      <w:r w:rsidRPr="00390603">
        <w:rPr>
          <w:i/>
          <w:sz w:val="24"/>
          <w:szCs w:val="24"/>
        </w:rPr>
        <w:t>Riv. giur. lav.</w:t>
      </w:r>
      <w:r w:rsidRPr="00390603">
        <w:rPr>
          <w:sz w:val="24"/>
          <w:szCs w:val="24"/>
        </w:rPr>
        <w:t xml:space="preserve">, 1952, II, p. 9, R. Scognamiglio, </w:t>
      </w:r>
      <w:r w:rsidRPr="00390603">
        <w:rPr>
          <w:i/>
          <w:sz w:val="24"/>
          <w:szCs w:val="24"/>
        </w:rPr>
        <w:t>Sull’applicabilità dell’art. 36 Cost. in tema di retribuzione del lavoratore</w:t>
      </w:r>
      <w:r w:rsidRPr="00390603">
        <w:rPr>
          <w:sz w:val="24"/>
          <w:szCs w:val="24"/>
        </w:rPr>
        <w:t xml:space="preserve">, in </w:t>
      </w:r>
      <w:r w:rsidRPr="00390603">
        <w:rPr>
          <w:i/>
          <w:sz w:val="24"/>
          <w:szCs w:val="24"/>
        </w:rPr>
        <w:t xml:space="preserve">Foro civ., </w:t>
      </w:r>
      <w:r w:rsidRPr="00390603">
        <w:rPr>
          <w:sz w:val="24"/>
          <w:szCs w:val="24"/>
        </w:rPr>
        <w:t>1951, p.352.</w:t>
      </w:r>
    </w:p>
  </w:footnote>
  <w:footnote w:id="46">
    <w:p w:rsidR="00BD2278" w:rsidRDefault="00BD2278" w:rsidP="00120EC1">
      <w:pPr>
        <w:pStyle w:val="FootnoteText"/>
      </w:pPr>
      <w:r w:rsidRPr="00390603">
        <w:rPr>
          <w:rStyle w:val="FootnoteReference"/>
          <w:sz w:val="24"/>
          <w:szCs w:val="24"/>
        </w:rPr>
        <w:footnoteRef/>
      </w:r>
      <w:r w:rsidRPr="00390603">
        <w:rPr>
          <w:sz w:val="24"/>
          <w:szCs w:val="24"/>
        </w:rPr>
        <w:t xml:space="preserve"> Cfr. G. Ardau, </w:t>
      </w:r>
      <w:r w:rsidRPr="00390603">
        <w:rPr>
          <w:i/>
          <w:sz w:val="24"/>
          <w:szCs w:val="24"/>
        </w:rPr>
        <w:t>La Costituzione della Repubblica e la determinazione della retribuzione</w:t>
      </w:r>
      <w:r w:rsidRPr="00390603">
        <w:rPr>
          <w:sz w:val="24"/>
          <w:szCs w:val="24"/>
        </w:rPr>
        <w:t xml:space="preserve">, in </w:t>
      </w:r>
      <w:r w:rsidRPr="00390603">
        <w:rPr>
          <w:i/>
          <w:sz w:val="24"/>
          <w:szCs w:val="24"/>
        </w:rPr>
        <w:t>Jus</w:t>
      </w:r>
      <w:r w:rsidRPr="00390603">
        <w:rPr>
          <w:sz w:val="24"/>
          <w:szCs w:val="24"/>
        </w:rPr>
        <w:t xml:space="preserve">, 1952, p. 550, A. Sermonti, </w:t>
      </w:r>
      <w:r w:rsidRPr="00390603">
        <w:rPr>
          <w:i/>
          <w:sz w:val="24"/>
          <w:szCs w:val="24"/>
        </w:rPr>
        <w:t>L’adeguatezza della retribuzione di fronte ai contratti collettivi di diritto comune e il primo comma dell’art. 36 Cost.</w:t>
      </w:r>
      <w:r w:rsidRPr="00390603">
        <w:rPr>
          <w:sz w:val="24"/>
          <w:szCs w:val="24"/>
        </w:rPr>
        <w:t>, in</w:t>
      </w:r>
      <w:r w:rsidRPr="00390603">
        <w:rPr>
          <w:i/>
          <w:sz w:val="24"/>
          <w:szCs w:val="24"/>
        </w:rPr>
        <w:t xml:space="preserve"> MGL</w:t>
      </w:r>
      <w:r w:rsidRPr="00390603">
        <w:rPr>
          <w:sz w:val="24"/>
          <w:szCs w:val="24"/>
        </w:rPr>
        <w:t xml:space="preserve">, 1952, p. 128, G. Pera, </w:t>
      </w:r>
      <w:r w:rsidRPr="00390603">
        <w:rPr>
          <w:i/>
          <w:sz w:val="24"/>
          <w:szCs w:val="24"/>
        </w:rPr>
        <w:t>La giusta retribuzione dell’art. 36 Cost.</w:t>
      </w:r>
      <w:r w:rsidRPr="00390603">
        <w:rPr>
          <w:sz w:val="24"/>
          <w:szCs w:val="24"/>
        </w:rPr>
        <w:t xml:space="preserve">, in </w:t>
      </w:r>
      <w:r w:rsidRPr="00390603">
        <w:rPr>
          <w:i/>
          <w:sz w:val="24"/>
          <w:szCs w:val="24"/>
        </w:rPr>
        <w:t>Dir. lav.</w:t>
      </w:r>
      <w:r w:rsidRPr="00390603">
        <w:rPr>
          <w:sz w:val="24"/>
          <w:szCs w:val="24"/>
        </w:rPr>
        <w:t xml:space="preserve">, 1953, I, p. 99, F. Guidotti, </w:t>
      </w:r>
      <w:r w:rsidRPr="00390603">
        <w:rPr>
          <w:i/>
          <w:sz w:val="24"/>
          <w:szCs w:val="24"/>
        </w:rPr>
        <w:t>La retribuzione nel rapporto di lavoro</w:t>
      </w:r>
      <w:r w:rsidRPr="00390603">
        <w:rPr>
          <w:sz w:val="24"/>
          <w:szCs w:val="24"/>
        </w:rPr>
        <w:t>, Milano, 1956.</w:t>
      </w:r>
    </w:p>
  </w:footnote>
  <w:footnote w:id="47">
    <w:p w:rsidR="00BD2278" w:rsidRPr="00390603" w:rsidRDefault="00BD2278" w:rsidP="00120EC1">
      <w:pPr>
        <w:pStyle w:val="FootnoteText"/>
        <w:rPr>
          <w:sz w:val="24"/>
          <w:szCs w:val="24"/>
        </w:rPr>
      </w:pPr>
      <w:r w:rsidRPr="00390603">
        <w:rPr>
          <w:rStyle w:val="FootnoteReference"/>
          <w:sz w:val="24"/>
          <w:szCs w:val="24"/>
        </w:rPr>
        <w:footnoteRef/>
      </w:r>
      <w:r w:rsidRPr="00390603">
        <w:rPr>
          <w:sz w:val="24"/>
          <w:szCs w:val="24"/>
        </w:rPr>
        <w:t xml:space="preserve"> Cfr. T. Treu, </w:t>
      </w:r>
      <w:r w:rsidRPr="00390603">
        <w:rPr>
          <w:i/>
          <w:sz w:val="24"/>
          <w:szCs w:val="24"/>
        </w:rPr>
        <w:t xml:space="preserve">Commento sub art. 36, </w:t>
      </w:r>
      <w:r w:rsidRPr="00390603">
        <w:rPr>
          <w:sz w:val="24"/>
          <w:szCs w:val="24"/>
        </w:rPr>
        <w:t>cit., p. 77.</w:t>
      </w:r>
    </w:p>
    <w:p w:rsidR="00BD2278" w:rsidRDefault="00BD2278" w:rsidP="00120EC1">
      <w:pPr>
        <w:pStyle w:val="FootnoteText"/>
      </w:pPr>
      <w:r w:rsidRPr="00390603">
        <w:rPr>
          <w:sz w:val="24"/>
          <w:szCs w:val="24"/>
        </w:rPr>
        <w:t xml:space="preserve">In effetti questa posizione sembra coerente con quella secondo cui “L’art. 36 della Costituzione, nato senza dubbio come norma programmatica, che avrebbe trovato concretezza soprattutto nel meccanismo di contrattazione con efficacia generale di cui all’inattuato art. 39, fu improvvisamente accettato tra il 1950 e il 1951, come norma precettiva, atta a colmare quello che allora appariva come il vuoto legislativo derivante dall’inattuazione dell’art. 39”. Cfr. G. Giugni, introduzione a M. L. De Cristofaro, </w:t>
      </w:r>
      <w:r w:rsidRPr="00390603">
        <w:rPr>
          <w:i/>
          <w:sz w:val="24"/>
          <w:szCs w:val="24"/>
        </w:rPr>
        <w:t xml:space="preserve">La Giusta retribuzione, </w:t>
      </w:r>
      <w:r w:rsidRPr="00390603">
        <w:rPr>
          <w:sz w:val="24"/>
          <w:szCs w:val="24"/>
        </w:rPr>
        <w:t>Bologna, 1971, p. 9 e ss. Da notare inoltre che l’A. non esclude la possibilità di un intervento legislativo per la regolamentazione della retribuzione pur ritenendo la volontà del legislatore costituente andasse verso la determinazione della giusta retribuzione “soprattutto” attraverso lo strumento dell’autonomia collettiva.</w:t>
      </w:r>
    </w:p>
  </w:footnote>
  <w:footnote w:id="48">
    <w:p w:rsidR="00BD2278" w:rsidRDefault="00BD2278" w:rsidP="00120EC1">
      <w:pPr>
        <w:pStyle w:val="FootnoteText"/>
      </w:pPr>
      <w:r w:rsidRPr="00390603">
        <w:rPr>
          <w:rStyle w:val="FootnoteReference"/>
          <w:sz w:val="24"/>
          <w:szCs w:val="24"/>
        </w:rPr>
        <w:footnoteRef/>
      </w:r>
      <w:r w:rsidRPr="00390603">
        <w:rPr>
          <w:sz w:val="24"/>
          <w:szCs w:val="24"/>
        </w:rPr>
        <w:t xml:space="preserve"> Il precedente di legittimità, (sent. Corte Cass. 228/1953) per quanto consta inedito, è richiamato dalla sentenza del Tribunale di Foggia, 14 febbraio 1953, n. 447, in M. L. De Cristofaro, </w:t>
      </w:r>
      <w:r w:rsidRPr="00390603">
        <w:rPr>
          <w:i/>
          <w:sz w:val="24"/>
          <w:szCs w:val="24"/>
        </w:rPr>
        <w:t>La giusta retribuzione</w:t>
      </w:r>
      <w:r w:rsidRPr="00390603">
        <w:rPr>
          <w:sz w:val="24"/>
          <w:szCs w:val="24"/>
        </w:rPr>
        <w:t>, cit., p. 92.</w:t>
      </w:r>
    </w:p>
  </w:footnote>
  <w:footnote w:id="49">
    <w:p w:rsidR="00BD2278" w:rsidRDefault="00BD2278" w:rsidP="00120EC1">
      <w:pPr>
        <w:pStyle w:val="FootnoteText"/>
      </w:pPr>
      <w:r w:rsidRPr="00390603">
        <w:rPr>
          <w:rStyle w:val="FootnoteReference"/>
          <w:sz w:val="24"/>
          <w:szCs w:val="24"/>
        </w:rPr>
        <w:footnoteRef/>
      </w:r>
      <w:r w:rsidRPr="00390603">
        <w:rPr>
          <w:sz w:val="24"/>
          <w:szCs w:val="24"/>
        </w:rPr>
        <w:t xml:space="preserve"> Cass. Civ., sent. 12 maggio 1951, n.1184, in </w:t>
      </w:r>
      <w:r w:rsidRPr="00390603">
        <w:rPr>
          <w:i/>
          <w:sz w:val="24"/>
          <w:szCs w:val="24"/>
        </w:rPr>
        <w:t>MGL</w:t>
      </w:r>
      <w:r w:rsidRPr="00390603">
        <w:rPr>
          <w:sz w:val="24"/>
          <w:szCs w:val="24"/>
        </w:rPr>
        <w:t>, 1951, p. 157, con nota di A. Sermonti.</w:t>
      </w:r>
    </w:p>
  </w:footnote>
  <w:footnote w:id="50">
    <w:p w:rsidR="00BD2278" w:rsidRDefault="00BD2278" w:rsidP="00120EC1">
      <w:pPr>
        <w:pStyle w:val="FootnoteText"/>
      </w:pPr>
      <w:r w:rsidRPr="00390603">
        <w:rPr>
          <w:rStyle w:val="FootnoteReference"/>
          <w:sz w:val="24"/>
          <w:szCs w:val="24"/>
        </w:rPr>
        <w:footnoteRef/>
      </w:r>
      <w:r w:rsidRPr="00390603">
        <w:rPr>
          <w:sz w:val="24"/>
          <w:szCs w:val="24"/>
        </w:rPr>
        <w:t xml:space="preserve"> Cfr. M. Roccella, </w:t>
      </w:r>
      <w:r w:rsidRPr="00390603">
        <w:rPr>
          <w:i/>
          <w:sz w:val="24"/>
          <w:szCs w:val="24"/>
        </w:rPr>
        <w:t>Il salario minimo legale</w:t>
      </w:r>
      <w:r w:rsidRPr="00390603">
        <w:rPr>
          <w:sz w:val="24"/>
          <w:szCs w:val="24"/>
        </w:rPr>
        <w:t xml:space="preserve">, in </w:t>
      </w:r>
      <w:r w:rsidRPr="00390603">
        <w:rPr>
          <w:i/>
          <w:sz w:val="24"/>
          <w:szCs w:val="24"/>
        </w:rPr>
        <w:t>Pol. dir.</w:t>
      </w:r>
      <w:r w:rsidRPr="00390603">
        <w:rPr>
          <w:sz w:val="24"/>
          <w:szCs w:val="24"/>
        </w:rPr>
        <w:t>, 1983, 2, p. 254.</w:t>
      </w:r>
    </w:p>
  </w:footnote>
  <w:footnote w:id="51">
    <w:p w:rsidR="00BD2278" w:rsidRDefault="00BD2278" w:rsidP="00120EC1">
      <w:pPr>
        <w:pStyle w:val="FootnoteText"/>
      </w:pPr>
      <w:r w:rsidRPr="00390603">
        <w:rPr>
          <w:rStyle w:val="FootnoteReference"/>
          <w:sz w:val="24"/>
          <w:szCs w:val="24"/>
        </w:rPr>
        <w:footnoteRef/>
      </w:r>
      <w:r w:rsidRPr="00390603">
        <w:rPr>
          <w:sz w:val="24"/>
          <w:szCs w:val="24"/>
        </w:rPr>
        <w:t xml:space="preserve"> Cfr. T. Treu, </w:t>
      </w:r>
      <w:r w:rsidRPr="00390603">
        <w:rPr>
          <w:i/>
          <w:sz w:val="24"/>
          <w:szCs w:val="24"/>
        </w:rPr>
        <w:t xml:space="preserve">Commento all’art. 36, </w:t>
      </w:r>
      <w:r w:rsidRPr="00390603">
        <w:rPr>
          <w:sz w:val="24"/>
          <w:szCs w:val="24"/>
        </w:rPr>
        <w:t>cit., p. 77.</w:t>
      </w:r>
    </w:p>
  </w:footnote>
  <w:footnote w:id="52">
    <w:p w:rsidR="00BD2278" w:rsidRDefault="00BD2278" w:rsidP="00120EC1">
      <w:pPr>
        <w:pStyle w:val="FootnoteText"/>
      </w:pPr>
      <w:r w:rsidRPr="00390603">
        <w:rPr>
          <w:rStyle w:val="FootnoteReference"/>
          <w:sz w:val="24"/>
          <w:szCs w:val="24"/>
        </w:rPr>
        <w:footnoteRef/>
      </w:r>
      <w:r w:rsidRPr="00390603">
        <w:rPr>
          <w:sz w:val="24"/>
          <w:szCs w:val="24"/>
        </w:rPr>
        <w:t xml:space="preserve"> Cfr. M. Marinelli, </w:t>
      </w:r>
      <w:r w:rsidRPr="00390603">
        <w:rPr>
          <w:i/>
          <w:sz w:val="24"/>
          <w:szCs w:val="24"/>
        </w:rPr>
        <w:t xml:space="preserve">Il diritto alla retribuzione proporzionata e sufficiente: problemi e prospettive, </w:t>
      </w:r>
      <w:r w:rsidRPr="00390603">
        <w:rPr>
          <w:sz w:val="24"/>
          <w:szCs w:val="24"/>
        </w:rPr>
        <w:t xml:space="preserve">in </w:t>
      </w:r>
      <w:r w:rsidRPr="00390603">
        <w:rPr>
          <w:i/>
          <w:sz w:val="24"/>
          <w:szCs w:val="24"/>
        </w:rPr>
        <w:t xml:space="preserve">Arg. Dir. lav., </w:t>
      </w:r>
      <w:r w:rsidRPr="00390603">
        <w:rPr>
          <w:sz w:val="24"/>
          <w:szCs w:val="24"/>
        </w:rPr>
        <w:t xml:space="preserve">2010, I, p. 87; P. Ichino, </w:t>
      </w:r>
      <w:r w:rsidRPr="00390603">
        <w:rPr>
          <w:i/>
          <w:sz w:val="24"/>
          <w:szCs w:val="24"/>
        </w:rPr>
        <w:t>La nozione di giusta retribuzione</w:t>
      </w:r>
      <w:r w:rsidRPr="00390603">
        <w:rPr>
          <w:sz w:val="24"/>
          <w:szCs w:val="24"/>
        </w:rPr>
        <w:t>, cit., p. 739.</w:t>
      </w:r>
    </w:p>
  </w:footnote>
  <w:footnote w:id="53">
    <w:p w:rsidR="00BD2278" w:rsidRDefault="00BD2278" w:rsidP="00120EC1">
      <w:pPr>
        <w:pStyle w:val="FootnoteText"/>
      </w:pPr>
      <w:r w:rsidRPr="00390603">
        <w:rPr>
          <w:rStyle w:val="FootnoteReference"/>
          <w:sz w:val="24"/>
          <w:szCs w:val="24"/>
        </w:rPr>
        <w:footnoteRef/>
      </w:r>
      <w:r w:rsidRPr="00390603">
        <w:rPr>
          <w:sz w:val="24"/>
          <w:szCs w:val="24"/>
        </w:rPr>
        <w:t xml:space="preserve"> Cfr. T. Treu, </w:t>
      </w:r>
      <w:r w:rsidRPr="00390603">
        <w:rPr>
          <w:i/>
          <w:sz w:val="24"/>
          <w:szCs w:val="24"/>
        </w:rPr>
        <w:t>Costo del lavoro e sistema retributivo in Italia</w:t>
      </w:r>
      <w:r w:rsidRPr="00390603">
        <w:rPr>
          <w:sz w:val="24"/>
          <w:szCs w:val="24"/>
        </w:rPr>
        <w:t xml:space="preserve">, in </w:t>
      </w:r>
      <w:r w:rsidRPr="00390603">
        <w:rPr>
          <w:i/>
          <w:sz w:val="24"/>
          <w:szCs w:val="24"/>
        </w:rPr>
        <w:t>La retribuzione. Struttura e regime giuridico</w:t>
      </w:r>
      <w:r w:rsidRPr="00390603">
        <w:rPr>
          <w:sz w:val="24"/>
          <w:szCs w:val="24"/>
        </w:rPr>
        <w:t xml:space="preserve">, a cura di B. Caruso, C. Zoli, L. Zoppoli, Napoli, 1994, p. 24 ss.; M. Roccella, </w:t>
      </w:r>
      <w:r w:rsidRPr="00390603">
        <w:rPr>
          <w:i/>
          <w:sz w:val="24"/>
          <w:szCs w:val="24"/>
        </w:rPr>
        <w:t>Oltre l’indicizzazione dei salari</w:t>
      </w:r>
      <w:r w:rsidRPr="00390603">
        <w:rPr>
          <w:sz w:val="24"/>
          <w:szCs w:val="24"/>
        </w:rPr>
        <w:t xml:space="preserve">, in </w:t>
      </w:r>
      <w:r w:rsidRPr="00390603">
        <w:rPr>
          <w:i/>
          <w:sz w:val="24"/>
          <w:szCs w:val="24"/>
        </w:rPr>
        <w:t>Lav. Dir.</w:t>
      </w:r>
      <w:r w:rsidRPr="00390603">
        <w:rPr>
          <w:sz w:val="24"/>
          <w:szCs w:val="24"/>
        </w:rPr>
        <w:t>, 1993, 3, p.444; I</w:t>
      </w:r>
      <w:r w:rsidRPr="00390603">
        <w:rPr>
          <w:smallCaps/>
          <w:sz w:val="24"/>
          <w:szCs w:val="24"/>
        </w:rPr>
        <w:t xml:space="preserve">d, </w:t>
      </w:r>
      <w:r w:rsidRPr="00390603">
        <w:rPr>
          <w:i/>
          <w:smallCaps/>
          <w:sz w:val="24"/>
          <w:szCs w:val="24"/>
        </w:rPr>
        <w:t xml:space="preserve">I </w:t>
      </w:r>
      <w:r w:rsidRPr="00390603">
        <w:rPr>
          <w:i/>
          <w:sz w:val="24"/>
          <w:szCs w:val="24"/>
        </w:rPr>
        <w:t>salari</w:t>
      </w:r>
      <w:r w:rsidRPr="00390603">
        <w:rPr>
          <w:sz w:val="24"/>
          <w:szCs w:val="24"/>
        </w:rPr>
        <w:t xml:space="preserve">, Bologna, 1986, p 79 ss., A. Garilli, </w:t>
      </w:r>
      <w:r w:rsidRPr="00390603">
        <w:rPr>
          <w:i/>
          <w:sz w:val="24"/>
          <w:szCs w:val="24"/>
        </w:rPr>
        <w:t xml:space="preserve">Il lavoro nel sud, </w:t>
      </w:r>
      <w:r w:rsidRPr="00390603">
        <w:rPr>
          <w:sz w:val="24"/>
          <w:szCs w:val="24"/>
        </w:rPr>
        <w:t xml:space="preserve">Torino, 1997, p. 45; A. Bellavista, </w:t>
      </w:r>
      <w:r w:rsidRPr="00390603">
        <w:rPr>
          <w:i/>
          <w:sz w:val="24"/>
          <w:szCs w:val="24"/>
        </w:rPr>
        <w:t>I contratti di riallineamento retributivo</w:t>
      </w:r>
      <w:r w:rsidRPr="00390603">
        <w:rPr>
          <w:sz w:val="24"/>
          <w:szCs w:val="24"/>
        </w:rPr>
        <w:t xml:space="preserve">, in </w:t>
      </w:r>
      <w:r w:rsidRPr="00390603">
        <w:rPr>
          <w:i/>
          <w:sz w:val="24"/>
          <w:szCs w:val="24"/>
        </w:rPr>
        <w:t>Il pacchetto Treu</w:t>
      </w:r>
      <w:r w:rsidRPr="00390603">
        <w:rPr>
          <w:sz w:val="24"/>
          <w:szCs w:val="24"/>
        </w:rPr>
        <w:t xml:space="preserve">, a cura di M. Napoli, in </w:t>
      </w:r>
      <w:r w:rsidRPr="00390603">
        <w:rPr>
          <w:i/>
          <w:sz w:val="24"/>
          <w:szCs w:val="24"/>
        </w:rPr>
        <w:t>Le nuove leggi civili commentate</w:t>
      </w:r>
      <w:r w:rsidRPr="00390603">
        <w:rPr>
          <w:sz w:val="24"/>
          <w:szCs w:val="24"/>
        </w:rPr>
        <w:t xml:space="preserve">, 1998, 5-6, p.1413; P. Ichino, </w:t>
      </w:r>
      <w:r w:rsidRPr="00390603">
        <w:rPr>
          <w:i/>
          <w:sz w:val="24"/>
          <w:szCs w:val="24"/>
        </w:rPr>
        <w:t>La nozione di giusta retribuzione</w:t>
      </w:r>
      <w:r w:rsidRPr="00390603">
        <w:rPr>
          <w:sz w:val="24"/>
          <w:szCs w:val="24"/>
        </w:rPr>
        <w:t>, cit., p. 739.</w:t>
      </w:r>
    </w:p>
  </w:footnote>
  <w:footnote w:id="54">
    <w:p w:rsidR="00BD2278" w:rsidRPr="00390603" w:rsidRDefault="00BD2278" w:rsidP="00120EC1">
      <w:pPr>
        <w:pStyle w:val="FootnoteText"/>
        <w:rPr>
          <w:sz w:val="24"/>
          <w:szCs w:val="24"/>
        </w:rPr>
      </w:pPr>
      <w:r w:rsidRPr="00390603">
        <w:rPr>
          <w:rStyle w:val="FootnoteReference"/>
          <w:sz w:val="24"/>
          <w:szCs w:val="24"/>
        </w:rPr>
        <w:footnoteRef/>
      </w:r>
      <w:r w:rsidRPr="00390603">
        <w:rPr>
          <w:sz w:val="24"/>
          <w:szCs w:val="24"/>
        </w:rPr>
        <w:t xml:space="preserve"> “Il contratto collettivo… offre una tutela più spontanea e quindi più aderente alle reali esigenze del lavoro e della produzione, e, se pure rappresenta una limitazione della libertà contrattuale, lascia però sempre spazio ad un effettivo contrasto di interessi. Sta di fatto che solo attraverso una reale competizione di forze economiche è possibile giungere all’effettivo riconoscimento, alla valorizzazione ed alla composizione degli interessi delle varie categorie e quindi anche a rendersi conto nel modo migliore di quale sia, secondo le circostanze economico-sociali concrete, il livello minimi al disotto del quale la rimunerazione degli operai non può discendere”. L. Riva Sanseverino, </w:t>
      </w:r>
      <w:r w:rsidRPr="00390603">
        <w:rPr>
          <w:i/>
          <w:sz w:val="24"/>
          <w:szCs w:val="24"/>
        </w:rPr>
        <w:t>Salario minimo e salario corporativo</w:t>
      </w:r>
      <w:r w:rsidRPr="00390603">
        <w:rPr>
          <w:sz w:val="24"/>
          <w:szCs w:val="24"/>
        </w:rPr>
        <w:t xml:space="preserve">, Roma, 1931, p. 57. Cfr. anche L. Riva Sanseverino, Commento </w:t>
      </w:r>
      <w:r w:rsidRPr="00390603">
        <w:rPr>
          <w:i/>
          <w:sz w:val="24"/>
          <w:szCs w:val="24"/>
        </w:rPr>
        <w:t>sub art. 2099</w:t>
      </w:r>
      <w:r w:rsidRPr="00390603">
        <w:rPr>
          <w:sz w:val="24"/>
          <w:szCs w:val="24"/>
        </w:rPr>
        <w:t xml:space="preserve">, in </w:t>
      </w:r>
      <w:r w:rsidRPr="00390603">
        <w:rPr>
          <w:i/>
          <w:sz w:val="24"/>
          <w:szCs w:val="24"/>
        </w:rPr>
        <w:t>Commentario del codice civile</w:t>
      </w:r>
      <w:r w:rsidRPr="00390603">
        <w:rPr>
          <w:sz w:val="24"/>
          <w:szCs w:val="24"/>
        </w:rPr>
        <w:t xml:space="preserve"> a cura di A. Scialoja, G. Branca, Bologna-Roma, 1986, p. 336.</w:t>
      </w:r>
    </w:p>
    <w:p w:rsidR="00BD2278" w:rsidRDefault="00BD2278" w:rsidP="00120EC1">
      <w:pPr>
        <w:pStyle w:val="FootnoteText"/>
      </w:pPr>
      <w:r w:rsidRPr="00390603">
        <w:rPr>
          <w:sz w:val="24"/>
          <w:szCs w:val="24"/>
        </w:rPr>
        <w:t xml:space="preserve">Anche la Corte costituzionale si è espressa in senso sostanzialmente identico ritenendo che  i contratti collettivi e i contratti aziendali “quali estrinsecazioni del potere delle associazioni sindacali, sono frutto e risultato di trattative e patteggiamenti e costituiscono una regolamentazione che, in una determinata situazione di mercato, è il punto di incontro, di contemperamento e di coordinamento dei configgenti interessi dei lavoratori e degli imprenditori”. Cfr. Corte cost. sent. 9 marzo 1989, n. 103, in </w:t>
      </w:r>
      <w:r w:rsidRPr="00390603">
        <w:rPr>
          <w:i/>
          <w:sz w:val="24"/>
          <w:szCs w:val="24"/>
        </w:rPr>
        <w:t>Riv. giur. lav. prev. soc.</w:t>
      </w:r>
      <w:r w:rsidRPr="00390603">
        <w:rPr>
          <w:sz w:val="24"/>
          <w:szCs w:val="24"/>
        </w:rPr>
        <w:t xml:space="preserve">, 1989, I, p. 3 con nota di U. Natoli; in </w:t>
      </w:r>
      <w:r w:rsidRPr="00390603">
        <w:rPr>
          <w:i/>
          <w:sz w:val="24"/>
          <w:szCs w:val="24"/>
        </w:rPr>
        <w:t>Riv. it. dir. lav.</w:t>
      </w:r>
      <w:r w:rsidRPr="00390603">
        <w:rPr>
          <w:sz w:val="24"/>
          <w:szCs w:val="24"/>
        </w:rPr>
        <w:t>, 1989, II, p. 389, con commento di G. Pera.</w:t>
      </w:r>
    </w:p>
  </w:footnote>
  <w:footnote w:id="55">
    <w:p w:rsidR="00BD2278" w:rsidRDefault="00BD2278" w:rsidP="00120EC1">
      <w:pPr>
        <w:pStyle w:val="FootnoteText"/>
      </w:pPr>
      <w:r w:rsidRPr="00390603">
        <w:rPr>
          <w:rStyle w:val="FootnoteReference"/>
          <w:sz w:val="24"/>
          <w:szCs w:val="24"/>
        </w:rPr>
        <w:footnoteRef/>
      </w:r>
      <w:r w:rsidRPr="00390603">
        <w:rPr>
          <w:sz w:val="24"/>
          <w:szCs w:val="24"/>
        </w:rPr>
        <w:t xml:space="preserve"> M. L. De Cristofaro, </w:t>
      </w:r>
      <w:r w:rsidRPr="00390603">
        <w:rPr>
          <w:i/>
          <w:sz w:val="24"/>
          <w:szCs w:val="24"/>
        </w:rPr>
        <w:t xml:space="preserve">La giusta retribuzione, </w:t>
      </w:r>
      <w:r w:rsidRPr="00390603">
        <w:rPr>
          <w:sz w:val="24"/>
          <w:szCs w:val="24"/>
        </w:rPr>
        <w:t>Bologna, 1971, p. 96 e ss.</w:t>
      </w:r>
    </w:p>
  </w:footnote>
  <w:footnote w:id="56">
    <w:p w:rsidR="00BD2278" w:rsidRPr="00390603" w:rsidRDefault="00BD2278" w:rsidP="00120EC1">
      <w:pPr>
        <w:pStyle w:val="FootnoteText"/>
        <w:rPr>
          <w:sz w:val="24"/>
          <w:szCs w:val="24"/>
        </w:rPr>
      </w:pPr>
      <w:r w:rsidRPr="00390603">
        <w:rPr>
          <w:rStyle w:val="FootnoteReference"/>
          <w:sz w:val="24"/>
          <w:szCs w:val="24"/>
        </w:rPr>
        <w:footnoteRef/>
      </w:r>
      <w:r w:rsidRPr="00390603">
        <w:rPr>
          <w:sz w:val="24"/>
          <w:szCs w:val="24"/>
        </w:rPr>
        <w:t xml:space="preserve"> T. Treu, </w:t>
      </w:r>
      <w:r w:rsidRPr="00390603">
        <w:rPr>
          <w:i/>
          <w:sz w:val="24"/>
          <w:szCs w:val="24"/>
        </w:rPr>
        <w:t>Problemi giuridici della retribuzione</w:t>
      </w:r>
      <w:r w:rsidRPr="00390603">
        <w:rPr>
          <w:sz w:val="24"/>
          <w:szCs w:val="24"/>
        </w:rPr>
        <w:t xml:space="preserve">, in </w:t>
      </w:r>
      <w:r w:rsidRPr="00390603">
        <w:rPr>
          <w:i/>
          <w:sz w:val="24"/>
          <w:szCs w:val="24"/>
        </w:rPr>
        <w:t>Giorn. dir. lav. rel. ind.</w:t>
      </w:r>
      <w:r w:rsidRPr="00390603">
        <w:rPr>
          <w:sz w:val="24"/>
          <w:szCs w:val="24"/>
        </w:rPr>
        <w:t>, 1980, 5, p. 5.</w:t>
      </w:r>
    </w:p>
    <w:p w:rsidR="00BD2278" w:rsidRDefault="00BD2278" w:rsidP="00120EC1">
      <w:pPr>
        <w:pStyle w:val="FootnoteText"/>
      </w:pPr>
      <w:r w:rsidRPr="00390603">
        <w:rPr>
          <w:sz w:val="24"/>
          <w:szCs w:val="24"/>
        </w:rPr>
        <w:t xml:space="preserve">Cfr. da ultimo, Corte Cass., 8 gennaio 2002, n. 132, in </w:t>
      </w:r>
      <w:r w:rsidRPr="00390603">
        <w:rPr>
          <w:i/>
          <w:sz w:val="24"/>
          <w:szCs w:val="24"/>
        </w:rPr>
        <w:t>Foro it.</w:t>
      </w:r>
      <w:r w:rsidRPr="00390603">
        <w:rPr>
          <w:sz w:val="24"/>
          <w:szCs w:val="24"/>
        </w:rPr>
        <w:t>, 2002, I, 1033; Cass. 29 luglio 2000, n. 10002, in</w:t>
      </w:r>
      <w:r w:rsidRPr="00390603">
        <w:rPr>
          <w:i/>
          <w:sz w:val="24"/>
          <w:szCs w:val="24"/>
        </w:rPr>
        <w:t xml:space="preserve"> Rep. Foro it.</w:t>
      </w:r>
      <w:r w:rsidRPr="00390603">
        <w:rPr>
          <w:sz w:val="24"/>
          <w:szCs w:val="24"/>
        </w:rPr>
        <w:t xml:space="preserve">, 2001, voce Lavoro (contratto) [3850], n. 37; Corte Cass., 17 marzo 2000, n. 3184, in </w:t>
      </w:r>
      <w:r w:rsidRPr="00390603">
        <w:rPr>
          <w:i/>
          <w:sz w:val="24"/>
          <w:szCs w:val="24"/>
        </w:rPr>
        <w:t>Rep. Foro it.</w:t>
      </w:r>
      <w:r w:rsidRPr="00390603">
        <w:rPr>
          <w:sz w:val="24"/>
          <w:szCs w:val="24"/>
        </w:rPr>
        <w:t xml:space="preserve">, 2000, voce Lavoro (contratto) [3890], n. 1303; Corte Cass., 26 marzo 1998, n. 3218, in </w:t>
      </w:r>
      <w:r w:rsidRPr="00390603">
        <w:rPr>
          <w:i/>
          <w:sz w:val="24"/>
          <w:szCs w:val="24"/>
        </w:rPr>
        <w:t>Foro it.</w:t>
      </w:r>
      <w:r w:rsidRPr="00390603">
        <w:rPr>
          <w:sz w:val="24"/>
          <w:szCs w:val="24"/>
        </w:rPr>
        <w:t xml:space="preserve">, 1998, </w:t>
      </w:r>
      <w:r w:rsidRPr="00390603">
        <w:rPr>
          <w:i/>
          <w:sz w:val="24"/>
          <w:szCs w:val="24"/>
        </w:rPr>
        <w:t xml:space="preserve">3227, con nota di M. Ricci; </w:t>
      </w:r>
      <w:r w:rsidRPr="00390603">
        <w:rPr>
          <w:sz w:val="24"/>
          <w:szCs w:val="24"/>
        </w:rPr>
        <w:t>Corte Cass., 15 dicembre 1997, n. 12663,</w:t>
      </w:r>
      <w:r w:rsidRPr="00390603">
        <w:rPr>
          <w:i/>
          <w:sz w:val="24"/>
          <w:szCs w:val="24"/>
        </w:rPr>
        <w:t xml:space="preserve"> </w:t>
      </w:r>
      <w:r w:rsidRPr="00390603">
        <w:rPr>
          <w:sz w:val="24"/>
          <w:szCs w:val="24"/>
        </w:rPr>
        <w:t xml:space="preserve">in </w:t>
      </w:r>
      <w:r w:rsidRPr="00390603">
        <w:rPr>
          <w:i/>
          <w:sz w:val="24"/>
          <w:szCs w:val="24"/>
        </w:rPr>
        <w:t>Rep. Foro it.</w:t>
      </w:r>
      <w:r w:rsidRPr="00390603">
        <w:rPr>
          <w:sz w:val="24"/>
          <w:szCs w:val="24"/>
        </w:rPr>
        <w:t>, 1998, voce Lavoro (contratto) [3850], n. 25.</w:t>
      </w:r>
    </w:p>
  </w:footnote>
  <w:footnote w:id="57">
    <w:p w:rsidR="00BD2278" w:rsidRDefault="00BD2278" w:rsidP="00120EC1">
      <w:pPr>
        <w:pStyle w:val="FootnoteText"/>
      </w:pPr>
      <w:r w:rsidRPr="00390603">
        <w:rPr>
          <w:rStyle w:val="FootnoteReference"/>
          <w:sz w:val="24"/>
          <w:szCs w:val="24"/>
        </w:rPr>
        <w:footnoteRef/>
      </w:r>
      <w:r w:rsidRPr="00390603">
        <w:rPr>
          <w:sz w:val="24"/>
          <w:szCs w:val="24"/>
        </w:rPr>
        <w:t xml:space="preserve"> S. Pugliatti, </w:t>
      </w:r>
      <w:r w:rsidRPr="00390603">
        <w:rPr>
          <w:i/>
          <w:sz w:val="24"/>
          <w:szCs w:val="24"/>
        </w:rPr>
        <w:t>La retribuzione sufficiente</w:t>
      </w:r>
      <w:r w:rsidRPr="00390603">
        <w:rPr>
          <w:sz w:val="24"/>
          <w:szCs w:val="24"/>
        </w:rPr>
        <w:t>, cit., p. 189.</w:t>
      </w:r>
    </w:p>
  </w:footnote>
  <w:footnote w:id="58">
    <w:p w:rsidR="00BD2278" w:rsidRDefault="00BD2278" w:rsidP="00120EC1">
      <w:pPr>
        <w:pStyle w:val="FootnoteText"/>
      </w:pPr>
      <w:r w:rsidRPr="00390603">
        <w:rPr>
          <w:rStyle w:val="FootnoteReference"/>
          <w:sz w:val="24"/>
          <w:szCs w:val="24"/>
        </w:rPr>
        <w:footnoteRef/>
      </w:r>
      <w:r w:rsidRPr="00390603">
        <w:rPr>
          <w:sz w:val="24"/>
          <w:szCs w:val="24"/>
        </w:rPr>
        <w:t xml:space="preserve"> L. Riva Sanseverino, </w:t>
      </w:r>
      <w:r w:rsidRPr="00390603">
        <w:rPr>
          <w:i/>
          <w:sz w:val="24"/>
          <w:szCs w:val="24"/>
        </w:rPr>
        <w:t>Salario minimo</w:t>
      </w:r>
      <w:r w:rsidRPr="00390603">
        <w:rPr>
          <w:sz w:val="24"/>
          <w:szCs w:val="24"/>
        </w:rPr>
        <w:t>, cit., p. 91.</w:t>
      </w:r>
    </w:p>
  </w:footnote>
  <w:footnote w:id="59">
    <w:p w:rsidR="00BD2278" w:rsidRDefault="00BD2278" w:rsidP="00120EC1">
      <w:pPr>
        <w:pStyle w:val="FootnoteText"/>
      </w:pPr>
      <w:r w:rsidRPr="00390603">
        <w:rPr>
          <w:rStyle w:val="FootnoteReference"/>
          <w:sz w:val="24"/>
          <w:szCs w:val="24"/>
        </w:rPr>
        <w:footnoteRef/>
      </w:r>
      <w:r w:rsidRPr="00390603">
        <w:rPr>
          <w:sz w:val="24"/>
          <w:szCs w:val="24"/>
        </w:rPr>
        <w:t xml:space="preserve"> G. Pera, </w:t>
      </w:r>
      <w:r w:rsidRPr="00390603">
        <w:rPr>
          <w:i/>
          <w:sz w:val="24"/>
          <w:szCs w:val="24"/>
        </w:rPr>
        <w:t xml:space="preserve">La determinazione della retribuzione giusta e sufficiente ad opera del giudice, </w:t>
      </w:r>
      <w:r w:rsidRPr="00390603">
        <w:rPr>
          <w:sz w:val="24"/>
          <w:szCs w:val="24"/>
        </w:rPr>
        <w:t xml:space="preserve">in </w:t>
      </w:r>
      <w:r w:rsidRPr="00390603">
        <w:rPr>
          <w:i/>
          <w:sz w:val="24"/>
          <w:szCs w:val="24"/>
        </w:rPr>
        <w:t>MGL</w:t>
      </w:r>
      <w:r w:rsidRPr="00390603">
        <w:rPr>
          <w:sz w:val="24"/>
          <w:szCs w:val="24"/>
        </w:rPr>
        <w:t>, 1961, p. 429</w:t>
      </w:r>
    </w:p>
  </w:footnote>
  <w:footnote w:id="60">
    <w:p w:rsidR="00BD2278" w:rsidRDefault="00BD2278" w:rsidP="00120EC1">
      <w:pPr>
        <w:pStyle w:val="FootnoteText"/>
      </w:pPr>
      <w:r w:rsidRPr="00390603">
        <w:rPr>
          <w:rStyle w:val="FootnoteReference"/>
          <w:sz w:val="24"/>
          <w:szCs w:val="24"/>
        </w:rPr>
        <w:footnoteRef/>
      </w:r>
      <w:r w:rsidRPr="00390603">
        <w:rPr>
          <w:sz w:val="24"/>
          <w:szCs w:val="24"/>
        </w:rPr>
        <w:t xml:space="preserve"> Cfr. L. Zoppoli, </w:t>
      </w:r>
      <w:r w:rsidRPr="00390603">
        <w:rPr>
          <w:i/>
          <w:sz w:val="24"/>
          <w:szCs w:val="24"/>
        </w:rPr>
        <w:t>L’art. 36 della Costituzione e l’obbligazione retributiva</w:t>
      </w:r>
      <w:r w:rsidRPr="00390603">
        <w:rPr>
          <w:sz w:val="24"/>
          <w:szCs w:val="24"/>
        </w:rPr>
        <w:t xml:space="preserve">, in </w:t>
      </w:r>
      <w:r w:rsidRPr="00390603">
        <w:rPr>
          <w:i/>
          <w:sz w:val="24"/>
          <w:szCs w:val="24"/>
        </w:rPr>
        <w:t>La retribuzione. Struttura e regime giuridico</w:t>
      </w:r>
      <w:r w:rsidRPr="00390603">
        <w:rPr>
          <w:sz w:val="24"/>
          <w:szCs w:val="24"/>
        </w:rPr>
        <w:t xml:space="preserve">, a cura di B. Caruso, C. Zoli, L. Zoppoli, Napoli, 1994, p. 95; P. Ichino, </w:t>
      </w:r>
      <w:r w:rsidRPr="00390603">
        <w:rPr>
          <w:i/>
          <w:sz w:val="24"/>
          <w:szCs w:val="24"/>
        </w:rPr>
        <w:t>La nozione di “giusta retribuzione” nell’art. 36 della costituzione,</w:t>
      </w:r>
      <w:r w:rsidRPr="00390603">
        <w:rPr>
          <w:sz w:val="24"/>
          <w:szCs w:val="24"/>
        </w:rPr>
        <w:t xml:space="preserve"> in </w:t>
      </w:r>
      <w:r w:rsidRPr="00390603">
        <w:rPr>
          <w:i/>
          <w:sz w:val="24"/>
          <w:szCs w:val="24"/>
        </w:rPr>
        <w:t>Riv. it. dir. lav.</w:t>
      </w:r>
      <w:r w:rsidRPr="00390603">
        <w:rPr>
          <w:sz w:val="24"/>
          <w:szCs w:val="24"/>
        </w:rPr>
        <w:t>, I, 2010, p. 739.</w:t>
      </w:r>
    </w:p>
  </w:footnote>
  <w:footnote w:id="61">
    <w:p w:rsidR="00BD2278" w:rsidRDefault="00BD2278" w:rsidP="00120EC1">
      <w:pPr>
        <w:pStyle w:val="FootnoteText"/>
      </w:pPr>
      <w:r w:rsidRPr="00390603">
        <w:rPr>
          <w:rStyle w:val="FootnoteReference"/>
          <w:sz w:val="24"/>
          <w:szCs w:val="24"/>
        </w:rPr>
        <w:footnoteRef/>
      </w:r>
      <w:r w:rsidRPr="00390603">
        <w:rPr>
          <w:sz w:val="24"/>
          <w:szCs w:val="24"/>
        </w:rPr>
        <w:t xml:space="preserve"> Cfr. P. Ichino, </w:t>
      </w:r>
      <w:r w:rsidRPr="00390603">
        <w:rPr>
          <w:i/>
          <w:sz w:val="24"/>
          <w:szCs w:val="24"/>
        </w:rPr>
        <w:t>La nozione</w:t>
      </w:r>
      <w:r w:rsidRPr="00390603">
        <w:rPr>
          <w:sz w:val="24"/>
          <w:szCs w:val="24"/>
        </w:rPr>
        <w:t>, cit., p. 750.</w:t>
      </w:r>
    </w:p>
  </w:footnote>
  <w:footnote w:id="62">
    <w:p w:rsidR="00BD2278" w:rsidRDefault="00BD2278" w:rsidP="00120EC1">
      <w:pPr>
        <w:pStyle w:val="FootnoteText"/>
      </w:pPr>
      <w:r w:rsidRPr="00390603">
        <w:rPr>
          <w:rStyle w:val="FootnoteReference"/>
          <w:sz w:val="24"/>
          <w:szCs w:val="24"/>
        </w:rPr>
        <w:footnoteRef/>
      </w:r>
      <w:r w:rsidRPr="00390603">
        <w:rPr>
          <w:sz w:val="24"/>
          <w:szCs w:val="24"/>
        </w:rPr>
        <w:t xml:space="preserve"> </w:t>
      </w:r>
      <w:r>
        <w:rPr>
          <w:sz w:val="24"/>
          <w:szCs w:val="24"/>
        </w:rPr>
        <w:t xml:space="preserve">Cfr. </w:t>
      </w:r>
      <w:r w:rsidRPr="00390603">
        <w:rPr>
          <w:sz w:val="24"/>
          <w:szCs w:val="24"/>
        </w:rPr>
        <w:t xml:space="preserve">T. Treu, </w:t>
      </w:r>
      <w:r w:rsidRPr="00390603">
        <w:rPr>
          <w:i/>
          <w:sz w:val="24"/>
          <w:szCs w:val="24"/>
        </w:rPr>
        <w:t>Le forme retributive incentivanti</w:t>
      </w:r>
      <w:r w:rsidRPr="00390603">
        <w:rPr>
          <w:sz w:val="24"/>
          <w:szCs w:val="24"/>
        </w:rPr>
        <w:t xml:space="preserve">, in </w:t>
      </w:r>
      <w:r w:rsidRPr="00390603">
        <w:rPr>
          <w:i/>
          <w:sz w:val="24"/>
          <w:szCs w:val="24"/>
        </w:rPr>
        <w:t>Riv. it. dir. lav.</w:t>
      </w:r>
      <w:r w:rsidRPr="00390603">
        <w:rPr>
          <w:sz w:val="24"/>
          <w:szCs w:val="24"/>
        </w:rPr>
        <w:t>, I, 2010, p. 665.</w:t>
      </w:r>
    </w:p>
  </w:footnote>
  <w:footnote w:id="63">
    <w:p w:rsidR="00BD2278" w:rsidRDefault="00BD2278" w:rsidP="00120EC1">
      <w:pPr>
        <w:pStyle w:val="FootnoteText"/>
      </w:pPr>
      <w:r w:rsidRPr="00390603">
        <w:rPr>
          <w:rStyle w:val="FootnoteReference"/>
          <w:sz w:val="24"/>
          <w:szCs w:val="24"/>
        </w:rPr>
        <w:footnoteRef/>
      </w:r>
      <w:r w:rsidRPr="00390603">
        <w:rPr>
          <w:sz w:val="24"/>
          <w:szCs w:val="24"/>
        </w:rPr>
        <w:t xml:space="preserve"> Cfr. P. Ichino, </w:t>
      </w:r>
      <w:r w:rsidRPr="00390603">
        <w:rPr>
          <w:i/>
          <w:sz w:val="24"/>
          <w:szCs w:val="24"/>
        </w:rPr>
        <w:t>La nozione</w:t>
      </w:r>
      <w:r w:rsidRPr="00390603">
        <w:rPr>
          <w:sz w:val="24"/>
          <w:szCs w:val="24"/>
        </w:rPr>
        <w:t>, cit., p. 751.</w:t>
      </w:r>
    </w:p>
  </w:footnote>
  <w:footnote w:id="64">
    <w:p w:rsidR="00BD2278" w:rsidRDefault="00BD2278" w:rsidP="00120EC1">
      <w:pPr>
        <w:pStyle w:val="FootnoteText"/>
      </w:pPr>
      <w:r w:rsidRPr="00390603">
        <w:rPr>
          <w:rStyle w:val="FootnoteReference"/>
          <w:sz w:val="24"/>
          <w:szCs w:val="24"/>
        </w:rPr>
        <w:footnoteRef/>
      </w:r>
      <w:r w:rsidRPr="00390603">
        <w:rPr>
          <w:sz w:val="24"/>
          <w:szCs w:val="24"/>
        </w:rPr>
        <w:t xml:space="preserve"> Cfr. T. Treu, </w:t>
      </w:r>
      <w:r w:rsidRPr="00390603">
        <w:rPr>
          <w:i/>
          <w:sz w:val="24"/>
          <w:szCs w:val="24"/>
        </w:rPr>
        <w:t xml:space="preserve">Commento sub art. 36, </w:t>
      </w:r>
      <w:r w:rsidRPr="00390603">
        <w:rPr>
          <w:sz w:val="24"/>
          <w:szCs w:val="24"/>
        </w:rPr>
        <w:t>cit., p. 89.</w:t>
      </w:r>
    </w:p>
  </w:footnote>
  <w:footnote w:id="65">
    <w:p w:rsidR="00BD2278" w:rsidRDefault="00BD2278" w:rsidP="00120EC1">
      <w:pPr>
        <w:pStyle w:val="FootnoteText"/>
      </w:pPr>
      <w:r w:rsidRPr="00390603">
        <w:rPr>
          <w:rStyle w:val="FootnoteReference"/>
          <w:sz w:val="24"/>
          <w:szCs w:val="24"/>
        </w:rPr>
        <w:footnoteRef/>
      </w:r>
      <w:r w:rsidRPr="00390603">
        <w:rPr>
          <w:sz w:val="24"/>
          <w:szCs w:val="24"/>
        </w:rPr>
        <w:t xml:space="preserve"> Cfr. T. Treu, </w:t>
      </w:r>
      <w:r w:rsidRPr="00390603">
        <w:rPr>
          <w:i/>
          <w:sz w:val="24"/>
          <w:szCs w:val="24"/>
        </w:rPr>
        <w:t xml:space="preserve">Problemi </w:t>
      </w:r>
      <w:r w:rsidRPr="00390603">
        <w:rPr>
          <w:sz w:val="24"/>
          <w:szCs w:val="24"/>
        </w:rPr>
        <w:t>giuridici, cit., p. 6.</w:t>
      </w:r>
    </w:p>
  </w:footnote>
  <w:footnote w:id="66">
    <w:p w:rsidR="00BD2278" w:rsidRDefault="00BD2278" w:rsidP="00120EC1">
      <w:pPr>
        <w:pStyle w:val="FootnoteText"/>
      </w:pPr>
      <w:r w:rsidRPr="00390603">
        <w:rPr>
          <w:rStyle w:val="FootnoteReference"/>
          <w:sz w:val="24"/>
          <w:szCs w:val="24"/>
        </w:rPr>
        <w:footnoteRef/>
      </w:r>
      <w:r>
        <w:rPr>
          <w:sz w:val="24"/>
          <w:szCs w:val="24"/>
        </w:rPr>
        <w:t xml:space="preserve"> Cfr. </w:t>
      </w:r>
      <w:r w:rsidRPr="00390603">
        <w:rPr>
          <w:sz w:val="24"/>
          <w:szCs w:val="24"/>
        </w:rPr>
        <w:t xml:space="preserve">A. Antignani, </w:t>
      </w:r>
      <w:r w:rsidRPr="00390603">
        <w:rPr>
          <w:i/>
          <w:sz w:val="24"/>
          <w:szCs w:val="24"/>
        </w:rPr>
        <w:t>Riflessioni su retribuzione, parità di trattamento, automatismi e art. 36, 1° comma della costituzione</w:t>
      </w:r>
      <w:r w:rsidRPr="00390603">
        <w:rPr>
          <w:sz w:val="24"/>
          <w:szCs w:val="24"/>
        </w:rPr>
        <w:t xml:space="preserve">, in </w:t>
      </w:r>
      <w:r w:rsidRPr="00390603">
        <w:rPr>
          <w:i/>
          <w:sz w:val="24"/>
          <w:szCs w:val="24"/>
        </w:rPr>
        <w:t>Riv. giur. lav. prev. soc.</w:t>
      </w:r>
      <w:r w:rsidRPr="00390603">
        <w:rPr>
          <w:sz w:val="24"/>
          <w:szCs w:val="24"/>
        </w:rPr>
        <w:t>, 1981, I, p.283.</w:t>
      </w:r>
    </w:p>
  </w:footnote>
  <w:footnote w:id="67">
    <w:p w:rsidR="00BD2278" w:rsidRDefault="00BD2278" w:rsidP="00120EC1">
      <w:pPr>
        <w:pStyle w:val="FootnoteText"/>
      </w:pPr>
      <w:r w:rsidRPr="00390603">
        <w:rPr>
          <w:rStyle w:val="FootnoteReference"/>
          <w:sz w:val="24"/>
          <w:szCs w:val="24"/>
        </w:rPr>
        <w:footnoteRef/>
      </w:r>
      <w:r w:rsidRPr="009F6058">
        <w:rPr>
          <w:sz w:val="24"/>
          <w:szCs w:val="24"/>
          <w:lang w:val="fr-FR"/>
        </w:rPr>
        <w:t xml:space="preserve"> T. Treu, </w:t>
      </w:r>
      <w:r w:rsidRPr="009F6058">
        <w:rPr>
          <w:i/>
          <w:sz w:val="24"/>
          <w:szCs w:val="24"/>
          <w:lang w:val="fr-FR"/>
        </w:rPr>
        <w:t>Le forme retributive</w:t>
      </w:r>
      <w:r w:rsidRPr="009F6058">
        <w:rPr>
          <w:sz w:val="24"/>
          <w:szCs w:val="24"/>
          <w:lang w:val="fr-FR"/>
        </w:rPr>
        <w:t>, cit., p. 666.</w:t>
      </w:r>
    </w:p>
  </w:footnote>
  <w:footnote w:id="68">
    <w:p w:rsidR="00BD2278" w:rsidRDefault="00BD2278" w:rsidP="00120EC1">
      <w:pPr>
        <w:pStyle w:val="FootnoteText"/>
      </w:pPr>
      <w:r w:rsidRPr="00390603">
        <w:rPr>
          <w:rStyle w:val="FootnoteReference"/>
          <w:sz w:val="24"/>
          <w:szCs w:val="24"/>
        </w:rPr>
        <w:footnoteRef/>
      </w:r>
      <w:r w:rsidRPr="00390603">
        <w:rPr>
          <w:sz w:val="24"/>
          <w:szCs w:val="24"/>
        </w:rPr>
        <w:t xml:space="preserve"> Cfr. L. Zoppoli, </w:t>
      </w:r>
      <w:r w:rsidRPr="00390603">
        <w:rPr>
          <w:i/>
          <w:sz w:val="24"/>
          <w:szCs w:val="24"/>
        </w:rPr>
        <w:t xml:space="preserve">L’art. 36 della </w:t>
      </w:r>
      <w:r w:rsidRPr="00390603">
        <w:rPr>
          <w:sz w:val="24"/>
          <w:szCs w:val="24"/>
        </w:rPr>
        <w:t>Costituzione, cit., p. 98 e ss.</w:t>
      </w:r>
    </w:p>
  </w:footnote>
  <w:footnote w:id="69">
    <w:p w:rsidR="00BD2278" w:rsidRDefault="00BD2278" w:rsidP="00120EC1">
      <w:pPr>
        <w:pStyle w:val="FootnoteText"/>
      </w:pPr>
      <w:r w:rsidRPr="00390603">
        <w:rPr>
          <w:rStyle w:val="FootnoteReference"/>
          <w:sz w:val="24"/>
          <w:szCs w:val="24"/>
        </w:rPr>
        <w:footnoteRef/>
      </w:r>
      <w:r w:rsidRPr="00390603">
        <w:rPr>
          <w:sz w:val="24"/>
          <w:szCs w:val="24"/>
        </w:rPr>
        <w:t xml:space="preserve"> Cfr. T. Treu, </w:t>
      </w:r>
      <w:r w:rsidRPr="00390603">
        <w:rPr>
          <w:i/>
          <w:sz w:val="24"/>
          <w:szCs w:val="24"/>
        </w:rPr>
        <w:t xml:space="preserve">Commento all’art. 36, </w:t>
      </w:r>
      <w:r w:rsidRPr="00390603">
        <w:rPr>
          <w:sz w:val="24"/>
          <w:szCs w:val="24"/>
        </w:rPr>
        <w:t xml:space="preserve">cit., p. 89. Sulla parità di trattamento Cfr. anche L. Angiello, </w:t>
      </w:r>
      <w:r w:rsidRPr="00390603">
        <w:rPr>
          <w:i/>
          <w:sz w:val="24"/>
          <w:szCs w:val="24"/>
        </w:rPr>
        <w:t>La parità di trattamento nei rapporti di lavoro</w:t>
      </w:r>
      <w:r w:rsidRPr="00390603">
        <w:rPr>
          <w:sz w:val="24"/>
          <w:szCs w:val="24"/>
        </w:rPr>
        <w:t xml:space="preserve">, Milano 1979, L. Galantino, </w:t>
      </w:r>
      <w:r w:rsidRPr="00390603">
        <w:rPr>
          <w:i/>
          <w:sz w:val="24"/>
          <w:szCs w:val="24"/>
        </w:rPr>
        <w:t>Formazione giurisprudenziale dei principi del diritto del lavoro</w:t>
      </w:r>
      <w:r w:rsidRPr="00390603">
        <w:rPr>
          <w:sz w:val="24"/>
          <w:szCs w:val="24"/>
        </w:rPr>
        <w:t>, 1981.</w:t>
      </w:r>
    </w:p>
  </w:footnote>
  <w:footnote w:id="70">
    <w:p w:rsidR="00BD2278" w:rsidRDefault="00BD2278" w:rsidP="00120EC1">
      <w:pPr>
        <w:pStyle w:val="FootnoteText"/>
      </w:pPr>
      <w:r w:rsidRPr="00390603">
        <w:rPr>
          <w:rStyle w:val="FootnoteReference"/>
          <w:sz w:val="24"/>
          <w:szCs w:val="24"/>
        </w:rPr>
        <w:footnoteRef/>
      </w:r>
      <w:r w:rsidRPr="00390603">
        <w:rPr>
          <w:sz w:val="24"/>
          <w:szCs w:val="24"/>
        </w:rPr>
        <w:t xml:space="preserve"> Cfr. T. Treu, </w:t>
      </w:r>
      <w:r w:rsidRPr="00390603">
        <w:rPr>
          <w:i/>
          <w:sz w:val="24"/>
          <w:szCs w:val="24"/>
        </w:rPr>
        <w:t xml:space="preserve">Problemi </w:t>
      </w:r>
      <w:r w:rsidRPr="00390603">
        <w:rPr>
          <w:sz w:val="24"/>
          <w:szCs w:val="24"/>
        </w:rPr>
        <w:t>giuridici, cit., p. 6.</w:t>
      </w:r>
    </w:p>
  </w:footnote>
  <w:footnote w:id="71">
    <w:p w:rsidR="00BD2278" w:rsidRDefault="00BD2278" w:rsidP="00120EC1">
      <w:pPr>
        <w:pStyle w:val="FootnoteText"/>
      </w:pPr>
      <w:r w:rsidRPr="00390603">
        <w:rPr>
          <w:rStyle w:val="FootnoteReference"/>
          <w:sz w:val="24"/>
          <w:szCs w:val="24"/>
        </w:rPr>
        <w:footnoteRef/>
      </w:r>
      <w:r w:rsidRPr="00390603">
        <w:rPr>
          <w:sz w:val="24"/>
          <w:szCs w:val="24"/>
        </w:rPr>
        <w:t xml:space="preserve"> Cfr. G. Pasetti, </w:t>
      </w:r>
      <w:r w:rsidRPr="00390603">
        <w:rPr>
          <w:i/>
          <w:sz w:val="24"/>
          <w:szCs w:val="24"/>
        </w:rPr>
        <w:t xml:space="preserve">Parità di trattamento e autonomia privata, </w:t>
      </w:r>
      <w:r w:rsidRPr="00390603">
        <w:rPr>
          <w:sz w:val="24"/>
          <w:szCs w:val="24"/>
        </w:rPr>
        <w:t>Padova, 1970.</w:t>
      </w:r>
    </w:p>
  </w:footnote>
  <w:footnote w:id="72">
    <w:p w:rsidR="00BD2278" w:rsidRDefault="00BD2278" w:rsidP="00120EC1">
      <w:pPr>
        <w:pStyle w:val="FootnoteText"/>
      </w:pPr>
      <w:r w:rsidRPr="00390603">
        <w:rPr>
          <w:rStyle w:val="FootnoteReference"/>
          <w:sz w:val="24"/>
          <w:szCs w:val="24"/>
        </w:rPr>
        <w:footnoteRef/>
      </w:r>
      <w:r w:rsidRPr="00390603">
        <w:rPr>
          <w:sz w:val="24"/>
          <w:szCs w:val="24"/>
        </w:rPr>
        <w:t xml:space="preserve"> Si pensi al comma II dell’art. 23 della Dichiarazione universale dei diritti dell’uomo del 1948 secondo cui “Ogni individuo, senza discriminazione, ha diritto ad eguale retribuzione per eguale lavoro”</w:t>
      </w:r>
    </w:p>
  </w:footnote>
  <w:footnote w:id="73">
    <w:p w:rsidR="00BD2278" w:rsidRDefault="00BD2278" w:rsidP="00120EC1">
      <w:pPr>
        <w:pStyle w:val="FootnoteText"/>
      </w:pPr>
      <w:r w:rsidRPr="00390603">
        <w:rPr>
          <w:rStyle w:val="FootnoteReference"/>
          <w:sz w:val="24"/>
          <w:szCs w:val="24"/>
        </w:rPr>
        <w:footnoteRef/>
      </w:r>
      <w:r w:rsidRPr="00390603">
        <w:rPr>
          <w:sz w:val="24"/>
          <w:szCs w:val="24"/>
        </w:rPr>
        <w:t xml:space="preserve"> Cfr. P. Rescigno, </w:t>
      </w:r>
      <w:r w:rsidRPr="00390603">
        <w:rPr>
          <w:i/>
          <w:sz w:val="24"/>
          <w:szCs w:val="24"/>
        </w:rPr>
        <w:t>Persona e comunità</w:t>
      </w:r>
      <w:r w:rsidRPr="00390603">
        <w:rPr>
          <w:sz w:val="24"/>
          <w:szCs w:val="24"/>
        </w:rPr>
        <w:t>, Bologna, 1966.</w:t>
      </w:r>
    </w:p>
  </w:footnote>
  <w:footnote w:id="74">
    <w:p w:rsidR="00BD2278" w:rsidRDefault="00BD2278" w:rsidP="00120EC1">
      <w:pPr>
        <w:pStyle w:val="FootnoteText"/>
      </w:pPr>
      <w:r w:rsidRPr="00390603">
        <w:rPr>
          <w:rStyle w:val="FootnoteReference"/>
          <w:sz w:val="24"/>
          <w:szCs w:val="24"/>
        </w:rPr>
        <w:footnoteRef/>
      </w:r>
      <w:r w:rsidRPr="00390603">
        <w:rPr>
          <w:sz w:val="24"/>
          <w:szCs w:val="24"/>
        </w:rPr>
        <w:t xml:space="preserve"> Cfr. C. Smuraglia, </w:t>
      </w:r>
      <w:r w:rsidRPr="00390603">
        <w:rPr>
          <w:i/>
          <w:sz w:val="24"/>
          <w:szCs w:val="24"/>
        </w:rPr>
        <w:t>La persona del prestatore di lavoro</w:t>
      </w:r>
      <w:r w:rsidRPr="00390603">
        <w:rPr>
          <w:sz w:val="24"/>
          <w:szCs w:val="24"/>
        </w:rPr>
        <w:t>, Milano, 1967.</w:t>
      </w:r>
    </w:p>
  </w:footnote>
  <w:footnote w:id="75">
    <w:p w:rsidR="00BD2278" w:rsidRDefault="00BD2278" w:rsidP="00120EC1">
      <w:pPr>
        <w:pStyle w:val="FootnoteText"/>
      </w:pPr>
      <w:r w:rsidRPr="00390603">
        <w:rPr>
          <w:rStyle w:val="FootnoteReference"/>
          <w:sz w:val="24"/>
          <w:szCs w:val="24"/>
        </w:rPr>
        <w:footnoteRef/>
      </w:r>
      <w:r w:rsidRPr="00390603">
        <w:rPr>
          <w:sz w:val="24"/>
          <w:szCs w:val="24"/>
        </w:rPr>
        <w:t xml:space="preserve"> Cfr. G. Pasetti, </w:t>
      </w:r>
      <w:r w:rsidRPr="00390603">
        <w:rPr>
          <w:i/>
          <w:sz w:val="24"/>
          <w:szCs w:val="24"/>
        </w:rPr>
        <w:t xml:space="preserve">Parità di trattamento e autonomia privata, </w:t>
      </w:r>
      <w:r w:rsidRPr="00390603">
        <w:rPr>
          <w:sz w:val="24"/>
          <w:szCs w:val="24"/>
        </w:rPr>
        <w:t>Padova, 1970.</w:t>
      </w:r>
    </w:p>
  </w:footnote>
  <w:footnote w:id="76">
    <w:p w:rsidR="00BD2278" w:rsidRDefault="00BD2278" w:rsidP="00120EC1">
      <w:pPr>
        <w:pStyle w:val="FootnoteText"/>
      </w:pPr>
      <w:r w:rsidRPr="00390603">
        <w:rPr>
          <w:rStyle w:val="FootnoteReference"/>
          <w:sz w:val="24"/>
          <w:szCs w:val="24"/>
        </w:rPr>
        <w:footnoteRef/>
      </w:r>
      <w:r w:rsidRPr="00390603">
        <w:rPr>
          <w:sz w:val="24"/>
          <w:szCs w:val="24"/>
        </w:rPr>
        <w:t xml:space="preserve"> Cfr. T. Treu, </w:t>
      </w:r>
      <w:r w:rsidRPr="00390603">
        <w:rPr>
          <w:i/>
          <w:sz w:val="24"/>
          <w:szCs w:val="24"/>
        </w:rPr>
        <w:t xml:space="preserve">Problemi </w:t>
      </w:r>
      <w:r w:rsidRPr="00390603">
        <w:rPr>
          <w:sz w:val="24"/>
          <w:szCs w:val="24"/>
        </w:rPr>
        <w:t xml:space="preserve">giuridici, cit., p. 6; L. Galantino, </w:t>
      </w:r>
      <w:r w:rsidRPr="00390603">
        <w:rPr>
          <w:i/>
          <w:sz w:val="24"/>
          <w:szCs w:val="24"/>
        </w:rPr>
        <w:t>Sui trattamenti retributivi individuali più favorevoli</w:t>
      </w:r>
      <w:r w:rsidRPr="00390603">
        <w:rPr>
          <w:sz w:val="24"/>
          <w:szCs w:val="24"/>
        </w:rPr>
        <w:t xml:space="preserve">, in </w:t>
      </w:r>
      <w:r w:rsidRPr="00390603">
        <w:rPr>
          <w:i/>
          <w:sz w:val="24"/>
          <w:szCs w:val="24"/>
        </w:rPr>
        <w:t>Riv. it. dir. lav.</w:t>
      </w:r>
      <w:r w:rsidRPr="00390603">
        <w:rPr>
          <w:sz w:val="24"/>
          <w:szCs w:val="24"/>
        </w:rPr>
        <w:t>, 1980, I, p. 153.</w:t>
      </w:r>
    </w:p>
  </w:footnote>
  <w:footnote w:id="77">
    <w:p w:rsidR="00BD2278" w:rsidRDefault="00BD2278" w:rsidP="00120EC1">
      <w:pPr>
        <w:pStyle w:val="FootnoteText"/>
      </w:pPr>
      <w:r w:rsidRPr="00390603">
        <w:rPr>
          <w:rStyle w:val="FootnoteReference"/>
          <w:sz w:val="24"/>
          <w:szCs w:val="24"/>
        </w:rPr>
        <w:footnoteRef/>
      </w:r>
      <w:r w:rsidRPr="00390603">
        <w:rPr>
          <w:sz w:val="24"/>
          <w:szCs w:val="24"/>
        </w:rPr>
        <w:t xml:space="preserve"> Corte Cass., 24 marzo 1987, n. 2853, in </w:t>
      </w:r>
      <w:r w:rsidRPr="00390603">
        <w:rPr>
          <w:i/>
          <w:sz w:val="24"/>
          <w:szCs w:val="24"/>
        </w:rPr>
        <w:t>Orient. giur. lav.</w:t>
      </w:r>
      <w:r w:rsidRPr="00390603">
        <w:rPr>
          <w:sz w:val="24"/>
          <w:szCs w:val="24"/>
        </w:rPr>
        <w:t>, 1987, p. 400.</w:t>
      </w:r>
    </w:p>
  </w:footnote>
  <w:footnote w:id="78">
    <w:p w:rsidR="00BD2278" w:rsidRDefault="00BD2278" w:rsidP="00120EC1">
      <w:pPr>
        <w:pStyle w:val="FootnoteText"/>
      </w:pPr>
      <w:r w:rsidRPr="00390603">
        <w:rPr>
          <w:rStyle w:val="FootnoteReference"/>
          <w:sz w:val="24"/>
          <w:szCs w:val="24"/>
        </w:rPr>
        <w:footnoteRef/>
      </w:r>
      <w:r w:rsidRPr="00390603">
        <w:rPr>
          <w:sz w:val="24"/>
          <w:szCs w:val="24"/>
        </w:rPr>
        <w:t xml:space="preserve"> Cfr. G. Pasetti, </w:t>
      </w:r>
      <w:r w:rsidRPr="00390603">
        <w:rPr>
          <w:i/>
          <w:sz w:val="24"/>
          <w:szCs w:val="24"/>
        </w:rPr>
        <w:t>Parità di trattamento</w:t>
      </w:r>
      <w:r w:rsidRPr="00390603">
        <w:rPr>
          <w:sz w:val="24"/>
          <w:szCs w:val="24"/>
        </w:rPr>
        <w:t xml:space="preserve">, in </w:t>
      </w:r>
      <w:r w:rsidRPr="00390603">
        <w:rPr>
          <w:i/>
          <w:sz w:val="24"/>
          <w:szCs w:val="24"/>
        </w:rPr>
        <w:t>Encicl. Giur.</w:t>
      </w:r>
      <w:r w:rsidRPr="00390603">
        <w:rPr>
          <w:sz w:val="24"/>
          <w:szCs w:val="24"/>
        </w:rPr>
        <w:t>, 1990, p. 3.</w:t>
      </w:r>
    </w:p>
  </w:footnote>
  <w:footnote w:id="79">
    <w:p w:rsidR="00BD2278" w:rsidRDefault="00BD2278" w:rsidP="00120EC1">
      <w:pPr>
        <w:pStyle w:val="FootnoteText"/>
      </w:pPr>
      <w:r w:rsidRPr="00390603">
        <w:rPr>
          <w:rStyle w:val="FootnoteReference"/>
          <w:sz w:val="24"/>
          <w:szCs w:val="24"/>
        </w:rPr>
        <w:footnoteRef/>
      </w:r>
      <w:r w:rsidRPr="00390603">
        <w:rPr>
          <w:sz w:val="24"/>
          <w:szCs w:val="24"/>
        </w:rPr>
        <w:t xml:space="preserve"> Corte Cost., 9 marzo 1989, n. 103, in </w:t>
      </w:r>
      <w:r w:rsidRPr="00390603">
        <w:rPr>
          <w:i/>
          <w:sz w:val="24"/>
          <w:szCs w:val="24"/>
        </w:rPr>
        <w:t>Riv. giur. lav. prev. soc.</w:t>
      </w:r>
      <w:r w:rsidRPr="00390603">
        <w:rPr>
          <w:sz w:val="24"/>
          <w:szCs w:val="24"/>
        </w:rPr>
        <w:t xml:space="preserve">, 1989, I, p. 3 con nota di U. Natoli; in </w:t>
      </w:r>
      <w:r w:rsidRPr="00390603">
        <w:rPr>
          <w:i/>
          <w:sz w:val="24"/>
          <w:szCs w:val="24"/>
        </w:rPr>
        <w:t>Riv. it. dir. lav.</w:t>
      </w:r>
      <w:r w:rsidRPr="00390603">
        <w:rPr>
          <w:sz w:val="24"/>
          <w:szCs w:val="24"/>
        </w:rPr>
        <w:t>, 1989, II, p. 389, con commento di G. Pera.</w:t>
      </w:r>
    </w:p>
  </w:footnote>
  <w:footnote w:id="80">
    <w:p w:rsidR="00BD2278" w:rsidRDefault="00BD2278" w:rsidP="00120EC1">
      <w:pPr>
        <w:spacing w:line="240" w:lineRule="auto"/>
      </w:pPr>
      <w:r w:rsidRPr="00390603">
        <w:rPr>
          <w:rStyle w:val="FootnoteReference"/>
        </w:rPr>
        <w:footnoteRef/>
      </w:r>
      <w:r w:rsidRPr="00390603">
        <w:t xml:space="preserve"> Cfr. Corte Cass., 9 febbraio 1990, n. 947, in </w:t>
      </w:r>
      <w:r w:rsidRPr="00390603">
        <w:rPr>
          <w:i/>
        </w:rPr>
        <w:t>Riv. it. dir. lav.</w:t>
      </w:r>
      <w:r w:rsidRPr="00390603">
        <w:t xml:space="preserve">, 1990, II, p. 380; Corte Cass., 8 marzo 1990, n. 1888 in </w:t>
      </w:r>
      <w:r w:rsidRPr="00390603">
        <w:rPr>
          <w:i/>
        </w:rPr>
        <w:t>Riv. it. dir. lav.</w:t>
      </w:r>
      <w:r w:rsidRPr="00390603">
        <w:t>, 1990, II, p. 799.</w:t>
      </w:r>
    </w:p>
  </w:footnote>
  <w:footnote w:id="81">
    <w:p w:rsidR="00BD2278" w:rsidRDefault="00BD2278" w:rsidP="00120EC1">
      <w:pPr>
        <w:pStyle w:val="FootnoteText"/>
      </w:pPr>
      <w:r w:rsidRPr="00390603">
        <w:rPr>
          <w:rStyle w:val="FootnoteReference"/>
          <w:sz w:val="24"/>
          <w:szCs w:val="24"/>
        </w:rPr>
        <w:footnoteRef/>
      </w:r>
      <w:r w:rsidRPr="00390603">
        <w:rPr>
          <w:sz w:val="24"/>
          <w:szCs w:val="24"/>
        </w:rPr>
        <w:t xml:space="preserve"> Cfr. Corte Cass., 6 novembre 1990, n. 10648, in </w:t>
      </w:r>
      <w:r w:rsidRPr="00390603">
        <w:rPr>
          <w:i/>
          <w:sz w:val="24"/>
          <w:szCs w:val="24"/>
        </w:rPr>
        <w:t>Not. Giur. lav.</w:t>
      </w:r>
      <w:r w:rsidRPr="00390603">
        <w:rPr>
          <w:sz w:val="24"/>
          <w:szCs w:val="24"/>
        </w:rPr>
        <w:t xml:space="preserve">, 1991, p. 23; Corte Cass., 18 settembre 1991, n. 9695; Corte Cass., 28 gennaio 1992, n. 886 in </w:t>
      </w:r>
      <w:r w:rsidRPr="00390603">
        <w:rPr>
          <w:i/>
          <w:sz w:val="24"/>
          <w:szCs w:val="24"/>
        </w:rPr>
        <w:t>Mass. giur. lav.</w:t>
      </w:r>
      <w:r w:rsidRPr="00390603">
        <w:rPr>
          <w:sz w:val="24"/>
          <w:szCs w:val="24"/>
        </w:rPr>
        <w:t>, 1992, p. 38.</w:t>
      </w:r>
    </w:p>
  </w:footnote>
  <w:footnote w:id="82">
    <w:p w:rsidR="00BD2278" w:rsidRDefault="00BD2278" w:rsidP="00120EC1">
      <w:pPr>
        <w:pStyle w:val="FootnoteText"/>
      </w:pPr>
      <w:r w:rsidRPr="00390603">
        <w:rPr>
          <w:rStyle w:val="FootnoteReference"/>
          <w:sz w:val="24"/>
          <w:szCs w:val="24"/>
        </w:rPr>
        <w:footnoteRef/>
      </w:r>
      <w:r w:rsidRPr="00390603">
        <w:rPr>
          <w:sz w:val="24"/>
          <w:szCs w:val="24"/>
        </w:rPr>
        <w:t xml:space="preserve"> Cfr. Corte Cass., S.U., 29 maggio 1993, n. 6030, in</w:t>
      </w:r>
      <w:r w:rsidRPr="00390603">
        <w:rPr>
          <w:i/>
          <w:sz w:val="24"/>
          <w:szCs w:val="24"/>
        </w:rPr>
        <w:t xml:space="preserve"> Riv. it. dir. lav.</w:t>
      </w:r>
      <w:r w:rsidRPr="00390603">
        <w:rPr>
          <w:sz w:val="24"/>
          <w:szCs w:val="24"/>
        </w:rPr>
        <w:t>, 1993, II, p. 653 con nota di R. Del Punta.</w:t>
      </w:r>
    </w:p>
  </w:footnote>
  <w:footnote w:id="83">
    <w:p w:rsidR="00BD2278" w:rsidRDefault="00BD2278" w:rsidP="00120EC1">
      <w:pPr>
        <w:pStyle w:val="FootnoteText"/>
      </w:pPr>
      <w:r w:rsidRPr="00390603">
        <w:rPr>
          <w:rStyle w:val="FootnoteReference"/>
          <w:sz w:val="24"/>
          <w:szCs w:val="24"/>
        </w:rPr>
        <w:footnoteRef/>
      </w:r>
      <w:r w:rsidRPr="00390603">
        <w:rPr>
          <w:sz w:val="24"/>
          <w:szCs w:val="24"/>
        </w:rPr>
        <w:t xml:space="preserve"> Cfr. Corte Cost., 9 marzo 1989, n. 103, cit. “per tutte le parti, anche per quelle sociali, vige il dovere di rispettare i precetti costituzionali”.</w:t>
      </w:r>
    </w:p>
  </w:footnote>
  <w:footnote w:id="84">
    <w:p w:rsidR="00BD2278" w:rsidRDefault="00BD2278" w:rsidP="00120EC1">
      <w:pPr>
        <w:pStyle w:val="FootnoteText"/>
      </w:pPr>
      <w:r w:rsidRPr="00390603">
        <w:rPr>
          <w:rStyle w:val="FootnoteReference"/>
          <w:sz w:val="24"/>
          <w:szCs w:val="24"/>
        </w:rPr>
        <w:footnoteRef/>
      </w:r>
      <w:r w:rsidRPr="00390603">
        <w:rPr>
          <w:sz w:val="24"/>
          <w:szCs w:val="24"/>
        </w:rPr>
        <w:t xml:space="preserve"> L. Mengoni, </w:t>
      </w:r>
      <w:r w:rsidRPr="00390603">
        <w:rPr>
          <w:i/>
          <w:sz w:val="24"/>
          <w:szCs w:val="24"/>
        </w:rPr>
        <w:t>L’argomentazione nel diritto costituzionale</w:t>
      </w:r>
      <w:r w:rsidRPr="00390603">
        <w:rPr>
          <w:sz w:val="24"/>
          <w:szCs w:val="24"/>
        </w:rPr>
        <w:t xml:space="preserve">, in </w:t>
      </w:r>
      <w:r w:rsidRPr="00390603">
        <w:rPr>
          <w:i/>
          <w:sz w:val="24"/>
          <w:szCs w:val="24"/>
        </w:rPr>
        <w:t>Ermeneutica e dogmatica giuridica</w:t>
      </w:r>
      <w:r w:rsidRPr="00390603">
        <w:rPr>
          <w:sz w:val="24"/>
          <w:szCs w:val="24"/>
        </w:rPr>
        <w:t>, Milano, 1996, p. 115 e ss.</w:t>
      </w:r>
    </w:p>
  </w:footnote>
  <w:footnote w:id="85">
    <w:p w:rsidR="00BD2278" w:rsidRDefault="00BD2278" w:rsidP="00120EC1">
      <w:pPr>
        <w:pStyle w:val="FootnoteText"/>
      </w:pPr>
      <w:r w:rsidRPr="00390603">
        <w:rPr>
          <w:rStyle w:val="FootnoteReference"/>
          <w:sz w:val="24"/>
          <w:szCs w:val="24"/>
        </w:rPr>
        <w:footnoteRef/>
      </w:r>
      <w:r w:rsidRPr="00390603">
        <w:rPr>
          <w:sz w:val="24"/>
          <w:szCs w:val="24"/>
        </w:rPr>
        <w:t xml:space="preserve"> Per la prima volta rintracciato in uno scritto sul divieto di discriminazione in L. Isenburg, </w:t>
      </w:r>
      <w:r w:rsidRPr="00390603">
        <w:rPr>
          <w:i/>
          <w:sz w:val="24"/>
          <w:szCs w:val="24"/>
        </w:rPr>
        <w:t>Divieti di discriminazione nel rapporto di lavoro</w:t>
      </w:r>
      <w:r w:rsidRPr="00390603">
        <w:rPr>
          <w:sz w:val="24"/>
          <w:szCs w:val="24"/>
        </w:rPr>
        <w:t>, Milano, 1984, p. 1 e ss.</w:t>
      </w:r>
    </w:p>
  </w:footnote>
  <w:footnote w:id="86">
    <w:p w:rsidR="00BD2278" w:rsidRDefault="00BD2278" w:rsidP="00120EC1">
      <w:pPr>
        <w:pStyle w:val="FootnoteText"/>
      </w:pPr>
      <w:r w:rsidRPr="00390603">
        <w:rPr>
          <w:rStyle w:val="FootnoteReference"/>
          <w:sz w:val="24"/>
          <w:szCs w:val="24"/>
        </w:rPr>
        <w:footnoteRef/>
      </w:r>
      <w:r w:rsidRPr="00390603">
        <w:rPr>
          <w:sz w:val="24"/>
          <w:szCs w:val="24"/>
        </w:rPr>
        <w:t xml:space="preserve"> Cfr. M. Marinelli, </w:t>
      </w:r>
      <w:r w:rsidRPr="00390603">
        <w:rPr>
          <w:i/>
          <w:sz w:val="24"/>
          <w:szCs w:val="24"/>
        </w:rPr>
        <w:t>Il diritto alla retribuzione</w:t>
      </w:r>
      <w:r w:rsidRPr="00390603">
        <w:rPr>
          <w:sz w:val="24"/>
          <w:szCs w:val="24"/>
        </w:rPr>
        <w:t>, cit., p. 101.</w:t>
      </w:r>
    </w:p>
  </w:footnote>
  <w:footnote w:id="87">
    <w:p w:rsidR="00BD2278" w:rsidRDefault="00BD2278" w:rsidP="00120EC1">
      <w:pPr>
        <w:pStyle w:val="FootnoteText"/>
      </w:pPr>
      <w:r w:rsidRPr="00390603">
        <w:rPr>
          <w:rStyle w:val="FootnoteReference"/>
          <w:sz w:val="24"/>
          <w:szCs w:val="24"/>
        </w:rPr>
        <w:footnoteRef/>
      </w:r>
      <w:r w:rsidRPr="00390603">
        <w:rPr>
          <w:sz w:val="24"/>
          <w:szCs w:val="24"/>
        </w:rPr>
        <w:t xml:space="preserve"> Cfr. S. Hernandez, </w:t>
      </w:r>
      <w:r w:rsidRPr="00390603">
        <w:rPr>
          <w:i/>
          <w:sz w:val="24"/>
          <w:szCs w:val="24"/>
        </w:rPr>
        <w:t>I principi costituzionali in tema di retribuzioni</w:t>
      </w:r>
      <w:r w:rsidRPr="00390603">
        <w:rPr>
          <w:sz w:val="24"/>
          <w:szCs w:val="24"/>
        </w:rPr>
        <w:t xml:space="preserve">, in </w:t>
      </w:r>
      <w:r w:rsidRPr="00390603">
        <w:rPr>
          <w:i/>
          <w:sz w:val="24"/>
          <w:szCs w:val="24"/>
        </w:rPr>
        <w:t xml:space="preserve">Dir. lav., </w:t>
      </w:r>
      <w:r w:rsidRPr="00390603">
        <w:rPr>
          <w:sz w:val="24"/>
          <w:szCs w:val="24"/>
        </w:rPr>
        <w:t>1997, I, p. 164.</w:t>
      </w:r>
    </w:p>
  </w:footnote>
  <w:footnote w:id="88">
    <w:p w:rsidR="00BD2278" w:rsidRDefault="00BD2278" w:rsidP="00120EC1">
      <w:pPr>
        <w:autoSpaceDE w:val="0"/>
        <w:autoSpaceDN w:val="0"/>
        <w:adjustRightInd w:val="0"/>
        <w:spacing w:line="240" w:lineRule="auto"/>
      </w:pPr>
      <w:r w:rsidRPr="00390603">
        <w:rPr>
          <w:rStyle w:val="FootnoteReference"/>
        </w:rPr>
        <w:footnoteRef/>
      </w:r>
      <w:r w:rsidRPr="00390603">
        <w:t xml:space="preserve"> Cfr. C. Zoli, </w:t>
      </w:r>
      <w:r w:rsidRPr="00390603">
        <w:rPr>
          <w:i/>
        </w:rPr>
        <w:t>La giurisprudenza sui concorsi privati tra logiche pubblicistiche e strumenti civilistici: oscillazioni e aggiustamenti</w:t>
      </w:r>
      <w:r w:rsidRPr="00390603">
        <w:t xml:space="preserve">, in </w:t>
      </w:r>
      <w:r w:rsidRPr="00390603">
        <w:rPr>
          <w:i/>
        </w:rPr>
        <w:t>Riv. dir. civ.</w:t>
      </w:r>
      <w:r w:rsidRPr="00390603">
        <w:t>, 1992, I, p. 11 e ss.: secondo l’a. quello sui concorsi privati rappresenta un “laboratorio sperimentale privilegiato per operazioni ermeneutiche di grande respiro, sia sul piano della teoria generale che su quello delle applicazioni concrete”.</w:t>
      </w:r>
    </w:p>
  </w:footnote>
  <w:footnote w:id="89">
    <w:p w:rsidR="00BD2278" w:rsidRDefault="00BD2278" w:rsidP="00120EC1">
      <w:pPr>
        <w:pStyle w:val="FootnoteText"/>
      </w:pPr>
      <w:r w:rsidRPr="00390603">
        <w:rPr>
          <w:rStyle w:val="FootnoteReference"/>
          <w:sz w:val="24"/>
          <w:szCs w:val="24"/>
        </w:rPr>
        <w:footnoteRef/>
      </w:r>
      <w:r w:rsidRPr="00390603">
        <w:rPr>
          <w:sz w:val="24"/>
          <w:szCs w:val="24"/>
        </w:rPr>
        <w:t xml:space="preserve"> Corte Cass., S.U., 17 maggio 1996, n. 4570 in </w:t>
      </w:r>
      <w:r w:rsidRPr="00390603">
        <w:rPr>
          <w:i/>
          <w:sz w:val="24"/>
          <w:szCs w:val="24"/>
        </w:rPr>
        <w:t>Riv. it. dir. lav.</w:t>
      </w:r>
      <w:r w:rsidRPr="00390603">
        <w:rPr>
          <w:sz w:val="24"/>
          <w:szCs w:val="24"/>
        </w:rPr>
        <w:t>, 1996, II, p. 765 con nota di P. Chieco.</w:t>
      </w:r>
    </w:p>
  </w:footnote>
  <w:footnote w:id="90">
    <w:p w:rsidR="00BD2278" w:rsidRDefault="00BD2278" w:rsidP="00120EC1">
      <w:pPr>
        <w:pStyle w:val="FootnoteText"/>
      </w:pPr>
      <w:r w:rsidRPr="00390603">
        <w:rPr>
          <w:rStyle w:val="FootnoteReference"/>
          <w:sz w:val="24"/>
          <w:szCs w:val="24"/>
        </w:rPr>
        <w:footnoteRef/>
      </w:r>
      <w:r w:rsidRPr="00390603">
        <w:rPr>
          <w:sz w:val="24"/>
          <w:szCs w:val="24"/>
        </w:rPr>
        <w:t xml:space="preserve"> A. Garilli, </w:t>
      </w:r>
      <w:r w:rsidRPr="00390603">
        <w:rPr>
          <w:i/>
          <w:sz w:val="24"/>
          <w:szCs w:val="24"/>
        </w:rPr>
        <w:t>Le categorie dei prestatori di lavoro</w:t>
      </w:r>
      <w:r w:rsidRPr="00390603">
        <w:rPr>
          <w:sz w:val="24"/>
          <w:szCs w:val="24"/>
        </w:rPr>
        <w:t>, Napoli, 1988, p. 150.</w:t>
      </w:r>
    </w:p>
  </w:footnote>
  <w:footnote w:id="91">
    <w:p w:rsidR="00BD2278" w:rsidRPr="00390603" w:rsidRDefault="00BD2278" w:rsidP="00120EC1">
      <w:pPr>
        <w:pStyle w:val="FootnoteText"/>
        <w:rPr>
          <w:sz w:val="24"/>
          <w:szCs w:val="24"/>
        </w:rPr>
      </w:pPr>
      <w:r w:rsidRPr="00390603">
        <w:rPr>
          <w:rStyle w:val="FootnoteReference"/>
          <w:sz w:val="24"/>
          <w:szCs w:val="24"/>
        </w:rPr>
        <w:footnoteRef/>
      </w:r>
      <w:r w:rsidRPr="00390603">
        <w:rPr>
          <w:sz w:val="24"/>
          <w:szCs w:val="24"/>
        </w:rPr>
        <w:t xml:space="preserve"> Cfr. Corte Cass., S.U., n. 6030 del 1993: “E’ poi necessario brevemente, ma con fermezza, escludere che un principio di parità di trattamento discendente dall’art. 3 della Costituzione, sia rinvenibile nel governo fatto dalla giurisprudenza del dovere di correttezza e di buona fede nel rapporto di lavoro (art. 1175 e 1375 c.c.). Per comprenderlo con chiarezza è sufficiente ricordare come le fattispecie nelle quali si è dato applicazione a tali norme riguardavano il rispetto dei criteri di selezione dei lavoratori nelle assunzioni o delle regole collettive sulle progressioni in carriera, nelle quali il controllo sulle determinazioni unilaterali del datore di lavoro discendeva dal fatto che quegli atti erano adempimenti di un obbligo contrattualmente assunto di imparzialità”.</w:t>
      </w:r>
    </w:p>
    <w:p w:rsidR="00BD2278" w:rsidRDefault="00BD2278" w:rsidP="00120EC1">
      <w:pPr>
        <w:pStyle w:val="FootnoteText"/>
      </w:pPr>
      <w:r w:rsidRPr="00390603">
        <w:rPr>
          <w:sz w:val="24"/>
          <w:szCs w:val="24"/>
        </w:rPr>
        <w:t>Cfr. Corte Cass., S.U., 4570 del 1996 in cui si legge che il diritto alla parità di trattamento non può sorgere dalla violazione del criterio di ragionevolezza in quanto “il tramite per un controllo di ragionevolezza sugli atti di autonomia individuale è rappresentato dalle clausole generali di correttezza e buona fede. Tali clausole, però, agiscono all’interno del rapporto e consentono al giudice di accertare che l’adempimento di un obbligo, contrattualmente assunto o legislativamente imposto, avvenga avendo come punto di riferimento i valori espressi nel rapporto medesimo e nella contrattazione collettiva”</w:t>
      </w:r>
    </w:p>
  </w:footnote>
  <w:footnote w:id="92">
    <w:p w:rsidR="00BD2278" w:rsidRDefault="00BD2278" w:rsidP="00120EC1">
      <w:pPr>
        <w:pStyle w:val="FootnoteText"/>
      </w:pPr>
      <w:r w:rsidRPr="00390603">
        <w:rPr>
          <w:rStyle w:val="FootnoteReference"/>
          <w:sz w:val="24"/>
          <w:szCs w:val="24"/>
        </w:rPr>
        <w:footnoteRef/>
      </w:r>
      <w:r w:rsidRPr="00390603">
        <w:rPr>
          <w:sz w:val="24"/>
          <w:szCs w:val="24"/>
        </w:rPr>
        <w:t xml:space="preserve"> Cfr. M. De Luca, </w:t>
      </w:r>
      <w:r w:rsidRPr="00390603">
        <w:rPr>
          <w:i/>
          <w:sz w:val="24"/>
          <w:szCs w:val="24"/>
        </w:rPr>
        <w:t>Clausole generali e rapporto di lavoro</w:t>
      </w:r>
      <w:r w:rsidRPr="00390603">
        <w:rPr>
          <w:sz w:val="24"/>
          <w:szCs w:val="24"/>
        </w:rPr>
        <w:t xml:space="preserve">, in </w:t>
      </w:r>
      <w:r w:rsidRPr="00390603">
        <w:rPr>
          <w:i/>
          <w:sz w:val="24"/>
          <w:szCs w:val="24"/>
        </w:rPr>
        <w:t>Dir. lav.</w:t>
      </w:r>
      <w:r w:rsidRPr="00390603">
        <w:rPr>
          <w:sz w:val="24"/>
          <w:szCs w:val="24"/>
        </w:rPr>
        <w:t xml:space="preserve">, 1994, I, p. 27 in cui si legge che “nel confermare la negazione dell’esistenza, nel nostro ordinamento, di un principio generale ed inderogabile di parità di trattamento nel rapporto di lavoro privato – disattendendo, così, l’orientamento giurisprudenziale minoritario, in senso contrario, che era emerso nell’ambito della sezione lavoro (a seguito di Corte cost. 103/1989) – le sezioni unite civili della Corte di Cassazione (sent. 6030-6034/1993) hanno colto l’occasione per enunciare, espressamente, il criterio distintivo fra quel principio e la clausola generale di correttezza e buona fede”. In realtà la differenza è espressa tutt’altro che chiaramente come provato dal fatto che se lo stesso A. successivamente dubita della consapevolezza con cui le S.U. hanno fornito una ricostruzione coerente con la differenza strutturale fra clausole generali e principi e norme generali quale risultante da autorevole dottrina. </w:t>
      </w:r>
    </w:p>
  </w:footnote>
  <w:footnote w:id="93">
    <w:p w:rsidR="00BD2278" w:rsidRDefault="00BD2278" w:rsidP="00120EC1">
      <w:pPr>
        <w:spacing w:line="240" w:lineRule="auto"/>
      </w:pPr>
      <w:r w:rsidRPr="00390603">
        <w:rPr>
          <w:rStyle w:val="FootnoteReference"/>
        </w:rPr>
        <w:footnoteRef/>
      </w:r>
      <w:r w:rsidRPr="00390603">
        <w:t xml:space="preserve"> L. Mengoni, </w:t>
      </w:r>
      <w:r w:rsidRPr="00390603">
        <w:rPr>
          <w:i/>
        </w:rPr>
        <w:t>Spunti per una teoria delle clausole generali</w:t>
      </w:r>
      <w:r w:rsidRPr="00390603">
        <w:t xml:space="preserve">, in </w:t>
      </w:r>
      <w:r w:rsidRPr="00390603">
        <w:rPr>
          <w:i/>
        </w:rPr>
        <w:t>Riv. crit. dir. priv.</w:t>
      </w:r>
      <w:r w:rsidRPr="00390603">
        <w:t>, 1986, 1, p. 11;</w:t>
      </w:r>
    </w:p>
  </w:footnote>
  <w:footnote w:id="94">
    <w:p w:rsidR="00BD2278" w:rsidRDefault="00BD2278" w:rsidP="00120EC1">
      <w:pPr>
        <w:pStyle w:val="FootnoteText"/>
      </w:pPr>
      <w:r w:rsidRPr="00390603">
        <w:rPr>
          <w:rStyle w:val="FootnoteReference"/>
          <w:sz w:val="24"/>
          <w:szCs w:val="24"/>
        </w:rPr>
        <w:footnoteRef/>
      </w:r>
      <w:r w:rsidRPr="00390603">
        <w:rPr>
          <w:sz w:val="24"/>
          <w:szCs w:val="24"/>
        </w:rPr>
        <w:t xml:space="preserve"> Cfr. P. Chieco, </w:t>
      </w:r>
      <w:r w:rsidRPr="00390603">
        <w:rPr>
          <w:i/>
          <w:sz w:val="24"/>
          <w:szCs w:val="24"/>
        </w:rPr>
        <w:t>Le sezioni unite e la parità di trattamento: gli equivoci del nuovo diniego della cassazione</w:t>
      </w:r>
      <w:r w:rsidRPr="00390603">
        <w:rPr>
          <w:sz w:val="24"/>
          <w:szCs w:val="24"/>
        </w:rPr>
        <w:t>, nota a S.U. 17 maggio 1996, n. 4570, cit., p. 783</w:t>
      </w:r>
    </w:p>
  </w:footnote>
  <w:footnote w:id="95">
    <w:p w:rsidR="00BD2278" w:rsidRDefault="00BD2278" w:rsidP="00120EC1">
      <w:pPr>
        <w:pStyle w:val="FootnoteText"/>
      </w:pPr>
      <w:r w:rsidRPr="00390603">
        <w:rPr>
          <w:rStyle w:val="FootnoteReference"/>
          <w:sz w:val="24"/>
          <w:szCs w:val="24"/>
        </w:rPr>
        <w:footnoteRef/>
      </w:r>
      <w:r w:rsidRPr="00390603">
        <w:rPr>
          <w:sz w:val="24"/>
          <w:szCs w:val="24"/>
        </w:rPr>
        <w:t xml:space="preserve"> Cfr. L. Nivarra, </w:t>
      </w:r>
      <w:r w:rsidRPr="00390603">
        <w:rPr>
          <w:i/>
          <w:sz w:val="24"/>
          <w:szCs w:val="24"/>
        </w:rPr>
        <w:t>Ragionevolezza e diritto privato</w:t>
      </w:r>
      <w:r w:rsidRPr="00390603">
        <w:rPr>
          <w:sz w:val="24"/>
          <w:szCs w:val="24"/>
        </w:rPr>
        <w:t xml:space="preserve">, in </w:t>
      </w:r>
      <w:r w:rsidRPr="00390603">
        <w:rPr>
          <w:i/>
          <w:sz w:val="24"/>
          <w:szCs w:val="24"/>
        </w:rPr>
        <w:t>Ars interpretandi</w:t>
      </w:r>
      <w:r w:rsidRPr="00390603">
        <w:rPr>
          <w:sz w:val="24"/>
          <w:szCs w:val="24"/>
        </w:rPr>
        <w:t>, 2002, 7, p. 375.</w:t>
      </w:r>
    </w:p>
  </w:footnote>
  <w:footnote w:id="96">
    <w:p w:rsidR="00BD2278" w:rsidRDefault="00BD2278" w:rsidP="00120EC1">
      <w:pPr>
        <w:pStyle w:val="FootnoteText"/>
      </w:pPr>
      <w:r w:rsidRPr="00390603">
        <w:rPr>
          <w:rStyle w:val="FootnoteReference"/>
          <w:sz w:val="24"/>
          <w:szCs w:val="24"/>
        </w:rPr>
        <w:footnoteRef/>
      </w:r>
      <w:r w:rsidRPr="00390603">
        <w:rPr>
          <w:sz w:val="24"/>
          <w:szCs w:val="24"/>
        </w:rPr>
        <w:t xml:space="preserve"> Cfr. L. Mengoni, </w:t>
      </w:r>
      <w:r w:rsidRPr="00390603">
        <w:rPr>
          <w:i/>
          <w:sz w:val="24"/>
          <w:szCs w:val="24"/>
        </w:rPr>
        <w:t>Spunti per una teoria</w:t>
      </w:r>
      <w:r w:rsidRPr="00390603">
        <w:rPr>
          <w:sz w:val="24"/>
          <w:szCs w:val="24"/>
        </w:rPr>
        <w:t>, cit., p. 19.</w:t>
      </w:r>
    </w:p>
  </w:footnote>
  <w:footnote w:id="97">
    <w:p w:rsidR="00BD2278" w:rsidRDefault="00BD2278" w:rsidP="00120EC1">
      <w:pPr>
        <w:pStyle w:val="FootnoteText"/>
      </w:pPr>
      <w:r w:rsidRPr="00390603">
        <w:rPr>
          <w:rStyle w:val="FootnoteReference"/>
          <w:sz w:val="24"/>
          <w:szCs w:val="24"/>
        </w:rPr>
        <w:footnoteRef/>
      </w:r>
      <w:r w:rsidRPr="00390603">
        <w:rPr>
          <w:sz w:val="24"/>
          <w:szCs w:val="24"/>
        </w:rPr>
        <w:t xml:space="preserve"> Pur essendo stati evidenziati i pericoli di un ricorso disinvolto alle clausole generali, che nel diritto del lavoro sarebbero anche gravi involgendo “equilibri ormai assestati e le prerogative di organizzazione e gestione aziendale”: cfr. G. Ferraro, </w:t>
      </w:r>
      <w:r w:rsidRPr="00390603">
        <w:rPr>
          <w:i/>
          <w:sz w:val="24"/>
          <w:szCs w:val="24"/>
        </w:rPr>
        <w:t>Poteri imprenditoriali e clausole generali</w:t>
      </w:r>
      <w:r w:rsidRPr="00390603">
        <w:rPr>
          <w:sz w:val="24"/>
          <w:szCs w:val="24"/>
        </w:rPr>
        <w:t xml:space="preserve">, in </w:t>
      </w:r>
      <w:r w:rsidRPr="00390603">
        <w:rPr>
          <w:i/>
          <w:sz w:val="24"/>
          <w:szCs w:val="24"/>
        </w:rPr>
        <w:t xml:space="preserve">Dir. rel. ind., </w:t>
      </w:r>
      <w:r w:rsidRPr="00390603">
        <w:rPr>
          <w:sz w:val="24"/>
          <w:szCs w:val="24"/>
        </w:rPr>
        <w:t>1991, 1, p. 169.</w:t>
      </w:r>
    </w:p>
  </w:footnote>
  <w:footnote w:id="98">
    <w:p w:rsidR="00BD2278" w:rsidRDefault="00BD2278" w:rsidP="00120EC1">
      <w:pPr>
        <w:pStyle w:val="FootnoteText"/>
      </w:pPr>
      <w:r w:rsidRPr="00390603">
        <w:rPr>
          <w:rStyle w:val="FootnoteReference"/>
          <w:sz w:val="24"/>
          <w:szCs w:val="24"/>
        </w:rPr>
        <w:footnoteRef/>
      </w:r>
      <w:r w:rsidRPr="00390603">
        <w:rPr>
          <w:sz w:val="24"/>
          <w:szCs w:val="24"/>
        </w:rPr>
        <w:t xml:space="preserve"> Cfr. L. Nivarra, </w:t>
      </w:r>
      <w:r w:rsidRPr="00390603">
        <w:rPr>
          <w:i/>
          <w:sz w:val="24"/>
          <w:szCs w:val="24"/>
        </w:rPr>
        <w:t>Ragionevolezza e diritto privato</w:t>
      </w:r>
      <w:r w:rsidRPr="00390603">
        <w:rPr>
          <w:sz w:val="24"/>
          <w:szCs w:val="24"/>
        </w:rPr>
        <w:t>, cit., p. 382.</w:t>
      </w:r>
    </w:p>
  </w:footnote>
  <w:footnote w:id="99">
    <w:p w:rsidR="00BD2278" w:rsidRDefault="00BD2278" w:rsidP="00120EC1">
      <w:pPr>
        <w:pStyle w:val="FootnoteText"/>
      </w:pPr>
      <w:r w:rsidRPr="00390603">
        <w:rPr>
          <w:rStyle w:val="FootnoteReference"/>
          <w:sz w:val="24"/>
          <w:szCs w:val="24"/>
        </w:rPr>
        <w:footnoteRef/>
      </w:r>
      <w:r w:rsidRPr="00390603">
        <w:rPr>
          <w:sz w:val="24"/>
          <w:szCs w:val="24"/>
        </w:rPr>
        <w:t xml:space="preserve"> C. Zoli, </w:t>
      </w:r>
      <w:r w:rsidRPr="00390603">
        <w:rPr>
          <w:i/>
          <w:sz w:val="24"/>
          <w:szCs w:val="24"/>
        </w:rPr>
        <w:t>Parità di trattamento e retribuzione</w:t>
      </w:r>
      <w:r w:rsidRPr="00390603">
        <w:rPr>
          <w:sz w:val="24"/>
          <w:szCs w:val="24"/>
        </w:rPr>
        <w:t xml:space="preserve">, in AA.VV., </w:t>
      </w:r>
      <w:r w:rsidRPr="00390603">
        <w:rPr>
          <w:i/>
          <w:sz w:val="24"/>
          <w:szCs w:val="24"/>
        </w:rPr>
        <w:t>La retribuzione. Struttura e regime giuridico</w:t>
      </w:r>
      <w:r w:rsidRPr="00390603">
        <w:rPr>
          <w:sz w:val="24"/>
          <w:szCs w:val="24"/>
        </w:rPr>
        <w:t>, a cura di B. Caruso, C. Zoli, L. Zoppoli, Napoli, 1994, p. 179.</w:t>
      </w:r>
    </w:p>
  </w:footnote>
  <w:footnote w:id="100">
    <w:p w:rsidR="00BD2278" w:rsidRDefault="00BD2278" w:rsidP="00120EC1">
      <w:pPr>
        <w:pStyle w:val="FootnoteText"/>
      </w:pPr>
      <w:r w:rsidRPr="00390603">
        <w:rPr>
          <w:rStyle w:val="FootnoteReference"/>
          <w:sz w:val="24"/>
          <w:szCs w:val="24"/>
        </w:rPr>
        <w:footnoteRef/>
      </w:r>
      <w:r w:rsidRPr="00390603">
        <w:rPr>
          <w:sz w:val="24"/>
          <w:szCs w:val="24"/>
        </w:rPr>
        <w:t xml:space="preserve"> L. Galantino, </w:t>
      </w:r>
      <w:r w:rsidRPr="00390603">
        <w:rPr>
          <w:i/>
          <w:sz w:val="24"/>
          <w:szCs w:val="24"/>
        </w:rPr>
        <w:t xml:space="preserve">Sui trattamenti </w:t>
      </w:r>
      <w:r w:rsidRPr="00120EC1">
        <w:rPr>
          <w:i/>
          <w:sz w:val="24"/>
          <w:szCs w:val="24"/>
        </w:rPr>
        <w:t>retributivi</w:t>
      </w:r>
      <w:r w:rsidRPr="00390603">
        <w:rPr>
          <w:sz w:val="24"/>
          <w:szCs w:val="24"/>
        </w:rPr>
        <w:t>, cit., p. 164.</w:t>
      </w:r>
    </w:p>
  </w:footnote>
  <w:footnote w:id="101">
    <w:p w:rsidR="00BD2278" w:rsidRDefault="00BD2278" w:rsidP="00120EC1">
      <w:pPr>
        <w:pStyle w:val="FootnoteText"/>
      </w:pPr>
      <w:r w:rsidRPr="00390603">
        <w:rPr>
          <w:rStyle w:val="FootnoteReference"/>
          <w:sz w:val="24"/>
          <w:szCs w:val="24"/>
        </w:rPr>
        <w:footnoteRef/>
      </w:r>
      <w:r w:rsidRPr="00390603">
        <w:rPr>
          <w:sz w:val="24"/>
          <w:szCs w:val="24"/>
        </w:rPr>
        <w:t xml:space="preserve"> L. Galantino, </w:t>
      </w:r>
      <w:r w:rsidRPr="00390603">
        <w:rPr>
          <w:i/>
          <w:sz w:val="24"/>
          <w:szCs w:val="24"/>
        </w:rPr>
        <w:t>Sui trattamenti individuali</w:t>
      </w:r>
      <w:r w:rsidRPr="00390603">
        <w:rPr>
          <w:sz w:val="24"/>
          <w:szCs w:val="24"/>
        </w:rPr>
        <w:t>, cit., p. 169.</w:t>
      </w:r>
    </w:p>
  </w:footnote>
  <w:footnote w:id="102">
    <w:p w:rsidR="00BD2278" w:rsidRDefault="00BD2278" w:rsidP="00120EC1">
      <w:pPr>
        <w:pStyle w:val="FootnoteText"/>
      </w:pPr>
      <w:r w:rsidRPr="00390603">
        <w:rPr>
          <w:rStyle w:val="FootnoteReference"/>
          <w:sz w:val="24"/>
          <w:szCs w:val="24"/>
        </w:rPr>
        <w:footnoteRef/>
      </w:r>
      <w:r w:rsidRPr="00390603">
        <w:rPr>
          <w:sz w:val="24"/>
          <w:szCs w:val="24"/>
        </w:rPr>
        <w:t xml:space="preserve"> Cfr. M. D’Antona,  </w:t>
      </w:r>
      <w:r w:rsidRPr="00390603">
        <w:rPr>
          <w:i/>
          <w:sz w:val="24"/>
          <w:szCs w:val="24"/>
        </w:rPr>
        <w:t xml:space="preserve">Appunti sulle fonti di determinazione della retribuzione, </w:t>
      </w:r>
      <w:r w:rsidRPr="00390603">
        <w:rPr>
          <w:sz w:val="24"/>
          <w:szCs w:val="24"/>
        </w:rPr>
        <w:t xml:space="preserve">in </w:t>
      </w:r>
      <w:r w:rsidRPr="00390603">
        <w:rPr>
          <w:i/>
          <w:sz w:val="24"/>
          <w:szCs w:val="24"/>
        </w:rPr>
        <w:t xml:space="preserve">Riv. giur. dir. lav. rel. ind., </w:t>
      </w:r>
      <w:r w:rsidRPr="00390603">
        <w:rPr>
          <w:sz w:val="24"/>
          <w:szCs w:val="24"/>
        </w:rPr>
        <w:t>1986, I, p. 19: “Se la Corte abbandonasse la posizione di preconcetto rifiuto potrebbe agevolmente far leva sui canoni di buona fede, correttezza e non discriminazione per depurare il principio di parità retributiva a parità di lavoro dalle sue implicazioni più eversive, distinguendo tra differenziazioni salariali motivate – in base a criteri di convenienza aziendale di per sé non sindacabili purché non illecite – e differenziazioni non motivate o del tutto arbitrarie”</w:t>
      </w:r>
    </w:p>
  </w:footnote>
  <w:footnote w:id="103">
    <w:p w:rsidR="00BD2278" w:rsidRDefault="00BD2278" w:rsidP="00120EC1">
      <w:pPr>
        <w:pStyle w:val="FootnoteText"/>
      </w:pPr>
      <w:r w:rsidRPr="00390603">
        <w:rPr>
          <w:rStyle w:val="FootnoteReference"/>
          <w:sz w:val="24"/>
          <w:szCs w:val="24"/>
        </w:rPr>
        <w:footnoteRef/>
      </w:r>
      <w:r w:rsidRPr="00390603">
        <w:rPr>
          <w:sz w:val="24"/>
          <w:szCs w:val="24"/>
        </w:rPr>
        <w:t xml:space="preserve"> Cfr. C. Zoli, </w:t>
      </w:r>
      <w:r w:rsidRPr="00390603">
        <w:rPr>
          <w:i/>
          <w:sz w:val="24"/>
          <w:szCs w:val="24"/>
        </w:rPr>
        <w:t xml:space="preserve">Parità di trattamento e </w:t>
      </w:r>
      <w:r w:rsidRPr="00390603">
        <w:rPr>
          <w:sz w:val="24"/>
          <w:szCs w:val="24"/>
        </w:rPr>
        <w:t>retribuzione, cit., p. 185, ove si legge che “fino a quando la Corte costituzionale non generalizzerà la soluzione adottata con la sentenza n. 103 del 1989, al di fuori dell’ipotesi da quest’ultima esaminata il principio di parità potrà piuttosto fondarsi sulle clausole generali di correttezza e buona fede”.</w:t>
      </w:r>
    </w:p>
  </w:footnote>
  <w:footnote w:id="104">
    <w:p w:rsidR="00BD2278" w:rsidRDefault="00BD2278" w:rsidP="00120EC1">
      <w:pPr>
        <w:pStyle w:val="FootnoteText"/>
      </w:pPr>
      <w:r w:rsidRPr="00390603">
        <w:rPr>
          <w:rStyle w:val="FootnoteReference"/>
          <w:sz w:val="24"/>
          <w:szCs w:val="24"/>
        </w:rPr>
        <w:footnoteRef/>
      </w:r>
      <w:r w:rsidRPr="00390603">
        <w:rPr>
          <w:sz w:val="24"/>
          <w:szCs w:val="24"/>
        </w:rPr>
        <w:t xml:space="preserve"> Cfr. A. Antignani, </w:t>
      </w:r>
      <w:r w:rsidRPr="00390603">
        <w:rPr>
          <w:i/>
          <w:sz w:val="24"/>
          <w:szCs w:val="24"/>
        </w:rPr>
        <w:t xml:space="preserve">Riflessioni su </w:t>
      </w:r>
      <w:r w:rsidRPr="00390603">
        <w:rPr>
          <w:sz w:val="24"/>
          <w:szCs w:val="24"/>
        </w:rPr>
        <w:t>retribuzione, cit., p.289 e ss.</w:t>
      </w:r>
    </w:p>
  </w:footnote>
  <w:footnote w:id="105">
    <w:p w:rsidR="00BD2278" w:rsidRDefault="00BD2278" w:rsidP="00120EC1">
      <w:pPr>
        <w:pStyle w:val="FootnoteText"/>
      </w:pPr>
      <w:r w:rsidRPr="00390603">
        <w:rPr>
          <w:rStyle w:val="FootnoteReference"/>
          <w:sz w:val="24"/>
          <w:szCs w:val="24"/>
        </w:rPr>
        <w:footnoteRef/>
      </w:r>
      <w:r w:rsidRPr="00390603">
        <w:rPr>
          <w:sz w:val="24"/>
          <w:szCs w:val="24"/>
        </w:rPr>
        <w:t>Assolutamente infondata è l’argomentazione di cui al paragrafo d.5) della sent. n. 6030 del 1993 delle  S.U. sul punto della illogicità di sistema che deriverebbe dal porre a carico del datore di lavoro l’onere di provare la ragionevolezza delle scelte di differenziazione retributiva confrontato con l’onere probatorio su presunte discriminazioni che a norma degli artt. 15 e 16 st. lav. ricade sul lavoratore (Cfr. Cass. S.U., sent. 29 maggio 1993, n. 6030, in</w:t>
      </w:r>
      <w:r w:rsidRPr="00390603">
        <w:rPr>
          <w:i/>
          <w:sz w:val="24"/>
          <w:szCs w:val="24"/>
        </w:rPr>
        <w:t xml:space="preserve"> Riv. it. dir. lav.</w:t>
      </w:r>
      <w:r w:rsidRPr="00390603">
        <w:rPr>
          <w:sz w:val="24"/>
          <w:szCs w:val="24"/>
        </w:rPr>
        <w:t>, cit. p. 671). L’argomentazione poggia su tre punti: inammissibilità che a violazione più grave corrisponda onere probatorio più intenso e a violazione meno grave onere probatorio di più facile osservanza; rischio di imposizione di obiettiva  giustificazione di qualsiasi atto del datore di lavoro; rischio di trasformazione della motivazione in clausole di stile. Tutti e tre i punti sono evidentemente infondati. Anzitutto è ovvio che la prova sul trattamento discriminatorio gravi sul lavoratore essendo impossibile e giuridicamente inammissibile che si onerasse il datore di lavoro della prova di un fatto negativo (come potrebbe il datore provare di non aver discriminato?) mentre è del tutto ragionevole che si ponga a suo carico l’onere di fornire la prova di aver effettuato scelte oggettivamente dimostrabili. Circa l’imposizione di una giustificazione di ogni atto datoriale, tale generica affermazione è imprecisa i quanto ciò che si chiede è solo la giustificazione delle scelte potenzialmente discriminatorie. Infine è evidente che la prova in giudizio non può essere fondata sulla mera formula di stile dovendosi dimostrare una effettiva valutazione dei meriti che si intende premiare.</w:t>
      </w:r>
    </w:p>
  </w:footnote>
  <w:footnote w:id="106">
    <w:p w:rsidR="00BD2278" w:rsidRDefault="00BD2278" w:rsidP="00120EC1">
      <w:pPr>
        <w:pStyle w:val="FootnoteText"/>
      </w:pPr>
      <w:r w:rsidRPr="00390603">
        <w:rPr>
          <w:rStyle w:val="FootnoteReference"/>
          <w:sz w:val="24"/>
          <w:szCs w:val="24"/>
        </w:rPr>
        <w:footnoteRef/>
      </w:r>
      <w:r w:rsidRPr="00390603">
        <w:rPr>
          <w:sz w:val="24"/>
          <w:szCs w:val="24"/>
        </w:rPr>
        <w:t xml:space="preserve"> Cfr. C. Zoli, </w:t>
      </w:r>
      <w:r w:rsidRPr="00390603">
        <w:rPr>
          <w:i/>
          <w:sz w:val="24"/>
          <w:szCs w:val="24"/>
        </w:rPr>
        <w:t xml:space="preserve">Parità di trattamento e </w:t>
      </w:r>
      <w:r w:rsidRPr="00390603">
        <w:rPr>
          <w:sz w:val="24"/>
          <w:szCs w:val="24"/>
        </w:rPr>
        <w:t>retribuzione, cit., p. 187.</w:t>
      </w:r>
    </w:p>
  </w:footnote>
  <w:footnote w:id="107">
    <w:p w:rsidR="00BD2278" w:rsidRDefault="00BD2278" w:rsidP="00120EC1">
      <w:pPr>
        <w:pStyle w:val="FootnoteText"/>
      </w:pPr>
      <w:r w:rsidRPr="00390603">
        <w:rPr>
          <w:rStyle w:val="FootnoteReference"/>
          <w:sz w:val="24"/>
          <w:szCs w:val="24"/>
        </w:rPr>
        <w:footnoteRef/>
      </w:r>
      <w:r w:rsidRPr="00390603">
        <w:rPr>
          <w:sz w:val="24"/>
          <w:szCs w:val="24"/>
        </w:rPr>
        <w:t xml:space="preserve"> Cfr. C. Zoli, </w:t>
      </w:r>
      <w:r w:rsidRPr="00390603">
        <w:rPr>
          <w:i/>
          <w:sz w:val="24"/>
          <w:szCs w:val="24"/>
        </w:rPr>
        <w:t xml:space="preserve">Parità di trattamento e </w:t>
      </w:r>
      <w:r w:rsidRPr="00390603">
        <w:rPr>
          <w:sz w:val="24"/>
          <w:szCs w:val="24"/>
        </w:rPr>
        <w:t>retribuzione, cit., p. 189.</w:t>
      </w:r>
    </w:p>
  </w:footnote>
  <w:footnote w:id="108">
    <w:p w:rsidR="00BD2278" w:rsidRDefault="00BD2278" w:rsidP="00120EC1">
      <w:pPr>
        <w:pStyle w:val="FootnoteText"/>
      </w:pPr>
      <w:r w:rsidRPr="00390603">
        <w:rPr>
          <w:rStyle w:val="FootnoteReference"/>
          <w:sz w:val="24"/>
          <w:szCs w:val="24"/>
        </w:rPr>
        <w:footnoteRef/>
      </w:r>
      <w:r w:rsidRPr="00390603">
        <w:rPr>
          <w:sz w:val="24"/>
          <w:szCs w:val="24"/>
        </w:rPr>
        <w:t xml:space="preserve"> E. Ghera, </w:t>
      </w:r>
      <w:r w:rsidRPr="00390603">
        <w:rPr>
          <w:i/>
          <w:sz w:val="24"/>
          <w:szCs w:val="24"/>
        </w:rPr>
        <w:t>Retribuzione, professionalità e costo del lavoro</w:t>
      </w:r>
      <w:r w:rsidRPr="00390603">
        <w:rPr>
          <w:sz w:val="24"/>
          <w:szCs w:val="24"/>
        </w:rPr>
        <w:t xml:space="preserve">, in </w:t>
      </w:r>
      <w:r w:rsidRPr="00390603">
        <w:rPr>
          <w:i/>
          <w:sz w:val="24"/>
          <w:szCs w:val="24"/>
        </w:rPr>
        <w:t>Giorn. dir. lav. rel. ind.</w:t>
      </w:r>
      <w:r w:rsidRPr="00390603">
        <w:rPr>
          <w:sz w:val="24"/>
          <w:szCs w:val="24"/>
        </w:rPr>
        <w:t>, 1981, 11, p. 432.</w:t>
      </w:r>
    </w:p>
  </w:footnote>
  <w:footnote w:id="109">
    <w:p w:rsidR="00BD2278" w:rsidRDefault="00BD2278" w:rsidP="00120EC1">
      <w:pPr>
        <w:pStyle w:val="FootnoteText"/>
      </w:pPr>
      <w:r w:rsidRPr="00390603">
        <w:rPr>
          <w:rStyle w:val="FootnoteReference"/>
          <w:sz w:val="24"/>
          <w:szCs w:val="24"/>
        </w:rPr>
        <w:footnoteRef/>
      </w:r>
      <w:r w:rsidRPr="00390603">
        <w:rPr>
          <w:sz w:val="24"/>
          <w:szCs w:val="24"/>
        </w:rPr>
        <w:t xml:space="preserve"> A. Garilli, </w:t>
      </w:r>
      <w:r w:rsidRPr="00390603">
        <w:rPr>
          <w:i/>
          <w:sz w:val="24"/>
          <w:szCs w:val="24"/>
        </w:rPr>
        <w:t>Le categorie</w:t>
      </w:r>
      <w:r w:rsidRPr="00390603">
        <w:rPr>
          <w:sz w:val="24"/>
          <w:szCs w:val="24"/>
        </w:rPr>
        <w:t>, cit., p. 131: “lo sventagliamento salariale fra le categorie, prima dell’inquadramento unico, era così accentuato da porre il nostro Paese in una posizione anomala rispetto al mercato occidentale: colmare quel divario rispondeva quindi ad ineludibili esigenze socio-economiche; colmarlo nella parte in cui ancora le retribuzioni più basse erano attribuite agli operai in quanto tali era inoltre un significativo passo avanti nella realizzazione del principio di eguaglianza sostanziale”.</w:t>
      </w:r>
    </w:p>
  </w:footnote>
  <w:footnote w:id="110">
    <w:p w:rsidR="00BD2278" w:rsidRDefault="00BD2278" w:rsidP="00120EC1">
      <w:pPr>
        <w:pStyle w:val="FootnoteText"/>
      </w:pPr>
      <w:r w:rsidRPr="00390603">
        <w:rPr>
          <w:rStyle w:val="FootnoteReference"/>
          <w:sz w:val="24"/>
          <w:szCs w:val="24"/>
        </w:rPr>
        <w:footnoteRef/>
      </w:r>
      <w:r w:rsidRPr="00390603">
        <w:rPr>
          <w:sz w:val="24"/>
          <w:szCs w:val="24"/>
        </w:rPr>
        <w:t xml:space="preserve"> M. D’Antona, </w:t>
      </w:r>
      <w:r w:rsidRPr="00390603">
        <w:rPr>
          <w:i/>
          <w:sz w:val="24"/>
          <w:szCs w:val="24"/>
        </w:rPr>
        <w:t>Appunti sulle fonti</w:t>
      </w:r>
      <w:r w:rsidRPr="00390603">
        <w:rPr>
          <w:sz w:val="24"/>
          <w:szCs w:val="24"/>
        </w:rPr>
        <w:t>, cit., p. 19.</w:t>
      </w:r>
    </w:p>
  </w:footnote>
  <w:footnote w:id="111">
    <w:p w:rsidR="00BD2278" w:rsidRDefault="00BD2278" w:rsidP="00120EC1">
      <w:pPr>
        <w:pStyle w:val="FootnoteText"/>
      </w:pPr>
      <w:r w:rsidRPr="00390603">
        <w:rPr>
          <w:rStyle w:val="FootnoteReference"/>
          <w:sz w:val="24"/>
          <w:szCs w:val="24"/>
        </w:rPr>
        <w:footnoteRef/>
      </w:r>
      <w:r w:rsidRPr="00390603">
        <w:rPr>
          <w:sz w:val="24"/>
          <w:szCs w:val="24"/>
        </w:rPr>
        <w:t xml:space="preserve"> Cfr. C. Zoli, </w:t>
      </w:r>
      <w:r w:rsidRPr="00390603">
        <w:rPr>
          <w:i/>
          <w:sz w:val="24"/>
          <w:szCs w:val="24"/>
        </w:rPr>
        <w:t xml:space="preserve">Parità di trattamento e </w:t>
      </w:r>
      <w:r w:rsidRPr="00390603">
        <w:rPr>
          <w:sz w:val="24"/>
          <w:szCs w:val="24"/>
        </w:rPr>
        <w:t>retribuzione, cit., p. 169.</w:t>
      </w:r>
    </w:p>
  </w:footnote>
  <w:footnote w:id="112">
    <w:p w:rsidR="00BD2278" w:rsidRDefault="00BD2278" w:rsidP="00120EC1">
      <w:pPr>
        <w:pStyle w:val="FootnoteText"/>
      </w:pPr>
      <w:r w:rsidRPr="00390603">
        <w:rPr>
          <w:rStyle w:val="FootnoteReference"/>
          <w:sz w:val="24"/>
          <w:szCs w:val="24"/>
        </w:rPr>
        <w:footnoteRef/>
      </w:r>
      <w:r w:rsidRPr="00390603">
        <w:rPr>
          <w:sz w:val="24"/>
          <w:szCs w:val="24"/>
        </w:rPr>
        <w:t xml:space="preserve"> Cfr. T. Treu, </w:t>
      </w:r>
      <w:r w:rsidRPr="00390603">
        <w:rPr>
          <w:i/>
          <w:sz w:val="24"/>
          <w:szCs w:val="24"/>
        </w:rPr>
        <w:t>Le forme retributive incentivanti</w:t>
      </w:r>
      <w:r w:rsidRPr="00390603">
        <w:rPr>
          <w:sz w:val="24"/>
          <w:szCs w:val="24"/>
        </w:rPr>
        <w:t>, cit., p. 671.</w:t>
      </w:r>
    </w:p>
  </w:footnote>
  <w:footnote w:id="113">
    <w:p w:rsidR="00BD2278" w:rsidRDefault="00BD2278" w:rsidP="00120EC1">
      <w:pPr>
        <w:pStyle w:val="FootnoteText"/>
      </w:pPr>
      <w:r w:rsidRPr="00390603">
        <w:rPr>
          <w:rStyle w:val="FootnoteReference"/>
          <w:sz w:val="24"/>
          <w:szCs w:val="24"/>
        </w:rPr>
        <w:footnoteRef/>
      </w:r>
      <w:r w:rsidRPr="00390603">
        <w:rPr>
          <w:sz w:val="24"/>
          <w:szCs w:val="24"/>
        </w:rPr>
        <w:t xml:space="preserve"> Cfr. C. Zoli, </w:t>
      </w:r>
      <w:r w:rsidRPr="00390603">
        <w:rPr>
          <w:i/>
          <w:sz w:val="24"/>
          <w:szCs w:val="24"/>
        </w:rPr>
        <w:t xml:space="preserve">Parità di trattamento e </w:t>
      </w:r>
      <w:r w:rsidRPr="00390603">
        <w:rPr>
          <w:sz w:val="24"/>
          <w:szCs w:val="24"/>
        </w:rPr>
        <w:t>retribuzione, cit., p. 170.</w:t>
      </w:r>
    </w:p>
  </w:footnote>
  <w:footnote w:id="114">
    <w:p w:rsidR="00BD2278" w:rsidRDefault="00BD2278" w:rsidP="00120EC1">
      <w:pPr>
        <w:pStyle w:val="FootnoteText"/>
      </w:pPr>
      <w:r w:rsidRPr="00390603">
        <w:rPr>
          <w:rStyle w:val="FootnoteReference"/>
          <w:sz w:val="24"/>
          <w:szCs w:val="24"/>
        </w:rPr>
        <w:footnoteRef/>
      </w:r>
      <w:r w:rsidRPr="00390603">
        <w:rPr>
          <w:sz w:val="24"/>
          <w:szCs w:val="24"/>
        </w:rPr>
        <w:t xml:space="preserve"> S. Liebman, </w:t>
      </w:r>
      <w:r w:rsidRPr="00390603">
        <w:rPr>
          <w:i/>
          <w:sz w:val="24"/>
          <w:szCs w:val="24"/>
        </w:rPr>
        <w:t>Individuale e collettivo nel rapporto di lavoro: il problema degli usi aziendali</w:t>
      </w:r>
      <w:r w:rsidRPr="00390603">
        <w:rPr>
          <w:sz w:val="24"/>
          <w:szCs w:val="24"/>
        </w:rPr>
        <w:t xml:space="preserve">, in </w:t>
      </w:r>
      <w:r w:rsidRPr="00390603">
        <w:rPr>
          <w:i/>
          <w:sz w:val="24"/>
          <w:szCs w:val="24"/>
        </w:rPr>
        <w:t>Dir. rel. ind.</w:t>
      </w:r>
      <w:r w:rsidRPr="00390603">
        <w:rPr>
          <w:sz w:val="24"/>
          <w:szCs w:val="24"/>
        </w:rPr>
        <w:t xml:space="preserve">, 1991, 1, p. 60. </w:t>
      </w:r>
    </w:p>
  </w:footnote>
  <w:footnote w:id="115">
    <w:p w:rsidR="00BD2278" w:rsidRDefault="00BD2278" w:rsidP="00120EC1">
      <w:pPr>
        <w:pStyle w:val="FootnoteText"/>
      </w:pPr>
      <w:r w:rsidRPr="00390603">
        <w:rPr>
          <w:rStyle w:val="FootnoteReference"/>
          <w:sz w:val="24"/>
          <w:szCs w:val="24"/>
        </w:rPr>
        <w:footnoteRef/>
      </w:r>
      <w:r w:rsidRPr="009F6058">
        <w:rPr>
          <w:sz w:val="24"/>
          <w:szCs w:val="24"/>
          <w:lang w:val="fr-FR"/>
        </w:rPr>
        <w:t xml:space="preserve"> T. Treu, </w:t>
      </w:r>
      <w:r w:rsidRPr="009F6058">
        <w:rPr>
          <w:i/>
          <w:sz w:val="24"/>
          <w:szCs w:val="24"/>
          <w:lang w:val="fr-FR"/>
        </w:rPr>
        <w:t>Le forme retributive</w:t>
      </w:r>
      <w:r w:rsidRPr="009F6058">
        <w:rPr>
          <w:sz w:val="24"/>
          <w:szCs w:val="24"/>
          <w:lang w:val="fr-FR"/>
        </w:rPr>
        <w:t>, cit., p. 677.</w:t>
      </w:r>
    </w:p>
  </w:footnote>
  <w:footnote w:id="116">
    <w:p w:rsidR="00BD2278" w:rsidRDefault="00BD2278" w:rsidP="00120EC1">
      <w:pPr>
        <w:pStyle w:val="FootnoteText"/>
      </w:pPr>
      <w:r w:rsidRPr="00390603">
        <w:rPr>
          <w:rStyle w:val="FootnoteReference"/>
          <w:sz w:val="24"/>
          <w:szCs w:val="24"/>
        </w:rPr>
        <w:footnoteRef/>
      </w:r>
      <w:r w:rsidRPr="00390603">
        <w:rPr>
          <w:sz w:val="24"/>
          <w:szCs w:val="24"/>
        </w:rPr>
        <w:t xml:space="preserve"> Cfr. C. Zoli, </w:t>
      </w:r>
      <w:r w:rsidRPr="00390603">
        <w:rPr>
          <w:i/>
          <w:sz w:val="24"/>
          <w:szCs w:val="24"/>
        </w:rPr>
        <w:t xml:space="preserve">Parità di trattamento e </w:t>
      </w:r>
      <w:r w:rsidRPr="00390603">
        <w:rPr>
          <w:sz w:val="24"/>
          <w:szCs w:val="24"/>
        </w:rPr>
        <w:t>retribuzione, cit., p. 181.</w:t>
      </w:r>
    </w:p>
  </w:footnote>
  <w:footnote w:id="117">
    <w:p w:rsidR="00BD2278" w:rsidRDefault="00BD2278" w:rsidP="00120EC1">
      <w:pPr>
        <w:pStyle w:val="FootnoteText"/>
      </w:pPr>
      <w:r w:rsidRPr="00390603">
        <w:rPr>
          <w:rStyle w:val="FootnoteReference"/>
          <w:sz w:val="24"/>
          <w:szCs w:val="24"/>
        </w:rPr>
        <w:footnoteRef/>
      </w:r>
      <w:r w:rsidRPr="00390603">
        <w:rPr>
          <w:sz w:val="24"/>
          <w:szCs w:val="24"/>
        </w:rPr>
        <w:t xml:space="preserve">U. Romagnoli, </w:t>
      </w:r>
      <w:r w:rsidRPr="00390603">
        <w:rPr>
          <w:i/>
          <w:sz w:val="24"/>
          <w:szCs w:val="24"/>
        </w:rPr>
        <w:t>Per ricordare Gino Giugni</w:t>
      </w:r>
      <w:r w:rsidRPr="00390603">
        <w:rPr>
          <w:sz w:val="24"/>
          <w:szCs w:val="24"/>
        </w:rPr>
        <w:t xml:space="preserve">, in </w:t>
      </w:r>
      <w:r w:rsidRPr="00390603">
        <w:rPr>
          <w:i/>
          <w:sz w:val="24"/>
          <w:szCs w:val="24"/>
        </w:rPr>
        <w:t>Riv. it. dir. lav.</w:t>
      </w:r>
      <w:r w:rsidRPr="00390603">
        <w:rPr>
          <w:sz w:val="24"/>
          <w:szCs w:val="24"/>
        </w:rPr>
        <w:t>, I, 2010, p. 633: “Mai come adesso l’aspirazione all’eguaglianza di trattamento è apparsa un lusso; adesso che la sera ti addormenti con la paura che al risveglio qualcuno ti dica che il tuo posto di lavoro lo hanno portato in terre lontane per assegnarlo a poveracci come te, ma che stanno peggio di te e difatti si accontentano di un trattamento inferiore al tuo e dunque più vantaggioso per l’impresa che ha de localizzato l’impianto produttivo”.</w:t>
      </w:r>
    </w:p>
  </w:footnote>
  <w:footnote w:id="118">
    <w:p w:rsidR="00BD2278" w:rsidRDefault="00BD2278" w:rsidP="00120EC1">
      <w:pPr>
        <w:pStyle w:val="FootnoteText"/>
      </w:pPr>
      <w:r w:rsidRPr="00390603">
        <w:rPr>
          <w:rStyle w:val="FootnoteReference"/>
          <w:sz w:val="24"/>
          <w:szCs w:val="24"/>
        </w:rPr>
        <w:footnoteRef/>
      </w:r>
      <w:r w:rsidRPr="009F6058">
        <w:rPr>
          <w:sz w:val="24"/>
          <w:szCs w:val="24"/>
          <w:lang w:val="fr-FR"/>
        </w:rPr>
        <w:t xml:space="preserve"> T. Treu, </w:t>
      </w:r>
      <w:r w:rsidRPr="009F6058">
        <w:rPr>
          <w:i/>
          <w:sz w:val="24"/>
          <w:szCs w:val="24"/>
          <w:lang w:val="fr-FR"/>
        </w:rPr>
        <w:t>Le forme retributive</w:t>
      </w:r>
      <w:r w:rsidRPr="009F6058">
        <w:rPr>
          <w:sz w:val="24"/>
          <w:szCs w:val="24"/>
          <w:lang w:val="fr-FR"/>
        </w:rPr>
        <w:t>, cit., p. 645.</w:t>
      </w:r>
    </w:p>
  </w:footnote>
  <w:footnote w:id="119">
    <w:p w:rsidR="00BD2278" w:rsidRDefault="00BD2278" w:rsidP="00120EC1">
      <w:pPr>
        <w:pStyle w:val="FootnoteText"/>
      </w:pPr>
      <w:r w:rsidRPr="00390603">
        <w:rPr>
          <w:rStyle w:val="FootnoteReference"/>
          <w:sz w:val="24"/>
          <w:szCs w:val="24"/>
        </w:rPr>
        <w:footnoteRef/>
      </w:r>
      <w:r w:rsidRPr="009F6058">
        <w:rPr>
          <w:sz w:val="24"/>
          <w:szCs w:val="24"/>
          <w:lang w:val="fr-FR"/>
        </w:rPr>
        <w:t xml:space="preserve"> T. Treu, </w:t>
      </w:r>
      <w:r w:rsidRPr="009F6058">
        <w:rPr>
          <w:i/>
          <w:sz w:val="24"/>
          <w:szCs w:val="24"/>
          <w:lang w:val="fr-FR"/>
        </w:rPr>
        <w:t>Le forme retributive</w:t>
      </w:r>
      <w:r w:rsidRPr="009F6058">
        <w:rPr>
          <w:sz w:val="24"/>
          <w:szCs w:val="24"/>
          <w:lang w:val="fr-FR"/>
        </w:rPr>
        <w:t>, cit., p. 643.</w:t>
      </w:r>
    </w:p>
  </w:footnote>
  <w:footnote w:id="120">
    <w:p w:rsidR="00BD2278" w:rsidRDefault="00BD2278" w:rsidP="00120EC1">
      <w:pPr>
        <w:pStyle w:val="FootnoteText"/>
      </w:pPr>
      <w:r w:rsidRPr="00390603">
        <w:rPr>
          <w:rStyle w:val="FootnoteReference"/>
          <w:sz w:val="24"/>
          <w:szCs w:val="24"/>
        </w:rPr>
        <w:footnoteRef/>
      </w:r>
      <w:r w:rsidRPr="009F6058">
        <w:rPr>
          <w:sz w:val="24"/>
          <w:szCs w:val="24"/>
          <w:lang w:val="fr-FR"/>
        </w:rPr>
        <w:t xml:space="preserve"> T. Treu, </w:t>
      </w:r>
      <w:r w:rsidRPr="009F6058">
        <w:rPr>
          <w:i/>
          <w:sz w:val="24"/>
          <w:szCs w:val="24"/>
          <w:lang w:val="fr-FR"/>
        </w:rPr>
        <w:t>Le forme retributive</w:t>
      </w:r>
      <w:r w:rsidRPr="009F6058">
        <w:rPr>
          <w:sz w:val="24"/>
          <w:szCs w:val="24"/>
          <w:lang w:val="fr-FR"/>
        </w:rPr>
        <w:t>, cit., p. 670.</w:t>
      </w:r>
    </w:p>
  </w:footnote>
  <w:footnote w:id="121">
    <w:p w:rsidR="00BD2278" w:rsidRDefault="00BD2278" w:rsidP="00120EC1">
      <w:pPr>
        <w:pStyle w:val="FootnoteText"/>
      </w:pPr>
      <w:r w:rsidRPr="00390603">
        <w:rPr>
          <w:rStyle w:val="FootnoteReference"/>
          <w:sz w:val="24"/>
          <w:szCs w:val="24"/>
        </w:rPr>
        <w:footnoteRef/>
      </w:r>
      <w:r w:rsidRPr="00390603">
        <w:rPr>
          <w:sz w:val="24"/>
          <w:szCs w:val="24"/>
        </w:rPr>
        <w:t xml:space="preserve"> Corte Cass., 18 settembre 1995, n. 9868, in </w:t>
      </w:r>
      <w:r w:rsidRPr="00390603">
        <w:rPr>
          <w:i/>
          <w:sz w:val="24"/>
          <w:szCs w:val="24"/>
        </w:rPr>
        <w:t>Foro pad.</w:t>
      </w:r>
      <w:r w:rsidRPr="00390603">
        <w:rPr>
          <w:sz w:val="24"/>
          <w:szCs w:val="24"/>
        </w:rPr>
        <w:t xml:space="preserve">, 1996, I, p. 30. </w:t>
      </w:r>
    </w:p>
  </w:footnote>
  <w:footnote w:id="122">
    <w:p w:rsidR="00BD2278" w:rsidRDefault="00BD2278" w:rsidP="00120EC1">
      <w:pPr>
        <w:pStyle w:val="FootnoteText"/>
      </w:pPr>
      <w:r w:rsidRPr="00390603">
        <w:rPr>
          <w:rStyle w:val="FootnoteReference"/>
          <w:sz w:val="24"/>
          <w:szCs w:val="24"/>
        </w:rPr>
        <w:footnoteRef/>
      </w:r>
      <w:r w:rsidRPr="00390603">
        <w:rPr>
          <w:sz w:val="24"/>
          <w:szCs w:val="24"/>
        </w:rPr>
        <w:t xml:space="preserve"> Corte Cass., 28 marzo 2000, n. 3749, in </w:t>
      </w:r>
      <w:r w:rsidRPr="00390603">
        <w:rPr>
          <w:i/>
          <w:sz w:val="24"/>
          <w:szCs w:val="24"/>
        </w:rPr>
        <w:t>Foro it.</w:t>
      </w:r>
      <w:r w:rsidRPr="00390603">
        <w:rPr>
          <w:sz w:val="24"/>
          <w:szCs w:val="24"/>
        </w:rPr>
        <w:t>, 2000, I, p. 2538.</w:t>
      </w:r>
    </w:p>
  </w:footnote>
  <w:footnote w:id="123">
    <w:p w:rsidR="00BD2278" w:rsidRDefault="00BD2278" w:rsidP="00120EC1">
      <w:pPr>
        <w:pStyle w:val="FootnoteText"/>
      </w:pPr>
      <w:r w:rsidRPr="00390603">
        <w:rPr>
          <w:rStyle w:val="FootnoteReference"/>
          <w:sz w:val="24"/>
          <w:szCs w:val="24"/>
        </w:rPr>
        <w:footnoteRef/>
      </w:r>
      <w:r w:rsidRPr="00390603">
        <w:rPr>
          <w:sz w:val="24"/>
          <w:szCs w:val="24"/>
        </w:rPr>
        <w:t xml:space="preserve"> Corte Cass., S.U., 26 marzo 1997, n. 2665 in </w:t>
      </w:r>
      <w:r w:rsidRPr="00390603">
        <w:rPr>
          <w:i/>
          <w:sz w:val="24"/>
          <w:szCs w:val="24"/>
        </w:rPr>
        <w:t>Mass. giur. lav.</w:t>
      </w:r>
      <w:r w:rsidRPr="00390603">
        <w:rPr>
          <w:sz w:val="24"/>
          <w:szCs w:val="24"/>
        </w:rPr>
        <w:t>, 1997, p. 537.</w:t>
      </w:r>
    </w:p>
  </w:footnote>
  <w:footnote w:id="124">
    <w:p w:rsidR="00BD2278" w:rsidRDefault="00BD2278" w:rsidP="00120EC1">
      <w:pPr>
        <w:pStyle w:val="FootnoteText"/>
      </w:pPr>
      <w:r w:rsidRPr="00390603">
        <w:rPr>
          <w:rStyle w:val="FootnoteReference"/>
          <w:sz w:val="24"/>
          <w:szCs w:val="24"/>
        </w:rPr>
        <w:footnoteRef/>
      </w:r>
      <w:r w:rsidRPr="00390603">
        <w:rPr>
          <w:sz w:val="24"/>
          <w:szCs w:val="24"/>
        </w:rPr>
        <w:t xml:space="preserve"> In passato la richiesta si applicazione di un contratto collettivo diverso è stata accolta quando vi fosse una consistente differenza retributiva nei due contratti collettivi. E’ quanto avvenuto in relazione ai lavoratori di istituti non statali ai quali è stato spesso riconosciuta quale retribuzione sufficiente quella prevista dal contratto collettivo stipulato per gli insegnanti delle scuole pubbliche argomentando a partire dalla scarsa rappresentatività dei sindacati dei lavoratori delle scuole non statali. Cfr. Cass. agosto 1997, n. 7885, in </w:t>
      </w:r>
      <w:r w:rsidRPr="00390603">
        <w:rPr>
          <w:i/>
          <w:sz w:val="24"/>
          <w:szCs w:val="24"/>
        </w:rPr>
        <w:t>Riv. it. dir. lav.</w:t>
      </w:r>
      <w:r w:rsidRPr="00390603">
        <w:rPr>
          <w:sz w:val="24"/>
          <w:szCs w:val="24"/>
        </w:rPr>
        <w:t>, 1998, II, 668 con nota di Angelini.</w:t>
      </w:r>
    </w:p>
  </w:footnote>
  <w:footnote w:id="125">
    <w:p w:rsidR="00BD2278" w:rsidRPr="00390603" w:rsidRDefault="00BD2278" w:rsidP="00120EC1">
      <w:pPr>
        <w:pStyle w:val="FootnoteText"/>
        <w:rPr>
          <w:sz w:val="24"/>
          <w:szCs w:val="24"/>
        </w:rPr>
      </w:pPr>
      <w:r w:rsidRPr="00390603">
        <w:rPr>
          <w:rStyle w:val="FootnoteReference"/>
          <w:sz w:val="24"/>
          <w:szCs w:val="24"/>
        </w:rPr>
        <w:footnoteRef/>
      </w:r>
      <w:r w:rsidRPr="00390603">
        <w:rPr>
          <w:sz w:val="24"/>
          <w:szCs w:val="24"/>
        </w:rPr>
        <w:t xml:space="preserve"> Cfr. M. Marinelli, </w:t>
      </w:r>
      <w:r w:rsidRPr="00390603">
        <w:rPr>
          <w:i/>
          <w:sz w:val="24"/>
          <w:szCs w:val="24"/>
        </w:rPr>
        <w:t>Il diritto alla retribuzione</w:t>
      </w:r>
      <w:r w:rsidRPr="00390603">
        <w:rPr>
          <w:sz w:val="24"/>
          <w:szCs w:val="24"/>
        </w:rPr>
        <w:t>, cit., p. 90.</w:t>
      </w:r>
    </w:p>
    <w:p w:rsidR="00BD2278" w:rsidRDefault="00BD2278" w:rsidP="00120EC1">
      <w:pPr>
        <w:pStyle w:val="FootnoteText"/>
      </w:pPr>
      <w:r w:rsidRPr="00390603">
        <w:rPr>
          <w:sz w:val="24"/>
          <w:szCs w:val="24"/>
        </w:rPr>
        <w:t xml:space="preserve">Una parte della dottrina ha fatto osservare che l’immediata precettività dell’art. 36 Cost. legittima il diretto intervento del giudice senza che esso debba essere preceduto dalla dichiarazione di nullità e perciò ha ritenuto che il ricorso all’art. 2099 c.c. sia superfluo. Sul punto Cfr. T. Treu, </w:t>
      </w:r>
      <w:r w:rsidRPr="00390603">
        <w:rPr>
          <w:i/>
          <w:sz w:val="24"/>
          <w:szCs w:val="24"/>
        </w:rPr>
        <w:t>Onerosità e corrispettività</w:t>
      </w:r>
      <w:r w:rsidRPr="00390603">
        <w:rPr>
          <w:sz w:val="24"/>
          <w:szCs w:val="24"/>
        </w:rPr>
        <w:t>, cit., p. 161.</w:t>
      </w:r>
    </w:p>
  </w:footnote>
  <w:footnote w:id="126">
    <w:p w:rsidR="00BD2278" w:rsidRDefault="00BD2278" w:rsidP="00120EC1">
      <w:pPr>
        <w:pStyle w:val="FootnoteText"/>
      </w:pPr>
      <w:r w:rsidRPr="00390603">
        <w:rPr>
          <w:rStyle w:val="FootnoteReference"/>
          <w:sz w:val="24"/>
          <w:szCs w:val="24"/>
        </w:rPr>
        <w:footnoteRef/>
      </w:r>
      <w:r w:rsidRPr="00390603">
        <w:rPr>
          <w:sz w:val="24"/>
          <w:szCs w:val="24"/>
        </w:rPr>
        <w:t xml:space="preserve"> Cfr. M. L. De Cristofaro, </w:t>
      </w:r>
      <w:r w:rsidRPr="00390603">
        <w:rPr>
          <w:i/>
          <w:sz w:val="24"/>
          <w:szCs w:val="24"/>
        </w:rPr>
        <w:t>La giusta retribuzione</w:t>
      </w:r>
      <w:r w:rsidRPr="00390603">
        <w:rPr>
          <w:sz w:val="24"/>
          <w:szCs w:val="24"/>
        </w:rPr>
        <w:t xml:space="preserve">, cit. p. 109; recentemente ripresa da I. Piccinini, </w:t>
      </w:r>
      <w:r w:rsidRPr="00390603">
        <w:rPr>
          <w:i/>
          <w:sz w:val="24"/>
          <w:szCs w:val="24"/>
        </w:rPr>
        <w:t>Retribuzione ed equità</w:t>
      </w:r>
      <w:r w:rsidRPr="00390603">
        <w:rPr>
          <w:sz w:val="24"/>
          <w:szCs w:val="24"/>
        </w:rPr>
        <w:t xml:space="preserve">, in </w:t>
      </w:r>
      <w:r w:rsidRPr="00390603">
        <w:rPr>
          <w:i/>
          <w:sz w:val="24"/>
          <w:szCs w:val="24"/>
        </w:rPr>
        <w:t>ADL</w:t>
      </w:r>
      <w:r w:rsidRPr="00390603">
        <w:rPr>
          <w:sz w:val="24"/>
          <w:szCs w:val="24"/>
        </w:rPr>
        <w:t>, 1995, 2, p. 227.</w:t>
      </w:r>
    </w:p>
  </w:footnote>
  <w:footnote w:id="127">
    <w:p w:rsidR="00BD2278" w:rsidRDefault="00BD2278" w:rsidP="00120EC1">
      <w:pPr>
        <w:pStyle w:val="FootnoteText"/>
      </w:pPr>
      <w:r w:rsidRPr="00390603">
        <w:rPr>
          <w:rStyle w:val="FootnoteReference"/>
          <w:sz w:val="24"/>
          <w:szCs w:val="24"/>
        </w:rPr>
        <w:footnoteRef/>
      </w:r>
      <w:r w:rsidRPr="00390603">
        <w:rPr>
          <w:sz w:val="24"/>
          <w:szCs w:val="24"/>
        </w:rPr>
        <w:t xml:space="preserve"> S. Bellomo, </w:t>
      </w:r>
      <w:r w:rsidRPr="00390603">
        <w:rPr>
          <w:i/>
          <w:sz w:val="24"/>
          <w:szCs w:val="24"/>
        </w:rPr>
        <w:t>Sub 2099</w:t>
      </w:r>
      <w:r w:rsidRPr="00390603">
        <w:rPr>
          <w:sz w:val="24"/>
          <w:szCs w:val="24"/>
        </w:rPr>
        <w:t xml:space="preserve">, in </w:t>
      </w:r>
      <w:r w:rsidRPr="00390603">
        <w:rPr>
          <w:i/>
          <w:sz w:val="24"/>
          <w:szCs w:val="24"/>
        </w:rPr>
        <w:t>Diritto del lavoro</w:t>
      </w:r>
      <w:r w:rsidRPr="00390603">
        <w:rPr>
          <w:sz w:val="24"/>
          <w:szCs w:val="24"/>
        </w:rPr>
        <w:t>, a cura di G. Amoroso, V. Di Cerbo, A. Maresca, Milano, 2009, p. 872.</w:t>
      </w:r>
    </w:p>
  </w:footnote>
  <w:footnote w:id="128">
    <w:p w:rsidR="00BD2278" w:rsidRDefault="00BD2278" w:rsidP="00120EC1">
      <w:pPr>
        <w:spacing w:line="240" w:lineRule="auto"/>
      </w:pPr>
      <w:r w:rsidRPr="00390603">
        <w:rPr>
          <w:rStyle w:val="FootnoteReference"/>
        </w:rPr>
        <w:footnoteRef/>
      </w:r>
      <w:r w:rsidRPr="00390603">
        <w:t xml:space="preserve"> Corte App. Bologna, 23 luglio 1959, in </w:t>
      </w:r>
      <w:r w:rsidRPr="00390603">
        <w:rPr>
          <w:i/>
        </w:rPr>
        <w:t>Riv. it. dir. lav.</w:t>
      </w:r>
      <w:r w:rsidRPr="00390603">
        <w:t xml:space="preserve">, 1959, II, p. 477; Corte app. Bologna, 22 aprile 1960, in </w:t>
      </w:r>
      <w:r w:rsidRPr="00390603">
        <w:rPr>
          <w:i/>
        </w:rPr>
        <w:t>Riv. it. dir. lav.</w:t>
      </w:r>
      <w:r w:rsidRPr="00390603">
        <w:t xml:space="preserve">, 1960, II, p. 377; Corte app. Napoli, 2 marzo 1964, in </w:t>
      </w:r>
      <w:r w:rsidRPr="00390603">
        <w:rPr>
          <w:i/>
        </w:rPr>
        <w:t>Orient. giur. lav.</w:t>
      </w:r>
      <w:r w:rsidRPr="00390603">
        <w:t xml:space="preserve">, 1964, p. 360; Corte Cass. 14 febbraio 1983, n. 1148, in </w:t>
      </w:r>
      <w:r w:rsidRPr="00390603">
        <w:rPr>
          <w:i/>
        </w:rPr>
        <w:t>Mass. giur. it.</w:t>
      </w:r>
      <w:r w:rsidRPr="00390603">
        <w:t>, 1983.</w:t>
      </w:r>
    </w:p>
  </w:footnote>
  <w:footnote w:id="129">
    <w:p w:rsidR="00BD2278" w:rsidRPr="00390603" w:rsidRDefault="00BD2278" w:rsidP="00120EC1">
      <w:pPr>
        <w:pStyle w:val="FootnoteText"/>
        <w:rPr>
          <w:sz w:val="24"/>
          <w:szCs w:val="24"/>
        </w:rPr>
      </w:pPr>
      <w:r w:rsidRPr="00390603">
        <w:rPr>
          <w:rStyle w:val="FootnoteReference"/>
          <w:sz w:val="24"/>
          <w:szCs w:val="24"/>
        </w:rPr>
        <w:footnoteRef/>
      </w:r>
      <w:r w:rsidRPr="00390603">
        <w:rPr>
          <w:sz w:val="24"/>
          <w:szCs w:val="24"/>
        </w:rPr>
        <w:t xml:space="preserve"> Corte Cass., 12 dicembre 1983, n. 7324, in </w:t>
      </w:r>
      <w:r w:rsidRPr="00390603">
        <w:rPr>
          <w:i/>
          <w:sz w:val="24"/>
          <w:szCs w:val="24"/>
        </w:rPr>
        <w:t>Giust. Civ. mass.</w:t>
      </w:r>
      <w:r w:rsidRPr="00390603">
        <w:rPr>
          <w:sz w:val="24"/>
          <w:szCs w:val="24"/>
        </w:rPr>
        <w:t>, 1983, p. 2497;</w:t>
      </w:r>
    </w:p>
    <w:p w:rsidR="00BD2278" w:rsidRDefault="00BD2278" w:rsidP="00120EC1">
      <w:pPr>
        <w:pStyle w:val="FootnoteText"/>
      </w:pPr>
      <w:r w:rsidRPr="00390603">
        <w:rPr>
          <w:sz w:val="24"/>
          <w:szCs w:val="24"/>
        </w:rPr>
        <w:t xml:space="preserve">Corte Cass., 26 novembre 1977, n. 5167, in </w:t>
      </w:r>
      <w:r w:rsidRPr="00390603">
        <w:rPr>
          <w:i/>
          <w:sz w:val="24"/>
          <w:szCs w:val="24"/>
        </w:rPr>
        <w:t>Giust. Civ. mass.</w:t>
      </w:r>
      <w:r w:rsidRPr="00390603">
        <w:rPr>
          <w:sz w:val="24"/>
          <w:szCs w:val="24"/>
        </w:rPr>
        <w:t>, 1977, p. 2071.</w:t>
      </w:r>
    </w:p>
  </w:footnote>
  <w:footnote w:id="130">
    <w:p w:rsidR="00BD2278" w:rsidRDefault="00BD2278" w:rsidP="00120EC1">
      <w:pPr>
        <w:pStyle w:val="FootnoteText"/>
      </w:pPr>
      <w:r w:rsidRPr="00390603">
        <w:rPr>
          <w:rStyle w:val="FootnoteReference"/>
          <w:sz w:val="24"/>
          <w:szCs w:val="24"/>
        </w:rPr>
        <w:footnoteRef/>
      </w:r>
      <w:r w:rsidRPr="00390603">
        <w:rPr>
          <w:sz w:val="24"/>
          <w:szCs w:val="24"/>
        </w:rPr>
        <w:t xml:space="preserve"> Per una definizione di salario familiare cfr. già L. Riva Sanseverino, </w:t>
      </w:r>
      <w:r w:rsidRPr="00390603">
        <w:rPr>
          <w:i/>
          <w:sz w:val="24"/>
          <w:szCs w:val="24"/>
        </w:rPr>
        <w:t>Salario minimo e salario corporativo</w:t>
      </w:r>
      <w:r w:rsidRPr="00390603">
        <w:rPr>
          <w:sz w:val="24"/>
          <w:szCs w:val="24"/>
        </w:rPr>
        <w:t xml:space="preserve">, cit., p. 12; Sul concetto di salario familiare nel dibattito costituente Cfr. De Cristofaro M., </w:t>
      </w:r>
      <w:r w:rsidRPr="00390603">
        <w:rPr>
          <w:i/>
          <w:sz w:val="24"/>
          <w:szCs w:val="24"/>
        </w:rPr>
        <w:t xml:space="preserve">La Giusta retribuzione, </w:t>
      </w:r>
      <w:r w:rsidRPr="00390603">
        <w:rPr>
          <w:sz w:val="24"/>
          <w:szCs w:val="24"/>
        </w:rPr>
        <w:t>cit., p. 35 e ss.</w:t>
      </w:r>
    </w:p>
  </w:footnote>
  <w:footnote w:id="131">
    <w:p w:rsidR="00BD2278" w:rsidRDefault="00BD2278" w:rsidP="00120EC1">
      <w:pPr>
        <w:pStyle w:val="FootnoteText"/>
      </w:pPr>
      <w:r w:rsidRPr="00390603">
        <w:rPr>
          <w:rStyle w:val="FootnoteReference"/>
          <w:sz w:val="24"/>
          <w:szCs w:val="24"/>
        </w:rPr>
        <w:footnoteRef/>
      </w:r>
      <w:r w:rsidRPr="00390603">
        <w:rPr>
          <w:sz w:val="24"/>
          <w:szCs w:val="24"/>
        </w:rPr>
        <w:t xml:space="preserve"> L. Zoppoli, </w:t>
      </w:r>
      <w:r w:rsidRPr="00390603">
        <w:rPr>
          <w:i/>
          <w:sz w:val="24"/>
          <w:szCs w:val="24"/>
        </w:rPr>
        <w:t>L’art. 36 della Costituzione e l’obbligazione retributiva</w:t>
      </w:r>
      <w:r w:rsidRPr="00390603">
        <w:rPr>
          <w:sz w:val="24"/>
          <w:szCs w:val="24"/>
        </w:rPr>
        <w:t>,cit., p. 116.</w:t>
      </w:r>
    </w:p>
  </w:footnote>
  <w:footnote w:id="132">
    <w:p w:rsidR="00BD2278" w:rsidRDefault="00BD2278" w:rsidP="00120EC1">
      <w:pPr>
        <w:pStyle w:val="FootnoteText"/>
      </w:pPr>
      <w:r w:rsidRPr="00390603">
        <w:rPr>
          <w:rStyle w:val="FootnoteReference"/>
          <w:sz w:val="24"/>
          <w:szCs w:val="24"/>
        </w:rPr>
        <w:footnoteRef/>
      </w:r>
      <w:r w:rsidRPr="00390603">
        <w:rPr>
          <w:sz w:val="24"/>
          <w:szCs w:val="24"/>
        </w:rPr>
        <w:t xml:space="preserve"> Corte Cass., 26 luglio 2001, n. 10260, in </w:t>
      </w:r>
      <w:r w:rsidRPr="00390603">
        <w:rPr>
          <w:i/>
          <w:sz w:val="24"/>
          <w:szCs w:val="24"/>
        </w:rPr>
        <w:t>Riv. it. dir. lav.</w:t>
      </w:r>
      <w:r w:rsidRPr="00390603">
        <w:rPr>
          <w:sz w:val="24"/>
          <w:szCs w:val="24"/>
        </w:rPr>
        <w:t>, 2002, II, 299 con nota di Stolfa.</w:t>
      </w:r>
    </w:p>
  </w:footnote>
  <w:footnote w:id="133">
    <w:p w:rsidR="00BD2278" w:rsidRDefault="00BD2278" w:rsidP="00120EC1">
      <w:pPr>
        <w:pStyle w:val="FootnoteText"/>
      </w:pPr>
      <w:r w:rsidRPr="00390603">
        <w:rPr>
          <w:rStyle w:val="FootnoteReference"/>
          <w:sz w:val="24"/>
          <w:szCs w:val="24"/>
        </w:rPr>
        <w:footnoteRef/>
      </w:r>
      <w:r w:rsidRPr="00390603">
        <w:rPr>
          <w:sz w:val="24"/>
          <w:szCs w:val="24"/>
        </w:rPr>
        <w:t xml:space="preserve"> Cfr. da ultimo Corte Cass., 15  novembre 2001, n. 14211, in </w:t>
      </w:r>
      <w:r w:rsidRPr="00390603">
        <w:rPr>
          <w:i/>
          <w:sz w:val="24"/>
          <w:szCs w:val="24"/>
        </w:rPr>
        <w:t>ADL</w:t>
      </w:r>
      <w:r w:rsidRPr="00390603">
        <w:rPr>
          <w:sz w:val="24"/>
          <w:szCs w:val="24"/>
        </w:rPr>
        <w:t xml:space="preserve">, 2003, 1, p.379 con nota di Stolfa; Corte Cass., 25 febbraio 1994, n. 1903, in </w:t>
      </w:r>
      <w:r w:rsidRPr="00390603">
        <w:rPr>
          <w:i/>
          <w:sz w:val="24"/>
          <w:szCs w:val="24"/>
        </w:rPr>
        <w:t>RGL</w:t>
      </w:r>
      <w:r w:rsidRPr="00390603">
        <w:rPr>
          <w:sz w:val="24"/>
          <w:szCs w:val="24"/>
        </w:rPr>
        <w:t xml:space="preserve">, 1994, II, p. 408, con nota di Marchis; in </w:t>
      </w:r>
      <w:r w:rsidRPr="00390603">
        <w:rPr>
          <w:i/>
          <w:sz w:val="24"/>
          <w:szCs w:val="24"/>
        </w:rPr>
        <w:t>Riv. it. dir. lav.</w:t>
      </w:r>
      <w:r w:rsidRPr="00390603">
        <w:rPr>
          <w:sz w:val="24"/>
          <w:szCs w:val="24"/>
        </w:rPr>
        <w:t>, 1995, II, p. 101 con nota di Milianti.</w:t>
      </w:r>
    </w:p>
  </w:footnote>
  <w:footnote w:id="134">
    <w:p w:rsidR="00BD2278" w:rsidRDefault="00BD2278" w:rsidP="00120EC1">
      <w:pPr>
        <w:pStyle w:val="FootnoteText"/>
      </w:pPr>
      <w:r w:rsidRPr="00390603">
        <w:rPr>
          <w:rStyle w:val="FootnoteReference"/>
          <w:sz w:val="24"/>
          <w:szCs w:val="24"/>
        </w:rPr>
        <w:footnoteRef/>
      </w:r>
      <w:r w:rsidRPr="00390603">
        <w:rPr>
          <w:sz w:val="24"/>
          <w:szCs w:val="24"/>
        </w:rPr>
        <w:t xml:space="preserve"> L. Zoppoli, </w:t>
      </w:r>
      <w:r w:rsidRPr="00390603">
        <w:rPr>
          <w:i/>
          <w:sz w:val="24"/>
          <w:szCs w:val="24"/>
        </w:rPr>
        <w:t>L’art. 36 della Costituzione</w:t>
      </w:r>
      <w:r w:rsidRPr="00390603">
        <w:rPr>
          <w:sz w:val="24"/>
          <w:szCs w:val="24"/>
        </w:rPr>
        <w:t>, cit., p. 95.</w:t>
      </w:r>
    </w:p>
  </w:footnote>
  <w:footnote w:id="135">
    <w:p w:rsidR="00BD2278" w:rsidRDefault="00BD2278" w:rsidP="00120EC1">
      <w:pPr>
        <w:pStyle w:val="FootnoteText"/>
      </w:pPr>
      <w:r w:rsidRPr="00390603">
        <w:rPr>
          <w:rStyle w:val="FootnoteReference"/>
          <w:sz w:val="24"/>
          <w:szCs w:val="24"/>
        </w:rPr>
        <w:footnoteRef/>
      </w:r>
      <w:r w:rsidRPr="00390603">
        <w:rPr>
          <w:sz w:val="24"/>
          <w:szCs w:val="24"/>
        </w:rPr>
        <w:t xml:space="preserve"> Cfr. Corte Cass., 15  novembre 2001, n. 14211, in </w:t>
      </w:r>
      <w:r w:rsidRPr="00390603">
        <w:rPr>
          <w:i/>
          <w:sz w:val="24"/>
          <w:szCs w:val="24"/>
        </w:rPr>
        <w:t>ADL</w:t>
      </w:r>
      <w:r w:rsidRPr="00390603">
        <w:rPr>
          <w:sz w:val="24"/>
          <w:szCs w:val="24"/>
        </w:rPr>
        <w:t>, 2003, 1, p. 379 con nota di Stolfa.</w:t>
      </w:r>
    </w:p>
  </w:footnote>
  <w:footnote w:id="136">
    <w:p w:rsidR="00BD2278" w:rsidRDefault="00BD2278" w:rsidP="00120EC1">
      <w:pPr>
        <w:pStyle w:val="FootnoteText"/>
      </w:pPr>
      <w:r w:rsidRPr="00625D6E">
        <w:rPr>
          <w:rStyle w:val="FootnoteReference"/>
          <w:sz w:val="24"/>
          <w:szCs w:val="24"/>
        </w:rPr>
        <w:footnoteRef/>
      </w:r>
      <w:r w:rsidRPr="00625D6E">
        <w:rPr>
          <w:sz w:val="24"/>
          <w:szCs w:val="24"/>
        </w:rPr>
        <w:t xml:space="preserve"> Cfr S. Webb, B. Webb, </w:t>
      </w:r>
      <w:r w:rsidRPr="00625D6E">
        <w:rPr>
          <w:i/>
          <w:sz w:val="24"/>
          <w:szCs w:val="24"/>
        </w:rPr>
        <w:t>Industrial democracy</w:t>
      </w:r>
      <w:r w:rsidRPr="00625D6E">
        <w:rPr>
          <w:sz w:val="24"/>
          <w:szCs w:val="24"/>
        </w:rPr>
        <w:t>, Edimburgo, 1897.</w:t>
      </w:r>
    </w:p>
  </w:footnote>
  <w:footnote w:id="137">
    <w:p w:rsidR="00BD2278" w:rsidRDefault="00BD2278" w:rsidP="00120EC1">
      <w:pPr>
        <w:pStyle w:val="FootnoteText"/>
      </w:pPr>
      <w:r w:rsidRPr="00625D6E">
        <w:rPr>
          <w:rStyle w:val="FootnoteReference"/>
          <w:sz w:val="24"/>
          <w:szCs w:val="24"/>
        </w:rPr>
        <w:footnoteRef/>
      </w:r>
      <w:r w:rsidRPr="00625D6E">
        <w:rPr>
          <w:sz w:val="24"/>
          <w:szCs w:val="24"/>
        </w:rPr>
        <w:t xml:space="preserve"> Cfr G. Messina, </w:t>
      </w:r>
      <w:r w:rsidRPr="00625D6E">
        <w:rPr>
          <w:i/>
          <w:sz w:val="24"/>
          <w:szCs w:val="24"/>
        </w:rPr>
        <w:t>I concordati di tariffe nell’ordinamento giuridico del lavoro</w:t>
      </w:r>
      <w:r w:rsidRPr="00625D6E">
        <w:rPr>
          <w:sz w:val="24"/>
          <w:szCs w:val="24"/>
        </w:rPr>
        <w:t xml:space="preserve">, in </w:t>
      </w:r>
      <w:r w:rsidRPr="00625D6E">
        <w:rPr>
          <w:i/>
          <w:sz w:val="24"/>
          <w:szCs w:val="24"/>
        </w:rPr>
        <w:t>Riv. dir. comm.</w:t>
      </w:r>
      <w:r w:rsidRPr="00625D6E">
        <w:rPr>
          <w:sz w:val="24"/>
          <w:szCs w:val="24"/>
        </w:rPr>
        <w:t>, 1904, I, p. 458 e ss.</w:t>
      </w:r>
    </w:p>
  </w:footnote>
  <w:footnote w:id="138">
    <w:p w:rsidR="00BD2278" w:rsidRDefault="00BD2278" w:rsidP="00120EC1">
      <w:pPr>
        <w:pStyle w:val="FootnoteText"/>
      </w:pPr>
      <w:r w:rsidRPr="00566ACC">
        <w:rPr>
          <w:rStyle w:val="FootnoteReference"/>
          <w:sz w:val="24"/>
          <w:szCs w:val="24"/>
        </w:rPr>
        <w:footnoteRef/>
      </w:r>
      <w:r w:rsidRPr="00566ACC">
        <w:rPr>
          <w:sz w:val="24"/>
          <w:szCs w:val="24"/>
        </w:rPr>
        <w:t xml:space="preserve"> Cfr. </w:t>
      </w:r>
      <w:r>
        <w:rPr>
          <w:sz w:val="24"/>
          <w:szCs w:val="24"/>
        </w:rPr>
        <w:t>O</w:t>
      </w:r>
      <w:r w:rsidRPr="00566ACC">
        <w:rPr>
          <w:sz w:val="24"/>
          <w:szCs w:val="24"/>
        </w:rPr>
        <w:t>rdine del giorno del 6 gennaio 1927</w:t>
      </w:r>
      <w:r>
        <w:rPr>
          <w:sz w:val="24"/>
          <w:szCs w:val="24"/>
        </w:rPr>
        <w:t>.</w:t>
      </w:r>
    </w:p>
  </w:footnote>
  <w:footnote w:id="139">
    <w:p w:rsidR="00BD2278" w:rsidRDefault="00BD2278" w:rsidP="00120EC1">
      <w:pPr>
        <w:pStyle w:val="FootnoteText"/>
      </w:pPr>
      <w:r w:rsidRPr="00625D6E">
        <w:rPr>
          <w:rStyle w:val="FootnoteReference"/>
          <w:sz w:val="24"/>
          <w:szCs w:val="24"/>
        </w:rPr>
        <w:footnoteRef/>
      </w:r>
      <w:r w:rsidRPr="00625D6E">
        <w:rPr>
          <w:sz w:val="24"/>
          <w:szCs w:val="24"/>
        </w:rPr>
        <w:t xml:space="preserve"> Cfr. G. Bottai, </w:t>
      </w:r>
      <w:r w:rsidRPr="00625D6E">
        <w:rPr>
          <w:i/>
          <w:sz w:val="24"/>
          <w:szCs w:val="24"/>
        </w:rPr>
        <w:t>La Carta del Lavoro</w:t>
      </w:r>
      <w:r w:rsidRPr="00625D6E">
        <w:rPr>
          <w:sz w:val="24"/>
          <w:szCs w:val="24"/>
        </w:rPr>
        <w:t>, Roma, 1927, p. 9.</w:t>
      </w:r>
    </w:p>
  </w:footnote>
  <w:footnote w:id="140">
    <w:p w:rsidR="00BD2278" w:rsidRDefault="00BD2278" w:rsidP="00120EC1">
      <w:pPr>
        <w:pStyle w:val="FootnoteText"/>
      </w:pPr>
      <w:r w:rsidRPr="003A2E18">
        <w:rPr>
          <w:rStyle w:val="FootnoteReference"/>
          <w:sz w:val="24"/>
          <w:szCs w:val="24"/>
        </w:rPr>
        <w:footnoteRef/>
      </w:r>
      <w:r w:rsidRPr="003A2E18">
        <w:rPr>
          <w:sz w:val="24"/>
          <w:szCs w:val="24"/>
        </w:rPr>
        <w:t xml:space="preserve"> Cfr B. Veneziani</w:t>
      </w:r>
      <w:r>
        <w:rPr>
          <w:sz w:val="24"/>
          <w:szCs w:val="24"/>
        </w:rPr>
        <w:t>,</w:t>
      </w:r>
      <w:r w:rsidRPr="003A2E18">
        <w:rPr>
          <w:sz w:val="24"/>
          <w:szCs w:val="24"/>
        </w:rPr>
        <w:t xml:space="preserve"> G. Vardaro, </w:t>
      </w:r>
      <w:r w:rsidRPr="003A2E18">
        <w:rPr>
          <w:i/>
          <w:sz w:val="24"/>
          <w:szCs w:val="24"/>
        </w:rPr>
        <w:t>La rivista di diritto commerciale e la dottrina giuslavoristica delle origini</w:t>
      </w:r>
      <w:r w:rsidRPr="003A2E18">
        <w:rPr>
          <w:sz w:val="24"/>
          <w:szCs w:val="24"/>
        </w:rPr>
        <w:t xml:space="preserve">, in </w:t>
      </w:r>
      <w:r w:rsidRPr="003A2E18">
        <w:rPr>
          <w:i/>
          <w:sz w:val="24"/>
          <w:szCs w:val="24"/>
        </w:rPr>
        <w:t>Quad. fior.</w:t>
      </w:r>
      <w:r w:rsidRPr="003A2E18">
        <w:rPr>
          <w:sz w:val="24"/>
          <w:szCs w:val="24"/>
        </w:rPr>
        <w:t>, 1987, 16, p. 454 e ss.</w:t>
      </w:r>
    </w:p>
  </w:footnote>
  <w:footnote w:id="141">
    <w:p w:rsidR="00BD2278" w:rsidRDefault="00BD2278" w:rsidP="00120EC1">
      <w:pPr>
        <w:pStyle w:val="FootnoteText"/>
      </w:pPr>
      <w:r w:rsidRPr="003A2E18">
        <w:rPr>
          <w:rStyle w:val="FootnoteReference"/>
          <w:sz w:val="24"/>
          <w:szCs w:val="24"/>
        </w:rPr>
        <w:footnoteRef/>
      </w:r>
      <w:r w:rsidRPr="003A2E18">
        <w:rPr>
          <w:sz w:val="24"/>
          <w:szCs w:val="24"/>
        </w:rPr>
        <w:t xml:space="preserve"> Cfr. F. Carnelutti, </w:t>
      </w:r>
      <w:r w:rsidRPr="003A2E18">
        <w:rPr>
          <w:i/>
          <w:sz w:val="24"/>
          <w:szCs w:val="24"/>
        </w:rPr>
        <w:t>Contratto collettivo</w:t>
      </w:r>
      <w:r w:rsidRPr="003A2E18">
        <w:rPr>
          <w:sz w:val="24"/>
          <w:szCs w:val="24"/>
        </w:rPr>
        <w:t xml:space="preserve">, in </w:t>
      </w:r>
      <w:r w:rsidRPr="003A2E18">
        <w:rPr>
          <w:i/>
          <w:sz w:val="24"/>
          <w:szCs w:val="24"/>
        </w:rPr>
        <w:t>Dir. lav.</w:t>
      </w:r>
      <w:r w:rsidRPr="003A2E18">
        <w:rPr>
          <w:sz w:val="24"/>
          <w:szCs w:val="24"/>
        </w:rPr>
        <w:t>, 1928, I, p. 184 e</w:t>
      </w:r>
      <w:r>
        <w:rPr>
          <w:sz w:val="24"/>
          <w:szCs w:val="24"/>
        </w:rPr>
        <w:t xml:space="preserve"> </w:t>
      </w:r>
      <w:r w:rsidRPr="003A2E18">
        <w:rPr>
          <w:sz w:val="24"/>
          <w:szCs w:val="24"/>
        </w:rPr>
        <w:t>ss.</w:t>
      </w:r>
    </w:p>
  </w:footnote>
  <w:footnote w:id="142">
    <w:p w:rsidR="00BD2278" w:rsidRDefault="00BD2278" w:rsidP="00120EC1">
      <w:pPr>
        <w:pStyle w:val="FootnoteText"/>
      </w:pPr>
      <w:r w:rsidRPr="003A2E18">
        <w:rPr>
          <w:rStyle w:val="FootnoteReference"/>
          <w:sz w:val="24"/>
          <w:szCs w:val="24"/>
        </w:rPr>
        <w:footnoteRef/>
      </w:r>
      <w:r>
        <w:rPr>
          <w:sz w:val="24"/>
          <w:szCs w:val="24"/>
        </w:rPr>
        <w:t xml:space="preserve"> Cfr.</w:t>
      </w:r>
      <w:r w:rsidRPr="003A2E18">
        <w:rPr>
          <w:sz w:val="24"/>
          <w:szCs w:val="24"/>
        </w:rPr>
        <w:t xml:space="preserve"> F. Carinci, R. De Luca Tamajo, P. Tosi, T. Treu, </w:t>
      </w:r>
      <w:r w:rsidRPr="003A2E18">
        <w:rPr>
          <w:i/>
          <w:sz w:val="24"/>
          <w:szCs w:val="24"/>
        </w:rPr>
        <w:t xml:space="preserve">Il rapporto di lavoro subordinato, </w:t>
      </w:r>
      <w:r w:rsidRPr="003A2E18">
        <w:rPr>
          <w:sz w:val="24"/>
          <w:szCs w:val="24"/>
        </w:rPr>
        <w:t>Milano, 2006, p. 239 e ss.</w:t>
      </w:r>
    </w:p>
  </w:footnote>
  <w:footnote w:id="143">
    <w:p w:rsidR="00BD2278" w:rsidRDefault="00BD2278" w:rsidP="00120EC1">
      <w:pPr>
        <w:pStyle w:val="FootnoteText"/>
      </w:pPr>
      <w:r w:rsidRPr="00490FAA">
        <w:rPr>
          <w:rStyle w:val="FootnoteReference"/>
          <w:sz w:val="24"/>
          <w:szCs w:val="24"/>
        </w:rPr>
        <w:footnoteRef/>
      </w:r>
      <w:r w:rsidRPr="00490FAA">
        <w:rPr>
          <w:sz w:val="24"/>
          <w:szCs w:val="24"/>
        </w:rPr>
        <w:t xml:space="preserve"> </w:t>
      </w:r>
      <w:r>
        <w:rPr>
          <w:sz w:val="24"/>
          <w:szCs w:val="24"/>
        </w:rPr>
        <w:t xml:space="preserve">Cfr </w:t>
      </w:r>
      <w:r w:rsidRPr="00490FAA">
        <w:rPr>
          <w:sz w:val="24"/>
          <w:szCs w:val="24"/>
        </w:rPr>
        <w:t xml:space="preserve">G. Ferraro, </w:t>
      </w:r>
      <w:r w:rsidRPr="00490FAA">
        <w:rPr>
          <w:i/>
          <w:sz w:val="24"/>
          <w:szCs w:val="24"/>
        </w:rPr>
        <w:t>Retribuzione e assetto della contrattazione collettiva</w:t>
      </w:r>
      <w:r w:rsidRPr="00490FAA">
        <w:rPr>
          <w:sz w:val="24"/>
          <w:szCs w:val="24"/>
        </w:rPr>
        <w:t xml:space="preserve">, in </w:t>
      </w:r>
      <w:r w:rsidRPr="00490FAA">
        <w:rPr>
          <w:i/>
          <w:sz w:val="24"/>
          <w:szCs w:val="24"/>
        </w:rPr>
        <w:t>Riv. it. dir. lav.</w:t>
      </w:r>
      <w:r w:rsidRPr="00490FAA">
        <w:rPr>
          <w:sz w:val="24"/>
          <w:szCs w:val="24"/>
        </w:rPr>
        <w:t>, 2010, I, p. 694.</w:t>
      </w:r>
    </w:p>
  </w:footnote>
  <w:footnote w:id="144">
    <w:p w:rsidR="00BD2278" w:rsidRDefault="00BD2278" w:rsidP="00120EC1">
      <w:pPr>
        <w:pStyle w:val="FootnoteText"/>
      </w:pPr>
      <w:r>
        <w:rPr>
          <w:rStyle w:val="FootnoteReference"/>
        </w:rPr>
        <w:footnoteRef/>
      </w:r>
      <w:r>
        <w:t xml:space="preserve"> </w:t>
      </w:r>
      <w:r w:rsidRPr="001B58B3">
        <w:rPr>
          <w:sz w:val="24"/>
          <w:szCs w:val="24"/>
        </w:rPr>
        <w:t xml:space="preserve">Sul punto Cfr. M. Ricci, </w:t>
      </w:r>
      <w:r w:rsidRPr="001B58B3">
        <w:rPr>
          <w:i/>
          <w:sz w:val="24"/>
          <w:szCs w:val="24"/>
        </w:rPr>
        <w:t>L’accordo quadro e l’accordo interconfederale del 2009: contenuti, criticità e modelli di relazioni industriali</w:t>
      </w:r>
      <w:r w:rsidRPr="001B58B3">
        <w:rPr>
          <w:sz w:val="24"/>
          <w:szCs w:val="24"/>
        </w:rPr>
        <w:t xml:space="preserve">, in </w:t>
      </w:r>
      <w:r w:rsidRPr="001B58B3">
        <w:rPr>
          <w:i/>
          <w:sz w:val="24"/>
          <w:szCs w:val="24"/>
        </w:rPr>
        <w:t>Riv. it dir. lav.</w:t>
      </w:r>
      <w:r w:rsidRPr="001B58B3">
        <w:rPr>
          <w:sz w:val="24"/>
          <w:szCs w:val="24"/>
        </w:rPr>
        <w:t xml:space="preserve">, 2009, I, p. 353 e ss.; V. Ferrante </w:t>
      </w:r>
      <w:r w:rsidRPr="001B58B3">
        <w:rPr>
          <w:i/>
          <w:sz w:val="24"/>
          <w:szCs w:val="24"/>
        </w:rPr>
        <w:t>L’accordo interconfederale dell’aprile del 2009 di riforma del sistema della contrattazione collettiva: brevi note</w:t>
      </w:r>
      <w:r w:rsidRPr="001B58B3">
        <w:rPr>
          <w:sz w:val="24"/>
          <w:szCs w:val="24"/>
        </w:rPr>
        <w:t xml:space="preserve">, in </w:t>
      </w:r>
      <w:r w:rsidRPr="001B58B3">
        <w:rPr>
          <w:i/>
          <w:sz w:val="24"/>
          <w:szCs w:val="24"/>
        </w:rPr>
        <w:t xml:space="preserve">ADL, </w:t>
      </w:r>
      <w:r w:rsidRPr="001B58B3">
        <w:rPr>
          <w:sz w:val="24"/>
          <w:szCs w:val="24"/>
        </w:rPr>
        <w:t xml:space="preserve">2009, 4-5, p. 1021 e ss.; M. Magnani, </w:t>
      </w:r>
      <w:r w:rsidRPr="001B58B3">
        <w:rPr>
          <w:i/>
          <w:sz w:val="24"/>
          <w:szCs w:val="24"/>
        </w:rPr>
        <w:t>I nodi attuali del sistema di relazioni industriali e l’accordo quadro del 22 gennaio 2009</w:t>
      </w:r>
      <w:r w:rsidRPr="001B58B3">
        <w:rPr>
          <w:sz w:val="24"/>
          <w:szCs w:val="24"/>
        </w:rPr>
        <w:t xml:space="preserve">, in </w:t>
      </w:r>
      <w:r w:rsidRPr="001B58B3">
        <w:rPr>
          <w:i/>
          <w:sz w:val="24"/>
          <w:szCs w:val="24"/>
        </w:rPr>
        <w:t>ADL</w:t>
      </w:r>
      <w:r w:rsidRPr="001B58B3">
        <w:rPr>
          <w:sz w:val="24"/>
          <w:szCs w:val="24"/>
        </w:rPr>
        <w:t xml:space="preserve">, 2009, 6, p. 1278 e ss.; A. Lassandari, </w:t>
      </w:r>
      <w:r w:rsidRPr="001B58B3">
        <w:rPr>
          <w:i/>
          <w:sz w:val="24"/>
          <w:szCs w:val="24"/>
        </w:rPr>
        <w:t>Le nuove regole sulla contrattazione collettiva:problemi giuridici e di efficacia</w:t>
      </w:r>
      <w:r w:rsidRPr="001B58B3">
        <w:rPr>
          <w:sz w:val="24"/>
          <w:szCs w:val="24"/>
        </w:rPr>
        <w:t xml:space="preserve">, in </w:t>
      </w:r>
      <w:r w:rsidRPr="001B58B3">
        <w:rPr>
          <w:i/>
          <w:sz w:val="24"/>
          <w:szCs w:val="24"/>
        </w:rPr>
        <w:t>Riv. giur. lav. prev. soc.</w:t>
      </w:r>
      <w:r w:rsidRPr="001B58B3">
        <w:rPr>
          <w:sz w:val="24"/>
          <w:szCs w:val="24"/>
        </w:rPr>
        <w:t>, 2010, 1, p. 66 e ss.</w:t>
      </w:r>
    </w:p>
  </w:footnote>
  <w:footnote w:id="145">
    <w:p w:rsidR="00BD2278" w:rsidRDefault="00BD2278" w:rsidP="00120EC1">
      <w:pPr>
        <w:pStyle w:val="FootnoteText"/>
      </w:pPr>
      <w:r w:rsidRPr="00490FAA">
        <w:rPr>
          <w:rStyle w:val="FootnoteReference"/>
          <w:sz w:val="24"/>
          <w:szCs w:val="24"/>
        </w:rPr>
        <w:footnoteRef/>
      </w:r>
      <w:r w:rsidRPr="00490FAA">
        <w:rPr>
          <w:sz w:val="24"/>
          <w:szCs w:val="24"/>
        </w:rPr>
        <w:t xml:space="preserve"> Cfr. G. P. Cella, </w:t>
      </w:r>
      <w:r w:rsidRPr="00490FAA">
        <w:rPr>
          <w:i/>
          <w:sz w:val="24"/>
          <w:szCs w:val="24"/>
        </w:rPr>
        <w:t>Dopo Pomigliano</w:t>
      </w:r>
      <w:r w:rsidRPr="00490FAA">
        <w:rPr>
          <w:sz w:val="24"/>
          <w:szCs w:val="24"/>
        </w:rPr>
        <w:t xml:space="preserve">, in </w:t>
      </w:r>
      <w:r w:rsidRPr="00490FAA">
        <w:rPr>
          <w:i/>
          <w:sz w:val="24"/>
          <w:szCs w:val="24"/>
        </w:rPr>
        <w:t xml:space="preserve">Il Mulino, </w:t>
      </w:r>
      <w:r w:rsidRPr="00490FAA">
        <w:rPr>
          <w:sz w:val="24"/>
          <w:szCs w:val="24"/>
        </w:rPr>
        <w:t>2010, 5, p.</w:t>
      </w:r>
      <w:r>
        <w:rPr>
          <w:sz w:val="24"/>
          <w:szCs w:val="24"/>
        </w:rPr>
        <w:t xml:space="preserve"> 742.</w:t>
      </w:r>
    </w:p>
  </w:footnote>
  <w:footnote w:id="146">
    <w:p w:rsidR="00BD2278" w:rsidRDefault="00BD2278" w:rsidP="00120EC1">
      <w:pPr>
        <w:pStyle w:val="FootnoteText"/>
      </w:pPr>
      <w:r w:rsidRPr="00490FAA">
        <w:rPr>
          <w:rStyle w:val="FootnoteReference"/>
          <w:sz w:val="24"/>
          <w:szCs w:val="24"/>
        </w:rPr>
        <w:footnoteRef/>
      </w:r>
      <w:r w:rsidRPr="00490FAA">
        <w:rPr>
          <w:sz w:val="24"/>
          <w:szCs w:val="24"/>
        </w:rPr>
        <w:t xml:space="preserve"> S. Rodotà, </w:t>
      </w:r>
      <w:r w:rsidRPr="00490FAA">
        <w:rPr>
          <w:i/>
          <w:sz w:val="24"/>
          <w:szCs w:val="24"/>
        </w:rPr>
        <w:t xml:space="preserve">La regola del più forte, </w:t>
      </w:r>
      <w:r w:rsidRPr="00490FAA">
        <w:rPr>
          <w:sz w:val="24"/>
          <w:szCs w:val="24"/>
        </w:rPr>
        <w:t>La Repubblica, 11 gennaio 2011, “Nel mondo del lavoro, in troppi casi, non v’è più negoziazione “all’ombra della legge”, perché sempre più spesso si chiede a sindacati e lavoratori di prendere o lasciare un testo predisposto unilateralmente dalla parte più forte. Contratto collettivo e sindacato, i due strumenti che dall’800 hanno cercato di colmare il dislivello di potere tra datore di lavoro e lavoratori, vengono variamente svuotati. La soggettività del lavoratore si perde, e con essa la dignità del lavoro. Se l’efficienza è l’unica bussola, rischiamo di tornare alla “gestione industriale degli uomini”. E la retribuzione non è più ciò che deve assicurare al lavoratore e alla sua famiglia “una esistenza libera e dignitosa”, come vuole l’art. 36 della Costituzione, ma il prezzo minimo che si spunta sul mercato per vendere un lavoro di nuovo ridotto a pura merce. Dall’esistenza libera e dignitosa si tende a passare ad una sorta di “grado zero” dell’esistenza, alla retribuzione come mera soglia di sopravvivenza, come garanzia solo del “salario minimo biologico”, del “minimo vitale”.</w:t>
      </w:r>
    </w:p>
  </w:footnote>
  <w:footnote w:id="147">
    <w:p w:rsidR="00BD2278" w:rsidRPr="00490FAA" w:rsidRDefault="00BD2278" w:rsidP="00120EC1">
      <w:pPr>
        <w:pStyle w:val="FootnoteText"/>
        <w:rPr>
          <w:sz w:val="24"/>
          <w:szCs w:val="24"/>
        </w:rPr>
      </w:pPr>
      <w:r w:rsidRPr="00490FAA">
        <w:rPr>
          <w:rStyle w:val="FootnoteReference"/>
          <w:sz w:val="24"/>
          <w:szCs w:val="24"/>
        </w:rPr>
        <w:footnoteRef/>
      </w:r>
      <w:r w:rsidRPr="00490FAA">
        <w:rPr>
          <w:sz w:val="24"/>
          <w:szCs w:val="24"/>
        </w:rPr>
        <w:t xml:space="preserve"> Cfr. V. Bavaro, </w:t>
      </w:r>
      <w:r w:rsidRPr="00490FAA">
        <w:rPr>
          <w:i/>
          <w:sz w:val="24"/>
          <w:szCs w:val="24"/>
        </w:rPr>
        <w:t>Contrattazione collettiva e relazioni industriali nell’archetipo Fiat di Pomigliano d’Arco,</w:t>
      </w:r>
      <w:r w:rsidRPr="00490FAA">
        <w:rPr>
          <w:sz w:val="24"/>
          <w:szCs w:val="24"/>
        </w:rPr>
        <w:t xml:space="preserve"> dattiloscritto in corso di pubblicazione su </w:t>
      </w:r>
      <w:r w:rsidRPr="00490FAA">
        <w:rPr>
          <w:i/>
          <w:sz w:val="24"/>
          <w:szCs w:val="24"/>
        </w:rPr>
        <w:t>Quad. rass. sind.</w:t>
      </w:r>
      <w:r w:rsidRPr="00490FAA">
        <w:rPr>
          <w:sz w:val="24"/>
          <w:szCs w:val="24"/>
        </w:rPr>
        <w:t xml:space="preserve">, </w:t>
      </w:r>
      <w:r w:rsidRPr="00490FAA">
        <w:rPr>
          <w:i/>
          <w:sz w:val="24"/>
          <w:szCs w:val="24"/>
        </w:rPr>
        <w:t>Adapt,</w:t>
      </w:r>
      <w:r w:rsidRPr="00490FAA">
        <w:rPr>
          <w:sz w:val="24"/>
          <w:szCs w:val="24"/>
        </w:rPr>
        <w:t>boll. spec. 2011, 44.</w:t>
      </w:r>
    </w:p>
    <w:p w:rsidR="00BD2278" w:rsidRDefault="00BD2278" w:rsidP="00120EC1">
      <w:pPr>
        <w:pStyle w:val="FootnoteText"/>
      </w:pPr>
      <w:r w:rsidRPr="00490FAA">
        <w:rPr>
          <w:sz w:val="24"/>
          <w:szCs w:val="24"/>
        </w:rPr>
        <w:t xml:space="preserve">Cfr. anche T. Treu, su </w:t>
      </w:r>
      <w:r w:rsidRPr="00490FAA">
        <w:rPr>
          <w:i/>
          <w:sz w:val="24"/>
          <w:szCs w:val="24"/>
        </w:rPr>
        <w:t>La Stampa</w:t>
      </w:r>
      <w:r w:rsidRPr="00490FAA">
        <w:rPr>
          <w:sz w:val="24"/>
          <w:szCs w:val="24"/>
        </w:rPr>
        <w:t>, 14 gennaio 2011, per il quale “Sergio Marchionne è uscito da un sistema di relazioni sindacali – quello confindustriale – e se ne sta costruendo un altro”, “In Italia chi potrà seguirà Marchionne. Il ruolo di Confindustria, come quello del sindacato, è messo in crisi”.</w:t>
      </w:r>
    </w:p>
  </w:footnote>
  <w:footnote w:id="148">
    <w:p w:rsidR="00BD2278" w:rsidRDefault="00BD2278" w:rsidP="00120EC1">
      <w:pPr>
        <w:pStyle w:val="FootnoteText"/>
      </w:pPr>
      <w:r w:rsidRPr="00490FAA">
        <w:rPr>
          <w:rStyle w:val="FootnoteReference"/>
          <w:sz w:val="24"/>
          <w:szCs w:val="24"/>
        </w:rPr>
        <w:footnoteRef/>
      </w:r>
      <w:r>
        <w:rPr>
          <w:sz w:val="24"/>
          <w:szCs w:val="24"/>
        </w:rPr>
        <w:t xml:space="preserve"> Cfr. G</w:t>
      </w:r>
      <w:r w:rsidRPr="00490FAA">
        <w:rPr>
          <w:sz w:val="24"/>
          <w:szCs w:val="24"/>
        </w:rPr>
        <w:t xml:space="preserve">. Ferraro, </w:t>
      </w:r>
      <w:r w:rsidRPr="00490FAA">
        <w:rPr>
          <w:i/>
          <w:sz w:val="24"/>
          <w:szCs w:val="24"/>
        </w:rPr>
        <w:t xml:space="preserve">Retribuzione e </w:t>
      </w:r>
      <w:r w:rsidRPr="00490FAA">
        <w:rPr>
          <w:sz w:val="24"/>
          <w:szCs w:val="24"/>
        </w:rPr>
        <w:t>assetto, cit., p. 695.</w:t>
      </w:r>
    </w:p>
  </w:footnote>
  <w:footnote w:id="149">
    <w:p w:rsidR="00BD2278" w:rsidRDefault="00BD2278" w:rsidP="00120EC1">
      <w:pPr>
        <w:pStyle w:val="FootnoteText"/>
      </w:pPr>
      <w:r w:rsidRPr="00490FAA">
        <w:rPr>
          <w:rStyle w:val="FootnoteReference"/>
          <w:sz w:val="24"/>
          <w:szCs w:val="24"/>
        </w:rPr>
        <w:footnoteRef/>
      </w:r>
      <w:r w:rsidRPr="00490FAA">
        <w:rPr>
          <w:sz w:val="24"/>
          <w:szCs w:val="24"/>
        </w:rPr>
        <w:t xml:space="preserve"> Cf. A. Bellavista, </w:t>
      </w:r>
      <w:r w:rsidRPr="00490FAA">
        <w:rPr>
          <w:i/>
          <w:sz w:val="24"/>
          <w:szCs w:val="24"/>
        </w:rPr>
        <w:t>I contratti di riallineamento retributivo</w:t>
      </w:r>
      <w:r w:rsidRPr="00490FAA">
        <w:rPr>
          <w:sz w:val="24"/>
          <w:szCs w:val="24"/>
        </w:rPr>
        <w:t xml:space="preserve">, in </w:t>
      </w:r>
      <w:r w:rsidRPr="00490FAA">
        <w:rPr>
          <w:i/>
          <w:sz w:val="24"/>
          <w:szCs w:val="24"/>
        </w:rPr>
        <w:t>Le nuove leggi civili commentate</w:t>
      </w:r>
      <w:r w:rsidRPr="00490FAA">
        <w:rPr>
          <w:sz w:val="24"/>
          <w:szCs w:val="24"/>
        </w:rPr>
        <w:t>, a cura di M. Napoli, 1998, 5-6, p. 1401.</w:t>
      </w:r>
    </w:p>
  </w:footnote>
  <w:footnote w:id="150">
    <w:p w:rsidR="00BD2278" w:rsidRDefault="00BD2278" w:rsidP="00120EC1">
      <w:pPr>
        <w:pStyle w:val="FootnoteText"/>
      </w:pPr>
      <w:r>
        <w:rPr>
          <w:rStyle w:val="FootnoteReference"/>
        </w:rPr>
        <w:footnoteRef/>
      </w:r>
      <w:r>
        <w:t xml:space="preserve"> </w:t>
      </w:r>
      <w:r w:rsidRPr="00490FAA">
        <w:rPr>
          <w:sz w:val="24"/>
          <w:szCs w:val="24"/>
        </w:rPr>
        <w:t xml:space="preserve">Cfr. G. P. Cella, </w:t>
      </w:r>
      <w:r w:rsidRPr="00490FAA">
        <w:rPr>
          <w:i/>
          <w:sz w:val="24"/>
          <w:szCs w:val="24"/>
        </w:rPr>
        <w:t>Dopo Pomigliano</w:t>
      </w:r>
      <w:r w:rsidRPr="00490FAA">
        <w:rPr>
          <w:sz w:val="24"/>
          <w:szCs w:val="24"/>
        </w:rPr>
        <w:t xml:space="preserve">, </w:t>
      </w:r>
      <w:r>
        <w:rPr>
          <w:sz w:val="24"/>
          <w:szCs w:val="24"/>
        </w:rPr>
        <w:t>cit. 744.</w:t>
      </w:r>
    </w:p>
  </w:footnote>
  <w:footnote w:id="151">
    <w:p w:rsidR="00BD2278" w:rsidRDefault="00BD2278" w:rsidP="00120EC1">
      <w:pPr>
        <w:pStyle w:val="FootnoteText"/>
      </w:pPr>
      <w:r>
        <w:rPr>
          <w:rStyle w:val="FootnoteReference"/>
        </w:rPr>
        <w:footnoteRef/>
      </w:r>
      <w:r>
        <w:t xml:space="preserve"> </w:t>
      </w:r>
      <w:r w:rsidRPr="00C83E76">
        <w:rPr>
          <w:sz w:val="24"/>
          <w:szCs w:val="24"/>
        </w:rPr>
        <w:t>Cfr. C. Dell’Aringa</w:t>
      </w:r>
      <w:r>
        <w:rPr>
          <w:sz w:val="24"/>
          <w:szCs w:val="24"/>
        </w:rPr>
        <w:t>,</w:t>
      </w:r>
      <w:r w:rsidRPr="00C83E76">
        <w:rPr>
          <w:sz w:val="24"/>
          <w:szCs w:val="24"/>
        </w:rPr>
        <w:t xml:space="preserve"> T. Treu, </w:t>
      </w:r>
      <w:r w:rsidRPr="00C83E76">
        <w:rPr>
          <w:i/>
          <w:sz w:val="24"/>
          <w:szCs w:val="24"/>
        </w:rPr>
        <w:t>Introduzione</w:t>
      </w:r>
      <w:r w:rsidRPr="00C83E76">
        <w:rPr>
          <w:sz w:val="24"/>
          <w:szCs w:val="24"/>
        </w:rPr>
        <w:t xml:space="preserve">, in </w:t>
      </w:r>
      <w:r w:rsidRPr="00C83E76">
        <w:rPr>
          <w:i/>
          <w:sz w:val="24"/>
          <w:szCs w:val="24"/>
        </w:rPr>
        <w:t>Le riforme che mancano</w:t>
      </w:r>
      <w:r w:rsidRPr="00C83E76">
        <w:rPr>
          <w:sz w:val="24"/>
          <w:szCs w:val="24"/>
        </w:rPr>
        <w:t xml:space="preserve">, a cura di C. Dell’Aringa e T. Treu, Roma, 2009, </w:t>
      </w:r>
      <w:r>
        <w:rPr>
          <w:sz w:val="24"/>
          <w:szCs w:val="24"/>
        </w:rPr>
        <w:t>p</w:t>
      </w:r>
      <w:r w:rsidRPr="00C83E76">
        <w:rPr>
          <w:sz w:val="24"/>
          <w:szCs w:val="24"/>
        </w:rPr>
        <w:t>. 69.</w:t>
      </w:r>
    </w:p>
  </w:footnote>
  <w:footnote w:id="152">
    <w:p w:rsidR="00BD2278" w:rsidRDefault="00BD2278" w:rsidP="00120EC1">
      <w:pPr>
        <w:pStyle w:val="FootnoteText"/>
      </w:pPr>
      <w:r w:rsidRPr="00490FAA">
        <w:rPr>
          <w:rStyle w:val="FootnoteReference"/>
          <w:sz w:val="24"/>
          <w:szCs w:val="24"/>
        </w:rPr>
        <w:footnoteRef/>
      </w:r>
      <w:r w:rsidRPr="00490FAA">
        <w:rPr>
          <w:sz w:val="24"/>
          <w:szCs w:val="24"/>
        </w:rPr>
        <w:t xml:space="preserve"> Cfr. R. De Luca Tamajo, </w:t>
      </w:r>
      <w:r w:rsidRPr="00490FAA">
        <w:rPr>
          <w:i/>
          <w:sz w:val="24"/>
          <w:szCs w:val="24"/>
        </w:rPr>
        <w:t>Accordo di Pomigliano e criticità del sistema di relazioni industriali italiane</w:t>
      </w:r>
      <w:r w:rsidRPr="00490FAA">
        <w:rPr>
          <w:sz w:val="24"/>
          <w:szCs w:val="24"/>
        </w:rPr>
        <w:t xml:space="preserve">, in </w:t>
      </w:r>
      <w:r w:rsidRPr="00490FAA">
        <w:rPr>
          <w:i/>
          <w:sz w:val="24"/>
          <w:szCs w:val="24"/>
        </w:rPr>
        <w:t>Riv. it. dir. lav.,</w:t>
      </w:r>
      <w:r w:rsidRPr="00490FAA">
        <w:rPr>
          <w:sz w:val="24"/>
          <w:szCs w:val="24"/>
        </w:rPr>
        <w:t>2010, I, p. 797 e ss.</w:t>
      </w:r>
    </w:p>
  </w:footnote>
  <w:footnote w:id="153">
    <w:p w:rsidR="00BD2278" w:rsidRDefault="00BD2278" w:rsidP="00120EC1">
      <w:pPr>
        <w:pStyle w:val="FootnoteText"/>
      </w:pPr>
      <w:r>
        <w:rPr>
          <w:rStyle w:val="FootnoteReference"/>
        </w:rPr>
        <w:footnoteRef/>
      </w:r>
      <w:r>
        <w:t xml:space="preserve"> </w:t>
      </w:r>
      <w:r w:rsidRPr="00490FAA">
        <w:rPr>
          <w:sz w:val="24"/>
          <w:szCs w:val="24"/>
        </w:rPr>
        <w:t xml:space="preserve">Cfr. G. P. Cella, </w:t>
      </w:r>
      <w:r w:rsidRPr="00490FAA">
        <w:rPr>
          <w:i/>
          <w:sz w:val="24"/>
          <w:szCs w:val="24"/>
        </w:rPr>
        <w:t>Dopo Pomigliano</w:t>
      </w:r>
      <w:r w:rsidRPr="00490FAA">
        <w:rPr>
          <w:sz w:val="24"/>
          <w:szCs w:val="24"/>
        </w:rPr>
        <w:t xml:space="preserve">, </w:t>
      </w:r>
      <w:r>
        <w:rPr>
          <w:sz w:val="24"/>
          <w:szCs w:val="24"/>
        </w:rPr>
        <w:t>cit. 739.</w:t>
      </w:r>
    </w:p>
  </w:footnote>
  <w:footnote w:id="154">
    <w:p w:rsidR="00BD2278" w:rsidRDefault="00BD2278" w:rsidP="00120EC1">
      <w:pPr>
        <w:pStyle w:val="FootnoteText"/>
      </w:pPr>
      <w:r w:rsidRPr="00511AE3">
        <w:rPr>
          <w:rStyle w:val="FootnoteReference"/>
          <w:sz w:val="24"/>
          <w:szCs w:val="24"/>
        </w:rPr>
        <w:footnoteRef/>
      </w:r>
      <w:r w:rsidRPr="00511AE3">
        <w:rPr>
          <w:sz w:val="24"/>
          <w:szCs w:val="24"/>
        </w:rPr>
        <w:t xml:space="preserve"> Cfr. M. Magnani, </w:t>
      </w:r>
      <w:r w:rsidRPr="00511AE3">
        <w:rPr>
          <w:i/>
          <w:sz w:val="24"/>
          <w:szCs w:val="24"/>
        </w:rPr>
        <w:t>Dopo Mirafiori, cosa?</w:t>
      </w:r>
      <w:r w:rsidRPr="00511AE3">
        <w:rPr>
          <w:sz w:val="24"/>
          <w:szCs w:val="24"/>
        </w:rPr>
        <w:t xml:space="preserve">, in </w:t>
      </w:r>
      <w:r w:rsidRPr="002D521A">
        <w:rPr>
          <w:i/>
          <w:sz w:val="24"/>
          <w:szCs w:val="24"/>
        </w:rPr>
        <w:t>Boll. ord.</w:t>
      </w:r>
      <w:r w:rsidRPr="00511AE3">
        <w:rPr>
          <w:sz w:val="24"/>
          <w:szCs w:val="24"/>
        </w:rPr>
        <w:t xml:space="preserve"> ADAPT, 17 gennaio 2011.</w:t>
      </w:r>
    </w:p>
  </w:footnote>
  <w:footnote w:id="155">
    <w:p w:rsidR="00BD2278" w:rsidRDefault="00BD2278" w:rsidP="00120EC1">
      <w:pPr>
        <w:pStyle w:val="FootnoteText"/>
      </w:pPr>
      <w:r w:rsidRPr="0014607F">
        <w:rPr>
          <w:rStyle w:val="FootnoteReference"/>
          <w:sz w:val="24"/>
          <w:szCs w:val="24"/>
        </w:rPr>
        <w:footnoteRef/>
      </w:r>
      <w:r w:rsidRPr="0014607F">
        <w:rPr>
          <w:sz w:val="24"/>
          <w:szCs w:val="24"/>
        </w:rPr>
        <w:t xml:space="preserve"> E’ del 17 gennaio 2011 la notizia che il direttivo nazionale della Cgil ha approvato, con 112 sì, 14 astenuti e nessun voto contrario, un documento sull</w:t>
      </w:r>
      <w:r>
        <w:rPr>
          <w:sz w:val="24"/>
          <w:szCs w:val="24"/>
        </w:rPr>
        <w:t>a</w:t>
      </w:r>
      <w:r w:rsidRPr="0014607F">
        <w:rPr>
          <w:sz w:val="24"/>
          <w:szCs w:val="24"/>
        </w:rPr>
        <w:t xml:space="preserve"> democrazia e rappresentanza sindacale.</w:t>
      </w:r>
    </w:p>
  </w:footnote>
  <w:footnote w:id="156">
    <w:p w:rsidR="00BD2278" w:rsidRDefault="00BD2278" w:rsidP="00120EC1">
      <w:pPr>
        <w:pStyle w:val="FootnoteText"/>
      </w:pPr>
      <w:r>
        <w:rPr>
          <w:rStyle w:val="FootnoteReference"/>
        </w:rPr>
        <w:footnoteRef/>
      </w:r>
      <w:r>
        <w:t xml:space="preserve"> </w:t>
      </w:r>
      <w:r>
        <w:rPr>
          <w:sz w:val="24"/>
          <w:szCs w:val="24"/>
        </w:rPr>
        <w:t>Cfr. G</w:t>
      </w:r>
      <w:r w:rsidRPr="00490FAA">
        <w:rPr>
          <w:sz w:val="24"/>
          <w:szCs w:val="24"/>
        </w:rPr>
        <w:t xml:space="preserve">. Ferraro, </w:t>
      </w:r>
      <w:r w:rsidRPr="00490FAA">
        <w:rPr>
          <w:i/>
          <w:sz w:val="24"/>
          <w:szCs w:val="24"/>
        </w:rPr>
        <w:t xml:space="preserve">Retribuzione e </w:t>
      </w:r>
      <w:r w:rsidRPr="00374BF9">
        <w:rPr>
          <w:i/>
          <w:sz w:val="24"/>
          <w:szCs w:val="24"/>
        </w:rPr>
        <w:t>assetto</w:t>
      </w:r>
      <w:r>
        <w:rPr>
          <w:sz w:val="24"/>
          <w:szCs w:val="24"/>
        </w:rPr>
        <w:t>, cit., p. 713.</w:t>
      </w:r>
    </w:p>
  </w:footnote>
  <w:footnote w:id="157">
    <w:p w:rsidR="00BD2278" w:rsidRDefault="00BD2278" w:rsidP="00120EC1">
      <w:pPr>
        <w:pStyle w:val="FootnoteText"/>
      </w:pPr>
      <w:r w:rsidRPr="00E82A8C">
        <w:rPr>
          <w:rStyle w:val="FootnoteReference"/>
          <w:sz w:val="24"/>
          <w:szCs w:val="24"/>
        </w:rPr>
        <w:footnoteRef/>
      </w:r>
      <w:r w:rsidRPr="00E82A8C">
        <w:rPr>
          <w:sz w:val="24"/>
          <w:szCs w:val="24"/>
        </w:rPr>
        <w:t xml:space="preserve"> Cfr. C.</w:t>
      </w:r>
      <w:r w:rsidRPr="006A343C">
        <w:rPr>
          <w:sz w:val="24"/>
          <w:szCs w:val="24"/>
        </w:rPr>
        <w:t xml:space="preserve"> Dell’Aringa, </w:t>
      </w:r>
      <w:r w:rsidRPr="006A343C">
        <w:rPr>
          <w:bCs/>
          <w:i/>
          <w:iCs/>
          <w:color w:val="191919"/>
          <w:sz w:val="24"/>
          <w:szCs w:val="24"/>
        </w:rPr>
        <w:t>Le nuove relazioni industriali, la partecipazione e la sicurezza sul lavoro</w:t>
      </w:r>
      <w:r w:rsidRPr="006A343C">
        <w:rPr>
          <w:bCs/>
          <w:iCs/>
          <w:color w:val="191919"/>
          <w:sz w:val="24"/>
          <w:szCs w:val="24"/>
        </w:rPr>
        <w:t xml:space="preserve">, in </w:t>
      </w:r>
      <w:r w:rsidRPr="00482D6D">
        <w:rPr>
          <w:rStyle w:val="Strong"/>
          <w:b w:val="0"/>
          <w:i/>
          <w:sz w:val="24"/>
          <w:szCs w:val="24"/>
        </w:rPr>
        <w:t xml:space="preserve">Review of Economic Conditions in Italy, </w:t>
      </w:r>
      <w:r w:rsidRPr="00482D6D">
        <w:rPr>
          <w:rStyle w:val="Strong"/>
          <w:b w:val="0"/>
          <w:sz w:val="24"/>
          <w:szCs w:val="24"/>
        </w:rPr>
        <w:t>2010, 1, p. 124.</w:t>
      </w:r>
    </w:p>
  </w:footnote>
  <w:footnote w:id="158">
    <w:p w:rsidR="00BD2278" w:rsidRDefault="00BD2278" w:rsidP="00120EC1">
      <w:pPr>
        <w:spacing w:line="240" w:lineRule="auto"/>
      </w:pPr>
      <w:r>
        <w:rPr>
          <w:rStyle w:val="FootnoteReference"/>
        </w:rPr>
        <w:footnoteRef/>
      </w:r>
      <w:r>
        <w:t xml:space="preserve"> </w:t>
      </w:r>
      <w:r w:rsidRPr="00756FC2">
        <w:t xml:space="preserve">Cfr. T. Treu, </w:t>
      </w:r>
      <w:r w:rsidRPr="00756FC2">
        <w:rPr>
          <w:i/>
        </w:rPr>
        <w:t>Costo del lavoro e sistema retributivo in Italia</w:t>
      </w:r>
      <w:r w:rsidRPr="00756FC2">
        <w:t xml:space="preserve">, </w:t>
      </w:r>
      <w:r w:rsidRPr="00756FC2">
        <w:rPr>
          <w:i/>
        </w:rPr>
        <w:t>La retribuzione. Struttura e regime giuridico</w:t>
      </w:r>
      <w:r w:rsidRPr="00756FC2">
        <w:t>, a cura di B. Caruso, C. Zoli, L. Zoppoli, Napoli, 1994, p. 17.</w:t>
      </w:r>
    </w:p>
  </w:footnote>
  <w:footnote w:id="159">
    <w:p w:rsidR="00BD2278" w:rsidRDefault="00BD2278" w:rsidP="00120EC1">
      <w:pPr>
        <w:pStyle w:val="FootnoteText"/>
      </w:pPr>
      <w:r>
        <w:rPr>
          <w:rStyle w:val="FootnoteReference"/>
        </w:rPr>
        <w:footnoteRef/>
      </w:r>
      <w:r>
        <w:t xml:space="preserve"> </w:t>
      </w:r>
      <w:r>
        <w:rPr>
          <w:sz w:val="24"/>
          <w:szCs w:val="24"/>
        </w:rPr>
        <w:t>Cfr. G</w:t>
      </w:r>
      <w:r w:rsidRPr="00490FAA">
        <w:rPr>
          <w:sz w:val="24"/>
          <w:szCs w:val="24"/>
        </w:rPr>
        <w:t xml:space="preserve">. Ferraro, </w:t>
      </w:r>
      <w:r w:rsidRPr="00490FAA">
        <w:rPr>
          <w:i/>
          <w:sz w:val="24"/>
          <w:szCs w:val="24"/>
        </w:rPr>
        <w:t xml:space="preserve">Retribuzione e </w:t>
      </w:r>
      <w:r>
        <w:rPr>
          <w:sz w:val="24"/>
          <w:szCs w:val="24"/>
        </w:rPr>
        <w:t>assetto, cit., p. 704</w:t>
      </w:r>
    </w:p>
  </w:footnote>
  <w:footnote w:id="160">
    <w:p w:rsidR="00BD2278" w:rsidRDefault="00BD2278" w:rsidP="00120EC1">
      <w:pPr>
        <w:autoSpaceDE w:val="0"/>
        <w:autoSpaceDN w:val="0"/>
        <w:adjustRightInd w:val="0"/>
        <w:spacing w:line="240" w:lineRule="auto"/>
        <w:jc w:val="left"/>
      </w:pPr>
      <w:r>
        <w:rPr>
          <w:rStyle w:val="FootnoteReference"/>
        </w:rPr>
        <w:footnoteRef/>
      </w:r>
      <w:r>
        <w:t xml:space="preserve"> </w:t>
      </w:r>
      <w:r w:rsidRPr="002E6926">
        <w:t xml:space="preserve">Cfr. F. Carinci, </w:t>
      </w:r>
      <w:r w:rsidRPr="002E6926">
        <w:rPr>
          <w:bCs/>
          <w:i/>
        </w:rPr>
        <w:t>Se quarant’anni vi sembran pochi: dallo Statuto dei lavoratori all’Accordo di Pomigliano</w:t>
      </w:r>
      <w:r>
        <w:rPr>
          <w:bCs/>
        </w:rPr>
        <w:t xml:space="preserve">, in </w:t>
      </w:r>
      <w:r w:rsidRPr="002E6926">
        <w:rPr>
          <w:bCs/>
          <w:i/>
        </w:rPr>
        <w:t>ADL</w:t>
      </w:r>
      <w:r>
        <w:rPr>
          <w:bCs/>
        </w:rPr>
        <w:t>, 2010, 3, p. 581 e ss.</w:t>
      </w:r>
    </w:p>
  </w:footnote>
  <w:footnote w:id="161">
    <w:p w:rsidR="00BD2278" w:rsidRDefault="00BD2278" w:rsidP="00120EC1">
      <w:pPr>
        <w:pStyle w:val="FootnoteText"/>
      </w:pPr>
      <w:r w:rsidRPr="0091469E">
        <w:rPr>
          <w:rStyle w:val="FootnoteReference"/>
          <w:sz w:val="24"/>
          <w:szCs w:val="24"/>
        </w:rPr>
        <w:footnoteRef/>
      </w:r>
      <w:r w:rsidRPr="0091469E">
        <w:rPr>
          <w:sz w:val="24"/>
          <w:szCs w:val="24"/>
        </w:rPr>
        <w:t xml:space="preserve"> Individuato nell’ISAE ente di diritto pubblico istituito con D.P.R. n. 374/98, nell'ambito del processo di riorganizzazione e unificazione dei Ministeri del Tesoro e del Bilancio e della Programmazione Economica operate dalla Legge n. 94/1997, allo scopo di svolgere principalmente analisi e studi a supporto delle decisioni di politica economica e sociale del Governo, del Parlamento e delle Pubbliche Amministrazioni.</w:t>
      </w:r>
    </w:p>
  </w:footnote>
  <w:footnote w:id="162">
    <w:p w:rsidR="00BD2278" w:rsidRDefault="00BD2278" w:rsidP="00120EC1">
      <w:pPr>
        <w:pStyle w:val="FootnoteText"/>
      </w:pPr>
      <w:r w:rsidRPr="0091469E">
        <w:rPr>
          <w:rStyle w:val="FootnoteReference"/>
          <w:sz w:val="24"/>
          <w:szCs w:val="24"/>
        </w:rPr>
        <w:footnoteRef/>
      </w:r>
      <w:r w:rsidRPr="0091469E">
        <w:rPr>
          <w:sz w:val="24"/>
          <w:szCs w:val="24"/>
        </w:rPr>
        <w:t xml:space="preserve"> Con ciò sembra darsi seguito alla richiesta di modifica in tal senso espressa dalla Commissione Giugni nella relazione finale. Cfr. </w:t>
      </w:r>
      <w:r w:rsidRPr="0091469E">
        <w:rPr>
          <w:i/>
          <w:sz w:val="24"/>
          <w:szCs w:val="24"/>
        </w:rPr>
        <w:t>Commissione per la verifica del Protocollo del 23 luglio 1993. Relazione finale</w:t>
      </w:r>
      <w:r w:rsidRPr="0091469E">
        <w:rPr>
          <w:sz w:val="24"/>
          <w:szCs w:val="24"/>
        </w:rPr>
        <w:t xml:space="preserve">, in </w:t>
      </w:r>
      <w:r w:rsidRPr="0091469E">
        <w:rPr>
          <w:i/>
          <w:sz w:val="24"/>
          <w:szCs w:val="24"/>
        </w:rPr>
        <w:t>Econ. Lav.</w:t>
      </w:r>
      <w:r w:rsidRPr="0091469E">
        <w:rPr>
          <w:sz w:val="24"/>
          <w:szCs w:val="24"/>
        </w:rPr>
        <w:t>, 1998, 3, p. 99 e ss.</w:t>
      </w:r>
    </w:p>
  </w:footnote>
  <w:footnote w:id="163">
    <w:p w:rsidR="00BD2278" w:rsidRDefault="00BD2278" w:rsidP="00120EC1">
      <w:pPr>
        <w:pStyle w:val="FootnoteText"/>
      </w:pPr>
      <w:r w:rsidRPr="0091469E">
        <w:rPr>
          <w:rStyle w:val="FootnoteReference"/>
          <w:sz w:val="24"/>
          <w:szCs w:val="24"/>
        </w:rPr>
        <w:footnoteRef/>
      </w:r>
      <w:r w:rsidRPr="0091469E">
        <w:rPr>
          <w:sz w:val="24"/>
          <w:szCs w:val="24"/>
        </w:rPr>
        <w:t xml:space="preserve"> Cfr. </w:t>
      </w:r>
      <w:r w:rsidRPr="0091469E">
        <w:rPr>
          <w:i/>
          <w:sz w:val="24"/>
          <w:szCs w:val="24"/>
        </w:rPr>
        <w:t>Commissione per la verifica del Protocollo</w:t>
      </w:r>
      <w:r w:rsidRPr="0091469E">
        <w:rPr>
          <w:sz w:val="24"/>
          <w:szCs w:val="24"/>
        </w:rPr>
        <w:t>, cit., p. 99 e ss.</w:t>
      </w:r>
    </w:p>
  </w:footnote>
  <w:footnote w:id="164">
    <w:p w:rsidR="00BD2278" w:rsidRDefault="00BD2278" w:rsidP="00120EC1">
      <w:pPr>
        <w:autoSpaceDE w:val="0"/>
        <w:autoSpaceDN w:val="0"/>
        <w:adjustRightInd w:val="0"/>
        <w:spacing w:line="240" w:lineRule="auto"/>
        <w:jc w:val="left"/>
      </w:pPr>
      <w:r>
        <w:rPr>
          <w:rStyle w:val="FootnoteReference"/>
        </w:rPr>
        <w:footnoteRef/>
      </w:r>
      <w:r>
        <w:t xml:space="preserve"> Cfr. N. Acocella,</w:t>
      </w:r>
      <w:r w:rsidRPr="00B03A6C">
        <w:t xml:space="preserve"> R. Leoni, </w:t>
      </w:r>
      <w:r w:rsidRPr="00B03A6C">
        <w:rPr>
          <w:bCs/>
          <w:i/>
        </w:rPr>
        <w:t>La riforma della contrattazione: redistribuzione perversa o produzione di reddito?</w:t>
      </w:r>
      <w:r>
        <w:rPr>
          <w:bCs/>
        </w:rPr>
        <w:t>, in Riv. it. econ., 2010, 2, p. 237 e ss.</w:t>
      </w:r>
    </w:p>
  </w:footnote>
  <w:footnote w:id="165">
    <w:p w:rsidR="00BD2278" w:rsidRDefault="00BD2278" w:rsidP="00120EC1">
      <w:pPr>
        <w:pStyle w:val="FootnoteText"/>
      </w:pPr>
      <w:r>
        <w:rPr>
          <w:rStyle w:val="FootnoteReference"/>
        </w:rPr>
        <w:footnoteRef/>
      </w:r>
      <w:r>
        <w:t xml:space="preserve"> </w:t>
      </w:r>
      <w:r>
        <w:rPr>
          <w:sz w:val="24"/>
          <w:szCs w:val="24"/>
        </w:rPr>
        <w:t>Cfr. G</w:t>
      </w:r>
      <w:r w:rsidRPr="00490FAA">
        <w:rPr>
          <w:sz w:val="24"/>
          <w:szCs w:val="24"/>
        </w:rPr>
        <w:t xml:space="preserve">. Ferraro, </w:t>
      </w:r>
      <w:r w:rsidRPr="00490FAA">
        <w:rPr>
          <w:i/>
          <w:sz w:val="24"/>
          <w:szCs w:val="24"/>
        </w:rPr>
        <w:t xml:space="preserve">Retribuzione e </w:t>
      </w:r>
      <w:r>
        <w:rPr>
          <w:sz w:val="24"/>
          <w:szCs w:val="24"/>
        </w:rPr>
        <w:t>assetto, cit., p. 703.</w:t>
      </w:r>
    </w:p>
  </w:footnote>
  <w:footnote w:id="166">
    <w:p w:rsidR="00BD2278" w:rsidRDefault="00BD2278" w:rsidP="00120EC1">
      <w:pPr>
        <w:pStyle w:val="FootnoteText"/>
      </w:pPr>
      <w:r>
        <w:rPr>
          <w:rStyle w:val="FootnoteReference"/>
        </w:rPr>
        <w:footnoteRef/>
      </w:r>
      <w:r>
        <w:t xml:space="preserve"> </w:t>
      </w:r>
      <w:r>
        <w:rPr>
          <w:sz w:val="24"/>
          <w:szCs w:val="24"/>
        </w:rPr>
        <w:t>Cfr. G</w:t>
      </w:r>
      <w:r w:rsidRPr="00490FAA">
        <w:rPr>
          <w:sz w:val="24"/>
          <w:szCs w:val="24"/>
        </w:rPr>
        <w:t xml:space="preserve">. Ferraro, </w:t>
      </w:r>
      <w:r w:rsidRPr="00490FAA">
        <w:rPr>
          <w:i/>
          <w:sz w:val="24"/>
          <w:szCs w:val="24"/>
        </w:rPr>
        <w:t xml:space="preserve">Retribuzione e </w:t>
      </w:r>
      <w:r>
        <w:rPr>
          <w:sz w:val="24"/>
          <w:szCs w:val="24"/>
        </w:rPr>
        <w:t>assetto, cit., p. 704.</w:t>
      </w:r>
    </w:p>
  </w:footnote>
  <w:footnote w:id="167">
    <w:p w:rsidR="00BD2278" w:rsidRDefault="00BD2278" w:rsidP="00120EC1">
      <w:pPr>
        <w:pStyle w:val="FootnoteText"/>
      </w:pPr>
      <w:r>
        <w:rPr>
          <w:rStyle w:val="FootnoteReference"/>
        </w:rPr>
        <w:footnoteRef/>
      </w:r>
      <w:r>
        <w:t xml:space="preserve"> </w:t>
      </w:r>
      <w:r w:rsidRPr="00B331AD">
        <w:rPr>
          <w:sz w:val="24"/>
          <w:szCs w:val="24"/>
        </w:rPr>
        <w:t xml:space="preserve">Cfr. </w:t>
      </w:r>
      <w:r>
        <w:rPr>
          <w:sz w:val="24"/>
          <w:szCs w:val="24"/>
        </w:rPr>
        <w:t xml:space="preserve">L. Paolazzi, C. Rapacciulo, L. Scapperrotta, </w:t>
      </w:r>
      <w:r>
        <w:rPr>
          <w:i/>
          <w:sz w:val="24"/>
          <w:szCs w:val="24"/>
        </w:rPr>
        <w:t xml:space="preserve">Più retribuzioni e più produttività: lo scambio per la crescita. Gli effetti positivi del sistema che decentra la </w:t>
      </w:r>
      <w:r w:rsidRPr="003203A5">
        <w:rPr>
          <w:sz w:val="24"/>
          <w:szCs w:val="24"/>
        </w:rPr>
        <w:t>negoziazione</w:t>
      </w:r>
      <w:r>
        <w:rPr>
          <w:sz w:val="24"/>
          <w:szCs w:val="24"/>
        </w:rPr>
        <w:t>, Nota del Centro Studi di Confindustria, n. 08-5 del</w:t>
      </w:r>
      <w:r w:rsidRPr="00B331AD">
        <w:rPr>
          <w:sz w:val="24"/>
          <w:szCs w:val="24"/>
        </w:rPr>
        <w:t xml:space="preserve"> 29 Gennaio 2009</w:t>
      </w:r>
      <w:r>
        <w:rPr>
          <w:sz w:val="24"/>
          <w:szCs w:val="24"/>
        </w:rPr>
        <w:t>.</w:t>
      </w:r>
    </w:p>
  </w:footnote>
  <w:footnote w:id="168">
    <w:p w:rsidR="00BD2278" w:rsidRDefault="00BD2278" w:rsidP="00120EC1">
      <w:pPr>
        <w:pStyle w:val="FootnoteText"/>
      </w:pPr>
      <w:r w:rsidRPr="006453FF">
        <w:rPr>
          <w:rStyle w:val="FootnoteReference"/>
          <w:sz w:val="24"/>
          <w:szCs w:val="24"/>
        </w:rPr>
        <w:footnoteRef/>
      </w:r>
      <w:r w:rsidRPr="006453FF">
        <w:rPr>
          <w:sz w:val="24"/>
          <w:szCs w:val="24"/>
        </w:rPr>
        <w:t xml:space="preserve"> Cfr. C. Dell’Aringa, </w:t>
      </w:r>
      <w:r w:rsidRPr="006453FF">
        <w:rPr>
          <w:bCs/>
          <w:i/>
          <w:iCs/>
          <w:color w:val="191919"/>
          <w:sz w:val="24"/>
          <w:szCs w:val="24"/>
        </w:rPr>
        <w:t>Le nuove relazioni industriali</w:t>
      </w:r>
      <w:r w:rsidRPr="007B7DCA">
        <w:rPr>
          <w:rStyle w:val="Strong"/>
          <w:b w:val="0"/>
          <w:sz w:val="24"/>
          <w:szCs w:val="24"/>
        </w:rPr>
        <w:t>, cit., p. 125.</w:t>
      </w:r>
    </w:p>
  </w:footnote>
  <w:footnote w:id="169">
    <w:p w:rsidR="00BD2278" w:rsidRDefault="00BD2278" w:rsidP="00120EC1">
      <w:pPr>
        <w:pStyle w:val="FootnoteText"/>
      </w:pPr>
      <w:r>
        <w:rPr>
          <w:rStyle w:val="FootnoteReference"/>
        </w:rPr>
        <w:footnoteRef/>
      </w:r>
      <w:r>
        <w:t xml:space="preserve"> </w:t>
      </w:r>
      <w:r w:rsidRPr="006453FF">
        <w:rPr>
          <w:sz w:val="24"/>
          <w:szCs w:val="24"/>
        </w:rPr>
        <w:t xml:space="preserve">Cfr. C. Dell’Aringa, </w:t>
      </w:r>
      <w:r w:rsidRPr="006453FF">
        <w:rPr>
          <w:bCs/>
          <w:i/>
          <w:iCs/>
          <w:color w:val="191919"/>
          <w:sz w:val="24"/>
          <w:szCs w:val="24"/>
        </w:rPr>
        <w:t>Le nuove relazioni industriali</w:t>
      </w:r>
      <w:r w:rsidRPr="007B7DCA">
        <w:rPr>
          <w:rStyle w:val="Strong"/>
          <w:b w:val="0"/>
          <w:sz w:val="24"/>
          <w:szCs w:val="24"/>
        </w:rPr>
        <w:t>, cit., p. 126.</w:t>
      </w:r>
    </w:p>
  </w:footnote>
  <w:footnote w:id="170">
    <w:p w:rsidR="00BD2278" w:rsidRDefault="00BD2278" w:rsidP="00120EC1">
      <w:pPr>
        <w:pStyle w:val="FootnoteText"/>
      </w:pPr>
      <w:r>
        <w:rPr>
          <w:rStyle w:val="FootnoteReference"/>
        </w:rPr>
        <w:footnoteRef/>
      </w:r>
      <w:r>
        <w:t xml:space="preserve"> </w:t>
      </w:r>
      <w:r w:rsidRPr="00BE7AD1">
        <w:rPr>
          <w:sz w:val="24"/>
          <w:szCs w:val="24"/>
        </w:rPr>
        <w:t>Cfr. N. Acocella</w:t>
      </w:r>
      <w:r>
        <w:rPr>
          <w:sz w:val="24"/>
          <w:szCs w:val="24"/>
        </w:rPr>
        <w:t>,</w:t>
      </w:r>
      <w:r w:rsidRPr="00BE7AD1">
        <w:rPr>
          <w:sz w:val="24"/>
          <w:szCs w:val="24"/>
        </w:rPr>
        <w:t xml:space="preserve"> R. Leoni, </w:t>
      </w:r>
      <w:r w:rsidRPr="00BE7AD1">
        <w:rPr>
          <w:bCs/>
          <w:i/>
          <w:sz w:val="24"/>
          <w:szCs w:val="24"/>
        </w:rPr>
        <w:t xml:space="preserve">La riforma della </w:t>
      </w:r>
      <w:r w:rsidRPr="00BE7AD1">
        <w:rPr>
          <w:bCs/>
          <w:sz w:val="24"/>
          <w:szCs w:val="24"/>
        </w:rPr>
        <w:t>contrattazione</w:t>
      </w:r>
      <w:r>
        <w:rPr>
          <w:bCs/>
          <w:sz w:val="24"/>
          <w:szCs w:val="24"/>
        </w:rPr>
        <w:t xml:space="preserve">, cit. </w:t>
      </w:r>
      <w:r w:rsidRPr="00BE7AD1">
        <w:rPr>
          <w:bCs/>
          <w:sz w:val="24"/>
          <w:szCs w:val="24"/>
        </w:rPr>
        <w:t>p. 237 e ss.</w:t>
      </w:r>
    </w:p>
  </w:footnote>
  <w:footnote w:id="171">
    <w:p w:rsidR="00BD2278" w:rsidRDefault="00BD2278" w:rsidP="00120EC1">
      <w:pPr>
        <w:pStyle w:val="FootnoteText"/>
      </w:pPr>
      <w:r w:rsidRPr="00687FC9">
        <w:rPr>
          <w:rStyle w:val="FootnoteReference"/>
          <w:sz w:val="24"/>
          <w:szCs w:val="24"/>
        </w:rPr>
        <w:footnoteRef/>
      </w:r>
      <w:r w:rsidRPr="00687FC9">
        <w:rPr>
          <w:sz w:val="24"/>
          <w:szCs w:val="24"/>
        </w:rPr>
        <w:t xml:space="preserve">  Cfr. E. Tarantelli, </w:t>
      </w:r>
      <w:r w:rsidRPr="00687FC9">
        <w:rPr>
          <w:i/>
          <w:iCs/>
          <w:sz w:val="24"/>
          <w:szCs w:val="24"/>
        </w:rPr>
        <w:t>Economia Politica d</w:t>
      </w:r>
      <w:r w:rsidRPr="00AF156E">
        <w:rPr>
          <w:i/>
          <w:iCs/>
          <w:sz w:val="24"/>
          <w:szCs w:val="24"/>
        </w:rPr>
        <w:t>el Lavoro</w:t>
      </w:r>
      <w:r w:rsidRPr="00AF156E">
        <w:rPr>
          <w:sz w:val="24"/>
          <w:szCs w:val="24"/>
        </w:rPr>
        <w:t>, Torino, 1986.</w:t>
      </w:r>
    </w:p>
  </w:footnote>
  <w:footnote w:id="172">
    <w:p w:rsidR="00BD2278" w:rsidRDefault="00BD2278" w:rsidP="00120EC1">
      <w:pPr>
        <w:pStyle w:val="FootnoteText"/>
      </w:pPr>
      <w:r w:rsidRPr="00AF156E">
        <w:rPr>
          <w:rStyle w:val="FootnoteReference"/>
          <w:sz w:val="24"/>
          <w:szCs w:val="24"/>
        </w:rPr>
        <w:footnoteRef/>
      </w:r>
      <w:r w:rsidRPr="00AF156E">
        <w:rPr>
          <w:sz w:val="24"/>
          <w:szCs w:val="24"/>
        </w:rPr>
        <w:t xml:space="preserve"> Cfr. T. Treu, </w:t>
      </w:r>
      <w:r w:rsidRPr="00AF156E">
        <w:rPr>
          <w:i/>
          <w:sz w:val="24"/>
          <w:szCs w:val="24"/>
        </w:rPr>
        <w:t>Costo del lavoro</w:t>
      </w:r>
      <w:r w:rsidRPr="00AF156E">
        <w:rPr>
          <w:sz w:val="24"/>
          <w:szCs w:val="24"/>
        </w:rPr>
        <w:t>, cit., p. 15.</w:t>
      </w:r>
    </w:p>
  </w:footnote>
  <w:footnote w:id="173">
    <w:p w:rsidR="00BD2278" w:rsidRDefault="00BD2278" w:rsidP="00120EC1">
      <w:pPr>
        <w:pStyle w:val="FootnoteText"/>
      </w:pPr>
      <w:r w:rsidRPr="007B2D9A">
        <w:rPr>
          <w:rStyle w:val="FootnoteReference"/>
          <w:sz w:val="24"/>
          <w:szCs w:val="24"/>
        </w:rPr>
        <w:footnoteRef/>
      </w:r>
      <w:r w:rsidRPr="007B2D9A">
        <w:rPr>
          <w:sz w:val="24"/>
          <w:szCs w:val="24"/>
        </w:rPr>
        <w:t xml:space="preserve"> Cfr. </w:t>
      </w:r>
      <w:r w:rsidRPr="007B2D9A">
        <w:rPr>
          <w:i/>
          <w:sz w:val="24"/>
          <w:szCs w:val="24"/>
        </w:rPr>
        <w:t>Commissione per la verifica del Protocollo del 23 luglio 1993</w:t>
      </w:r>
      <w:r w:rsidRPr="007B2D9A">
        <w:rPr>
          <w:sz w:val="24"/>
          <w:szCs w:val="24"/>
        </w:rPr>
        <w:t>, cit. p. 99.</w:t>
      </w:r>
    </w:p>
  </w:footnote>
  <w:footnote w:id="174">
    <w:p w:rsidR="00BD2278" w:rsidRDefault="00BD2278" w:rsidP="00120EC1">
      <w:pPr>
        <w:pStyle w:val="FootnoteText"/>
        <w:rPr>
          <w:sz w:val="24"/>
          <w:szCs w:val="24"/>
        </w:rPr>
      </w:pPr>
      <w:r w:rsidRPr="007B2D9A">
        <w:rPr>
          <w:rStyle w:val="FootnoteReference"/>
          <w:sz w:val="24"/>
          <w:szCs w:val="24"/>
        </w:rPr>
        <w:footnoteRef/>
      </w:r>
      <w:r w:rsidRPr="007B2D9A">
        <w:rPr>
          <w:sz w:val="24"/>
          <w:szCs w:val="24"/>
        </w:rPr>
        <w:t xml:space="preserve"> Cfr. V. Ferrante, </w:t>
      </w:r>
      <w:r w:rsidRPr="007B2D9A">
        <w:rPr>
          <w:i/>
          <w:sz w:val="24"/>
          <w:szCs w:val="24"/>
        </w:rPr>
        <w:t>L’accordo interconfederale</w:t>
      </w:r>
      <w:r>
        <w:rPr>
          <w:sz w:val="24"/>
          <w:szCs w:val="24"/>
        </w:rPr>
        <w:t>, cit. p. 1025; N. Acocella, R.</w:t>
      </w:r>
    </w:p>
    <w:p w:rsidR="00BD2278" w:rsidRDefault="00BD2278" w:rsidP="00120EC1">
      <w:pPr>
        <w:pStyle w:val="FootnoteText"/>
      </w:pPr>
      <w:r w:rsidRPr="007B2D9A">
        <w:rPr>
          <w:sz w:val="24"/>
          <w:szCs w:val="24"/>
        </w:rPr>
        <w:t xml:space="preserve">Leoni, </w:t>
      </w:r>
      <w:r w:rsidRPr="007B2D9A">
        <w:rPr>
          <w:i/>
          <w:sz w:val="24"/>
          <w:szCs w:val="24"/>
        </w:rPr>
        <w:t>La riforma della contrattazione</w:t>
      </w:r>
      <w:r w:rsidRPr="007B2D9A">
        <w:rPr>
          <w:sz w:val="24"/>
          <w:szCs w:val="24"/>
        </w:rPr>
        <w:t>, cit. p. 237 e ss.</w:t>
      </w:r>
    </w:p>
  </w:footnote>
  <w:footnote w:id="175">
    <w:p w:rsidR="00BD2278" w:rsidRDefault="00BD2278" w:rsidP="00120EC1">
      <w:pPr>
        <w:pStyle w:val="FootnoteText"/>
      </w:pPr>
      <w:r>
        <w:rPr>
          <w:rStyle w:val="FootnoteReference"/>
        </w:rPr>
        <w:footnoteRef/>
      </w:r>
      <w:r>
        <w:t xml:space="preserve"> </w:t>
      </w:r>
      <w:r>
        <w:rPr>
          <w:sz w:val="24"/>
          <w:szCs w:val="24"/>
        </w:rPr>
        <w:t>Cfr. G</w:t>
      </w:r>
      <w:r w:rsidRPr="00490FAA">
        <w:rPr>
          <w:sz w:val="24"/>
          <w:szCs w:val="24"/>
        </w:rPr>
        <w:t xml:space="preserve">. Ferraro, </w:t>
      </w:r>
      <w:r w:rsidRPr="00490FAA">
        <w:rPr>
          <w:i/>
          <w:sz w:val="24"/>
          <w:szCs w:val="24"/>
        </w:rPr>
        <w:t xml:space="preserve">Retribuzione e </w:t>
      </w:r>
      <w:r>
        <w:rPr>
          <w:sz w:val="24"/>
          <w:szCs w:val="24"/>
        </w:rPr>
        <w:t>assetto, cit., p. 701.</w:t>
      </w:r>
    </w:p>
  </w:footnote>
  <w:footnote w:id="176">
    <w:p w:rsidR="00BD2278" w:rsidRDefault="00BD2278" w:rsidP="00120EC1">
      <w:pPr>
        <w:pStyle w:val="FootnoteText"/>
      </w:pPr>
      <w:r w:rsidRPr="00AF32A0">
        <w:rPr>
          <w:rStyle w:val="FootnoteReference"/>
          <w:sz w:val="24"/>
          <w:szCs w:val="24"/>
        </w:rPr>
        <w:footnoteRef/>
      </w:r>
      <w:r w:rsidRPr="00AF32A0">
        <w:rPr>
          <w:sz w:val="24"/>
          <w:szCs w:val="24"/>
        </w:rPr>
        <w:t xml:space="preserve"> Cfr. N. Acocella</w:t>
      </w:r>
      <w:r>
        <w:rPr>
          <w:sz w:val="24"/>
          <w:szCs w:val="24"/>
        </w:rPr>
        <w:t>,</w:t>
      </w:r>
      <w:r w:rsidRPr="00AF32A0">
        <w:rPr>
          <w:sz w:val="24"/>
          <w:szCs w:val="24"/>
        </w:rPr>
        <w:t xml:space="preserve"> R. Leoni, </w:t>
      </w:r>
      <w:r w:rsidRPr="00AF32A0">
        <w:rPr>
          <w:bCs/>
          <w:i/>
          <w:sz w:val="24"/>
          <w:szCs w:val="24"/>
        </w:rPr>
        <w:t xml:space="preserve">La riforma della </w:t>
      </w:r>
      <w:r w:rsidRPr="00AF32A0">
        <w:rPr>
          <w:bCs/>
          <w:sz w:val="24"/>
          <w:szCs w:val="24"/>
        </w:rPr>
        <w:t>contrattazione, cit. p. 237 e ss.</w:t>
      </w:r>
    </w:p>
  </w:footnote>
  <w:footnote w:id="177">
    <w:p w:rsidR="00BD2278" w:rsidRDefault="00BD2278" w:rsidP="00120EC1">
      <w:pPr>
        <w:pStyle w:val="FootnoteText"/>
      </w:pPr>
      <w:r w:rsidRPr="00AF32A0">
        <w:rPr>
          <w:rStyle w:val="FootnoteReference"/>
          <w:sz w:val="24"/>
          <w:szCs w:val="24"/>
        </w:rPr>
        <w:footnoteRef/>
      </w:r>
      <w:r>
        <w:rPr>
          <w:sz w:val="24"/>
          <w:szCs w:val="24"/>
        </w:rPr>
        <w:t xml:space="preserve"> Cfr. F. Carinci</w:t>
      </w:r>
      <w:r w:rsidRPr="00AF32A0">
        <w:rPr>
          <w:sz w:val="24"/>
          <w:szCs w:val="24"/>
        </w:rPr>
        <w:t xml:space="preserve">, </w:t>
      </w:r>
      <w:r w:rsidRPr="00AF32A0">
        <w:rPr>
          <w:bCs/>
          <w:i/>
          <w:sz w:val="24"/>
          <w:szCs w:val="24"/>
        </w:rPr>
        <w:t>Se quarant’anni vi sembran pochi</w:t>
      </w:r>
      <w:r w:rsidRPr="00AF32A0">
        <w:rPr>
          <w:bCs/>
          <w:sz w:val="24"/>
          <w:szCs w:val="24"/>
        </w:rPr>
        <w:t>, cit., p. 151 e ss.</w:t>
      </w:r>
    </w:p>
  </w:footnote>
  <w:footnote w:id="178">
    <w:p w:rsidR="00BD2278" w:rsidRDefault="00BD2278" w:rsidP="00120EC1">
      <w:pPr>
        <w:pStyle w:val="FootnoteText"/>
      </w:pPr>
      <w:r>
        <w:rPr>
          <w:rStyle w:val="FootnoteReference"/>
        </w:rPr>
        <w:footnoteRef/>
      </w:r>
      <w:r>
        <w:t xml:space="preserve"> </w:t>
      </w:r>
      <w:r>
        <w:rPr>
          <w:sz w:val="24"/>
          <w:szCs w:val="24"/>
        </w:rPr>
        <w:t>Cfr. G</w:t>
      </w:r>
      <w:r w:rsidRPr="00490FAA">
        <w:rPr>
          <w:sz w:val="24"/>
          <w:szCs w:val="24"/>
        </w:rPr>
        <w:t xml:space="preserve">. Ferraro, </w:t>
      </w:r>
      <w:r w:rsidRPr="00490FAA">
        <w:rPr>
          <w:i/>
          <w:sz w:val="24"/>
          <w:szCs w:val="24"/>
        </w:rPr>
        <w:t xml:space="preserve">Retribuzione e </w:t>
      </w:r>
      <w:r>
        <w:rPr>
          <w:sz w:val="24"/>
          <w:szCs w:val="24"/>
        </w:rPr>
        <w:t>assetto, cit., p. 711.</w:t>
      </w:r>
    </w:p>
  </w:footnote>
  <w:footnote w:id="179">
    <w:p w:rsidR="00BD2278" w:rsidRDefault="00BD2278" w:rsidP="00120EC1">
      <w:pPr>
        <w:spacing w:line="240" w:lineRule="auto"/>
      </w:pPr>
      <w:r w:rsidRPr="001151B6">
        <w:rPr>
          <w:rStyle w:val="FootnoteReference"/>
        </w:rPr>
        <w:footnoteRef/>
      </w:r>
      <w:r w:rsidRPr="001151B6">
        <w:t xml:space="preserve"> Secondo la ricerca condotta dalla CGIL dal titolo “</w:t>
      </w:r>
      <w:r w:rsidRPr="001151B6">
        <w:rPr>
          <w:i/>
          <w:iCs/>
        </w:rPr>
        <w:t>Analisi della Contrattazione di II° livello e degli andamenti dal 1996 al 2006 sui dati dell’Archivio nazionale CGIL”</w:t>
      </w:r>
      <w:r w:rsidRPr="001151B6">
        <w:rPr>
          <w:iCs/>
        </w:rPr>
        <w:t xml:space="preserve">, </w:t>
      </w:r>
      <w:r w:rsidRPr="001151B6">
        <w:t>http://www.cgil.it/archivio/contrattazione/AnalisiContrattazione2008.pdf, i contratti territoriali costituiscono complessivamente  il 6,5% del totale di contratti di secondo livello a fronte del 93,5% costituito dai contratti aziendali.</w:t>
      </w:r>
    </w:p>
  </w:footnote>
  <w:footnote w:id="180">
    <w:p w:rsidR="00BD2278" w:rsidRDefault="00BD2278" w:rsidP="00120EC1">
      <w:pPr>
        <w:pStyle w:val="FootnoteText"/>
      </w:pPr>
      <w:r w:rsidRPr="00C83E76">
        <w:rPr>
          <w:rStyle w:val="FootnoteReference"/>
          <w:sz w:val="24"/>
          <w:szCs w:val="24"/>
        </w:rPr>
        <w:footnoteRef/>
      </w:r>
      <w:r w:rsidRPr="00C83E76">
        <w:rPr>
          <w:sz w:val="24"/>
          <w:szCs w:val="24"/>
        </w:rPr>
        <w:t xml:space="preserve"> Cfr. G. Ferraro, </w:t>
      </w:r>
      <w:r w:rsidRPr="00C83E76">
        <w:rPr>
          <w:i/>
          <w:sz w:val="24"/>
          <w:szCs w:val="24"/>
        </w:rPr>
        <w:t xml:space="preserve">Retribuzione e </w:t>
      </w:r>
      <w:r w:rsidRPr="00C83E76">
        <w:rPr>
          <w:sz w:val="24"/>
          <w:szCs w:val="24"/>
        </w:rPr>
        <w:t>assetto, cit., p. 708</w:t>
      </w:r>
      <w:r>
        <w:rPr>
          <w:sz w:val="24"/>
          <w:szCs w:val="24"/>
        </w:rPr>
        <w:t>.</w:t>
      </w:r>
    </w:p>
  </w:footnote>
  <w:footnote w:id="181">
    <w:p w:rsidR="00BD2278" w:rsidRDefault="00BD2278" w:rsidP="00120EC1">
      <w:pPr>
        <w:pStyle w:val="FootnoteText"/>
      </w:pPr>
      <w:r w:rsidRPr="00C83E76">
        <w:rPr>
          <w:rStyle w:val="FootnoteReference"/>
          <w:sz w:val="24"/>
          <w:szCs w:val="24"/>
        </w:rPr>
        <w:footnoteRef/>
      </w:r>
      <w:r w:rsidRPr="00C83E76">
        <w:rPr>
          <w:sz w:val="24"/>
          <w:szCs w:val="24"/>
        </w:rPr>
        <w:t xml:space="preserve"> Cfr. C. Dell’Aringa</w:t>
      </w:r>
      <w:r>
        <w:rPr>
          <w:sz w:val="24"/>
          <w:szCs w:val="24"/>
        </w:rPr>
        <w:t>,</w:t>
      </w:r>
      <w:r w:rsidRPr="00C83E76">
        <w:rPr>
          <w:sz w:val="24"/>
          <w:szCs w:val="24"/>
        </w:rPr>
        <w:t xml:space="preserve"> T. Treu, </w:t>
      </w:r>
      <w:r w:rsidRPr="00C83E76">
        <w:rPr>
          <w:i/>
          <w:sz w:val="24"/>
          <w:szCs w:val="24"/>
        </w:rPr>
        <w:t>Introduzione</w:t>
      </w:r>
      <w:r w:rsidRPr="00A228B3">
        <w:rPr>
          <w:sz w:val="24"/>
          <w:szCs w:val="24"/>
        </w:rPr>
        <w:t xml:space="preserve">, </w:t>
      </w:r>
      <w:r>
        <w:rPr>
          <w:sz w:val="24"/>
          <w:szCs w:val="24"/>
        </w:rPr>
        <w:t>cit.</w:t>
      </w:r>
      <w:r w:rsidRPr="00C83E76">
        <w:rPr>
          <w:sz w:val="24"/>
          <w:szCs w:val="24"/>
        </w:rPr>
        <w:t xml:space="preserve">, </w:t>
      </w:r>
      <w:r>
        <w:rPr>
          <w:sz w:val="24"/>
          <w:szCs w:val="24"/>
        </w:rPr>
        <w:t>p</w:t>
      </w:r>
      <w:r w:rsidRPr="00C83E76">
        <w:rPr>
          <w:sz w:val="24"/>
          <w:szCs w:val="24"/>
        </w:rPr>
        <w:t>. 69.</w:t>
      </w:r>
    </w:p>
  </w:footnote>
  <w:footnote w:id="182">
    <w:p w:rsidR="00BD2278" w:rsidRDefault="00BD2278" w:rsidP="00120EC1">
      <w:pPr>
        <w:pStyle w:val="FootnoteText"/>
      </w:pPr>
      <w:r w:rsidRPr="007B462D">
        <w:rPr>
          <w:rStyle w:val="FootnoteReference"/>
          <w:sz w:val="24"/>
          <w:szCs w:val="24"/>
        </w:rPr>
        <w:footnoteRef/>
      </w:r>
      <w:r w:rsidRPr="007B462D">
        <w:rPr>
          <w:sz w:val="24"/>
          <w:szCs w:val="24"/>
        </w:rPr>
        <w:t xml:space="preserve"> Per una completa rassegna dei precedenti giurisprudenziali c</w:t>
      </w:r>
      <w:r w:rsidRPr="00411A4E">
        <w:rPr>
          <w:sz w:val="24"/>
          <w:szCs w:val="24"/>
        </w:rPr>
        <w:t xml:space="preserve">fr. P. Bellocchi, Sub art. 39 Cost., in </w:t>
      </w:r>
      <w:r w:rsidRPr="00411A4E">
        <w:rPr>
          <w:i/>
          <w:sz w:val="24"/>
          <w:szCs w:val="24"/>
        </w:rPr>
        <w:t>Diritto del lavoro</w:t>
      </w:r>
      <w:r w:rsidRPr="00411A4E">
        <w:rPr>
          <w:sz w:val="24"/>
          <w:szCs w:val="24"/>
        </w:rPr>
        <w:t xml:space="preserve">, a cura di G. Amoroso, V. Di Cerbo, A. Maresca, Milano, 2009, p. </w:t>
      </w:r>
      <w:r>
        <w:rPr>
          <w:sz w:val="24"/>
          <w:szCs w:val="24"/>
        </w:rPr>
        <w:t>347.</w:t>
      </w:r>
    </w:p>
  </w:footnote>
  <w:footnote w:id="183">
    <w:p w:rsidR="00BD2278" w:rsidRDefault="00BD2278" w:rsidP="00120EC1">
      <w:pPr>
        <w:pStyle w:val="FootnoteText"/>
      </w:pPr>
      <w:r w:rsidRPr="00411A4E">
        <w:rPr>
          <w:rStyle w:val="FootnoteReference"/>
          <w:sz w:val="24"/>
          <w:szCs w:val="24"/>
        </w:rPr>
        <w:footnoteRef/>
      </w:r>
      <w:r w:rsidRPr="00411A4E">
        <w:rPr>
          <w:sz w:val="24"/>
          <w:szCs w:val="24"/>
        </w:rPr>
        <w:t xml:space="preserve"> C</w:t>
      </w:r>
      <w:r>
        <w:rPr>
          <w:sz w:val="24"/>
          <w:szCs w:val="24"/>
        </w:rPr>
        <w:t>fr Corte</w:t>
      </w:r>
      <w:r w:rsidRPr="00411A4E">
        <w:rPr>
          <w:sz w:val="24"/>
          <w:szCs w:val="24"/>
        </w:rPr>
        <w:t xml:space="preserve"> Cass., 2 maggio 1990, n. 3607, in </w:t>
      </w:r>
      <w:r w:rsidRPr="00411A4E">
        <w:rPr>
          <w:i/>
          <w:sz w:val="24"/>
          <w:szCs w:val="24"/>
        </w:rPr>
        <w:t>Mass. giur. lav.</w:t>
      </w:r>
      <w:r w:rsidRPr="00411A4E">
        <w:rPr>
          <w:sz w:val="24"/>
          <w:szCs w:val="24"/>
        </w:rPr>
        <w:t>, 1990, p. 384, con nota di E. Lucifredi</w:t>
      </w:r>
      <w:r>
        <w:rPr>
          <w:sz w:val="24"/>
          <w:szCs w:val="24"/>
        </w:rPr>
        <w:t>.</w:t>
      </w:r>
    </w:p>
  </w:footnote>
  <w:footnote w:id="184">
    <w:p w:rsidR="00BD2278" w:rsidRDefault="00BD2278" w:rsidP="00120EC1">
      <w:pPr>
        <w:pStyle w:val="FootnoteText"/>
      </w:pPr>
      <w:r w:rsidRPr="00DD3FBF">
        <w:rPr>
          <w:rStyle w:val="FootnoteReference"/>
          <w:sz w:val="24"/>
          <w:szCs w:val="24"/>
        </w:rPr>
        <w:footnoteRef/>
      </w:r>
      <w:r w:rsidRPr="00DD3FBF">
        <w:rPr>
          <w:sz w:val="24"/>
          <w:szCs w:val="24"/>
        </w:rPr>
        <w:t xml:space="preserve"> </w:t>
      </w:r>
      <w:r w:rsidRPr="00944913">
        <w:rPr>
          <w:sz w:val="24"/>
          <w:szCs w:val="24"/>
        </w:rPr>
        <w:t xml:space="preserve">Cfr. A. Lassandari, </w:t>
      </w:r>
      <w:r w:rsidRPr="00944913">
        <w:rPr>
          <w:i/>
          <w:sz w:val="24"/>
          <w:szCs w:val="24"/>
        </w:rPr>
        <w:t>Il contratto collettivo aziendale e decentrato</w:t>
      </w:r>
      <w:r w:rsidRPr="00944913">
        <w:rPr>
          <w:sz w:val="24"/>
          <w:szCs w:val="24"/>
        </w:rPr>
        <w:t>, Milano, 2001, p. 304 e ss.</w:t>
      </w:r>
    </w:p>
  </w:footnote>
  <w:footnote w:id="185">
    <w:p w:rsidR="00BD2278" w:rsidRDefault="00BD2278" w:rsidP="00120EC1">
      <w:pPr>
        <w:pStyle w:val="FootnoteText"/>
      </w:pPr>
      <w:r w:rsidRPr="00944913">
        <w:rPr>
          <w:rStyle w:val="FootnoteReference"/>
          <w:sz w:val="24"/>
          <w:szCs w:val="24"/>
        </w:rPr>
        <w:footnoteRef/>
      </w:r>
      <w:r w:rsidRPr="00944913">
        <w:rPr>
          <w:sz w:val="24"/>
          <w:szCs w:val="24"/>
        </w:rPr>
        <w:t xml:space="preserve"> Cfr. </w:t>
      </w:r>
      <w:r>
        <w:rPr>
          <w:sz w:val="24"/>
          <w:szCs w:val="24"/>
        </w:rPr>
        <w:t>Corte</w:t>
      </w:r>
      <w:r w:rsidRPr="00944913">
        <w:rPr>
          <w:sz w:val="24"/>
          <w:szCs w:val="24"/>
        </w:rPr>
        <w:t xml:space="preserve"> Cass. 5 febbraio, 1993, n. 1438, in </w:t>
      </w:r>
      <w:r w:rsidRPr="00944913">
        <w:rPr>
          <w:i/>
          <w:sz w:val="24"/>
          <w:szCs w:val="24"/>
        </w:rPr>
        <w:t>Riv. it. dir. lav.</w:t>
      </w:r>
      <w:r w:rsidRPr="00944913">
        <w:rPr>
          <w:sz w:val="24"/>
          <w:szCs w:val="24"/>
        </w:rPr>
        <w:t xml:space="preserve">, 1994, II, p. 61 e </w:t>
      </w:r>
      <w:r w:rsidRPr="00DC7D02">
        <w:rPr>
          <w:sz w:val="24"/>
          <w:szCs w:val="24"/>
        </w:rPr>
        <w:t>ss. con nota di L. Nogler.</w:t>
      </w:r>
    </w:p>
  </w:footnote>
  <w:footnote w:id="186">
    <w:p w:rsidR="00BD2278" w:rsidRDefault="00BD2278" w:rsidP="00120EC1">
      <w:pPr>
        <w:pStyle w:val="FootnoteText"/>
      </w:pPr>
      <w:r w:rsidRPr="00DC7D02">
        <w:rPr>
          <w:rStyle w:val="FootnoteReference"/>
          <w:sz w:val="24"/>
          <w:szCs w:val="24"/>
        </w:rPr>
        <w:footnoteRef/>
      </w:r>
      <w:r w:rsidRPr="00DC7D02">
        <w:rPr>
          <w:sz w:val="24"/>
          <w:szCs w:val="24"/>
        </w:rPr>
        <w:t xml:space="preserve"> Cfr. Corte App. Brescia, 7 marzo 2009, in </w:t>
      </w:r>
      <w:r w:rsidRPr="00DC7D02">
        <w:rPr>
          <w:i/>
          <w:sz w:val="24"/>
          <w:szCs w:val="24"/>
        </w:rPr>
        <w:t>Riv. giur. dir. lav. prev. soc.</w:t>
      </w:r>
      <w:r w:rsidRPr="00DC7D02">
        <w:rPr>
          <w:sz w:val="24"/>
          <w:szCs w:val="24"/>
        </w:rPr>
        <w:t>, 2010, II, p. 188 con nota di F. Aiello.</w:t>
      </w:r>
    </w:p>
  </w:footnote>
  <w:footnote w:id="187">
    <w:p w:rsidR="00BD2278" w:rsidRDefault="00BD2278" w:rsidP="00120EC1">
      <w:pPr>
        <w:pStyle w:val="FootnoteText"/>
      </w:pPr>
      <w:r w:rsidRPr="00DC7D02">
        <w:rPr>
          <w:rStyle w:val="FootnoteReference"/>
          <w:sz w:val="24"/>
          <w:szCs w:val="24"/>
        </w:rPr>
        <w:footnoteRef/>
      </w:r>
      <w:r w:rsidRPr="00DC7D02">
        <w:rPr>
          <w:sz w:val="24"/>
          <w:szCs w:val="24"/>
        </w:rPr>
        <w:t xml:space="preserve"> Cfr. A. Lassandari, </w:t>
      </w:r>
      <w:r w:rsidRPr="00DC7D02">
        <w:rPr>
          <w:i/>
          <w:sz w:val="24"/>
          <w:szCs w:val="24"/>
        </w:rPr>
        <w:t>Le nuove regole sulla contrattazione</w:t>
      </w:r>
      <w:r w:rsidRPr="00DC7D02">
        <w:rPr>
          <w:sz w:val="24"/>
          <w:szCs w:val="24"/>
        </w:rPr>
        <w:t>,</w:t>
      </w:r>
      <w:r>
        <w:rPr>
          <w:sz w:val="24"/>
          <w:szCs w:val="24"/>
        </w:rPr>
        <w:t xml:space="preserve"> cit.</w:t>
      </w:r>
      <w:r w:rsidRPr="00DC7D02">
        <w:rPr>
          <w:sz w:val="24"/>
          <w:szCs w:val="24"/>
        </w:rPr>
        <w:t xml:space="preserve"> p. 66 e ss.</w:t>
      </w:r>
    </w:p>
  </w:footnote>
  <w:footnote w:id="188">
    <w:p w:rsidR="00BD2278" w:rsidRDefault="00BD2278" w:rsidP="00120EC1">
      <w:pPr>
        <w:autoSpaceDE w:val="0"/>
        <w:autoSpaceDN w:val="0"/>
        <w:adjustRightInd w:val="0"/>
        <w:spacing w:line="240" w:lineRule="auto"/>
      </w:pPr>
      <w:r>
        <w:rPr>
          <w:rStyle w:val="FootnoteReference"/>
        </w:rPr>
        <w:footnoteRef/>
      </w:r>
      <w:r>
        <w:t xml:space="preserve"> Cfr. C. Dell’Aringa, </w:t>
      </w:r>
      <w:r w:rsidRPr="00E446A2">
        <w:rPr>
          <w:bCs/>
          <w:i/>
          <w:iCs/>
          <w:color w:val="191919"/>
        </w:rPr>
        <w:t>Le nuove relazioni industriali</w:t>
      </w:r>
      <w:r>
        <w:rPr>
          <w:rStyle w:val="Strong"/>
        </w:rPr>
        <w:t xml:space="preserve">, </w:t>
      </w:r>
      <w:r w:rsidRPr="004A5FEA">
        <w:rPr>
          <w:rStyle w:val="Strong"/>
          <w:b w:val="0"/>
        </w:rPr>
        <w:t>cit., p. 111 e ss.:</w:t>
      </w:r>
      <w:r w:rsidRPr="00E446A2">
        <w:rPr>
          <w:rStyle w:val="Strong"/>
        </w:rPr>
        <w:t xml:space="preserve"> “</w:t>
      </w:r>
      <w:r w:rsidRPr="00E446A2">
        <w:rPr>
          <w:color w:val="191919"/>
        </w:rPr>
        <w:t>In definitiva, il nuovo istituto non garantisce più e solo</w:t>
      </w:r>
      <w:r>
        <w:rPr>
          <w:color w:val="191919"/>
        </w:rPr>
        <w:t xml:space="preserve"> un “livello” minimo </w:t>
      </w:r>
      <w:r w:rsidRPr="00E446A2">
        <w:rPr>
          <w:color w:val="191919"/>
        </w:rPr>
        <w:t>delle retribuzioni di fatto (come era nella prima formulazione,</w:t>
      </w:r>
      <w:r>
        <w:rPr>
          <w:color w:val="191919"/>
        </w:rPr>
        <w:t xml:space="preserve"> quella delle “linee </w:t>
      </w:r>
      <w:r w:rsidRPr="00E446A2">
        <w:rPr>
          <w:color w:val="191919"/>
        </w:rPr>
        <w:t>guida”), ma garantisce anche un “aumento</w:t>
      </w:r>
      <w:r>
        <w:rPr>
          <w:color w:val="191919"/>
        </w:rPr>
        <w:t xml:space="preserve"> </w:t>
      </w:r>
      <w:r w:rsidRPr="00E446A2">
        <w:rPr>
          <w:color w:val="191919"/>
        </w:rPr>
        <w:t>minimo” in aggiunta agli aumenti dei minimi tabellari”</w:t>
      </w:r>
      <w:r>
        <w:rPr>
          <w:color w:val="191919"/>
        </w:rPr>
        <w:t>.</w:t>
      </w:r>
    </w:p>
  </w:footnote>
  <w:footnote w:id="189">
    <w:p w:rsidR="00BD2278" w:rsidRDefault="00BD2278" w:rsidP="00120EC1">
      <w:pPr>
        <w:pStyle w:val="FootnoteText"/>
      </w:pPr>
      <w:r w:rsidRPr="00EB5CB9">
        <w:rPr>
          <w:rStyle w:val="FootnoteReference"/>
          <w:sz w:val="24"/>
          <w:szCs w:val="24"/>
        </w:rPr>
        <w:footnoteRef/>
      </w:r>
      <w:r w:rsidRPr="00EB5CB9">
        <w:rPr>
          <w:sz w:val="24"/>
          <w:szCs w:val="24"/>
        </w:rPr>
        <w:t xml:space="preserve"> Cfr. C. Dell’Aringa</w:t>
      </w:r>
      <w:r>
        <w:rPr>
          <w:sz w:val="24"/>
          <w:szCs w:val="24"/>
        </w:rPr>
        <w:t>,</w:t>
      </w:r>
      <w:r w:rsidRPr="00EB5CB9">
        <w:rPr>
          <w:sz w:val="24"/>
          <w:szCs w:val="24"/>
        </w:rPr>
        <w:t xml:space="preserve"> C. Vignocchi, </w:t>
      </w:r>
      <w:r w:rsidRPr="00EB5CB9">
        <w:rPr>
          <w:i/>
          <w:sz w:val="24"/>
          <w:szCs w:val="24"/>
        </w:rPr>
        <w:t>La definizione del nuovo modello contrattuale: la flessibilità dei salari sul territorio</w:t>
      </w:r>
      <w:r w:rsidRPr="00EB5CB9">
        <w:rPr>
          <w:sz w:val="24"/>
          <w:szCs w:val="24"/>
        </w:rPr>
        <w:t xml:space="preserve">, in </w:t>
      </w:r>
      <w:r w:rsidRPr="00EB5CB9">
        <w:rPr>
          <w:i/>
          <w:sz w:val="24"/>
          <w:szCs w:val="24"/>
        </w:rPr>
        <w:t>Le riforme che mancano</w:t>
      </w:r>
      <w:r w:rsidRPr="00EB5CB9">
        <w:rPr>
          <w:sz w:val="24"/>
          <w:szCs w:val="24"/>
        </w:rPr>
        <w:t>,</w:t>
      </w:r>
      <w:r>
        <w:rPr>
          <w:sz w:val="24"/>
          <w:szCs w:val="24"/>
        </w:rPr>
        <w:t xml:space="preserve"> a cura di C. Dell’Aringa, T. T</w:t>
      </w:r>
      <w:r w:rsidRPr="00EB5CB9">
        <w:rPr>
          <w:sz w:val="24"/>
          <w:szCs w:val="24"/>
        </w:rPr>
        <w:t>reu, Roma, 2009, p. 417.</w:t>
      </w:r>
    </w:p>
  </w:footnote>
  <w:footnote w:id="190">
    <w:p w:rsidR="00BD2278" w:rsidRDefault="00BD2278" w:rsidP="00120EC1">
      <w:pPr>
        <w:pStyle w:val="FootnoteText"/>
      </w:pPr>
      <w:r w:rsidRPr="00F32525">
        <w:rPr>
          <w:rStyle w:val="FootnoteReference"/>
          <w:sz w:val="24"/>
          <w:szCs w:val="24"/>
        </w:rPr>
        <w:footnoteRef/>
      </w:r>
      <w:r w:rsidRPr="00F32525">
        <w:rPr>
          <w:sz w:val="24"/>
          <w:szCs w:val="24"/>
        </w:rPr>
        <w:t xml:space="preserve"> Cfr. F. Carinci, R. De Luca Tamajo, P. Tosi, T. Treu, </w:t>
      </w:r>
      <w:r w:rsidRPr="00F32525">
        <w:rPr>
          <w:i/>
          <w:sz w:val="24"/>
          <w:szCs w:val="24"/>
        </w:rPr>
        <w:t>Diritto del Lavoro.</w:t>
      </w:r>
      <w:r w:rsidRPr="00F32525">
        <w:rPr>
          <w:sz w:val="24"/>
          <w:szCs w:val="24"/>
        </w:rPr>
        <w:t>,</w:t>
      </w:r>
      <w:r>
        <w:rPr>
          <w:sz w:val="24"/>
          <w:szCs w:val="24"/>
        </w:rPr>
        <w:t xml:space="preserve"> cit.,</w:t>
      </w:r>
      <w:r w:rsidRPr="00F32525">
        <w:rPr>
          <w:sz w:val="24"/>
          <w:szCs w:val="24"/>
        </w:rPr>
        <w:t xml:space="preserve"> p. 251.</w:t>
      </w:r>
    </w:p>
  </w:footnote>
  <w:footnote w:id="191">
    <w:p w:rsidR="00BD2278" w:rsidRDefault="00BD2278" w:rsidP="00120EC1">
      <w:pPr>
        <w:pStyle w:val="FootnoteText"/>
      </w:pPr>
      <w:r w:rsidRPr="00F32525">
        <w:rPr>
          <w:rStyle w:val="FootnoteReference"/>
          <w:sz w:val="24"/>
          <w:szCs w:val="24"/>
        </w:rPr>
        <w:footnoteRef/>
      </w:r>
      <w:r w:rsidRPr="00F32525">
        <w:rPr>
          <w:sz w:val="24"/>
          <w:szCs w:val="24"/>
        </w:rPr>
        <w:t xml:space="preserve"> Cfr. Angiello L., </w:t>
      </w:r>
      <w:r w:rsidRPr="00F32525">
        <w:rPr>
          <w:i/>
          <w:sz w:val="24"/>
          <w:szCs w:val="24"/>
        </w:rPr>
        <w:t xml:space="preserve">La retribuzione, </w:t>
      </w:r>
      <w:r w:rsidRPr="00F32525">
        <w:rPr>
          <w:sz w:val="24"/>
          <w:szCs w:val="24"/>
        </w:rPr>
        <w:t>Milano, 1990, p. 113.</w:t>
      </w:r>
    </w:p>
  </w:footnote>
  <w:footnote w:id="192">
    <w:p w:rsidR="00BD2278" w:rsidRDefault="00BD2278" w:rsidP="00120EC1">
      <w:pPr>
        <w:pStyle w:val="FootnoteText"/>
      </w:pPr>
      <w:r w:rsidRPr="00F32525">
        <w:rPr>
          <w:rStyle w:val="FootnoteReference"/>
          <w:sz w:val="24"/>
          <w:szCs w:val="24"/>
        </w:rPr>
        <w:footnoteRef/>
      </w:r>
      <w:r w:rsidRPr="00F32525">
        <w:rPr>
          <w:sz w:val="24"/>
          <w:szCs w:val="24"/>
        </w:rPr>
        <w:t xml:space="preserve"> Cfr. F. Mortillaro, </w:t>
      </w:r>
      <w:r w:rsidRPr="00F32525">
        <w:rPr>
          <w:i/>
          <w:sz w:val="24"/>
          <w:szCs w:val="24"/>
        </w:rPr>
        <w:t xml:space="preserve">Retribuzione. 1)  Rapporto di lavoro privato, </w:t>
      </w:r>
      <w:r w:rsidRPr="00F32525">
        <w:rPr>
          <w:sz w:val="24"/>
          <w:szCs w:val="24"/>
        </w:rPr>
        <w:t xml:space="preserve">in </w:t>
      </w:r>
      <w:r w:rsidRPr="00F32525">
        <w:rPr>
          <w:i/>
          <w:sz w:val="24"/>
          <w:szCs w:val="24"/>
        </w:rPr>
        <w:t>Enc. Giur. Treccani</w:t>
      </w:r>
      <w:r w:rsidRPr="00F32525">
        <w:rPr>
          <w:sz w:val="24"/>
          <w:szCs w:val="24"/>
        </w:rPr>
        <w:t>, XXVII, 1991, p. 8.</w:t>
      </w:r>
    </w:p>
  </w:footnote>
  <w:footnote w:id="193">
    <w:p w:rsidR="00BD2278" w:rsidRDefault="00BD2278" w:rsidP="00120EC1">
      <w:pPr>
        <w:pStyle w:val="FootnoteText"/>
      </w:pPr>
      <w:r w:rsidRPr="00F32525">
        <w:rPr>
          <w:rStyle w:val="FootnoteReference"/>
          <w:sz w:val="24"/>
          <w:szCs w:val="24"/>
        </w:rPr>
        <w:footnoteRef/>
      </w:r>
      <w:r w:rsidRPr="00F32525">
        <w:rPr>
          <w:sz w:val="24"/>
          <w:szCs w:val="24"/>
        </w:rPr>
        <w:t xml:space="preserve"> Cfr. F. Carinci, R. De Luca Tamajo, P. Tosi, T. Treu, </w:t>
      </w:r>
      <w:r w:rsidRPr="00F32525">
        <w:rPr>
          <w:i/>
          <w:sz w:val="24"/>
          <w:szCs w:val="24"/>
        </w:rPr>
        <w:t>Diritto del Lavoro</w:t>
      </w:r>
      <w:r w:rsidRPr="00F32525">
        <w:rPr>
          <w:sz w:val="24"/>
          <w:szCs w:val="24"/>
        </w:rPr>
        <w:t>, cit., p. 256.</w:t>
      </w:r>
    </w:p>
  </w:footnote>
  <w:footnote w:id="194">
    <w:p w:rsidR="00BD2278" w:rsidRDefault="00BD2278" w:rsidP="00120EC1">
      <w:pPr>
        <w:pStyle w:val="FootnoteText"/>
      </w:pPr>
      <w:r w:rsidRPr="00F32525">
        <w:rPr>
          <w:rStyle w:val="FootnoteReference"/>
          <w:sz w:val="24"/>
          <w:szCs w:val="24"/>
        </w:rPr>
        <w:footnoteRef/>
      </w:r>
      <w:r w:rsidRPr="00F32525">
        <w:rPr>
          <w:sz w:val="24"/>
          <w:szCs w:val="24"/>
        </w:rPr>
        <w:t xml:space="preserve"> Cfr. A. Garilli, </w:t>
      </w:r>
      <w:r w:rsidRPr="00F32525">
        <w:rPr>
          <w:i/>
          <w:sz w:val="24"/>
          <w:szCs w:val="24"/>
        </w:rPr>
        <w:t>I trattamenti economici di fine rapporto</w:t>
      </w:r>
      <w:r w:rsidRPr="00F32525">
        <w:rPr>
          <w:sz w:val="24"/>
          <w:szCs w:val="24"/>
        </w:rPr>
        <w:t xml:space="preserve">, </w:t>
      </w:r>
      <w:r>
        <w:rPr>
          <w:sz w:val="24"/>
          <w:szCs w:val="24"/>
        </w:rPr>
        <w:t>cit.</w:t>
      </w:r>
      <w:r w:rsidRPr="00F32525">
        <w:rPr>
          <w:sz w:val="24"/>
          <w:szCs w:val="24"/>
        </w:rPr>
        <w:t>, p. 250 e ss.</w:t>
      </w:r>
    </w:p>
  </w:footnote>
  <w:footnote w:id="195">
    <w:p w:rsidR="00BD2278" w:rsidRDefault="00BD2278" w:rsidP="00120EC1">
      <w:pPr>
        <w:pStyle w:val="FootnoteText"/>
      </w:pPr>
      <w:r w:rsidRPr="00F32525">
        <w:rPr>
          <w:rStyle w:val="FootnoteReference"/>
          <w:sz w:val="24"/>
          <w:szCs w:val="24"/>
        </w:rPr>
        <w:footnoteRef/>
      </w:r>
      <w:r w:rsidRPr="00F32525">
        <w:rPr>
          <w:sz w:val="24"/>
          <w:szCs w:val="24"/>
        </w:rPr>
        <w:t xml:space="preserve"> Cfr. M. Roccella, </w:t>
      </w:r>
      <w:r w:rsidRPr="00F32525">
        <w:rPr>
          <w:i/>
          <w:sz w:val="24"/>
          <w:szCs w:val="24"/>
        </w:rPr>
        <w:t>Manuale di diritto del lavoro</w:t>
      </w:r>
      <w:r w:rsidRPr="00F32525">
        <w:rPr>
          <w:sz w:val="24"/>
          <w:szCs w:val="24"/>
        </w:rPr>
        <w:t xml:space="preserve">, </w:t>
      </w:r>
      <w:r>
        <w:rPr>
          <w:sz w:val="24"/>
          <w:szCs w:val="24"/>
        </w:rPr>
        <w:t>cit.</w:t>
      </w:r>
      <w:r w:rsidRPr="00F32525">
        <w:rPr>
          <w:sz w:val="24"/>
          <w:szCs w:val="24"/>
        </w:rPr>
        <w:t>, p. 363.</w:t>
      </w:r>
    </w:p>
  </w:footnote>
  <w:footnote w:id="196">
    <w:p w:rsidR="00BD2278" w:rsidRDefault="00BD2278" w:rsidP="00120EC1">
      <w:pPr>
        <w:pStyle w:val="FootnoteText"/>
      </w:pPr>
      <w:r w:rsidRPr="00F32525">
        <w:rPr>
          <w:rStyle w:val="FootnoteReference"/>
          <w:sz w:val="24"/>
          <w:szCs w:val="24"/>
        </w:rPr>
        <w:footnoteRef/>
      </w:r>
      <w:r w:rsidRPr="00F32525">
        <w:rPr>
          <w:sz w:val="24"/>
          <w:szCs w:val="24"/>
        </w:rPr>
        <w:t xml:space="preserve"> Cfr. F. Carinci, R. De Luca Tamajo, P. Tosi, T. Treu, </w:t>
      </w:r>
      <w:r w:rsidRPr="00F32525">
        <w:rPr>
          <w:i/>
          <w:sz w:val="24"/>
          <w:szCs w:val="24"/>
        </w:rPr>
        <w:t>Diritto del Lavoro</w:t>
      </w:r>
      <w:r w:rsidRPr="00F32525">
        <w:rPr>
          <w:sz w:val="24"/>
          <w:szCs w:val="24"/>
        </w:rPr>
        <w:t>, cit., p. 251.</w:t>
      </w:r>
    </w:p>
  </w:footnote>
  <w:footnote w:id="197">
    <w:p w:rsidR="00BD2278" w:rsidRDefault="00BD2278" w:rsidP="00120EC1">
      <w:pPr>
        <w:pStyle w:val="FootnoteText"/>
      </w:pPr>
      <w:r w:rsidRPr="00F32525">
        <w:rPr>
          <w:rStyle w:val="FootnoteReference"/>
          <w:sz w:val="24"/>
          <w:szCs w:val="24"/>
        </w:rPr>
        <w:footnoteRef/>
      </w:r>
      <w:r w:rsidRPr="00F32525">
        <w:rPr>
          <w:sz w:val="24"/>
          <w:szCs w:val="24"/>
        </w:rPr>
        <w:t xml:space="preserve"> Cfr. F. Santoro-Passarelli, </w:t>
      </w:r>
      <w:r w:rsidRPr="00F32525">
        <w:rPr>
          <w:i/>
          <w:sz w:val="24"/>
          <w:szCs w:val="24"/>
        </w:rPr>
        <w:t>Cottimo</w:t>
      </w:r>
      <w:r w:rsidRPr="00F32525">
        <w:rPr>
          <w:sz w:val="24"/>
          <w:szCs w:val="24"/>
        </w:rPr>
        <w:t xml:space="preserve">, in </w:t>
      </w:r>
      <w:r w:rsidRPr="00F32525">
        <w:rPr>
          <w:i/>
          <w:sz w:val="24"/>
          <w:szCs w:val="24"/>
        </w:rPr>
        <w:t>Novissimo Digesto italiano</w:t>
      </w:r>
      <w:r w:rsidRPr="00F32525">
        <w:rPr>
          <w:sz w:val="24"/>
          <w:szCs w:val="24"/>
        </w:rPr>
        <w:t>, Torino, 1957, p. 1075.</w:t>
      </w:r>
    </w:p>
  </w:footnote>
  <w:footnote w:id="198">
    <w:p w:rsidR="00BD2278" w:rsidRDefault="00BD2278" w:rsidP="00120EC1">
      <w:pPr>
        <w:pStyle w:val="FootnoteText"/>
      </w:pPr>
      <w:r w:rsidRPr="00F32525">
        <w:rPr>
          <w:rStyle w:val="FootnoteReference"/>
          <w:sz w:val="24"/>
          <w:szCs w:val="24"/>
        </w:rPr>
        <w:footnoteRef/>
      </w:r>
      <w:r w:rsidRPr="00F32525">
        <w:rPr>
          <w:sz w:val="24"/>
          <w:szCs w:val="24"/>
        </w:rPr>
        <w:t xml:space="preserve"> Cfr. A. Alaimo, </w:t>
      </w:r>
      <w:r w:rsidRPr="00F32525">
        <w:rPr>
          <w:i/>
          <w:sz w:val="24"/>
          <w:szCs w:val="24"/>
        </w:rPr>
        <w:t>Sistemi partecipativi e incentivanti di retribuzione: l’evoluzione storica in Italia</w:t>
      </w:r>
      <w:r w:rsidRPr="00F32525">
        <w:rPr>
          <w:sz w:val="24"/>
          <w:szCs w:val="24"/>
        </w:rPr>
        <w:t xml:space="preserve">, in </w:t>
      </w:r>
      <w:r w:rsidRPr="00F32525">
        <w:rPr>
          <w:i/>
          <w:sz w:val="24"/>
          <w:szCs w:val="24"/>
        </w:rPr>
        <w:t>Dir. rel. ind.</w:t>
      </w:r>
      <w:r w:rsidRPr="00F32525">
        <w:rPr>
          <w:sz w:val="24"/>
          <w:szCs w:val="24"/>
        </w:rPr>
        <w:t>, 1991, 1, p. 18.</w:t>
      </w:r>
    </w:p>
  </w:footnote>
  <w:footnote w:id="199">
    <w:p w:rsidR="00BD2278" w:rsidRDefault="00BD2278" w:rsidP="00120EC1">
      <w:pPr>
        <w:pStyle w:val="FootnoteText"/>
      </w:pPr>
      <w:r w:rsidRPr="00F32525">
        <w:rPr>
          <w:rStyle w:val="FootnoteReference"/>
          <w:sz w:val="24"/>
          <w:szCs w:val="24"/>
        </w:rPr>
        <w:footnoteRef/>
      </w:r>
      <w:r w:rsidRPr="00F32525">
        <w:rPr>
          <w:sz w:val="24"/>
          <w:szCs w:val="24"/>
        </w:rPr>
        <w:t xml:space="preserve"> G. Giugni, </w:t>
      </w:r>
      <w:r>
        <w:rPr>
          <w:i/>
          <w:sz w:val="24"/>
          <w:szCs w:val="24"/>
        </w:rPr>
        <w:t xml:space="preserve">Organizzazione dell’impresa ed evoluzione dei rapporti giuridici. </w:t>
      </w:r>
      <w:r w:rsidRPr="00F32525">
        <w:rPr>
          <w:i/>
          <w:sz w:val="24"/>
          <w:szCs w:val="24"/>
        </w:rPr>
        <w:t>La retribuzione a cottimo</w:t>
      </w:r>
      <w:r w:rsidRPr="00F32525">
        <w:rPr>
          <w:sz w:val="24"/>
          <w:szCs w:val="24"/>
        </w:rPr>
        <w:t xml:space="preserve">, in </w:t>
      </w:r>
      <w:r w:rsidRPr="00F32525">
        <w:rPr>
          <w:i/>
          <w:sz w:val="24"/>
          <w:szCs w:val="24"/>
        </w:rPr>
        <w:t>Riv. dir. lav.</w:t>
      </w:r>
      <w:r w:rsidRPr="00F32525">
        <w:rPr>
          <w:sz w:val="24"/>
          <w:szCs w:val="24"/>
        </w:rPr>
        <w:t>, 1986, I, p. 11.</w:t>
      </w:r>
    </w:p>
  </w:footnote>
  <w:footnote w:id="200">
    <w:p w:rsidR="00BD2278" w:rsidRDefault="00BD2278" w:rsidP="00120EC1">
      <w:pPr>
        <w:pStyle w:val="FootnoteText"/>
      </w:pPr>
      <w:r w:rsidRPr="00F32525">
        <w:rPr>
          <w:rStyle w:val="FootnoteReference"/>
          <w:sz w:val="24"/>
          <w:szCs w:val="24"/>
        </w:rPr>
        <w:footnoteRef/>
      </w:r>
      <w:r w:rsidRPr="00F32525">
        <w:rPr>
          <w:sz w:val="24"/>
          <w:szCs w:val="24"/>
        </w:rPr>
        <w:t xml:space="preserve"> Cfr. M . Dell’Olio, </w:t>
      </w:r>
      <w:r w:rsidRPr="00F32525">
        <w:rPr>
          <w:i/>
          <w:sz w:val="24"/>
          <w:szCs w:val="24"/>
        </w:rPr>
        <w:t>La retribuzione</w:t>
      </w:r>
      <w:r w:rsidRPr="00F32525">
        <w:rPr>
          <w:sz w:val="24"/>
          <w:szCs w:val="24"/>
        </w:rPr>
        <w:t xml:space="preserve">, in </w:t>
      </w:r>
      <w:r w:rsidRPr="00F32525">
        <w:rPr>
          <w:i/>
          <w:sz w:val="24"/>
          <w:szCs w:val="24"/>
        </w:rPr>
        <w:t>Trattato di diritto privato. Impresa e lavoro</w:t>
      </w:r>
      <w:r w:rsidRPr="00F32525">
        <w:rPr>
          <w:sz w:val="24"/>
          <w:szCs w:val="24"/>
        </w:rPr>
        <w:t>,</w:t>
      </w:r>
      <w:r>
        <w:rPr>
          <w:sz w:val="24"/>
          <w:szCs w:val="24"/>
        </w:rPr>
        <w:t xml:space="preserve"> diretto da P. Recigno,</w:t>
      </w:r>
      <w:r w:rsidRPr="00F32525">
        <w:rPr>
          <w:sz w:val="24"/>
          <w:szCs w:val="24"/>
        </w:rPr>
        <w:t xml:space="preserve"> Torino, 1986, p. 486; cfr. anche A Alaimo, </w:t>
      </w:r>
      <w:r w:rsidRPr="00F32525">
        <w:rPr>
          <w:i/>
          <w:sz w:val="24"/>
          <w:szCs w:val="24"/>
        </w:rPr>
        <w:t>Sistemi partecipativi</w:t>
      </w:r>
      <w:r w:rsidRPr="00F32525">
        <w:rPr>
          <w:sz w:val="24"/>
          <w:szCs w:val="24"/>
        </w:rPr>
        <w:t>, cit., p. 19.</w:t>
      </w:r>
    </w:p>
  </w:footnote>
  <w:footnote w:id="201">
    <w:p w:rsidR="00BD2278" w:rsidRDefault="00BD2278" w:rsidP="00120EC1">
      <w:pPr>
        <w:pStyle w:val="FootnoteText"/>
      </w:pPr>
      <w:r w:rsidRPr="00F32525">
        <w:rPr>
          <w:rStyle w:val="FootnoteReference"/>
          <w:sz w:val="24"/>
          <w:szCs w:val="24"/>
        </w:rPr>
        <w:footnoteRef/>
      </w:r>
      <w:r w:rsidRPr="00F32525">
        <w:rPr>
          <w:sz w:val="24"/>
          <w:szCs w:val="24"/>
        </w:rPr>
        <w:t xml:space="preserve"> Cfr. M. Roccella, </w:t>
      </w:r>
      <w:r w:rsidRPr="00F32525">
        <w:rPr>
          <w:i/>
          <w:sz w:val="24"/>
          <w:szCs w:val="24"/>
        </w:rPr>
        <w:t>Manuale</w:t>
      </w:r>
      <w:r w:rsidRPr="00F32525">
        <w:rPr>
          <w:sz w:val="24"/>
          <w:szCs w:val="24"/>
        </w:rPr>
        <w:t>, cit., p. 363.</w:t>
      </w:r>
    </w:p>
  </w:footnote>
  <w:footnote w:id="202">
    <w:p w:rsidR="00BD2278" w:rsidRDefault="00BD2278" w:rsidP="00120EC1">
      <w:pPr>
        <w:pStyle w:val="FootnoteText"/>
      </w:pPr>
      <w:r w:rsidRPr="00F32525">
        <w:rPr>
          <w:rStyle w:val="FootnoteReference"/>
          <w:sz w:val="24"/>
          <w:szCs w:val="24"/>
        </w:rPr>
        <w:footnoteRef/>
      </w:r>
      <w:r w:rsidRPr="00F32525">
        <w:rPr>
          <w:sz w:val="24"/>
          <w:szCs w:val="24"/>
        </w:rPr>
        <w:t xml:space="preserve"> Cfr. F. Santoro-Passarelli, </w:t>
      </w:r>
      <w:r w:rsidRPr="00F32525">
        <w:rPr>
          <w:i/>
          <w:sz w:val="24"/>
          <w:szCs w:val="24"/>
        </w:rPr>
        <w:t>Cottimo</w:t>
      </w:r>
      <w:r w:rsidRPr="00F32525">
        <w:rPr>
          <w:sz w:val="24"/>
          <w:szCs w:val="24"/>
        </w:rPr>
        <w:t>, cit.,</w:t>
      </w:r>
      <w:r w:rsidRPr="00F32525">
        <w:rPr>
          <w:i/>
          <w:sz w:val="24"/>
          <w:szCs w:val="24"/>
        </w:rPr>
        <w:t xml:space="preserve"> </w:t>
      </w:r>
      <w:r w:rsidRPr="00F32525">
        <w:rPr>
          <w:sz w:val="24"/>
          <w:szCs w:val="24"/>
        </w:rPr>
        <w:t>p. 1075.</w:t>
      </w:r>
    </w:p>
  </w:footnote>
  <w:footnote w:id="203">
    <w:p w:rsidR="00BD2278" w:rsidRDefault="00BD2278" w:rsidP="00120EC1">
      <w:pPr>
        <w:pStyle w:val="FootnoteText"/>
      </w:pPr>
      <w:r w:rsidRPr="00F32525">
        <w:rPr>
          <w:rStyle w:val="FootnoteReference"/>
          <w:sz w:val="24"/>
          <w:szCs w:val="24"/>
        </w:rPr>
        <w:footnoteRef/>
      </w:r>
      <w:r w:rsidRPr="00F32525">
        <w:rPr>
          <w:sz w:val="24"/>
          <w:szCs w:val="24"/>
        </w:rPr>
        <w:t xml:space="preserve"> Cfr. F. Mortillaro, </w:t>
      </w:r>
      <w:r w:rsidRPr="00F32525">
        <w:rPr>
          <w:i/>
          <w:sz w:val="24"/>
          <w:szCs w:val="24"/>
        </w:rPr>
        <w:t>Retribuzione</w:t>
      </w:r>
      <w:r w:rsidRPr="00F32525">
        <w:rPr>
          <w:sz w:val="24"/>
          <w:szCs w:val="24"/>
        </w:rPr>
        <w:t>, cit., p. 8.</w:t>
      </w:r>
    </w:p>
  </w:footnote>
  <w:footnote w:id="204">
    <w:p w:rsidR="00BD2278" w:rsidRDefault="00BD2278" w:rsidP="00120EC1">
      <w:pPr>
        <w:pStyle w:val="FootnoteText"/>
      </w:pPr>
      <w:r w:rsidRPr="00F32525">
        <w:rPr>
          <w:rStyle w:val="FootnoteReference"/>
          <w:sz w:val="24"/>
          <w:szCs w:val="24"/>
        </w:rPr>
        <w:footnoteRef/>
      </w:r>
      <w:r w:rsidRPr="00F32525">
        <w:rPr>
          <w:sz w:val="24"/>
          <w:szCs w:val="24"/>
        </w:rPr>
        <w:t xml:space="preserve"> Cfr. F. Carinci, R. De Luca Tamajo, P. Tosi, T. Treu, </w:t>
      </w:r>
      <w:r w:rsidRPr="00F32525">
        <w:rPr>
          <w:i/>
          <w:sz w:val="24"/>
          <w:szCs w:val="24"/>
        </w:rPr>
        <w:t>Diritto del Lavoro</w:t>
      </w:r>
      <w:r w:rsidRPr="00F32525">
        <w:rPr>
          <w:sz w:val="24"/>
          <w:szCs w:val="24"/>
        </w:rPr>
        <w:t>, cit., p. 252.</w:t>
      </w:r>
    </w:p>
  </w:footnote>
  <w:footnote w:id="205">
    <w:p w:rsidR="00BD2278" w:rsidRDefault="00BD2278" w:rsidP="00120EC1">
      <w:pPr>
        <w:pStyle w:val="FootnoteText"/>
      </w:pPr>
      <w:r w:rsidRPr="00F32525">
        <w:rPr>
          <w:rStyle w:val="FootnoteReference"/>
          <w:sz w:val="24"/>
          <w:szCs w:val="24"/>
        </w:rPr>
        <w:footnoteRef/>
      </w:r>
      <w:r w:rsidRPr="00F32525">
        <w:rPr>
          <w:sz w:val="24"/>
          <w:szCs w:val="24"/>
        </w:rPr>
        <w:t xml:space="preserve"> S. Bellomo, </w:t>
      </w:r>
      <w:r w:rsidRPr="00F32525">
        <w:rPr>
          <w:i/>
          <w:sz w:val="24"/>
          <w:szCs w:val="24"/>
        </w:rPr>
        <w:t>La retribuzione</w:t>
      </w:r>
      <w:r w:rsidRPr="00F32525">
        <w:rPr>
          <w:sz w:val="24"/>
          <w:szCs w:val="24"/>
        </w:rPr>
        <w:t xml:space="preserve">, in </w:t>
      </w:r>
      <w:r w:rsidRPr="00F32525">
        <w:rPr>
          <w:i/>
          <w:sz w:val="24"/>
          <w:szCs w:val="24"/>
        </w:rPr>
        <w:t>Diritto del lavoro</w:t>
      </w:r>
      <w:r w:rsidRPr="00F32525">
        <w:rPr>
          <w:sz w:val="24"/>
          <w:szCs w:val="24"/>
        </w:rPr>
        <w:t>, a cura di G. Amoroso, V. Di Cerbo, A. Maresca, Milano, 2009, p. 885.</w:t>
      </w:r>
    </w:p>
  </w:footnote>
  <w:footnote w:id="206">
    <w:p w:rsidR="00BD2278" w:rsidRDefault="00BD2278" w:rsidP="00120EC1">
      <w:pPr>
        <w:pStyle w:val="FootnoteText"/>
      </w:pPr>
      <w:r w:rsidRPr="00F32525">
        <w:rPr>
          <w:rStyle w:val="FootnoteReference"/>
          <w:sz w:val="24"/>
          <w:szCs w:val="24"/>
        </w:rPr>
        <w:footnoteRef/>
      </w:r>
      <w:r w:rsidRPr="00F32525">
        <w:rPr>
          <w:sz w:val="24"/>
          <w:szCs w:val="24"/>
        </w:rPr>
        <w:t xml:space="preserve"> F. Carinci, R. De Luca Tamajo, P. Tosi, T. Treu, </w:t>
      </w:r>
      <w:r w:rsidRPr="00F32525">
        <w:rPr>
          <w:i/>
          <w:sz w:val="24"/>
          <w:szCs w:val="24"/>
        </w:rPr>
        <w:t>Diritto del Lavoro</w:t>
      </w:r>
      <w:r w:rsidRPr="00F32525">
        <w:rPr>
          <w:sz w:val="24"/>
          <w:szCs w:val="24"/>
        </w:rPr>
        <w:t>, cit., p. 253.</w:t>
      </w:r>
    </w:p>
  </w:footnote>
  <w:footnote w:id="207">
    <w:p w:rsidR="00BD2278" w:rsidRDefault="00BD2278" w:rsidP="00120EC1">
      <w:pPr>
        <w:pStyle w:val="FootnoteText"/>
      </w:pPr>
      <w:r w:rsidRPr="00F32525">
        <w:rPr>
          <w:rStyle w:val="FootnoteReference"/>
          <w:sz w:val="24"/>
          <w:szCs w:val="24"/>
        </w:rPr>
        <w:footnoteRef/>
      </w:r>
      <w:r w:rsidRPr="00F32525">
        <w:rPr>
          <w:sz w:val="24"/>
          <w:szCs w:val="24"/>
        </w:rPr>
        <w:t xml:space="preserve"> Cfr. M. Roccella, </w:t>
      </w:r>
      <w:r w:rsidRPr="00F32525">
        <w:rPr>
          <w:i/>
          <w:sz w:val="24"/>
          <w:szCs w:val="24"/>
        </w:rPr>
        <w:t>Manuale</w:t>
      </w:r>
      <w:r w:rsidRPr="00F32525">
        <w:rPr>
          <w:sz w:val="24"/>
          <w:szCs w:val="24"/>
        </w:rPr>
        <w:t>, cit., p. 364.</w:t>
      </w:r>
    </w:p>
  </w:footnote>
  <w:footnote w:id="208">
    <w:p w:rsidR="00BD2278" w:rsidRDefault="00BD2278" w:rsidP="00120EC1">
      <w:pPr>
        <w:pStyle w:val="FootnoteText"/>
      </w:pPr>
      <w:r w:rsidRPr="00F32525">
        <w:rPr>
          <w:rStyle w:val="FootnoteReference"/>
          <w:sz w:val="24"/>
          <w:szCs w:val="24"/>
        </w:rPr>
        <w:footnoteRef/>
      </w:r>
      <w:r w:rsidRPr="00F32525">
        <w:rPr>
          <w:sz w:val="24"/>
          <w:szCs w:val="24"/>
        </w:rPr>
        <w:t xml:space="preserve"> Cfr. A. Alaimo, </w:t>
      </w:r>
      <w:r w:rsidRPr="00F32525">
        <w:rPr>
          <w:i/>
          <w:sz w:val="24"/>
          <w:szCs w:val="24"/>
        </w:rPr>
        <w:t xml:space="preserve">Sistemi </w:t>
      </w:r>
      <w:r w:rsidRPr="00F32525">
        <w:rPr>
          <w:sz w:val="24"/>
          <w:szCs w:val="24"/>
        </w:rPr>
        <w:t>partecipativi, cit., p. 24.</w:t>
      </w:r>
    </w:p>
  </w:footnote>
  <w:footnote w:id="209">
    <w:p w:rsidR="00BD2278" w:rsidRDefault="00BD2278" w:rsidP="00120EC1">
      <w:pPr>
        <w:pStyle w:val="FootnoteText"/>
      </w:pPr>
      <w:r w:rsidRPr="00F32525">
        <w:rPr>
          <w:rStyle w:val="FootnoteReference"/>
          <w:sz w:val="24"/>
          <w:szCs w:val="24"/>
        </w:rPr>
        <w:footnoteRef/>
      </w:r>
      <w:r w:rsidRPr="00F32525">
        <w:rPr>
          <w:sz w:val="24"/>
          <w:szCs w:val="24"/>
        </w:rPr>
        <w:t xml:space="preserve"> Cfr. A. Alaimo, </w:t>
      </w:r>
      <w:r w:rsidRPr="00F32525">
        <w:rPr>
          <w:i/>
          <w:sz w:val="24"/>
          <w:szCs w:val="24"/>
        </w:rPr>
        <w:t xml:space="preserve">Sistemi </w:t>
      </w:r>
      <w:r w:rsidRPr="00F32525">
        <w:rPr>
          <w:sz w:val="24"/>
          <w:szCs w:val="24"/>
        </w:rPr>
        <w:t>partecipativi, cit., p. 21.</w:t>
      </w:r>
    </w:p>
  </w:footnote>
  <w:footnote w:id="210">
    <w:p w:rsidR="00BD2278" w:rsidRDefault="00BD2278" w:rsidP="00120EC1">
      <w:pPr>
        <w:pStyle w:val="FootnoteText"/>
      </w:pPr>
      <w:r w:rsidRPr="00F32525">
        <w:rPr>
          <w:rStyle w:val="FootnoteReference"/>
          <w:sz w:val="24"/>
          <w:szCs w:val="24"/>
        </w:rPr>
        <w:footnoteRef/>
      </w:r>
      <w:r w:rsidRPr="00F32525">
        <w:rPr>
          <w:sz w:val="24"/>
          <w:szCs w:val="24"/>
        </w:rPr>
        <w:t xml:space="preserve"> F. Carinci, R. De Luca Tamajo, P. Tosi, T. Treu, </w:t>
      </w:r>
      <w:r w:rsidRPr="00F32525">
        <w:rPr>
          <w:i/>
          <w:sz w:val="24"/>
          <w:szCs w:val="24"/>
        </w:rPr>
        <w:t>Diritto del Lavoro</w:t>
      </w:r>
      <w:r w:rsidRPr="00F32525">
        <w:rPr>
          <w:sz w:val="24"/>
          <w:szCs w:val="24"/>
        </w:rPr>
        <w:t>, cit., p. 258.</w:t>
      </w:r>
    </w:p>
  </w:footnote>
  <w:footnote w:id="211">
    <w:p w:rsidR="00BD2278" w:rsidRDefault="00BD2278" w:rsidP="00120EC1">
      <w:pPr>
        <w:pStyle w:val="FootnoteText"/>
      </w:pPr>
      <w:r w:rsidRPr="00F32525">
        <w:rPr>
          <w:rStyle w:val="FootnoteReference"/>
          <w:sz w:val="24"/>
          <w:szCs w:val="24"/>
        </w:rPr>
        <w:footnoteRef/>
      </w:r>
      <w:r w:rsidRPr="00F32525">
        <w:rPr>
          <w:sz w:val="24"/>
          <w:szCs w:val="24"/>
        </w:rPr>
        <w:t xml:space="preserve"> Cfr. A. Alaimo, </w:t>
      </w:r>
      <w:r w:rsidRPr="00F32525">
        <w:rPr>
          <w:i/>
          <w:sz w:val="24"/>
          <w:szCs w:val="24"/>
        </w:rPr>
        <w:t xml:space="preserve">Sistemi </w:t>
      </w:r>
      <w:r w:rsidRPr="00F32525">
        <w:rPr>
          <w:sz w:val="24"/>
          <w:szCs w:val="24"/>
        </w:rPr>
        <w:t>partecipativi, cit., p. 22.</w:t>
      </w:r>
    </w:p>
  </w:footnote>
  <w:footnote w:id="212">
    <w:p w:rsidR="00BD2278" w:rsidRDefault="00BD2278" w:rsidP="00120EC1">
      <w:pPr>
        <w:pStyle w:val="FootnoteText"/>
      </w:pPr>
      <w:r w:rsidRPr="00F32525">
        <w:rPr>
          <w:rStyle w:val="FootnoteReference"/>
          <w:sz w:val="24"/>
          <w:szCs w:val="24"/>
        </w:rPr>
        <w:footnoteRef/>
      </w:r>
      <w:r w:rsidRPr="00F32525">
        <w:rPr>
          <w:sz w:val="24"/>
          <w:szCs w:val="24"/>
        </w:rPr>
        <w:t xml:space="preserve"> F. Carinci, R. De Luca Tamajo, P. Tosi, T. Treu, </w:t>
      </w:r>
      <w:r w:rsidRPr="00F32525">
        <w:rPr>
          <w:i/>
          <w:sz w:val="24"/>
          <w:szCs w:val="24"/>
        </w:rPr>
        <w:t>Diritto del Lavoro</w:t>
      </w:r>
      <w:r w:rsidRPr="00F32525">
        <w:rPr>
          <w:sz w:val="24"/>
          <w:szCs w:val="24"/>
        </w:rPr>
        <w:t>, cit., p. 259.</w:t>
      </w:r>
    </w:p>
  </w:footnote>
  <w:footnote w:id="213">
    <w:p w:rsidR="00BD2278" w:rsidRDefault="00BD2278" w:rsidP="00120EC1">
      <w:pPr>
        <w:pStyle w:val="FootnoteText"/>
      </w:pPr>
      <w:r w:rsidRPr="00F32525">
        <w:rPr>
          <w:rStyle w:val="FootnoteReference"/>
          <w:sz w:val="24"/>
          <w:szCs w:val="24"/>
        </w:rPr>
        <w:footnoteRef/>
      </w:r>
      <w:r w:rsidRPr="00F32525">
        <w:rPr>
          <w:sz w:val="24"/>
          <w:szCs w:val="24"/>
        </w:rPr>
        <w:t xml:space="preserve"> M. Roccella, </w:t>
      </w:r>
      <w:r w:rsidRPr="00F32525">
        <w:rPr>
          <w:i/>
          <w:sz w:val="24"/>
          <w:szCs w:val="24"/>
        </w:rPr>
        <w:t>Manuale</w:t>
      </w:r>
      <w:r w:rsidRPr="00F32525">
        <w:rPr>
          <w:sz w:val="24"/>
          <w:szCs w:val="24"/>
        </w:rPr>
        <w:t>, cit., p. 364.</w:t>
      </w:r>
    </w:p>
  </w:footnote>
  <w:footnote w:id="214">
    <w:p w:rsidR="00BD2278" w:rsidRDefault="00BD2278" w:rsidP="00120EC1">
      <w:pPr>
        <w:pStyle w:val="FootnoteText"/>
      </w:pPr>
      <w:r w:rsidRPr="00F32525">
        <w:rPr>
          <w:rStyle w:val="FootnoteReference"/>
          <w:sz w:val="24"/>
          <w:szCs w:val="24"/>
        </w:rPr>
        <w:footnoteRef/>
      </w:r>
      <w:r w:rsidRPr="00F32525">
        <w:rPr>
          <w:sz w:val="24"/>
          <w:szCs w:val="24"/>
        </w:rPr>
        <w:t xml:space="preserve"> Cfr. A. Alaimo, </w:t>
      </w:r>
      <w:r w:rsidRPr="00F32525">
        <w:rPr>
          <w:i/>
          <w:sz w:val="24"/>
          <w:szCs w:val="24"/>
        </w:rPr>
        <w:t xml:space="preserve">Sistemi </w:t>
      </w:r>
      <w:r w:rsidRPr="00F32525">
        <w:rPr>
          <w:sz w:val="24"/>
          <w:szCs w:val="24"/>
        </w:rPr>
        <w:t>partecipativi, cit., p. 23.</w:t>
      </w:r>
    </w:p>
  </w:footnote>
  <w:footnote w:id="215">
    <w:p w:rsidR="00BD2278" w:rsidRDefault="00BD2278" w:rsidP="00120EC1">
      <w:pPr>
        <w:pStyle w:val="FootnoteText"/>
      </w:pPr>
      <w:r w:rsidRPr="00F32525">
        <w:rPr>
          <w:rStyle w:val="FootnoteReference"/>
          <w:sz w:val="24"/>
          <w:szCs w:val="24"/>
        </w:rPr>
        <w:footnoteRef/>
      </w:r>
      <w:r w:rsidRPr="00F32525">
        <w:rPr>
          <w:sz w:val="24"/>
          <w:szCs w:val="24"/>
        </w:rPr>
        <w:t xml:space="preserve"> M. D’Antona, R. De Luca Tamajo, </w:t>
      </w:r>
      <w:r w:rsidRPr="00F32525">
        <w:rPr>
          <w:i/>
          <w:sz w:val="24"/>
          <w:szCs w:val="24"/>
        </w:rPr>
        <w:t>La retribuzione ad incentivi: introduzione</w:t>
      </w:r>
      <w:r w:rsidRPr="00F32525">
        <w:rPr>
          <w:sz w:val="24"/>
          <w:szCs w:val="24"/>
        </w:rPr>
        <w:t xml:space="preserve">, in </w:t>
      </w:r>
      <w:r w:rsidRPr="00F32525">
        <w:rPr>
          <w:i/>
          <w:sz w:val="24"/>
          <w:szCs w:val="24"/>
        </w:rPr>
        <w:t>Dir. rel. ind.</w:t>
      </w:r>
      <w:r w:rsidRPr="00F32525">
        <w:rPr>
          <w:sz w:val="24"/>
          <w:szCs w:val="24"/>
        </w:rPr>
        <w:t>, 1991, 1, p. 5.</w:t>
      </w:r>
    </w:p>
  </w:footnote>
  <w:footnote w:id="216">
    <w:p w:rsidR="00BD2278" w:rsidRDefault="00BD2278" w:rsidP="00120EC1">
      <w:pPr>
        <w:pStyle w:val="FootnoteText"/>
      </w:pPr>
      <w:r w:rsidRPr="00F32525">
        <w:rPr>
          <w:rStyle w:val="FootnoteReference"/>
          <w:sz w:val="24"/>
          <w:szCs w:val="24"/>
        </w:rPr>
        <w:footnoteRef/>
      </w:r>
      <w:r w:rsidRPr="00F32525">
        <w:rPr>
          <w:sz w:val="24"/>
          <w:szCs w:val="24"/>
        </w:rPr>
        <w:t xml:space="preserve"> M. Roccella, </w:t>
      </w:r>
      <w:r w:rsidRPr="00F32525">
        <w:rPr>
          <w:i/>
          <w:sz w:val="24"/>
          <w:szCs w:val="24"/>
        </w:rPr>
        <w:t>Manuale</w:t>
      </w:r>
      <w:r w:rsidRPr="00F32525">
        <w:rPr>
          <w:sz w:val="24"/>
          <w:szCs w:val="24"/>
        </w:rPr>
        <w:t>, cit., p. 364.</w:t>
      </w:r>
    </w:p>
  </w:footnote>
  <w:footnote w:id="217">
    <w:p w:rsidR="00BD2278" w:rsidRDefault="00BD2278" w:rsidP="00120EC1">
      <w:pPr>
        <w:pStyle w:val="FootnoteText"/>
      </w:pPr>
      <w:r w:rsidRPr="00F32525">
        <w:rPr>
          <w:rStyle w:val="FootnoteReference"/>
          <w:sz w:val="24"/>
          <w:szCs w:val="24"/>
        </w:rPr>
        <w:footnoteRef/>
      </w:r>
      <w:r w:rsidRPr="00F32525">
        <w:rPr>
          <w:sz w:val="24"/>
          <w:szCs w:val="24"/>
        </w:rPr>
        <w:t xml:space="preserve"> Cfr. F. Carinci, R. De Luca Tamajo, P. Tosi, T. Treu, </w:t>
      </w:r>
      <w:r w:rsidRPr="00F32525">
        <w:rPr>
          <w:i/>
          <w:sz w:val="24"/>
          <w:szCs w:val="24"/>
        </w:rPr>
        <w:t>Diritto del Lavoro</w:t>
      </w:r>
      <w:r w:rsidRPr="00F32525">
        <w:rPr>
          <w:sz w:val="24"/>
          <w:szCs w:val="24"/>
        </w:rPr>
        <w:t>, cit., p. 260.</w:t>
      </w:r>
    </w:p>
  </w:footnote>
  <w:footnote w:id="218">
    <w:p w:rsidR="00BD2278" w:rsidRDefault="00BD2278" w:rsidP="00120EC1">
      <w:pPr>
        <w:pStyle w:val="FootnoteText"/>
      </w:pPr>
      <w:r w:rsidRPr="00F32525">
        <w:rPr>
          <w:rStyle w:val="FootnoteReference"/>
          <w:sz w:val="24"/>
          <w:szCs w:val="24"/>
        </w:rPr>
        <w:footnoteRef/>
      </w:r>
      <w:r w:rsidRPr="00F32525">
        <w:rPr>
          <w:sz w:val="24"/>
          <w:szCs w:val="24"/>
        </w:rPr>
        <w:t xml:space="preserve"> Cfr. M. D’Antona, R. De Luca Tamajo, </w:t>
      </w:r>
      <w:r w:rsidRPr="00F32525">
        <w:rPr>
          <w:i/>
          <w:sz w:val="24"/>
          <w:szCs w:val="24"/>
        </w:rPr>
        <w:t xml:space="preserve">La retribuzione ad </w:t>
      </w:r>
      <w:r w:rsidRPr="00F16908">
        <w:rPr>
          <w:i/>
          <w:sz w:val="24"/>
          <w:szCs w:val="24"/>
        </w:rPr>
        <w:t>incentivi</w:t>
      </w:r>
      <w:r w:rsidRPr="00F32525">
        <w:rPr>
          <w:sz w:val="24"/>
          <w:szCs w:val="24"/>
        </w:rPr>
        <w:t>, cit., p. 7.</w:t>
      </w:r>
    </w:p>
  </w:footnote>
  <w:footnote w:id="219">
    <w:p w:rsidR="00BD2278" w:rsidRDefault="00BD2278" w:rsidP="00120EC1">
      <w:pPr>
        <w:pStyle w:val="FootnoteText"/>
      </w:pPr>
      <w:r w:rsidRPr="00F32525">
        <w:rPr>
          <w:rStyle w:val="FootnoteReference"/>
          <w:sz w:val="24"/>
          <w:szCs w:val="24"/>
        </w:rPr>
        <w:footnoteRef/>
      </w:r>
      <w:r w:rsidRPr="00F32525">
        <w:rPr>
          <w:sz w:val="24"/>
          <w:szCs w:val="24"/>
        </w:rPr>
        <w:t xml:space="preserve"> Cfr. L. Zoppoli, </w:t>
      </w:r>
      <w:r w:rsidRPr="00F32525">
        <w:rPr>
          <w:i/>
          <w:sz w:val="24"/>
          <w:szCs w:val="24"/>
        </w:rPr>
        <w:t>Nozione giuridica di retribuzione, incentivazione e salario variabile</w:t>
      </w:r>
      <w:r w:rsidRPr="00F32525">
        <w:rPr>
          <w:sz w:val="24"/>
          <w:szCs w:val="24"/>
        </w:rPr>
        <w:t xml:space="preserve">, in </w:t>
      </w:r>
      <w:r w:rsidRPr="00F32525">
        <w:rPr>
          <w:i/>
          <w:sz w:val="24"/>
          <w:szCs w:val="24"/>
        </w:rPr>
        <w:t>Dir. rel. ind.</w:t>
      </w:r>
      <w:r w:rsidRPr="00F32525">
        <w:rPr>
          <w:sz w:val="24"/>
          <w:szCs w:val="24"/>
        </w:rPr>
        <w:t>, 1991, 1, p. 32.</w:t>
      </w:r>
    </w:p>
  </w:footnote>
  <w:footnote w:id="220">
    <w:p w:rsidR="00BD2278" w:rsidRDefault="00BD2278" w:rsidP="00120EC1">
      <w:pPr>
        <w:pStyle w:val="FootnoteText"/>
      </w:pPr>
      <w:r w:rsidRPr="00F32525">
        <w:rPr>
          <w:rStyle w:val="FootnoteReference"/>
          <w:sz w:val="24"/>
          <w:szCs w:val="24"/>
        </w:rPr>
        <w:footnoteRef/>
      </w:r>
      <w:r w:rsidRPr="00F32525">
        <w:rPr>
          <w:sz w:val="24"/>
          <w:szCs w:val="24"/>
        </w:rPr>
        <w:t xml:space="preserve"> Cfr. E. Gragnoli, </w:t>
      </w:r>
      <w:r w:rsidRPr="00F32525">
        <w:rPr>
          <w:i/>
          <w:sz w:val="24"/>
          <w:szCs w:val="24"/>
        </w:rPr>
        <w:t>Retribuzione ad incentivo e principi costituzionali</w:t>
      </w:r>
      <w:r w:rsidRPr="00F32525">
        <w:rPr>
          <w:sz w:val="24"/>
          <w:szCs w:val="24"/>
        </w:rPr>
        <w:t xml:space="preserve">, in </w:t>
      </w:r>
      <w:r w:rsidRPr="00F32525">
        <w:rPr>
          <w:i/>
          <w:sz w:val="24"/>
          <w:szCs w:val="24"/>
        </w:rPr>
        <w:t>ADL</w:t>
      </w:r>
      <w:r w:rsidRPr="00F32525">
        <w:rPr>
          <w:sz w:val="24"/>
          <w:szCs w:val="24"/>
        </w:rPr>
        <w:t>, 1995, 2, p. 224.</w:t>
      </w:r>
    </w:p>
  </w:footnote>
  <w:footnote w:id="221">
    <w:p w:rsidR="00BD2278" w:rsidRDefault="00BD2278" w:rsidP="00120EC1">
      <w:pPr>
        <w:pStyle w:val="FootnoteText"/>
      </w:pPr>
      <w:r w:rsidRPr="00F32525">
        <w:rPr>
          <w:rStyle w:val="FootnoteReference"/>
          <w:sz w:val="24"/>
          <w:szCs w:val="24"/>
        </w:rPr>
        <w:footnoteRef/>
      </w:r>
      <w:r w:rsidRPr="00F32525">
        <w:rPr>
          <w:sz w:val="24"/>
          <w:szCs w:val="24"/>
        </w:rPr>
        <w:t xml:space="preserve"> Cfr. E. Gragnoli, </w:t>
      </w:r>
      <w:r w:rsidRPr="00F32525">
        <w:rPr>
          <w:i/>
          <w:sz w:val="24"/>
          <w:szCs w:val="24"/>
        </w:rPr>
        <w:t>Retribuzione ad incentivo</w:t>
      </w:r>
      <w:r w:rsidRPr="00F32525">
        <w:rPr>
          <w:sz w:val="24"/>
          <w:szCs w:val="24"/>
        </w:rPr>
        <w:t>, cit., p. 224.</w:t>
      </w:r>
    </w:p>
  </w:footnote>
  <w:footnote w:id="222">
    <w:p w:rsidR="00BD2278" w:rsidRDefault="00BD2278" w:rsidP="00120EC1">
      <w:pPr>
        <w:pStyle w:val="FootnoteText"/>
      </w:pPr>
      <w:r w:rsidRPr="00F32525">
        <w:rPr>
          <w:rStyle w:val="FootnoteReference"/>
          <w:sz w:val="24"/>
          <w:szCs w:val="24"/>
        </w:rPr>
        <w:footnoteRef/>
      </w:r>
      <w:r w:rsidRPr="00F32525">
        <w:rPr>
          <w:sz w:val="24"/>
          <w:szCs w:val="24"/>
        </w:rPr>
        <w:t xml:space="preserve"> Cfr. P. Casadio, </w:t>
      </w:r>
      <w:r w:rsidRPr="00F32525">
        <w:rPr>
          <w:i/>
          <w:sz w:val="24"/>
          <w:szCs w:val="24"/>
        </w:rPr>
        <w:t>Contrattazione aziendale integrativa e differenziali salariali territoriali: informazioni dall’indagine sulle imprese della Banca d’Italia</w:t>
      </w:r>
      <w:r w:rsidRPr="00F32525">
        <w:rPr>
          <w:sz w:val="24"/>
          <w:szCs w:val="24"/>
        </w:rPr>
        <w:t xml:space="preserve">, in </w:t>
      </w:r>
      <w:r w:rsidRPr="00F32525">
        <w:rPr>
          <w:i/>
          <w:sz w:val="24"/>
          <w:szCs w:val="24"/>
        </w:rPr>
        <w:t>Mezzogiorno e politiche regionali</w:t>
      </w:r>
      <w:r w:rsidRPr="00F32525">
        <w:rPr>
          <w:sz w:val="24"/>
          <w:szCs w:val="24"/>
        </w:rPr>
        <w:t xml:space="preserve">, Roma, 2009, p. 93, in particolare “si è registrata una scarsa diffusione dei contratti aziendali, specie tra le piccole imprese e nel mezzogiorno. I premi di risultato variabili con le </w:t>
      </w:r>
      <w:r w:rsidRPr="00F32525">
        <w:rPr>
          <w:i/>
          <w:sz w:val="24"/>
          <w:szCs w:val="24"/>
        </w:rPr>
        <w:t>performance</w:t>
      </w:r>
      <w:r w:rsidRPr="00F32525">
        <w:rPr>
          <w:sz w:val="24"/>
          <w:szCs w:val="24"/>
        </w:rPr>
        <w:t>, adottati in gran parte dalle aziende già coperte da contrattazione aziendale, sono stati pagati in modo discontinuo e per importi ridotti, limitando la distribuzione dei peraltro limitati guadagni di produttività”.</w:t>
      </w:r>
    </w:p>
  </w:footnote>
  <w:footnote w:id="223">
    <w:p w:rsidR="00BD2278" w:rsidRDefault="00BD2278" w:rsidP="00120EC1">
      <w:pPr>
        <w:pStyle w:val="FootnoteText"/>
      </w:pPr>
      <w:r w:rsidRPr="00F32525">
        <w:rPr>
          <w:rStyle w:val="FootnoteReference"/>
          <w:sz w:val="24"/>
          <w:szCs w:val="24"/>
        </w:rPr>
        <w:footnoteRef/>
      </w:r>
      <w:r w:rsidRPr="00F32525">
        <w:rPr>
          <w:sz w:val="24"/>
          <w:szCs w:val="24"/>
        </w:rPr>
        <w:t xml:space="preserve"> Cfr. T. Treu, </w:t>
      </w:r>
      <w:r w:rsidRPr="00F32525">
        <w:rPr>
          <w:i/>
          <w:sz w:val="24"/>
          <w:szCs w:val="24"/>
        </w:rPr>
        <w:t>Le forme retributive incentivanti</w:t>
      </w:r>
      <w:r w:rsidRPr="00F32525">
        <w:rPr>
          <w:sz w:val="24"/>
          <w:szCs w:val="24"/>
        </w:rPr>
        <w:t xml:space="preserve">, in </w:t>
      </w:r>
      <w:r w:rsidRPr="00F32525">
        <w:rPr>
          <w:i/>
          <w:sz w:val="24"/>
          <w:szCs w:val="24"/>
        </w:rPr>
        <w:t>Riv. it. dir. lav.</w:t>
      </w:r>
      <w:r w:rsidRPr="00F32525">
        <w:rPr>
          <w:sz w:val="24"/>
          <w:szCs w:val="24"/>
        </w:rPr>
        <w:t>, 2010, I, p 648.</w:t>
      </w:r>
    </w:p>
  </w:footnote>
  <w:footnote w:id="224">
    <w:p w:rsidR="00BD2278" w:rsidRDefault="00BD2278" w:rsidP="00120EC1">
      <w:pPr>
        <w:pStyle w:val="FootnoteText"/>
      </w:pPr>
      <w:r w:rsidRPr="00F32525">
        <w:rPr>
          <w:rStyle w:val="FootnoteReference"/>
          <w:sz w:val="24"/>
          <w:szCs w:val="24"/>
        </w:rPr>
        <w:footnoteRef/>
      </w:r>
      <w:r w:rsidRPr="00F32525">
        <w:rPr>
          <w:sz w:val="24"/>
          <w:szCs w:val="24"/>
        </w:rPr>
        <w:t xml:space="preserve"> Cfr. T. Treu, </w:t>
      </w:r>
      <w:r w:rsidRPr="00F32525">
        <w:rPr>
          <w:i/>
          <w:sz w:val="24"/>
          <w:szCs w:val="24"/>
        </w:rPr>
        <w:t>Le forme retributive incentivanti</w:t>
      </w:r>
      <w:r w:rsidRPr="00F32525">
        <w:rPr>
          <w:sz w:val="24"/>
          <w:szCs w:val="24"/>
        </w:rPr>
        <w:t>, cit., p 657.</w:t>
      </w:r>
    </w:p>
  </w:footnote>
  <w:footnote w:id="225">
    <w:p w:rsidR="00BD2278" w:rsidRDefault="00BD2278" w:rsidP="00120EC1">
      <w:pPr>
        <w:pStyle w:val="FootnoteText"/>
      </w:pPr>
      <w:r w:rsidRPr="00E517DA">
        <w:rPr>
          <w:rStyle w:val="FootnoteReference"/>
          <w:sz w:val="24"/>
          <w:szCs w:val="24"/>
        </w:rPr>
        <w:footnoteRef/>
      </w:r>
      <w:r w:rsidRPr="00E517DA">
        <w:rPr>
          <w:sz w:val="24"/>
          <w:szCs w:val="24"/>
        </w:rPr>
        <w:t xml:space="preserve"> Cfr. T. Treu, </w:t>
      </w:r>
      <w:r w:rsidRPr="00E517DA">
        <w:rPr>
          <w:i/>
          <w:sz w:val="24"/>
          <w:szCs w:val="24"/>
        </w:rPr>
        <w:t>Le forme retributive incentivanti</w:t>
      </w:r>
      <w:r w:rsidRPr="00E517DA">
        <w:rPr>
          <w:sz w:val="24"/>
          <w:szCs w:val="24"/>
        </w:rPr>
        <w:t>, cit., p 674.</w:t>
      </w:r>
    </w:p>
  </w:footnote>
  <w:footnote w:id="226">
    <w:p w:rsidR="00BD2278" w:rsidRDefault="00BD2278" w:rsidP="00120EC1">
      <w:pPr>
        <w:pStyle w:val="FootnoteText"/>
      </w:pPr>
      <w:r w:rsidRPr="00E517DA">
        <w:rPr>
          <w:rStyle w:val="FootnoteReference"/>
          <w:sz w:val="24"/>
          <w:szCs w:val="24"/>
        </w:rPr>
        <w:footnoteRef/>
      </w:r>
      <w:r>
        <w:rPr>
          <w:sz w:val="24"/>
          <w:szCs w:val="24"/>
        </w:rPr>
        <w:t xml:space="preserve"> Da ultimo v.</w:t>
      </w:r>
      <w:r w:rsidRPr="00E517DA">
        <w:rPr>
          <w:sz w:val="24"/>
          <w:szCs w:val="24"/>
        </w:rPr>
        <w:t xml:space="preserve"> Cass., S.U., 13 dicembre 2007, n. 26107, in </w:t>
      </w:r>
      <w:r w:rsidRPr="00E517DA">
        <w:rPr>
          <w:i/>
          <w:sz w:val="24"/>
          <w:szCs w:val="24"/>
        </w:rPr>
        <w:t>Riv. it. dir. lav.</w:t>
      </w:r>
      <w:r w:rsidRPr="00E517DA">
        <w:rPr>
          <w:sz w:val="24"/>
          <w:szCs w:val="24"/>
        </w:rPr>
        <w:t>, 2008, II, p. 53, con nota di G. Quadri.</w:t>
      </w:r>
    </w:p>
  </w:footnote>
  <w:footnote w:id="227">
    <w:p w:rsidR="00BD2278" w:rsidRDefault="00BD2278" w:rsidP="00120EC1">
      <w:pPr>
        <w:pStyle w:val="FootnoteText"/>
      </w:pPr>
      <w:r>
        <w:rPr>
          <w:rStyle w:val="FootnoteReference"/>
        </w:rPr>
        <w:footnoteRef/>
      </w:r>
      <w:r>
        <w:t xml:space="preserve"> </w:t>
      </w:r>
      <w:r w:rsidRPr="00E517DA">
        <w:rPr>
          <w:sz w:val="24"/>
          <w:szCs w:val="24"/>
        </w:rPr>
        <w:t xml:space="preserve">Cfr. T. Treu, </w:t>
      </w:r>
      <w:r w:rsidRPr="00E517DA">
        <w:rPr>
          <w:i/>
          <w:sz w:val="24"/>
          <w:szCs w:val="24"/>
        </w:rPr>
        <w:t>Le forme retributive incentivanti</w:t>
      </w:r>
      <w:r>
        <w:rPr>
          <w:sz w:val="24"/>
          <w:szCs w:val="24"/>
        </w:rPr>
        <w:t>, cit., p 677.</w:t>
      </w:r>
    </w:p>
  </w:footnote>
  <w:footnote w:id="228">
    <w:p w:rsidR="00BD2278" w:rsidRDefault="00BD2278" w:rsidP="00120EC1">
      <w:pPr>
        <w:pStyle w:val="FootnoteText"/>
      </w:pPr>
      <w:r w:rsidRPr="00F32525">
        <w:rPr>
          <w:rStyle w:val="FootnoteReference"/>
          <w:sz w:val="24"/>
          <w:szCs w:val="24"/>
        </w:rPr>
        <w:footnoteRef/>
      </w:r>
      <w:r w:rsidRPr="00F32525">
        <w:rPr>
          <w:sz w:val="24"/>
          <w:szCs w:val="24"/>
        </w:rPr>
        <w:t xml:space="preserve"> Cfr. L. Galantino, </w:t>
      </w:r>
      <w:r w:rsidRPr="00F32525">
        <w:rPr>
          <w:i/>
          <w:sz w:val="24"/>
          <w:szCs w:val="24"/>
        </w:rPr>
        <w:t>Diritto del lavoro pubblico</w:t>
      </w:r>
      <w:r w:rsidRPr="00F32525">
        <w:rPr>
          <w:sz w:val="24"/>
          <w:szCs w:val="24"/>
        </w:rPr>
        <w:t>, Torino, 2010, p. 113.</w:t>
      </w:r>
    </w:p>
  </w:footnote>
  <w:footnote w:id="229">
    <w:p w:rsidR="00BD2278" w:rsidRDefault="00BD2278" w:rsidP="00120EC1">
      <w:pPr>
        <w:pStyle w:val="FootnoteText"/>
      </w:pPr>
      <w:r w:rsidRPr="00737526">
        <w:rPr>
          <w:rStyle w:val="FootnoteReference"/>
          <w:sz w:val="24"/>
          <w:szCs w:val="24"/>
        </w:rPr>
        <w:footnoteRef/>
      </w:r>
      <w:r w:rsidRPr="00737526">
        <w:rPr>
          <w:sz w:val="24"/>
          <w:szCs w:val="24"/>
        </w:rPr>
        <w:t xml:space="preserve"> R. Santucci, P. Monda, </w:t>
      </w:r>
      <w:r w:rsidRPr="00737526">
        <w:rPr>
          <w:i/>
          <w:sz w:val="24"/>
          <w:szCs w:val="24"/>
        </w:rPr>
        <w:t xml:space="preserve">Valorizzazione del merito e metodi di incentivazione della produttività e della qualità della prestazione lavorativa, </w:t>
      </w:r>
      <w:r w:rsidRPr="00737526">
        <w:rPr>
          <w:sz w:val="24"/>
          <w:szCs w:val="24"/>
        </w:rPr>
        <w:t xml:space="preserve">in </w:t>
      </w:r>
      <w:r w:rsidRPr="00737526">
        <w:rPr>
          <w:i/>
          <w:sz w:val="24"/>
          <w:szCs w:val="24"/>
        </w:rPr>
        <w:t>Ideologia e tecnica nella riforma del lavoro pubblico</w:t>
      </w:r>
      <w:r w:rsidRPr="00737526">
        <w:rPr>
          <w:sz w:val="24"/>
          <w:szCs w:val="24"/>
        </w:rPr>
        <w:t>, a cura di L. Zoppoli, Napoli, 2009, p. 291.</w:t>
      </w:r>
    </w:p>
  </w:footnote>
  <w:footnote w:id="230">
    <w:p w:rsidR="00BD2278" w:rsidRDefault="00BD2278" w:rsidP="00120EC1">
      <w:pPr>
        <w:pStyle w:val="FootnoteText"/>
      </w:pPr>
      <w:r w:rsidRPr="00900DB5">
        <w:rPr>
          <w:rStyle w:val="FootnoteReference"/>
          <w:sz w:val="24"/>
          <w:szCs w:val="24"/>
        </w:rPr>
        <w:footnoteRef/>
      </w:r>
      <w:r w:rsidRPr="00900DB5">
        <w:rPr>
          <w:sz w:val="24"/>
          <w:szCs w:val="24"/>
        </w:rPr>
        <w:t xml:space="preserve"> Cfr. A. Garilli, A. Bellavista, </w:t>
      </w:r>
      <w:r w:rsidRPr="00900DB5">
        <w:rPr>
          <w:i/>
          <w:sz w:val="24"/>
          <w:szCs w:val="24"/>
        </w:rPr>
        <w:t>Riregolazione legale e decontrattualizzazione: la neo ibridazione normativa del lavoro nelle pubbliche amministrazioni</w:t>
      </w:r>
      <w:r w:rsidRPr="00900DB5">
        <w:rPr>
          <w:sz w:val="24"/>
          <w:szCs w:val="24"/>
        </w:rPr>
        <w:t xml:space="preserve">, in </w:t>
      </w:r>
      <w:r w:rsidRPr="00900DB5">
        <w:rPr>
          <w:i/>
          <w:sz w:val="24"/>
          <w:szCs w:val="24"/>
        </w:rPr>
        <w:t>Lav. pub.amm.</w:t>
      </w:r>
      <w:r w:rsidRPr="00900DB5">
        <w:rPr>
          <w:sz w:val="24"/>
          <w:szCs w:val="24"/>
        </w:rPr>
        <w:t xml:space="preserve">, 2010, 1, p. 1 e ss.;  </w:t>
      </w:r>
    </w:p>
  </w:footnote>
  <w:footnote w:id="231">
    <w:p w:rsidR="00BD2278" w:rsidRDefault="00BD2278" w:rsidP="00120EC1">
      <w:pPr>
        <w:pStyle w:val="FootnoteText"/>
      </w:pPr>
      <w:r w:rsidRPr="004A3B38">
        <w:rPr>
          <w:rStyle w:val="FootnoteReference"/>
          <w:sz w:val="24"/>
          <w:szCs w:val="24"/>
        </w:rPr>
        <w:footnoteRef/>
      </w:r>
      <w:r w:rsidRPr="004A3B38">
        <w:rPr>
          <w:sz w:val="24"/>
          <w:szCs w:val="24"/>
        </w:rPr>
        <w:t xml:space="preserve"> Cfr. A. Alaimo, </w:t>
      </w:r>
      <w:r w:rsidRPr="004A3B38">
        <w:rPr>
          <w:i/>
          <w:sz w:val="24"/>
          <w:szCs w:val="24"/>
        </w:rPr>
        <w:t>La contrattazione collettiva nel settore pubblico tra vincoli, controlli e blocchi: dalla riforma brunetta alla manovra finanziaria 2010</w:t>
      </w:r>
      <w:r w:rsidRPr="004A3B38">
        <w:rPr>
          <w:sz w:val="24"/>
          <w:szCs w:val="24"/>
        </w:rPr>
        <w:t xml:space="preserve">, in </w:t>
      </w:r>
      <w:r w:rsidRPr="004A3B38">
        <w:rPr>
          <w:i/>
          <w:sz w:val="24"/>
          <w:szCs w:val="24"/>
        </w:rPr>
        <w:t>Lav. pub. amm.</w:t>
      </w:r>
      <w:r w:rsidRPr="004A3B38">
        <w:rPr>
          <w:sz w:val="24"/>
          <w:szCs w:val="24"/>
        </w:rPr>
        <w:t>, 2010, 2, p. 287 e ss.</w:t>
      </w:r>
    </w:p>
  </w:footnote>
  <w:footnote w:id="232">
    <w:p w:rsidR="00BD2278" w:rsidRDefault="00BD2278" w:rsidP="00120EC1">
      <w:pPr>
        <w:pStyle w:val="FootnoteText"/>
      </w:pPr>
      <w:r>
        <w:rPr>
          <w:rStyle w:val="FootnoteReference"/>
        </w:rPr>
        <w:footnoteRef/>
      </w:r>
      <w:r>
        <w:t xml:space="preserve"> </w:t>
      </w:r>
      <w:r w:rsidRPr="00737526">
        <w:rPr>
          <w:sz w:val="24"/>
          <w:szCs w:val="24"/>
        </w:rPr>
        <w:t xml:space="preserve">R. Santucci, P. Monda, </w:t>
      </w:r>
      <w:r w:rsidRPr="00737526">
        <w:rPr>
          <w:i/>
          <w:sz w:val="24"/>
          <w:szCs w:val="24"/>
        </w:rPr>
        <w:t>Valorizzazione del merito</w:t>
      </w:r>
      <w:r>
        <w:rPr>
          <w:sz w:val="24"/>
          <w:szCs w:val="24"/>
        </w:rPr>
        <w:t>, cit., p. 299.</w:t>
      </w:r>
    </w:p>
  </w:footnote>
  <w:footnote w:id="233">
    <w:p w:rsidR="00BD2278" w:rsidRDefault="00BD2278" w:rsidP="00120EC1">
      <w:pPr>
        <w:pStyle w:val="FootnoteText"/>
      </w:pPr>
      <w:r w:rsidRPr="00D805D1">
        <w:rPr>
          <w:rStyle w:val="FootnoteReference"/>
          <w:sz w:val="24"/>
          <w:szCs w:val="24"/>
        </w:rPr>
        <w:footnoteRef/>
      </w:r>
      <w:r w:rsidRPr="00D805D1">
        <w:rPr>
          <w:sz w:val="24"/>
          <w:szCs w:val="24"/>
        </w:rPr>
        <w:t xml:space="preserve"> Cfr. U. Gargiulo, </w:t>
      </w:r>
      <w:r w:rsidRPr="00D805D1">
        <w:rPr>
          <w:i/>
          <w:sz w:val="24"/>
          <w:szCs w:val="24"/>
        </w:rPr>
        <w:t xml:space="preserve">La promozione della meritocrazia, </w:t>
      </w:r>
      <w:r w:rsidRPr="00D805D1">
        <w:rPr>
          <w:sz w:val="24"/>
          <w:szCs w:val="24"/>
        </w:rPr>
        <w:t xml:space="preserve">in </w:t>
      </w:r>
      <w:r w:rsidRPr="00D805D1">
        <w:rPr>
          <w:i/>
          <w:sz w:val="24"/>
          <w:szCs w:val="24"/>
        </w:rPr>
        <w:t>Ideologia e tecnica nella riforma del lavoro pubblico</w:t>
      </w:r>
      <w:r w:rsidRPr="00D805D1">
        <w:rPr>
          <w:sz w:val="24"/>
          <w:szCs w:val="24"/>
        </w:rPr>
        <w:t>, a cura di L. Zoppoli, Napoli, 2009, p. 371.</w:t>
      </w:r>
    </w:p>
  </w:footnote>
  <w:footnote w:id="234">
    <w:p w:rsidR="00BD2278" w:rsidRDefault="00BD2278" w:rsidP="00120EC1">
      <w:pPr>
        <w:pStyle w:val="FootnoteText"/>
      </w:pPr>
      <w:r w:rsidRPr="00D805D1">
        <w:rPr>
          <w:rStyle w:val="FootnoteReference"/>
          <w:sz w:val="24"/>
          <w:szCs w:val="24"/>
        </w:rPr>
        <w:footnoteRef/>
      </w:r>
      <w:r w:rsidRPr="00D805D1">
        <w:rPr>
          <w:sz w:val="24"/>
          <w:szCs w:val="24"/>
        </w:rPr>
        <w:t xml:space="preserve"> Cfr. A. Golino, P. Minicucci, L. Tronti, </w:t>
      </w:r>
      <w:r w:rsidRPr="00D805D1">
        <w:rPr>
          <w:i/>
          <w:sz w:val="24"/>
          <w:szCs w:val="24"/>
        </w:rPr>
        <w:t>Le retribuzioni dei dipendenti pubblici. Tendenze e confronti con il settore privato</w:t>
      </w:r>
      <w:r w:rsidRPr="00D805D1">
        <w:rPr>
          <w:sz w:val="24"/>
          <w:szCs w:val="24"/>
        </w:rPr>
        <w:t xml:space="preserve">, in </w:t>
      </w:r>
      <w:r w:rsidRPr="00D805D1">
        <w:rPr>
          <w:i/>
          <w:sz w:val="24"/>
          <w:szCs w:val="24"/>
        </w:rPr>
        <w:t>Econ.lav.</w:t>
      </w:r>
      <w:r w:rsidRPr="00D805D1">
        <w:rPr>
          <w:sz w:val="24"/>
          <w:szCs w:val="24"/>
        </w:rPr>
        <w:t>, 2008, 2, p. 187 e ss.</w:t>
      </w:r>
    </w:p>
  </w:footnote>
  <w:footnote w:id="235">
    <w:p w:rsidR="00BD2278" w:rsidRDefault="00BD2278" w:rsidP="00120EC1">
      <w:pPr>
        <w:pStyle w:val="FootnoteText"/>
      </w:pPr>
      <w:r>
        <w:rPr>
          <w:rStyle w:val="FootnoteReference"/>
        </w:rPr>
        <w:footnoteRef/>
      </w:r>
      <w:r>
        <w:t xml:space="preserve"> </w:t>
      </w:r>
      <w:r w:rsidRPr="00E517DA">
        <w:rPr>
          <w:sz w:val="24"/>
          <w:szCs w:val="24"/>
        </w:rPr>
        <w:t xml:space="preserve">Cfr. T. Treu, </w:t>
      </w:r>
      <w:r w:rsidRPr="00E517DA">
        <w:rPr>
          <w:i/>
          <w:sz w:val="24"/>
          <w:szCs w:val="24"/>
        </w:rPr>
        <w:t>Le forme retributive incentivanti</w:t>
      </w:r>
      <w:r>
        <w:rPr>
          <w:sz w:val="24"/>
          <w:szCs w:val="24"/>
        </w:rPr>
        <w:t>, cit., p 679.</w:t>
      </w:r>
    </w:p>
  </w:footnote>
  <w:footnote w:id="236">
    <w:p w:rsidR="00BD2278" w:rsidRDefault="00BD2278" w:rsidP="00120EC1">
      <w:pPr>
        <w:pStyle w:val="FootnoteText"/>
      </w:pPr>
      <w:r w:rsidRPr="00E03B2D">
        <w:rPr>
          <w:rStyle w:val="FootnoteReference"/>
          <w:sz w:val="24"/>
          <w:szCs w:val="24"/>
        </w:rPr>
        <w:footnoteRef/>
      </w:r>
      <w:r w:rsidRPr="00E03B2D">
        <w:rPr>
          <w:sz w:val="24"/>
          <w:szCs w:val="24"/>
        </w:rPr>
        <w:t xml:space="preserve"> Cfr. T. Treu, </w:t>
      </w:r>
      <w:r w:rsidRPr="00E03B2D">
        <w:rPr>
          <w:i/>
          <w:sz w:val="24"/>
          <w:szCs w:val="24"/>
        </w:rPr>
        <w:t>Le forme retributive incentivanti</w:t>
      </w:r>
      <w:r w:rsidRPr="00E03B2D">
        <w:rPr>
          <w:sz w:val="24"/>
          <w:szCs w:val="24"/>
        </w:rPr>
        <w:t>, cit., p 680.</w:t>
      </w:r>
    </w:p>
  </w:footnote>
  <w:footnote w:id="237">
    <w:p w:rsidR="00BD2278" w:rsidRDefault="00BD2278" w:rsidP="00120EC1">
      <w:pPr>
        <w:pStyle w:val="FootnoteText"/>
      </w:pPr>
      <w:r w:rsidRPr="00E03B2D">
        <w:rPr>
          <w:rStyle w:val="FootnoteReference"/>
          <w:sz w:val="24"/>
          <w:szCs w:val="24"/>
        </w:rPr>
        <w:footnoteRef/>
      </w:r>
      <w:r w:rsidRPr="00E03B2D">
        <w:rPr>
          <w:sz w:val="24"/>
          <w:szCs w:val="24"/>
        </w:rPr>
        <w:t xml:space="preserve"> Cfr. A. Golino, P. Minicucci, L. Tronti, </w:t>
      </w:r>
      <w:r w:rsidRPr="00E03B2D">
        <w:rPr>
          <w:i/>
          <w:sz w:val="24"/>
          <w:szCs w:val="24"/>
        </w:rPr>
        <w:t>Le retribuzioni dei dipendenti pubblici</w:t>
      </w:r>
      <w:r w:rsidRPr="00E03B2D">
        <w:rPr>
          <w:sz w:val="24"/>
          <w:szCs w:val="24"/>
        </w:rPr>
        <w:t>, cit. p. 197.</w:t>
      </w:r>
    </w:p>
  </w:footnote>
  <w:footnote w:id="238">
    <w:p w:rsidR="00BD2278" w:rsidRDefault="00BD2278" w:rsidP="00120EC1">
      <w:pPr>
        <w:pStyle w:val="FootnoteText"/>
      </w:pPr>
      <w:r w:rsidRPr="00E03B2D">
        <w:rPr>
          <w:rStyle w:val="FootnoteReference"/>
          <w:sz w:val="24"/>
          <w:szCs w:val="24"/>
        </w:rPr>
        <w:footnoteRef/>
      </w:r>
      <w:r w:rsidRPr="00E03B2D">
        <w:rPr>
          <w:sz w:val="24"/>
          <w:szCs w:val="24"/>
        </w:rPr>
        <w:t xml:space="preserve"> Cfr. S. Battini, B. Cimino, </w:t>
      </w:r>
      <w:r w:rsidRPr="00E03B2D">
        <w:rPr>
          <w:i/>
          <w:sz w:val="24"/>
          <w:szCs w:val="24"/>
        </w:rPr>
        <w:t>La valutazione delle performance nella riforma Brunetta</w:t>
      </w:r>
      <w:r w:rsidRPr="00E03B2D">
        <w:rPr>
          <w:sz w:val="24"/>
          <w:szCs w:val="24"/>
        </w:rPr>
        <w:t xml:space="preserve">, in </w:t>
      </w:r>
      <w:r w:rsidRPr="00E03B2D">
        <w:rPr>
          <w:i/>
          <w:sz w:val="24"/>
          <w:szCs w:val="24"/>
        </w:rPr>
        <w:t>Ideologia e tecnica nella riforma del lavoro pubblico</w:t>
      </w:r>
      <w:r w:rsidRPr="00E03B2D">
        <w:rPr>
          <w:sz w:val="24"/>
          <w:szCs w:val="24"/>
        </w:rPr>
        <w:t>, a cura di L. Zoppoli, Napoli, 2009, p. 255 e ss.</w:t>
      </w:r>
      <w:r>
        <w:rPr>
          <w:sz w:val="24"/>
          <w:szCs w:val="24"/>
        </w:rPr>
        <w:t xml:space="preserve">; B. Giorgio Mattarella, </w:t>
      </w:r>
      <w:r>
        <w:rPr>
          <w:i/>
          <w:sz w:val="24"/>
          <w:szCs w:val="24"/>
        </w:rPr>
        <w:t>Incentivi e sanzioni nel pubblico impiego</w:t>
      </w:r>
      <w:r>
        <w:rPr>
          <w:sz w:val="24"/>
          <w:szCs w:val="24"/>
        </w:rPr>
        <w:t xml:space="preserve">, in </w:t>
      </w:r>
      <w:r>
        <w:rPr>
          <w:i/>
          <w:sz w:val="24"/>
          <w:szCs w:val="24"/>
        </w:rPr>
        <w:t>Riv. trim. dir. pubbl</w:t>
      </w:r>
      <w:r>
        <w:rPr>
          <w:sz w:val="24"/>
          <w:szCs w:val="24"/>
        </w:rPr>
        <w:t>., 2009, 4, p. 939 ess.</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1277F5"/>
    <w:multiLevelType w:val="multilevel"/>
    <w:tmpl w:val="1728D8E0"/>
    <w:lvl w:ilvl="0">
      <w:start w:val="5"/>
      <w:numFmt w:val="decimal"/>
      <w:lvlText w:val="%1."/>
      <w:lvlJc w:val="left"/>
      <w:pPr>
        <w:ind w:left="432" w:hanging="432"/>
      </w:pPr>
      <w:rPr>
        <w:rFonts w:cs="Times New Roman" w:hint="default"/>
        <w:b/>
      </w:rPr>
    </w:lvl>
    <w:lvl w:ilvl="1">
      <w:start w:val="3"/>
      <w:numFmt w:val="decimal"/>
      <w:lvlText w:val="%1.%2."/>
      <w:lvlJc w:val="left"/>
      <w:pPr>
        <w:ind w:left="720" w:hanging="720"/>
      </w:pPr>
      <w:rPr>
        <w:rFonts w:cs="Times New Roman" w:hint="default"/>
        <w:b w:val="0"/>
      </w:rPr>
    </w:lvl>
    <w:lvl w:ilvl="2">
      <w:start w:val="1"/>
      <w:numFmt w:val="decimal"/>
      <w:lvlText w:val="%1.%2.%3."/>
      <w:lvlJc w:val="left"/>
      <w:pPr>
        <w:ind w:left="720" w:hanging="720"/>
      </w:pPr>
      <w:rPr>
        <w:rFonts w:cs="Times New Roman" w:hint="default"/>
        <w:b/>
      </w:rPr>
    </w:lvl>
    <w:lvl w:ilvl="3">
      <w:start w:val="1"/>
      <w:numFmt w:val="decimal"/>
      <w:lvlText w:val="%1.%2.%3.%4."/>
      <w:lvlJc w:val="left"/>
      <w:pPr>
        <w:ind w:left="1080" w:hanging="1080"/>
      </w:pPr>
      <w:rPr>
        <w:rFonts w:cs="Times New Roman" w:hint="default"/>
        <w:b/>
      </w:rPr>
    </w:lvl>
    <w:lvl w:ilvl="4">
      <w:start w:val="1"/>
      <w:numFmt w:val="decimal"/>
      <w:lvlText w:val="%1.%2.%3.%4.%5."/>
      <w:lvlJc w:val="left"/>
      <w:pPr>
        <w:ind w:left="1080" w:hanging="1080"/>
      </w:pPr>
      <w:rPr>
        <w:rFonts w:cs="Times New Roman" w:hint="default"/>
        <w:b/>
      </w:rPr>
    </w:lvl>
    <w:lvl w:ilvl="5">
      <w:start w:val="1"/>
      <w:numFmt w:val="decimal"/>
      <w:lvlText w:val="%1.%2.%3.%4.%5.%6."/>
      <w:lvlJc w:val="left"/>
      <w:pPr>
        <w:ind w:left="1440" w:hanging="1440"/>
      </w:pPr>
      <w:rPr>
        <w:rFonts w:cs="Times New Roman" w:hint="default"/>
        <w:b/>
      </w:rPr>
    </w:lvl>
    <w:lvl w:ilvl="6">
      <w:start w:val="1"/>
      <w:numFmt w:val="decimal"/>
      <w:lvlText w:val="%1.%2.%3.%4.%5.%6.%7."/>
      <w:lvlJc w:val="left"/>
      <w:pPr>
        <w:ind w:left="1800" w:hanging="1800"/>
      </w:pPr>
      <w:rPr>
        <w:rFonts w:cs="Times New Roman" w:hint="default"/>
        <w:b/>
      </w:rPr>
    </w:lvl>
    <w:lvl w:ilvl="7">
      <w:start w:val="1"/>
      <w:numFmt w:val="decimal"/>
      <w:lvlText w:val="%1.%2.%3.%4.%5.%6.%7.%8."/>
      <w:lvlJc w:val="left"/>
      <w:pPr>
        <w:ind w:left="1800" w:hanging="1800"/>
      </w:pPr>
      <w:rPr>
        <w:rFonts w:cs="Times New Roman" w:hint="default"/>
        <w:b/>
      </w:rPr>
    </w:lvl>
    <w:lvl w:ilvl="8">
      <w:start w:val="1"/>
      <w:numFmt w:val="decimal"/>
      <w:lvlText w:val="%1.%2.%3.%4.%5.%6.%7.%8.%9."/>
      <w:lvlJc w:val="left"/>
      <w:pPr>
        <w:ind w:left="2160" w:hanging="2160"/>
      </w:pPr>
      <w:rPr>
        <w:rFonts w:cs="Times New Roman" w:hint="default"/>
        <w:b/>
      </w:rPr>
    </w:lvl>
  </w:abstractNum>
  <w:abstractNum w:abstractNumId="1">
    <w:nsid w:val="09646769"/>
    <w:multiLevelType w:val="multilevel"/>
    <w:tmpl w:val="22740424"/>
    <w:lvl w:ilvl="0">
      <w:start w:val="2"/>
      <w:numFmt w:val="decimal"/>
      <w:lvlText w:val="%1."/>
      <w:lvlJc w:val="left"/>
      <w:pPr>
        <w:ind w:left="450" w:hanging="450"/>
      </w:pPr>
      <w:rPr>
        <w:rFonts w:ascii="Times New Roman" w:eastAsia="Times New Roman" w:hAnsi="Times New Roman" w:cs="Times New Roman" w:hint="default"/>
      </w:rPr>
    </w:lvl>
    <w:lvl w:ilvl="1">
      <w:start w:val="3"/>
      <w:numFmt w:val="decimal"/>
      <w:lvlText w:val="%2."/>
      <w:lvlJc w:val="left"/>
      <w:pPr>
        <w:ind w:left="720" w:hanging="720"/>
      </w:pPr>
      <w:rPr>
        <w:rFonts w:cs="Times New Roman" w:hint="default"/>
      </w:rPr>
    </w:lvl>
    <w:lvl w:ilvl="2">
      <w:start w:val="4"/>
      <w:numFmt w:val="decimal"/>
      <w:lvlText w:val="%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2">
    <w:nsid w:val="0B253E88"/>
    <w:multiLevelType w:val="multilevel"/>
    <w:tmpl w:val="286297C6"/>
    <w:lvl w:ilvl="0">
      <w:start w:val="1"/>
      <w:numFmt w:val="decimal"/>
      <w:lvlText w:val="%1."/>
      <w:lvlJc w:val="left"/>
      <w:pPr>
        <w:ind w:left="450" w:hanging="450"/>
      </w:pPr>
      <w:rPr>
        <w:rFonts w:cs="Times New Roman" w:hint="default"/>
      </w:rPr>
    </w:lvl>
    <w:lvl w:ilvl="1">
      <w:start w:val="1"/>
      <w:numFmt w:val="decimal"/>
      <w:lvlText w:val="%2."/>
      <w:lvlJc w:val="left"/>
      <w:pPr>
        <w:ind w:left="720" w:hanging="720"/>
      </w:pPr>
      <w:rPr>
        <w:rFonts w:cs="Times New Roman" w:hint="default"/>
      </w:rPr>
    </w:lvl>
    <w:lvl w:ilvl="2">
      <w:start w:val="5"/>
      <w:numFmt w:val="decimal"/>
      <w:lvlText w:val="%3.6"/>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3">
    <w:nsid w:val="0B880D31"/>
    <w:multiLevelType w:val="multilevel"/>
    <w:tmpl w:val="799A800E"/>
    <w:lvl w:ilvl="0">
      <w:start w:val="1"/>
      <w:numFmt w:val="decimal"/>
      <w:lvlText w:val="%1."/>
      <w:lvlJc w:val="left"/>
      <w:pPr>
        <w:ind w:left="450" w:hanging="45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4">
    <w:nsid w:val="0C693EB3"/>
    <w:multiLevelType w:val="multilevel"/>
    <w:tmpl w:val="136C52BA"/>
    <w:lvl w:ilvl="0">
      <w:start w:val="4"/>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5">
    <w:nsid w:val="11947E22"/>
    <w:multiLevelType w:val="multilevel"/>
    <w:tmpl w:val="92229710"/>
    <w:lvl w:ilvl="0">
      <w:start w:val="1"/>
      <w:numFmt w:val="decimal"/>
      <w:lvlText w:val="%1."/>
      <w:lvlJc w:val="left"/>
      <w:pPr>
        <w:ind w:left="450" w:hanging="450"/>
      </w:pPr>
      <w:rPr>
        <w:rFonts w:ascii="Times New Roman" w:eastAsia="Times New Roman" w:hAnsi="Times New Roman" w:cs="Times New Roman"/>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6">
    <w:nsid w:val="130C6DC3"/>
    <w:multiLevelType w:val="hybridMultilevel"/>
    <w:tmpl w:val="2834B022"/>
    <w:lvl w:ilvl="0" w:tplc="D716E1A4">
      <w:start w:val="1"/>
      <w:numFmt w:val="decimal"/>
      <w:lvlText w:val="%1.6"/>
      <w:lvlJc w:val="left"/>
      <w:pPr>
        <w:ind w:left="644" w:hanging="360"/>
      </w:pPr>
      <w:rPr>
        <w:rFonts w:cs="Times New Roman" w:hint="default"/>
      </w:rPr>
    </w:lvl>
    <w:lvl w:ilvl="1" w:tplc="04100019" w:tentative="1">
      <w:start w:val="1"/>
      <w:numFmt w:val="lowerLetter"/>
      <w:lvlText w:val="%2."/>
      <w:lvlJc w:val="left"/>
      <w:pPr>
        <w:ind w:left="1364" w:hanging="360"/>
      </w:pPr>
      <w:rPr>
        <w:rFonts w:cs="Times New Roman"/>
      </w:rPr>
    </w:lvl>
    <w:lvl w:ilvl="2" w:tplc="0410001B" w:tentative="1">
      <w:start w:val="1"/>
      <w:numFmt w:val="lowerRoman"/>
      <w:lvlText w:val="%3."/>
      <w:lvlJc w:val="right"/>
      <w:pPr>
        <w:ind w:left="2084" w:hanging="180"/>
      </w:pPr>
      <w:rPr>
        <w:rFonts w:cs="Times New Roman"/>
      </w:rPr>
    </w:lvl>
    <w:lvl w:ilvl="3" w:tplc="0410000F" w:tentative="1">
      <w:start w:val="1"/>
      <w:numFmt w:val="decimal"/>
      <w:lvlText w:val="%4."/>
      <w:lvlJc w:val="left"/>
      <w:pPr>
        <w:ind w:left="2804" w:hanging="360"/>
      </w:pPr>
      <w:rPr>
        <w:rFonts w:cs="Times New Roman"/>
      </w:rPr>
    </w:lvl>
    <w:lvl w:ilvl="4" w:tplc="04100019" w:tentative="1">
      <w:start w:val="1"/>
      <w:numFmt w:val="lowerLetter"/>
      <w:lvlText w:val="%5."/>
      <w:lvlJc w:val="left"/>
      <w:pPr>
        <w:ind w:left="3524" w:hanging="360"/>
      </w:pPr>
      <w:rPr>
        <w:rFonts w:cs="Times New Roman"/>
      </w:rPr>
    </w:lvl>
    <w:lvl w:ilvl="5" w:tplc="0410001B" w:tentative="1">
      <w:start w:val="1"/>
      <w:numFmt w:val="lowerRoman"/>
      <w:lvlText w:val="%6."/>
      <w:lvlJc w:val="right"/>
      <w:pPr>
        <w:ind w:left="4244" w:hanging="180"/>
      </w:pPr>
      <w:rPr>
        <w:rFonts w:cs="Times New Roman"/>
      </w:rPr>
    </w:lvl>
    <w:lvl w:ilvl="6" w:tplc="0410000F" w:tentative="1">
      <w:start w:val="1"/>
      <w:numFmt w:val="decimal"/>
      <w:lvlText w:val="%7."/>
      <w:lvlJc w:val="left"/>
      <w:pPr>
        <w:ind w:left="4964" w:hanging="360"/>
      </w:pPr>
      <w:rPr>
        <w:rFonts w:cs="Times New Roman"/>
      </w:rPr>
    </w:lvl>
    <w:lvl w:ilvl="7" w:tplc="04100019" w:tentative="1">
      <w:start w:val="1"/>
      <w:numFmt w:val="lowerLetter"/>
      <w:lvlText w:val="%8."/>
      <w:lvlJc w:val="left"/>
      <w:pPr>
        <w:ind w:left="5684" w:hanging="360"/>
      </w:pPr>
      <w:rPr>
        <w:rFonts w:cs="Times New Roman"/>
      </w:rPr>
    </w:lvl>
    <w:lvl w:ilvl="8" w:tplc="0410001B" w:tentative="1">
      <w:start w:val="1"/>
      <w:numFmt w:val="lowerRoman"/>
      <w:lvlText w:val="%9."/>
      <w:lvlJc w:val="right"/>
      <w:pPr>
        <w:ind w:left="6404" w:hanging="180"/>
      </w:pPr>
      <w:rPr>
        <w:rFonts w:cs="Times New Roman"/>
      </w:rPr>
    </w:lvl>
  </w:abstractNum>
  <w:abstractNum w:abstractNumId="7">
    <w:nsid w:val="135307A0"/>
    <w:multiLevelType w:val="multilevel"/>
    <w:tmpl w:val="76E49A08"/>
    <w:lvl w:ilvl="0">
      <w:start w:val="1"/>
      <w:numFmt w:val="decimal"/>
      <w:lvlText w:val="%1."/>
      <w:lvlJc w:val="left"/>
      <w:pPr>
        <w:ind w:left="450" w:hanging="450"/>
      </w:pPr>
      <w:rPr>
        <w:rFonts w:cs="Times New Roman" w:hint="default"/>
      </w:rPr>
    </w:lvl>
    <w:lvl w:ilvl="1">
      <w:start w:val="8"/>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8">
    <w:nsid w:val="16D340C5"/>
    <w:multiLevelType w:val="multilevel"/>
    <w:tmpl w:val="66B49F88"/>
    <w:lvl w:ilvl="0">
      <w:start w:val="1"/>
      <w:numFmt w:val="decimal"/>
      <w:lvlText w:val="%1."/>
      <w:lvlJc w:val="left"/>
      <w:pPr>
        <w:ind w:left="450" w:hanging="450"/>
      </w:pPr>
      <w:rPr>
        <w:rFonts w:cs="Times New Roman" w:hint="default"/>
      </w:rPr>
    </w:lvl>
    <w:lvl w:ilvl="1">
      <w:start w:val="1"/>
      <w:numFmt w:val="decimal"/>
      <w:lvlText w:val="%2."/>
      <w:lvlJc w:val="left"/>
      <w:pPr>
        <w:ind w:left="720" w:hanging="720"/>
      </w:pPr>
      <w:rPr>
        <w:rFonts w:cs="Times New Roman" w:hint="default"/>
      </w:rPr>
    </w:lvl>
    <w:lvl w:ilvl="2">
      <w:start w:val="1"/>
      <w:numFmt w:val="decimal"/>
      <w:lvlText w:val="%3.6"/>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9">
    <w:nsid w:val="22B114C8"/>
    <w:multiLevelType w:val="multilevel"/>
    <w:tmpl w:val="E67A7768"/>
    <w:lvl w:ilvl="0">
      <w:start w:val="1"/>
      <w:numFmt w:val="decimal"/>
      <w:lvlText w:val="%1."/>
      <w:lvlJc w:val="left"/>
      <w:pPr>
        <w:ind w:left="450" w:hanging="45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10">
    <w:nsid w:val="236219AB"/>
    <w:multiLevelType w:val="multilevel"/>
    <w:tmpl w:val="BF44279E"/>
    <w:lvl w:ilvl="0">
      <w:start w:val="1"/>
      <w:numFmt w:val="decimal"/>
      <w:lvlText w:val="%1."/>
      <w:lvlJc w:val="left"/>
      <w:pPr>
        <w:ind w:left="450" w:hanging="450"/>
      </w:pPr>
      <w:rPr>
        <w:rFonts w:cs="Times New Roman" w:hint="default"/>
      </w:rPr>
    </w:lvl>
    <w:lvl w:ilvl="1">
      <w:start w:val="1"/>
      <w:numFmt w:val="decimal"/>
      <w:pStyle w:val="Titoloparagrafo"/>
      <w:lvlText w:val="%2."/>
      <w:lvlJc w:val="left"/>
      <w:pPr>
        <w:ind w:left="720" w:hanging="720"/>
      </w:pPr>
      <w:rPr>
        <w:rFonts w:cs="Times New Roman" w:hint="default"/>
        <w:spacing w:val="-2"/>
        <w:position w:val="0"/>
      </w:rPr>
    </w:lvl>
    <w:lvl w:ilvl="2">
      <w:start w:val="1"/>
      <w:numFmt w:val="decimal"/>
      <w:lvlText w:val="%3.1"/>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11">
    <w:nsid w:val="27FE0608"/>
    <w:multiLevelType w:val="hybridMultilevel"/>
    <w:tmpl w:val="F620D15E"/>
    <w:lvl w:ilvl="0" w:tplc="B69AA50A">
      <w:start w:val="1"/>
      <w:numFmt w:val="decimal"/>
      <w:lvlText w:val="%1."/>
      <w:lvlJc w:val="left"/>
      <w:pPr>
        <w:ind w:left="644" w:hanging="360"/>
      </w:pPr>
      <w:rPr>
        <w:rFonts w:cs="Times New Roman" w:hint="default"/>
      </w:rPr>
    </w:lvl>
    <w:lvl w:ilvl="1" w:tplc="04100019" w:tentative="1">
      <w:start w:val="1"/>
      <w:numFmt w:val="lowerLetter"/>
      <w:lvlText w:val="%2."/>
      <w:lvlJc w:val="left"/>
      <w:pPr>
        <w:ind w:left="1364" w:hanging="360"/>
      </w:pPr>
      <w:rPr>
        <w:rFonts w:cs="Times New Roman"/>
      </w:rPr>
    </w:lvl>
    <w:lvl w:ilvl="2" w:tplc="0410001B" w:tentative="1">
      <w:start w:val="1"/>
      <w:numFmt w:val="lowerRoman"/>
      <w:lvlText w:val="%3."/>
      <w:lvlJc w:val="right"/>
      <w:pPr>
        <w:ind w:left="2084" w:hanging="180"/>
      </w:pPr>
      <w:rPr>
        <w:rFonts w:cs="Times New Roman"/>
      </w:rPr>
    </w:lvl>
    <w:lvl w:ilvl="3" w:tplc="0410000F" w:tentative="1">
      <w:start w:val="1"/>
      <w:numFmt w:val="decimal"/>
      <w:lvlText w:val="%4."/>
      <w:lvlJc w:val="left"/>
      <w:pPr>
        <w:ind w:left="2804" w:hanging="360"/>
      </w:pPr>
      <w:rPr>
        <w:rFonts w:cs="Times New Roman"/>
      </w:rPr>
    </w:lvl>
    <w:lvl w:ilvl="4" w:tplc="04100019" w:tentative="1">
      <w:start w:val="1"/>
      <w:numFmt w:val="lowerLetter"/>
      <w:lvlText w:val="%5."/>
      <w:lvlJc w:val="left"/>
      <w:pPr>
        <w:ind w:left="3524" w:hanging="360"/>
      </w:pPr>
      <w:rPr>
        <w:rFonts w:cs="Times New Roman"/>
      </w:rPr>
    </w:lvl>
    <w:lvl w:ilvl="5" w:tplc="0410001B" w:tentative="1">
      <w:start w:val="1"/>
      <w:numFmt w:val="lowerRoman"/>
      <w:lvlText w:val="%6."/>
      <w:lvlJc w:val="right"/>
      <w:pPr>
        <w:ind w:left="4244" w:hanging="180"/>
      </w:pPr>
      <w:rPr>
        <w:rFonts w:cs="Times New Roman"/>
      </w:rPr>
    </w:lvl>
    <w:lvl w:ilvl="6" w:tplc="0410000F" w:tentative="1">
      <w:start w:val="1"/>
      <w:numFmt w:val="decimal"/>
      <w:lvlText w:val="%7."/>
      <w:lvlJc w:val="left"/>
      <w:pPr>
        <w:ind w:left="4964" w:hanging="360"/>
      </w:pPr>
      <w:rPr>
        <w:rFonts w:cs="Times New Roman"/>
      </w:rPr>
    </w:lvl>
    <w:lvl w:ilvl="7" w:tplc="04100019" w:tentative="1">
      <w:start w:val="1"/>
      <w:numFmt w:val="lowerLetter"/>
      <w:lvlText w:val="%8."/>
      <w:lvlJc w:val="left"/>
      <w:pPr>
        <w:ind w:left="5684" w:hanging="360"/>
      </w:pPr>
      <w:rPr>
        <w:rFonts w:cs="Times New Roman"/>
      </w:rPr>
    </w:lvl>
    <w:lvl w:ilvl="8" w:tplc="0410001B" w:tentative="1">
      <w:start w:val="1"/>
      <w:numFmt w:val="lowerRoman"/>
      <w:lvlText w:val="%9."/>
      <w:lvlJc w:val="right"/>
      <w:pPr>
        <w:ind w:left="6404" w:hanging="180"/>
      </w:pPr>
      <w:rPr>
        <w:rFonts w:cs="Times New Roman"/>
      </w:rPr>
    </w:lvl>
  </w:abstractNum>
  <w:abstractNum w:abstractNumId="12">
    <w:nsid w:val="28546884"/>
    <w:multiLevelType w:val="multilevel"/>
    <w:tmpl w:val="B70240BA"/>
    <w:lvl w:ilvl="0">
      <w:start w:val="2"/>
      <w:numFmt w:val="decimal"/>
      <w:lvlText w:val="%1."/>
      <w:lvlJc w:val="left"/>
      <w:pPr>
        <w:ind w:left="450" w:hanging="450"/>
      </w:pPr>
      <w:rPr>
        <w:rFonts w:ascii="Times New Roman" w:eastAsia="Times New Roman" w:hAnsi="Times New Roman" w:cs="Times New Roman" w:hint="default"/>
      </w:rPr>
    </w:lvl>
    <w:lvl w:ilvl="1">
      <w:start w:val="1"/>
      <w:numFmt w:val="decimal"/>
      <w:lvlText w:val="%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13">
    <w:nsid w:val="29E571E3"/>
    <w:multiLevelType w:val="multilevel"/>
    <w:tmpl w:val="E67A7768"/>
    <w:lvl w:ilvl="0">
      <w:start w:val="1"/>
      <w:numFmt w:val="decimal"/>
      <w:lvlText w:val="%1."/>
      <w:lvlJc w:val="left"/>
      <w:pPr>
        <w:ind w:left="450" w:hanging="45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14">
    <w:nsid w:val="2F976018"/>
    <w:multiLevelType w:val="multilevel"/>
    <w:tmpl w:val="FDD8D094"/>
    <w:lvl w:ilvl="0">
      <w:start w:val="2"/>
      <w:numFmt w:val="decimal"/>
      <w:lvlText w:val="%1."/>
      <w:lvlJc w:val="left"/>
      <w:pPr>
        <w:ind w:left="450" w:hanging="450"/>
      </w:pPr>
      <w:rPr>
        <w:rFonts w:cs="Times New Roman" w:hint="default"/>
      </w:rPr>
    </w:lvl>
    <w:lvl w:ilvl="1">
      <w:start w:val="1"/>
      <w:numFmt w:val="decimal"/>
      <w:lvlText w:val="%2."/>
      <w:lvlJc w:val="left"/>
      <w:pPr>
        <w:ind w:left="720" w:hanging="720"/>
      </w:pPr>
      <w:rPr>
        <w:rFonts w:cs="Times New Roman" w:hint="default"/>
      </w:rPr>
    </w:lvl>
    <w:lvl w:ilvl="2">
      <w:start w:val="1"/>
      <w:numFmt w:val="decimal"/>
      <w:lvlText w:val="%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15">
    <w:nsid w:val="36076F5F"/>
    <w:multiLevelType w:val="multilevel"/>
    <w:tmpl w:val="EBD6354C"/>
    <w:lvl w:ilvl="0">
      <w:start w:val="5"/>
      <w:numFmt w:val="decimal"/>
      <w:lvlText w:val="%1."/>
      <w:lvlJc w:val="left"/>
      <w:pPr>
        <w:ind w:left="432" w:hanging="432"/>
      </w:pPr>
      <w:rPr>
        <w:rFonts w:cs="Times New Roman" w:hint="default"/>
        <w:b/>
      </w:rPr>
    </w:lvl>
    <w:lvl w:ilvl="1">
      <w:start w:val="2"/>
      <w:numFmt w:val="decimal"/>
      <w:lvlText w:val="%1.%2."/>
      <w:lvlJc w:val="left"/>
      <w:pPr>
        <w:ind w:left="720" w:hanging="720"/>
      </w:pPr>
      <w:rPr>
        <w:rFonts w:cs="Times New Roman" w:hint="default"/>
        <w:b w:val="0"/>
      </w:rPr>
    </w:lvl>
    <w:lvl w:ilvl="2">
      <w:start w:val="1"/>
      <w:numFmt w:val="decimal"/>
      <w:lvlText w:val="%1.%2.%3."/>
      <w:lvlJc w:val="left"/>
      <w:pPr>
        <w:ind w:left="720" w:hanging="720"/>
      </w:pPr>
      <w:rPr>
        <w:rFonts w:cs="Times New Roman" w:hint="default"/>
        <w:b/>
      </w:rPr>
    </w:lvl>
    <w:lvl w:ilvl="3">
      <w:start w:val="1"/>
      <w:numFmt w:val="decimal"/>
      <w:lvlText w:val="%1.%2.%3.%4."/>
      <w:lvlJc w:val="left"/>
      <w:pPr>
        <w:ind w:left="1080" w:hanging="1080"/>
      </w:pPr>
      <w:rPr>
        <w:rFonts w:cs="Times New Roman" w:hint="default"/>
        <w:b/>
      </w:rPr>
    </w:lvl>
    <w:lvl w:ilvl="4">
      <w:start w:val="1"/>
      <w:numFmt w:val="decimal"/>
      <w:lvlText w:val="%1.%2.%3.%4.%5."/>
      <w:lvlJc w:val="left"/>
      <w:pPr>
        <w:ind w:left="1080" w:hanging="1080"/>
      </w:pPr>
      <w:rPr>
        <w:rFonts w:cs="Times New Roman" w:hint="default"/>
        <w:b/>
      </w:rPr>
    </w:lvl>
    <w:lvl w:ilvl="5">
      <w:start w:val="1"/>
      <w:numFmt w:val="decimal"/>
      <w:lvlText w:val="%1.%2.%3.%4.%5.%6."/>
      <w:lvlJc w:val="left"/>
      <w:pPr>
        <w:ind w:left="1440" w:hanging="1440"/>
      </w:pPr>
      <w:rPr>
        <w:rFonts w:cs="Times New Roman" w:hint="default"/>
        <w:b/>
      </w:rPr>
    </w:lvl>
    <w:lvl w:ilvl="6">
      <w:start w:val="1"/>
      <w:numFmt w:val="decimal"/>
      <w:lvlText w:val="%1.%2.%3.%4.%5.%6.%7."/>
      <w:lvlJc w:val="left"/>
      <w:pPr>
        <w:ind w:left="1800" w:hanging="1800"/>
      </w:pPr>
      <w:rPr>
        <w:rFonts w:cs="Times New Roman" w:hint="default"/>
        <w:b/>
      </w:rPr>
    </w:lvl>
    <w:lvl w:ilvl="7">
      <w:start w:val="1"/>
      <w:numFmt w:val="decimal"/>
      <w:lvlText w:val="%1.%2.%3.%4.%5.%6.%7.%8."/>
      <w:lvlJc w:val="left"/>
      <w:pPr>
        <w:ind w:left="1800" w:hanging="1800"/>
      </w:pPr>
      <w:rPr>
        <w:rFonts w:cs="Times New Roman" w:hint="default"/>
        <w:b/>
      </w:rPr>
    </w:lvl>
    <w:lvl w:ilvl="8">
      <w:start w:val="1"/>
      <w:numFmt w:val="decimal"/>
      <w:lvlText w:val="%1.%2.%3.%4.%5.%6.%7.%8.%9."/>
      <w:lvlJc w:val="left"/>
      <w:pPr>
        <w:ind w:left="2160" w:hanging="2160"/>
      </w:pPr>
      <w:rPr>
        <w:rFonts w:cs="Times New Roman" w:hint="default"/>
        <w:b/>
      </w:rPr>
    </w:lvl>
  </w:abstractNum>
  <w:abstractNum w:abstractNumId="16">
    <w:nsid w:val="3AB278A4"/>
    <w:multiLevelType w:val="hybridMultilevel"/>
    <w:tmpl w:val="4BF0ADEE"/>
    <w:lvl w:ilvl="0" w:tplc="97F4029A">
      <w:start w:val="1"/>
      <w:numFmt w:val="decimal"/>
      <w:lvlText w:val="%1."/>
      <w:lvlJc w:val="left"/>
      <w:pPr>
        <w:ind w:left="644" w:hanging="360"/>
      </w:pPr>
      <w:rPr>
        <w:rFonts w:cs="Times New Roman" w:hint="default"/>
      </w:rPr>
    </w:lvl>
    <w:lvl w:ilvl="1" w:tplc="04100019" w:tentative="1">
      <w:start w:val="1"/>
      <w:numFmt w:val="lowerLetter"/>
      <w:lvlText w:val="%2."/>
      <w:lvlJc w:val="left"/>
      <w:pPr>
        <w:ind w:left="1364" w:hanging="360"/>
      </w:pPr>
      <w:rPr>
        <w:rFonts w:cs="Times New Roman"/>
      </w:rPr>
    </w:lvl>
    <w:lvl w:ilvl="2" w:tplc="0410001B" w:tentative="1">
      <w:start w:val="1"/>
      <w:numFmt w:val="lowerRoman"/>
      <w:lvlText w:val="%3."/>
      <w:lvlJc w:val="right"/>
      <w:pPr>
        <w:ind w:left="2084" w:hanging="180"/>
      </w:pPr>
      <w:rPr>
        <w:rFonts w:cs="Times New Roman"/>
      </w:rPr>
    </w:lvl>
    <w:lvl w:ilvl="3" w:tplc="0410000F" w:tentative="1">
      <w:start w:val="1"/>
      <w:numFmt w:val="decimal"/>
      <w:lvlText w:val="%4."/>
      <w:lvlJc w:val="left"/>
      <w:pPr>
        <w:ind w:left="2804" w:hanging="360"/>
      </w:pPr>
      <w:rPr>
        <w:rFonts w:cs="Times New Roman"/>
      </w:rPr>
    </w:lvl>
    <w:lvl w:ilvl="4" w:tplc="04100019" w:tentative="1">
      <w:start w:val="1"/>
      <w:numFmt w:val="lowerLetter"/>
      <w:lvlText w:val="%5."/>
      <w:lvlJc w:val="left"/>
      <w:pPr>
        <w:ind w:left="3524" w:hanging="360"/>
      </w:pPr>
      <w:rPr>
        <w:rFonts w:cs="Times New Roman"/>
      </w:rPr>
    </w:lvl>
    <w:lvl w:ilvl="5" w:tplc="0410001B" w:tentative="1">
      <w:start w:val="1"/>
      <w:numFmt w:val="lowerRoman"/>
      <w:lvlText w:val="%6."/>
      <w:lvlJc w:val="right"/>
      <w:pPr>
        <w:ind w:left="4244" w:hanging="180"/>
      </w:pPr>
      <w:rPr>
        <w:rFonts w:cs="Times New Roman"/>
      </w:rPr>
    </w:lvl>
    <w:lvl w:ilvl="6" w:tplc="0410000F" w:tentative="1">
      <w:start w:val="1"/>
      <w:numFmt w:val="decimal"/>
      <w:lvlText w:val="%7."/>
      <w:lvlJc w:val="left"/>
      <w:pPr>
        <w:ind w:left="4964" w:hanging="360"/>
      </w:pPr>
      <w:rPr>
        <w:rFonts w:cs="Times New Roman"/>
      </w:rPr>
    </w:lvl>
    <w:lvl w:ilvl="7" w:tplc="04100019" w:tentative="1">
      <w:start w:val="1"/>
      <w:numFmt w:val="lowerLetter"/>
      <w:lvlText w:val="%8."/>
      <w:lvlJc w:val="left"/>
      <w:pPr>
        <w:ind w:left="5684" w:hanging="360"/>
      </w:pPr>
      <w:rPr>
        <w:rFonts w:cs="Times New Roman"/>
      </w:rPr>
    </w:lvl>
    <w:lvl w:ilvl="8" w:tplc="0410001B" w:tentative="1">
      <w:start w:val="1"/>
      <w:numFmt w:val="lowerRoman"/>
      <w:lvlText w:val="%9."/>
      <w:lvlJc w:val="right"/>
      <w:pPr>
        <w:ind w:left="6404" w:hanging="180"/>
      </w:pPr>
      <w:rPr>
        <w:rFonts w:cs="Times New Roman"/>
      </w:rPr>
    </w:lvl>
  </w:abstractNum>
  <w:abstractNum w:abstractNumId="17">
    <w:nsid w:val="434E3D21"/>
    <w:multiLevelType w:val="multilevel"/>
    <w:tmpl w:val="94C61BAA"/>
    <w:lvl w:ilvl="0">
      <w:start w:val="2"/>
      <w:numFmt w:val="decimal"/>
      <w:lvlText w:val="%1."/>
      <w:lvlJc w:val="left"/>
      <w:pPr>
        <w:ind w:left="450" w:hanging="450"/>
      </w:pPr>
      <w:rPr>
        <w:rFonts w:ascii="Times New Roman" w:eastAsia="Times New Roman" w:hAnsi="Times New Roman" w:cs="Times New Roman" w:hint="default"/>
      </w:rPr>
    </w:lvl>
    <w:lvl w:ilvl="1">
      <w:start w:val="3"/>
      <w:numFmt w:val="decimal"/>
      <w:lvlText w:val="%2."/>
      <w:lvlJc w:val="left"/>
      <w:pPr>
        <w:ind w:left="720" w:hanging="720"/>
      </w:pPr>
      <w:rPr>
        <w:rFonts w:cs="Times New Roman" w:hint="default"/>
      </w:rPr>
    </w:lvl>
    <w:lvl w:ilvl="2">
      <w:start w:val="1"/>
      <w:numFmt w:val="decimal"/>
      <w:lvlText w:val="%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18">
    <w:nsid w:val="440F24C4"/>
    <w:multiLevelType w:val="multilevel"/>
    <w:tmpl w:val="68EEE9C4"/>
    <w:lvl w:ilvl="0">
      <w:start w:val="1"/>
      <w:numFmt w:val="decimal"/>
      <w:lvlText w:val="%1."/>
      <w:lvlJc w:val="left"/>
      <w:pPr>
        <w:ind w:left="450" w:hanging="450"/>
      </w:pPr>
      <w:rPr>
        <w:rFonts w:cs="Times New Roman" w:hint="default"/>
      </w:rPr>
    </w:lvl>
    <w:lvl w:ilvl="1">
      <w:start w:val="3"/>
      <w:numFmt w:val="decimal"/>
      <w:lvlText w:val="%2."/>
      <w:lvlJc w:val="left"/>
      <w:pPr>
        <w:ind w:left="720" w:hanging="720"/>
      </w:pPr>
      <w:rPr>
        <w:rFonts w:cs="Times New Roman" w:hint="default"/>
        <w:spacing w:val="-2"/>
        <w:position w:val="0"/>
      </w:rPr>
    </w:lvl>
    <w:lvl w:ilvl="2">
      <w:start w:val="1"/>
      <w:numFmt w:val="decimal"/>
      <w:lvlText w:val="%3.1"/>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19">
    <w:nsid w:val="48F7640B"/>
    <w:multiLevelType w:val="hybridMultilevel"/>
    <w:tmpl w:val="8D22C70A"/>
    <w:lvl w:ilvl="0" w:tplc="A2DEBC54">
      <w:start w:val="1"/>
      <w:numFmt w:val="decimal"/>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20">
    <w:nsid w:val="573D185E"/>
    <w:multiLevelType w:val="hybridMultilevel"/>
    <w:tmpl w:val="FA788DB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nsid w:val="5C7D01BE"/>
    <w:multiLevelType w:val="multilevel"/>
    <w:tmpl w:val="F7DA2296"/>
    <w:lvl w:ilvl="0">
      <w:start w:val="4"/>
      <w:numFmt w:val="decimal"/>
      <w:lvlText w:val="%1."/>
      <w:lvlJc w:val="left"/>
      <w:pPr>
        <w:ind w:left="432" w:hanging="432"/>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22">
    <w:nsid w:val="69FB20FE"/>
    <w:multiLevelType w:val="hybridMultilevel"/>
    <w:tmpl w:val="EB083926"/>
    <w:lvl w:ilvl="0" w:tplc="04100003">
      <w:start w:val="1"/>
      <w:numFmt w:val="bullet"/>
      <w:lvlText w:val="o"/>
      <w:lvlJc w:val="left"/>
      <w:pPr>
        <w:ind w:left="720" w:hanging="360"/>
      </w:pPr>
      <w:rPr>
        <w:rFonts w:ascii="Courier New" w:hAnsi="Courier New"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3">
    <w:nsid w:val="6AE234C9"/>
    <w:multiLevelType w:val="hybridMultilevel"/>
    <w:tmpl w:val="C4E87A5A"/>
    <w:lvl w:ilvl="0" w:tplc="4E2C5A32">
      <w:start w:val="2"/>
      <w:numFmt w:val="decimal"/>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24">
    <w:nsid w:val="6EBA2B15"/>
    <w:multiLevelType w:val="multilevel"/>
    <w:tmpl w:val="C2F0240C"/>
    <w:lvl w:ilvl="0">
      <w:start w:val="6"/>
      <w:numFmt w:val="decimal"/>
      <w:lvlText w:val="%1."/>
      <w:lvlJc w:val="left"/>
      <w:pPr>
        <w:ind w:left="432" w:hanging="432"/>
      </w:pPr>
      <w:rPr>
        <w:rFonts w:cs="Times New Roman" w:hint="default"/>
        <w:b w:val="0"/>
      </w:rPr>
    </w:lvl>
    <w:lvl w:ilvl="1">
      <w:start w:val="5"/>
      <w:numFmt w:val="decimal"/>
      <w:lvlText w:val="%1.%2."/>
      <w:lvlJc w:val="left"/>
      <w:pPr>
        <w:ind w:left="720" w:hanging="720"/>
      </w:pPr>
      <w:rPr>
        <w:rFonts w:cs="Times New Roman" w:hint="default"/>
        <w:b/>
      </w:rPr>
    </w:lvl>
    <w:lvl w:ilvl="2">
      <w:start w:val="1"/>
      <w:numFmt w:val="decimal"/>
      <w:lvlText w:val="%1.%2.%3."/>
      <w:lvlJc w:val="left"/>
      <w:pPr>
        <w:ind w:left="720" w:hanging="720"/>
      </w:pPr>
      <w:rPr>
        <w:rFonts w:cs="Times New Roman" w:hint="default"/>
        <w:b/>
      </w:rPr>
    </w:lvl>
    <w:lvl w:ilvl="3">
      <w:start w:val="1"/>
      <w:numFmt w:val="decimal"/>
      <w:lvlText w:val="%1.%2.%3.%4."/>
      <w:lvlJc w:val="left"/>
      <w:pPr>
        <w:ind w:left="1080" w:hanging="1080"/>
      </w:pPr>
      <w:rPr>
        <w:rFonts w:cs="Times New Roman" w:hint="default"/>
        <w:b/>
      </w:rPr>
    </w:lvl>
    <w:lvl w:ilvl="4">
      <w:start w:val="1"/>
      <w:numFmt w:val="decimal"/>
      <w:lvlText w:val="%1.%2.%3.%4.%5."/>
      <w:lvlJc w:val="left"/>
      <w:pPr>
        <w:ind w:left="1080" w:hanging="1080"/>
      </w:pPr>
      <w:rPr>
        <w:rFonts w:cs="Times New Roman" w:hint="default"/>
        <w:b/>
      </w:rPr>
    </w:lvl>
    <w:lvl w:ilvl="5">
      <w:start w:val="1"/>
      <w:numFmt w:val="decimal"/>
      <w:lvlText w:val="%1.%2.%3.%4.%5.%6."/>
      <w:lvlJc w:val="left"/>
      <w:pPr>
        <w:ind w:left="1440" w:hanging="1440"/>
      </w:pPr>
      <w:rPr>
        <w:rFonts w:cs="Times New Roman" w:hint="default"/>
        <w:b/>
      </w:rPr>
    </w:lvl>
    <w:lvl w:ilvl="6">
      <w:start w:val="1"/>
      <w:numFmt w:val="decimal"/>
      <w:lvlText w:val="%1.%2.%3.%4.%5.%6.%7."/>
      <w:lvlJc w:val="left"/>
      <w:pPr>
        <w:ind w:left="1800" w:hanging="1800"/>
      </w:pPr>
      <w:rPr>
        <w:rFonts w:cs="Times New Roman" w:hint="default"/>
        <w:b/>
      </w:rPr>
    </w:lvl>
    <w:lvl w:ilvl="7">
      <w:start w:val="1"/>
      <w:numFmt w:val="decimal"/>
      <w:lvlText w:val="%1.%2.%3.%4.%5.%6.%7.%8."/>
      <w:lvlJc w:val="left"/>
      <w:pPr>
        <w:ind w:left="1800" w:hanging="1800"/>
      </w:pPr>
      <w:rPr>
        <w:rFonts w:cs="Times New Roman" w:hint="default"/>
        <w:b/>
      </w:rPr>
    </w:lvl>
    <w:lvl w:ilvl="8">
      <w:start w:val="1"/>
      <w:numFmt w:val="decimal"/>
      <w:lvlText w:val="%1.%2.%3.%4.%5.%6.%7.%8.%9."/>
      <w:lvlJc w:val="left"/>
      <w:pPr>
        <w:ind w:left="2160" w:hanging="2160"/>
      </w:pPr>
      <w:rPr>
        <w:rFonts w:cs="Times New Roman" w:hint="default"/>
        <w:b/>
      </w:rPr>
    </w:lvl>
  </w:abstractNum>
  <w:abstractNum w:abstractNumId="25">
    <w:nsid w:val="7BAC40EF"/>
    <w:multiLevelType w:val="multilevel"/>
    <w:tmpl w:val="CD18AC2C"/>
    <w:lvl w:ilvl="0">
      <w:start w:val="1"/>
      <w:numFmt w:val="decimal"/>
      <w:lvlText w:val="%1."/>
      <w:lvlJc w:val="left"/>
      <w:pPr>
        <w:ind w:left="450" w:hanging="450"/>
      </w:pPr>
      <w:rPr>
        <w:rFonts w:cs="Times New Roman" w:hint="default"/>
      </w:rPr>
    </w:lvl>
    <w:lvl w:ilvl="1">
      <w:start w:val="1"/>
      <w:numFmt w:val="decimal"/>
      <w:lvlText w:val="%2."/>
      <w:lvlJc w:val="left"/>
      <w:pPr>
        <w:ind w:left="720" w:hanging="720"/>
      </w:pPr>
      <w:rPr>
        <w:rFonts w:cs="Times New Roman" w:hint="default"/>
      </w:rPr>
    </w:lvl>
    <w:lvl w:ilvl="2">
      <w:start w:val="5"/>
      <w:numFmt w:val="decimal"/>
      <w:lvlText w:val="%3.1"/>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26">
    <w:nsid w:val="7FDE3C55"/>
    <w:multiLevelType w:val="multilevel"/>
    <w:tmpl w:val="286297C6"/>
    <w:lvl w:ilvl="0">
      <w:start w:val="1"/>
      <w:numFmt w:val="decimal"/>
      <w:lvlText w:val="%1."/>
      <w:lvlJc w:val="left"/>
      <w:pPr>
        <w:ind w:left="450" w:hanging="450"/>
      </w:pPr>
      <w:rPr>
        <w:rFonts w:cs="Times New Roman" w:hint="default"/>
      </w:rPr>
    </w:lvl>
    <w:lvl w:ilvl="1">
      <w:start w:val="1"/>
      <w:numFmt w:val="decimal"/>
      <w:lvlText w:val="%2."/>
      <w:lvlJc w:val="left"/>
      <w:pPr>
        <w:ind w:left="720" w:hanging="720"/>
      </w:pPr>
      <w:rPr>
        <w:rFonts w:cs="Times New Roman" w:hint="default"/>
      </w:rPr>
    </w:lvl>
    <w:lvl w:ilvl="2">
      <w:start w:val="5"/>
      <w:numFmt w:val="decimal"/>
      <w:lvlText w:val="%3.6"/>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num w:numId="1">
    <w:abstractNumId w:val="23"/>
  </w:num>
  <w:num w:numId="2">
    <w:abstractNumId w:val="11"/>
  </w:num>
  <w:num w:numId="3">
    <w:abstractNumId w:val="20"/>
  </w:num>
  <w:num w:numId="4">
    <w:abstractNumId w:val="9"/>
  </w:num>
  <w:num w:numId="5">
    <w:abstractNumId w:val="13"/>
  </w:num>
  <w:num w:numId="6">
    <w:abstractNumId w:val="7"/>
  </w:num>
  <w:num w:numId="7">
    <w:abstractNumId w:val="22"/>
  </w:num>
  <w:num w:numId="8">
    <w:abstractNumId w:val="10"/>
  </w:num>
  <w:num w:numId="9">
    <w:abstractNumId w:val="5"/>
  </w:num>
  <w:num w:numId="10">
    <w:abstractNumId w:val="14"/>
  </w:num>
  <w:num w:numId="11">
    <w:abstractNumId w:val="6"/>
  </w:num>
  <w:num w:numId="12">
    <w:abstractNumId w:val="3"/>
  </w:num>
  <w:num w:numId="13">
    <w:abstractNumId w:val="25"/>
  </w:num>
  <w:num w:numId="14">
    <w:abstractNumId w:val="8"/>
  </w:num>
  <w:num w:numId="15">
    <w:abstractNumId w:val="2"/>
  </w:num>
  <w:num w:numId="16">
    <w:abstractNumId w:val="24"/>
  </w:num>
  <w:num w:numId="17">
    <w:abstractNumId w:val="12"/>
  </w:num>
  <w:num w:numId="18">
    <w:abstractNumId w:val="17"/>
  </w:num>
  <w:num w:numId="19">
    <w:abstractNumId w:val="1"/>
  </w:num>
  <w:num w:numId="20">
    <w:abstractNumId w:val="4"/>
  </w:num>
  <w:num w:numId="21">
    <w:abstractNumId w:val="21"/>
  </w:num>
  <w:num w:numId="22">
    <w:abstractNumId w:val="18"/>
  </w:num>
  <w:num w:numId="23">
    <w:abstractNumId w:val="26"/>
  </w:num>
  <w:num w:numId="24">
    <w:abstractNumId w:val="15"/>
  </w:num>
  <w:num w:numId="25">
    <w:abstractNumId w:val="0"/>
  </w:num>
  <w:num w:numId="26">
    <w:abstractNumId w:val="16"/>
  </w:num>
  <w:num w:numId="27">
    <w:abstractNumId w:val="1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283"/>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4A5FEA"/>
    <w:rsid w:val="000027FA"/>
    <w:rsid w:val="000162AA"/>
    <w:rsid w:val="000314C8"/>
    <w:rsid w:val="00037D0E"/>
    <w:rsid w:val="00054B22"/>
    <w:rsid w:val="000723CA"/>
    <w:rsid w:val="00075EBB"/>
    <w:rsid w:val="000763FB"/>
    <w:rsid w:val="00111EE6"/>
    <w:rsid w:val="001151B6"/>
    <w:rsid w:val="00120EC1"/>
    <w:rsid w:val="00141185"/>
    <w:rsid w:val="0014607F"/>
    <w:rsid w:val="001612AF"/>
    <w:rsid w:val="001733DF"/>
    <w:rsid w:val="00180012"/>
    <w:rsid w:val="001B58B3"/>
    <w:rsid w:val="001C420F"/>
    <w:rsid w:val="001C798C"/>
    <w:rsid w:val="001D25F6"/>
    <w:rsid w:val="001E296A"/>
    <w:rsid w:val="0022723D"/>
    <w:rsid w:val="0023426D"/>
    <w:rsid w:val="002462E3"/>
    <w:rsid w:val="002700CD"/>
    <w:rsid w:val="002B1D22"/>
    <w:rsid w:val="002C67DE"/>
    <w:rsid w:val="002D521A"/>
    <w:rsid w:val="002E6926"/>
    <w:rsid w:val="003203A5"/>
    <w:rsid w:val="00374BF9"/>
    <w:rsid w:val="00375389"/>
    <w:rsid w:val="00380AF6"/>
    <w:rsid w:val="00390603"/>
    <w:rsid w:val="00390608"/>
    <w:rsid w:val="003A2E18"/>
    <w:rsid w:val="003B5F50"/>
    <w:rsid w:val="003C1290"/>
    <w:rsid w:val="00407DAF"/>
    <w:rsid w:val="00411A4E"/>
    <w:rsid w:val="00421C67"/>
    <w:rsid w:val="004465C2"/>
    <w:rsid w:val="004555EF"/>
    <w:rsid w:val="00456491"/>
    <w:rsid w:val="00482D6D"/>
    <w:rsid w:val="00490FAA"/>
    <w:rsid w:val="00493841"/>
    <w:rsid w:val="00494C45"/>
    <w:rsid w:val="00497EC7"/>
    <w:rsid w:val="004A3B38"/>
    <w:rsid w:val="004A5FEA"/>
    <w:rsid w:val="004A65C6"/>
    <w:rsid w:val="004F68BD"/>
    <w:rsid w:val="004F75CB"/>
    <w:rsid w:val="00511AE3"/>
    <w:rsid w:val="005245A4"/>
    <w:rsid w:val="00566ACC"/>
    <w:rsid w:val="00571357"/>
    <w:rsid w:val="0057336D"/>
    <w:rsid w:val="00596939"/>
    <w:rsid w:val="00596E1D"/>
    <w:rsid w:val="005C39F1"/>
    <w:rsid w:val="00625D6E"/>
    <w:rsid w:val="00640B3C"/>
    <w:rsid w:val="006453FF"/>
    <w:rsid w:val="0065039E"/>
    <w:rsid w:val="00664499"/>
    <w:rsid w:val="00681B2A"/>
    <w:rsid w:val="00687FC9"/>
    <w:rsid w:val="006A343C"/>
    <w:rsid w:val="006C18F2"/>
    <w:rsid w:val="006C4265"/>
    <w:rsid w:val="006D3911"/>
    <w:rsid w:val="006F4545"/>
    <w:rsid w:val="00714356"/>
    <w:rsid w:val="00737526"/>
    <w:rsid w:val="00744FAC"/>
    <w:rsid w:val="00756FC2"/>
    <w:rsid w:val="00767EE5"/>
    <w:rsid w:val="00782CEA"/>
    <w:rsid w:val="00783474"/>
    <w:rsid w:val="00783744"/>
    <w:rsid w:val="007B1956"/>
    <w:rsid w:val="007B2D9A"/>
    <w:rsid w:val="007B462D"/>
    <w:rsid w:val="007B7DCA"/>
    <w:rsid w:val="007E1C19"/>
    <w:rsid w:val="007F3519"/>
    <w:rsid w:val="00836436"/>
    <w:rsid w:val="00845B35"/>
    <w:rsid w:val="00850333"/>
    <w:rsid w:val="00853ED6"/>
    <w:rsid w:val="008A19B8"/>
    <w:rsid w:val="008B577A"/>
    <w:rsid w:val="008E560A"/>
    <w:rsid w:val="00900DB5"/>
    <w:rsid w:val="0090704B"/>
    <w:rsid w:val="00910471"/>
    <w:rsid w:val="0091469E"/>
    <w:rsid w:val="00930886"/>
    <w:rsid w:val="009362DA"/>
    <w:rsid w:val="00944913"/>
    <w:rsid w:val="00984DC6"/>
    <w:rsid w:val="009A2E88"/>
    <w:rsid w:val="009B00A7"/>
    <w:rsid w:val="009F6058"/>
    <w:rsid w:val="00A01E3A"/>
    <w:rsid w:val="00A228B3"/>
    <w:rsid w:val="00A30F38"/>
    <w:rsid w:val="00AB4C81"/>
    <w:rsid w:val="00AF156E"/>
    <w:rsid w:val="00AF32A0"/>
    <w:rsid w:val="00B03A6C"/>
    <w:rsid w:val="00B3113B"/>
    <w:rsid w:val="00B331AD"/>
    <w:rsid w:val="00B46CC4"/>
    <w:rsid w:val="00B52A94"/>
    <w:rsid w:val="00B65669"/>
    <w:rsid w:val="00B70CEB"/>
    <w:rsid w:val="00BB2ACE"/>
    <w:rsid w:val="00BD1756"/>
    <w:rsid w:val="00BD2278"/>
    <w:rsid w:val="00BD66D7"/>
    <w:rsid w:val="00BE7AD1"/>
    <w:rsid w:val="00C1582A"/>
    <w:rsid w:val="00C316CE"/>
    <w:rsid w:val="00C46129"/>
    <w:rsid w:val="00C53D02"/>
    <w:rsid w:val="00C83E76"/>
    <w:rsid w:val="00C9509C"/>
    <w:rsid w:val="00CA5EC1"/>
    <w:rsid w:val="00CE7F46"/>
    <w:rsid w:val="00D4046E"/>
    <w:rsid w:val="00D43C5D"/>
    <w:rsid w:val="00D61B45"/>
    <w:rsid w:val="00D805D1"/>
    <w:rsid w:val="00DB5A18"/>
    <w:rsid w:val="00DC1669"/>
    <w:rsid w:val="00DC7D02"/>
    <w:rsid w:val="00DD3FBF"/>
    <w:rsid w:val="00E03B2D"/>
    <w:rsid w:val="00E23182"/>
    <w:rsid w:val="00E33183"/>
    <w:rsid w:val="00E446A2"/>
    <w:rsid w:val="00E517DA"/>
    <w:rsid w:val="00E82143"/>
    <w:rsid w:val="00E82A8C"/>
    <w:rsid w:val="00EA05B3"/>
    <w:rsid w:val="00EA49B4"/>
    <w:rsid w:val="00EB2893"/>
    <w:rsid w:val="00EB5CB9"/>
    <w:rsid w:val="00ED6766"/>
    <w:rsid w:val="00F16908"/>
    <w:rsid w:val="00F2052D"/>
    <w:rsid w:val="00F32525"/>
    <w:rsid w:val="00F71C85"/>
    <w:rsid w:val="00F81A13"/>
    <w:rsid w:val="00F92F90"/>
    <w:rsid w:val="00FE4032"/>
  </w:rsids>
  <m:mathPr>
    <m:mathFont m:val="Cambria Math"/>
    <m:brkBin m:val="before"/>
    <m:brkBinSub m:val="--"/>
    <m:smallFrac m:val="off"/>
    <m:dispDef/>
    <m:lMargin m:val="0"/>
    <m:rMargin m:val="0"/>
    <m:defJc m:val="centerGroup"/>
    <m:wrapIndent m:val="1440"/>
    <m:intLim m:val="subSup"/>
    <m:naryLim m:val="undOvr"/>
  </m:mathPr>
  <w:uiCompat97To2003/>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Calibri" w:hAnsi="Times New Roman" w:cs="Times New Roman"/>
        <w:sz w:val="22"/>
        <w:szCs w:val="22"/>
        <w:lang w:val="it-IT" w:eastAsia="it-IT"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Plain Text"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Normal">
    <w:name w:val="Normal"/>
    <w:qFormat/>
    <w:rsid w:val="004A5FEA"/>
    <w:pPr>
      <w:spacing w:line="360" w:lineRule="auto"/>
      <w:jc w:val="both"/>
    </w:pPr>
    <w:rPr>
      <w:sz w:val="24"/>
      <w:szCs w:val="24"/>
      <w:lang w:eastAsia="en-US"/>
    </w:rPr>
  </w:style>
  <w:style w:type="paragraph" w:styleId="Heading1">
    <w:name w:val="heading 1"/>
    <w:basedOn w:val="Normal"/>
    <w:next w:val="Normal"/>
    <w:link w:val="Heading1Char"/>
    <w:uiPriority w:val="99"/>
    <w:qFormat/>
    <w:rsid w:val="00C9509C"/>
    <w:pPr>
      <w:keepNext/>
      <w:keepLines/>
      <w:spacing w:before="480"/>
      <w:outlineLvl w:val="0"/>
    </w:pPr>
    <w:rPr>
      <w:rFonts w:ascii="Cambria" w:eastAsia="Times New Roman" w:hAnsi="Cambria"/>
      <w:b/>
      <w:bCs/>
      <w:color w:val="365F91"/>
      <w:sz w:val="28"/>
      <w:szCs w:val="28"/>
    </w:rPr>
  </w:style>
  <w:style w:type="paragraph" w:styleId="Heading3">
    <w:name w:val="heading 3"/>
    <w:basedOn w:val="Normal"/>
    <w:link w:val="Heading3Char"/>
    <w:uiPriority w:val="99"/>
    <w:qFormat/>
    <w:rsid w:val="004A5FEA"/>
    <w:pPr>
      <w:spacing w:before="100" w:beforeAutospacing="1" w:after="100" w:afterAutospacing="1" w:line="240" w:lineRule="auto"/>
      <w:outlineLvl w:val="2"/>
    </w:pPr>
    <w:rPr>
      <w:rFonts w:eastAsia="Times New Roman"/>
      <w:b/>
      <w:bCs/>
      <w:sz w:val="27"/>
      <w:szCs w:val="27"/>
      <w:lang w:eastAsia="it-IT"/>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C9509C"/>
    <w:rPr>
      <w:rFonts w:ascii="Cambria" w:hAnsi="Cambria" w:cs="Times New Roman"/>
      <w:b/>
      <w:bCs/>
      <w:color w:val="365F91"/>
      <w:sz w:val="28"/>
      <w:szCs w:val="28"/>
    </w:rPr>
  </w:style>
  <w:style w:type="character" w:customStyle="1" w:styleId="Heading3Char">
    <w:name w:val="Heading 3 Char"/>
    <w:basedOn w:val="DefaultParagraphFont"/>
    <w:link w:val="Heading3"/>
    <w:uiPriority w:val="99"/>
    <w:locked/>
    <w:rsid w:val="004A5FEA"/>
    <w:rPr>
      <w:rFonts w:eastAsia="Times New Roman" w:cs="Times New Roman"/>
      <w:b/>
      <w:bCs/>
      <w:sz w:val="27"/>
      <w:szCs w:val="27"/>
      <w:lang w:eastAsia="it-IT"/>
    </w:rPr>
  </w:style>
  <w:style w:type="paragraph" w:styleId="FootnoteText">
    <w:name w:val="footnote text"/>
    <w:basedOn w:val="Normal"/>
    <w:link w:val="FootnoteTextChar"/>
    <w:uiPriority w:val="99"/>
    <w:rsid w:val="004A5FEA"/>
    <w:pPr>
      <w:spacing w:line="240" w:lineRule="auto"/>
    </w:pPr>
    <w:rPr>
      <w:sz w:val="20"/>
      <w:szCs w:val="20"/>
    </w:rPr>
  </w:style>
  <w:style w:type="character" w:customStyle="1" w:styleId="FootnoteTextChar">
    <w:name w:val="Footnote Text Char"/>
    <w:basedOn w:val="DefaultParagraphFont"/>
    <w:link w:val="FootnoteText"/>
    <w:uiPriority w:val="99"/>
    <w:locked/>
    <w:rsid w:val="004A5FEA"/>
    <w:rPr>
      <w:rFonts w:cs="Times New Roman"/>
      <w:sz w:val="20"/>
      <w:szCs w:val="20"/>
    </w:rPr>
  </w:style>
  <w:style w:type="character" w:styleId="FootnoteReference">
    <w:name w:val="footnote reference"/>
    <w:basedOn w:val="DefaultParagraphFont"/>
    <w:uiPriority w:val="99"/>
    <w:semiHidden/>
    <w:rsid w:val="004A5FEA"/>
    <w:rPr>
      <w:rFonts w:cs="Times New Roman"/>
      <w:vertAlign w:val="superscript"/>
    </w:rPr>
  </w:style>
  <w:style w:type="paragraph" w:styleId="Header">
    <w:name w:val="header"/>
    <w:basedOn w:val="Normal"/>
    <w:link w:val="HeaderChar"/>
    <w:uiPriority w:val="99"/>
    <w:semiHidden/>
    <w:rsid w:val="004A5FEA"/>
    <w:pPr>
      <w:tabs>
        <w:tab w:val="center" w:pos="4819"/>
        <w:tab w:val="right" w:pos="9638"/>
      </w:tabs>
      <w:spacing w:line="240" w:lineRule="auto"/>
    </w:pPr>
  </w:style>
  <w:style w:type="character" w:customStyle="1" w:styleId="HeaderChar">
    <w:name w:val="Header Char"/>
    <w:basedOn w:val="DefaultParagraphFont"/>
    <w:link w:val="Header"/>
    <w:uiPriority w:val="99"/>
    <w:semiHidden/>
    <w:locked/>
    <w:rsid w:val="004A5FEA"/>
    <w:rPr>
      <w:rFonts w:cs="Times New Roman"/>
    </w:rPr>
  </w:style>
  <w:style w:type="paragraph" w:styleId="Footer">
    <w:name w:val="footer"/>
    <w:basedOn w:val="Normal"/>
    <w:link w:val="FooterChar"/>
    <w:uiPriority w:val="99"/>
    <w:rsid w:val="004A5FEA"/>
    <w:pPr>
      <w:tabs>
        <w:tab w:val="center" w:pos="4819"/>
        <w:tab w:val="right" w:pos="9638"/>
      </w:tabs>
      <w:spacing w:line="240" w:lineRule="auto"/>
    </w:pPr>
  </w:style>
  <w:style w:type="character" w:customStyle="1" w:styleId="FooterChar">
    <w:name w:val="Footer Char"/>
    <w:basedOn w:val="DefaultParagraphFont"/>
    <w:link w:val="Footer"/>
    <w:uiPriority w:val="99"/>
    <w:locked/>
    <w:rsid w:val="004A5FEA"/>
    <w:rPr>
      <w:rFonts w:cs="Times New Roman"/>
    </w:rPr>
  </w:style>
  <w:style w:type="paragraph" w:styleId="ListParagraph">
    <w:name w:val="List Paragraph"/>
    <w:basedOn w:val="Normal"/>
    <w:link w:val="ListParagraphChar"/>
    <w:uiPriority w:val="99"/>
    <w:qFormat/>
    <w:rsid w:val="004A5FEA"/>
    <w:pPr>
      <w:ind w:left="720"/>
      <w:contextualSpacing/>
    </w:pPr>
  </w:style>
  <w:style w:type="paragraph" w:styleId="PlainText">
    <w:name w:val="Plain Text"/>
    <w:basedOn w:val="Normal"/>
    <w:link w:val="PlainTextChar"/>
    <w:uiPriority w:val="99"/>
    <w:rsid w:val="004A5FEA"/>
    <w:pPr>
      <w:spacing w:line="240" w:lineRule="auto"/>
      <w:jc w:val="left"/>
    </w:pPr>
    <w:rPr>
      <w:rFonts w:ascii="Courier New" w:eastAsia="Times New Roman" w:hAnsi="Courier New"/>
      <w:sz w:val="20"/>
      <w:szCs w:val="20"/>
      <w:lang w:eastAsia="it-IT"/>
    </w:rPr>
  </w:style>
  <w:style w:type="character" w:customStyle="1" w:styleId="PlainTextChar">
    <w:name w:val="Plain Text Char"/>
    <w:basedOn w:val="DefaultParagraphFont"/>
    <w:link w:val="PlainText"/>
    <w:uiPriority w:val="99"/>
    <w:locked/>
    <w:rsid w:val="004A5FEA"/>
    <w:rPr>
      <w:rFonts w:ascii="Courier New" w:hAnsi="Courier New" w:cs="Times New Roman"/>
      <w:sz w:val="20"/>
      <w:szCs w:val="20"/>
      <w:lang w:eastAsia="it-IT"/>
    </w:rPr>
  </w:style>
  <w:style w:type="paragraph" w:styleId="HTMLPreformatted">
    <w:name w:val="HTML Preformatted"/>
    <w:basedOn w:val="Normal"/>
    <w:link w:val="HTMLPreformattedChar"/>
    <w:uiPriority w:val="99"/>
    <w:rsid w:val="004A5FE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eastAsia="Times New Roman" w:hAnsi="Courier New" w:cs="Courier New"/>
      <w:sz w:val="20"/>
      <w:szCs w:val="20"/>
      <w:lang w:eastAsia="it-IT"/>
    </w:rPr>
  </w:style>
  <w:style w:type="character" w:customStyle="1" w:styleId="HTMLPreformattedChar">
    <w:name w:val="HTML Preformatted Char"/>
    <w:basedOn w:val="DefaultParagraphFont"/>
    <w:link w:val="HTMLPreformatted"/>
    <w:uiPriority w:val="99"/>
    <w:locked/>
    <w:rsid w:val="004A5FEA"/>
    <w:rPr>
      <w:rFonts w:ascii="Courier New" w:hAnsi="Courier New" w:cs="Courier New"/>
      <w:sz w:val="20"/>
      <w:szCs w:val="20"/>
      <w:lang w:eastAsia="it-IT"/>
    </w:rPr>
  </w:style>
  <w:style w:type="character" w:styleId="Strong">
    <w:name w:val="Strong"/>
    <w:basedOn w:val="DefaultParagraphFont"/>
    <w:uiPriority w:val="99"/>
    <w:qFormat/>
    <w:rsid w:val="004A5FEA"/>
    <w:rPr>
      <w:rFonts w:cs="Times New Roman"/>
      <w:b/>
      <w:bCs/>
    </w:rPr>
  </w:style>
  <w:style w:type="paragraph" w:styleId="NormalWeb">
    <w:name w:val="Normal (Web)"/>
    <w:basedOn w:val="Normal"/>
    <w:uiPriority w:val="99"/>
    <w:rsid w:val="004A5FEA"/>
    <w:pPr>
      <w:spacing w:before="100" w:beforeAutospacing="1" w:after="100" w:afterAutospacing="1" w:line="240" w:lineRule="auto"/>
    </w:pPr>
    <w:rPr>
      <w:rFonts w:eastAsia="Times New Roman"/>
      <w:lang w:eastAsia="it-IT"/>
    </w:rPr>
  </w:style>
  <w:style w:type="paragraph" w:styleId="EndnoteText">
    <w:name w:val="endnote text"/>
    <w:basedOn w:val="Normal"/>
    <w:link w:val="EndnoteTextChar"/>
    <w:uiPriority w:val="99"/>
    <w:semiHidden/>
    <w:rsid w:val="004A5FEA"/>
    <w:pPr>
      <w:spacing w:line="240" w:lineRule="auto"/>
    </w:pPr>
    <w:rPr>
      <w:sz w:val="20"/>
      <w:szCs w:val="20"/>
    </w:rPr>
  </w:style>
  <w:style w:type="character" w:customStyle="1" w:styleId="EndnoteTextChar">
    <w:name w:val="Endnote Text Char"/>
    <w:basedOn w:val="DefaultParagraphFont"/>
    <w:link w:val="EndnoteText"/>
    <w:uiPriority w:val="99"/>
    <w:semiHidden/>
    <w:locked/>
    <w:rsid w:val="004A5FEA"/>
    <w:rPr>
      <w:rFonts w:cs="Times New Roman"/>
      <w:sz w:val="20"/>
      <w:szCs w:val="20"/>
    </w:rPr>
  </w:style>
  <w:style w:type="character" w:styleId="EndnoteReference">
    <w:name w:val="endnote reference"/>
    <w:basedOn w:val="DefaultParagraphFont"/>
    <w:uiPriority w:val="99"/>
    <w:semiHidden/>
    <w:rsid w:val="004A5FEA"/>
    <w:rPr>
      <w:rFonts w:cs="Times New Roman"/>
      <w:vertAlign w:val="superscript"/>
    </w:rPr>
  </w:style>
  <w:style w:type="paragraph" w:styleId="BalloonText">
    <w:name w:val="Balloon Text"/>
    <w:basedOn w:val="Normal"/>
    <w:link w:val="BalloonTextChar"/>
    <w:uiPriority w:val="99"/>
    <w:semiHidden/>
    <w:rsid w:val="004A5FEA"/>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4A5FEA"/>
    <w:rPr>
      <w:rFonts w:ascii="Tahoma" w:hAnsi="Tahoma" w:cs="Tahoma"/>
      <w:sz w:val="16"/>
      <w:szCs w:val="16"/>
    </w:rPr>
  </w:style>
  <w:style w:type="paragraph" w:styleId="TOCHeading">
    <w:name w:val="TOC Heading"/>
    <w:basedOn w:val="Heading1"/>
    <w:next w:val="Normal"/>
    <w:uiPriority w:val="99"/>
    <w:qFormat/>
    <w:rsid w:val="00C9509C"/>
    <w:pPr>
      <w:spacing w:line="276" w:lineRule="auto"/>
      <w:jc w:val="left"/>
      <w:outlineLvl w:val="9"/>
    </w:pPr>
  </w:style>
  <w:style w:type="paragraph" w:customStyle="1" w:styleId="Titolocapitolo">
    <w:name w:val="Titolo capitolo"/>
    <w:basedOn w:val="ListParagraph"/>
    <w:link w:val="TitolocapitoloCarattere"/>
    <w:uiPriority w:val="99"/>
    <w:rsid w:val="00A01E3A"/>
    <w:pPr>
      <w:tabs>
        <w:tab w:val="left" w:pos="142"/>
        <w:tab w:val="left" w:pos="709"/>
      </w:tabs>
      <w:ind w:left="0" w:firstLine="284"/>
      <w:jc w:val="center"/>
      <w:outlineLvl w:val="0"/>
    </w:pPr>
    <w:rPr>
      <w:b/>
      <w:sz w:val="28"/>
      <w:szCs w:val="28"/>
    </w:rPr>
  </w:style>
  <w:style w:type="paragraph" w:styleId="TOC1">
    <w:name w:val="toc 1"/>
    <w:basedOn w:val="Normal"/>
    <w:next w:val="Normal"/>
    <w:autoRedefine/>
    <w:uiPriority w:val="99"/>
    <w:rsid w:val="00A01E3A"/>
    <w:pPr>
      <w:spacing w:after="100"/>
    </w:pPr>
  </w:style>
  <w:style w:type="character" w:customStyle="1" w:styleId="ListParagraphChar">
    <w:name w:val="List Paragraph Char"/>
    <w:basedOn w:val="DefaultParagraphFont"/>
    <w:link w:val="ListParagraph"/>
    <w:uiPriority w:val="99"/>
    <w:locked/>
    <w:rsid w:val="00A01E3A"/>
    <w:rPr>
      <w:rFonts w:cs="Times New Roman"/>
    </w:rPr>
  </w:style>
  <w:style w:type="character" w:customStyle="1" w:styleId="TitolocapitoloCarattere">
    <w:name w:val="Titolo capitolo Carattere"/>
    <w:basedOn w:val="ListParagraphChar"/>
    <w:link w:val="Titolocapitolo"/>
    <w:uiPriority w:val="99"/>
    <w:locked/>
    <w:rsid w:val="00A01E3A"/>
    <w:rPr>
      <w:b/>
      <w:sz w:val="28"/>
      <w:szCs w:val="28"/>
    </w:rPr>
  </w:style>
  <w:style w:type="character" w:styleId="Hyperlink">
    <w:name w:val="Hyperlink"/>
    <w:basedOn w:val="DefaultParagraphFont"/>
    <w:uiPriority w:val="99"/>
    <w:rsid w:val="00A01E3A"/>
    <w:rPr>
      <w:rFonts w:cs="Times New Roman"/>
      <w:color w:val="0000FF"/>
      <w:u w:val="single"/>
    </w:rPr>
  </w:style>
  <w:style w:type="paragraph" w:customStyle="1" w:styleId="Titoloparagrafo">
    <w:name w:val="Titolo paragrafo"/>
    <w:basedOn w:val="ListParagraph"/>
    <w:link w:val="TitoloparagrafoCarattere"/>
    <w:uiPriority w:val="99"/>
    <w:rsid w:val="00A01E3A"/>
    <w:pPr>
      <w:numPr>
        <w:ilvl w:val="1"/>
        <w:numId w:val="8"/>
      </w:numPr>
      <w:ind w:left="0" w:firstLine="284"/>
    </w:pPr>
    <w:rPr>
      <w:sz w:val="28"/>
      <w:szCs w:val="28"/>
    </w:rPr>
  </w:style>
  <w:style w:type="paragraph" w:styleId="TOC2">
    <w:name w:val="toc 2"/>
    <w:basedOn w:val="Normal"/>
    <w:next w:val="Normal"/>
    <w:autoRedefine/>
    <w:uiPriority w:val="99"/>
    <w:rsid w:val="00A01E3A"/>
    <w:pPr>
      <w:spacing w:after="100"/>
      <w:ind w:left="240"/>
    </w:pPr>
  </w:style>
  <w:style w:type="character" w:customStyle="1" w:styleId="TitoloparagrafoCarattere">
    <w:name w:val="Titolo paragrafo Carattere"/>
    <w:basedOn w:val="ListParagraphChar"/>
    <w:link w:val="Titoloparagrafo"/>
    <w:uiPriority w:val="99"/>
    <w:locked/>
    <w:rsid w:val="00A01E3A"/>
    <w:rPr>
      <w:sz w:val="28"/>
      <w:szCs w:val="2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135</TotalTime>
  <Pages>121</Pages>
  <Words>25697</Words>
  <Characters>-32766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Angela</cp:lastModifiedBy>
  <cp:revision>31</cp:revision>
  <cp:lastPrinted>2011-02-12T10:47:00Z</cp:lastPrinted>
  <dcterms:created xsi:type="dcterms:W3CDTF">2011-02-11T21:57:00Z</dcterms:created>
  <dcterms:modified xsi:type="dcterms:W3CDTF">2011-02-12T10:47:00Z</dcterms:modified>
</cp:coreProperties>
</file>