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CBBF29" w14:textId="3C5ECB40" w:rsidR="00AD4399" w:rsidRPr="001131A9" w:rsidRDefault="00F96874" w:rsidP="001C5B83">
      <w:pPr>
        <w:tabs>
          <w:tab w:val="left" w:pos="284"/>
        </w:tabs>
        <w:jc w:val="right"/>
        <w:rPr>
          <w:rFonts w:ascii="Arial" w:hAnsi="Arial" w:cs="Arial"/>
          <w:b/>
          <w:bCs/>
          <w:sz w:val="24"/>
          <w:szCs w:val="24"/>
        </w:rPr>
      </w:pPr>
      <w:r w:rsidRPr="00F96874">
        <w:rPr>
          <w:noProof/>
          <w:lang w:eastAsia="it-IT"/>
        </w:rPr>
        <w:drawing>
          <wp:inline distT="0" distB="0" distL="0" distR="0" wp14:anchorId="79A8E58C" wp14:editId="1FE43966">
            <wp:extent cx="6120130" cy="5803265"/>
            <wp:effectExtent l="0" t="0" r="0" b="0"/>
            <wp:docPr id="62472537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130" cy="5803265"/>
                    </a:xfrm>
                    <a:prstGeom prst="rect">
                      <a:avLst/>
                    </a:prstGeom>
                    <a:noFill/>
                    <a:ln>
                      <a:noFill/>
                    </a:ln>
                  </pic:spPr>
                </pic:pic>
              </a:graphicData>
            </a:graphic>
          </wp:inline>
        </w:drawing>
      </w:r>
    </w:p>
    <w:p w14:paraId="0173E09F" w14:textId="0633DC63" w:rsidR="009F7A50" w:rsidRPr="00E639C3" w:rsidRDefault="005B64C1" w:rsidP="00E10D55">
      <w:pPr>
        <w:jc w:val="center"/>
        <w:rPr>
          <w:rFonts w:ascii="Arial" w:hAnsi="Arial" w:cs="Arial"/>
          <w:b/>
          <w:bCs/>
          <w:sz w:val="24"/>
          <w:szCs w:val="24"/>
        </w:rPr>
      </w:pPr>
      <w:r w:rsidRPr="00E639C3">
        <w:rPr>
          <w:rFonts w:ascii="Arial" w:hAnsi="Arial" w:cs="Arial"/>
          <w:b/>
          <w:bCs/>
          <w:sz w:val="24"/>
          <w:szCs w:val="24"/>
        </w:rPr>
        <w:t>SSD SECSECS-P/09 – FINANZA AZIENDALE</w:t>
      </w:r>
    </w:p>
    <w:p w14:paraId="5208295E" w14:textId="77777777" w:rsidR="00B62DD5" w:rsidRDefault="00B62DD5" w:rsidP="00E10D55">
      <w:pPr>
        <w:jc w:val="center"/>
        <w:rPr>
          <w:rFonts w:ascii="Arial" w:hAnsi="Arial" w:cs="Arial"/>
          <w:b/>
          <w:bCs/>
        </w:rPr>
      </w:pPr>
    </w:p>
    <w:p w14:paraId="31D3EB84" w14:textId="2B915C1C" w:rsidR="001131A9" w:rsidRPr="00E639C3" w:rsidRDefault="00900E37" w:rsidP="00E10D55">
      <w:pPr>
        <w:jc w:val="center"/>
        <w:rPr>
          <w:rFonts w:ascii="Arial" w:hAnsi="Arial" w:cs="Arial"/>
          <w:b/>
          <w:bCs/>
          <w:sz w:val="28"/>
          <w:szCs w:val="24"/>
        </w:rPr>
      </w:pPr>
      <w:r w:rsidRPr="00E639C3">
        <w:rPr>
          <w:rFonts w:ascii="Arial" w:hAnsi="Arial" w:cs="Arial"/>
          <w:b/>
          <w:bCs/>
          <w:sz w:val="28"/>
          <w:szCs w:val="24"/>
        </w:rPr>
        <w:t>IL</w:t>
      </w:r>
      <w:r w:rsidR="007A77A8" w:rsidRPr="00E639C3">
        <w:rPr>
          <w:rFonts w:ascii="Arial" w:hAnsi="Arial" w:cs="Arial"/>
          <w:b/>
          <w:bCs/>
          <w:sz w:val="28"/>
          <w:szCs w:val="24"/>
        </w:rPr>
        <w:t xml:space="preserve"> MICROCREDITO</w:t>
      </w:r>
      <w:r w:rsidR="000453BA" w:rsidRPr="00E639C3">
        <w:rPr>
          <w:rFonts w:ascii="Arial" w:hAnsi="Arial" w:cs="Arial"/>
          <w:b/>
          <w:bCs/>
          <w:sz w:val="28"/>
          <w:szCs w:val="24"/>
        </w:rPr>
        <w:t xml:space="preserve"> </w:t>
      </w:r>
      <w:r w:rsidRPr="00E639C3">
        <w:rPr>
          <w:rFonts w:ascii="Arial" w:hAnsi="Arial" w:cs="Arial"/>
          <w:b/>
          <w:bCs/>
          <w:sz w:val="28"/>
          <w:szCs w:val="24"/>
        </w:rPr>
        <w:t xml:space="preserve">QUALE </w:t>
      </w:r>
      <w:r w:rsidR="000453BA" w:rsidRPr="00E639C3">
        <w:rPr>
          <w:rFonts w:ascii="Arial" w:hAnsi="Arial" w:cs="Arial"/>
          <w:b/>
          <w:bCs/>
          <w:sz w:val="28"/>
          <w:szCs w:val="24"/>
        </w:rPr>
        <w:t xml:space="preserve">FONTE </w:t>
      </w:r>
      <w:r w:rsidR="006C0E90">
        <w:rPr>
          <w:rFonts w:ascii="Arial" w:hAnsi="Arial" w:cs="Arial"/>
          <w:b/>
          <w:bCs/>
          <w:sz w:val="28"/>
          <w:szCs w:val="24"/>
        </w:rPr>
        <w:t>DI IN</w:t>
      </w:r>
      <w:r w:rsidR="007A77A8" w:rsidRPr="00E639C3">
        <w:rPr>
          <w:rFonts w:ascii="Arial" w:hAnsi="Arial" w:cs="Arial"/>
          <w:b/>
          <w:bCs/>
          <w:sz w:val="28"/>
          <w:szCs w:val="24"/>
        </w:rPr>
        <w:t>VESTIMENTO</w:t>
      </w:r>
    </w:p>
    <w:p w14:paraId="32C92BB8" w14:textId="77777777" w:rsidR="001131A9" w:rsidRPr="00E639C3" w:rsidRDefault="001131A9" w:rsidP="00E10D55">
      <w:pPr>
        <w:jc w:val="center"/>
        <w:rPr>
          <w:rFonts w:ascii="Arial" w:hAnsi="Arial" w:cs="Arial"/>
          <w:b/>
          <w:bCs/>
          <w:szCs w:val="20"/>
        </w:rPr>
      </w:pPr>
    </w:p>
    <w:p w14:paraId="5C2D4D53" w14:textId="77777777" w:rsidR="00623C59" w:rsidRPr="00E639C3" w:rsidRDefault="00623C59" w:rsidP="00E10D55">
      <w:pPr>
        <w:jc w:val="center"/>
        <w:rPr>
          <w:rFonts w:ascii="Arial" w:hAnsi="Arial" w:cs="Arial"/>
          <w:b/>
          <w:bCs/>
          <w:szCs w:val="20"/>
        </w:rPr>
      </w:pPr>
    </w:p>
    <w:p w14:paraId="7CE18DE7" w14:textId="3FFC49B7" w:rsidR="00AD4399" w:rsidRPr="00E639C3" w:rsidRDefault="00E10D55" w:rsidP="001131A9">
      <w:pPr>
        <w:rPr>
          <w:rFonts w:ascii="Arial" w:hAnsi="Arial" w:cs="Arial"/>
          <w:b/>
          <w:bCs/>
          <w:sz w:val="24"/>
          <w:szCs w:val="24"/>
        </w:rPr>
      </w:pPr>
      <w:r w:rsidRPr="00E639C3">
        <w:rPr>
          <w:rFonts w:ascii="Arial" w:hAnsi="Arial" w:cs="Arial"/>
          <w:b/>
          <w:bCs/>
          <w:sz w:val="24"/>
          <w:szCs w:val="24"/>
        </w:rPr>
        <w:t>COORDINATRICE DEL CORSO</w:t>
      </w:r>
    </w:p>
    <w:p w14:paraId="1FD26A8C" w14:textId="2800E7FA" w:rsidR="00E10D55" w:rsidRPr="00E639C3" w:rsidRDefault="00A0654A" w:rsidP="001131A9">
      <w:pPr>
        <w:rPr>
          <w:rFonts w:ascii="Arial" w:hAnsi="Arial" w:cs="Arial"/>
          <w:b/>
          <w:bCs/>
          <w:sz w:val="24"/>
          <w:szCs w:val="24"/>
        </w:rPr>
      </w:pPr>
      <w:r w:rsidRPr="00E639C3">
        <w:rPr>
          <w:rFonts w:ascii="Arial" w:hAnsi="Arial" w:cs="Arial"/>
          <w:b/>
          <w:bCs/>
          <w:sz w:val="24"/>
          <w:szCs w:val="24"/>
        </w:rPr>
        <w:t>CHIAR. MA PROF. SSA ROSSELLA TOMASSONI</w:t>
      </w:r>
    </w:p>
    <w:p w14:paraId="055FA1A4" w14:textId="77777777" w:rsidR="00A0654A" w:rsidRPr="00E639C3" w:rsidRDefault="00A0654A">
      <w:pPr>
        <w:rPr>
          <w:rFonts w:ascii="Arial" w:hAnsi="Arial" w:cs="Arial"/>
          <w:sz w:val="24"/>
          <w:szCs w:val="24"/>
        </w:rPr>
      </w:pPr>
    </w:p>
    <w:p w14:paraId="4232EC57" w14:textId="7A616C89" w:rsidR="00F96874" w:rsidRPr="00E639C3" w:rsidRDefault="00A0654A" w:rsidP="00F96874">
      <w:pPr>
        <w:rPr>
          <w:rFonts w:ascii="Arial" w:hAnsi="Arial" w:cs="Arial"/>
          <w:b/>
          <w:bCs/>
          <w:sz w:val="24"/>
          <w:szCs w:val="24"/>
        </w:rPr>
      </w:pPr>
      <w:r w:rsidRPr="00E639C3">
        <w:rPr>
          <w:rFonts w:ascii="Arial" w:hAnsi="Arial" w:cs="Arial"/>
          <w:b/>
          <w:bCs/>
          <w:sz w:val="24"/>
          <w:szCs w:val="24"/>
        </w:rPr>
        <w:t>SUPERVISORE</w:t>
      </w:r>
      <w:r w:rsidRPr="00E639C3">
        <w:rPr>
          <w:rFonts w:ascii="Arial" w:hAnsi="Arial" w:cs="Arial"/>
          <w:b/>
          <w:bCs/>
          <w:sz w:val="24"/>
          <w:szCs w:val="24"/>
        </w:rPr>
        <w:tab/>
      </w:r>
      <w:r w:rsidR="00F96874" w:rsidRPr="00E639C3">
        <w:rPr>
          <w:rFonts w:ascii="Arial" w:hAnsi="Arial" w:cs="Arial"/>
          <w:b/>
          <w:bCs/>
          <w:sz w:val="24"/>
          <w:szCs w:val="24"/>
        </w:rPr>
        <w:tab/>
      </w:r>
      <w:r w:rsidR="00F96874" w:rsidRPr="00E639C3">
        <w:rPr>
          <w:rFonts w:ascii="Arial" w:hAnsi="Arial" w:cs="Arial"/>
          <w:b/>
          <w:bCs/>
          <w:sz w:val="24"/>
          <w:szCs w:val="24"/>
        </w:rPr>
        <w:tab/>
      </w:r>
      <w:r w:rsidR="00F96874" w:rsidRPr="00E639C3">
        <w:rPr>
          <w:rFonts w:ascii="Arial" w:hAnsi="Arial" w:cs="Arial"/>
          <w:b/>
          <w:bCs/>
          <w:sz w:val="24"/>
          <w:szCs w:val="24"/>
        </w:rPr>
        <w:tab/>
      </w:r>
      <w:r w:rsidR="00F96874" w:rsidRPr="00E639C3">
        <w:rPr>
          <w:rFonts w:ascii="Arial" w:hAnsi="Arial" w:cs="Arial"/>
          <w:b/>
          <w:bCs/>
          <w:sz w:val="24"/>
          <w:szCs w:val="24"/>
        </w:rPr>
        <w:tab/>
      </w:r>
      <w:r w:rsidR="00F96874" w:rsidRPr="00E639C3">
        <w:rPr>
          <w:rFonts w:ascii="Arial" w:hAnsi="Arial" w:cs="Arial"/>
          <w:b/>
          <w:bCs/>
          <w:sz w:val="24"/>
          <w:szCs w:val="24"/>
        </w:rPr>
        <w:tab/>
      </w:r>
      <w:r w:rsidR="00F96874" w:rsidRPr="00E639C3">
        <w:rPr>
          <w:rFonts w:ascii="Arial" w:hAnsi="Arial" w:cs="Arial"/>
          <w:b/>
          <w:bCs/>
          <w:sz w:val="24"/>
          <w:szCs w:val="24"/>
        </w:rPr>
        <w:tab/>
        <w:t>DOTTORANDO</w:t>
      </w:r>
    </w:p>
    <w:p w14:paraId="36A1958E" w14:textId="65BC36BA" w:rsidR="00F96874" w:rsidRPr="00E639C3" w:rsidRDefault="009B4612" w:rsidP="00F96874">
      <w:pPr>
        <w:rPr>
          <w:rFonts w:ascii="Arial" w:hAnsi="Arial" w:cs="Arial"/>
          <w:b/>
          <w:bCs/>
          <w:sz w:val="24"/>
          <w:szCs w:val="24"/>
        </w:rPr>
      </w:pPr>
      <w:r w:rsidRPr="00E639C3">
        <w:rPr>
          <w:rFonts w:ascii="Arial" w:hAnsi="Arial" w:cs="Arial"/>
          <w:b/>
          <w:bCs/>
          <w:sz w:val="24"/>
          <w:szCs w:val="24"/>
        </w:rPr>
        <w:t>CHIAR. MA PROF. SSA ANNA PAOLA MICHELI</w:t>
      </w:r>
      <w:r w:rsidRPr="00E639C3">
        <w:rPr>
          <w:rFonts w:ascii="Arial" w:hAnsi="Arial" w:cs="Arial"/>
          <w:b/>
          <w:bCs/>
          <w:sz w:val="24"/>
          <w:szCs w:val="24"/>
        </w:rPr>
        <w:tab/>
      </w:r>
      <w:r w:rsidR="00F96874" w:rsidRPr="00E639C3">
        <w:rPr>
          <w:rFonts w:ascii="Arial" w:hAnsi="Arial" w:cs="Arial"/>
          <w:b/>
          <w:bCs/>
          <w:sz w:val="24"/>
          <w:szCs w:val="24"/>
        </w:rPr>
        <w:tab/>
        <w:t>DOTT. GIOVANNI GIOVE</w:t>
      </w:r>
    </w:p>
    <w:p w14:paraId="6FF33B28" w14:textId="77777777" w:rsidR="00F96874" w:rsidRPr="00E639C3" w:rsidRDefault="00F96874" w:rsidP="00F96874">
      <w:pPr>
        <w:rPr>
          <w:rFonts w:ascii="Arial" w:hAnsi="Arial" w:cs="Arial"/>
          <w:b/>
          <w:bCs/>
          <w:sz w:val="24"/>
          <w:szCs w:val="24"/>
        </w:rPr>
      </w:pPr>
    </w:p>
    <w:p w14:paraId="6E83EBE9" w14:textId="71155A65" w:rsidR="00E55838" w:rsidRDefault="00E55838" w:rsidP="00E55838">
      <w:pPr>
        <w:jc w:val="center"/>
        <w:rPr>
          <w:rFonts w:ascii="Arial" w:hAnsi="Arial" w:cs="Arial"/>
          <w:b/>
          <w:bCs/>
          <w:sz w:val="24"/>
          <w:szCs w:val="24"/>
        </w:rPr>
      </w:pPr>
      <w:r>
        <w:rPr>
          <w:rFonts w:ascii="Arial" w:hAnsi="Arial" w:cs="Arial"/>
          <w:b/>
          <w:bCs/>
          <w:sz w:val="24"/>
          <w:szCs w:val="24"/>
        </w:rPr>
        <w:lastRenderedPageBreak/>
        <w:t>RINGRAZIAMENTI</w:t>
      </w:r>
    </w:p>
    <w:p w14:paraId="55FE47AC" w14:textId="77777777" w:rsidR="00E55838" w:rsidRDefault="00E55838" w:rsidP="00E55838">
      <w:pPr>
        <w:jc w:val="center"/>
        <w:rPr>
          <w:rFonts w:ascii="Arial" w:hAnsi="Arial" w:cs="Arial"/>
          <w:b/>
          <w:bCs/>
          <w:sz w:val="24"/>
          <w:szCs w:val="24"/>
        </w:rPr>
      </w:pPr>
      <w:r>
        <w:rPr>
          <w:rFonts w:ascii="Arial" w:hAnsi="Arial" w:cs="Arial"/>
          <w:b/>
          <w:bCs/>
          <w:sz w:val="24"/>
          <w:szCs w:val="24"/>
        </w:rPr>
        <w:t>(ACKNOWLEDGEMETS)</w:t>
      </w:r>
    </w:p>
    <w:p w14:paraId="17107F68" w14:textId="77777777" w:rsidR="00E55838" w:rsidRDefault="00E55838" w:rsidP="0005798A">
      <w:pPr>
        <w:spacing w:line="276" w:lineRule="auto"/>
        <w:ind w:left="1560" w:right="1274"/>
        <w:jc w:val="both"/>
        <w:rPr>
          <w:rFonts w:ascii="Arial" w:hAnsi="Arial" w:cs="Arial"/>
          <w:sz w:val="24"/>
          <w:szCs w:val="24"/>
        </w:rPr>
      </w:pPr>
    </w:p>
    <w:p w14:paraId="6EF47E2A" w14:textId="77777777" w:rsidR="00E55838" w:rsidRPr="00400B04" w:rsidRDefault="00E55838" w:rsidP="0005798A">
      <w:pPr>
        <w:spacing w:line="276" w:lineRule="auto"/>
        <w:ind w:left="1560" w:right="1274"/>
        <w:jc w:val="both"/>
        <w:rPr>
          <w:rFonts w:ascii="Arial" w:hAnsi="Arial" w:cs="Arial"/>
          <w:sz w:val="24"/>
          <w:szCs w:val="24"/>
        </w:rPr>
      </w:pPr>
      <w:r w:rsidRPr="00400B04">
        <w:rPr>
          <w:rFonts w:ascii="Arial" w:hAnsi="Arial" w:cs="Arial"/>
          <w:sz w:val="24"/>
          <w:szCs w:val="24"/>
        </w:rPr>
        <w:t xml:space="preserve">Desidero esprimere i miei più sentiti ringraziamenti alla </w:t>
      </w:r>
      <w:r w:rsidRPr="00400B04">
        <w:rPr>
          <w:rFonts w:ascii="Arial" w:hAnsi="Arial" w:cs="Arial"/>
          <w:b/>
          <w:bCs/>
          <w:sz w:val="24"/>
          <w:szCs w:val="24"/>
        </w:rPr>
        <w:t>Professoressa Anna Paola Micheli</w:t>
      </w:r>
      <w:r w:rsidRPr="00400B04">
        <w:rPr>
          <w:rFonts w:ascii="Arial" w:hAnsi="Arial" w:cs="Arial"/>
          <w:sz w:val="24"/>
          <w:szCs w:val="24"/>
        </w:rPr>
        <w:t>, Relatrice della tesi, per la disponibilità, l’attenzione ed il sostegno con cui mi ha accolto</w:t>
      </w:r>
      <w:r>
        <w:rPr>
          <w:rFonts w:ascii="Arial" w:hAnsi="Arial" w:cs="Arial"/>
          <w:sz w:val="24"/>
          <w:szCs w:val="24"/>
        </w:rPr>
        <w:t>,</w:t>
      </w:r>
      <w:r w:rsidRPr="00400B04">
        <w:rPr>
          <w:rFonts w:ascii="Arial" w:hAnsi="Arial" w:cs="Arial"/>
          <w:sz w:val="24"/>
          <w:szCs w:val="24"/>
        </w:rPr>
        <w:t xml:space="preserve"> seguito</w:t>
      </w:r>
      <w:r>
        <w:rPr>
          <w:rFonts w:ascii="Arial" w:hAnsi="Arial" w:cs="Arial"/>
          <w:sz w:val="24"/>
          <w:szCs w:val="24"/>
        </w:rPr>
        <w:t xml:space="preserve"> e indirizzato</w:t>
      </w:r>
      <w:r w:rsidRPr="00400B04">
        <w:rPr>
          <w:rFonts w:ascii="Arial" w:hAnsi="Arial" w:cs="Arial"/>
          <w:sz w:val="24"/>
          <w:szCs w:val="24"/>
        </w:rPr>
        <w:t xml:space="preserve"> durante questo lungo percorso di studi</w:t>
      </w:r>
      <w:r>
        <w:rPr>
          <w:rFonts w:ascii="Arial" w:hAnsi="Arial" w:cs="Arial"/>
          <w:sz w:val="24"/>
          <w:szCs w:val="24"/>
        </w:rPr>
        <w:t xml:space="preserve">, </w:t>
      </w:r>
      <w:r w:rsidRPr="00400B04">
        <w:rPr>
          <w:rFonts w:ascii="Arial" w:hAnsi="Arial" w:cs="Arial"/>
          <w:sz w:val="24"/>
          <w:szCs w:val="24"/>
        </w:rPr>
        <w:t xml:space="preserve">di </w:t>
      </w:r>
      <w:r>
        <w:rPr>
          <w:rFonts w:ascii="Arial" w:hAnsi="Arial" w:cs="Arial"/>
          <w:sz w:val="24"/>
          <w:szCs w:val="24"/>
        </w:rPr>
        <w:t xml:space="preserve">approfondimenti e di </w:t>
      </w:r>
      <w:r w:rsidRPr="00400B04">
        <w:rPr>
          <w:rFonts w:ascii="Arial" w:hAnsi="Arial" w:cs="Arial"/>
          <w:sz w:val="24"/>
          <w:szCs w:val="24"/>
        </w:rPr>
        <w:t>confronto.</w:t>
      </w:r>
    </w:p>
    <w:p w14:paraId="3498F2BE" w14:textId="77777777" w:rsidR="00E55838" w:rsidRDefault="00E55838" w:rsidP="0005798A">
      <w:pPr>
        <w:spacing w:line="276" w:lineRule="auto"/>
        <w:ind w:left="1560" w:right="1274"/>
        <w:jc w:val="both"/>
        <w:rPr>
          <w:rFonts w:ascii="Arial" w:hAnsi="Arial" w:cs="Arial"/>
          <w:sz w:val="24"/>
          <w:szCs w:val="24"/>
        </w:rPr>
      </w:pPr>
      <w:r w:rsidRPr="00400B04">
        <w:rPr>
          <w:rFonts w:ascii="Arial" w:hAnsi="Arial" w:cs="Arial"/>
          <w:sz w:val="24"/>
          <w:szCs w:val="24"/>
        </w:rPr>
        <w:t xml:space="preserve">Rivolgo, altresì, la mia gratitudine al </w:t>
      </w:r>
      <w:r w:rsidRPr="00400B04">
        <w:rPr>
          <w:rFonts w:ascii="Arial" w:hAnsi="Arial" w:cs="Arial"/>
          <w:b/>
          <w:bCs/>
          <w:sz w:val="24"/>
          <w:szCs w:val="24"/>
        </w:rPr>
        <w:t>Prof. Carmelo Intrisano</w:t>
      </w:r>
      <w:r w:rsidRPr="00400B04">
        <w:rPr>
          <w:rFonts w:ascii="Arial" w:hAnsi="Arial" w:cs="Arial"/>
          <w:sz w:val="24"/>
          <w:szCs w:val="24"/>
        </w:rPr>
        <w:t xml:space="preserve">, Full Professor of Corporate Finance, per i preziosi consigli e i suggerimenti con cui mi ha accompagnato </w:t>
      </w:r>
      <w:r>
        <w:rPr>
          <w:rFonts w:ascii="Arial" w:hAnsi="Arial" w:cs="Arial"/>
          <w:sz w:val="24"/>
          <w:szCs w:val="24"/>
        </w:rPr>
        <w:t xml:space="preserve">nel cammino accademico. </w:t>
      </w:r>
    </w:p>
    <w:p w14:paraId="6AA522A3" w14:textId="77777777" w:rsidR="00E55838" w:rsidRDefault="00E55838" w:rsidP="0005798A">
      <w:pPr>
        <w:spacing w:line="276" w:lineRule="auto"/>
        <w:ind w:left="1560" w:right="1274"/>
        <w:jc w:val="both"/>
        <w:rPr>
          <w:rFonts w:ascii="Arial" w:hAnsi="Arial" w:cs="Arial"/>
          <w:sz w:val="24"/>
          <w:szCs w:val="24"/>
        </w:rPr>
      </w:pPr>
      <w:r>
        <w:rPr>
          <w:rFonts w:ascii="Arial" w:hAnsi="Arial" w:cs="Arial"/>
          <w:sz w:val="24"/>
          <w:szCs w:val="24"/>
        </w:rPr>
        <w:t xml:space="preserve">Ringrazio la </w:t>
      </w:r>
      <w:r w:rsidRPr="00113964">
        <w:rPr>
          <w:rFonts w:ascii="Arial" w:hAnsi="Arial" w:cs="Arial"/>
          <w:b/>
          <w:bCs/>
          <w:sz w:val="24"/>
          <w:szCs w:val="24"/>
        </w:rPr>
        <w:t>Professoressa Rosella Tomassoni</w:t>
      </w:r>
      <w:r>
        <w:rPr>
          <w:rFonts w:ascii="Arial" w:hAnsi="Arial" w:cs="Arial"/>
          <w:sz w:val="24"/>
          <w:szCs w:val="24"/>
        </w:rPr>
        <w:t xml:space="preserve"> la disponibilità e per il prezioso impegno di Coordinatrice del Corso svolto, tra l’altro, a vantaggio di tutti Frequentatori.</w:t>
      </w:r>
    </w:p>
    <w:p w14:paraId="5C2EA938" w14:textId="77777777" w:rsidR="00E55838" w:rsidRDefault="00E55838" w:rsidP="0005798A">
      <w:pPr>
        <w:spacing w:line="276" w:lineRule="auto"/>
        <w:ind w:left="1560" w:right="1274"/>
        <w:jc w:val="both"/>
        <w:rPr>
          <w:rFonts w:ascii="Arial" w:hAnsi="Arial" w:cs="Arial"/>
          <w:sz w:val="24"/>
          <w:szCs w:val="24"/>
        </w:rPr>
      </w:pPr>
      <w:r>
        <w:rPr>
          <w:rFonts w:ascii="Arial" w:hAnsi="Arial" w:cs="Arial"/>
          <w:sz w:val="24"/>
          <w:szCs w:val="24"/>
        </w:rPr>
        <w:t>Grazie infinite.</w:t>
      </w:r>
    </w:p>
    <w:p w14:paraId="0630C1DC" w14:textId="77777777" w:rsidR="0005798A" w:rsidRDefault="0005798A" w:rsidP="0005798A">
      <w:pPr>
        <w:spacing w:line="276" w:lineRule="auto"/>
        <w:ind w:left="1560" w:right="1274"/>
        <w:jc w:val="both"/>
        <w:rPr>
          <w:rFonts w:ascii="Arial" w:hAnsi="Arial" w:cs="Arial"/>
          <w:sz w:val="24"/>
          <w:szCs w:val="24"/>
        </w:rPr>
      </w:pPr>
    </w:p>
    <w:p w14:paraId="051EB9AA" w14:textId="77777777" w:rsidR="00E55838" w:rsidRPr="00113964" w:rsidRDefault="00E55838" w:rsidP="0005798A">
      <w:pPr>
        <w:spacing w:line="276" w:lineRule="auto"/>
        <w:ind w:left="1560" w:right="1274"/>
        <w:jc w:val="both"/>
        <w:rPr>
          <w:rFonts w:ascii="Arial" w:hAnsi="Arial" w:cs="Arial"/>
          <w:i/>
          <w:iCs/>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113964">
        <w:rPr>
          <w:rFonts w:ascii="Arial" w:hAnsi="Arial" w:cs="Arial"/>
          <w:i/>
          <w:iCs/>
          <w:sz w:val="24"/>
          <w:szCs w:val="24"/>
        </w:rPr>
        <w:t>Giovanni Giove</w:t>
      </w:r>
    </w:p>
    <w:p w14:paraId="59FFAC79" w14:textId="000FB923" w:rsidR="00E55838" w:rsidRDefault="00E55838">
      <w:pPr>
        <w:rPr>
          <w:rFonts w:ascii="Arial" w:hAnsi="Arial" w:cs="Arial"/>
          <w:b/>
          <w:bCs/>
          <w:sz w:val="24"/>
          <w:szCs w:val="24"/>
        </w:rPr>
      </w:pPr>
      <w:r>
        <w:rPr>
          <w:rFonts w:ascii="Arial" w:hAnsi="Arial" w:cs="Arial"/>
          <w:b/>
          <w:bCs/>
          <w:sz w:val="24"/>
          <w:szCs w:val="24"/>
        </w:rPr>
        <w:br w:type="page"/>
      </w:r>
    </w:p>
    <w:p w14:paraId="73C99940" w14:textId="7528C68D" w:rsidR="00AD4399" w:rsidRPr="00F96874" w:rsidRDefault="00433169" w:rsidP="00F96874">
      <w:pPr>
        <w:jc w:val="center"/>
        <w:rPr>
          <w:rFonts w:ascii="Arial" w:hAnsi="Arial" w:cs="Arial"/>
          <w:b/>
          <w:bCs/>
          <w:sz w:val="24"/>
          <w:szCs w:val="24"/>
        </w:rPr>
      </w:pPr>
      <w:r w:rsidRPr="00F96874">
        <w:rPr>
          <w:rFonts w:ascii="Arial" w:hAnsi="Arial" w:cs="Arial"/>
          <w:b/>
          <w:bCs/>
          <w:sz w:val="24"/>
          <w:szCs w:val="24"/>
        </w:rPr>
        <w:lastRenderedPageBreak/>
        <w:t>INDICE</w:t>
      </w:r>
    </w:p>
    <w:p w14:paraId="6EACD515" w14:textId="77777777" w:rsidR="00F96874" w:rsidRDefault="00F96874" w:rsidP="00F96874">
      <w:pPr>
        <w:jc w:val="center"/>
        <w:rPr>
          <w:rFonts w:ascii="Arial" w:hAnsi="Arial" w:cs="Arial"/>
          <w:sz w:val="24"/>
          <w:szCs w:val="24"/>
        </w:rPr>
      </w:pPr>
    </w:p>
    <w:p w14:paraId="33236E14" w14:textId="05169DD6" w:rsidR="00AD4399" w:rsidRPr="009A1B1C" w:rsidRDefault="00937A9E" w:rsidP="0059228A">
      <w:pPr>
        <w:pStyle w:val="Paragrafoelenco"/>
        <w:numPr>
          <w:ilvl w:val="0"/>
          <w:numId w:val="1"/>
        </w:numPr>
        <w:spacing w:line="720" w:lineRule="auto"/>
        <w:ind w:right="-144"/>
        <w:rPr>
          <w:rFonts w:ascii="Arial" w:hAnsi="Arial" w:cs="Arial"/>
          <w:b/>
        </w:rPr>
      </w:pPr>
      <w:r w:rsidRPr="003D3D98">
        <w:rPr>
          <w:rFonts w:ascii="Arial" w:hAnsi="Arial" w:cs="Arial"/>
          <w:b/>
          <w:bCs/>
        </w:rPr>
        <w:t>INTRODUZIONE</w:t>
      </w:r>
      <w:r w:rsidR="00F96874" w:rsidRPr="003D3D98">
        <w:rPr>
          <w:rFonts w:ascii="Arial" w:hAnsi="Arial" w:cs="Arial"/>
        </w:rPr>
        <w:tab/>
      </w:r>
      <w:r w:rsidR="00F96874" w:rsidRPr="003D3D98">
        <w:rPr>
          <w:rFonts w:ascii="Arial" w:hAnsi="Arial" w:cs="Arial"/>
        </w:rPr>
        <w:tab/>
      </w:r>
      <w:r w:rsidR="00F96874" w:rsidRPr="003D3D98">
        <w:rPr>
          <w:rFonts w:ascii="Arial" w:hAnsi="Arial" w:cs="Arial"/>
        </w:rPr>
        <w:tab/>
      </w:r>
      <w:r w:rsidR="00F96874" w:rsidRPr="003D3D98">
        <w:rPr>
          <w:rFonts w:ascii="Arial" w:hAnsi="Arial" w:cs="Arial"/>
        </w:rPr>
        <w:tab/>
      </w:r>
      <w:r w:rsidR="003D3D98">
        <w:rPr>
          <w:rFonts w:ascii="Arial" w:hAnsi="Arial" w:cs="Arial"/>
        </w:rPr>
        <w:tab/>
      </w:r>
      <w:r w:rsidR="00F96874" w:rsidRPr="003D3D98">
        <w:rPr>
          <w:rFonts w:ascii="Arial" w:hAnsi="Arial" w:cs="Arial"/>
        </w:rPr>
        <w:tab/>
      </w:r>
      <w:r w:rsidR="00F96874" w:rsidRPr="003D3D98">
        <w:rPr>
          <w:rFonts w:ascii="Arial" w:hAnsi="Arial" w:cs="Arial"/>
        </w:rPr>
        <w:tab/>
      </w:r>
      <w:r w:rsidR="00F96874" w:rsidRPr="003D3D98">
        <w:rPr>
          <w:rFonts w:ascii="Arial" w:hAnsi="Arial" w:cs="Arial"/>
        </w:rPr>
        <w:tab/>
      </w:r>
      <w:r w:rsidR="00F96874" w:rsidRPr="003D3D98">
        <w:rPr>
          <w:rFonts w:ascii="Arial" w:hAnsi="Arial" w:cs="Arial"/>
        </w:rPr>
        <w:tab/>
      </w:r>
      <w:r w:rsidR="0059228A" w:rsidRPr="003D3D98">
        <w:rPr>
          <w:rFonts w:ascii="Arial" w:hAnsi="Arial" w:cs="Arial"/>
        </w:rPr>
        <w:tab/>
      </w:r>
      <w:r w:rsidR="0059228A" w:rsidRPr="003D3D98">
        <w:rPr>
          <w:rFonts w:ascii="Arial" w:hAnsi="Arial" w:cs="Arial"/>
        </w:rPr>
        <w:tab/>
      </w:r>
      <w:r w:rsidR="003D3D98" w:rsidRPr="009A1B1C">
        <w:rPr>
          <w:rFonts w:ascii="Arial" w:hAnsi="Arial" w:cs="Arial"/>
          <w:b/>
        </w:rPr>
        <w:t xml:space="preserve">  </w:t>
      </w:r>
      <w:r w:rsidR="004B0022">
        <w:rPr>
          <w:rFonts w:ascii="Arial" w:hAnsi="Arial" w:cs="Arial"/>
          <w:b/>
        </w:rPr>
        <w:t>4</w:t>
      </w:r>
    </w:p>
    <w:p w14:paraId="72926D0A" w14:textId="70D9E7B0" w:rsidR="0066379F" w:rsidRPr="003D3D98" w:rsidRDefault="00A56187" w:rsidP="00372780">
      <w:pPr>
        <w:pStyle w:val="Paragrafoelenco"/>
        <w:numPr>
          <w:ilvl w:val="0"/>
          <w:numId w:val="1"/>
        </w:numPr>
        <w:spacing w:line="720" w:lineRule="auto"/>
        <w:ind w:right="-2"/>
        <w:rPr>
          <w:rFonts w:ascii="Arial" w:hAnsi="Arial" w:cs="Arial"/>
        </w:rPr>
      </w:pPr>
      <w:r w:rsidRPr="003D3D98">
        <w:rPr>
          <w:rFonts w:ascii="Arial" w:hAnsi="Arial" w:cs="Arial"/>
          <w:b/>
          <w:bCs/>
        </w:rPr>
        <w:t>CAPITOLO I</w:t>
      </w:r>
      <w:r w:rsidR="00CD45E1">
        <w:rPr>
          <w:rFonts w:ascii="Arial" w:hAnsi="Arial" w:cs="Arial"/>
          <w:b/>
          <w:bCs/>
        </w:rPr>
        <w:t xml:space="preserve"> </w:t>
      </w:r>
      <w:r w:rsidR="00CD45E1" w:rsidRPr="003D3D98">
        <w:rPr>
          <w:rFonts w:ascii="Arial" w:hAnsi="Arial" w:cs="Arial"/>
          <w:b/>
          <w:bCs/>
        </w:rPr>
        <w:t>–</w:t>
      </w:r>
      <w:r w:rsidRPr="003D3D98">
        <w:rPr>
          <w:rFonts w:ascii="Arial" w:hAnsi="Arial" w:cs="Arial"/>
          <w:b/>
          <w:bCs/>
        </w:rPr>
        <w:t xml:space="preserve"> ALLA RICERCA DELLE ORIGINI</w:t>
      </w:r>
      <w:r w:rsidR="00E3782E">
        <w:rPr>
          <w:rFonts w:ascii="Arial" w:hAnsi="Arial" w:cs="Arial"/>
          <w:b/>
          <w:bCs/>
        </w:rPr>
        <w:t>- LA FINANZA INFORMALE</w:t>
      </w:r>
      <w:r w:rsidR="00372780">
        <w:rPr>
          <w:rFonts w:ascii="Arial" w:hAnsi="Arial" w:cs="Arial"/>
        </w:rPr>
        <w:tab/>
      </w:r>
      <w:r w:rsidR="00372780">
        <w:rPr>
          <w:rFonts w:ascii="Arial" w:hAnsi="Arial" w:cs="Arial"/>
        </w:rPr>
        <w:tab/>
        <w:t xml:space="preserve">  </w:t>
      </w:r>
      <w:r w:rsidR="004B0022">
        <w:rPr>
          <w:rFonts w:ascii="Arial" w:hAnsi="Arial" w:cs="Arial"/>
        </w:rPr>
        <w:t>8</w:t>
      </w:r>
    </w:p>
    <w:p w14:paraId="4D28D27E" w14:textId="241EF761" w:rsidR="003D3D98" w:rsidRDefault="00DC12E8" w:rsidP="003D3D98">
      <w:pPr>
        <w:pStyle w:val="Paragrafoelenco"/>
        <w:spacing w:after="0" w:line="720" w:lineRule="auto"/>
        <w:ind w:left="360"/>
        <w:rPr>
          <w:rFonts w:ascii="Arial" w:hAnsi="Arial" w:cs="Arial"/>
        </w:rPr>
      </w:pPr>
      <w:r>
        <w:rPr>
          <w:rFonts w:ascii="Arial" w:hAnsi="Arial" w:cs="Arial"/>
        </w:rPr>
        <w:t>a.</w:t>
      </w:r>
      <w:r w:rsidR="003D3D98" w:rsidRPr="003D3D98">
        <w:rPr>
          <w:rFonts w:ascii="Arial" w:hAnsi="Arial" w:cs="Arial"/>
        </w:rPr>
        <w:tab/>
        <w:t xml:space="preserve">TRA MITI E REALTA’: STORIE DEL MICROCREDITO DA TERRE LONTANE E VICINE  </w:t>
      </w:r>
      <w:r w:rsidR="004B0022">
        <w:rPr>
          <w:rFonts w:ascii="Arial" w:hAnsi="Arial" w:cs="Arial"/>
        </w:rPr>
        <w:t>8</w:t>
      </w:r>
    </w:p>
    <w:p w14:paraId="7C557FBF" w14:textId="03465AA3" w:rsidR="003D3D98" w:rsidRPr="003D3D98" w:rsidRDefault="003D3D98" w:rsidP="003D3D98">
      <w:pPr>
        <w:pStyle w:val="Paragrafoelenco"/>
        <w:spacing w:after="0" w:line="720" w:lineRule="auto"/>
        <w:ind w:left="360"/>
        <w:rPr>
          <w:rFonts w:ascii="Arial" w:hAnsi="Arial" w:cs="Arial"/>
        </w:rPr>
      </w:pPr>
      <w:r>
        <w:rPr>
          <w:rFonts w:ascii="Arial" w:hAnsi="Arial" w:cs="Arial"/>
        </w:rPr>
        <w:t>b.</w:t>
      </w:r>
      <w:r>
        <w:rPr>
          <w:rFonts w:ascii="Arial" w:hAnsi="Arial" w:cs="Arial"/>
        </w:rPr>
        <w:tab/>
      </w:r>
      <w:r w:rsidR="00E3782E">
        <w:rPr>
          <w:rFonts w:ascii="Arial" w:hAnsi="Arial" w:cs="Arial"/>
        </w:rPr>
        <w:t>LA FINANZA INFORMALE</w:t>
      </w:r>
      <w:r w:rsidR="00E3782E">
        <w:rPr>
          <w:rFonts w:ascii="Arial" w:hAnsi="Arial" w:cs="Arial"/>
        </w:rPr>
        <w:tab/>
      </w:r>
      <w:r w:rsidR="00E3782E">
        <w:rPr>
          <w:rFonts w:ascii="Arial" w:hAnsi="Arial" w:cs="Arial"/>
        </w:rPr>
        <w:tab/>
      </w:r>
      <w:r w:rsidR="00DC12E8">
        <w:rPr>
          <w:rFonts w:ascii="Arial" w:hAnsi="Arial" w:cs="Arial"/>
        </w:rPr>
        <w:tab/>
      </w:r>
      <w:r w:rsidR="0002662C">
        <w:rPr>
          <w:rFonts w:ascii="Arial" w:hAnsi="Arial" w:cs="Arial"/>
        </w:rPr>
        <w:tab/>
      </w:r>
      <w:r w:rsidR="0002662C">
        <w:rPr>
          <w:rFonts w:ascii="Arial" w:hAnsi="Arial" w:cs="Arial"/>
        </w:rPr>
        <w:tab/>
      </w:r>
      <w:r w:rsidR="0002662C">
        <w:rPr>
          <w:rFonts w:ascii="Arial" w:hAnsi="Arial" w:cs="Arial"/>
        </w:rPr>
        <w:tab/>
      </w:r>
      <w:r w:rsidR="0002662C">
        <w:rPr>
          <w:rFonts w:ascii="Arial" w:hAnsi="Arial" w:cs="Arial"/>
        </w:rPr>
        <w:tab/>
      </w:r>
      <w:r w:rsidR="0002662C">
        <w:rPr>
          <w:rFonts w:ascii="Arial" w:hAnsi="Arial" w:cs="Arial"/>
        </w:rPr>
        <w:tab/>
      </w:r>
      <w:r w:rsidR="0002662C">
        <w:rPr>
          <w:rFonts w:ascii="Arial" w:hAnsi="Arial" w:cs="Arial"/>
        </w:rPr>
        <w:tab/>
        <w:t>1</w:t>
      </w:r>
      <w:r w:rsidR="004B0022">
        <w:rPr>
          <w:rFonts w:ascii="Arial" w:hAnsi="Arial" w:cs="Arial"/>
        </w:rPr>
        <w:t>7</w:t>
      </w:r>
      <w:bookmarkStart w:id="0" w:name="_Hlk157028262"/>
    </w:p>
    <w:p w14:paraId="122F415D" w14:textId="388DCA8C" w:rsidR="0057793D" w:rsidRPr="003D3D98" w:rsidRDefault="00AE6BEE" w:rsidP="0066379F">
      <w:pPr>
        <w:pStyle w:val="Paragrafoelenco"/>
        <w:numPr>
          <w:ilvl w:val="0"/>
          <w:numId w:val="1"/>
        </w:numPr>
        <w:spacing w:line="720" w:lineRule="auto"/>
        <w:rPr>
          <w:rFonts w:ascii="Arial" w:hAnsi="Arial" w:cs="Arial"/>
          <w:b/>
          <w:bCs/>
        </w:rPr>
      </w:pPr>
      <w:r w:rsidRPr="003D3D98">
        <w:rPr>
          <w:rFonts w:ascii="Arial" w:hAnsi="Arial" w:cs="Arial"/>
          <w:b/>
          <w:bCs/>
        </w:rPr>
        <w:t xml:space="preserve">CAPITOLO II – REGOLAMENTAZIONE E </w:t>
      </w:r>
      <w:r w:rsidR="002075BF">
        <w:rPr>
          <w:rFonts w:ascii="Arial" w:hAnsi="Arial" w:cs="Arial"/>
          <w:b/>
          <w:bCs/>
        </w:rPr>
        <w:t>OPPORTUNITA’</w:t>
      </w:r>
      <w:r w:rsidR="002075BF">
        <w:rPr>
          <w:rFonts w:ascii="Arial" w:hAnsi="Arial" w:cs="Arial"/>
          <w:b/>
          <w:bCs/>
        </w:rPr>
        <w:tab/>
      </w:r>
      <w:r w:rsidR="002075BF">
        <w:rPr>
          <w:rFonts w:ascii="Arial" w:hAnsi="Arial" w:cs="Arial"/>
          <w:b/>
          <w:bCs/>
        </w:rPr>
        <w:tab/>
      </w:r>
      <w:r w:rsidR="002075BF">
        <w:rPr>
          <w:rFonts w:ascii="Arial" w:hAnsi="Arial" w:cs="Arial"/>
          <w:b/>
          <w:bCs/>
        </w:rPr>
        <w:tab/>
      </w:r>
      <w:r w:rsidR="00740659" w:rsidRPr="003D3D98">
        <w:rPr>
          <w:rFonts w:ascii="Arial" w:hAnsi="Arial" w:cs="Arial"/>
          <w:b/>
          <w:bCs/>
        </w:rPr>
        <w:tab/>
      </w:r>
      <w:r w:rsidR="0002662C">
        <w:rPr>
          <w:rFonts w:ascii="Arial" w:hAnsi="Arial" w:cs="Arial"/>
          <w:b/>
          <w:bCs/>
        </w:rPr>
        <w:tab/>
      </w:r>
      <w:r w:rsidR="003F77CD">
        <w:rPr>
          <w:rFonts w:ascii="Arial" w:hAnsi="Arial" w:cs="Arial"/>
          <w:b/>
          <w:bCs/>
        </w:rPr>
        <w:t>2</w:t>
      </w:r>
      <w:r w:rsidR="00EF2518">
        <w:rPr>
          <w:rFonts w:ascii="Arial" w:hAnsi="Arial" w:cs="Arial"/>
          <w:b/>
          <w:bCs/>
        </w:rPr>
        <w:t>9</w:t>
      </w:r>
    </w:p>
    <w:p w14:paraId="2A0A2CBD" w14:textId="48D7D1C2" w:rsidR="008935D1" w:rsidRPr="003D3D98" w:rsidRDefault="008935D1" w:rsidP="0066379F">
      <w:pPr>
        <w:pStyle w:val="Paragrafoelenco"/>
        <w:numPr>
          <w:ilvl w:val="0"/>
          <w:numId w:val="4"/>
        </w:numPr>
        <w:spacing w:line="720" w:lineRule="auto"/>
        <w:rPr>
          <w:rFonts w:ascii="Arial" w:hAnsi="Arial" w:cs="Arial"/>
        </w:rPr>
      </w:pPr>
      <w:r w:rsidRPr="003D3D98">
        <w:rPr>
          <w:rFonts w:ascii="Arial" w:hAnsi="Arial" w:cs="Arial"/>
        </w:rPr>
        <w:t>LA REGOLAMENTAZIONE</w:t>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F77CD">
        <w:rPr>
          <w:rFonts w:ascii="Arial" w:hAnsi="Arial" w:cs="Arial"/>
        </w:rPr>
        <w:t>2</w:t>
      </w:r>
      <w:r w:rsidR="00EF2518">
        <w:rPr>
          <w:rFonts w:ascii="Arial" w:hAnsi="Arial" w:cs="Arial"/>
        </w:rPr>
        <w:t>9</w:t>
      </w:r>
    </w:p>
    <w:bookmarkEnd w:id="0"/>
    <w:p w14:paraId="1F53379F" w14:textId="7072CE13" w:rsidR="00F470BA" w:rsidRPr="003D3D98" w:rsidRDefault="006C0E90" w:rsidP="0066379F">
      <w:pPr>
        <w:pStyle w:val="Paragrafoelenco"/>
        <w:numPr>
          <w:ilvl w:val="0"/>
          <w:numId w:val="4"/>
        </w:numPr>
        <w:spacing w:line="720" w:lineRule="auto"/>
        <w:rPr>
          <w:rFonts w:ascii="Arial" w:hAnsi="Arial" w:cs="Arial"/>
        </w:rPr>
      </w:pPr>
      <w:r>
        <w:rPr>
          <w:rFonts w:ascii="Arial" w:hAnsi="Arial" w:cs="Arial"/>
        </w:rPr>
        <w:t>I FONDI STRUTTURALI EUROPEI</w:t>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3D3D98">
        <w:rPr>
          <w:rFonts w:ascii="Arial" w:hAnsi="Arial" w:cs="Arial"/>
        </w:rPr>
        <w:tab/>
      </w:r>
      <w:r w:rsidR="00EF2518">
        <w:rPr>
          <w:rFonts w:ascii="Arial" w:hAnsi="Arial" w:cs="Arial"/>
        </w:rPr>
        <w:t>5</w:t>
      </w:r>
      <w:r w:rsidR="008804F0">
        <w:rPr>
          <w:rFonts w:ascii="Arial" w:hAnsi="Arial" w:cs="Arial"/>
        </w:rPr>
        <w:t>1</w:t>
      </w:r>
    </w:p>
    <w:p w14:paraId="1F3B1711" w14:textId="0642C794" w:rsidR="00F470BA" w:rsidRPr="003D3D98" w:rsidRDefault="00F470BA" w:rsidP="00F470BA">
      <w:pPr>
        <w:pStyle w:val="Paragrafoelenco"/>
        <w:numPr>
          <w:ilvl w:val="0"/>
          <w:numId w:val="1"/>
        </w:numPr>
        <w:spacing w:line="720" w:lineRule="auto"/>
        <w:rPr>
          <w:rFonts w:ascii="Arial" w:hAnsi="Arial" w:cs="Arial"/>
          <w:b/>
          <w:bCs/>
        </w:rPr>
      </w:pPr>
      <w:r w:rsidRPr="003D3D98">
        <w:rPr>
          <w:rFonts w:ascii="Arial" w:hAnsi="Arial" w:cs="Arial"/>
          <w:b/>
          <w:bCs/>
        </w:rPr>
        <w:t>CAPITOLO III</w:t>
      </w:r>
      <w:r w:rsidR="00CD45E1">
        <w:rPr>
          <w:rFonts w:ascii="Arial" w:hAnsi="Arial" w:cs="Arial"/>
          <w:b/>
          <w:bCs/>
        </w:rPr>
        <w:t xml:space="preserve"> </w:t>
      </w:r>
      <w:r w:rsidR="00A539C7" w:rsidRPr="003D3D98">
        <w:rPr>
          <w:rFonts w:ascii="Arial" w:hAnsi="Arial" w:cs="Arial"/>
          <w:b/>
          <w:bCs/>
        </w:rPr>
        <w:t xml:space="preserve">– </w:t>
      </w:r>
      <w:r w:rsidR="00A539C7">
        <w:rPr>
          <w:rFonts w:ascii="Arial" w:hAnsi="Arial" w:cs="Arial"/>
          <w:b/>
          <w:bCs/>
        </w:rPr>
        <w:t>L’IMPRESA</w:t>
      </w:r>
      <w:r w:rsidR="00E3782E">
        <w:rPr>
          <w:rFonts w:ascii="Arial" w:hAnsi="Arial" w:cs="Arial"/>
          <w:b/>
          <w:bCs/>
        </w:rPr>
        <w:t xml:space="preserve"> MICROCREDITO</w:t>
      </w:r>
      <w:r w:rsidR="00E3782E">
        <w:rPr>
          <w:rFonts w:ascii="Arial" w:hAnsi="Arial" w:cs="Arial"/>
          <w:b/>
          <w:bCs/>
        </w:rPr>
        <w:tab/>
      </w:r>
      <w:r w:rsidR="00E3782E">
        <w:rPr>
          <w:rFonts w:ascii="Arial" w:hAnsi="Arial" w:cs="Arial"/>
          <w:b/>
          <w:bCs/>
        </w:rPr>
        <w:tab/>
      </w:r>
      <w:r w:rsidR="00E3782E">
        <w:rPr>
          <w:rFonts w:ascii="Arial" w:hAnsi="Arial" w:cs="Arial"/>
          <w:b/>
          <w:bCs/>
        </w:rPr>
        <w:tab/>
      </w:r>
      <w:r w:rsidR="00A539C7">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D14E71">
        <w:rPr>
          <w:rFonts w:ascii="Arial" w:hAnsi="Arial" w:cs="Arial"/>
          <w:b/>
          <w:bCs/>
        </w:rPr>
        <w:t>6</w:t>
      </w:r>
      <w:r w:rsidR="008804F0">
        <w:rPr>
          <w:rFonts w:ascii="Arial" w:hAnsi="Arial" w:cs="Arial"/>
          <w:b/>
          <w:bCs/>
        </w:rPr>
        <w:t>3</w:t>
      </w:r>
    </w:p>
    <w:p w14:paraId="6F35386C" w14:textId="563044CC" w:rsidR="00094C6D" w:rsidRDefault="00E3782E" w:rsidP="00706F1A">
      <w:pPr>
        <w:pStyle w:val="Paragrafoelenco"/>
        <w:numPr>
          <w:ilvl w:val="0"/>
          <w:numId w:val="10"/>
        </w:numPr>
        <w:spacing w:line="720" w:lineRule="auto"/>
        <w:rPr>
          <w:rFonts w:ascii="Arial" w:hAnsi="Arial" w:cs="Arial"/>
        </w:rPr>
      </w:pPr>
      <w:r w:rsidRPr="00094C6D">
        <w:rPr>
          <w:rFonts w:ascii="Arial" w:hAnsi="Arial" w:cs="Arial"/>
        </w:rPr>
        <w:t>DATI STATISTICI DI RIFERIMENTO</w:t>
      </w:r>
      <w:r w:rsidR="00F470BA" w:rsidRPr="00094C6D">
        <w:rPr>
          <w:rFonts w:ascii="Arial" w:hAnsi="Arial" w:cs="Arial"/>
        </w:rPr>
        <w:tab/>
      </w:r>
      <w:r w:rsidR="00F470BA" w:rsidRPr="00094C6D">
        <w:rPr>
          <w:rFonts w:ascii="Arial" w:hAnsi="Arial" w:cs="Arial"/>
        </w:rPr>
        <w:tab/>
      </w:r>
      <w:r w:rsidR="00F470BA" w:rsidRPr="00094C6D">
        <w:rPr>
          <w:rFonts w:ascii="Arial" w:hAnsi="Arial" w:cs="Arial"/>
        </w:rPr>
        <w:tab/>
      </w:r>
      <w:r w:rsidR="00F470BA" w:rsidRPr="00094C6D">
        <w:rPr>
          <w:rFonts w:ascii="Arial" w:hAnsi="Arial" w:cs="Arial"/>
        </w:rPr>
        <w:tab/>
      </w:r>
      <w:r w:rsidR="00F470BA" w:rsidRPr="00094C6D">
        <w:rPr>
          <w:rFonts w:ascii="Arial" w:hAnsi="Arial" w:cs="Arial"/>
        </w:rPr>
        <w:tab/>
      </w:r>
      <w:r w:rsidR="00094C6D">
        <w:rPr>
          <w:rFonts w:ascii="Arial" w:hAnsi="Arial" w:cs="Arial"/>
        </w:rPr>
        <w:tab/>
      </w:r>
      <w:r w:rsidR="00094C6D">
        <w:rPr>
          <w:rFonts w:ascii="Arial" w:hAnsi="Arial" w:cs="Arial"/>
        </w:rPr>
        <w:tab/>
      </w:r>
      <w:r w:rsidR="0047107B">
        <w:rPr>
          <w:rFonts w:ascii="Arial" w:hAnsi="Arial" w:cs="Arial"/>
        </w:rPr>
        <w:t>6</w:t>
      </w:r>
      <w:r w:rsidR="008804F0">
        <w:rPr>
          <w:rFonts w:ascii="Arial" w:hAnsi="Arial" w:cs="Arial"/>
        </w:rPr>
        <w:t>3</w:t>
      </w:r>
    </w:p>
    <w:p w14:paraId="4D80A7ED" w14:textId="753A8739" w:rsidR="00D467C0" w:rsidRPr="00094C6D" w:rsidRDefault="006C0E90" w:rsidP="00706F1A">
      <w:pPr>
        <w:pStyle w:val="Paragrafoelenco"/>
        <w:numPr>
          <w:ilvl w:val="0"/>
          <w:numId w:val="10"/>
        </w:numPr>
        <w:spacing w:line="720" w:lineRule="auto"/>
        <w:rPr>
          <w:rFonts w:ascii="Arial" w:hAnsi="Arial" w:cs="Arial"/>
        </w:rPr>
      </w:pPr>
      <w:r w:rsidRPr="00094C6D">
        <w:rPr>
          <w:rFonts w:ascii="Arial" w:hAnsi="Arial" w:cs="Arial"/>
        </w:rPr>
        <w:t xml:space="preserve">CRITICITA’ </w:t>
      </w:r>
      <w:r w:rsidR="00EF43D4" w:rsidRPr="00094C6D">
        <w:rPr>
          <w:rFonts w:ascii="Arial" w:hAnsi="Arial" w:cs="Arial"/>
        </w:rPr>
        <w:t>DELLE RISORSE</w:t>
      </w:r>
      <w:r w:rsidR="00EF43D4" w:rsidRPr="00094C6D">
        <w:rPr>
          <w:rFonts w:ascii="Arial" w:hAnsi="Arial" w:cs="Arial"/>
        </w:rPr>
        <w:tab/>
      </w:r>
      <w:r w:rsidRPr="00094C6D">
        <w:rPr>
          <w:rFonts w:ascii="Arial" w:hAnsi="Arial" w:cs="Arial"/>
        </w:rPr>
        <w:tab/>
      </w:r>
      <w:r w:rsidRPr="00094C6D">
        <w:rPr>
          <w:rFonts w:ascii="Arial" w:hAnsi="Arial" w:cs="Arial"/>
        </w:rPr>
        <w:tab/>
      </w:r>
      <w:r w:rsidRPr="00094C6D">
        <w:rPr>
          <w:rFonts w:ascii="Arial" w:hAnsi="Arial" w:cs="Arial"/>
        </w:rPr>
        <w:tab/>
      </w:r>
      <w:r w:rsidRPr="00094C6D">
        <w:rPr>
          <w:rFonts w:ascii="Arial" w:hAnsi="Arial" w:cs="Arial"/>
        </w:rPr>
        <w:tab/>
      </w:r>
      <w:r w:rsidRPr="00094C6D">
        <w:rPr>
          <w:rFonts w:ascii="Arial" w:hAnsi="Arial" w:cs="Arial"/>
        </w:rPr>
        <w:tab/>
      </w:r>
      <w:r w:rsidRPr="00094C6D">
        <w:rPr>
          <w:rFonts w:ascii="Arial" w:hAnsi="Arial" w:cs="Arial"/>
        </w:rPr>
        <w:tab/>
      </w:r>
      <w:r w:rsidR="00DF7DD5">
        <w:rPr>
          <w:rFonts w:ascii="Arial" w:hAnsi="Arial" w:cs="Arial"/>
        </w:rPr>
        <w:tab/>
        <w:t>8</w:t>
      </w:r>
      <w:r w:rsidR="008804F0">
        <w:rPr>
          <w:rFonts w:ascii="Arial" w:hAnsi="Arial" w:cs="Arial"/>
        </w:rPr>
        <w:t>4</w:t>
      </w:r>
    </w:p>
    <w:p w14:paraId="44F0C497" w14:textId="1D54A672" w:rsidR="00255753" w:rsidRPr="006C0E90" w:rsidRDefault="00746AFD" w:rsidP="00255753">
      <w:pPr>
        <w:pStyle w:val="Paragrafoelenco"/>
        <w:numPr>
          <w:ilvl w:val="0"/>
          <w:numId w:val="10"/>
        </w:numPr>
        <w:spacing w:line="720" w:lineRule="auto"/>
        <w:rPr>
          <w:rFonts w:ascii="Arial" w:hAnsi="Arial" w:cs="Arial"/>
        </w:rPr>
      </w:pPr>
      <w:r>
        <w:rPr>
          <w:rFonts w:ascii="Arial" w:hAnsi="Arial" w:cs="Arial"/>
        </w:rPr>
        <w:t>I</w:t>
      </w:r>
      <w:r w:rsidR="00684BC9">
        <w:rPr>
          <w:rFonts w:ascii="Arial" w:hAnsi="Arial" w:cs="Arial"/>
        </w:rPr>
        <w:t>L</w:t>
      </w:r>
      <w:r>
        <w:rPr>
          <w:rFonts w:ascii="Arial" w:hAnsi="Arial" w:cs="Arial"/>
        </w:rPr>
        <w:t xml:space="preserve"> </w:t>
      </w:r>
      <w:r w:rsidRPr="00225F47">
        <w:rPr>
          <w:rFonts w:ascii="Arial" w:hAnsi="Arial" w:cs="Arial"/>
          <w:i/>
          <w:iCs/>
        </w:rPr>
        <w:t>CARRY TRADE</w:t>
      </w:r>
      <w:r>
        <w:rPr>
          <w:rFonts w:ascii="Arial" w:hAnsi="Arial" w:cs="Arial"/>
        </w:rPr>
        <w:t xml:space="preserve"> APPLICATO </w:t>
      </w:r>
      <w:r w:rsidR="00553504">
        <w:rPr>
          <w:rFonts w:ascii="Arial" w:hAnsi="Arial" w:cs="Arial"/>
        </w:rPr>
        <w:t>AL MICROCREDITO:</w:t>
      </w:r>
      <w:r w:rsidR="006C0E90" w:rsidRPr="006C0E90">
        <w:rPr>
          <w:rFonts w:ascii="Arial" w:hAnsi="Arial" w:cs="Arial"/>
        </w:rPr>
        <w:t xml:space="preserve"> ESITI DI UNA R</w:t>
      </w:r>
      <w:r w:rsidR="006C0E90">
        <w:rPr>
          <w:rFonts w:ascii="Arial" w:hAnsi="Arial" w:cs="Arial"/>
        </w:rPr>
        <w:t>ICERC</w:t>
      </w:r>
      <w:r w:rsidR="00684BC9">
        <w:rPr>
          <w:rFonts w:ascii="Arial" w:hAnsi="Arial" w:cs="Arial"/>
        </w:rPr>
        <w:t>A</w:t>
      </w:r>
      <w:r w:rsidR="00DF7DD5">
        <w:rPr>
          <w:rFonts w:ascii="Arial" w:hAnsi="Arial" w:cs="Arial"/>
        </w:rPr>
        <w:tab/>
      </w:r>
      <w:r w:rsidR="00DF7DD5">
        <w:rPr>
          <w:rFonts w:ascii="Arial" w:hAnsi="Arial" w:cs="Arial"/>
        </w:rPr>
        <w:tab/>
        <w:t>8</w:t>
      </w:r>
      <w:r w:rsidR="008804F0">
        <w:rPr>
          <w:rFonts w:ascii="Arial" w:hAnsi="Arial" w:cs="Arial"/>
        </w:rPr>
        <w:t>8</w:t>
      </w:r>
    </w:p>
    <w:p w14:paraId="49E0098E" w14:textId="09189DE9" w:rsidR="00D467C0" w:rsidRPr="003D3D98" w:rsidRDefault="00D467C0" w:rsidP="003D3D98">
      <w:pPr>
        <w:pStyle w:val="Paragrafoelenco"/>
        <w:numPr>
          <w:ilvl w:val="0"/>
          <w:numId w:val="1"/>
        </w:numPr>
        <w:spacing w:line="720" w:lineRule="auto"/>
        <w:rPr>
          <w:rFonts w:ascii="Arial" w:hAnsi="Arial" w:cs="Arial"/>
          <w:b/>
          <w:bCs/>
          <w:lang w:val="en-US"/>
        </w:rPr>
      </w:pPr>
      <w:r w:rsidRPr="003D3D98">
        <w:rPr>
          <w:rFonts w:ascii="Arial" w:hAnsi="Arial" w:cs="Arial"/>
          <w:b/>
          <w:bCs/>
        </w:rPr>
        <w:t>CONCLUSIONI</w:t>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8804F0">
        <w:rPr>
          <w:rFonts w:ascii="Arial" w:hAnsi="Arial" w:cs="Arial"/>
          <w:b/>
          <w:bCs/>
        </w:rPr>
        <w:t xml:space="preserve">          174</w:t>
      </w:r>
    </w:p>
    <w:p w14:paraId="547C6868" w14:textId="7F32F8BC" w:rsidR="00AE6BEE" w:rsidRPr="003D3D98" w:rsidRDefault="00F96874" w:rsidP="003D3D98">
      <w:pPr>
        <w:pStyle w:val="Paragrafoelenco"/>
        <w:numPr>
          <w:ilvl w:val="0"/>
          <w:numId w:val="1"/>
        </w:numPr>
        <w:spacing w:line="720" w:lineRule="auto"/>
        <w:rPr>
          <w:rFonts w:ascii="Arial" w:hAnsi="Arial" w:cs="Arial"/>
          <w:b/>
          <w:bCs/>
        </w:rPr>
      </w:pPr>
      <w:r w:rsidRPr="003D3D98">
        <w:rPr>
          <w:rFonts w:ascii="Arial" w:hAnsi="Arial" w:cs="Arial"/>
          <w:b/>
          <w:bCs/>
        </w:rPr>
        <w:t>BIBLIOGRAFIA</w:t>
      </w:r>
      <w:r w:rsidRP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3D3D98">
        <w:rPr>
          <w:rFonts w:ascii="Arial" w:hAnsi="Arial" w:cs="Arial"/>
          <w:b/>
          <w:bCs/>
        </w:rPr>
        <w:tab/>
      </w:r>
      <w:r w:rsidR="008804F0">
        <w:rPr>
          <w:rFonts w:ascii="Arial" w:hAnsi="Arial" w:cs="Arial"/>
          <w:b/>
          <w:bCs/>
        </w:rPr>
        <w:t xml:space="preserve">          176</w:t>
      </w:r>
    </w:p>
    <w:p w14:paraId="4B1AF645" w14:textId="1D1E3B30" w:rsidR="00642E48" w:rsidRDefault="00AE6BEE" w:rsidP="003D3D98">
      <w:pPr>
        <w:pStyle w:val="Paragrafoelenco"/>
        <w:numPr>
          <w:ilvl w:val="0"/>
          <w:numId w:val="1"/>
        </w:numPr>
        <w:spacing w:line="720" w:lineRule="auto"/>
        <w:rPr>
          <w:rFonts w:ascii="Arial" w:hAnsi="Arial" w:cs="Arial"/>
          <w:b/>
          <w:bCs/>
        </w:rPr>
      </w:pPr>
      <w:r w:rsidRPr="003D3D98">
        <w:rPr>
          <w:rFonts w:ascii="Arial" w:hAnsi="Arial" w:cs="Arial"/>
          <w:b/>
          <w:bCs/>
        </w:rPr>
        <w:t>SITOGRAFIA</w:t>
      </w:r>
      <w:r w:rsidRPr="003D3D98">
        <w:rPr>
          <w:rFonts w:ascii="Arial" w:hAnsi="Arial" w:cs="Arial"/>
          <w:b/>
          <w:bCs/>
        </w:rPr>
        <w:tab/>
      </w:r>
      <w:r w:rsidRPr="003D3D98">
        <w:rPr>
          <w:rFonts w:ascii="Arial" w:hAnsi="Arial" w:cs="Arial"/>
          <w:b/>
          <w:bCs/>
        </w:rPr>
        <w:tab/>
      </w:r>
      <w:r w:rsidRPr="003D3D98">
        <w:rPr>
          <w:rFonts w:ascii="Arial" w:hAnsi="Arial" w:cs="Arial"/>
          <w:b/>
          <w:bCs/>
        </w:rPr>
        <w:tab/>
      </w:r>
      <w:r w:rsidR="00F96874" w:rsidRPr="003D3D98">
        <w:rPr>
          <w:rFonts w:ascii="Arial" w:hAnsi="Arial" w:cs="Arial"/>
          <w:b/>
          <w:bCs/>
        </w:rPr>
        <w:tab/>
      </w:r>
      <w:r w:rsidR="00F96874" w:rsidRPr="003D3D98">
        <w:rPr>
          <w:rFonts w:ascii="Arial" w:hAnsi="Arial" w:cs="Arial"/>
          <w:b/>
          <w:bCs/>
        </w:rPr>
        <w:tab/>
      </w:r>
      <w:r w:rsidR="00F96874" w:rsidRPr="003D3D98">
        <w:rPr>
          <w:rFonts w:ascii="Arial" w:hAnsi="Arial" w:cs="Arial"/>
          <w:b/>
          <w:bCs/>
        </w:rPr>
        <w:tab/>
      </w:r>
      <w:r w:rsidR="00F96874" w:rsidRPr="003D3D98">
        <w:rPr>
          <w:rFonts w:ascii="Arial" w:hAnsi="Arial" w:cs="Arial"/>
          <w:b/>
          <w:bCs/>
        </w:rPr>
        <w:tab/>
      </w:r>
      <w:r w:rsidR="00F96874" w:rsidRPr="003D3D98">
        <w:rPr>
          <w:rFonts w:ascii="Arial" w:hAnsi="Arial" w:cs="Arial"/>
          <w:b/>
          <w:bCs/>
        </w:rPr>
        <w:tab/>
      </w:r>
      <w:r w:rsidR="00F96874" w:rsidRPr="003D3D98">
        <w:rPr>
          <w:rFonts w:ascii="Arial" w:hAnsi="Arial" w:cs="Arial"/>
          <w:b/>
          <w:bCs/>
        </w:rPr>
        <w:tab/>
      </w:r>
      <w:r w:rsidR="00F96874" w:rsidRPr="003D3D98">
        <w:rPr>
          <w:rFonts w:ascii="Arial" w:hAnsi="Arial" w:cs="Arial"/>
          <w:b/>
          <w:bCs/>
        </w:rPr>
        <w:tab/>
      </w:r>
      <w:r w:rsidR="008804F0">
        <w:rPr>
          <w:rFonts w:ascii="Arial" w:hAnsi="Arial" w:cs="Arial"/>
          <w:b/>
          <w:bCs/>
        </w:rPr>
        <w:t xml:space="preserve">          183</w:t>
      </w:r>
    </w:p>
    <w:p w14:paraId="383D5985" w14:textId="77777777" w:rsidR="00642E48" w:rsidRDefault="00642E48">
      <w:pPr>
        <w:rPr>
          <w:rFonts w:ascii="Arial" w:hAnsi="Arial" w:cs="Arial"/>
          <w:b/>
          <w:bCs/>
        </w:rPr>
      </w:pPr>
      <w:r>
        <w:rPr>
          <w:rFonts w:ascii="Arial" w:hAnsi="Arial" w:cs="Arial"/>
          <w:b/>
          <w:bCs/>
        </w:rPr>
        <w:br w:type="page"/>
      </w:r>
    </w:p>
    <w:p w14:paraId="2E2CF021" w14:textId="77777777" w:rsidR="00F83AF6" w:rsidRDefault="00F83AF6" w:rsidP="00F83AF6">
      <w:pPr>
        <w:pStyle w:val="Paragrafoelenco"/>
        <w:numPr>
          <w:ilvl w:val="0"/>
          <w:numId w:val="2"/>
        </w:numPr>
        <w:spacing w:line="360" w:lineRule="auto"/>
        <w:ind w:left="284" w:hanging="284"/>
        <w:jc w:val="both"/>
        <w:rPr>
          <w:rFonts w:ascii="Arial" w:hAnsi="Arial" w:cs="Arial"/>
          <w:b/>
          <w:bCs/>
          <w:sz w:val="24"/>
          <w:szCs w:val="24"/>
        </w:rPr>
      </w:pPr>
      <w:r>
        <w:rPr>
          <w:rFonts w:ascii="Arial" w:hAnsi="Arial" w:cs="Arial"/>
          <w:b/>
          <w:bCs/>
          <w:sz w:val="24"/>
          <w:szCs w:val="24"/>
        </w:rPr>
        <w:lastRenderedPageBreak/>
        <w:t>INTRODUZIONE</w:t>
      </w:r>
    </w:p>
    <w:p w14:paraId="0D05008D" w14:textId="77777777" w:rsidR="00F83AF6" w:rsidRPr="007F0AB5" w:rsidRDefault="00F83AF6" w:rsidP="00F83AF6">
      <w:pPr>
        <w:pStyle w:val="Paragrafoelenco"/>
        <w:spacing w:after="0" w:line="360" w:lineRule="auto"/>
        <w:ind w:left="284"/>
        <w:jc w:val="both"/>
        <w:rPr>
          <w:rFonts w:ascii="Arial" w:hAnsi="Arial" w:cs="Arial"/>
          <w:sz w:val="24"/>
          <w:szCs w:val="24"/>
        </w:rPr>
      </w:pPr>
    </w:p>
    <w:p w14:paraId="13F2DD8B" w14:textId="77777777" w:rsidR="00F83AF6" w:rsidRPr="00AC32F5" w:rsidRDefault="00F83AF6" w:rsidP="00F83AF6">
      <w:pPr>
        <w:spacing w:line="360" w:lineRule="auto"/>
        <w:ind w:firstLine="284"/>
        <w:jc w:val="both"/>
        <w:rPr>
          <w:rFonts w:ascii="Arial" w:hAnsi="Arial" w:cs="Arial"/>
          <w:sz w:val="24"/>
          <w:szCs w:val="24"/>
        </w:rPr>
      </w:pPr>
      <w:r w:rsidRPr="00AC32F5">
        <w:rPr>
          <w:rFonts w:ascii="Arial" w:hAnsi="Arial" w:cs="Arial"/>
          <w:sz w:val="24"/>
          <w:szCs w:val="24"/>
        </w:rPr>
        <w:t>La letteratura relativa al microcredito</w:t>
      </w:r>
      <w:r>
        <w:rPr>
          <w:rFonts w:ascii="Arial" w:hAnsi="Arial" w:cs="Arial"/>
          <w:sz w:val="24"/>
          <w:szCs w:val="24"/>
        </w:rPr>
        <w:t xml:space="preserve">, nello specifico quella </w:t>
      </w:r>
      <w:r w:rsidRPr="00AC32F5">
        <w:rPr>
          <w:rFonts w:ascii="Arial" w:hAnsi="Arial" w:cs="Arial"/>
          <w:sz w:val="24"/>
          <w:szCs w:val="24"/>
        </w:rPr>
        <w:t>scientifica</w:t>
      </w:r>
      <w:r>
        <w:rPr>
          <w:rFonts w:ascii="Arial" w:hAnsi="Arial" w:cs="Arial"/>
          <w:sz w:val="24"/>
          <w:szCs w:val="24"/>
        </w:rPr>
        <w:t xml:space="preserve">, </w:t>
      </w:r>
      <w:r w:rsidRPr="00AC32F5">
        <w:rPr>
          <w:rFonts w:ascii="Arial" w:hAnsi="Arial" w:cs="Arial"/>
          <w:sz w:val="24"/>
          <w:szCs w:val="24"/>
        </w:rPr>
        <w:t xml:space="preserve">si origina da esperienze </w:t>
      </w:r>
      <w:r>
        <w:rPr>
          <w:rFonts w:ascii="Arial" w:hAnsi="Arial" w:cs="Arial"/>
          <w:sz w:val="24"/>
          <w:szCs w:val="24"/>
        </w:rPr>
        <w:t>connotate da tratti differenti, risalenti a e</w:t>
      </w:r>
      <w:r w:rsidRPr="00AC32F5">
        <w:rPr>
          <w:rFonts w:ascii="Arial" w:hAnsi="Arial" w:cs="Arial"/>
          <w:sz w:val="24"/>
          <w:szCs w:val="24"/>
        </w:rPr>
        <w:t xml:space="preserve">poche </w:t>
      </w:r>
      <w:r>
        <w:rPr>
          <w:rFonts w:ascii="Arial" w:hAnsi="Arial" w:cs="Arial"/>
          <w:sz w:val="24"/>
          <w:szCs w:val="24"/>
        </w:rPr>
        <w:t xml:space="preserve">storiche </w:t>
      </w:r>
      <w:r w:rsidRPr="00AC32F5">
        <w:rPr>
          <w:rFonts w:ascii="Arial" w:hAnsi="Arial" w:cs="Arial"/>
          <w:sz w:val="24"/>
          <w:szCs w:val="24"/>
        </w:rPr>
        <w:t>diverse. Tempi remoti e attuali accomunati da stati di povertà, di bisogno ed emarginazione, di fallimenti e speranze, con uno sguardo rivolto a un futuro di ripresa e di rilancio. Un sogno cosciente in cui si lotta per affrancarsi da un passato complicato, per mettere le ali ad un progetto che da soli non sarebbe possibile realizzare, forse non soltanto per l’indisponibilità di risorse finanziarie, ma anche perché non sostenuti da un adeguato supporto di abilità professionali necessarie per tracciare e seguire il percorso delle proprie idee.</w:t>
      </w:r>
    </w:p>
    <w:p w14:paraId="6729D970" w14:textId="77777777" w:rsidR="00F83AF6" w:rsidRPr="00AC32F5" w:rsidRDefault="00F83AF6" w:rsidP="00F83AF6">
      <w:pPr>
        <w:spacing w:line="360" w:lineRule="auto"/>
        <w:jc w:val="both"/>
        <w:rPr>
          <w:rFonts w:ascii="Arial" w:hAnsi="Arial" w:cs="Arial"/>
          <w:sz w:val="24"/>
          <w:szCs w:val="24"/>
        </w:rPr>
      </w:pPr>
      <w:r>
        <w:rPr>
          <w:rFonts w:ascii="Arial" w:hAnsi="Arial" w:cs="Arial"/>
          <w:sz w:val="24"/>
          <w:szCs w:val="24"/>
        </w:rPr>
        <w:t>Poche certezze, calcoli misurati e soprattutto tanta fiducia in sé stessi o nella comunità di appartenenza, per una sfida che può ribaltare la sorte della vita e una volontà che deve confrontarsi con un mondo di logiche potenzialmente avverse e fagocitanti.</w:t>
      </w:r>
    </w:p>
    <w:p w14:paraId="4B878384" w14:textId="77777777" w:rsidR="00F83AF6" w:rsidRDefault="00F83AF6" w:rsidP="00F83AF6">
      <w:pPr>
        <w:spacing w:line="360" w:lineRule="auto"/>
        <w:jc w:val="both"/>
        <w:rPr>
          <w:rFonts w:ascii="Arial" w:hAnsi="Arial" w:cs="Arial"/>
          <w:sz w:val="24"/>
          <w:szCs w:val="24"/>
        </w:rPr>
      </w:pPr>
      <w:r w:rsidRPr="00AC32F5">
        <w:rPr>
          <w:rFonts w:ascii="Arial" w:hAnsi="Arial" w:cs="Arial"/>
          <w:sz w:val="24"/>
          <w:szCs w:val="24"/>
        </w:rPr>
        <w:t xml:space="preserve">Il microcredito è una storia che ha spinto l’economia, scienza di soddisfazione dei bisogni e di studi per l’allocazione </w:t>
      </w:r>
      <w:r>
        <w:rPr>
          <w:rFonts w:ascii="Arial" w:hAnsi="Arial" w:cs="Arial"/>
          <w:sz w:val="24"/>
          <w:szCs w:val="24"/>
        </w:rPr>
        <w:t xml:space="preserve">ottimale </w:t>
      </w:r>
      <w:r w:rsidRPr="00AC32F5">
        <w:rPr>
          <w:rFonts w:ascii="Arial" w:hAnsi="Arial" w:cs="Arial"/>
          <w:sz w:val="24"/>
          <w:szCs w:val="24"/>
        </w:rPr>
        <w:t xml:space="preserve">di risorse, a guardare in basso non per dedicarsi alla </w:t>
      </w:r>
      <w:r w:rsidRPr="00FE0A8A">
        <w:rPr>
          <w:rFonts w:ascii="Arial" w:hAnsi="Arial" w:cs="Arial"/>
          <w:i/>
          <w:iCs/>
          <w:sz w:val="24"/>
          <w:szCs w:val="24"/>
        </w:rPr>
        <w:t>charity</w:t>
      </w:r>
      <w:r>
        <w:rPr>
          <w:rStyle w:val="Rimandonotaapidipagina"/>
          <w:rFonts w:ascii="Arial" w:hAnsi="Arial" w:cs="Arial"/>
          <w:i/>
          <w:iCs/>
          <w:sz w:val="24"/>
          <w:szCs w:val="24"/>
        </w:rPr>
        <w:footnoteReference w:id="1"/>
      </w:r>
      <w:r>
        <w:rPr>
          <w:rFonts w:ascii="Arial" w:hAnsi="Arial" w:cs="Arial"/>
          <w:sz w:val="24"/>
          <w:szCs w:val="24"/>
        </w:rPr>
        <w:t xml:space="preserve"> ma per raccogliere e segnalare opportunità, conciliando la possibilità di apprezzare il merito creditizio in soggetti definiti “non bancabili” o scarsamente tali, sulla base di rapporti relazionali e quindi di garanzie immateriali, mettendo a loro disposizione, gradualmente, fondi di entità modesta per il conseguimento di obiettivi sostenibili, meritevoli per gli aspetti sociali ed economici connessi alla realizzazione del progetto da finanziare.</w:t>
      </w:r>
    </w:p>
    <w:p w14:paraId="28CD3306"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t>Ad affiancare ed esaltare la volontà di creare valore e sostenere valori, le misure adottate da leggi internazionali recepite negli ordinamenti interni, gli interventi dell’ONU e dell’Unione europea, degli Organi nazionali</w:t>
      </w:r>
      <w:r>
        <w:rPr>
          <w:rStyle w:val="Rimandonotaapidipagina"/>
          <w:rFonts w:ascii="Arial" w:hAnsi="Arial" w:cs="Arial"/>
          <w:sz w:val="24"/>
          <w:szCs w:val="24"/>
        </w:rPr>
        <w:footnoteReference w:id="2"/>
      </w:r>
      <w:r>
        <w:rPr>
          <w:rFonts w:ascii="Arial" w:hAnsi="Arial" w:cs="Arial"/>
          <w:sz w:val="24"/>
          <w:szCs w:val="24"/>
        </w:rPr>
        <w:t>, delle Istituzioni di Microfinanza (MFIs), delle Organizzazioni non Governative (ONG</w:t>
      </w:r>
      <w:r>
        <w:rPr>
          <w:rStyle w:val="Rimandonotaapidipagina"/>
          <w:rFonts w:ascii="Arial" w:hAnsi="Arial" w:cs="Arial"/>
          <w:sz w:val="24"/>
          <w:szCs w:val="24"/>
        </w:rPr>
        <w:footnoteReference w:id="3"/>
      </w:r>
      <w:r>
        <w:rPr>
          <w:rFonts w:ascii="Arial" w:hAnsi="Arial" w:cs="Arial"/>
          <w:sz w:val="24"/>
          <w:szCs w:val="24"/>
        </w:rPr>
        <w:t xml:space="preserve">), i fondi resi disponibili da enti locali e religiosi, la costituzione di banche etiche, le attività del terzo settore, quelle di opere, fondazioni e associazioni, la </w:t>
      </w:r>
      <w:r>
        <w:rPr>
          <w:rFonts w:ascii="Arial" w:hAnsi="Arial" w:cs="Arial"/>
          <w:sz w:val="24"/>
          <w:szCs w:val="24"/>
        </w:rPr>
        <w:lastRenderedPageBreak/>
        <w:t>diffusione di cooperative finanziarie mutualistiche, di prossimità, solidarietà e reciprocità, le reti di microfinanza. Questi sono i principali attori che hanno contribuito a costruire e consolidare le basi di una finanza alternativa, aperta alla valutazione di nuovi canali per la concessione dei crediti e anche informale, in quanto rappresentata da intermediari operativi in settori non ricompresi nei circuiti finanziari tradizionali.</w:t>
      </w:r>
    </w:p>
    <w:p w14:paraId="632B3F60"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t xml:space="preserve">Dalle crisi finanziarie e dal conseguente razionamento del credito (cd. </w:t>
      </w:r>
      <w:r w:rsidRPr="00366C6E">
        <w:rPr>
          <w:rFonts w:ascii="Arial" w:hAnsi="Arial" w:cs="Arial"/>
          <w:i/>
          <w:sz w:val="24"/>
          <w:szCs w:val="24"/>
        </w:rPr>
        <w:t xml:space="preserve">credit </w:t>
      </w:r>
      <w:r>
        <w:rPr>
          <w:rFonts w:ascii="Arial" w:hAnsi="Arial" w:cs="Arial"/>
          <w:i/>
          <w:sz w:val="24"/>
          <w:szCs w:val="24"/>
        </w:rPr>
        <w:t>rationing</w:t>
      </w:r>
      <w:r>
        <w:rPr>
          <w:rFonts w:ascii="Arial" w:hAnsi="Arial" w:cs="Arial"/>
          <w:sz w:val="24"/>
          <w:szCs w:val="24"/>
        </w:rPr>
        <w:t>), nasce quella che viene definita la “</w:t>
      </w:r>
      <w:r w:rsidRPr="00ED5216">
        <w:rPr>
          <w:rFonts w:ascii="Arial" w:hAnsi="Arial" w:cs="Arial"/>
          <w:i/>
          <w:sz w:val="24"/>
          <w:szCs w:val="24"/>
        </w:rPr>
        <w:t>finanza etica</w:t>
      </w:r>
      <w:r>
        <w:rPr>
          <w:rFonts w:ascii="Arial" w:hAnsi="Arial" w:cs="Arial"/>
          <w:sz w:val="24"/>
          <w:szCs w:val="24"/>
        </w:rPr>
        <w:t>”, la quale con l’applicazione dei suoi moduli operativi, tra cui il microcredito, pone attenzione alla centralità delle persone, nella convinzione che le loro esperienze e i loro progetti possano acquisire la necessaria credibilità utile all’elaborazione di un giudizio prognostico sulla possibile restituzione del credito affidato.</w:t>
      </w:r>
    </w:p>
    <w:p w14:paraId="0D2B29AF"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t>Il microcredito si è rapidamente sviluppato per assecondare finalità diverse, che si possono ricondurre in due settori</w:t>
      </w:r>
      <w:r>
        <w:rPr>
          <w:rStyle w:val="Rimandonotaapidipagina"/>
          <w:rFonts w:ascii="Arial" w:hAnsi="Arial" w:cs="Arial"/>
          <w:sz w:val="24"/>
          <w:szCs w:val="24"/>
        </w:rPr>
        <w:footnoteReference w:id="4"/>
      </w:r>
      <w:r>
        <w:rPr>
          <w:rFonts w:ascii="Arial" w:hAnsi="Arial" w:cs="Arial"/>
          <w:sz w:val="24"/>
          <w:szCs w:val="24"/>
        </w:rPr>
        <w:t xml:space="preserve"> che, essenzialmente, fanno riferimento, il primo, alle aree sociali, con l’obiettivo di sostenere l’inclusione finanziaria e il soddisfacimento di bisogni primari per i soggetti più deboli, quali il sostegno alle vittime di violenza, i processi di </w:t>
      </w:r>
      <w:r w:rsidRPr="00813095">
        <w:rPr>
          <w:rFonts w:ascii="Arial" w:hAnsi="Arial" w:cs="Arial"/>
          <w:i/>
          <w:iCs/>
          <w:sz w:val="24"/>
          <w:szCs w:val="24"/>
        </w:rPr>
        <w:t>empowerment</w:t>
      </w:r>
      <w:r>
        <w:rPr>
          <w:rFonts w:ascii="Arial" w:hAnsi="Arial" w:cs="Arial"/>
          <w:sz w:val="24"/>
          <w:szCs w:val="24"/>
        </w:rPr>
        <w:t>, l’</w:t>
      </w:r>
      <w:r w:rsidRPr="006C219F">
        <w:rPr>
          <w:rFonts w:ascii="Arial" w:hAnsi="Arial" w:cs="Arial"/>
          <w:i/>
          <w:iCs/>
          <w:sz w:val="24"/>
          <w:szCs w:val="24"/>
        </w:rPr>
        <w:t>housing</w:t>
      </w:r>
      <w:r>
        <w:rPr>
          <w:rFonts w:ascii="Arial" w:hAnsi="Arial" w:cs="Arial"/>
          <w:sz w:val="24"/>
          <w:szCs w:val="24"/>
        </w:rPr>
        <w:t xml:space="preserve">, l’istituzione di asili nido, aprendo anche opportunità per nuovi programmi di </w:t>
      </w:r>
      <w:r w:rsidRPr="00A354B9">
        <w:rPr>
          <w:rFonts w:ascii="Arial" w:hAnsi="Arial" w:cs="Arial"/>
          <w:i/>
          <w:iCs/>
          <w:sz w:val="24"/>
          <w:szCs w:val="24"/>
        </w:rPr>
        <w:t>welfare</w:t>
      </w:r>
      <w:r>
        <w:rPr>
          <w:rStyle w:val="Rimandonotaapidipagina"/>
          <w:rFonts w:ascii="Arial" w:hAnsi="Arial" w:cs="Arial"/>
          <w:sz w:val="24"/>
          <w:szCs w:val="24"/>
        </w:rPr>
        <w:footnoteReference w:id="5"/>
      </w:r>
      <w:r>
        <w:rPr>
          <w:rFonts w:ascii="Arial" w:hAnsi="Arial" w:cs="Arial"/>
          <w:sz w:val="24"/>
          <w:szCs w:val="24"/>
        </w:rPr>
        <w:t xml:space="preserve">, e il secondo rivolto alle attività di carattere imprenditoriale, supportando, tra l’altro, iniziative per lo sviluppo di </w:t>
      </w:r>
      <w:r w:rsidRPr="00552CFF">
        <w:rPr>
          <w:rFonts w:ascii="Arial" w:hAnsi="Arial" w:cs="Arial"/>
          <w:i/>
          <w:iCs/>
          <w:sz w:val="24"/>
          <w:szCs w:val="24"/>
        </w:rPr>
        <w:t>startup</w:t>
      </w:r>
      <w:r>
        <w:rPr>
          <w:rFonts w:ascii="Arial" w:hAnsi="Arial" w:cs="Arial"/>
          <w:sz w:val="24"/>
          <w:szCs w:val="24"/>
        </w:rPr>
        <w:t xml:space="preserve"> innovative e del </w:t>
      </w:r>
      <w:r w:rsidRPr="00B60030">
        <w:rPr>
          <w:rFonts w:ascii="Arial" w:hAnsi="Arial" w:cs="Arial"/>
          <w:i/>
          <w:iCs/>
          <w:sz w:val="24"/>
          <w:szCs w:val="24"/>
        </w:rPr>
        <w:t>self</w:t>
      </w:r>
      <w:r>
        <w:rPr>
          <w:rFonts w:ascii="Arial" w:hAnsi="Arial" w:cs="Arial"/>
          <w:i/>
          <w:iCs/>
          <w:sz w:val="24"/>
          <w:szCs w:val="24"/>
        </w:rPr>
        <w:t>-</w:t>
      </w:r>
      <w:r w:rsidRPr="00B60030">
        <w:rPr>
          <w:rFonts w:ascii="Arial" w:hAnsi="Arial" w:cs="Arial"/>
          <w:i/>
          <w:iCs/>
          <w:sz w:val="24"/>
          <w:szCs w:val="24"/>
        </w:rPr>
        <w:t>employment</w:t>
      </w:r>
      <w:r w:rsidRPr="005751F8">
        <w:rPr>
          <w:rStyle w:val="Rimandonotaapidipagina"/>
          <w:rFonts w:ascii="Arial" w:hAnsi="Arial" w:cs="Arial"/>
          <w:sz w:val="24"/>
          <w:szCs w:val="24"/>
        </w:rPr>
        <w:footnoteReference w:id="6"/>
      </w:r>
      <w:r>
        <w:rPr>
          <w:rFonts w:ascii="Arial" w:hAnsi="Arial" w:cs="Arial"/>
          <w:sz w:val="24"/>
          <w:szCs w:val="24"/>
        </w:rPr>
        <w:t>.</w:t>
      </w:r>
    </w:p>
    <w:p w14:paraId="4BEACFF4"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t>Un ventaglio di storie, di esperienze e di opportunità, spaccato di un mondo che aspira a trovare un varco aperto per soddisfare piccole e grandi esigenze in contesti di criticità</w:t>
      </w:r>
      <w:r>
        <w:rPr>
          <w:rStyle w:val="Rimandonotaapidipagina"/>
          <w:rFonts w:ascii="Arial" w:hAnsi="Arial" w:cs="Arial"/>
          <w:sz w:val="24"/>
          <w:szCs w:val="24"/>
        </w:rPr>
        <w:footnoteReference w:id="7"/>
      </w:r>
      <w:r>
        <w:rPr>
          <w:rFonts w:ascii="Arial" w:hAnsi="Arial" w:cs="Arial"/>
          <w:sz w:val="24"/>
          <w:szCs w:val="24"/>
        </w:rPr>
        <w:t xml:space="preserve">, per </w:t>
      </w:r>
      <w:r>
        <w:rPr>
          <w:rFonts w:ascii="Arial" w:hAnsi="Arial" w:cs="Arial"/>
          <w:sz w:val="24"/>
          <w:szCs w:val="24"/>
        </w:rPr>
        <w:lastRenderedPageBreak/>
        <w:t>creare imprese, lavoro e sviluppo, recuperando dignità e libertà</w:t>
      </w:r>
      <w:r>
        <w:rPr>
          <w:rStyle w:val="Rimandonotaapidipagina"/>
          <w:rFonts w:ascii="Arial" w:hAnsi="Arial" w:cs="Arial"/>
          <w:sz w:val="24"/>
          <w:szCs w:val="24"/>
        </w:rPr>
        <w:footnoteReference w:id="8"/>
      </w:r>
      <w:r>
        <w:rPr>
          <w:rFonts w:ascii="Arial" w:hAnsi="Arial" w:cs="Arial"/>
          <w:sz w:val="24"/>
          <w:szCs w:val="24"/>
        </w:rPr>
        <w:t>, stimolando integrazioni e sinergie che coinvolgono singoli, famiglie, gruppi e istituzioni</w:t>
      </w:r>
      <w:r>
        <w:rPr>
          <w:rStyle w:val="Rimandonotaapidipagina"/>
          <w:rFonts w:ascii="Arial" w:hAnsi="Arial" w:cs="Arial"/>
          <w:sz w:val="24"/>
          <w:szCs w:val="24"/>
        </w:rPr>
        <w:footnoteReference w:id="9"/>
      </w:r>
      <w:r>
        <w:rPr>
          <w:rFonts w:ascii="Arial" w:hAnsi="Arial" w:cs="Arial"/>
          <w:sz w:val="24"/>
          <w:szCs w:val="24"/>
        </w:rPr>
        <w:t>.</w:t>
      </w:r>
    </w:p>
    <w:p w14:paraId="0A389205"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t>In effetti, il riconoscimento del premio Nobel</w:t>
      </w:r>
      <w:r>
        <w:rPr>
          <w:rStyle w:val="Rimandonotaapidipagina"/>
          <w:rFonts w:ascii="Arial" w:hAnsi="Arial" w:cs="Arial"/>
          <w:sz w:val="24"/>
          <w:szCs w:val="24"/>
        </w:rPr>
        <w:footnoteReference w:id="10"/>
      </w:r>
      <w:r>
        <w:rPr>
          <w:rFonts w:ascii="Arial" w:hAnsi="Arial" w:cs="Arial"/>
          <w:sz w:val="24"/>
          <w:szCs w:val="24"/>
        </w:rPr>
        <w:t xml:space="preserve"> a colui che ha saputo, con notevole sagacia e determinazione, valorizzare la capacità dei poveri nel creare ricchezza con il loro semplice, modesto lavoro responsabilizzato dal senso di appartenenza al ceto</w:t>
      </w:r>
      <w:r>
        <w:rPr>
          <w:rStyle w:val="Rimandonotaapidipagina"/>
          <w:rFonts w:ascii="Arial" w:hAnsi="Arial" w:cs="Arial"/>
          <w:sz w:val="24"/>
          <w:szCs w:val="24"/>
        </w:rPr>
        <w:footnoteReference w:id="11"/>
      </w:r>
      <w:r>
        <w:rPr>
          <w:rFonts w:ascii="Arial" w:hAnsi="Arial" w:cs="Arial"/>
          <w:sz w:val="24"/>
          <w:szCs w:val="24"/>
        </w:rPr>
        <w:t>, rafforza l’etica di una finanza non comune, difficilmente credibile, vincitrice rispetto alle dinamiche di un pensiero unico che gira la faccia alla miseria e che difficilmente si piega ad assentire iniziative scarsamente redditizie</w:t>
      </w:r>
      <w:r>
        <w:rPr>
          <w:rStyle w:val="Rimandonotaapidipagina"/>
          <w:rFonts w:ascii="Arial" w:hAnsi="Arial" w:cs="Arial"/>
          <w:sz w:val="24"/>
          <w:szCs w:val="24"/>
        </w:rPr>
        <w:footnoteReference w:id="12"/>
      </w:r>
      <w:r>
        <w:rPr>
          <w:rFonts w:ascii="Arial" w:hAnsi="Arial" w:cs="Arial"/>
          <w:sz w:val="24"/>
          <w:szCs w:val="24"/>
        </w:rPr>
        <w:t>, che invece potrebbero essere motivo di crescita e di inclusione per una categoria di persone in stato di povertà e bisogno</w:t>
      </w:r>
      <w:r>
        <w:rPr>
          <w:rStyle w:val="Rimandonotaapidipagina"/>
          <w:rFonts w:ascii="Arial" w:hAnsi="Arial" w:cs="Arial"/>
          <w:sz w:val="24"/>
          <w:szCs w:val="24"/>
        </w:rPr>
        <w:footnoteReference w:id="13"/>
      </w:r>
      <w:r>
        <w:rPr>
          <w:rFonts w:ascii="Arial" w:hAnsi="Arial" w:cs="Arial"/>
          <w:sz w:val="24"/>
          <w:szCs w:val="24"/>
        </w:rPr>
        <w:t>. In tal modo si consentirebbe alle stesse di affrancarsi da forme meramente assistenziali, non sufficientemente utili per accompagnarle a una vera emancipazione, con il vantaggio di recuperare risorse da redistribuire ad altre esigenze primarie, riverberando, in tal modo, effetti positivi anche sulla spesa pubblica.</w:t>
      </w:r>
    </w:p>
    <w:p w14:paraId="37467D25"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t>Informati dello stesso spirito di integrazione economica e sociale, si annoverano gli altri strumenti elaborati dalla microfinanza</w:t>
      </w:r>
      <w:r>
        <w:rPr>
          <w:rStyle w:val="Rimandonotaapidipagina"/>
          <w:rFonts w:ascii="Arial" w:hAnsi="Arial" w:cs="Arial"/>
          <w:sz w:val="24"/>
          <w:szCs w:val="24"/>
        </w:rPr>
        <w:footnoteReference w:id="14"/>
      </w:r>
      <w:r>
        <w:rPr>
          <w:rFonts w:ascii="Arial" w:hAnsi="Arial" w:cs="Arial"/>
          <w:sz w:val="24"/>
          <w:szCs w:val="24"/>
        </w:rPr>
        <w:t xml:space="preserve"> per garantire l’accesso agli istituti definiti “micro”, tra i quali quelli riferiti a </w:t>
      </w:r>
      <w:r w:rsidRPr="00B5290A">
        <w:rPr>
          <w:rFonts w:ascii="Arial" w:hAnsi="Arial" w:cs="Arial"/>
          <w:sz w:val="24"/>
          <w:szCs w:val="24"/>
        </w:rPr>
        <w:t xml:space="preserve">leasing </w:t>
      </w:r>
      <w:r>
        <w:rPr>
          <w:rFonts w:ascii="Arial" w:hAnsi="Arial" w:cs="Arial"/>
          <w:sz w:val="24"/>
          <w:szCs w:val="24"/>
        </w:rPr>
        <w:t xml:space="preserve">leggeri, da attagliare alle specifiche esigenze dei piccoli imprenditori con bassi ricavi, oppure al settore </w:t>
      </w:r>
      <w:r w:rsidRPr="0054575A">
        <w:rPr>
          <w:rFonts w:ascii="Arial" w:hAnsi="Arial" w:cs="Arial"/>
          <w:i/>
          <w:iCs/>
          <w:sz w:val="24"/>
          <w:szCs w:val="24"/>
        </w:rPr>
        <w:t>insurance</w:t>
      </w:r>
      <w:r>
        <w:rPr>
          <w:rFonts w:ascii="Arial" w:hAnsi="Arial" w:cs="Arial"/>
          <w:sz w:val="24"/>
          <w:szCs w:val="24"/>
        </w:rPr>
        <w:t xml:space="preserve"> per la stipula di contratti “misurati”, in considerazione del loro </w:t>
      </w:r>
      <w:r w:rsidRPr="0054575A">
        <w:rPr>
          <w:rFonts w:ascii="Arial" w:hAnsi="Arial" w:cs="Arial"/>
          <w:i/>
          <w:iCs/>
          <w:sz w:val="24"/>
          <w:szCs w:val="24"/>
        </w:rPr>
        <w:t>status</w:t>
      </w:r>
      <w:r>
        <w:rPr>
          <w:rFonts w:ascii="Arial" w:hAnsi="Arial" w:cs="Arial"/>
          <w:sz w:val="24"/>
          <w:szCs w:val="24"/>
        </w:rPr>
        <w:t>, di polizze personali (vita, malattia, infortuni) e aziendali, per eventi naturali avversi (furti, incendi e sopravvenienze).</w:t>
      </w:r>
    </w:p>
    <w:p w14:paraId="263BB82E"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lastRenderedPageBreak/>
        <w:t>Tuttavia, le caratteristiche e le modalità attuative del microcredito presentano anche altri risvolti</w:t>
      </w:r>
      <w:r>
        <w:rPr>
          <w:rStyle w:val="Rimandonotaapidipagina"/>
          <w:rFonts w:ascii="Arial" w:hAnsi="Arial" w:cs="Arial"/>
          <w:sz w:val="24"/>
          <w:szCs w:val="24"/>
        </w:rPr>
        <w:footnoteReference w:id="15"/>
      </w:r>
      <w:r>
        <w:rPr>
          <w:rFonts w:ascii="Arial" w:hAnsi="Arial" w:cs="Arial"/>
          <w:sz w:val="24"/>
          <w:szCs w:val="24"/>
        </w:rPr>
        <w:t xml:space="preserve"> per le contrapposizioni</w:t>
      </w:r>
      <w:r>
        <w:rPr>
          <w:rStyle w:val="Rimandonotaapidipagina"/>
          <w:rFonts w:ascii="Arial" w:hAnsi="Arial" w:cs="Arial"/>
          <w:sz w:val="24"/>
          <w:szCs w:val="24"/>
        </w:rPr>
        <w:footnoteReference w:id="16"/>
      </w:r>
      <w:r>
        <w:rPr>
          <w:rFonts w:ascii="Arial" w:hAnsi="Arial" w:cs="Arial"/>
          <w:sz w:val="24"/>
          <w:szCs w:val="24"/>
        </w:rPr>
        <w:t xml:space="preserve"> che si rilevano, in alcune aree geografiche, nell’erogazione di prestiti con l’applicazione di tassi di interesse elevati</w:t>
      </w:r>
      <w:r>
        <w:rPr>
          <w:rStyle w:val="Rimandonotaapidipagina"/>
          <w:rFonts w:ascii="Arial" w:hAnsi="Arial" w:cs="Arial"/>
          <w:sz w:val="24"/>
          <w:szCs w:val="24"/>
        </w:rPr>
        <w:footnoteReference w:id="17"/>
      </w:r>
      <w:r>
        <w:rPr>
          <w:rFonts w:ascii="Arial" w:hAnsi="Arial" w:cs="Arial"/>
          <w:sz w:val="24"/>
          <w:szCs w:val="24"/>
        </w:rPr>
        <w:t>.</w:t>
      </w:r>
    </w:p>
    <w:p w14:paraId="5C1577FA"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t>In effetti, esiste ed è evidente un problema di sostenibilità dello strumento. Le istituzioni di microfinanza, per operare in equilibrio, dovrebbero essere in grado di autofinanziarsi ed essere indipendenti dalle donazioni e dagli aiuti esterni; quando queste condizioni non si verificano, per evitare il dissesto, devono rivedere il modello gestionale per l’economia dei costi e applicare ai prestiti interessi adeguati. Per l’attuazione delle politiche di sostenibilità, alcune MIFs si sono trasformate in istituti di credito rinunciando al modello operativo del non profit pur continuando a erogare prestiti per il microcredito, creando, nel proprio ambito organizzativo societario, divisioni o unità preposte allo specifico settore.</w:t>
      </w:r>
    </w:p>
    <w:p w14:paraId="3EA8A5A9" w14:textId="77777777" w:rsidR="00F83AF6" w:rsidRDefault="00F83AF6" w:rsidP="00F83AF6">
      <w:pPr>
        <w:spacing w:line="360" w:lineRule="auto"/>
        <w:jc w:val="both"/>
        <w:rPr>
          <w:rFonts w:ascii="Arial" w:hAnsi="Arial" w:cs="Arial"/>
          <w:sz w:val="24"/>
          <w:szCs w:val="24"/>
        </w:rPr>
      </w:pPr>
      <w:r>
        <w:rPr>
          <w:rFonts w:ascii="Arial" w:hAnsi="Arial" w:cs="Arial"/>
          <w:sz w:val="24"/>
          <w:szCs w:val="24"/>
        </w:rPr>
        <w:t xml:space="preserve">Il presente lavoro, esaurita una breve premessa ricostruttiva delle origini, si sofferma a rilevare le caratteristiche dei sistemi della finanza informale (capitolo I), espone la matrice regolamentare dello strumento, insieme alle opportunità dei Fondi Strutturali europei (capitolo II), per poi evidenziare il fenomeno della trasformazione commerciale del microcredito, illustrando i dati statistici di riferimento e le criticità delle risorse necessarie per la sostenibilità della microfinanza, riportando, infine, l’esito di una ricerca che descrive la profittabilità di investimenti impiegati per finanziare il microcredito nell’America latina mediante il </w:t>
      </w:r>
      <w:r w:rsidRPr="00481A8F">
        <w:rPr>
          <w:rFonts w:ascii="Arial" w:hAnsi="Arial" w:cs="Arial"/>
          <w:i/>
          <w:iCs/>
          <w:sz w:val="24"/>
          <w:szCs w:val="24"/>
        </w:rPr>
        <w:t>carry trade</w:t>
      </w:r>
      <w:r>
        <w:rPr>
          <w:rFonts w:ascii="Arial" w:hAnsi="Arial" w:cs="Arial"/>
          <w:sz w:val="24"/>
          <w:szCs w:val="24"/>
        </w:rPr>
        <w:t xml:space="preserve"> (capitolo III).</w:t>
      </w:r>
    </w:p>
    <w:p w14:paraId="66E81730" w14:textId="77777777" w:rsidR="00F83AF6" w:rsidRDefault="00F83AF6" w:rsidP="00F83AF6">
      <w:pPr>
        <w:rPr>
          <w:rFonts w:ascii="Arial" w:hAnsi="Arial" w:cs="Arial"/>
          <w:sz w:val="24"/>
          <w:szCs w:val="24"/>
        </w:rPr>
      </w:pPr>
      <w:r>
        <w:rPr>
          <w:rFonts w:ascii="Arial" w:hAnsi="Arial" w:cs="Arial"/>
          <w:sz w:val="24"/>
          <w:szCs w:val="24"/>
        </w:rPr>
        <w:br w:type="page"/>
      </w:r>
    </w:p>
    <w:p w14:paraId="70CE819F" w14:textId="77777777" w:rsidR="00F83AF6" w:rsidRDefault="00F83AF6" w:rsidP="00F83AF6">
      <w:pPr>
        <w:pStyle w:val="Paragrafoelenco"/>
        <w:numPr>
          <w:ilvl w:val="0"/>
          <w:numId w:val="2"/>
        </w:numPr>
        <w:tabs>
          <w:tab w:val="left" w:pos="8380"/>
        </w:tabs>
        <w:spacing w:after="0" w:line="360" w:lineRule="auto"/>
        <w:ind w:left="284" w:hanging="284"/>
        <w:jc w:val="both"/>
        <w:rPr>
          <w:rFonts w:ascii="Arial" w:hAnsi="Arial" w:cs="Arial"/>
          <w:b/>
          <w:bCs/>
          <w:sz w:val="24"/>
          <w:szCs w:val="24"/>
        </w:rPr>
      </w:pPr>
      <w:r w:rsidRPr="007D10D2">
        <w:rPr>
          <w:rFonts w:ascii="Arial" w:hAnsi="Arial" w:cs="Arial"/>
          <w:b/>
          <w:bCs/>
          <w:sz w:val="24"/>
          <w:szCs w:val="24"/>
        </w:rPr>
        <w:lastRenderedPageBreak/>
        <w:t xml:space="preserve">CAPITOLO I </w:t>
      </w:r>
      <w:r w:rsidRPr="003D3D98">
        <w:rPr>
          <w:rFonts w:ascii="Arial" w:hAnsi="Arial" w:cs="Arial"/>
          <w:b/>
          <w:bCs/>
        </w:rPr>
        <w:t>–</w:t>
      </w:r>
      <w:r w:rsidRPr="007D10D2">
        <w:rPr>
          <w:rFonts w:ascii="Arial" w:hAnsi="Arial" w:cs="Arial"/>
          <w:b/>
          <w:bCs/>
          <w:sz w:val="24"/>
          <w:szCs w:val="24"/>
        </w:rPr>
        <w:t xml:space="preserve"> ALLA RICERCA DELLE ORIGINI</w:t>
      </w:r>
    </w:p>
    <w:p w14:paraId="3D4FB443" w14:textId="77777777" w:rsidR="00F83AF6" w:rsidRPr="00EE54F7" w:rsidRDefault="00F83AF6" w:rsidP="00F83AF6">
      <w:pPr>
        <w:pStyle w:val="Paragrafoelenco"/>
        <w:tabs>
          <w:tab w:val="left" w:pos="8380"/>
        </w:tabs>
        <w:spacing w:after="0" w:line="360" w:lineRule="auto"/>
        <w:ind w:left="284"/>
        <w:jc w:val="both"/>
        <w:rPr>
          <w:rFonts w:ascii="Arial" w:hAnsi="Arial" w:cs="Arial"/>
          <w:sz w:val="24"/>
          <w:szCs w:val="24"/>
        </w:rPr>
      </w:pPr>
    </w:p>
    <w:p w14:paraId="35C33FCA" w14:textId="77777777" w:rsidR="00F83AF6" w:rsidRDefault="00F83AF6" w:rsidP="00F83AF6">
      <w:pPr>
        <w:tabs>
          <w:tab w:val="left" w:pos="426"/>
          <w:tab w:val="left" w:pos="1418"/>
        </w:tabs>
        <w:spacing w:after="0" w:line="360" w:lineRule="auto"/>
        <w:ind w:left="851" w:hanging="567"/>
        <w:jc w:val="both"/>
        <w:rPr>
          <w:rFonts w:ascii="Arial" w:hAnsi="Arial" w:cs="Arial"/>
          <w:b/>
          <w:bCs/>
          <w:sz w:val="24"/>
          <w:szCs w:val="24"/>
        </w:rPr>
      </w:pPr>
      <w:r>
        <w:rPr>
          <w:rFonts w:ascii="Arial" w:hAnsi="Arial" w:cs="Arial"/>
          <w:b/>
          <w:bCs/>
          <w:sz w:val="24"/>
          <w:szCs w:val="24"/>
        </w:rPr>
        <w:t>2.a.</w:t>
      </w:r>
      <w:r>
        <w:rPr>
          <w:rFonts w:ascii="Arial" w:hAnsi="Arial" w:cs="Arial"/>
          <w:b/>
          <w:bCs/>
          <w:sz w:val="24"/>
          <w:szCs w:val="24"/>
        </w:rPr>
        <w:tab/>
        <w:t>T</w:t>
      </w:r>
      <w:r w:rsidRPr="005E325A">
        <w:rPr>
          <w:rFonts w:ascii="Arial" w:hAnsi="Arial" w:cs="Arial"/>
          <w:b/>
          <w:bCs/>
          <w:sz w:val="24"/>
          <w:szCs w:val="24"/>
        </w:rPr>
        <w:t xml:space="preserve">RA MITI E REALTA’: </w:t>
      </w:r>
    </w:p>
    <w:p w14:paraId="1E72ECDF" w14:textId="77777777" w:rsidR="00F83AF6" w:rsidRPr="005E325A" w:rsidRDefault="00F83AF6" w:rsidP="00F83AF6">
      <w:pPr>
        <w:tabs>
          <w:tab w:val="left" w:pos="8380"/>
        </w:tabs>
        <w:spacing w:after="0" w:line="360" w:lineRule="auto"/>
        <w:ind w:left="851"/>
        <w:jc w:val="both"/>
        <w:rPr>
          <w:rFonts w:ascii="Arial" w:hAnsi="Arial" w:cs="Arial"/>
          <w:b/>
          <w:bCs/>
          <w:sz w:val="24"/>
          <w:szCs w:val="24"/>
        </w:rPr>
      </w:pPr>
      <w:r w:rsidRPr="005E325A">
        <w:rPr>
          <w:rFonts w:ascii="Arial" w:hAnsi="Arial" w:cs="Arial"/>
          <w:b/>
          <w:bCs/>
          <w:sz w:val="24"/>
          <w:szCs w:val="24"/>
        </w:rPr>
        <w:t>STORIE DEL MICROCREDITO DI TERRE LONTANE E VICINE</w:t>
      </w:r>
    </w:p>
    <w:p w14:paraId="39F5DB3D" w14:textId="77777777" w:rsidR="00F83AF6" w:rsidRPr="001C4637" w:rsidRDefault="00F83AF6" w:rsidP="00F83AF6">
      <w:pPr>
        <w:spacing w:after="0" w:line="360" w:lineRule="auto"/>
        <w:ind w:left="284"/>
        <w:jc w:val="both"/>
        <w:rPr>
          <w:rFonts w:ascii="Arial" w:hAnsi="Arial" w:cs="Arial"/>
          <w:sz w:val="24"/>
          <w:szCs w:val="24"/>
        </w:rPr>
      </w:pPr>
    </w:p>
    <w:p w14:paraId="27E87DCA" w14:textId="77777777" w:rsidR="00F83AF6" w:rsidRPr="007D10D2" w:rsidRDefault="00F83AF6" w:rsidP="00F83AF6">
      <w:pPr>
        <w:pStyle w:val="Paragrafoelenco"/>
        <w:spacing w:line="360" w:lineRule="auto"/>
        <w:ind w:left="0" w:firstLine="567"/>
        <w:jc w:val="both"/>
        <w:rPr>
          <w:rFonts w:ascii="Arial" w:hAnsi="Arial" w:cs="Arial"/>
          <w:sz w:val="24"/>
          <w:szCs w:val="24"/>
        </w:rPr>
      </w:pPr>
      <w:r w:rsidRPr="007D10D2">
        <w:rPr>
          <w:rFonts w:ascii="Arial" w:hAnsi="Arial" w:cs="Arial"/>
          <w:sz w:val="24"/>
          <w:szCs w:val="24"/>
        </w:rPr>
        <w:t>La storia del microcredito ha origini antiche</w:t>
      </w:r>
      <w:r>
        <w:rPr>
          <w:rFonts w:ascii="Arial" w:hAnsi="Arial" w:cs="Arial"/>
          <w:sz w:val="24"/>
          <w:szCs w:val="24"/>
        </w:rPr>
        <w:t xml:space="preserve">; </w:t>
      </w:r>
      <w:r w:rsidRPr="007D10D2">
        <w:rPr>
          <w:rFonts w:ascii="Arial" w:hAnsi="Arial" w:cs="Arial"/>
          <w:sz w:val="24"/>
          <w:szCs w:val="24"/>
        </w:rPr>
        <w:t>già a partire dal II secolo a.C.</w:t>
      </w:r>
      <w:r>
        <w:rPr>
          <w:rFonts w:ascii="Arial" w:hAnsi="Arial" w:cs="Arial"/>
          <w:sz w:val="24"/>
          <w:szCs w:val="24"/>
        </w:rPr>
        <w:t>,</w:t>
      </w:r>
      <w:r w:rsidRPr="007D10D2">
        <w:rPr>
          <w:rFonts w:ascii="Arial" w:hAnsi="Arial" w:cs="Arial"/>
          <w:sz w:val="24"/>
          <w:szCs w:val="24"/>
        </w:rPr>
        <w:t xml:space="preserve"> si ha notizia che nella bassa Mesopotamia veniva praticata l’erogazione di prestiti di sussistenza, a tasso infruttifero</w:t>
      </w:r>
      <w:r w:rsidRPr="007D10D2">
        <w:rPr>
          <w:rStyle w:val="Rimandonotaapidipagina"/>
          <w:rFonts w:ascii="Arial" w:hAnsi="Arial" w:cs="Arial"/>
          <w:sz w:val="24"/>
          <w:szCs w:val="24"/>
        </w:rPr>
        <w:footnoteReference w:id="18"/>
      </w:r>
      <w:r w:rsidRPr="007D10D2">
        <w:rPr>
          <w:rFonts w:ascii="Arial" w:hAnsi="Arial" w:cs="Arial"/>
          <w:sz w:val="24"/>
          <w:szCs w:val="24"/>
        </w:rPr>
        <w:t>, a favore degli operai dei templi e dei palazzi dinastici.</w:t>
      </w:r>
    </w:p>
    <w:p w14:paraId="1D2E84ED" w14:textId="77777777" w:rsidR="00F83AF6" w:rsidRDefault="00F83AF6" w:rsidP="00F83AF6">
      <w:pPr>
        <w:pStyle w:val="Paragrafoelenco"/>
        <w:spacing w:line="360" w:lineRule="auto"/>
        <w:ind w:left="0"/>
        <w:jc w:val="both"/>
        <w:rPr>
          <w:rFonts w:ascii="Arial" w:hAnsi="Arial" w:cs="Arial"/>
          <w:sz w:val="24"/>
          <w:szCs w:val="24"/>
        </w:rPr>
      </w:pPr>
      <w:r w:rsidRPr="007D10D2">
        <w:rPr>
          <w:rFonts w:ascii="Arial" w:hAnsi="Arial" w:cs="Arial"/>
          <w:sz w:val="24"/>
          <w:szCs w:val="24"/>
        </w:rPr>
        <w:t>Dal XIII al XIV secolo d.C. iniziarono a diffondersi in Europa</w:t>
      </w:r>
      <w:r>
        <w:rPr>
          <w:rFonts w:ascii="Arial" w:hAnsi="Arial" w:cs="Arial"/>
          <w:sz w:val="24"/>
          <w:szCs w:val="24"/>
        </w:rPr>
        <w:t>,</w:t>
      </w:r>
      <w:r w:rsidRPr="007D10D2">
        <w:rPr>
          <w:rFonts w:ascii="Arial" w:hAnsi="Arial" w:cs="Arial"/>
          <w:sz w:val="24"/>
          <w:szCs w:val="24"/>
        </w:rPr>
        <w:t xml:space="preserve"> in particolare in Italia, le attività dei Monti dei Pietà (o Monti Pii)</w:t>
      </w:r>
      <w:r w:rsidRPr="007D10D2">
        <w:rPr>
          <w:rStyle w:val="Rimandonotaapidipagina"/>
          <w:rFonts w:ascii="Arial" w:hAnsi="Arial" w:cs="Arial"/>
          <w:sz w:val="24"/>
          <w:szCs w:val="24"/>
        </w:rPr>
        <w:footnoteReference w:id="19"/>
      </w:r>
      <w:r w:rsidRPr="007D10D2">
        <w:rPr>
          <w:rFonts w:ascii="Arial" w:hAnsi="Arial" w:cs="Arial"/>
          <w:sz w:val="24"/>
          <w:szCs w:val="24"/>
        </w:rPr>
        <w:t>, istituzioni francescane di carattere finanziario, senza scopo di lucro, propagat</w:t>
      </w:r>
      <w:r>
        <w:rPr>
          <w:rFonts w:ascii="Arial" w:hAnsi="Arial" w:cs="Arial"/>
          <w:sz w:val="24"/>
          <w:szCs w:val="24"/>
        </w:rPr>
        <w:t>e</w:t>
      </w:r>
      <w:r w:rsidRPr="007D10D2">
        <w:rPr>
          <w:rFonts w:ascii="Arial" w:hAnsi="Arial" w:cs="Arial"/>
          <w:sz w:val="24"/>
          <w:szCs w:val="24"/>
        </w:rPr>
        <w:t xml:space="preserve"> dall’attuazione del pensiero politico-sociale dei Frati Osservanti e</w:t>
      </w:r>
      <w:r>
        <w:rPr>
          <w:rFonts w:ascii="Arial" w:hAnsi="Arial" w:cs="Arial"/>
          <w:sz w:val="24"/>
          <w:szCs w:val="24"/>
        </w:rPr>
        <w:t xml:space="preserve"> nello specifico </w:t>
      </w:r>
      <w:r w:rsidRPr="007D10D2">
        <w:rPr>
          <w:rFonts w:ascii="Arial" w:hAnsi="Arial" w:cs="Arial"/>
          <w:sz w:val="24"/>
          <w:szCs w:val="24"/>
        </w:rPr>
        <w:t>dal contrasto delle pratiche usuraie, finalizzat</w:t>
      </w:r>
      <w:r>
        <w:rPr>
          <w:rFonts w:ascii="Arial" w:hAnsi="Arial" w:cs="Arial"/>
          <w:sz w:val="24"/>
          <w:szCs w:val="24"/>
        </w:rPr>
        <w:t>e</w:t>
      </w:r>
      <w:r w:rsidRPr="007D10D2">
        <w:rPr>
          <w:rFonts w:ascii="Arial" w:hAnsi="Arial" w:cs="Arial"/>
          <w:sz w:val="24"/>
          <w:szCs w:val="24"/>
        </w:rPr>
        <w:t xml:space="preserve"> ad assicurare la disponibilità di crediti di natura assistenziale</w:t>
      </w:r>
      <w:r>
        <w:rPr>
          <w:rFonts w:ascii="Arial" w:hAnsi="Arial" w:cs="Arial"/>
          <w:sz w:val="24"/>
          <w:szCs w:val="24"/>
        </w:rPr>
        <w:t>,</w:t>
      </w:r>
      <w:r w:rsidRPr="007D10D2">
        <w:rPr>
          <w:rFonts w:ascii="Arial" w:hAnsi="Arial" w:cs="Arial"/>
          <w:sz w:val="24"/>
          <w:szCs w:val="24"/>
        </w:rPr>
        <w:t xml:space="preserve"> garantiti da un pegno su beni mobili. Dalla comune matrice religiosa si svilupparono diverse categorie di istituti, tra i quali i Monti frumentari</w:t>
      </w:r>
      <w:r w:rsidRPr="007D10D2">
        <w:rPr>
          <w:rStyle w:val="Rimandonotaapidipagina"/>
          <w:rFonts w:ascii="Arial" w:hAnsi="Arial" w:cs="Arial"/>
          <w:sz w:val="24"/>
          <w:szCs w:val="24"/>
        </w:rPr>
        <w:footnoteReference w:id="20"/>
      </w:r>
      <w:r w:rsidRPr="007D10D2">
        <w:rPr>
          <w:rFonts w:ascii="Arial" w:hAnsi="Arial" w:cs="Arial"/>
          <w:sz w:val="24"/>
          <w:szCs w:val="24"/>
        </w:rPr>
        <w:t xml:space="preserve"> (detti anche granatici o di soccorso), la cui funzione era </w:t>
      </w:r>
      <w:r>
        <w:rPr>
          <w:rFonts w:ascii="Arial" w:hAnsi="Arial" w:cs="Arial"/>
          <w:sz w:val="24"/>
          <w:szCs w:val="24"/>
        </w:rPr>
        <w:t xml:space="preserve">quella di </w:t>
      </w:r>
      <w:r w:rsidRPr="007D10D2">
        <w:rPr>
          <w:rFonts w:ascii="Arial" w:hAnsi="Arial" w:cs="Arial"/>
          <w:sz w:val="24"/>
          <w:szCs w:val="24"/>
        </w:rPr>
        <w:t>contribuire alla continuità dei raccolti mediante prestazioni gratuite di lavoro</w:t>
      </w:r>
      <w:r w:rsidRPr="007D10D2">
        <w:rPr>
          <w:rStyle w:val="Rimandonotaapidipagina"/>
          <w:rFonts w:ascii="Arial" w:hAnsi="Arial" w:cs="Arial"/>
          <w:sz w:val="24"/>
          <w:szCs w:val="24"/>
        </w:rPr>
        <w:footnoteReference w:id="21"/>
      </w:r>
      <w:r>
        <w:rPr>
          <w:rFonts w:ascii="Arial" w:hAnsi="Arial" w:cs="Arial"/>
          <w:sz w:val="24"/>
          <w:szCs w:val="24"/>
        </w:rPr>
        <w:t xml:space="preserve"> </w:t>
      </w:r>
      <w:r w:rsidRPr="007D10D2">
        <w:rPr>
          <w:rFonts w:ascii="Arial" w:hAnsi="Arial" w:cs="Arial"/>
          <w:sz w:val="24"/>
          <w:szCs w:val="24"/>
        </w:rPr>
        <w:t>allo scopo di garantire semenze da destinare ai contadini che non potevano acquistarle ovvero per finanziarne l’esercizio dell’attività agricola a favore degli indigenti</w:t>
      </w:r>
      <w:r w:rsidRPr="007D10D2">
        <w:rPr>
          <w:rStyle w:val="Rimandonotaapidipagina"/>
          <w:rFonts w:ascii="Arial" w:hAnsi="Arial" w:cs="Arial"/>
          <w:sz w:val="24"/>
          <w:szCs w:val="24"/>
        </w:rPr>
        <w:footnoteReference w:id="22"/>
      </w:r>
      <w:r w:rsidRPr="007D10D2">
        <w:rPr>
          <w:rFonts w:ascii="Arial" w:hAnsi="Arial" w:cs="Arial"/>
          <w:sz w:val="24"/>
          <w:szCs w:val="24"/>
        </w:rPr>
        <w:t>.</w:t>
      </w:r>
    </w:p>
    <w:p w14:paraId="1CAE4A12" w14:textId="77777777" w:rsidR="00F83AF6" w:rsidRPr="007D10D2" w:rsidRDefault="00F83AF6" w:rsidP="00F83AF6">
      <w:pPr>
        <w:pStyle w:val="Paragrafoelenco"/>
        <w:spacing w:line="360" w:lineRule="auto"/>
        <w:ind w:left="0"/>
        <w:jc w:val="both"/>
        <w:rPr>
          <w:rFonts w:ascii="Arial" w:hAnsi="Arial" w:cs="Arial"/>
          <w:sz w:val="24"/>
          <w:szCs w:val="24"/>
        </w:rPr>
      </w:pPr>
      <w:r w:rsidRPr="007D10D2">
        <w:rPr>
          <w:rFonts w:ascii="Arial" w:hAnsi="Arial" w:cs="Arial"/>
          <w:sz w:val="24"/>
          <w:szCs w:val="24"/>
        </w:rPr>
        <w:lastRenderedPageBreak/>
        <w:t>Ampia diffusione, già a partire dal IV secolo</w:t>
      </w:r>
      <w:r w:rsidRPr="007D10D2">
        <w:rPr>
          <w:rStyle w:val="Rimandonotaapidipagina"/>
          <w:rFonts w:ascii="Arial" w:hAnsi="Arial" w:cs="Arial"/>
          <w:sz w:val="24"/>
          <w:szCs w:val="24"/>
        </w:rPr>
        <w:footnoteReference w:id="23"/>
      </w:r>
      <w:r w:rsidRPr="007D10D2">
        <w:rPr>
          <w:rFonts w:ascii="Arial" w:hAnsi="Arial" w:cs="Arial"/>
          <w:sz w:val="24"/>
          <w:szCs w:val="24"/>
        </w:rPr>
        <w:t xml:space="preserve">, hanno avuto anche le </w:t>
      </w:r>
      <w:r w:rsidRPr="007D10D2">
        <w:rPr>
          <w:rFonts w:ascii="Arial" w:hAnsi="Arial" w:cs="Arial"/>
          <w:i/>
          <w:iCs/>
          <w:sz w:val="24"/>
          <w:szCs w:val="24"/>
        </w:rPr>
        <w:t>Rotating Savings and Credit Association</w:t>
      </w:r>
      <w:r w:rsidRPr="007D10D2">
        <w:rPr>
          <w:rFonts w:ascii="Arial" w:hAnsi="Arial" w:cs="Arial"/>
          <w:sz w:val="24"/>
          <w:szCs w:val="24"/>
        </w:rPr>
        <w:t>. (RoSCAs)</w:t>
      </w:r>
      <w:r w:rsidRPr="007D10D2">
        <w:rPr>
          <w:rStyle w:val="Rimandonotaapidipagina"/>
          <w:rFonts w:ascii="Arial" w:hAnsi="Arial" w:cs="Arial"/>
          <w:sz w:val="24"/>
          <w:szCs w:val="24"/>
        </w:rPr>
        <w:footnoteReference w:id="24"/>
      </w:r>
      <w:r w:rsidRPr="007D10D2">
        <w:rPr>
          <w:rFonts w:ascii="Arial" w:hAnsi="Arial" w:cs="Arial"/>
          <w:sz w:val="24"/>
          <w:szCs w:val="24"/>
        </w:rPr>
        <w:t xml:space="preserve"> e le </w:t>
      </w:r>
      <w:r w:rsidRPr="007D10D2">
        <w:rPr>
          <w:rFonts w:ascii="Arial" w:hAnsi="Arial" w:cs="Arial"/>
          <w:i/>
          <w:iCs/>
          <w:sz w:val="24"/>
          <w:szCs w:val="24"/>
        </w:rPr>
        <w:t>Accumulating Savings and Credit Association</w:t>
      </w:r>
      <w:r w:rsidRPr="007D10D2">
        <w:rPr>
          <w:rFonts w:ascii="Arial" w:hAnsi="Arial" w:cs="Arial"/>
          <w:sz w:val="24"/>
          <w:szCs w:val="24"/>
        </w:rPr>
        <w:t xml:space="preserve"> (ASCRAs)</w:t>
      </w:r>
      <w:r w:rsidRPr="007D10D2">
        <w:rPr>
          <w:rStyle w:val="Rimandonotaapidipagina"/>
          <w:rFonts w:ascii="Arial" w:hAnsi="Arial" w:cs="Arial"/>
          <w:sz w:val="24"/>
          <w:szCs w:val="24"/>
        </w:rPr>
        <w:footnoteReference w:id="25"/>
      </w:r>
      <w:r w:rsidRPr="007D10D2">
        <w:rPr>
          <w:rFonts w:ascii="Arial" w:hAnsi="Arial" w:cs="Arial"/>
          <w:sz w:val="24"/>
          <w:szCs w:val="24"/>
        </w:rPr>
        <w:t>, aggregazioni finalizzate alla raccolta di fondi e alla condivisione del risparmio</w:t>
      </w:r>
      <w:r w:rsidRPr="007D10D2">
        <w:rPr>
          <w:rStyle w:val="Rimandonotaapidipagina"/>
          <w:rFonts w:ascii="Arial" w:hAnsi="Arial" w:cs="Arial"/>
          <w:sz w:val="24"/>
          <w:szCs w:val="24"/>
        </w:rPr>
        <w:footnoteReference w:id="26"/>
      </w:r>
      <w:r w:rsidRPr="007D10D2">
        <w:rPr>
          <w:rFonts w:ascii="Arial" w:hAnsi="Arial" w:cs="Arial"/>
          <w:sz w:val="24"/>
          <w:szCs w:val="24"/>
        </w:rPr>
        <w:t>.</w:t>
      </w:r>
    </w:p>
    <w:p w14:paraId="655C6370" w14:textId="77777777" w:rsidR="00F83AF6" w:rsidRPr="007D10D2" w:rsidRDefault="00F83AF6" w:rsidP="00F83AF6">
      <w:pPr>
        <w:spacing w:after="0" w:line="360" w:lineRule="auto"/>
        <w:jc w:val="both"/>
        <w:rPr>
          <w:rFonts w:ascii="Arial" w:hAnsi="Arial" w:cs="Arial"/>
          <w:sz w:val="24"/>
          <w:szCs w:val="24"/>
        </w:rPr>
      </w:pPr>
      <w:r w:rsidRPr="007D10D2">
        <w:rPr>
          <w:rFonts w:ascii="Arial" w:hAnsi="Arial" w:cs="Arial"/>
          <w:sz w:val="24"/>
          <w:szCs w:val="24"/>
        </w:rPr>
        <w:t>Nel 1650, Lorenzo de Tonti</w:t>
      </w:r>
      <w:r w:rsidRPr="007D10D2">
        <w:rPr>
          <w:rStyle w:val="Rimandonotaapidipagina"/>
          <w:rFonts w:ascii="Arial" w:hAnsi="Arial" w:cs="Arial"/>
          <w:sz w:val="24"/>
          <w:szCs w:val="24"/>
        </w:rPr>
        <w:footnoteReference w:id="27"/>
      </w:r>
      <w:r w:rsidRPr="007D10D2">
        <w:rPr>
          <w:rFonts w:ascii="Arial" w:hAnsi="Arial" w:cs="Arial"/>
          <w:sz w:val="24"/>
          <w:szCs w:val="24"/>
        </w:rPr>
        <w:t xml:space="preserve"> ideò un sistema di raccolta di fondi</w:t>
      </w:r>
      <w:r w:rsidRPr="007D10D2">
        <w:rPr>
          <w:rStyle w:val="Rimandonotaapidipagina"/>
          <w:rFonts w:ascii="Arial" w:hAnsi="Arial" w:cs="Arial"/>
          <w:sz w:val="24"/>
          <w:szCs w:val="24"/>
        </w:rPr>
        <w:footnoteReference w:id="28"/>
      </w:r>
      <w:r w:rsidRPr="007D10D2">
        <w:rPr>
          <w:rFonts w:ascii="Arial" w:hAnsi="Arial" w:cs="Arial"/>
          <w:sz w:val="24"/>
          <w:szCs w:val="24"/>
        </w:rPr>
        <w:t xml:space="preserve">, ovvero l’istituto delle </w:t>
      </w:r>
      <w:r w:rsidRPr="00026F4B">
        <w:rPr>
          <w:rFonts w:ascii="Arial" w:hAnsi="Arial" w:cs="Arial"/>
          <w:sz w:val="24"/>
          <w:szCs w:val="24"/>
        </w:rPr>
        <w:t>“tontine</w:t>
      </w:r>
      <w:r>
        <w:rPr>
          <w:rFonts w:ascii="Arial" w:hAnsi="Arial" w:cs="Arial"/>
          <w:sz w:val="24"/>
          <w:szCs w:val="24"/>
        </w:rPr>
        <w:t>”</w:t>
      </w:r>
      <w:r w:rsidRPr="007D10D2">
        <w:rPr>
          <w:rFonts w:ascii="Arial" w:hAnsi="Arial" w:cs="Arial"/>
          <w:sz w:val="24"/>
          <w:szCs w:val="24"/>
        </w:rPr>
        <w:t xml:space="preserve">, destinato al finanziamento del debito pubblico, che a fronte del versamento di un capitale da parte dei risparmiatori garantiva una rendita vitalizia proporzionata alle somme anticipate. Lo schema prevedeva che al decesso di un sottoscrittore, la rendita vitalizia a questi attribuita in vita fosse ripartita e pagata ai sopravvissuti della sua classe di età, fino alla morte dell'ultimo individuo di quella classe. </w:t>
      </w:r>
      <w:r>
        <w:rPr>
          <w:rFonts w:ascii="Arial" w:hAnsi="Arial" w:cs="Arial"/>
          <w:sz w:val="24"/>
          <w:szCs w:val="24"/>
        </w:rPr>
        <w:t>Al susseguirsi del</w:t>
      </w:r>
      <w:r w:rsidRPr="007D10D2">
        <w:rPr>
          <w:rFonts w:ascii="Arial" w:hAnsi="Arial" w:cs="Arial"/>
          <w:sz w:val="24"/>
          <w:szCs w:val="24"/>
        </w:rPr>
        <w:t xml:space="preserve">le evenienze, alla morte dell’ultimo sottoscrittore, l’intero capitale sarebbe stato </w:t>
      </w:r>
      <w:r>
        <w:rPr>
          <w:rFonts w:ascii="Arial" w:hAnsi="Arial" w:cs="Arial"/>
          <w:sz w:val="24"/>
          <w:szCs w:val="24"/>
        </w:rPr>
        <w:t>trasferito alle casse statali</w:t>
      </w:r>
      <w:r w:rsidRPr="007D10D2">
        <w:rPr>
          <w:rFonts w:ascii="Arial" w:hAnsi="Arial" w:cs="Arial"/>
          <w:sz w:val="24"/>
          <w:szCs w:val="24"/>
        </w:rPr>
        <w:t>.</w:t>
      </w:r>
    </w:p>
    <w:p w14:paraId="245FA3CB" w14:textId="77777777" w:rsidR="00F83AF6" w:rsidRPr="007D10D2" w:rsidRDefault="00F83AF6" w:rsidP="00F83AF6">
      <w:pPr>
        <w:pStyle w:val="Paragrafoelenco"/>
        <w:spacing w:line="360" w:lineRule="auto"/>
        <w:ind w:left="0"/>
        <w:jc w:val="both"/>
        <w:rPr>
          <w:rFonts w:ascii="Arial" w:hAnsi="Arial" w:cs="Arial"/>
          <w:sz w:val="24"/>
          <w:szCs w:val="24"/>
        </w:rPr>
      </w:pPr>
      <w:r w:rsidRPr="007D10D2">
        <w:rPr>
          <w:rFonts w:ascii="Arial" w:hAnsi="Arial" w:cs="Arial"/>
          <w:sz w:val="24"/>
          <w:szCs w:val="24"/>
        </w:rPr>
        <w:t>Il modello de Tonti viene oggi utilizzato quale schema per le assicurazioni sulla vita</w:t>
      </w:r>
      <w:r w:rsidRPr="007D10D2">
        <w:rPr>
          <w:rStyle w:val="Rimandonotaapidipagina"/>
          <w:rFonts w:ascii="Arial" w:hAnsi="Arial" w:cs="Arial"/>
          <w:sz w:val="24"/>
          <w:szCs w:val="24"/>
        </w:rPr>
        <w:footnoteReference w:id="29"/>
      </w:r>
      <w:r w:rsidRPr="007D10D2">
        <w:rPr>
          <w:rFonts w:ascii="Arial" w:hAnsi="Arial" w:cs="Arial"/>
          <w:sz w:val="24"/>
          <w:szCs w:val="24"/>
        </w:rPr>
        <w:t xml:space="preserve"> e in alcune regioni africane francofone quale sistema informale di operazioni di microcredito.</w:t>
      </w:r>
    </w:p>
    <w:p w14:paraId="041B7000" w14:textId="77777777" w:rsidR="00F83AF6" w:rsidRDefault="00F83AF6" w:rsidP="00F83AF6">
      <w:pPr>
        <w:pStyle w:val="Nessunaspaziatura"/>
        <w:spacing w:line="360" w:lineRule="auto"/>
        <w:jc w:val="both"/>
        <w:rPr>
          <w:rFonts w:ascii="Arial" w:hAnsi="Arial" w:cs="Arial"/>
          <w:sz w:val="24"/>
          <w:szCs w:val="24"/>
        </w:rPr>
      </w:pPr>
      <w:r>
        <w:rPr>
          <w:rFonts w:ascii="Arial" w:hAnsi="Arial" w:cs="Arial"/>
          <w:sz w:val="24"/>
          <w:szCs w:val="24"/>
        </w:rPr>
        <w:t>In Irlanda, n</w:t>
      </w:r>
      <w:r w:rsidRPr="007D10D2">
        <w:rPr>
          <w:rFonts w:ascii="Arial" w:hAnsi="Arial" w:cs="Arial"/>
          <w:sz w:val="24"/>
          <w:szCs w:val="24"/>
        </w:rPr>
        <w:t xml:space="preserve">el corso del 1700, sorsero diverse iniziative che possono essere </w:t>
      </w:r>
      <w:r>
        <w:rPr>
          <w:rFonts w:ascii="Arial" w:hAnsi="Arial" w:cs="Arial"/>
          <w:sz w:val="24"/>
          <w:szCs w:val="24"/>
        </w:rPr>
        <w:t>qualificate anticipatrici d</w:t>
      </w:r>
      <w:r w:rsidRPr="007D10D2">
        <w:rPr>
          <w:rFonts w:ascii="Arial" w:hAnsi="Arial" w:cs="Arial"/>
          <w:sz w:val="24"/>
          <w:szCs w:val="24"/>
        </w:rPr>
        <w:t xml:space="preserve">ella storia del microcredito e </w:t>
      </w:r>
      <w:r>
        <w:rPr>
          <w:rFonts w:ascii="Arial" w:hAnsi="Arial" w:cs="Arial"/>
          <w:sz w:val="24"/>
          <w:szCs w:val="24"/>
        </w:rPr>
        <w:t>per quanto tali si riportano di seguito.</w:t>
      </w:r>
    </w:p>
    <w:p w14:paraId="2BA46DE4" w14:textId="77777777" w:rsidR="00F83AF6" w:rsidRPr="007D10D2" w:rsidRDefault="00F83AF6" w:rsidP="00F83AF6">
      <w:pPr>
        <w:pStyle w:val="Nessunaspaziatura"/>
        <w:spacing w:before="120" w:line="360" w:lineRule="auto"/>
        <w:jc w:val="both"/>
        <w:rPr>
          <w:rFonts w:ascii="Arial" w:hAnsi="Arial" w:cs="Arial"/>
          <w:sz w:val="24"/>
          <w:szCs w:val="24"/>
        </w:rPr>
      </w:pPr>
      <w:r w:rsidRPr="007D10D2">
        <w:rPr>
          <w:rFonts w:ascii="Arial" w:hAnsi="Arial" w:cs="Arial"/>
          <w:sz w:val="24"/>
          <w:szCs w:val="24"/>
        </w:rPr>
        <w:lastRenderedPageBreak/>
        <w:t>I fondi di prestito irlandesi ebbero origine nel 1720 con l’intento e lo sforzo dei privati di contrastare la</w:t>
      </w:r>
      <w:r>
        <w:rPr>
          <w:rFonts w:ascii="Arial" w:hAnsi="Arial" w:cs="Arial"/>
          <w:sz w:val="24"/>
          <w:szCs w:val="24"/>
        </w:rPr>
        <w:t xml:space="preserve"> diffusa</w:t>
      </w:r>
      <w:r w:rsidRPr="007D10D2">
        <w:rPr>
          <w:rFonts w:ascii="Arial" w:hAnsi="Arial" w:cs="Arial"/>
          <w:sz w:val="24"/>
          <w:szCs w:val="24"/>
        </w:rPr>
        <w:t xml:space="preserve"> povertà</w:t>
      </w:r>
      <w:r w:rsidRPr="007D10D2">
        <w:rPr>
          <w:rStyle w:val="Rimandonotaapidipagina"/>
          <w:rFonts w:ascii="Arial" w:hAnsi="Arial" w:cs="Arial"/>
          <w:sz w:val="24"/>
          <w:szCs w:val="24"/>
        </w:rPr>
        <w:footnoteReference w:id="30"/>
      </w:r>
      <w:r>
        <w:rPr>
          <w:rFonts w:ascii="Arial" w:hAnsi="Arial" w:cs="Arial"/>
          <w:sz w:val="24"/>
          <w:szCs w:val="24"/>
        </w:rPr>
        <w:t>; l</w:t>
      </w:r>
      <w:r w:rsidRPr="007D10D2">
        <w:rPr>
          <w:rFonts w:ascii="Arial" w:hAnsi="Arial" w:cs="Arial"/>
          <w:sz w:val="24"/>
          <w:szCs w:val="24"/>
        </w:rPr>
        <w:t>o scrittore Jonathan Swift</w:t>
      </w:r>
      <w:r w:rsidRPr="007D10D2">
        <w:rPr>
          <w:rStyle w:val="Rimandonotaapidipagina"/>
          <w:rFonts w:ascii="Arial" w:hAnsi="Arial" w:cs="Arial"/>
          <w:sz w:val="24"/>
          <w:szCs w:val="24"/>
        </w:rPr>
        <w:footnoteReference w:id="31"/>
      </w:r>
      <w:r w:rsidRPr="007D10D2">
        <w:rPr>
          <w:rFonts w:ascii="Arial" w:hAnsi="Arial" w:cs="Arial"/>
          <w:sz w:val="24"/>
          <w:szCs w:val="24"/>
        </w:rPr>
        <w:t xml:space="preserve"> nel 1720 fondò </w:t>
      </w:r>
      <w:r w:rsidRPr="00220A4C">
        <w:rPr>
          <w:rFonts w:ascii="Arial" w:hAnsi="Arial" w:cs="Arial"/>
          <w:i/>
          <w:sz w:val="24"/>
          <w:szCs w:val="24"/>
        </w:rPr>
        <w:t>l’Irish Loan Fund System</w:t>
      </w:r>
      <w:r w:rsidRPr="007D10D2">
        <w:rPr>
          <w:rFonts w:ascii="Arial" w:hAnsi="Arial" w:cs="Arial"/>
          <w:sz w:val="24"/>
          <w:szCs w:val="24"/>
        </w:rPr>
        <w:t>, per la concessione di piccoli prestiti, senza garanzie, ai contadini e ai piccoli artigiani “industriosi” di Dublino, gestendo le criticità dei rapporti creditiz</w:t>
      </w:r>
      <w:r>
        <w:rPr>
          <w:rFonts w:ascii="Arial" w:hAnsi="Arial" w:cs="Arial"/>
          <w:sz w:val="24"/>
          <w:szCs w:val="24"/>
        </w:rPr>
        <w:t xml:space="preserve">i, già da allora, </w:t>
      </w:r>
      <w:r w:rsidRPr="007D10D2">
        <w:rPr>
          <w:rFonts w:ascii="Arial" w:hAnsi="Arial" w:cs="Arial"/>
          <w:sz w:val="24"/>
          <w:szCs w:val="24"/>
        </w:rPr>
        <w:t>con le attuali metodologie selettive adottate per il microcredito moderno.</w:t>
      </w:r>
    </w:p>
    <w:p w14:paraId="5E189F04" w14:textId="77777777" w:rsidR="00F83AF6" w:rsidRPr="007D10D2" w:rsidRDefault="00F83AF6" w:rsidP="00F83AF6">
      <w:pPr>
        <w:pStyle w:val="Nessunaspaziatura"/>
        <w:spacing w:before="100" w:beforeAutospacing="1" w:line="360" w:lineRule="auto"/>
        <w:jc w:val="both"/>
        <w:rPr>
          <w:rFonts w:ascii="Arial" w:hAnsi="Arial" w:cs="Arial"/>
          <w:sz w:val="24"/>
          <w:szCs w:val="24"/>
        </w:rPr>
      </w:pPr>
      <w:r w:rsidRPr="007D10D2">
        <w:rPr>
          <w:rFonts w:ascii="Arial" w:hAnsi="Arial" w:cs="Arial"/>
          <w:sz w:val="24"/>
          <w:szCs w:val="24"/>
        </w:rPr>
        <w:t xml:space="preserve">Negli anni successivi, la Dublin Musical Society, </w:t>
      </w:r>
      <w:r w:rsidRPr="007D10D2">
        <w:rPr>
          <w:rFonts w:ascii="Arial" w:hAnsi="Arial" w:cs="Arial"/>
          <w:color w:val="000000"/>
          <w:sz w:val="24"/>
          <w:szCs w:val="24"/>
          <w:shd w:val="clear" w:color="auto" w:fill="FFFFFF"/>
        </w:rPr>
        <w:t xml:space="preserve">utilizzando i profitti derivanti dalle esibizioni musicali, </w:t>
      </w:r>
      <w:r>
        <w:rPr>
          <w:rFonts w:ascii="Arial" w:hAnsi="Arial" w:cs="Arial"/>
          <w:color w:val="000000"/>
          <w:sz w:val="24"/>
          <w:szCs w:val="24"/>
          <w:shd w:val="clear" w:color="auto" w:fill="FFFFFF"/>
        </w:rPr>
        <w:t xml:space="preserve">avviò </w:t>
      </w:r>
      <w:r>
        <w:rPr>
          <w:rFonts w:ascii="Arial" w:hAnsi="Arial" w:cs="Arial"/>
          <w:sz w:val="24"/>
          <w:szCs w:val="24"/>
        </w:rPr>
        <w:t>l’erogazione di prestiti adottando il nodello</w:t>
      </w:r>
      <w:r w:rsidRPr="007D10D2">
        <w:rPr>
          <w:rFonts w:ascii="Arial" w:hAnsi="Arial" w:cs="Arial"/>
          <w:sz w:val="24"/>
          <w:szCs w:val="24"/>
        </w:rPr>
        <w:t xml:space="preserve"> designato da Swift.</w:t>
      </w:r>
      <w:r>
        <w:rPr>
          <w:rFonts w:ascii="Arial" w:hAnsi="Arial" w:cs="Arial"/>
          <w:sz w:val="24"/>
          <w:szCs w:val="24"/>
        </w:rPr>
        <w:t xml:space="preserve"> </w:t>
      </w:r>
      <w:r w:rsidRPr="007D10D2">
        <w:rPr>
          <w:rFonts w:ascii="Arial" w:hAnsi="Arial" w:cs="Arial"/>
          <w:sz w:val="24"/>
          <w:szCs w:val="24"/>
        </w:rPr>
        <w:t>Sempre in Irlanda, nell’Ottocento, nell’ambito della libera</w:t>
      </w:r>
      <w:r>
        <w:rPr>
          <w:rFonts w:ascii="Arial" w:hAnsi="Arial" w:cs="Arial"/>
          <w:sz w:val="24"/>
          <w:szCs w:val="24"/>
        </w:rPr>
        <w:t>lizza</w:t>
      </w:r>
      <w:r w:rsidRPr="007D10D2">
        <w:rPr>
          <w:rFonts w:ascii="Arial" w:hAnsi="Arial" w:cs="Arial"/>
          <w:sz w:val="24"/>
          <w:szCs w:val="24"/>
        </w:rPr>
        <w:t xml:space="preserve">zione finanziaria nazionale introdotta nel 1823 per il fondo prestiti e ampliata nell’anno successivo per l’accesso delle banche nel settore, si registrarono dei tentavi di </w:t>
      </w:r>
      <w:r>
        <w:rPr>
          <w:rFonts w:ascii="Arial" w:hAnsi="Arial" w:cs="Arial"/>
          <w:sz w:val="24"/>
          <w:szCs w:val="24"/>
        </w:rPr>
        <w:t xml:space="preserve">erogazione, non andati a buon fine, </w:t>
      </w:r>
      <w:r w:rsidRPr="007D10D2">
        <w:rPr>
          <w:rFonts w:ascii="Arial" w:hAnsi="Arial" w:cs="Arial"/>
          <w:sz w:val="24"/>
          <w:szCs w:val="24"/>
        </w:rPr>
        <w:t>di piccoli prestiti da parte della Banca agricola e della Provident Bank</w:t>
      </w:r>
      <w:r>
        <w:rPr>
          <w:rFonts w:ascii="Arial" w:hAnsi="Arial" w:cs="Arial"/>
          <w:sz w:val="24"/>
          <w:szCs w:val="24"/>
        </w:rPr>
        <w:t>.</w:t>
      </w:r>
    </w:p>
    <w:p w14:paraId="71993876" w14:textId="77777777" w:rsidR="00F83AF6" w:rsidRPr="007D10D2" w:rsidRDefault="00F83AF6" w:rsidP="00F83AF6">
      <w:pPr>
        <w:pStyle w:val="Paragrafoelenco"/>
        <w:tabs>
          <w:tab w:val="left" w:pos="8789"/>
        </w:tabs>
        <w:spacing w:before="100" w:beforeAutospacing="1" w:line="360" w:lineRule="auto"/>
        <w:ind w:left="0"/>
        <w:jc w:val="both"/>
        <w:rPr>
          <w:rFonts w:ascii="Arial" w:hAnsi="Arial" w:cs="Arial"/>
          <w:sz w:val="24"/>
          <w:szCs w:val="24"/>
        </w:rPr>
      </w:pPr>
      <w:r w:rsidRPr="007D10D2">
        <w:rPr>
          <w:rFonts w:ascii="Arial" w:hAnsi="Arial" w:cs="Arial"/>
          <w:sz w:val="24"/>
          <w:szCs w:val="24"/>
        </w:rPr>
        <w:t>Nel contesto dei moti rivoluzionari 1948, in Francia, Pierre Joseph Proudhon</w:t>
      </w:r>
      <w:r w:rsidRPr="007D10D2">
        <w:rPr>
          <w:rStyle w:val="Rimandonotaapidipagina"/>
          <w:rFonts w:ascii="Arial" w:hAnsi="Arial" w:cs="Arial"/>
          <w:sz w:val="24"/>
          <w:szCs w:val="24"/>
        </w:rPr>
        <w:footnoteReference w:id="32"/>
      </w:r>
      <w:r w:rsidRPr="007D10D2">
        <w:rPr>
          <w:rFonts w:ascii="Arial" w:hAnsi="Arial" w:cs="Arial"/>
          <w:sz w:val="24"/>
          <w:szCs w:val="24"/>
        </w:rPr>
        <w:t xml:space="preserve"> propose soluzioni alternative alle ordinarie istituzioni finanziarie, tra le quali la Banca del Popolo</w:t>
      </w:r>
      <w:r w:rsidRPr="007D10D2">
        <w:rPr>
          <w:rStyle w:val="Rimandonotaapidipagina"/>
          <w:rFonts w:ascii="Arial" w:hAnsi="Arial" w:cs="Arial"/>
          <w:sz w:val="24"/>
          <w:szCs w:val="24"/>
        </w:rPr>
        <w:footnoteReference w:id="33"/>
      </w:r>
      <w:r w:rsidRPr="007D10D2">
        <w:rPr>
          <w:rFonts w:ascii="Arial" w:hAnsi="Arial" w:cs="Arial"/>
          <w:sz w:val="24"/>
          <w:szCs w:val="24"/>
        </w:rPr>
        <w:t xml:space="preserve">, con l’intento, non riuscito, di sopprimere la valuta, ritenuta improduttiva per la sua funzione di scorta di valore. Egli propose di </w:t>
      </w:r>
      <w:r>
        <w:rPr>
          <w:rFonts w:ascii="Arial" w:hAnsi="Arial" w:cs="Arial"/>
          <w:sz w:val="24"/>
          <w:szCs w:val="24"/>
        </w:rPr>
        <w:t>utilizzare</w:t>
      </w:r>
      <w:r w:rsidRPr="007D10D2">
        <w:rPr>
          <w:rFonts w:ascii="Arial" w:hAnsi="Arial" w:cs="Arial"/>
          <w:sz w:val="24"/>
          <w:szCs w:val="24"/>
        </w:rPr>
        <w:t>, quale mezzo di pagamento, la lettera di cambio</w:t>
      </w:r>
      <w:r w:rsidRPr="007D10D2">
        <w:rPr>
          <w:rStyle w:val="Rimandonotaapidipagina"/>
          <w:rFonts w:ascii="Arial" w:hAnsi="Arial" w:cs="Arial"/>
          <w:sz w:val="24"/>
          <w:szCs w:val="24"/>
        </w:rPr>
        <w:footnoteReference w:id="34"/>
      </w:r>
      <w:r w:rsidRPr="007D10D2">
        <w:rPr>
          <w:rFonts w:ascii="Arial" w:hAnsi="Arial" w:cs="Arial"/>
          <w:sz w:val="24"/>
          <w:szCs w:val="24"/>
        </w:rPr>
        <w:t xml:space="preserve"> </w:t>
      </w:r>
      <w:r w:rsidRPr="007D10D2">
        <w:rPr>
          <w:rFonts w:ascii="Arial" w:hAnsi="Arial" w:cs="Arial"/>
          <w:sz w:val="24"/>
          <w:szCs w:val="24"/>
        </w:rPr>
        <w:lastRenderedPageBreak/>
        <w:t>per la compravendita delle merci valida per tutte le imprese iscritte alla Banca nonché la revisione della funzione del credito, da offrire senza interessi, in considerazione delle nuove relazioni sociali ed economiche che lo stesso può suscitare nella società civile.</w:t>
      </w:r>
    </w:p>
    <w:p w14:paraId="1E18092B" w14:textId="77777777" w:rsidR="00F83AF6" w:rsidRPr="007D10D2" w:rsidRDefault="00F83AF6" w:rsidP="00F83AF6">
      <w:pPr>
        <w:pStyle w:val="Paragrafoelenco"/>
        <w:spacing w:line="360" w:lineRule="auto"/>
        <w:ind w:left="0"/>
        <w:jc w:val="both"/>
        <w:rPr>
          <w:rFonts w:ascii="Arial" w:hAnsi="Arial" w:cs="Arial"/>
          <w:sz w:val="24"/>
          <w:szCs w:val="24"/>
        </w:rPr>
      </w:pPr>
      <w:r w:rsidRPr="007D10D2">
        <w:rPr>
          <w:rFonts w:ascii="Arial" w:hAnsi="Arial" w:cs="Arial"/>
          <w:sz w:val="24"/>
          <w:szCs w:val="24"/>
        </w:rPr>
        <w:t>In alcune previsioni del proponente, sono state individuate connession</w:t>
      </w:r>
      <w:r>
        <w:rPr>
          <w:rFonts w:ascii="Arial" w:hAnsi="Arial" w:cs="Arial"/>
          <w:sz w:val="24"/>
          <w:szCs w:val="24"/>
        </w:rPr>
        <w:t>i</w:t>
      </w:r>
      <w:r w:rsidRPr="007D10D2">
        <w:rPr>
          <w:rFonts w:ascii="Arial" w:hAnsi="Arial" w:cs="Arial"/>
          <w:sz w:val="24"/>
          <w:szCs w:val="24"/>
        </w:rPr>
        <w:t xml:space="preserve"> con </w:t>
      </w:r>
      <w:r>
        <w:rPr>
          <w:rFonts w:ascii="Arial" w:hAnsi="Arial" w:cs="Arial"/>
          <w:sz w:val="24"/>
          <w:szCs w:val="24"/>
        </w:rPr>
        <w:t xml:space="preserve">talune </w:t>
      </w:r>
      <w:r w:rsidRPr="007D10D2">
        <w:rPr>
          <w:rFonts w:ascii="Arial" w:hAnsi="Arial" w:cs="Arial"/>
          <w:sz w:val="24"/>
          <w:szCs w:val="24"/>
        </w:rPr>
        <w:t>funzioni del microcredito, in particolare per quanto riguarda l’affermazione dell’accesso e della partecipazione al capitale da parte dei lavoratori</w:t>
      </w:r>
      <w:r>
        <w:rPr>
          <w:rFonts w:ascii="Arial" w:hAnsi="Arial" w:cs="Arial"/>
          <w:sz w:val="24"/>
          <w:szCs w:val="24"/>
        </w:rPr>
        <w:t>,</w:t>
      </w:r>
      <w:r w:rsidRPr="007D10D2">
        <w:rPr>
          <w:rFonts w:ascii="Arial" w:hAnsi="Arial" w:cs="Arial"/>
          <w:sz w:val="24"/>
          <w:szCs w:val="24"/>
        </w:rPr>
        <w:t xml:space="preserve"> con la conseguente possibilità di avviare attività indipendenti, produttrici di reddito e soprattutto di eliminazione della subordinazione datoriale e poi per l’invocata libertà del credito, ritenuta utile per il rafforzamento dei legami sociali.</w:t>
      </w:r>
    </w:p>
    <w:p w14:paraId="1B248BAB" w14:textId="77777777" w:rsidR="00F83AF6" w:rsidRPr="007D10D2" w:rsidRDefault="00F83AF6" w:rsidP="00F83AF6">
      <w:pPr>
        <w:spacing w:line="360" w:lineRule="auto"/>
        <w:jc w:val="both"/>
        <w:rPr>
          <w:rFonts w:ascii="Arial" w:hAnsi="Arial" w:cs="Arial"/>
          <w:sz w:val="24"/>
          <w:szCs w:val="24"/>
        </w:rPr>
      </w:pPr>
      <w:r w:rsidRPr="007D10D2">
        <w:rPr>
          <w:rFonts w:ascii="Arial" w:hAnsi="Arial" w:cs="Arial"/>
          <w:sz w:val="24"/>
          <w:szCs w:val="24"/>
        </w:rPr>
        <w:t xml:space="preserve">A metà del XIX secolo, le conseguenze della rivoluzione industriale tedesca riverberarono, come in Gran Bretagna, la necessità di riorganizzare le strutture delle piccole imprese, oltre </w:t>
      </w:r>
      <w:r>
        <w:rPr>
          <w:rFonts w:ascii="Arial" w:hAnsi="Arial" w:cs="Arial"/>
          <w:sz w:val="24"/>
          <w:szCs w:val="24"/>
        </w:rPr>
        <w:t xml:space="preserve">a </w:t>
      </w:r>
      <w:r w:rsidRPr="007D10D2">
        <w:rPr>
          <w:rFonts w:ascii="Arial" w:hAnsi="Arial" w:cs="Arial"/>
          <w:sz w:val="24"/>
          <w:szCs w:val="24"/>
        </w:rPr>
        <w:t>una diffusa insicurezza. Per agevolare le nuove esigenze e soprattutto per f</w:t>
      </w:r>
      <w:r>
        <w:rPr>
          <w:rFonts w:ascii="Arial" w:hAnsi="Arial" w:cs="Arial"/>
          <w:sz w:val="24"/>
          <w:szCs w:val="24"/>
        </w:rPr>
        <w:t>ronteggiare l</w:t>
      </w:r>
      <w:r w:rsidRPr="007D10D2">
        <w:rPr>
          <w:rFonts w:ascii="Arial" w:hAnsi="Arial" w:cs="Arial"/>
          <w:sz w:val="24"/>
          <w:szCs w:val="24"/>
        </w:rPr>
        <w:t>a crisi economica a svantaggio delle classi medio-basse, nei contesti urbani e rurali della Germania vengono intraprese iniziative per la costituzione di attività creditizie specializzate e dimensionate per rispondere ai bisogni di fasce d</w:t>
      </w:r>
      <w:r>
        <w:rPr>
          <w:rFonts w:ascii="Arial" w:hAnsi="Arial" w:cs="Arial"/>
          <w:sz w:val="24"/>
          <w:szCs w:val="24"/>
        </w:rPr>
        <w:t>e</w:t>
      </w:r>
      <w:r w:rsidRPr="007D10D2">
        <w:rPr>
          <w:rFonts w:ascii="Arial" w:hAnsi="Arial" w:cs="Arial"/>
          <w:sz w:val="24"/>
          <w:szCs w:val="24"/>
        </w:rPr>
        <w:t>lla popolazione in costante difficoltà, spesso costrette a ricorrere a finanziamenti usurai.</w:t>
      </w:r>
    </w:p>
    <w:p w14:paraId="640ED8D0" w14:textId="77777777" w:rsidR="00F83AF6" w:rsidRPr="007D10D2" w:rsidRDefault="00F83AF6" w:rsidP="00F83AF6">
      <w:pPr>
        <w:spacing w:line="360" w:lineRule="auto"/>
        <w:jc w:val="both"/>
        <w:rPr>
          <w:rFonts w:ascii="Arial" w:hAnsi="Arial" w:cs="Arial"/>
          <w:sz w:val="24"/>
          <w:szCs w:val="24"/>
        </w:rPr>
      </w:pPr>
      <w:r w:rsidRPr="007D10D2">
        <w:rPr>
          <w:rFonts w:ascii="Arial" w:hAnsi="Arial" w:cs="Arial"/>
          <w:sz w:val="24"/>
          <w:szCs w:val="24"/>
        </w:rPr>
        <w:t>Le idee, la passione e le azioni, congiunt</w:t>
      </w:r>
      <w:r>
        <w:rPr>
          <w:rFonts w:ascii="Arial" w:hAnsi="Arial" w:cs="Arial"/>
          <w:sz w:val="24"/>
          <w:szCs w:val="24"/>
        </w:rPr>
        <w:t>e</w:t>
      </w:r>
      <w:r w:rsidRPr="007D10D2">
        <w:rPr>
          <w:rFonts w:ascii="Arial" w:hAnsi="Arial" w:cs="Arial"/>
          <w:sz w:val="24"/>
          <w:szCs w:val="24"/>
        </w:rPr>
        <w:t xml:space="preserve"> ad una visione filantropica e solidaristica che ispirarono l’avvento del credito cooperativo, sono da ricondursi al pensiero di Hermann Schulze von Delitzsch</w:t>
      </w:r>
      <w:r w:rsidRPr="007D10D2">
        <w:rPr>
          <w:rStyle w:val="Rimandonotaapidipagina"/>
          <w:rFonts w:ascii="Arial" w:hAnsi="Arial" w:cs="Arial"/>
          <w:sz w:val="24"/>
          <w:szCs w:val="24"/>
        </w:rPr>
        <w:footnoteReference w:id="35"/>
      </w:r>
      <w:r w:rsidRPr="007D10D2">
        <w:rPr>
          <w:rFonts w:ascii="Arial" w:hAnsi="Arial" w:cs="Arial"/>
          <w:sz w:val="24"/>
          <w:szCs w:val="24"/>
        </w:rPr>
        <w:t xml:space="preserve"> e Friedrich Wilhelm Raffeisen</w:t>
      </w:r>
      <w:r w:rsidRPr="007D10D2">
        <w:rPr>
          <w:rStyle w:val="Rimandonotaapidipagina"/>
          <w:rFonts w:ascii="Arial" w:hAnsi="Arial" w:cs="Arial"/>
          <w:sz w:val="24"/>
          <w:szCs w:val="24"/>
        </w:rPr>
        <w:footnoteReference w:id="36"/>
      </w:r>
      <w:r w:rsidRPr="007D10D2">
        <w:rPr>
          <w:rFonts w:ascii="Arial" w:hAnsi="Arial" w:cs="Arial"/>
          <w:sz w:val="24"/>
          <w:szCs w:val="24"/>
        </w:rPr>
        <w:t>, rivolti entrambi a conseguire obiettivi di miglioramento delle condizioni sociali del tempo, attraverso l’utilizzo dello strumento di una finanza etica e solidale.</w:t>
      </w:r>
    </w:p>
    <w:p w14:paraId="28A09E86" w14:textId="77777777" w:rsidR="00F83AF6" w:rsidRPr="007D10D2" w:rsidRDefault="00F83AF6" w:rsidP="00F83AF6">
      <w:pPr>
        <w:spacing w:after="0" w:line="360" w:lineRule="auto"/>
        <w:jc w:val="both"/>
        <w:rPr>
          <w:rFonts w:ascii="Arial" w:hAnsi="Arial" w:cs="Arial"/>
          <w:sz w:val="24"/>
          <w:szCs w:val="24"/>
        </w:rPr>
      </w:pPr>
      <w:r w:rsidRPr="007D10D2">
        <w:rPr>
          <w:rFonts w:ascii="Arial" w:hAnsi="Arial" w:cs="Arial"/>
          <w:sz w:val="24"/>
          <w:szCs w:val="24"/>
        </w:rPr>
        <w:t>La Banca di Hermann Schulze von Delitzsch</w:t>
      </w:r>
      <w:r w:rsidRPr="007D10D2">
        <w:rPr>
          <w:rStyle w:val="Rimandonotaapidipagina"/>
          <w:rFonts w:ascii="Arial" w:hAnsi="Arial" w:cs="Arial"/>
          <w:sz w:val="24"/>
          <w:szCs w:val="24"/>
        </w:rPr>
        <w:footnoteReference w:id="37"/>
      </w:r>
      <w:r w:rsidRPr="007D10D2">
        <w:rPr>
          <w:rFonts w:ascii="Arial" w:hAnsi="Arial" w:cs="Arial"/>
          <w:sz w:val="24"/>
          <w:szCs w:val="24"/>
        </w:rPr>
        <w:t xml:space="preserve"> nasce dall’idea che per affrontare circostanze esterne particolarmente gravose e imprevedibili, non è sufficiente la forza dei singoli ma quella di una libera associazione che</w:t>
      </w:r>
      <w:r>
        <w:rPr>
          <w:rFonts w:ascii="Arial" w:hAnsi="Arial" w:cs="Arial"/>
          <w:sz w:val="24"/>
          <w:szCs w:val="24"/>
        </w:rPr>
        <w:t>,</w:t>
      </w:r>
      <w:r w:rsidRPr="007D10D2">
        <w:rPr>
          <w:rFonts w:ascii="Arial" w:hAnsi="Arial" w:cs="Arial"/>
          <w:sz w:val="24"/>
          <w:szCs w:val="24"/>
        </w:rPr>
        <w:t xml:space="preserve"> raccogliendo le energie di più soggetti</w:t>
      </w:r>
      <w:r>
        <w:rPr>
          <w:rFonts w:ascii="Arial" w:hAnsi="Arial" w:cs="Arial"/>
          <w:sz w:val="24"/>
          <w:szCs w:val="24"/>
        </w:rPr>
        <w:t>,</w:t>
      </w:r>
      <w:r w:rsidRPr="007D10D2">
        <w:rPr>
          <w:rFonts w:ascii="Arial" w:hAnsi="Arial" w:cs="Arial"/>
          <w:sz w:val="24"/>
          <w:szCs w:val="24"/>
        </w:rPr>
        <w:t xml:space="preserve"> può ottenere il risultato che invano si sarebbe a</w:t>
      </w:r>
      <w:r>
        <w:rPr>
          <w:rFonts w:ascii="Arial" w:hAnsi="Arial" w:cs="Arial"/>
          <w:sz w:val="24"/>
          <w:szCs w:val="24"/>
        </w:rPr>
        <w:t>tteso</w:t>
      </w:r>
      <w:r w:rsidRPr="007D10D2">
        <w:rPr>
          <w:rFonts w:ascii="Arial" w:hAnsi="Arial" w:cs="Arial"/>
          <w:sz w:val="24"/>
          <w:szCs w:val="24"/>
        </w:rPr>
        <w:t xml:space="preserve"> da uno solo.</w:t>
      </w:r>
    </w:p>
    <w:p w14:paraId="34EE30EE" w14:textId="77777777" w:rsidR="00F83AF6" w:rsidRPr="007D10D2" w:rsidRDefault="00F83AF6" w:rsidP="00F83AF6">
      <w:pPr>
        <w:spacing w:after="0" w:line="360" w:lineRule="auto"/>
        <w:jc w:val="both"/>
        <w:rPr>
          <w:rFonts w:ascii="Arial" w:hAnsi="Arial" w:cs="Arial"/>
          <w:sz w:val="24"/>
          <w:szCs w:val="24"/>
        </w:rPr>
      </w:pPr>
      <w:r w:rsidRPr="007D10D2">
        <w:rPr>
          <w:rFonts w:ascii="Arial" w:hAnsi="Arial" w:cs="Arial"/>
          <w:sz w:val="24"/>
          <w:szCs w:val="24"/>
        </w:rPr>
        <w:t xml:space="preserve">Le </w:t>
      </w:r>
      <w:r w:rsidRPr="007D10D2">
        <w:rPr>
          <w:rFonts w:ascii="Arial" w:hAnsi="Arial" w:cs="Arial"/>
          <w:i/>
          <w:iCs/>
          <w:sz w:val="24"/>
          <w:szCs w:val="24"/>
        </w:rPr>
        <w:t>Volksbanken</w:t>
      </w:r>
      <w:r w:rsidRPr="007D10D2">
        <w:rPr>
          <w:rFonts w:ascii="Arial" w:hAnsi="Arial" w:cs="Arial"/>
          <w:sz w:val="24"/>
          <w:szCs w:val="24"/>
        </w:rPr>
        <w:t>, destinate a soddisfare il credito urbano, avevano quale scopo principale l’erogazione, ai soli associati, di piccoli prestiti per brevi periodi</w:t>
      </w:r>
      <w:r>
        <w:rPr>
          <w:rFonts w:ascii="Arial" w:hAnsi="Arial" w:cs="Arial"/>
          <w:sz w:val="24"/>
          <w:szCs w:val="24"/>
        </w:rPr>
        <w:t xml:space="preserve"> e con t</w:t>
      </w:r>
      <w:r w:rsidRPr="007D10D2">
        <w:rPr>
          <w:rFonts w:ascii="Arial" w:hAnsi="Arial" w:cs="Arial"/>
          <w:sz w:val="24"/>
          <w:szCs w:val="24"/>
        </w:rPr>
        <w:t>assi di interesse contenuti, assistiti da garanzie personali.</w:t>
      </w:r>
    </w:p>
    <w:p w14:paraId="30D7E16B" w14:textId="77777777" w:rsidR="00F83AF6" w:rsidRDefault="00F83AF6" w:rsidP="00F83AF6">
      <w:pPr>
        <w:pStyle w:val="Paragrafoelenco"/>
        <w:spacing w:line="360" w:lineRule="auto"/>
        <w:ind w:left="0"/>
        <w:jc w:val="both"/>
        <w:rPr>
          <w:rFonts w:ascii="Arial" w:hAnsi="Arial" w:cs="Arial"/>
          <w:sz w:val="24"/>
          <w:szCs w:val="24"/>
        </w:rPr>
      </w:pPr>
      <w:r w:rsidRPr="007D10D2">
        <w:rPr>
          <w:rFonts w:ascii="Arial" w:hAnsi="Arial" w:cs="Arial"/>
          <w:sz w:val="24"/>
          <w:szCs w:val="24"/>
        </w:rPr>
        <w:lastRenderedPageBreak/>
        <w:t>Su influsso delle Banche Popolari di Schulze von Delitzsch, a metà dell’Ottocento, analogo sviluppo conobbero le Casse sociali di credito di Raiffeisen</w:t>
      </w:r>
      <w:r w:rsidRPr="007D10D2">
        <w:rPr>
          <w:rStyle w:val="Rimandonotaapidipagina"/>
          <w:rFonts w:ascii="Arial" w:hAnsi="Arial" w:cs="Arial"/>
          <w:sz w:val="24"/>
          <w:szCs w:val="24"/>
        </w:rPr>
        <w:footnoteReference w:id="38"/>
      </w:r>
      <w:r w:rsidRPr="007D10D2">
        <w:rPr>
          <w:rFonts w:ascii="Arial" w:hAnsi="Arial" w:cs="Arial"/>
          <w:sz w:val="24"/>
          <w:szCs w:val="24"/>
        </w:rPr>
        <w:t xml:space="preserve">, denominate </w:t>
      </w:r>
      <w:r w:rsidRPr="007D10D2">
        <w:rPr>
          <w:rFonts w:ascii="Arial" w:hAnsi="Arial" w:cs="Arial"/>
          <w:i/>
          <w:iCs/>
          <w:sz w:val="24"/>
          <w:szCs w:val="24"/>
        </w:rPr>
        <w:t>Darlehenskassenvereine</w:t>
      </w:r>
      <w:r w:rsidRPr="007D10D2">
        <w:rPr>
          <w:rFonts w:ascii="Arial" w:hAnsi="Arial" w:cs="Arial"/>
          <w:sz w:val="24"/>
          <w:szCs w:val="24"/>
        </w:rPr>
        <w:t xml:space="preserve">, fondate anch’esse sul modello associativo ma informate ai valori della cristianità, </w:t>
      </w:r>
      <w:r>
        <w:rPr>
          <w:rFonts w:ascii="Arial" w:hAnsi="Arial" w:cs="Arial"/>
          <w:sz w:val="24"/>
          <w:szCs w:val="24"/>
        </w:rPr>
        <w:t>con</w:t>
      </w:r>
      <w:r w:rsidRPr="007D10D2">
        <w:rPr>
          <w:rFonts w:ascii="Arial" w:hAnsi="Arial" w:cs="Arial"/>
          <w:sz w:val="24"/>
          <w:szCs w:val="24"/>
        </w:rPr>
        <w:t xml:space="preserve"> lo scopo di assicurare la trasformazione del ciclo produttivo agrario interessato da processi culturali innovativ</w:t>
      </w:r>
      <w:r>
        <w:rPr>
          <w:rFonts w:ascii="Arial" w:hAnsi="Arial" w:cs="Arial"/>
          <w:sz w:val="24"/>
          <w:szCs w:val="24"/>
        </w:rPr>
        <w:t xml:space="preserve">i e </w:t>
      </w:r>
      <w:r w:rsidRPr="007D10D2">
        <w:rPr>
          <w:rFonts w:ascii="Arial" w:hAnsi="Arial" w:cs="Arial"/>
          <w:sz w:val="24"/>
          <w:szCs w:val="24"/>
        </w:rPr>
        <w:t xml:space="preserve">garantendo ai piccoli agricoltori i </w:t>
      </w:r>
      <w:r>
        <w:rPr>
          <w:rFonts w:ascii="Arial" w:hAnsi="Arial" w:cs="Arial"/>
          <w:sz w:val="24"/>
          <w:szCs w:val="24"/>
        </w:rPr>
        <w:t xml:space="preserve">necessari </w:t>
      </w:r>
      <w:r w:rsidRPr="007D10D2">
        <w:rPr>
          <w:rFonts w:ascii="Arial" w:hAnsi="Arial" w:cs="Arial"/>
          <w:sz w:val="24"/>
          <w:szCs w:val="24"/>
        </w:rPr>
        <w:t>mezzi finanziari</w:t>
      </w:r>
      <w:r>
        <w:rPr>
          <w:rFonts w:ascii="Arial" w:hAnsi="Arial" w:cs="Arial"/>
          <w:sz w:val="24"/>
          <w:szCs w:val="24"/>
        </w:rPr>
        <w:t>.</w:t>
      </w:r>
    </w:p>
    <w:p w14:paraId="64EFA03C" w14:textId="77777777" w:rsidR="00F83AF6" w:rsidRPr="007D10D2" w:rsidRDefault="00F83AF6" w:rsidP="00F83AF6">
      <w:pPr>
        <w:pStyle w:val="Paragrafoelenco"/>
        <w:spacing w:line="360" w:lineRule="auto"/>
        <w:ind w:left="0"/>
        <w:jc w:val="both"/>
        <w:rPr>
          <w:rFonts w:ascii="Arial" w:hAnsi="Arial" w:cs="Arial"/>
          <w:sz w:val="24"/>
          <w:szCs w:val="24"/>
        </w:rPr>
      </w:pPr>
    </w:p>
    <w:p w14:paraId="57E2F9E2" w14:textId="77777777" w:rsidR="00F83AF6" w:rsidRDefault="00F83AF6" w:rsidP="00F83AF6">
      <w:pPr>
        <w:pStyle w:val="Paragrafoelenco"/>
        <w:spacing w:line="360" w:lineRule="auto"/>
        <w:ind w:left="0"/>
        <w:jc w:val="both"/>
        <w:rPr>
          <w:rFonts w:ascii="Arial" w:hAnsi="Arial" w:cs="Arial"/>
          <w:sz w:val="24"/>
          <w:szCs w:val="24"/>
        </w:rPr>
      </w:pPr>
      <w:r>
        <w:rPr>
          <w:rFonts w:ascii="Arial" w:hAnsi="Arial" w:cs="Arial"/>
          <w:sz w:val="24"/>
          <w:szCs w:val="24"/>
        </w:rPr>
        <w:t>Nel contesto delle banche popolari, si annovera anche la</w:t>
      </w:r>
      <w:r w:rsidRPr="008331F4">
        <w:rPr>
          <w:rFonts w:ascii="Arial" w:hAnsi="Arial" w:cs="Arial"/>
          <w:sz w:val="24"/>
          <w:szCs w:val="24"/>
        </w:rPr>
        <w:t xml:space="preserve"> Bank Rakyat</w:t>
      </w:r>
      <w:r>
        <w:rPr>
          <w:rFonts w:ascii="Arial" w:hAnsi="Arial" w:cs="Arial"/>
          <w:sz w:val="24"/>
          <w:szCs w:val="24"/>
        </w:rPr>
        <w:t xml:space="preserve"> Indonesiana, nata nel 1946, con finalità cooperativistiche ed in particolare, tra l’altro, per l’erogazione di sussidi. Nel 1984, con la formazione dell’unità</w:t>
      </w:r>
      <w:r w:rsidRPr="00822398">
        <w:rPr>
          <w:rFonts w:ascii="Arial" w:hAnsi="Arial" w:cs="Arial"/>
          <w:sz w:val="24"/>
          <w:szCs w:val="24"/>
        </w:rPr>
        <w:t xml:space="preserve"> “Desa” (BRI-UD),</w:t>
      </w:r>
      <w:r>
        <w:rPr>
          <w:rFonts w:ascii="Arial" w:hAnsi="Arial" w:cs="Arial"/>
          <w:sz w:val="24"/>
          <w:szCs w:val="24"/>
        </w:rPr>
        <w:t xml:space="preserve"> l</w:t>
      </w:r>
      <w:r w:rsidRPr="00822398">
        <w:rPr>
          <w:rFonts w:ascii="Arial" w:hAnsi="Arial" w:cs="Arial"/>
          <w:sz w:val="24"/>
          <w:szCs w:val="24"/>
        </w:rPr>
        <w:t xml:space="preserve">a Banca ha </w:t>
      </w:r>
      <w:r>
        <w:rPr>
          <w:rFonts w:ascii="Arial" w:hAnsi="Arial" w:cs="Arial"/>
          <w:sz w:val="24"/>
          <w:szCs w:val="24"/>
        </w:rPr>
        <w:t>avviato la promozione dei</w:t>
      </w:r>
      <w:r w:rsidRPr="00822398">
        <w:rPr>
          <w:rFonts w:ascii="Arial" w:hAnsi="Arial" w:cs="Arial"/>
          <w:sz w:val="24"/>
          <w:szCs w:val="24"/>
        </w:rPr>
        <w:t xml:space="preserve"> microprestiti </w:t>
      </w:r>
      <w:r>
        <w:rPr>
          <w:rFonts w:ascii="Arial" w:hAnsi="Arial" w:cs="Arial"/>
          <w:sz w:val="24"/>
          <w:szCs w:val="24"/>
        </w:rPr>
        <w:t>“</w:t>
      </w:r>
      <w:r w:rsidRPr="00DF61F6">
        <w:rPr>
          <w:rFonts w:ascii="Arial" w:hAnsi="Arial" w:cs="Arial"/>
          <w:i/>
          <w:sz w:val="24"/>
          <w:szCs w:val="24"/>
        </w:rPr>
        <w:t>kupedes</w:t>
      </w:r>
      <w:r>
        <w:rPr>
          <w:rFonts w:ascii="Arial" w:hAnsi="Arial" w:cs="Arial"/>
          <w:sz w:val="24"/>
          <w:szCs w:val="24"/>
        </w:rPr>
        <w:t>”</w:t>
      </w:r>
      <w:r w:rsidRPr="00822398">
        <w:rPr>
          <w:rFonts w:ascii="Arial" w:hAnsi="Arial" w:cs="Arial"/>
          <w:sz w:val="24"/>
          <w:szCs w:val="24"/>
        </w:rPr>
        <w:t xml:space="preserve"> </w:t>
      </w:r>
      <w:r>
        <w:rPr>
          <w:rFonts w:ascii="Arial" w:hAnsi="Arial" w:cs="Arial"/>
          <w:sz w:val="24"/>
          <w:szCs w:val="24"/>
        </w:rPr>
        <w:t>con l’applicazione di</w:t>
      </w:r>
      <w:r w:rsidRPr="00822398">
        <w:rPr>
          <w:rFonts w:ascii="Arial" w:hAnsi="Arial" w:cs="Arial"/>
          <w:sz w:val="24"/>
          <w:szCs w:val="24"/>
        </w:rPr>
        <w:t xml:space="preserve"> tassi di interesse di mercato</w:t>
      </w:r>
      <w:r>
        <w:rPr>
          <w:rStyle w:val="Rimandonotaapidipagina"/>
          <w:rFonts w:ascii="Arial" w:hAnsi="Arial" w:cs="Arial"/>
          <w:sz w:val="24"/>
          <w:szCs w:val="24"/>
        </w:rPr>
        <w:footnoteReference w:id="39"/>
      </w:r>
      <w:r w:rsidRPr="00822398">
        <w:rPr>
          <w:rFonts w:ascii="Arial" w:hAnsi="Arial" w:cs="Arial"/>
          <w:sz w:val="24"/>
          <w:szCs w:val="24"/>
        </w:rPr>
        <w:t>.</w:t>
      </w:r>
    </w:p>
    <w:p w14:paraId="39993602" w14:textId="77777777" w:rsidR="00F83AF6" w:rsidRPr="007D10D2" w:rsidRDefault="00F83AF6" w:rsidP="00F83AF6">
      <w:pPr>
        <w:pStyle w:val="Paragrafoelenco"/>
        <w:spacing w:line="360" w:lineRule="auto"/>
        <w:ind w:left="0"/>
        <w:jc w:val="both"/>
        <w:rPr>
          <w:rFonts w:ascii="Arial" w:hAnsi="Arial" w:cs="Arial"/>
          <w:sz w:val="24"/>
          <w:szCs w:val="24"/>
        </w:rPr>
      </w:pPr>
    </w:p>
    <w:p w14:paraId="45B9BB93" w14:textId="77777777" w:rsidR="00F83AF6" w:rsidRPr="007D10D2" w:rsidRDefault="00F83AF6" w:rsidP="00F83AF6">
      <w:pPr>
        <w:pStyle w:val="Paragrafoelenco"/>
        <w:spacing w:line="360" w:lineRule="auto"/>
        <w:ind w:left="0"/>
        <w:jc w:val="both"/>
        <w:rPr>
          <w:rFonts w:ascii="Arial" w:hAnsi="Arial" w:cs="Arial"/>
          <w:sz w:val="24"/>
          <w:szCs w:val="24"/>
        </w:rPr>
      </w:pPr>
      <w:r w:rsidRPr="007D10D2">
        <w:rPr>
          <w:rFonts w:ascii="Arial" w:hAnsi="Arial" w:cs="Arial"/>
          <w:sz w:val="24"/>
          <w:szCs w:val="24"/>
        </w:rPr>
        <w:t>Le Mutue di Autogestione (MAG)</w:t>
      </w:r>
      <w:r w:rsidRPr="007D10D2">
        <w:rPr>
          <w:rStyle w:val="Rimandonotaapidipagina"/>
          <w:rFonts w:ascii="Arial" w:hAnsi="Arial" w:cs="Arial"/>
          <w:sz w:val="24"/>
          <w:szCs w:val="24"/>
        </w:rPr>
        <w:footnoteReference w:id="40"/>
      </w:r>
      <w:r w:rsidRPr="007D10D2">
        <w:rPr>
          <w:rFonts w:ascii="Arial" w:hAnsi="Arial" w:cs="Arial"/>
          <w:sz w:val="24"/>
          <w:szCs w:val="24"/>
        </w:rPr>
        <w:t xml:space="preserve"> hanno origini che si ispirano ai valori delle Società di Mutuo Soccorso, associazioni diffuse in Italia </w:t>
      </w:r>
      <w:r>
        <w:rPr>
          <w:rFonts w:ascii="Arial" w:hAnsi="Arial" w:cs="Arial"/>
          <w:sz w:val="24"/>
          <w:szCs w:val="24"/>
        </w:rPr>
        <w:t xml:space="preserve">nel periodo del </w:t>
      </w:r>
      <w:r w:rsidRPr="007D10D2">
        <w:rPr>
          <w:rFonts w:ascii="Arial" w:hAnsi="Arial" w:cs="Arial"/>
          <w:sz w:val="24"/>
          <w:szCs w:val="24"/>
        </w:rPr>
        <w:t>Risorgimento</w:t>
      </w:r>
      <w:r>
        <w:rPr>
          <w:rFonts w:ascii="Arial" w:hAnsi="Arial" w:cs="Arial"/>
          <w:sz w:val="24"/>
          <w:szCs w:val="24"/>
        </w:rPr>
        <w:t xml:space="preserve"> e</w:t>
      </w:r>
      <w:r w:rsidRPr="007D10D2">
        <w:rPr>
          <w:rFonts w:ascii="Arial" w:hAnsi="Arial" w:cs="Arial"/>
          <w:sz w:val="24"/>
          <w:szCs w:val="24"/>
        </w:rPr>
        <w:t xml:space="preserve"> che conobbero la massima espansione nell’ultimo decennio del 1800.</w:t>
      </w:r>
      <w:r>
        <w:rPr>
          <w:rFonts w:ascii="Arial" w:hAnsi="Arial" w:cs="Arial"/>
          <w:sz w:val="24"/>
          <w:szCs w:val="24"/>
        </w:rPr>
        <w:t xml:space="preserve"> </w:t>
      </w:r>
      <w:r w:rsidRPr="007D10D2">
        <w:rPr>
          <w:rFonts w:ascii="Arial" w:hAnsi="Arial" w:cs="Arial"/>
          <w:sz w:val="24"/>
          <w:szCs w:val="24"/>
        </w:rPr>
        <w:t>Le Società di Mutuo Soccorso, nell’ambito dei territori comunali, rappresentavano le associazioni di operai che garantivano agli iscritti il sussidio in caso di malattia, l’assistenza medica e</w:t>
      </w:r>
      <w:r>
        <w:rPr>
          <w:rFonts w:ascii="Arial" w:hAnsi="Arial" w:cs="Arial"/>
          <w:sz w:val="24"/>
          <w:szCs w:val="24"/>
        </w:rPr>
        <w:t xml:space="preserve"> </w:t>
      </w:r>
      <w:r w:rsidRPr="007D10D2">
        <w:rPr>
          <w:rFonts w:ascii="Arial" w:hAnsi="Arial" w:cs="Arial"/>
          <w:sz w:val="24"/>
          <w:szCs w:val="24"/>
        </w:rPr>
        <w:t xml:space="preserve">la pensione di vecchiaia o </w:t>
      </w:r>
      <w:r>
        <w:rPr>
          <w:rFonts w:ascii="Arial" w:hAnsi="Arial" w:cs="Arial"/>
          <w:sz w:val="24"/>
          <w:szCs w:val="24"/>
        </w:rPr>
        <w:t>per le malattie croniche</w:t>
      </w:r>
      <w:r w:rsidRPr="007D10D2">
        <w:rPr>
          <w:rStyle w:val="Rimandonotaapidipagina"/>
          <w:rFonts w:ascii="Arial" w:hAnsi="Arial" w:cs="Arial"/>
          <w:sz w:val="24"/>
          <w:szCs w:val="24"/>
        </w:rPr>
        <w:footnoteReference w:id="41"/>
      </w:r>
      <w:r w:rsidRPr="007D10D2">
        <w:rPr>
          <w:rFonts w:ascii="Arial" w:hAnsi="Arial" w:cs="Arial"/>
          <w:sz w:val="24"/>
          <w:szCs w:val="24"/>
        </w:rPr>
        <w:t>.</w:t>
      </w:r>
    </w:p>
    <w:p w14:paraId="015DCFDF" w14:textId="77777777" w:rsidR="00F83AF6" w:rsidRPr="007D10D2" w:rsidRDefault="00F83AF6" w:rsidP="00F83AF6">
      <w:pPr>
        <w:pStyle w:val="Paragrafoelenco"/>
        <w:spacing w:line="360" w:lineRule="auto"/>
        <w:ind w:left="0"/>
        <w:jc w:val="both"/>
        <w:rPr>
          <w:rFonts w:ascii="Arial" w:hAnsi="Arial" w:cs="Arial"/>
          <w:sz w:val="24"/>
          <w:szCs w:val="24"/>
        </w:rPr>
      </w:pPr>
      <w:r w:rsidRPr="007D10D2">
        <w:rPr>
          <w:rFonts w:ascii="Arial" w:hAnsi="Arial" w:cs="Arial"/>
          <w:sz w:val="24"/>
          <w:szCs w:val="24"/>
        </w:rPr>
        <w:t xml:space="preserve">Le MAG sono </w:t>
      </w:r>
      <w:r w:rsidRPr="007D10D2">
        <w:rPr>
          <w:rFonts w:ascii="Arial" w:hAnsi="Arial" w:cs="Arial"/>
          <w:color w:val="000000"/>
          <w:sz w:val="24"/>
          <w:szCs w:val="24"/>
          <w:shd w:val="clear" w:color="auto" w:fill="FFFFFF"/>
        </w:rPr>
        <w:t>cooperative finanziarie che operano secondo criteri di solidarietà, reciprocità, eticità e trasparenza</w:t>
      </w:r>
      <w:r>
        <w:rPr>
          <w:rFonts w:ascii="Arial" w:hAnsi="Arial" w:cs="Arial"/>
          <w:color w:val="000000"/>
          <w:sz w:val="24"/>
          <w:szCs w:val="24"/>
          <w:shd w:val="clear" w:color="auto" w:fill="FFFFFF"/>
        </w:rPr>
        <w:t>; n</w:t>
      </w:r>
      <w:r w:rsidRPr="007D10D2">
        <w:rPr>
          <w:rFonts w:ascii="Arial" w:hAnsi="Arial" w:cs="Arial"/>
          <w:color w:val="000000"/>
          <w:sz w:val="24"/>
          <w:szCs w:val="24"/>
          <w:shd w:val="clear" w:color="auto" w:fill="FFFFFF"/>
        </w:rPr>
        <w:t>ell’ottica dell’autogestione, concedono</w:t>
      </w:r>
      <w:r w:rsidRPr="007D10D2">
        <w:rPr>
          <w:rFonts w:ascii="Arial" w:hAnsi="Arial" w:cs="Arial"/>
          <w:sz w:val="24"/>
          <w:szCs w:val="24"/>
        </w:rPr>
        <w:t xml:space="preserve"> prestiti a soggetti che intendono avviare attività sostenibili nei settori della solidarietà sociale, ambientale e culturale.</w:t>
      </w:r>
    </w:p>
    <w:p w14:paraId="06FC4CD9" w14:textId="77777777" w:rsidR="00F83AF6" w:rsidRPr="007D10D2" w:rsidRDefault="00F83AF6" w:rsidP="00F83AF6">
      <w:pPr>
        <w:pStyle w:val="Paragrafoelenco"/>
        <w:spacing w:after="240" w:line="360" w:lineRule="auto"/>
        <w:ind w:left="0"/>
        <w:jc w:val="both"/>
        <w:rPr>
          <w:rFonts w:ascii="Arial" w:hAnsi="Arial" w:cs="Arial"/>
          <w:sz w:val="24"/>
          <w:szCs w:val="24"/>
        </w:rPr>
      </w:pPr>
      <w:r w:rsidRPr="007D10D2">
        <w:rPr>
          <w:rFonts w:ascii="Arial" w:hAnsi="Arial" w:cs="Arial"/>
          <w:sz w:val="24"/>
          <w:szCs w:val="24"/>
        </w:rPr>
        <w:t>La valutazione dei progetti è effettuata considerando non solo gli aspetti della sostenibilità economic</w:t>
      </w:r>
      <w:r>
        <w:rPr>
          <w:rFonts w:ascii="Arial" w:hAnsi="Arial" w:cs="Arial"/>
          <w:sz w:val="24"/>
          <w:szCs w:val="24"/>
        </w:rPr>
        <w:t>o-f</w:t>
      </w:r>
      <w:r w:rsidRPr="007D10D2">
        <w:rPr>
          <w:rFonts w:ascii="Arial" w:hAnsi="Arial" w:cs="Arial"/>
          <w:sz w:val="24"/>
          <w:szCs w:val="24"/>
        </w:rPr>
        <w:t>inanziaria, ma anche facendo riferimento ad altri elementi (relazioni, struttura organizzativa, modalità di produzione dell’offerta di beni e servizi).</w:t>
      </w:r>
    </w:p>
    <w:p w14:paraId="181CC21B" w14:textId="77777777" w:rsidR="00F83AF6" w:rsidRPr="007D10D2" w:rsidRDefault="00F83AF6" w:rsidP="00F83AF6">
      <w:pPr>
        <w:pStyle w:val="Paragrafoelenco"/>
        <w:spacing w:after="240" w:line="360" w:lineRule="auto"/>
        <w:ind w:left="0"/>
        <w:jc w:val="both"/>
        <w:rPr>
          <w:rFonts w:ascii="Arial" w:hAnsi="Arial" w:cs="Arial"/>
          <w:sz w:val="24"/>
          <w:szCs w:val="24"/>
        </w:rPr>
      </w:pPr>
      <w:r w:rsidRPr="007D10D2">
        <w:rPr>
          <w:rFonts w:ascii="Arial" w:hAnsi="Arial" w:cs="Arial"/>
          <w:sz w:val="24"/>
          <w:szCs w:val="24"/>
        </w:rPr>
        <w:lastRenderedPageBreak/>
        <w:t xml:space="preserve">Nel contesto dell’affermazione dei principi che hanno ispirato vincoli di solidarietà mediante il ricorso al risparmio e </w:t>
      </w:r>
      <w:r>
        <w:rPr>
          <w:rFonts w:ascii="Arial" w:hAnsi="Arial" w:cs="Arial"/>
          <w:sz w:val="24"/>
          <w:szCs w:val="24"/>
        </w:rPr>
        <w:t xml:space="preserve">al </w:t>
      </w:r>
      <w:r w:rsidRPr="007D10D2">
        <w:rPr>
          <w:rFonts w:ascii="Arial" w:hAnsi="Arial" w:cs="Arial"/>
          <w:sz w:val="24"/>
          <w:szCs w:val="24"/>
        </w:rPr>
        <w:t>credito, si deve far menzione delle Casse Peota</w:t>
      </w:r>
      <w:r w:rsidRPr="007D10D2">
        <w:rPr>
          <w:rStyle w:val="Rimandonotaapidipagina"/>
          <w:rFonts w:ascii="Arial" w:hAnsi="Arial" w:cs="Arial"/>
          <w:sz w:val="24"/>
          <w:szCs w:val="24"/>
        </w:rPr>
        <w:footnoteReference w:id="42"/>
      </w:r>
      <w:r w:rsidRPr="007D10D2">
        <w:rPr>
          <w:rFonts w:ascii="Arial" w:hAnsi="Arial" w:cs="Arial"/>
          <w:sz w:val="24"/>
          <w:szCs w:val="24"/>
        </w:rPr>
        <w:t>, organizzazioni senza fini lucrativi operanti</w:t>
      </w:r>
      <w:r w:rsidRPr="007D10D2">
        <w:rPr>
          <w:rStyle w:val="Rimandonotaapidipagina"/>
          <w:rFonts w:ascii="Arial" w:hAnsi="Arial" w:cs="Arial"/>
          <w:sz w:val="24"/>
          <w:szCs w:val="24"/>
        </w:rPr>
        <w:footnoteReference w:id="43"/>
      </w:r>
      <w:r>
        <w:rPr>
          <w:rFonts w:ascii="Arial" w:hAnsi="Arial" w:cs="Arial"/>
          <w:sz w:val="24"/>
          <w:szCs w:val="24"/>
        </w:rPr>
        <w:t xml:space="preserve">, </w:t>
      </w:r>
      <w:r w:rsidRPr="007D10D2">
        <w:rPr>
          <w:rFonts w:ascii="Arial" w:hAnsi="Arial" w:cs="Arial"/>
          <w:sz w:val="24"/>
          <w:szCs w:val="24"/>
        </w:rPr>
        <w:t>ancora oggi</w:t>
      </w:r>
      <w:r>
        <w:rPr>
          <w:rFonts w:ascii="Arial" w:hAnsi="Arial" w:cs="Arial"/>
          <w:sz w:val="24"/>
          <w:szCs w:val="24"/>
        </w:rPr>
        <w:t>,</w:t>
      </w:r>
      <w:r w:rsidRPr="007D10D2">
        <w:rPr>
          <w:rFonts w:ascii="Arial" w:hAnsi="Arial" w:cs="Arial"/>
          <w:sz w:val="24"/>
          <w:szCs w:val="24"/>
        </w:rPr>
        <w:t xml:space="preserve"> nel Veneto e nel Friuli.</w:t>
      </w:r>
    </w:p>
    <w:p w14:paraId="224F374D" w14:textId="77777777" w:rsidR="00F83AF6" w:rsidRPr="007D10D2" w:rsidRDefault="00F83AF6" w:rsidP="00F83AF6">
      <w:pPr>
        <w:pStyle w:val="Paragrafoelenco"/>
        <w:spacing w:line="360" w:lineRule="auto"/>
        <w:ind w:left="0"/>
        <w:contextualSpacing w:val="0"/>
        <w:jc w:val="both"/>
        <w:rPr>
          <w:rFonts w:ascii="Arial" w:hAnsi="Arial" w:cs="Arial"/>
          <w:sz w:val="24"/>
          <w:szCs w:val="24"/>
        </w:rPr>
      </w:pPr>
      <w:r w:rsidRPr="007D10D2">
        <w:rPr>
          <w:rFonts w:ascii="Arial" w:hAnsi="Arial" w:cs="Arial"/>
          <w:sz w:val="24"/>
          <w:szCs w:val="24"/>
        </w:rPr>
        <w:t xml:space="preserve">Le Casse funzionano </w:t>
      </w:r>
      <w:r>
        <w:rPr>
          <w:rFonts w:ascii="Arial" w:hAnsi="Arial" w:cs="Arial"/>
          <w:sz w:val="24"/>
          <w:szCs w:val="24"/>
        </w:rPr>
        <w:t xml:space="preserve">con </w:t>
      </w:r>
      <w:r w:rsidRPr="007D10D2">
        <w:rPr>
          <w:rFonts w:ascii="Arial" w:hAnsi="Arial" w:cs="Arial"/>
          <w:sz w:val="24"/>
          <w:szCs w:val="24"/>
        </w:rPr>
        <w:t xml:space="preserve">la raccolta </w:t>
      </w:r>
      <w:r>
        <w:rPr>
          <w:rFonts w:ascii="Arial" w:hAnsi="Arial" w:cs="Arial"/>
          <w:sz w:val="24"/>
          <w:szCs w:val="24"/>
        </w:rPr>
        <w:t>dei versamenti annuali</w:t>
      </w:r>
      <w:r w:rsidRPr="007D10D2">
        <w:rPr>
          <w:rFonts w:ascii="Arial" w:hAnsi="Arial" w:cs="Arial"/>
          <w:sz w:val="24"/>
          <w:szCs w:val="24"/>
        </w:rPr>
        <w:t xml:space="preserve">, </w:t>
      </w:r>
      <w:r>
        <w:rPr>
          <w:rFonts w:ascii="Arial" w:hAnsi="Arial" w:cs="Arial"/>
          <w:sz w:val="24"/>
          <w:szCs w:val="24"/>
        </w:rPr>
        <w:t>a partire d</w:t>
      </w:r>
      <w:r w:rsidRPr="007D10D2">
        <w:rPr>
          <w:rFonts w:ascii="Arial" w:hAnsi="Arial" w:cs="Arial"/>
          <w:sz w:val="24"/>
          <w:szCs w:val="24"/>
        </w:rPr>
        <w:t>a novembre</w:t>
      </w:r>
      <w:r>
        <w:rPr>
          <w:rFonts w:ascii="Arial" w:hAnsi="Arial" w:cs="Arial"/>
          <w:sz w:val="24"/>
          <w:szCs w:val="24"/>
        </w:rPr>
        <w:t>; successivamente, i</w:t>
      </w:r>
      <w:r w:rsidRPr="007D10D2">
        <w:rPr>
          <w:rFonts w:ascii="Arial" w:hAnsi="Arial" w:cs="Arial"/>
          <w:sz w:val="24"/>
          <w:szCs w:val="24"/>
        </w:rPr>
        <w:t xml:space="preserve"> </w:t>
      </w:r>
      <w:r>
        <w:rPr>
          <w:rFonts w:ascii="Arial" w:hAnsi="Arial" w:cs="Arial"/>
          <w:sz w:val="24"/>
          <w:szCs w:val="24"/>
        </w:rPr>
        <w:t>fondi accumulati</w:t>
      </w:r>
      <w:r w:rsidRPr="007D10D2">
        <w:rPr>
          <w:rFonts w:ascii="Arial" w:hAnsi="Arial" w:cs="Arial"/>
          <w:sz w:val="24"/>
          <w:szCs w:val="24"/>
        </w:rPr>
        <w:t xml:space="preserve"> sono investiti nei circuiti di intermediari finanziari ordinari, al fine di conseguire una remunerazione più elevata rispetto a quella che potrebbe essere restituita a</w:t>
      </w:r>
      <w:r>
        <w:rPr>
          <w:rFonts w:ascii="Arial" w:hAnsi="Arial" w:cs="Arial"/>
          <w:sz w:val="24"/>
          <w:szCs w:val="24"/>
        </w:rPr>
        <w:t xml:space="preserve"> ciascun </w:t>
      </w:r>
      <w:r w:rsidRPr="007D10D2">
        <w:rPr>
          <w:rFonts w:ascii="Arial" w:hAnsi="Arial" w:cs="Arial"/>
          <w:sz w:val="24"/>
          <w:szCs w:val="24"/>
        </w:rPr>
        <w:t>aderent</w:t>
      </w:r>
      <w:r>
        <w:rPr>
          <w:rFonts w:ascii="Arial" w:hAnsi="Arial" w:cs="Arial"/>
          <w:sz w:val="24"/>
          <w:szCs w:val="24"/>
        </w:rPr>
        <w:t>e</w:t>
      </w:r>
      <w:r w:rsidRPr="007D10D2">
        <w:rPr>
          <w:rFonts w:ascii="Arial" w:hAnsi="Arial" w:cs="Arial"/>
          <w:sz w:val="24"/>
          <w:szCs w:val="24"/>
        </w:rPr>
        <w:t xml:space="preserve"> in ragione del singolo impiego di denaro</w:t>
      </w:r>
      <w:r>
        <w:rPr>
          <w:rFonts w:ascii="Arial" w:hAnsi="Arial" w:cs="Arial"/>
          <w:sz w:val="24"/>
          <w:szCs w:val="24"/>
        </w:rPr>
        <w:t>; infine, n</w:t>
      </w:r>
      <w:r w:rsidRPr="007D10D2">
        <w:rPr>
          <w:rFonts w:ascii="Arial" w:hAnsi="Arial" w:cs="Arial"/>
          <w:sz w:val="24"/>
          <w:szCs w:val="24"/>
        </w:rPr>
        <w:t>el mese di ottobre, la Cassa riversa ai partecipanti le quote corrisposte</w:t>
      </w:r>
      <w:r>
        <w:rPr>
          <w:rFonts w:ascii="Arial" w:hAnsi="Arial" w:cs="Arial"/>
          <w:sz w:val="24"/>
          <w:szCs w:val="24"/>
        </w:rPr>
        <w:t>,</w:t>
      </w:r>
      <w:r w:rsidRPr="007D10D2">
        <w:rPr>
          <w:rFonts w:ascii="Arial" w:hAnsi="Arial" w:cs="Arial"/>
          <w:sz w:val="24"/>
          <w:szCs w:val="24"/>
        </w:rPr>
        <w:t xml:space="preserve"> con l’aggiunta degli interessi maturati dal loro impiego.</w:t>
      </w:r>
    </w:p>
    <w:p w14:paraId="54094A9E" w14:textId="77777777" w:rsidR="00F83AF6" w:rsidRDefault="00F83AF6" w:rsidP="00F83AF6">
      <w:pPr>
        <w:pStyle w:val="Paragrafoelenco"/>
        <w:spacing w:before="100" w:beforeAutospacing="1" w:after="100" w:afterAutospacing="1" w:line="360" w:lineRule="auto"/>
        <w:ind w:left="0"/>
        <w:contextualSpacing w:val="0"/>
        <w:jc w:val="both"/>
        <w:rPr>
          <w:rFonts w:ascii="Arial" w:hAnsi="Arial" w:cs="Arial"/>
          <w:sz w:val="24"/>
          <w:szCs w:val="24"/>
        </w:rPr>
      </w:pPr>
      <w:r w:rsidRPr="007D10D2">
        <w:rPr>
          <w:rFonts w:ascii="Arial" w:hAnsi="Arial" w:cs="Arial"/>
          <w:sz w:val="24"/>
          <w:szCs w:val="24"/>
        </w:rPr>
        <w:t>Un grande impulso per l’affermazione del microcredito nel mondo della finanza è stato impresso dal</w:t>
      </w:r>
      <w:r>
        <w:rPr>
          <w:rFonts w:ascii="Arial" w:hAnsi="Arial" w:cs="Arial"/>
          <w:sz w:val="24"/>
          <w:szCs w:val="24"/>
        </w:rPr>
        <w:t xml:space="preserve"> pensiero e dal</w:t>
      </w:r>
      <w:r w:rsidRPr="007D10D2">
        <w:rPr>
          <w:rFonts w:ascii="Arial" w:hAnsi="Arial" w:cs="Arial"/>
          <w:sz w:val="24"/>
          <w:szCs w:val="24"/>
        </w:rPr>
        <w:t>l’opera di Mohammad Yunus, premio Nobel per la pace nel 2006. Consentendo ad alcune lavoratrici di giunco</w:t>
      </w:r>
      <w:r w:rsidRPr="007D10D2">
        <w:rPr>
          <w:rStyle w:val="Rimandonotaapidipagina"/>
          <w:rFonts w:ascii="Arial" w:hAnsi="Arial" w:cs="Arial"/>
          <w:sz w:val="24"/>
          <w:szCs w:val="24"/>
        </w:rPr>
        <w:footnoteReference w:id="44"/>
      </w:r>
      <w:r w:rsidRPr="007D10D2">
        <w:rPr>
          <w:rFonts w:ascii="Arial" w:hAnsi="Arial" w:cs="Arial"/>
          <w:sz w:val="24"/>
          <w:szCs w:val="24"/>
        </w:rPr>
        <w:t xml:space="preserve"> del villaggio di Jobra, nel Bangladesh, di ottenere piccoli prestiti fiduciari, l’economista ha guidato la ripresa e lo sviluppo di tante piccole attività economiche rilevatesi importanti per la crescita di intere aree rurali.</w:t>
      </w:r>
    </w:p>
    <w:p w14:paraId="03807617" w14:textId="77777777" w:rsidR="00F83AF6" w:rsidRPr="007D10D2" w:rsidRDefault="00F83AF6" w:rsidP="00F83AF6">
      <w:pPr>
        <w:pStyle w:val="Paragrafoelenco"/>
        <w:spacing w:before="100" w:beforeAutospacing="1" w:after="100" w:afterAutospacing="1" w:line="360" w:lineRule="auto"/>
        <w:ind w:left="0"/>
        <w:contextualSpacing w:val="0"/>
        <w:jc w:val="both"/>
        <w:rPr>
          <w:rFonts w:ascii="Arial" w:hAnsi="Arial" w:cs="Arial"/>
          <w:sz w:val="24"/>
          <w:szCs w:val="24"/>
        </w:rPr>
      </w:pPr>
      <w:r w:rsidRPr="007D10D2">
        <w:rPr>
          <w:rFonts w:ascii="Arial" w:hAnsi="Arial" w:cs="Arial"/>
          <w:sz w:val="24"/>
          <w:szCs w:val="24"/>
        </w:rPr>
        <w:t>In particolare, con la costituzione nel 1976 della Greemen Bank (e successivamente della Greemen Bank II)</w:t>
      </w:r>
      <w:r w:rsidRPr="007D10D2">
        <w:rPr>
          <w:rStyle w:val="Rimandonotaapidipagina"/>
          <w:rFonts w:ascii="Arial" w:hAnsi="Arial" w:cs="Arial"/>
          <w:sz w:val="24"/>
          <w:szCs w:val="24"/>
        </w:rPr>
        <w:footnoteReference w:id="45"/>
      </w:r>
      <w:r w:rsidRPr="007D10D2">
        <w:rPr>
          <w:rFonts w:ascii="Arial" w:hAnsi="Arial" w:cs="Arial"/>
          <w:sz w:val="24"/>
          <w:szCs w:val="24"/>
        </w:rPr>
        <w:t xml:space="preserve">, Yunus ribalta la concezione del sistema finanziario tradizionale, </w:t>
      </w:r>
      <w:r>
        <w:rPr>
          <w:rFonts w:ascii="Arial" w:hAnsi="Arial" w:cs="Arial"/>
          <w:sz w:val="24"/>
          <w:szCs w:val="24"/>
        </w:rPr>
        <w:t xml:space="preserve">ponendo </w:t>
      </w:r>
      <w:r w:rsidRPr="007D10D2">
        <w:rPr>
          <w:rFonts w:ascii="Arial" w:hAnsi="Arial" w:cs="Arial"/>
          <w:sz w:val="24"/>
          <w:szCs w:val="24"/>
        </w:rPr>
        <w:t>al centro del suo pensiero economico il miglioramento delle condizioni sociali dei poveri, soluzione che avrebbe consentito azioni di sviluppo per tutta la regione interessata dal nuovo progetto. Un sistema che prevedeva una banca con funzionari operanti direttamente nei villaggi, iniziative per limitare la discriminazione di genere, valorizzando il ruolo delle donne, più motivate a perseguire una sicurezza economica, e quelle dei gruppi affini, per attività svolte e condizione economic</w:t>
      </w:r>
      <w:r>
        <w:rPr>
          <w:rFonts w:ascii="Arial" w:hAnsi="Arial" w:cs="Arial"/>
          <w:sz w:val="24"/>
          <w:szCs w:val="24"/>
        </w:rPr>
        <w:t>o-</w:t>
      </w:r>
      <w:r w:rsidRPr="007D10D2">
        <w:rPr>
          <w:rFonts w:ascii="Arial" w:hAnsi="Arial" w:cs="Arial"/>
          <w:sz w:val="24"/>
          <w:szCs w:val="24"/>
        </w:rPr>
        <w:t xml:space="preserve">sociale, la cui costituzione garantiva l’erogazione dei prestiti ai singoli, ritenendo che il senso di reciprocità e solidarietà di appartenenza a un gruppo ed il </w:t>
      </w:r>
      <w:r w:rsidRPr="007D10D2">
        <w:rPr>
          <w:rFonts w:ascii="Arial" w:hAnsi="Arial" w:cs="Arial"/>
          <w:sz w:val="24"/>
          <w:szCs w:val="24"/>
        </w:rPr>
        <w:lastRenderedPageBreak/>
        <w:t>controllo da questo esercitato sui singoli, fosse di stimolo per scongiurare morosità e insolvenze</w:t>
      </w:r>
      <w:r w:rsidRPr="007D10D2">
        <w:rPr>
          <w:rStyle w:val="Rimandonotaapidipagina"/>
          <w:rFonts w:ascii="Arial" w:hAnsi="Arial" w:cs="Arial"/>
          <w:sz w:val="24"/>
          <w:szCs w:val="24"/>
        </w:rPr>
        <w:footnoteReference w:id="46"/>
      </w:r>
      <w:r w:rsidRPr="007D10D2">
        <w:rPr>
          <w:rFonts w:ascii="Arial" w:hAnsi="Arial" w:cs="Arial"/>
          <w:sz w:val="24"/>
          <w:szCs w:val="24"/>
        </w:rPr>
        <w:t>.</w:t>
      </w:r>
    </w:p>
    <w:p w14:paraId="723F14B0" w14:textId="77777777" w:rsidR="00F83AF6" w:rsidRPr="007D10D2" w:rsidRDefault="00F83AF6" w:rsidP="00F83AF6">
      <w:pPr>
        <w:pStyle w:val="Paragrafoelenco"/>
        <w:spacing w:line="360" w:lineRule="auto"/>
        <w:ind w:left="0"/>
        <w:contextualSpacing w:val="0"/>
        <w:jc w:val="both"/>
        <w:rPr>
          <w:rFonts w:ascii="Arial" w:hAnsi="Arial" w:cs="Arial"/>
          <w:sz w:val="24"/>
          <w:szCs w:val="24"/>
        </w:rPr>
      </w:pPr>
      <w:r w:rsidRPr="007D10D2">
        <w:rPr>
          <w:rFonts w:ascii="Arial" w:hAnsi="Arial" w:cs="Arial"/>
          <w:sz w:val="24"/>
          <w:szCs w:val="24"/>
        </w:rPr>
        <w:t>Per Yunus</w:t>
      </w:r>
      <w:r w:rsidRPr="007D10D2">
        <w:rPr>
          <w:rStyle w:val="Rimandonotaapidipagina"/>
          <w:rFonts w:ascii="Arial" w:hAnsi="Arial" w:cs="Arial"/>
          <w:sz w:val="24"/>
          <w:szCs w:val="24"/>
        </w:rPr>
        <w:footnoteReference w:id="47"/>
      </w:r>
      <w:r>
        <w:rPr>
          <w:rFonts w:ascii="Arial" w:hAnsi="Arial" w:cs="Arial"/>
          <w:sz w:val="24"/>
          <w:szCs w:val="24"/>
        </w:rPr>
        <w:t xml:space="preserve"> </w:t>
      </w:r>
      <w:r w:rsidRPr="007D10D2">
        <w:rPr>
          <w:rFonts w:ascii="Arial" w:hAnsi="Arial" w:cs="Arial"/>
          <w:sz w:val="24"/>
          <w:szCs w:val="24"/>
        </w:rPr>
        <w:t>la povertà si può sradicare con l’impegno concreto di tutti gli attori preposti all’adozione di scelte idonee e programmi finanziari efficaci per rilevare e valorizzare le grandi capacità insite negli esseri umani, promuovendo il miglioramento delle condizioni socio</w:t>
      </w:r>
      <w:r>
        <w:rPr>
          <w:rFonts w:ascii="Arial" w:hAnsi="Arial" w:cs="Arial"/>
          <w:sz w:val="24"/>
          <w:szCs w:val="24"/>
        </w:rPr>
        <w:t>economiche</w:t>
      </w:r>
      <w:r w:rsidRPr="007D10D2">
        <w:rPr>
          <w:rFonts w:ascii="Arial" w:hAnsi="Arial" w:cs="Arial"/>
          <w:sz w:val="24"/>
          <w:szCs w:val="24"/>
        </w:rPr>
        <w:t xml:space="preserve"> e suscitando affidamento e fiducia</w:t>
      </w:r>
      <w:r w:rsidRPr="007D10D2">
        <w:rPr>
          <w:rStyle w:val="Rimandonotaapidipagina"/>
          <w:rFonts w:ascii="Arial" w:hAnsi="Arial" w:cs="Arial"/>
          <w:sz w:val="24"/>
          <w:szCs w:val="24"/>
        </w:rPr>
        <w:footnoteReference w:id="48"/>
      </w:r>
      <w:r w:rsidRPr="007D10D2">
        <w:rPr>
          <w:rFonts w:ascii="Arial" w:hAnsi="Arial" w:cs="Arial"/>
          <w:sz w:val="24"/>
          <w:szCs w:val="24"/>
        </w:rPr>
        <w:t>.</w:t>
      </w:r>
    </w:p>
    <w:p w14:paraId="790996F3" w14:textId="77777777" w:rsidR="00F83AF6" w:rsidRPr="007D10D2" w:rsidRDefault="00F83AF6" w:rsidP="00F83AF6">
      <w:pPr>
        <w:pStyle w:val="Paragrafoelenco"/>
        <w:spacing w:line="360" w:lineRule="auto"/>
        <w:ind w:left="0"/>
        <w:contextualSpacing w:val="0"/>
        <w:jc w:val="both"/>
        <w:rPr>
          <w:rFonts w:ascii="Arial" w:hAnsi="Arial" w:cs="Arial"/>
          <w:sz w:val="24"/>
          <w:szCs w:val="24"/>
        </w:rPr>
      </w:pPr>
      <w:r w:rsidRPr="007D10D2">
        <w:rPr>
          <w:rFonts w:ascii="Arial" w:hAnsi="Arial" w:cs="Arial"/>
          <w:sz w:val="24"/>
          <w:szCs w:val="24"/>
        </w:rPr>
        <w:t>Un’altra significativa esperienza nel mondo della microfinanza deve attribuirsi ai programmi e alle azioni di Accion International, una fondazione nata nel 1961 negli Stati Uniti per opera di Joe Blatchford, studente di giurisprudenza dell</w:t>
      </w:r>
      <w:r>
        <w:rPr>
          <w:rFonts w:ascii="Arial" w:hAnsi="Arial" w:cs="Arial"/>
          <w:sz w:val="24"/>
          <w:szCs w:val="24"/>
        </w:rPr>
        <w:t>’Università della California -</w:t>
      </w:r>
      <w:r w:rsidRPr="007D10D2">
        <w:rPr>
          <w:rFonts w:ascii="Arial" w:hAnsi="Arial" w:cs="Arial"/>
          <w:sz w:val="24"/>
          <w:szCs w:val="24"/>
        </w:rPr>
        <w:t xml:space="preserve">Berkeley, con la missione di </w:t>
      </w:r>
      <w:r>
        <w:rPr>
          <w:rFonts w:ascii="Arial" w:hAnsi="Arial" w:cs="Arial"/>
          <w:sz w:val="24"/>
          <w:szCs w:val="24"/>
        </w:rPr>
        <w:t xml:space="preserve">promuovere </w:t>
      </w:r>
      <w:r w:rsidRPr="007D10D2">
        <w:rPr>
          <w:rFonts w:ascii="Arial" w:hAnsi="Arial" w:cs="Arial"/>
          <w:sz w:val="24"/>
          <w:szCs w:val="24"/>
        </w:rPr>
        <w:t>un’economia giusta e inclusiva</w:t>
      </w:r>
      <w:r>
        <w:rPr>
          <w:rFonts w:ascii="Arial" w:hAnsi="Arial" w:cs="Arial"/>
          <w:sz w:val="24"/>
          <w:szCs w:val="24"/>
        </w:rPr>
        <w:t xml:space="preserve">; ispirata </w:t>
      </w:r>
      <w:r w:rsidRPr="007D10D2">
        <w:rPr>
          <w:rFonts w:ascii="Arial" w:hAnsi="Arial" w:cs="Arial"/>
          <w:sz w:val="24"/>
          <w:szCs w:val="24"/>
        </w:rPr>
        <w:t>dall’idealismo kennediano, Accion prende forma dal programma “</w:t>
      </w:r>
      <w:r w:rsidRPr="007D10D2">
        <w:rPr>
          <w:rFonts w:ascii="Arial" w:hAnsi="Arial" w:cs="Arial"/>
          <w:i/>
          <w:iCs/>
          <w:sz w:val="24"/>
          <w:szCs w:val="24"/>
        </w:rPr>
        <w:t>The Peace Corps</w:t>
      </w:r>
      <w:r w:rsidRPr="007D10D2">
        <w:rPr>
          <w:rFonts w:ascii="Arial" w:hAnsi="Arial" w:cs="Arial"/>
          <w:sz w:val="24"/>
          <w:szCs w:val="24"/>
        </w:rPr>
        <w:t>”</w:t>
      </w:r>
      <w:r>
        <w:rPr>
          <w:rStyle w:val="Rimandonotaapidipagina"/>
          <w:rFonts w:ascii="Arial" w:hAnsi="Arial" w:cs="Arial"/>
          <w:sz w:val="24"/>
          <w:szCs w:val="24"/>
        </w:rPr>
        <w:footnoteReference w:id="49"/>
      </w:r>
      <w:r w:rsidRPr="007D10D2">
        <w:rPr>
          <w:rFonts w:ascii="Arial" w:hAnsi="Arial" w:cs="Arial"/>
          <w:sz w:val="24"/>
          <w:szCs w:val="24"/>
        </w:rPr>
        <w:t xml:space="preserve">, </w:t>
      </w:r>
      <w:r>
        <w:rPr>
          <w:rFonts w:ascii="Arial" w:hAnsi="Arial" w:cs="Arial"/>
          <w:sz w:val="24"/>
          <w:szCs w:val="24"/>
        </w:rPr>
        <w:t>avviato</w:t>
      </w:r>
      <w:r w:rsidRPr="007D10D2">
        <w:rPr>
          <w:rFonts w:ascii="Arial" w:hAnsi="Arial" w:cs="Arial"/>
          <w:sz w:val="24"/>
          <w:szCs w:val="24"/>
        </w:rPr>
        <w:t xml:space="preserve"> dal Presidente John Fitzgerald Kennedy per apportare nei Paesi in via di sviluppo azioni economiche, sociali o di formazione</w:t>
      </w:r>
      <w:r>
        <w:rPr>
          <w:rFonts w:ascii="Arial" w:hAnsi="Arial" w:cs="Arial"/>
          <w:sz w:val="24"/>
          <w:szCs w:val="24"/>
        </w:rPr>
        <w:t>,</w:t>
      </w:r>
      <w:r w:rsidRPr="007D10D2">
        <w:rPr>
          <w:rFonts w:ascii="Arial" w:hAnsi="Arial" w:cs="Arial"/>
          <w:sz w:val="24"/>
          <w:szCs w:val="24"/>
        </w:rPr>
        <w:t xml:space="preserve"> e opera in sinergia con l’ USAID (United States Agency for International Development</w:t>
      </w:r>
      <w:r>
        <w:rPr>
          <w:rFonts w:ascii="Arial" w:hAnsi="Arial" w:cs="Arial"/>
          <w:sz w:val="24"/>
          <w:szCs w:val="24"/>
        </w:rPr>
        <w:t>)</w:t>
      </w:r>
      <w:r w:rsidRPr="007D10D2">
        <w:rPr>
          <w:rFonts w:ascii="Arial" w:hAnsi="Arial" w:cs="Arial"/>
          <w:sz w:val="24"/>
          <w:szCs w:val="24"/>
        </w:rPr>
        <w:t>, Agenzia fondata anch’essa nel 1961</w:t>
      </w:r>
      <w:r>
        <w:rPr>
          <w:rFonts w:ascii="Arial" w:hAnsi="Arial" w:cs="Arial"/>
          <w:sz w:val="24"/>
          <w:szCs w:val="24"/>
        </w:rPr>
        <w:t>, sempre</w:t>
      </w:r>
      <w:r w:rsidRPr="007D10D2">
        <w:rPr>
          <w:rFonts w:ascii="Arial" w:hAnsi="Arial" w:cs="Arial"/>
          <w:sz w:val="24"/>
          <w:szCs w:val="24"/>
        </w:rPr>
        <w:t xml:space="preserve"> </w:t>
      </w:r>
      <w:r>
        <w:rPr>
          <w:rFonts w:ascii="Arial" w:hAnsi="Arial" w:cs="Arial"/>
          <w:sz w:val="24"/>
          <w:szCs w:val="24"/>
        </w:rPr>
        <w:t xml:space="preserve">su impulso </w:t>
      </w:r>
      <w:r w:rsidRPr="007D10D2">
        <w:rPr>
          <w:rFonts w:ascii="Arial" w:hAnsi="Arial" w:cs="Arial"/>
          <w:sz w:val="24"/>
          <w:szCs w:val="24"/>
        </w:rPr>
        <w:t>del Presidente Kennedy, per contrastare la povertà globale e migliorare la potenzialità delle società democratiche.</w:t>
      </w:r>
    </w:p>
    <w:p w14:paraId="7FF0E195" w14:textId="77777777" w:rsidR="00F83AF6" w:rsidRPr="007D10D2" w:rsidRDefault="00F83AF6" w:rsidP="00F83AF6">
      <w:pPr>
        <w:pStyle w:val="Paragrafoelenco"/>
        <w:spacing w:line="360" w:lineRule="auto"/>
        <w:ind w:left="0"/>
        <w:contextualSpacing w:val="0"/>
        <w:jc w:val="both"/>
        <w:rPr>
          <w:rFonts w:ascii="Arial" w:hAnsi="Arial" w:cs="Arial"/>
          <w:sz w:val="24"/>
          <w:szCs w:val="24"/>
        </w:rPr>
      </w:pPr>
      <w:r w:rsidRPr="007D10D2">
        <w:rPr>
          <w:rFonts w:ascii="Arial" w:hAnsi="Arial" w:cs="Arial"/>
          <w:sz w:val="24"/>
          <w:szCs w:val="24"/>
        </w:rPr>
        <w:t>Attraverso l’ONG Prodem (</w:t>
      </w:r>
      <w:r w:rsidRPr="007D10D2">
        <w:rPr>
          <w:rFonts w:ascii="Arial" w:hAnsi="Arial" w:cs="Arial"/>
          <w:i/>
          <w:iCs/>
          <w:sz w:val="24"/>
          <w:szCs w:val="24"/>
        </w:rPr>
        <w:t>Fundación para la Promoción y el Desarrollo de la Microempresa</w:t>
      </w:r>
      <w:r w:rsidRPr="007D10D2">
        <w:rPr>
          <w:rFonts w:ascii="Arial" w:hAnsi="Arial" w:cs="Arial"/>
          <w:sz w:val="24"/>
          <w:szCs w:val="24"/>
        </w:rPr>
        <w:t>), costituita nel 1986 al fine di ampliare la capacità di impiego e il livello di reddito del settore informale attraverso la microfinanza, Accion contribuì alla fondazione in Bolivia, nel 1992, del Banco Solidario (Banco Sol), uno dei pochi esempi di organizzazione non governativa trasformatasi in istituto di credito, attesa l’impossibilità della ONG di poter continuare a operare nel settore anche per lo sviluppo delle sue attività.</w:t>
      </w:r>
    </w:p>
    <w:p w14:paraId="570B1454" w14:textId="77777777" w:rsidR="00F83AF6" w:rsidRDefault="00F83AF6" w:rsidP="00F83AF6">
      <w:pPr>
        <w:pStyle w:val="Paragrafoelenco"/>
        <w:spacing w:before="600" w:after="480" w:line="360" w:lineRule="auto"/>
        <w:ind w:left="0"/>
        <w:jc w:val="both"/>
        <w:rPr>
          <w:rFonts w:ascii="Arial" w:hAnsi="Arial" w:cs="Arial"/>
          <w:sz w:val="24"/>
          <w:szCs w:val="24"/>
        </w:rPr>
      </w:pPr>
      <w:r w:rsidRPr="007D10D2">
        <w:rPr>
          <w:rFonts w:ascii="Arial" w:hAnsi="Arial" w:cs="Arial"/>
          <w:sz w:val="24"/>
          <w:szCs w:val="24"/>
        </w:rPr>
        <w:t>Un percorso simile al Banco Sol è quello dell’associazione Cerudeb</w:t>
      </w:r>
      <w:r>
        <w:rPr>
          <w:rFonts w:ascii="Arial" w:hAnsi="Arial" w:cs="Arial"/>
          <w:sz w:val="24"/>
          <w:szCs w:val="24"/>
        </w:rPr>
        <w:t>,</w:t>
      </w:r>
      <w:r w:rsidRPr="007D10D2">
        <w:rPr>
          <w:rFonts w:ascii="Arial" w:hAnsi="Arial" w:cs="Arial"/>
          <w:sz w:val="24"/>
          <w:szCs w:val="24"/>
        </w:rPr>
        <w:t xml:space="preserve"> nata in Uganda nel 1983 con la denominazione “</w:t>
      </w:r>
      <w:r w:rsidRPr="007D10D2">
        <w:rPr>
          <w:rFonts w:ascii="Arial" w:hAnsi="Arial" w:cs="Arial"/>
          <w:i/>
          <w:iCs/>
          <w:sz w:val="24"/>
          <w:szCs w:val="24"/>
        </w:rPr>
        <w:t>Centenary rural development trust</w:t>
      </w:r>
      <w:r w:rsidRPr="007D10D2">
        <w:rPr>
          <w:rFonts w:ascii="Arial" w:hAnsi="Arial" w:cs="Arial"/>
          <w:sz w:val="24"/>
          <w:szCs w:val="24"/>
        </w:rPr>
        <w:t xml:space="preserve">”, finalizzata alla promozione e fornitura di servizi finanziari di base alla </w:t>
      </w:r>
      <w:r>
        <w:rPr>
          <w:rFonts w:ascii="Arial" w:hAnsi="Arial" w:cs="Arial"/>
          <w:sz w:val="24"/>
          <w:szCs w:val="24"/>
        </w:rPr>
        <w:t xml:space="preserve">popolazione rurale, trasformata, </w:t>
      </w:r>
      <w:r w:rsidRPr="007D10D2">
        <w:rPr>
          <w:rFonts w:ascii="Arial" w:hAnsi="Arial" w:cs="Arial"/>
          <w:sz w:val="24"/>
          <w:szCs w:val="24"/>
        </w:rPr>
        <w:t>nel 1993</w:t>
      </w:r>
      <w:r>
        <w:rPr>
          <w:rFonts w:ascii="Arial" w:hAnsi="Arial" w:cs="Arial"/>
          <w:sz w:val="24"/>
          <w:szCs w:val="24"/>
        </w:rPr>
        <w:t>,</w:t>
      </w:r>
      <w:r w:rsidRPr="007D10D2">
        <w:rPr>
          <w:rFonts w:ascii="Arial" w:hAnsi="Arial" w:cs="Arial"/>
          <w:sz w:val="24"/>
          <w:szCs w:val="24"/>
        </w:rPr>
        <w:t xml:space="preserve"> in una banca commerciale.</w:t>
      </w:r>
    </w:p>
    <w:p w14:paraId="5F17B673" w14:textId="77777777" w:rsidR="00F83AF6" w:rsidRPr="007D10D2" w:rsidRDefault="00F83AF6" w:rsidP="00F83AF6">
      <w:pPr>
        <w:pStyle w:val="Paragrafoelenco"/>
        <w:spacing w:before="600" w:after="480" w:line="360" w:lineRule="auto"/>
        <w:ind w:left="0"/>
        <w:jc w:val="both"/>
        <w:rPr>
          <w:rFonts w:ascii="Arial" w:hAnsi="Arial" w:cs="Arial"/>
          <w:sz w:val="24"/>
          <w:szCs w:val="24"/>
        </w:rPr>
      </w:pPr>
      <w:r>
        <w:rPr>
          <w:rFonts w:ascii="Arial" w:hAnsi="Arial" w:cs="Arial"/>
          <w:sz w:val="24"/>
          <w:szCs w:val="24"/>
        </w:rPr>
        <w:t xml:space="preserve">Si segnala, infine, la missione della </w:t>
      </w:r>
      <w:r w:rsidRPr="008E1135">
        <w:rPr>
          <w:rFonts w:ascii="Arial" w:hAnsi="Arial" w:cs="Arial"/>
          <w:sz w:val="24"/>
          <w:szCs w:val="24"/>
        </w:rPr>
        <w:t>Foundation for International Community Assistance –FINCA International</w:t>
      </w:r>
      <w:r>
        <w:rPr>
          <w:rFonts w:ascii="Arial" w:hAnsi="Arial" w:cs="Arial"/>
          <w:sz w:val="24"/>
          <w:szCs w:val="24"/>
        </w:rPr>
        <w:t xml:space="preserve">, con sede a Washington, fondata da John Hatch nel 1984: rappresenta </w:t>
      </w:r>
      <w:r>
        <w:rPr>
          <w:rFonts w:ascii="Arial" w:hAnsi="Arial" w:cs="Arial"/>
          <w:sz w:val="24"/>
          <w:szCs w:val="24"/>
        </w:rPr>
        <w:lastRenderedPageBreak/>
        <w:t>un’</w:t>
      </w:r>
      <w:r w:rsidRPr="008E1135">
        <w:rPr>
          <w:rFonts w:ascii="Arial" w:hAnsi="Arial" w:cs="Arial"/>
          <w:sz w:val="24"/>
          <w:szCs w:val="24"/>
        </w:rPr>
        <w:t>organizzazione senza scopo di lucro con la missione di alleviare la povertà attraverso soluzioni durature che aiutino le persone a costruire risorse, creare posti di lavoro e aumentare il proprio tenore di vita.</w:t>
      </w:r>
      <w:r>
        <w:rPr>
          <w:rFonts w:ascii="Arial" w:hAnsi="Arial" w:cs="Arial"/>
          <w:sz w:val="24"/>
          <w:szCs w:val="24"/>
        </w:rPr>
        <w:t xml:space="preserve"> La Fondazione ha ideato e diffonde il concetto del</w:t>
      </w:r>
      <w:r w:rsidRPr="000A1F14">
        <w:rPr>
          <w:rFonts w:ascii="Arial" w:hAnsi="Arial" w:cs="Arial"/>
          <w:sz w:val="24"/>
          <w:szCs w:val="24"/>
        </w:rPr>
        <w:t xml:space="preserve"> </w:t>
      </w:r>
      <w:r w:rsidRPr="000A1F14">
        <w:rPr>
          <w:rFonts w:ascii="Arial" w:hAnsi="Arial" w:cs="Arial"/>
          <w:i/>
          <w:sz w:val="24"/>
          <w:szCs w:val="24"/>
        </w:rPr>
        <w:t>Village Banking</w:t>
      </w:r>
      <w:r>
        <w:rPr>
          <w:rFonts w:ascii="Arial" w:hAnsi="Arial" w:cs="Arial"/>
          <w:sz w:val="24"/>
          <w:szCs w:val="24"/>
        </w:rPr>
        <w:t xml:space="preserve">, che sostiene le </w:t>
      </w:r>
      <w:r w:rsidRPr="000A1F14">
        <w:rPr>
          <w:rFonts w:ascii="Arial" w:hAnsi="Arial" w:cs="Arial"/>
          <w:sz w:val="24"/>
          <w:szCs w:val="24"/>
        </w:rPr>
        <w:t>attività di “auto-aiuto” tra i componenti di gruppi costituiti da 15-20</w:t>
      </w:r>
      <w:r>
        <w:rPr>
          <w:rFonts w:ascii="Arial" w:hAnsi="Arial" w:cs="Arial"/>
          <w:sz w:val="24"/>
          <w:szCs w:val="24"/>
        </w:rPr>
        <w:t xml:space="preserve"> </w:t>
      </w:r>
      <w:r w:rsidRPr="000A1F14">
        <w:rPr>
          <w:rFonts w:ascii="Arial" w:hAnsi="Arial" w:cs="Arial"/>
          <w:sz w:val="24"/>
          <w:szCs w:val="24"/>
        </w:rPr>
        <w:t>persone</w:t>
      </w:r>
      <w:r>
        <w:rPr>
          <w:rFonts w:ascii="Arial" w:hAnsi="Arial" w:cs="Arial"/>
          <w:sz w:val="24"/>
          <w:szCs w:val="24"/>
        </w:rPr>
        <w:t xml:space="preserve">, </w:t>
      </w:r>
      <w:r w:rsidRPr="000A1F14">
        <w:rPr>
          <w:rFonts w:ascii="Arial" w:hAnsi="Arial" w:cs="Arial"/>
          <w:sz w:val="24"/>
          <w:szCs w:val="24"/>
        </w:rPr>
        <w:t>prevalentemente di sesso femminile</w:t>
      </w:r>
      <w:r>
        <w:rPr>
          <w:rFonts w:ascii="Arial" w:hAnsi="Arial" w:cs="Arial"/>
          <w:sz w:val="24"/>
          <w:szCs w:val="24"/>
        </w:rPr>
        <w:t xml:space="preserve"> con prestiti a</w:t>
      </w:r>
      <w:r w:rsidRPr="000A1F14">
        <w:rPr>
          <w:rFonts w:ascii="Arial" w:hAnsi="Arial" w:cs="Arial"/>
          <w:sz w:val="24"/>
          <w:szCs w:val="24"/>
        </w:rPr>
        <w:t xml:space="preserve"> tassi</w:t>
      </w:r>
      <w:r>
        <w:rPr>
          <w:rFonts w:ascii="Arial" w:hAnsi="Arial" w:cs="Arial"/>
          <w:sz w:val="24"/>
          <w:szCs w:val="24"/>
        </w:rPr>
        <w:t xml:space="preserve"> </w:t>
      </w:r>
      <w:r w:rsidRPr="000A1F14">
        <w:rPr>
          <w:rFonts w:ascii="Arial" w:hAnsi="Arial" w:cs="Arial"/>
          <w:sz w:val="24"/>
          <w:szCs w:val="24"/>
        </w:rPr>
        <w:t xml:space="preserve">d’interesse di mercato </w:t>
      </w:r>
      <w:r>
        <w:rPr>
          <w:rFonts w:ascii="Arial" w:hAnsi="Arial" w:cs="Arial"/>
          <w:sz w:val="24"/>
          <w:szCs w:val="24"/>
        </w:rPr>
        <w:t>basati sul sistema delle reciproche garanzie dei</w:t>
      </w:r>
      <w:r w:rsidRPr="000A1F14">
        <w:rPr>
          <w:rFonts w:ascii="Arial" w:hAnsi="Arial" w:cs="Arial"/>
          <w:sz w:val="24"/>
          <w:szCs w:val="24"/>
        </w:rPr>
        <w:t xml:space="preserve"> membri del gruppo.</w:t>
      </w:r>
    </w:p>
    <w:p w14:paraId="2BBF551C" w14:textId="77777777" w:rsidR="00F83AF6" w:rsidRPr="007D10D2" w:rsidRDefault="00F83AF6" w:rsidP="00F83AF6">
      <w:pPr>
        <w:pStyle w:val="Paragrafoelenco"/>
        <w:spacing w:before="600" w:after="480" w:line="360" w:lineRule="auto"/>
        <w:ind w:left="0"/>
        <w:contextualSpacing w:val="0"/>
        <w:jc w:val="both"/>
        <w:rPr>
          <w:rFonts w:ascii="Arial" w:hAnsi="Arial" w:cs="Arial"/>
          <w:sz w:val="24"/>
          <w:szCs w:val="24"/>
        </w:rPr>
      </w:pPr>
      <w:r w:rsidRPr="007D10D2">
        <w:rPr>
          <w:rFonts w:ascii="Arial" w:hAnsi="Arial" w:cs="Arial"/>
          <w:sz w:val="24"/>
          <w:szCs w:val="24"/>
        </w:rPr>
        <w:t>Pur non appartenendo direttamente al mondo del microcredito, ma contemplandone lo spirito, sempre in linea con la lotta alla povertà</w:t>
      </w:r>
      <w:r w:rsidRPr="007D10D2">
        <w:rPr>
          <w:rStyle w:val="Rimandonotaapidipagina"/>
          <w:rFonts w:ascii="Arial" w:hAnsi="Arial" w:cs="Arial"/>
          <w:sz w:val="24"/>
          <w:szCs w:val="24"/>
        </w:rPr>
        <w:footnoteReference w:id="50"/>
      </w:r>
      <w:r w:rsidRPr="007D10D2">
        <w:rPr>
          <w:rFonts w:ascii="Arial" w:hAnsi="Arial" w:cs="Arial"/>
          <w:sz w:val="24"/>
          <w:szCs w:val="24"/>
        </w:rPr>
        <w:t>, si fa cenno del pensiero economico di Prahalad</w:t>
      </w:r>
      <w:r w:rsidRPr="007D10D2">
        <w:rPr>
          <w:rStyle w:val="Rimandonotaapidipagina"/>
          <w:rFonts w:ascii="Arial" w:hAnsi="Arial" w:cs="Arial"/>
          <w:sz w:val="24"/>
          <w:szCs w:val="24"/>
        </w:rPr>
        <w:footnoteReference w:id="51"/>
      </w:r>
      <w:r w:rsidRPr="007D10D2">
        <w:rPr>
          <w:rFonts w:ascii="Arial" w:hAnsi="Arial" w:cs="Arial"/>
          <w:sz w:val="24"/>
          <w:szCs w:val="24"/>
        </w:rPr>
        <w:t xml:space="preserve"> e</w:t>
      </w:r>
      <w:r>
        <w:rPr>
          <w:rFonts w:ascii="Arial" w:hAnsi="Arial" w:cs="Arial"/>
          <w:sz w:val="24"/>
          <w:szCs w:val="24"/>
        </w:rPr>
        <w:t xml:space="preserve">, nello specifico, </w:t>
      </w:r>
      <w:r w:rsidRPr="007D10D2">
        <w:rPr>
          <w:rFonts w:ascii="Arial" w:hAnsi="Arial" w:cs="Arial"/>
          <w:sz w:val="24"/>
          <w:szCs w:val="24"/>
        </w:rPr>
        <w:t>alla base della piramide della ricchezza, rappresentata da quattro miliardi di persone povere che, pur avendo un’immensa capacità imprenditoriale, hanno un potere d’acquisto limitato a meno di due dollari giornalieri</w:t>
      </w:r>
      <w:r w:rsidRPr="007D10D2">
        <w:rPr>
          <w:rStyle w:val="Rimandonotaapidipagina"/>
          <w:rFonts w:ascii="Arial" w:hAnsi="Arial" w:cs="Arial"/>
          <w:sz w:val="24"/>
          <w:szCs w:val="24"/>
        </w:rPr>
        <w:footnoteReference w:id="52"/>
      </w:r>
      <w:r w:rsidRPr="007D10D2">
        <w:rPr>
          <w:rFonts w:ascii="Arial" w:hAnsi="Arial" w:cs="Arial"/>
          <w:sz w:val="24"/>
          <w:szCs w:val="24"/>
        </w:rPr>
        <w:t xml:space="preserve"> rispetto al vertice della stessa piramide. Prahalad sostiene, tra la l’altro, che per affrontare la sfida occorre abbandonare le logiche assistenziali a cui si è fatto ricorso nel tempo, di coinvolgere gli operatori privati in modo da </w:t>
      </w:r>
      <w:r>
        <w:rPr>
          <w:rFonts w:ascii="Arial" w:hAnsi="Arial" w:cs="Arial"/>
          <w:sz w:val="24"/>
          <w:szCs w:val="24"/>
        </w:rPr>
        <w:t>poter trasformare la povertà in un’</w:t>
      </w:r>
      <w:r w:rsidRPr="007D10D2">
        <w:rPr>
          <w:rFonts w:ascii="Arial" w:hAnsi="Arial" w:cs="Arial"/>
          <w:sz w:val="24"/>
          <w:szCs w:val="24"/>
        </w:rPr>
        <w:t>opportunità attraverso approcci nuovi e creativi, fino a spingersi ad affermare che il profitto possa considerarsi strumentale per il contrasto alla povertà, trasformando i “poveri” in potenziali imprenditori e consumatori consapevoli, stimolando una prospettiva di crescita economica sostenibile e diffusa, consentendo ai “</w:t>
      </w:r>
      <w:r w:rsidRPr="007D10D2">
        <w:rPr>
          <w:rFonts w:ascii="Arial" w:hAnsi="Arial" w:cs="Arial"/>
          <w:i/>
          <w:sz w:val="24"/>
          <w:szCs w:val="24"/>
        </w:rPr>
        <w:t>poveri di oggi di costituire la classe media di domani</w:t>
      </w:r>
      <w:r w:rsidRPr="007D10D2">
        <w:rPr>
          <w:rFonts w:ascii="Arial" w:hAnsi="Arial" w:cs="Arial"/>
          <w:sz w:val="24"/>
          <w:szCs w:val="24"/>
        </w:rPr>
        <w:t>”.</w:t>
      </w:r>
    </w:p>
    <w:p w14:paraId="6630EC42" w14:textId="77777777" w:rsidR="00F83AF6" w:rsidRPr="00B260CD" w:rsidRDefault="00F83AF6" w:rsidP="00F83AF6">
      <w:pPr>
        <w:pStyle w:val="Paragrafoelenco"/>
        <w:spacing w:line="360" w:lineRule="auto"/>
        <w:ind w:left="0"/>
        <w:contextualSpacing w:val="0"/>
        <w:jc w:val="both"/>
        <w:rPr>
          <w:rFonts w:ascii="Arial" w:hAnsi="Arial" w:cs="Arial"/>
          <w:sz w:val="24"/>
          <w:szCs w:val="24"/>
        </w:rPr>
      </w:pPr>
      <w:r w:rsidRPr="007D10D2">
        <w:rPr>
          <w:rFonts w:ascii="Arial" w:hAnsi="Arial" w:cs="Arial"/>
          <w:sz w:val="24"/>
          <w:szCs w:val="24"/>
        </w:rPr>
        <w:t>Invero, l’espressione “fondo della piramide” fu coniata dal Presidente degli Stati Uniti Franklin D. Roosevelt nel suo discorso radiofonico del 7 aprile 1932</w:t>
      </w:r>
      <w:r>
        <w:rPr>
          <w:rFonts w:ascii="Arial" w:hAnsi="Arial" w:cs="Arial"/>
          <w:sz w:val="24"/>
          <w:szCs w:val="24"/>
        </w:rPr>
        <w:t xml:space="preserve"> denominato “</w:t>
      </w:r>
      <w:r w:rsidRPr="00733F79">
        <w:rPr>
          <w:rFonts w:ascii="Arial" w:hAnsi="Arial" w:cs="Arial"/>
          <w:i/>
          <w:sz w:val="24"/>
          <w:szCs w:val="24"/>
        </w:rPr>
        <w:t>The Forgotten Man</w:t>
      </w:r>
      <w:r>
        <w:rPr>
          <w:rFonts w:ascii="Arial" w:hAnsi="Arial" w:cs="Arial"/>
          <w:sz w:val="24"/>
          <w:szCs w:val="24"/>
        </w:rPr>
        <w:t>”</w:t>
      </w:r>
      <w:r w:rsidRPr="007D10D2">
        <w:rPr>
          <w:rFonts w:ascii="Arial" w:hAnsi="Arial" w:cs="Arial"/>
          <w:sz w:val="24"/>
          <w:szCs w:val="24"/>
        </w:rPr>
        <w:t xml:space="preserve">, </w:t>
      </w:r>
      <w:r w:rsidRPr="00B260CD">
        <w:rPr>
          <w:rFonts w:ascii="Arial" w:hAnsi="Arial" w:cs="Arial"/>
          <w:sz w:val="24"/>
          <w:szCs w:val="24"/>
        </w:rPr>
        <w:t>nel corso del quale, con riferimento al contesto socio-economico dell’epoca, affermò: “</w:t>
      </w:r>
      <w:r w:rsidRPr="00B260CD">
        <w:rPr>
          <w:rFonts w:ascii="Arial" w:hAnsi="Arial" w:cs="Arial"/>
          <w:i/>
          <w:iCs/>
          <w:color w:val="000000"/>
          <w:sz w:val="24"/>
          <w:szCs w:val="24"/>
          <w:shd w:val="clear" w:color="auto" w:fill="FFFFFF"/>
        </w:rPr>
        <w:t xml:space="preserve">Questo periodo infelice invoca la necessità di avere dei piani di sviluppo che poggino sulle unità del potere economico dimenticate e disorganizzate, ma purtuttavia indispensabili... piani che </w:t>
      </w:r>
      <w:r w:rsidRPr="00B260CD">
        <w:rPr>
          <w:rFonts w:ascii="Arial" w:hAnsi="Arial" w:cs="Arial"/>
          <w:i/>
          <w:iCs/>
          <w:color w:val="000000"/>
          <w:sz w:val="24"/>
          <w:szCs w:val="24"/>
          <w:shd w:val="clear" w:color="auto" w:fill="FFFFFF"/>
        </w:rPr>
        <w:lastRenderedPageBreak/>
        <w:t>devono essere determinati dal basso verso l'alto e non viceversa, ponendo maggiore fiducia verso gli uomini dimenticati che stanno alla base della piramide economica</w:t>
      </w:r>
      <w:r w:rsidRPr="00B260CD">
        <w:rPr>
          <w:rFonts w:ascii="Arial" w:hAnsi="Arial" w:cs="Arial"/>
          <w:sz w:val="24"/>
          <w:szCs w:val="24"/>
        </w:rPr>
        <w:t>”</w:t>
      </w:r>
      <w:r w:rsidRPr="00B260CD">
        <w:rPr>
          <w:rStyle w:val="Rimandonotaapidipagina"/>
          <w:rFonts w:ascii="Arial" w:hAnsi="Arial" w:cs="Arial"/>
          <w:sz w:val="24"/>
          <w:szCs w:val="24"/>
        </w:rPr>
        <w:footnoteReference w:id="53"/>
      </w:r>
      <w:r w:rsidRPr="00B260CD">
        <w:rPr>
          <w:rFonts w:ascii="Arial" w:hAnsi="Arial" w:cs="Arial"/>
          <w:sz w:val="24"/>
          <w:szCs w:val="24"/>
        </w:rPr>
        <w:t>.</w:t>
      </w:r>
    </w:p>
    <w:p w14:paraId="7DE49F0D" w14:textId="77777777" w:rsidR="00F83AF6" w:rsidRPr="007D10D2" w:rsidRDefault="00F83AF6" w:rsidP="00F83AF6">
      <w:pPr>
        <w:pStyle w:val="Paragrafoelenco"/>
        <w:spacing w:line="360" w:lineRule="auto"/>
        <w:ind w:left="0"/>
        <w:jc w:val="both"/>
        <w:rPr>
          <w:rFonts w:ascii="Arial" w:hAnsi="Arial" w:cs="Arial"/>
        </w:rPr>
      </w:pPr>
      <w:r w:rsidRPr="007D10D2">
        <w:rPr>
          <w:rFonts w:ascii="Arial" w:hAnsi="Arial" w:cs="Arial"/>
          <w:sz w:val="24"/>
          <w:szCs w:val="24"/>
        </w:rPr>
        <w:t xml:space="preserve">In Italia, la storia giuridica del microcredito </w:t>
      </w:r>
      <w:r>
        <w:rPr>
          <w:rFonts w:ascii="Arial" w:hAnsi="Arial" w:cs="Arial"/>
          <w:sz w:val="24"/>
          <w:szCs w:val="24"/>
        </w:rPr>
        <w:t>inizia a prendere forma</w:t>
      </w:r>
      <w:r w:rsidRPr="007D10D2">
        <w:rPr>
          <w:rFonts w:ascii="Arial" w:hAnsi="Arial" w:cs="Arial"/>
          <w:sz w:val="24"/>
          <w:szCs w:val="24"/>
        </w:rPr>
        <w:t xml:space="preserve"> nel 2004 con la costituzione del “Comitato Nazionale Italiano per il Microcredito”, organo preposto all’organizzazione degli eventi </w:t>
      </w:r>
      <w:r>
        <w:rPr>
          <w:rFonts w:ascii="Arial" w:hAnsi="Arial" w:cs="Arial"/>
          <w:sz w:val="24"/>
          <w:szCs w:val="24"/>
        </w:rPr>
        <w:t xml:space="preserve">del </w:t>
      </w:r>
      <w:r w:rsidRPr="007D10D2">
        <w:rPr>
          <w:rFonts w:ascii="Arial" w:hAnsi="Arial" w:cs="Arial"/>
          <w:sz w:val="24"/>
          <w:szCs w:val="24"/>
        </w:rPr>
        <w:t xml:space="preserve">2005, proclamato “Anno internazionale del microcredito” dall’Assemblea Generale delle Nazioni Unite (Risoluzioni ONU 53/197 e 58/221), </w:t>
      </w:r>
      <w:r>
        <w:rPr>
          <w:rFonts w:ascii="Arial" w:hAnsi="Arial" w:cs="Arial"/>
          <w:sz w:val="24"/>
          <w:szCs w:val="24"/>
        </w:rPr>
        <w:t xml:space="preserve">nonché </w:t>
      </w:r>
      <w:r w:rsidRPr="007D10D2">
        <w:rPr>
          <w:rFonts w:ascii="Arial" w:hAnsi="Arial" w:cs="Arial"/>
          <w:sz w:val="24"/>
          <w:szCs w:val="24"/>
        </w:rPr>
        <w:t xml:space="preserve">per supportare la realizzazione degli Obiettivi del Millennio. La natura transitoria del Comitato viene trasformata in permanente dalla </w:t>
      </w:r>
      <w:r>
        <w:rPr>
          <w:rFonts w:ascii="Arial" w:hAnsi="Arial" w:cs="Arial"/>
          <w:sz w:val="24"/>
          <w:szCs w:val="24"/>
        </w:rPr>
        <w:t>l</w:t>
      </w:r>
      <w:r w:rsidRPr="007D10D2">
        <w:rPr>
          <w:rFonts w:ascii="Arial" w:hAnsi="Arial" w:cs="Arial"/>
          <w:sz w:val="24"/>
          <w:szCs w:val="24"/>
        </w:rPr>
        <w:t>egge 11 marzo 2006, n. 81.</w:t>
      </w:r>
      <w:r>
        <w:rPr>
          <w:rFonts w:ascii="Arial" w:hAnsi="Arial" w:cs="Arial"/>
          <w:sz w:val="24"/>
          <w:szCs w:val="24"/>
        </w:rPr>
        <w:t xml:space="preserve"> </w:t>
      </w:r>
      <w:r w:rsidRPr="007D10D2">
        <w:rPr>
          <w:rFonts w:ascii="Arial" w:hAnsi="Arial" w:cs="Arial"/>
          <w:sz w:val="24"/>
          <w:szCs w:val="24"/>
        </w:rPr>
        <w:t xml:space="preserve">L’Ente odierno, istituto pubblico non economico dotato di autonomia amministrativa, organizzativa, patrimoniale, contabile e finanziaria, è stato </w:t>
      </w:r>
      <w:r>
        <w:rPr>
          <w:rFonts w:ascii="Arial" w:hAnsi="Arial" w:cs="Arial"/>
          <w:sz w:val="24"/>
          <w:szCs w:val="24"/>
        </w:rPr>
        <w:t>riconfigurato</w:t>
      </w:r>
      <w:r w:rsidRPr="007D10D2">
        <w:rPr>
          <w:rFonts w:ascii="Arial" w:hAnsi="Arial" w:cs="Arial"/>
          <w:sz w:val="24"/>
          <w:szCs w:val="24"/>
        </w:rPr>
        <w:t xml:space="preserve"> dalla legge 12 luglio 2011, n. 106.</w:t>
      </w:r>
    </w:p>
    <w:p w14:paraId="46B6B853" w14:textId="77777777" w:rsidR="00F83AF6" w:rsidRPr="007D10D2" w:rsidRDefault="00F83AF6" w:rsidP="00F83AF6">
      <w:pPr>
        <w:pStyle w:val="Paragrafoelenco"/>
        <w:spacing w:line="360" w:lineRule="auto"/>
        <w:ind w:left="0"/>
        <w:jc w:val="both"/>
        <w:rPr>
          <w:rFonts w:ascii="Arial" w:hAnsi="Arial" w:cs="Arial"/>
          <w:sz w:val="24"/>
          <w:szCs w:val="24"/>
        </w:rPr>
      </w:pPr>
      <w:r>
        <w:rPr>
          <w:rFonts w:ascii="Arial" w:hAnsi="Arial" w:cs="Arial"/>
          <w:sz w:val="24"/>
          <w:szCs w:val="24"/>
        </w:rPr>
        <w:t>Esso</w:t>
      </w:r>
      <w:r w:rsidRPr="007D10D2">
        <w:rPr>
          <w:rFonts w:ascii="Arial" w:hAnsi="Arial" w:cs="Arial"/>
          <w:sz w:val="24"/>
          <w:szCs w:val="24"/>
        </w:rPr>
        <w:t xml:space="preserve"> svolge funzioni di promozione e coordinamento delle iniziative di microcredito e microfinanza realizzate o da realizzarsi a livello nazionale ed europeo, nonché nei Paesi in via di sviluppo e nelle economie in transizione.</w:t>
      </w:r>
    </w:p>
    <w:p w14:paraId="6ACA12B4" w14:textId="77777777" w:rsidR="00F83AF6" w:rsidRDefault="00F83AF6" w:rsidP="00F83AF6">
      <w:pPr>
        <w:pStyle w:val="Paragrafoelenco"/>
        <w:spacing w:line="360" w:lineRule="auto"/>
        <w:ind w:left="0"/>
        <w:contextualSpacing w:val="0"/>
        <w:jc w:val="both"/>
        <w:rPr>
          <w:rFonts w:ascii="Arial" w:hAnsi="Arial" w:cs="Arial"/>
          <w:sz w:val="24"/>
          <w:szCs w:val="24"/>
        </w:rPr>
      </w:pPr>
      <w:r w:rsidRPr="007D10D2">
        <w:rPr>
          <w:rFonts w:ascii="Arial" w:hAnsi="Arial" w:cs="Arial"/>
          <w:sz w:val="24"/>
          <w:szCs w:val="24"/>
        </w:rPr>
        <w:t xml:space="preserve">Nel 2010, la disciplina del microcredito viene recepita nell’ordinamento, a opera dell’articolo 7 del </w:t>
      </w:r>
      <w:r>
        <w:rPr>
          <w:rFonts w:ascii="Arial" w:hAnsi="Arial" w:cs="Arial"/>
          <w:sz w:val="24"/>
          <w:szCs w:val="24"/>
        </w:rPr>
        <w:t>d</w:t>
      </w:r>
      <w:r w:rsidRPr="007D10D2">
        <w:rPr>
          <w:rFonts w:ascii="Arial" w:hAnsi="Arial" w:cs="Arial"/>
          <w:sz w:val="24"/>
          <w:szCs w:val="24"/>
        </w:rPr>
        <w:t xml:space="preserve">ecreto </w:t>
      </w:r>
      <w:r>
        <w:rPr>
          <w:rFonts w:ascii="Arial" w:hAnsi="Arial" w:cs="Arial"/>
          <w:sz w:val="24"/>
          <w:szCs w:val="24"/>
        </w:rPr>
        <w:t>l</w:t>
      </w:r>
      <w:r w:rsidRPr="007D10D2">
        <w:rPr>
          <w:rFonts w:ascii="Arial" w:hAnsi="Arial" w:cs="Arial"/>
          <w:sz w:val="24"/>
          <w:szCs w:val="24"/>
        </w:rPr>
        <w:t>egislativo 13 agosto 2010, n. 141 che apporta modifiche alla formulazione degli articoli 111 e 113 del Testo Unico delle Leggi Bancarie (D.lgs. 385/1993), definisce la disciplina microcredito.</w:t>
      </w:r>
    </w:p>
    <w:p w14:paraId="653C7953" w14:textId="77777777" w:rsidR="00F83AF6" w:rsidRDefault="00F83AF6" w:rsidP="00F83AF6">
      <w:pPr>
        <w:pStyle w:val="Paragrafoelenco"/>
        <w:spacing w:line="360" w:lineRule="auto"/>
        <w:ind w:left="0"/>
        <w:jc w:val="both"/>
        <w:rPr>
          <w:rFonts w:ascii="Arial" w:hAnsi="Arial" w:cs="Arial"/>
          <w:iCs/>
          <w:sz w:val="24"/>
          <w:szCs w:val="24"/>
        </w:rPr>
      </w:pPr>
      <w:r w:rsidRPr="007D10D2">
        <w:rPr>
          <w:rFonts w:ascii="Arial" w:hAnsi="Arial" w:cs="Arial"/>
          <w:iCs/>
          <w:sz w:val="24"/>
          <w:szCs w:val="24"/>
        </w:rPr>
        <w:t xml:space="preserve">Nel tracciare una sintesi della storia del microcredito, </w:t>
      </w:r>
      <w:r>
        <w:rPr>
          <w:rFonts w:ascii="Arial" w:hAnsi="Arial" w:cs="Arial"/>
          <w:iCs/>
          <w:sz w:val="24"/>
          <w:szCs w:val="24"/>
        </w:rPr>
        <w:t xml:space="preserve">relativamente </w:t>
      </w:r>
      <w:r w:rsidRPr="007D10D2">
        <w:rPr>
          <w:rFonts w:ascii="Arial" w:hAnsi="Arial" w:cs="Arial"/>
          <w:iCs/>
          <w:sz w:val="24"/>
          <w:szCs w:val="24"/>
        </w:rPr>
        <w:t xml:space="preserve">all’Italia e con particolare riguardo agli aspetti operativi e di promozione, </w:t>
      </w:r>
      <w:r>
        <w:rPr>
          <w:rFonts w:ascii="Arial" w:hAnsi="Arial" w:cs="Arial"/>
          <w:iCs/>
          <w:sz w:val="24"/>
          <w:szCs w:val="24"/>
        </w:rPr>
        <w:t xml:space="preserve">oltre a quello degli enti pubblici (tra cui quelli regionali, provinciali e comunali), </w:t>
      </w:r>
      <w:r w:rsidRPr="007D10D2">
        <w:rPr>
          <w:rFonts w:ascii="Arial" w:hAnsi="Arial" w:cs="Arial"/>
          <w:iCs/>
          <w:sz w:val="24"/>
          <w:szCs w:val="24"/>
        </w:rPr>
        <w:t xml:space="preserve">si deve porre in evidenza il ruolo di Banca Etica, delle Banche popolari e di Credito Cooperativo e delle Casse rurali, </w:t>
      </w:r>
      <w:r>
        <w:rPr>
          <w:rFonts w:ascii="Arial" w:hAnsi="Arial" w:cs="Arial"/>
          <w:iCs/>
          <w:sz w:val="24"/>
          <w:szCs w:val="24"/>
        </w:rPr>
        <w:t xml:space="preserve">dei soggetti abilitati ai sensi dell’art. 111 del TUB, </w:t>
      </w:r>
      <w:r w:rsidRPr="007D10D2">
        <w:rPr>
          <w:rFonts w:ascii="Arial" w:hAnsi="Arial" w:cs="Arial"/>
          <w:iCs/>
          <w:sz w:val="24"/>
          <w:szCs w:val="24"/>
        </w:rPr>
        <w:t>delle MAG (Mutue autogestite), delle Fondazioni (bancarie e non), del Forum per la finanza sostenibile e della Rete Italiana di Microfinanza (RITMI), delle Cooperative dedicate e de</w:t>
      </w:r>
      <w:r>
        <w:rPr>
          <w:rFonts w:ascii="Arial" w:hAnsi="Arial" w:cs="Arial"/>
          <w:iCs/>
          <w:sz w:val="24"/>
          <w:szCs w:val="24"/>
        </w:rPr>
        <w:t>lle istituzioni religiose</w:t>
      </w:r>
      <w:r w:rsidRPr="007D10D2">
        <w:rPr>
          <w:rFonts w:ascii="Arial" w:hAnsi="Arial" w:cs="Arial"/>
          <w:iCs/>
          <w:sz w:val="24"/>
          <w:szCs w:val="24"/>
        </w:rPr>
        <w:t xml:space="preserve"> (cattolic</w:t>
      </w:r>
      <w:r>
        <w:rPr>
          <w:rFonts w:ascii="Arial" w:hAnsi="Arial" w:cs="Arial"/>
          <w:iCs/>
          <w:sz w:val="24"/>
          <w:szCs w:val="24"/>
        </w:rPr>
        <w:t>he</w:t>
      </w:r>
      <w:r w:rsidRPr="007D10D2">
        <w:rPr>
          <w:rFonts w:ascii="Arial" w:hAnsi="Arial" w:cs="Arial"/>
          <w:iCs/>
          <w:sz w:val="24"/>
          <w:szCs w:val="24"/>
        </w:rPr>
        <w:t xml:space="preserve"> e non) con particolare riferimento alle Caritas </w:t>
      </w:r>
      <w:r>
        <w:rPr>
          <w:rFonts w:ascii="Arial" w:hAnsi="Arial" w:cs="Arial"/>
          <w:iCs/>
          <w:sz w:val="24"/>
          <w:szCs w:val="24"/>
        </w:rPr>
        <w:t>diocesane.</w:t>
      </w:r>
    </w:p>
    <w:p w14:paraId="5C0761C2" w14:textId="77777777" w:rsidR="00F83AF6" w:rsidRDefault="00F83AF6" w:rsidP="00F83AF6">
      <w:pPr>
        <w:rPr>
          <w:rFonts w:ascii="Arial" w:hAnsi="Arial" w:cs="Arial"/>
          <w:iCs/>
          <w:sz w:val="24"/>
          <w:szCs w:val="24"/>
        </w:rPr>
      </w:pPr>
      <w:r>
        <w:rPr>
          <w:rFonts w:ascii="Arial" w:hAnsi="Arial" w:cs="Arial"/>
          <w:iCs/>
          <w:sz w:val="24"/>
          <w:szCs w:val="24"/>
        </w:rPr>
        <w:br w:type="page"/>
      </w:r>
    </w:p>
    <w:p w14:paraId="223E2BF1" w14:textId="77777777" w:rsidR="00F83AF6" w:rsidRDefault="00F83AF6" w:rsidP="00F83AF6">
      <w:pPr>
        <w:pStyle w:val="Paragrafoelenco"/>
        <w:tabs>
          <w:tab w:val="left" w:pos="8380"/>
        </w:tabs>
        <w:spacing w:line="360" w:lineRule="auto"/>
        <w:ind w:left="567"/>
        <w:jc w:val="both"/>
        <w:rPr>
          <w:rFonts w:ascii="Arial" w:hAnsi="Arial" w:cs="Arial"/>
          <w:b/>
          <w:bCs/>
          <w:iCs/>
          <w:sz w:val="24"/>
          <w:szCs w:val="24"/>
        </w:rPr>
      </w:pPr>
      <w:r>
        <w:rPr>
          <w:rFonts w:ascii="Arial" w:hAnsi="Arial" w:cs="Arial"/>
          <w:b/>
          <w:bCs/>
          <w:iCs/>
          <w:sz w:val="24"/>
          <w:szCs w:val="24"/>
        </w:rPr>
        <w:lastRenderedPageBreak/>
        <w:t>2.b. LA FINANZA INFORMALE</w:t>
      </w:r>
    </w:p>
    <w:p w14:paraId="46287592" w14:textId="77777777" w:rsidR="00F83AF6" w:rsidRPr="00094C6D" w:rsidRDefault="00F83AF6" w:rsidP="00F83AF6">
      <w:pPr>
        <w:pStyle w:val="Paragrafoelenco"/>
        <w:tabs>
          <w:tab w:val="left" w:pos="8380"/>
        </w:tabs>
        <w:spacing w:line="360" w:lineRule="auto"/>
        <w:ind w:left="567"/>
        <w:jc w:val="both"/>
        <w:rPr>
          <w:rFonts w:ascii="Arial" w:hAnsi="Arial" w:cs="Arial"/>
          <w:iCs/>
          <w:sz w:val="24"/>
          <w:szCs w:val="24"/>
        </w:rPr>
      </w:pPr>
    </w:p>
    <w:p w14:paraId="193344A6" w14:textId="77777777" w:rsidR="00F83AF6" w:rsidRPr="00094C6D" w:rsidRDefault="00F83AF6" w:rsidP="00F83AF6">
      <w:pPr>
        <w:pStyle w:val="Paragrafoelenco"/>
        <w:tabs>
          <w:tab w:val="left" w:pos="8380"/>
        </w:tabs>
        <w:spacing w:line="360" w:lineRule="auto"/>
        <w:ind w:left="0" w:firstLine="567"/>
        <w:jc w:val="both"/>
        <w:rPr>
          <w:rFonts w:ascii="Arial" w:hAnsi="Arial" w:cs="Arial"/>
          <w:iCs/>
          <w:sz w:val="24"/>
          <w:szCs w:val="24"/>
        </w:rPr>
      </w:pPr>
      <w:r w:rsidRPr="00094C6D">
        <w:rPr>
          <w:rFonts w:ascii="Arial" w:hAnsi="Arial" w:cs="Arial"/>
          <w:iCs/>
          <w:sz w:val="24"/>
          <w:szCs w:val="24"/>
        </w:rPr>
        <w:t>Il termine “Paesi in via di sviluppo” aggrega quei Paesi che dal punto di vista economico e sociale sono interessati da una fase di transizione e caratterizzati da livelli di reddito relativamente bassi, da infrastrutture meno sviluppate e sfide sociali ed economiche significative. La definizione e la lista dei PVS possono variare a seconda del contesto e delle organizzazioni internazionali di riferimento (Fondo Monetario Internazionale, OCSE).</w:t>
      </w:r>
    </w:p>
    <w:p w14:paraId="5EDD494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Un tratto caratteristico di questi Paesi è quello della presenza di un sistema finanziario informale.</w:t>
      </w:r>
    </w:p>
    <w:p w14:paraId="6A5112BD" w14:textId="77777777" w:rsidR="00F83AF6" w:rsidRDefault="00F83AF6" w:rsidP="00F83AF6">
      <w:pPr>
        <w:pStyle w:val="Paragrafoelenco"/>
        <w:tabs>
          <w:tab w:val="left" w:pos="8380"/>
        </w:tabs>
        <w:spacing w:before="100" w:beforeAutospacing="1" w:after="0" w:line="360" w:lineRule="auto"/>
        <w:ind w:left="0"/>
        <w:jc w:val="both"/>
        <w:rPr>
          <w:rFonts w:ascii="Arial" w:hAnsi="Arial" w:cs="Arial"/>
          <w:iCs/>
          <w:sz w:val="24"/>
          <w:szCs w:val="24"/>
        </w:rPr>
      </w:pPr>
      <w:r w:rsidRPr="00094C6D">
        <w:rPr>
          <w:rFonts w:ascii="Arial" w:hAnsi="Arial" w:cs="Arial"/>
          <w:iCs/>
          <w:sz w:val="24"/>
          <w:szCs w:val="24"/>
        </w:rPr>
        <w:t>Sostanzialmente, la definizione dell’informalità discende, per esclusione, dalla specificazione attribuita alle organizzazioni e alle pratiche formali, previste e regolamentate dai singoli ordinamenti giuridici che disciplinano i mercati, gli operatori e le relative funzioni. In osservanza di tale distinzione, sono collocati nel settore finanziario informale i soggetti e gli enti che svolgono attività di intermediazione finanziaria o che offrono servizi finanziari privi di autorizzazione e senza essere sottoposti alla vigilanza delle Autorità; rientrano nella citata definizione tutti gli operatori finanziari, anche quelli che svolgono l’attività di mediazione e le operazioni di cambio</w:t>
      </w:r>
      <w:r>
        <w:rPr>
          <w:rFonts w:ascii="Arial" w:hAnsi="Arial" w:cs="Arial"/>
          <w:iCs/>
          <w:sz w:val="24"/>
          <w:szCs w:val="24"/>
        </w:rPr>
        <w:t xml:space="preserve"> (Mauri, 1966)</w:t>
      </w:r>
      <w:r>
        <w:rPr>
          <w:rStyle w:val="Rimandonotaapidipagina"/>
          <w:rFonts w:ascii="Arial" w:hAnsi="Arial" w:cs="Arial"/>
          <w:iCs/>
          <w:sz w:val="24"/>
          <w:szCs w:val="24"/>
        </w:rPr>
        <w:footnoteReference w:id="54"/>
      </w:r>
      <w:r w:rsidRPr="00094C6D">
        <w:rPr>
          <w:rFonts w:ascii="Arial" w:hAnsi="Arial" w:cs="Arial"/>
          <w:iCs/>
          <w:sz w:val="24"/>
          <w:szCs w:val="24"/>
        </w:rPr>
        <w:t>.</w:t>
      </w:r>
    </w:p>
    <w:p w14:paraId="4348D6B8" w14:textId="77777777" w:rsidR="00F83AF6" w:rsidRPr="00094C6D" w:rsidRDefault="00F83AF6" w:rsidP="00F83AF6">
      <w:pPr>
        <w:pStyle w:val="Paragrafoelenco"/>
        <w:tabs>
          <w:tab w:val="left" w:pos="8380"/>
        </w:tabs>
        <w:spacing w:before="100" w:beforeAutospacing="1" w:after="0" w:line="360" w:lineRule="auto"/>
        <w:ind w:left="0"/>
        <w:jc w:val="both"/>
        <w:rPr>
          <w:rFonts w:ascii="Arial" w:hAnsi="Arial" w:cs="Arial"/>
          <w:iCs/>
          <w:sz w:val="24"/>
          <w:szCs w:val="24"/>
        </w:rPr>
      </w:pPr>
      <w:r w:rsidRPr="00094C6D">
        <w:rPr>
          <w:rFonts w:ascii="Arial" w:hAnsi="Arial" w:cs="Arial"/>
          <w:iCs/>
          <w:sz w:val="24"/>
          <w:szCs w:val="24"/>
        </w:rPr>
        <w:t>Non essendo sottoposti a vincoli autorizzativi e di vigilanza, i mercati informali sfuggono a rilevazioni e statistiche di qualsiasi tipo (prezzi, tassi, ecc.).</w:t>
      </w:r>
    </w:p>
    <w:p w14:paraId="5C62268F" w14:textId="77777777" w:rsidR="00F83AF6" w:rsidRPr="00094C6D" w:rsidRDefault="00F83AF6" w:rsidP="00F83AF6">
      <w:pPr>
        <w:pStyle w:val="Paragrafoelenco"/>
        <w:tabs>
          <w:tab w:val="left" w:pos="8380"/>
        </w:tabs>
        <w:spacing w:before="120" w:after="100" w:afterAutospacing="1" w:line="360" w:lineRule="auto"/>
        <w:ind w:left="0"/>
        <w:jc w:val="both"/>
        <w:rPr>
          <w:rFonts w:ascii="Arial" w:hAnsi="Arial" w:cs="Arial"/>
          <w:iCs/>
          <w:sz w:val="24"/>
          <w:szCs w:val="24"/>
        </w:rPr>
      </w:pPr>
      <w:r w:rsidRPr="00094C6D">
        <w:rPr>
          <w:rFonts w:ascii="Arial" w:hAnsi="Arial" w:cs="Arial"/>
          <w:iCs/>
          <w:sz w:val="24"/>
          <w:szCs w:val="24"/>
        </w:rPr>
        <w:t>È da evidenziare che i due settori della finanza formale e informale non sono protetti da barriere e ostacoli con accessi impenetrabili per lo scambio di flussi finanziari.</w:t>
      </w:r>
    </w:p>
    <w:p w14:paraId="3C6E345C" w14:textId="77777777" w:rsidR="00F83AF6" w:rsidRPr="00094C6D" w:rsidRDefault="00F83AF6" w:rsidP="00F83AF6">
      <w:pPr>
        <w:pStyle w:val="Paragrafoelenco"/>
        <w:tabs>
          <w:tab w:val="left" w:pos="8380"/>
        </w:tabs>
        <w:spacing w:before="120" w:after="100" w:afterAutospacing="1" w:line="360" w:lineRule="auto"/>
        <w:ind w:left="0"/>
        <w:jc w:val="both"/>
        <w:rPr>
          <w:rFonts w:ascii="Arial" w:hAnsi="Arial" w:cs="Arial"/>
          <w:iCs/>
          <w:sz w:val="24"/>
          <w:szCs w:val="24"/>
        </w:rPr>
      </w:pPr>
      <w:r w:rsidRPr="00094C6D">
        <w:rPr>
          <w:rFonts w:ascii="Arial" w:hAnsi="Arial" w:cs="Arial"/>
          <w:iCs/>
          <w:sz w:val="24"/>
          <w:szCs w:val="24"/>
        </w:rPr>
        <w:t>La finanza informale non può prescindere da quella formale: gli operatori finanziari informali, soprattutto dei paesi emergenti, mantengono rapporti costanti con le banche ordinarie e con intermediari finanziari formali. Floro e Yotopoulos (1987)</w:t>
      </w:r>
      <w:r>
        <w:rPr>
          <w:rStyle w:val="Rimandonotaapidipagina"/>
          <w:rFonts w:ascii="Arial" w:hAnsi="Arial" w:cs="Arial"/>
          <w:iCs/>
          <w:sz w:val="24"/>
          <w:szCs w:val="24"/>
        </w:rPr>
        <w:footnoteReference w:id="55"/>
      </w:r>
      <w:r w:rsidRPr="00094C6D">
        <w:rPr>
          <w:rFonts w:ascii="Arial" w:hAnsi="Arial" w:cs="Arial"/>
          <w:iCs/>
          <w:sz w:val="24"/>
          <w:szCs w:val="24"/>
        </w:rPr>
        <w:t>, riferiscono che ““che Il settore informale si limita ad estendere il credito, mentre il settore formale si estende e crea credito, poiché può riattualizzare le passività dei suoi mutuatari con il sistema bancario””.</w:t>
      </w:r>
    </w:p>
    <w:p w14:paraId="6ADB834A"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Per alcuni autori</w:t>
      </w:r>
      <w:r>
        <w:rPr>
          <w:rStyle w:val="Rimandonotaapidipagina"/>
          <w:rFonts w:ascii="Arial" w:hAnsi="Arial" w:cs="Arial"/>
          <w:iCs/>
          <w:sz w:val="24"/>
          <w:szCs w:val="24"/>
        </w:rPr>
        <w:footnoteReference w:id="56"/>
      </w:r>
      <w:r w:rsidRPr="00094C6D">
        <w:rPr>
          <w:rFonts w:ascii="Arial" w:hAnsi="Arial" w:cs="Arial"/>
          <w:iCs/>
          <w:sz w:val="24"/>
          <w:szCs w:val="24"/>
        </w:rPr>
        <w:t xml:space="preserve">, il confine fra settore finanziario formale e quello informale è interposto da una zona intermedia definita con la denominazione di finanza semi-informale, rilevabile </w:t>
      </w:r>
      <w:r w:rsidRPr="00094C6D">
        <w:rPr>
          <w:rFonts w:ascii="Arial" w:hAnsi="Arial" w:cs="Arial"/>
          <w:iCs/>
          <w:sz w:val="24"/>
          <w:szCs w:val="24"/>
        </w:rPr>
        <w:lastRenderedPageBreak/>
        <w:t xml:space="preserve">soprattutto in diversi paesi del Medio Oriente, del subcontinente indiano, del Sudest asiatico, dell’America Latina e dell’Africa. Questo terzo modello occupa uno spazio in evoluzione, dove sono stati identificati mercati e operatori le cui caratteristiche non trovano collocazione, nei due settori finanziari tradizionali; tale circostanza ha suscitato la convinzione di una tesi che sostiene l’unitarietà finanziaria, da cui intravvedere un percorso unico della finanza che originandosi dalla banca centrale arriva fino ai </w:t>
      </w:r>
      <w:r w:rsidRPr="005578EF">
        <w:rPr>
          <w:rFonts w:ascii="Arial" w:hAnsi="Arial" w:cs="Arial"/>
          <w:i/>
          <w:sz w:val="24"/>
          <w:szCs w:val="24"/>
        </w:rPr>
        <w:t>money lender</w:t>
      </w:r>
      <w:r w:rsidRPr="00094C6D">
        <w:rPr>
          <w:rFonts w:ascii="Arial" w:hAnsi="Arial" w:cs="Arial"/>
          <w:iCs/>
          <w:sz w:val="24"/>
          <w:szCs w:val="24"/>
        </w:rPr>
        <w:t>. Effetto di questa supposizione è la destituzione del tradizionale approccio scientifico su cui trova fondamento il dualismo formale-informale, ritenuto artificioso.</w:t>
      </w:r>
    </w:p>
    <w:p w14:paraId="02488DDF" w14:textId="3FA99EC3" w:rsidR="00F83AF6"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Nell’ambito di questi Paesi, è stato osservato che i sistemi finanziari poggiano su una struttura di carattere dualistico (cd. dualismo finanziario) che discende da un contesto economico e sociale caratterizzato da una forte presenza dell’economia sommersa (Ranis</w:t>
      </w:r>
      <w:r>
        <w:rPr>
          <w:rFonts w:ascii="Arial" w:hAnsi="Arial" w:cs="Arial"/>
          <w:iCs/>
          <w:sz w:val="24"/>
          <w:szCs w:val="24"/>
        </w:rPr>
        <w:t xml:space="preserve">, </w:t>
      </w:r>
      <w:r w:rsidRPr="00094C6D">
        <w:rPr>
          <w:rFonts w:ascii="Arial" w:hAnsi="Arial" w:cs="Arial"/>
          <w:iCs/>
          <w:sz w:val="24"/>
          <w:szCs w:val="24"/>
        </w:rPr>
        <w:t>1998)</w:t>
      </w:r>
      <w:r>
        <w:rPr>
          <w:rStyle w:val="Rimandonotaapidipagina"/>
          <w:rFonts w:ascii="Arial" w:hAnsi="Arial" w:cs="Arial"/>
          <w:iCs/>
          <w:sz w:val="24"/>
          <w:szCs w:val="24"/>
        </w:rPr>
        <w:footnoteReference w:id="57"/>
      </w:r>
      <w:r w:rsidRPr="00094C6D">
        <w:rPr>
          <w:rFonts w:ascii="Arial" w:hAnsi="Arial" w:cs="Arial"/>
          <w:iCs/>
          <w:sz w:val="24"/>
          <w:szCs w:val="24"/>
        </w:rPr>
        <w:t>.</w:t>
      </w:r>
    </w:p>
    <w:p w14:paraId="34774B5A"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Il dualismo deriva dalla coesistenza di operatori della finanza formale o istituzionale con quelli della finanza informale (Mauri</w:t>
      </w:r>
      <w:r>
        <w:rPr>
          <w:rFonts w:ascii="Arial" w:hAnsi="Arial" w:cs="Arial"/>
          <w:iCs/>
          <w:sz w:val="24"/>
          <w:szCs w:val="24"/>
        </w:rPr>
        <w:t>,</w:t>
      </w:r>
      <w:r w:rsidRPr="00094C6D">
        <w:rPr>
          <w:rFonts w:ascii="Arial" w:hAnsi="Arial" w:cs="Arial"/>
          <w:iCs/>
          <w:sz w:val="24"/>
          <w:szCs w:val="24"/>
        </w:rPr>
        <w:t xml:space="preserve"> 1966), non contemplati dagli assetti ordinamentali, e in quanto tali, sganciati dal sistema di vigilanza e dei controlli.</w:t>
      </w:r>
    </w:p>
    <w:p w14:paraId="5F927D09" w14:textId="57ED0D7A"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Il contesto di riferimento è caratterizzato da fattori intrinseci, quali la storia, la cultura, i costumi, il regime politico, e da un’economia di sussistenza. In paesi con carenze legislative e dall’inadeguato funzionamento dell’apparato giudiziario, dall’inefficienza degli interventi statali in campo economico e sociale e dalla debole tutela del cittadino, dall’inefficienza e disfunzioni dei mercati formali dove vengono negoziati beni e servizi, l’economia informale coniuga l’elemento economico con il sociale e trova la sua </w:t>
      </w:r>
      <w:r w:rsidRPr="00A47F1E">
        <w:rPr>
          <w:rFonts w:ascii="Arial" w:hAnsi="Arial" w:cs="Arial"/>
          <w:i/>
          <w:sz w:val="24"/>
          <w:szCs w:val="24"/>
        </w:rPr>
        <w:t>raison d’etre</w:t>
      </w:r>
      <w:r w:rsidRPr="00094C6D">
        <w:rPr>
          <w:rFonts w:ascii="Arial" w:hAnsi="Arial" w:cs="Arial"/>
          <w:iCs/>
          <w:sz w:val="24"/>
          <w:szCs w:val="24"/>
        </w:rPr>
        <w:t xml:space="preserve"> non tanto nell’individualismo, nel desiderio di indipendenza, nella difesa di fronte all’arroganza e alla rapacità dello Stato quanto nell’attaccamento alla cultura locale, nella salvaguardia dei valori tradizionali, nel rispetto dei legami familiari, della solidarietà a livello di villaggio, di quartiere o di gruppo etnico e nell’esigenza di colmare in qualche modo i vuoti presenti nell’assetto istituzionale della società e nelle politiche sociali perseguite dai governi. L’economia informale nel Terzo Mondo “rappresenta quindi una risposta popolare, spontanea e ricca di creatività, all’inerzia o all'assenza dello Stato</w:t>
      </w:r>
      <w:r w:rsidR="00C21854" w:rsidRPr="00094C6D">
        <w:rPr>
          <w:rFonts w:ascii="Arial" w:hAnsi="Arial" w:cs="Arial"/>
          <w:iCs/>
          <w:sz w:val="24"/>
          <w:szCs w:val="24"/>
        </w:rPr>
        <w:t>”.</w:t>
      </w:r>
    </w:p>
    <w:p w14:paraId="11D39BBD" w14:textId="53B07F5C"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L’informalità è uno degli elementi che caratterizza la microfinanza e il microcredito, tanto da poterla considerare complementare rispetto ai due </w:t>
      </w:r>
      <w:r w:rsidR="00C21854" w:rsidRPr="00094C6D">
        <w:rPr>
          <w:rFonts w:ascii="Arial" w:hAnsi="Arial" w:cs="Arial"/>
          <w:iCs/>
          <w:sz w:val="24"/>
          <w:szCs w:val="24"/>
        </w:rPr>
        <w:t>strumenti.</w:t>
      </w:r>
    </w:p>
    <w:p w14:paraId="7E0A507D"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Il termine “finanza informale”, secondo Cencini e Borghi (2010)</w:t>
      </w:r>
      <w:r>
        <w:rPr>
          <w:rStyle w:val="Rimandonotaapidipagina"/>
          <w:rFonts w:ascii="Arial" w:hAnsi="Arial" w:cs="Arial"/>
          <w:iCs/>
          <w:sz w:val="24"/>
          <w:szCs w:val="24"/>
        </w:rPr>
        <w:footnoteReference w:id="58"/>
      </w:r>
      <w:r w:rsidRPr="00094C6D">
        <w:rPr>
          <w:rFonts w:ascii="Arial" w:hAnsi="Arial" w:cs="Arial"/>
          <w:iCs/>
          <w:sz w:val="24"/>
          <w:szCs w:val="24"/>
        </w:rPr>
        <w:t xml:space="preserve"> , rimanda alle “pratiche limitate gestite da associazioni comunitarie, da membri di famiglie (a favore di parenti), da commercianti e bottegai, da prestatori su pegno”.</w:t>
      </w:r>
    </w:p>
    <w:p w14:paraId="6CBEB967" w14:textId="77777777" w:rsidR="00F83AF6" w:rsidRPr="00094C6D" w:rsidRDefault="00F83AF6" w:rsidP="00F83AF6">
      <w:pPr>
        <w:pStyle w:val="Paragrafoelenco"/>
        <w:tabs>
          <w:tab w:val="left" w:pos="8380"/>
        </w:tabs>
        <w:spacing w:before="100" w:beforeAutospacing="1" w:after="0" w:line="360" w:lineRule="auto"/>
        <w:ind w:left="0"/>
        <w:jc w:val="both"/>
        <w:rPr>
          <w:rFonts w:ascii="Arial" w:hAnsi="Arial" w:cs="Arial"/>
          <w:iCs/>
          <w:sz w:val="24"/>
          <w:szCs w:val="24"/>
        </w:rPr>
      </w:pPr>
      <w:r w:rsidRPr="00094C6D">
        <w:rPr>
          <w:rFonts w:ascii="Arial" w:hAnsi="Arial" w:cs="Arial"/>
          <w:iCs/>
          <w:sz w:val="24"/>
          <w:szCs w:val="24"/>
        </w:rPr>
        <w:lastRenderedPageBreak/>
        <w:t>La finanza informale che comunque dispone di proprie strutture organizzative quasi sempre snelle ed efficienti, a differenza di quella formale, non esige la redazione e la stipula di contratti in quanto i rapporti tra i contraenti si fondono esclusivamente su relazioni fiduciarie, che svincolate dalle tradizionali procedure, semplificano e assicurano rapidamente la concessione dei prestiti. Inoltre, l’impianto della finanza informale prevede innesti operativi prossimi ai centri di richiesta dei servizi, in guisa da “portare la banca dal cliente e non il cliente alla banca” (Provenzano, 2012)</w:t>
      </w:r>
      <w:r>
        <w:rPr>
          <w:rStyle w:val="Rimandonotaapidipagina"/>
          <w:rFonts w:ascii="Arial" w:hAnsi="Arial" w:cs="Arial"/>
          <w:iCs/>
          <w:sz w:val="24"/>
          <w:szCs w:val="24"/>
        </w:rPr>
        <w:footnoteReference w:id="59"/>
      </w:r>
      <w:r w:rsidRPr="00094C6D">
        <w:rPr>
          <w:rFonts w:ascii="Arial" w:hAnsi="Arial" w:cs="Arial"/>
          <w:iCs/>
          <w:sz w:val="24"/>
          <w:szCs w:val="24"/>
        </w:rPr>
        <w:t>, rendendo diretto ed immediato agli interessati l’accesso al credito e ai connessi, specifici servizi finanziari.</w:t>
      </w:r>
    </w:p>
    <w:p w14:paraId="6BDB9721" w14:textId="77777777" w:rsidR="00F83AF6" w:rsidRPr="00094C6D" w:rsidRDefault="00F83AF6" w:rsidP="00F83AF6">
      <w:pPr>
        <w:pStyle w:val="Paragrafoelenco"/>
        <w:tabs>
          <w:tab w:val="left" w:pos="8380"/>
        </w:tabs>
        <w:spacing w:before="100" w:beforeAutospacing="1" w:after="0" w:line="360" w:lineRule="auto"/>
        <w:ind w:left="0"/>
        <w:jc w:val="both"/>
        <w:rPr>
          <w:rFonts w:ascii="Arial" w:hAnsi="Arial" w:cs="Arial"/>
          <w:iCs/>
          <w:sz w:val="24"/>
          <w:szCs w:val="24"/>
        </w:rPr>
      </w:pPr>
      <w:r w:rsidRPr="00094C6D">
        <w:rPr>
          <w:rFonts w:ascii="Arial" w:hAnsi="Arial" w:cs="Arial"/>
          <w:iCs/>
          <w:sz w:val="24"/>
          <w:szCs w:val="24"/>
        </w:rPr>
        <w:t>Un altro fattore a favore della finanza informale è la capacità di regolare le asimmetrie informative tra operatori e i clienti in considerazione del fatto che gli erogatori dei prestiti hanno la possibilità di curare la continuità dei rapporti con i clienti e di acquisire informazioni sulle loro capacità professionali e reddituali. Tale posizione di vantaggio consente di monitorare l’evoluzione dei crediti erogati e dello stato dei rimborsi in tempi brevi e a costi contenuti. D’altra parte, la diffusione decentrata degli operatori anche in zone impervie, la loro possibilità di ottenere dirette informazioni sui clienti incide sulle dinamiche di calcolo dei tassi di interesse che sono applicati in misura più elevata rispetto a quelli trattati nei mercati ufficiali.</w:t>
      </w:r>
    </w:p>
    <w:p w14:paraId="6241D0C9"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Per De Nicola</w:t>
      </w:r>
      <w:r>
        <w:rPr>
          <w:rStyle w:val="Rimandonotaapidipagina"/>
          <w:rFonts w:ascii="Arial" w:hAnsi="Arial" w:cs="Arial"/>
          <w:iCs/>
          <w:sz w:val="24"/>
          <w:szCs w:val="24"/>
        </w:rPr>
        <w:footnoteReference w:id="60"/>
      </w:r>
      <w:r w:rsidRPr="00094C6D">
        <w:rPr>
          <w:rFonts w:ascii="Arial" w:hAnsi="Arial" w:cs="Arial"/>
          <w:iCs/>
          <w:sz w:val="24"/>
          <w:szCs w:val="24"/>
        </w:rPr>
        <w:t xml:space="preserve"> , la letteratura sull’economia informale si è a lungo interrogata su quale fosse il ruolo da attribuire al fenomeno dell’informalità nella dinamica storica del capitalismo, pervenendo, all’inizio degli anni Ottanta a rilevare ““la possibilità di intendere i processi di informalizzazione dell’economia come un fenomeno “universale”, endemico e ricorsivo dello sviluppo capitalistico</w:t>
      </w:r>
      <w:r>
        <w:rPr>
          <w:rFonts w:ascii="Arial" w:hAnsi="Arial" w:cs="Arial"/>
          <w:iCs/>
          <w:sz w:val="24"/>
          <w:szCs w:val="24"/>
        </w:rPr>
        <w:t>)</w:t>
      </w:r>
      <w:r w:rsidRPr="00094C6D">
        <w:rPr>
          <w:rFonts w:ascii="Arial" w:hAnsi="Arial" w:cs="Arial"/>
          <w:iCs/>
          <w:sz w:val="24"/>
          <w:szCs w:val="24"/>
        </w:rPr>
        <w:t>””.</w:t>
      </w:r>
    </w:p>
    <w:p w14:paraId="11F39C58"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Nel suo saggio rileva che l’economia informale fosse null’altro che un retaggio di forme organizzative arcaiche caratteristiche dei paesi scarsamente sviluppati, riconducendola invece al centro dello sviluppo e dell’accumulazione capitalistica, ““che si è trovata negli anni a essere sempre più divisa tra approcci che hanno finito per polarizzare il dibattito tra posizioni scarsamente comunicanti. Mentre da un lato l’informale è stato perlopiù pensato come un effetto del capitale e unicamente rispondente ai suoi bisogni endogeni – quelli in particolare relativi all’aumento del grado di sfruttamento della forza lavoro – dall’altro lato esso è stato preso come il rappresentante dell’esistenza di una eterogeneità””.</w:t>
      </w:r>
    </w:p>
    <w:p w14:paraId="49C18FF8" w14:textId="65C7C64C"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Nel dibattito formale/informale, si registra che spesso l’informalità è stata osservata con le lenti della formalità.</w:t>
      </w:r>
    </w:p>
    <w:p w14:paraId="21BCF92F"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lastRenderedPageBreak/>
        <w:t>Farinella e Mostaccio</w:t>
      </w:r>
      <w:r>
        <w:rPr>
          <w:rStyle w:val="Rimandonotaapidipagina"/>
          <w:rFonts w:ascii="Arial" w:hAnsi="Arial" w:cs="Arial"/>
          <w:iCs/>
          <w:sz w:val="24"/>
          <w:szCs w:val="24"/>
        </w:rPr>
        <w:footnoteReference w:id="61"/>
      </w:r>
      <w:r w:rsidRPr="00094C6D">
        <w:rPr>
          <w:rFonts w:ascii="Arial" w:hAnsi="Arial" w:cs="Arial"/>
          <w:iCs/>
          <w:sz w:val="24"/>
          <w:szCs w:val="24"/>
        </w:rPr>
        <w:t>, introducendo la discussione sul radicamento sociale dell’informalità, affermano che ““se la società contemporanea si articola in organizzazioni rigidamente formalizzate, per l’altro, è proprio in seno agli spazi di incertezza e ambiguità generati dalla burocratizzazione che si annidano dinamiche informali che finiscono per influenzare significativamente la vita collettiva e persino per avere effetti dirompenti. Le pratiche informali, cioè, strutturano, destrutturano e ristrutturano i processi di formalizzazione, all’interno di un continuo interscambio””.</w:t>
      </w:r>
    </w:p>
    <w:p w14:paraId="69B03C9D" w14:textId="77777777" w:rsidR="00F83AF6" w:rsidRDefault="00F83AF6" w:rsidP="00780DFA">
      <w:pPr>
        <w:pStyle w:val="Paragrafoelenco"/>
        <w:tabs>
          <w:tab w:val="left" w:pos="8380"/>
        </w:tabs>
        <w:spacing w:line="360" w:lineRule="auto"/>
        <w:ind w:left="0"/>
        <w:contextualSpacing w:val="0"/>
        <w:jc w:val="both"/>
        <w:rPr>
          <w:rFonts w:ascii="Arial" w:hAnsi="Arial" w:cs="Arial"/>
          <w:iCs/>
          <w:sz w:val="24"/>
          <w:szCs w:val="24"/>
        </w:rPr>
      </w:pPr>
      <w:r w:rsidRPr="00094C6D">
        <w:rPr>
          <w:rFonts w:ascii="Arial" w:hAnsi="Arial" w:cs="Arial"/>
          <w:iCs/>
          <w:sz w:val="24"/>
          <w:szCs w:val="24"/>
        </w:rPr>
        <w:t>Gli autori riportano ulteriori interessanti riflessioni per approfondire i rapporti tra economia formale e informale, settore in cui confluiscono le sorti degli analoghi distinti settori della finanza</w:t>
      </w:r>
      <w:r>
        <w:rPr>
          <w:rFonts w:ascii="Arial" w:hAnsi="Arial" w:cs="Arial"/>
          <w:iCs/>
          <w:sz w:val="24"/>
          <w:szCs w:val="24"/>
        </w:rPr>
        <w:t>, tra le quali quelle di:</w:t>
      </w:r>
    </w:p>
    <w:p w14:paraId="29124A3F" w14:textId="23F577B4" w:rsidR="00F83AF6" w:rsidRPr="00094C6D" w:rsidRDefault="00F83AF6" w:rsidP="00F83AF6">
      <w:pPr>
        <w:pStyle w:val="Paragrafoelenco"/>
        <w:numPr>
          <w:ilvl w:val="0"/>
          <w:numId w:val="31"/>
        </w:numPr>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Stinchcombe</w:t>
      </w:r>
      <w:r>
        <w:rPr>
          <w:rFonts w:ascii="Arial" w:hAnsi="Arial" w:cs="Arial"/>
          <w:iCs/>
          <w:sz w:val="24"/>
          <w:szCs w:val="24"/>
        </w:rPr>
        <w:t xml:space="preserve"> (1990)</w:t>
      </w:r>
      <w:r>
        <w:rPr>
          <w:rStyle w:val="Rimandonotaapidipagina"/>
          <w:rFonts w:ascii="Arial" w:hAnsi="Arial" w:cs="Arial"/>
          <w:iCs/>
          <w:sz w:val="24"/>
          <w:szCs w:val="24"/>
        </w:rPr>
        <w:footnoteReference w:id="62"/>
      </w:r>
      <w:r>
        <w:rPr>
          <w:rFonts w:ascii="Arial" w:hAnsi="Arial" w:cs="Arial"/>
          <w:iCs/>
          <w:sz w:val="24"/>
          <w:szCs w:val="24"/>
        </w:rPr>
        <w:t>,</w:t>
      </w:r>
      <w:r w:rsidRPr="009501A5">
        <w:t xml:space="preserve"> </w:t>
      </w:r>
      <w:r w:rsidRPr="002D2670">
        <w:rPr>
          <w:rFonts w:ascii="Arial" w:hAnsi="Arial" w:cs="Arial"/>
          <w:sz w:val="24"/>
          <w:szCs w:val="24"/>
        </w:rPr>
        <w:t>che</w:t>
      </w:r>
      <w:r>
        <w:t xml:space="preserve"> </w:t>
      </w:r>
      <w:r w:rsidRPr="009501A5">
        <w:rPr>
          <w:rFonts w:ascii="Arial" w:hAnsi="Arial" w:cs="Arial"/>
          <w:sz w:val="24"/>
          <w:szCs w:val="24"/>
        </w:rPr>
        <w:t xml:space="preserve">nel tentativo </w:t>
      </w:r>
      <w:r>
        <w:rPr>
          <w:rFonts w:ascii="Arial" w:hAnsi="Arial" w:cs="Arial"/>
          <w:sz w:val="24"/>
          <w:szCs w:val="24"/>
        </w:rPr>
        <w:t>di sterilizzare l’</w:t>
      </w:r>
      <w:r w:rsidRPr="009501A5">
        <w:rPr>
          <w:rFonts w:ascii="Arial" w:hAnsi="Arial" w:cs="Arial"/>
          <w:iCs/>
          <w:sz w:val="24"/>
          <w:szCs w:val="24"/>
        </w:rPr>
        <w:t>approccio eccessivamente dicotomico, propone</w:t>
      </w:r>
      <w:r>
        <w:rPr>
          <w:rFonts w:ascii="Arial" w:hAnsi="Arial" w:cs="Arial"/>
          <w:iCs/>
          <w:sz w:val="24"/>
          <w:szCs w:val="24"/>
        </w:rPr>
        <w:t xml:space="preserve"> u</w:t>
      </w:r>
      <w:r w:rsidRPr="009501A5">
        <w:rPr>
          <w:rFonts w:ascii="Arial" w:hAnsi="Arial" w:cs="Arial"/>
          <w:iCs/>
          <w:sz w:val="24"/>
          <w:szCs w:val="24"/>
        </w:rPr>
        <w:t xml:space="preserve">na </w:t>
      </w:r>
      <w:r w:rsidR="001575A0" w:rsidRPr="009501A5">
        <w:rPr>
          <w:rFonts w:ascii="Arial" w:hAnsi="Arial" w:cs="Arial"/>
          <w:iCs/>
          <w:sz w:val="24"/>
          <w:szCs w:val="24"/>
        </w:rPr>
        <w:t xml:space="preserve">tripartizione </w:t>
      </w:r>
      <w:r w:rsidR="001575A0">
        <w:rPr>
          <w:rFonts w:ascii="Arial" w:hAnsi="Arial" w:cs="Arial"/>
          <w:iCs/>
          <w:sz w:val="24"/>
          <w:szCs w:val="24"/>
        </w:rPr>
        <w:t>distinta</w:t>
      </w:r>
      <w:r>
        <w:rPr>
          <w:rFonts w:ascii="Arial" w:hAnsi="Arial" w:cs="Arial"/>
          <w:iCs/>
          <w:sz w:val="24"/>
          <w:szCs w:val="24"/>
        </w:rPr>
        <w:t xml:space="preserve"> in</w:t>
      </w:r>
      <w:r w:rsidRPr="009501A5">
        <w:rPr>
          <w:rFonts w:ascii="Arial" w:hAnsi="Arial" w:cs="Arial"/>
          <w:iCs/>
          <w:sz w:val="24"/>
          <w:szCs w:val="24"/>
        </w:rPr>
        <w:t xml:space="preserve"> «formalità implicita informalmente», «formalità in costruzione» e «informalità classica», </w:t>
      </w:r>
      <w:r>
        <w:rPr>
          <w:rFonts w:ascii="Arial" w:hAnsi="Arial" w:cs="Arial"/>
          <w:iCs/>
          <w:sz w:val="24"/>
          <w:szCs w:val="24"/>
        </w:rPr>
        <w:t>nell’intento di</w:t>
      </w:r>
      <w:r w:rsidRPr="009501A5">
        <w:rPr>
          <w:rFonts w:ascii="Arial" w:hAnsi="Arial" w:cs="Arial"/>
          <w:iCs/>
          <w:sz w:val="24"/>
          <w:szCs w:val="24"/>
        </w:rPr>
        <w:t xml:space="preserve"> </w:t>
      </w:r>
      <w:r>
        <w:rPr>
          <w:rFonts w:ascii="Arial" w:hAnsi="Arial" w:cs="Arial"/>
          <w:iCs/>
          <w:sz w:val="24"/>
          <w:szCs w:val="24"/>
        </w:rPr>
        <w:t xml:space="preserve">valutare le interazioni tra le </w:t>
      </w:r>
      <w:r w:rsidRPr="009501A5">
        <w:rPr>
          <w:rFonts w:ascii="Arial" w:hAnsi="Arial" w:cs="Arial"/>
          <w:iCs/>
          <w:sz w:val="24"/>
          <w:szCs w:val="24"/>
        </w:rPr>
        <w:t>attività</w:t>
      </w:r>
      <w:r>
        <w:rPr>
          <w:rFonts w:ascii="Arial" w:hAnsi="Arial" w:cs="Arial"/>
          <w:iCs/>
          <w:sz w:val="24"/>
          <w:szCs w:val="24"/>
        </w:rPr>
        <w:t xml:space="preserve"> informali, </w:t>
      </w:r>
      <w:r w:rsidRPr="009501A5">
        <w:rPr>
          <w:rFonts w:ascii="Arial" w:hAnsi="Arial" w:cs="Arial"/>
          <w:iCs/>
          <w:sz w:val="24"/>
          <w:szCs w:val="24"/>
        </w:rPr>
        <w:t>le strutture sociali esistenti, le procedure formali e</w:t>
      </w:r>
      <w:r>
        <w:rPr>
          <w:rFonts w:ascii="Arial" w:hAnsi="Arial" w:cs="Arial"/>
          <w:iCs/>
          <w:sz w:val="24"/>
          <w:szCs w:val="24"/>
        </w:rPr>
        <w:t xml:space="preserve"> </w:t>
      </w:r>
      <w:r w:rsidRPr="009501A5">
        <w:rPr>
          <w:rFonts w:ascii="Arial" w:hAnsi="Arial" w:cs="Arial"/>
          <w:iCs/>
          <w:sz w:val="24"/>
          <w:szCs w:val="24"/>
        </w:rPr>
        <w:t>le politiche attuate dai singoli Stati</w:t>
      </w:r>
      <w:r>
        <w:rPr>
          <w:rFonts w:ascii="Arial" w:hAnsi="Arial" w:cs="Arial"/>
          <w:iCs/>
          <w:sz w:val="24"/>
          <w:szCs w:val="24"/>
        </w:rPr>
        <w:t>;</w:t>
      </w:r>
      <w:r w:rsidRPr="009501A5">
        <w:rPr>
          <w:rFonts w:ascii="Arial" w:hAnsi="Arial" w:cs="Arial"/>
          <w:iCs/>
          <w:sz w:val="24"/>
          <w:szCs w:val="24"/>
        </w:rPr>
        <w:t xml:space="preserve"> </w:t>
      </w:r>
    </w:p>
    <w:p w14:paraId="3DB72C5A" w14:textId="77777777" w:rsidR="00F83AF6" w:rsidRPr="00094C6D" w:rsidRDefault="00F83AF6" w:rsidP="00F83AF6">
      <w:pPr>
        <w:pStyle w:val="Paragrafoelenco"/>
        <w:numPr>
          <w:ilvl w:val="0"/>
          <w:numId w:val="31"/>
        </w:numPr>
        <w:tabs>
          <w:tab w:val="left" w:pos="8380"/>
        </w:tabs>
        <w:spacing w:line="360" w:lineRule="auto"/>
        <w:ind w:left="284" w:hanging="284"/>
        <w:contextualSpacing w:val="0"/>
        <w:jc w:val="both"/>
        <w:rPr>
          <w:rFonts w:ascii="Arial" w:hAnsi="Arial" w:cs="Arial"/>
          <w:iCs/>
          <w:sz w:val="24"/>
          <w:szCs w:val="24"/>
        </w:rPr>
      </w:pPr>
      <w:r w:rsidRPr="00094C6D">
        <w:rPr>
          <w:rFonts w:ascii="Arial" w:hAnsi="Arial" w:cs="Arial"/>
          <w:iCs/>
          <w:sz w:val="24"/>
          <w:szCs w:val="24"/>
        </w:rPr>
        <w:t>Portes (2010)</w:t>
      </w:r>
      <w:r>
        <w:rPr>
          <w:rStyle w:val="Rimandonotaapidipagina"/>
          <w:rFonts w:ascii="Arial" w:hAnsi="Arial" w:cs="Arial"/>
          <w:iCs/>
          <w:sz w:val="24"/>
          <w:szCs w:val="24"/>
        </w:rPr>
        <w:footnoteReference w:id="63"/>
      </w:r>
      <w:r w:rsidRPr="00094C6D">
        <w:rPr>
          <w:rFonts w:ascii="Arial" w:hAnsi="Arial" w:cs="Arial"/>
          <w:iCs/>
          <w:sz w:val="24"/>
          <w:szCs w:val="24"/>
        </w:rPr>
        <w:t xml:space="preserve"> evidenzia che gli aspetti distintivi tra formale, informale e illegale, consentendo di rilevare i paradossi che caratterizzano l’informalità, segnalan</w:t>
      </w:r>
      <w:r>
        <w:rPr>
          <w:rFonts w:ascii="Arial" w:hAnsi="Arial" w:cs="Arial"/>
          <w:iCs/>
          <w:sz w:val="24"/>
          <w:szCs w:val="24"/>
        </w:rPr>
        <w:t>d</w:t>
      </w:r>
      <w:r w:rsidRPr="00094C6D">
        <w:rPr>
          <w:rFonts w:ascii="Arial" w:hAnsi="Arial" w:cs="Arial"/>
          <w:iCs/>
          <w:sz w:val="24"/>
          <w:szCs w:val="24"/>
        </w:rPr>
        <w:t>o la sua forte dimensione regolativa:</w:t>
      </w:r>
    </w:p>
    <w:p w14:paraId="372D4DE4" w14:textId="77777777" w:rsidR="00F83AF6" w:rsidRPr="00094C6D" w:rsidRDefault="00F83AF6" w:rsidP="00F83AF6">
      <w:pPr>
        <w:pStyle w:val="Paragrafoelenco"/>
        <w:tabs>
          <w:tab w:val="left" w:pos="8380"/>
        </w:tabs>
        <w:spacing w:line="360" w:lineRule="auto"/>
        <w:ind w:left="709" w:hanging="425"/>
        <w:jc w:val="both"/>
        <w:rPr>
          <w:rFonts w:ascii="Arial" w:hAnsi="Arial" w:cs="Arial"/>
          <w:iCs/>
          <w:sz w:val="24"/>
          <w:szCs w:val="24"/>
        </w:rPr>
      </w:pPr>
      <w:r w:rsidRPr="00094C6D">
        <w:rPr>
          <w:rFonts w:ascii="Arial" w:hAnsi="Arial" w:cs="Arial"/>
          <w:iCs/>
          <w:sz w:val="24"/>
          <w:szCs w:val="24"/>
        </w:rPr>
        <w:t xml:space="preserve">““a) </w:t>
      </w:r>
      <w:r>
        <w:rPr>
          <w:rFonts w:ascii="Arial" w:hAnsi="Arial" w:cs="Arial"/>
          <w:iCs/>
          <w:sz w:val="24"/>
          <w:szCs w:val="24"/>
        </w:rPr>
        <w:t>i</w:t>
      </w:r>
      <w:r w:rsidRPr="00094C6D">
        <w:rPr>
          <w:rFonts w:ascii="Arial" w:hAnsi="Arial" w:cs="Arial"/>
          <w:iCs/>
          <w:sz w:val="24"/>
          <w:szCs w:val="24"/>
        </w:rPr>
        <w:t>l paradosso del social embeddedness: se l’economia formale e quella illegale sono accomunate dalla loro capacità di ottenere obbedienza, circa il rispetto delle regole, attraverso l’uso della forza (l’una per mezzo del diritto cogente, l’altra per mezzo della violenza), le attività informali, pur non basandosi su un potere coercitivo, riescono a dimostrarsi più vincolanti per i soggetti. Più si opera in un contesto di competizione e mercato, più l’economia informale dipende, per il suo effettivo funzionamento, dai legami sociali. Il radicamento sociale degli attori determina un altissimo livello di fiducia reciproca e l’aspettativa che gli eventuali comportamenti sleali determinino l’esclusione del trasgressore dalle transazioni future. Il timore dell’estromissione può diventare più efficace delle sanzioni legali</w:t>
      </w:r>
      <w:r>
        <w:rPr>
          <w:rFonts w:ascii="Arial" w:hAnsi="Arial" w:cs="Arial"/>
          <w:iCs/>
          <w:sz w:val="24"/>
          <w:szCs w:val="24"/>
        </w:rPr>
        <w:t>;</w:t>
      </w:r>
    </w:p>
    <w:p w14:paraId="6011EB75" w14:textId="77777777" w:rsidR="00F83AF6" w:rsidRPr="00094C6D" w:rsidRDefault="00F83AF6" w:rsidP="00F83AF6">
      <w:pPr>
        <w:pStyle w:val="Paragrafoelenco"/>
        <w:tabs>
          <w:tab w:val="left" w:pos="8380"/>
        </w:tabs>
        <w:spacing w:line="360" w:lineRule="auto"/>
        <w:ind w:left="709" w:hanging="283"/>
        <w:jc w:val="both"/>
        <w:rPr>
          <w:rFonts w:ascii="Arial" w:hAnsi="Arial" w:cs="Arial"/>
          <w:iCs/>
          <w:sz w:val="24"/>
          <w:szCs w:val="24"/>
        </w:rPr>
      </w:pPr>
      <w:r w:rsidRPr="00094C6D">
        <w:rPr>
          <w:rFonts w:ascii="Arial" w:hAnsi="Arial" w:cs="Arial"/>
          <w:iCs/>
          <w:sz w:val="24"/>
          <w:szCs w:val="24"/>
        </w:rPr>
        <w:lastRenderedPageBreak/>
        <w:t>b)</w:t>
      </w:r>
      <w:r>
        <w:rPr>
          <w:rFonts w:ascii="Arial" w:hAnsi="Arial" w:cs="Arial"/>
          <w:iCs/>
          <w:sz w:val="24"/>
          <w:szCs w:val="24"/>
        </w:rPr>
        <w:t xml:space="preserve"> </w:t>
      </w:r>
      <w:r w:rsidRPr="00094C6D">
        <w:rPr>
          <w:rFonts w:ascii="Arial" w:hAnsi="Arial" w:cs="Arial"/>
          <w:iCs/>
          <w:sz w:val="24"/>
          <w:szCs w:val="24"/>
        </w:rPr>
        <w:t>il paradosso del controllo statale: se ingenuamente si può credere che, di fronte all’incremento della regolazione da parte dello Stato, l’economia informale assuma un ruolo sempre più marginale, nella realtà spesso si sviluppano dinamiche che si muovono esattamente nella direzione opposta. Poiché le attività informali si estendono in virtù della loro capacità di eludere regole e controlli, tanto più pregnante è la regolamentazione statale, più ampie sono le opportunità per aggirarla. In condizioni di limitato controllo statale, la maggior parte delle attività economiche è autoregolata ma non informale poiché non contravviene a nessuna regola ufficiale. Ironicamente, tanto più aumentano le norme e le ispezioni statali tanto più si lascia spazio alla riproduzione di dinamiche informali</w:t>
      </w:r>
      <w:r>
        <w:rPr>
          <w:rFonts w:ascii="Arial" w:hAnsi="Arial" w:cs="Arial"/>
          <w:iCs/>
          <w:sz w:val="24"/>
          <w:szCs w:val="24"/>
        </w:rPr>
        <w:t>;</w:t>
      </w:r>
    </w:p>
    <w:p w14:paraId="2A82DA39" w14:textId="77777777" w:rsidR="00F83AF6" w:rsidRPr="00094C6D" w:rsidRDefault="00F83AF6" w:rsidP="00F83AF6">
      <w:pPr>
        <w:pStyle w:val="Paragrafoelenco"/>
        <w:tabs>
          <w:tab w:val="left" w:pos="8380"/>
        </w:tabs>
        <w:spacing w:after="0" w:line="360" w:lineRule="auto"/>
        <w:ind w:left="709" w:hanging="283"/>
        <w:jc w:val="both"/>
        <w:rPr>
          <w:rFonts w:ascii="Arial" w:hAnsi="Arial" w:cs="Arial"/>
          <w:iCs/>
          <w:sz w:val="24"/>
          <w:szCs w:val="24"/>
        </w:rPr>
      </w:pPr>
      <w:r w:rsidRPr="00094C6D">
        <w:rPr>
          <w:rFonts w:ascii="Arial" w:hAnsi="Arial" w:cs="Arial"/>
          <w:iCs/>
          <w:sz w:val="24"/>
          <w:szCs w:val="24"/>
        </w:rPr>
        <w:t>c)</w:t>
      </w:r>
      <w:r>
        <w:rPr>
          <w:rFonts w:ascii="Arial" w:hAnsi="Arial" w:cs="Arial"/>
          <w:iCs/>
          <w:sz w:val="24"/>
          <w:szCs w:val="24"/>
        </w:rPr>
        <w:t xml:space="preserve"> </w:t>
      </w:r>
      <w:r w:rsidRPr="00094C6D">
        <w:rPr>
          <w:rFonts w:ascii="Arial" w:hAnsi="Arial" w:cs="Arial"/>
          <w:iCs/>
          <w:sz w:val="24"/>
          <w:szCs w:val="24"/>
        </w:rPr>
        <w:t>il paradosso della funzionalità dell’economia informale alle istituzioni economiche e politiche; tanto nei paesi in via di sviluppo quanto in quelli a capitalismo avanzato, dove si è assistito a un graduale smantellamento del welfare, l’economia informale si caratterizza per la sua capacità di produrre reddito anche per quelle porzioni di popolazione che, altrimenti, si vedrebbero preclusa qualsiasi possibilità di sussistenza: di fatto, fornisce strategie di sopravvivenza e contribuisce ad attenuare il conflitto sociale””.</w:t>
      </w:r>
    </w:p>
    <w:p w14:paraId="78FA73B4" w14:textId="77777777" w:rsidR="00F83AF6" w:rsidRPr="005F22B6" w:rsidRDefault="00F83AF6" w:rsidP="00F83AF6">
      <w:pPr>
        <w:tabs>
          <w:tab w:val="left" w:pos="8380"/>
        </w:tabs>
        <w:spacing w:after="0" w:line="360" w:lineRule="auto"/>
        <w:jc w:val="both"/>
        <w:rPr>
          <w:rFonts w:ascii="Arial" w:hAnsi="Arial" w:cs="Arial"/>
          <w:iCs/>
          <w:sz w:val="24"/>
          <w:szCs w:val="24"/>
        </w:rPr>
      </w:pPr>
    </w:p>
    <w:p w14:paraId="3B35A6AB"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L’economia informale, peraltro, in alcuni momenti storici, ha rappresentato un vero e proprio incubatore, dal quale si sono sviluppati interi comparti, capaci di competere sui mercati internazionali; ne è derivata una maggiore stabilità per gli Stati, che spesso trovano utile evitare politiche eccessivamente repressive nei confronti delle attività informali.</w:t>
      </w:r>
    </w:p>
    <w:p w14:paraId="1447C5B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Bruschi (2001)</w:t>
      </w:r>
      <w:r>
        <w:rPr>
          <w:rStyle w:val="Rimandonotaapidipagina"/>
          <w:rFonts w:ascii="Arial" w:hAnsi="Arial" w:cs="Arial"/>
          <w:iCs/>
          <w:sz w:val="24"/>
          <w:szCs w:val="24"/>
        </w:rPr>
        <w:footnoteReference w:id="64"/>
      </w:r>
      <w:r w:rsidRPr="00094C6D">
        <w:rPr>
          <w:rFonts w:ascii="Arial" w:hAnsi="Arial" w:cs="Arial"/>
          <w:iCs/>
          <w:sz w:val="24"/>
          <w:szCs w:val="24"/>
        </w:rPr>
        <w:t>, afferma che ““per definire le attività economiche che avvengono al di fuori del sistema ufficiale sono stati utilizzati i termini di economia informale, sotterranea, o parallela; mercato nero, economia ombra o nascosta, e ancora, economia endogena, irregolare, alternativa, non ufficiale o non registrata; in alcuni casi, il peso dato alle attività informali è stato così forte da rendere legittimo l’uso dei termini seconda economia o economia reale. L’estrema diffusione e il peso dell’informale nelle economie moderne non permettono più di accettarne definizioni restrittive e parziali: il termine “economia non registrata” sarebbe troppo neutro e sminuirebbe la portata del fenomeno; quello di “economia parallela” sarebbe invece scorretto perché le connessioni tra economia formale e informale sono frequenti e costituiscono in alcuni Paesi la regola””.</w:t>
      </w:r>
    </w:p>
    <w:p w14:paraId="2078BDEC" w14:textId="07053A73"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lastRenderedPageBreak/>
        <w:t>Per la Bruschi le ““attività formali e informali rimangono strettamente correlate, in un rapporto simile a quello che unisce le due facce di una medaglia: possiamo parlare di economia informale solo in presenza di una cornice istituzionale che regoli le transazioni economiche che avvengono nell’ambito formale. In un’economia perfettamente concorrenziale, senza alcun tipo di regolamentazione, la distinzione tra formale e informale perderebbe di senso, poiché tutto sarebbe da ricondurre all’informale; in un’economia molto regolamentata, invece, l’informalità assumerebbe un ruolo marginale e sarebbe lasciata all’iniziativa degli attori individuali impegnati a sfuggire ai controlli messi in opera dalle istituzioni”</w:t>
      </w:r>
      <w:r w:rsidR="00780DFA" w:rsidRPr="00094C6D">
        <w:rPr>
          <w:rFonts w:ascii="Arial" w:hAnsi="Arial" w:cs="Arial"/>
          <w:iCs/>
          <w:sz w:val="24"/>
          <w:szCs w:val="24"/>
        </w:rPr>
        <w:t>”.</w:t>
      </w:r>
    </w:p>
    <w:p w14:paraId="531AC24D" w14:textId="77777777" w:rsidR="00F83AF6" w:rsidRPr="00094C6D" w:rsidRDefault="00F83AF6" w:rsidP="00F83AF6">
      <w:pPr>
        <w:pStyle w:val="Paragrafoelenco"/>
        <w:tabs>
          <w:tab w:val="left" w:pos="8380"/>
        </w:tabs>
        <w:spacing w:line="360" w:lineRule="auto"/>
        <w:ind w:left="0"/>
        <w:contextualSpacing w:val="0"/>
        <w:jc w:val="both"/>
        <w:rPr>
          <w:rFonts w:ascii="Arial" w:hAnsi="Arial" w:cs="Arial"/>
          <w:iCs/>
          <w:sz w:val="24"/>
          <w:szCs w:val="24"/>
        </w:rPr>
      </w:pPr>
      <w:r w:rsidRPr="00094C6D">
        <w:rPr>
          <w:rFonts w:ascii="Arial" w:hAnsi="Arial" w:cs="Arial"/>
          <w:iCs/>
          <w:sz w:val="24"/>
          <w:szCs w:val="24"/>
        </w:rPr>
        <w:t>Le metodologie d’intervento elaborate nell’ambito dell’organizzazione del microcredito si concretizzano con:</w:t>
      </w:r>
    </w:p>
    <w:p w14:paraId="449CED52" w14:textId="77777777" w:rsidR="00F83AF6" w:rsidRPr="00094C6D"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1)</w:t>
      </w:r>
      <w:r>
        <w:rPr>
          <w:rFonts w:ascii="Arial" w:hAnsi="Arial" w:cs="Arial"/>
          <w:iCs/>
          <w:sz w:val="24"/>
          <w:szCs w:val="24"/>
        </w:rPr>
        <w:t xml:space="preserve"> </w:t>
      </w:r>
      <w:r w:rsidRPr="00094C6D">
        <w:rPr>
          <w:rFonts w:ascii="Arial" w:hAnsi="Arial" w:cs="Arial"/>
          <w:iCs/>
          <w:sz w:val="24"/>
          <w:szCs w:val="24"/>
        </w:rPr>
        <w:t>l’individual lending, forma arcaica, che prevede il rapporto diretto tra il concedente e il prenditore. Può prevedere garanzie reali e personali;</w:t>
      </w:r>
    </w:p>
    <w:p w14:paraId="53494B77" w14:textId="77777777" w:rsidR="00F83AF6" w:rsidRPr="00094C6D"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2)</w:t>
      </w:r>
      <w:r>
        <w:rPr>
          <w:rFonts w:ascii="Arial" w:hAnsi="Arial" w:cs="Arial"/>
          <w:iCs/>
          <w:sz w:val="24"/>
          <w:szCs w:val="24"/>
        </w:rPr>
        <w:t xml:space="preserve"> </w:t>
      </w:r>
      <w:r w:rsidRPr="00094C6D">
        <w:rPr>
          <w:rFonts w:ascii="Arial" w:hAnsi="Arial" w:cs="Arial"/>
          <w:iCs/>
          <w:sz w:val="24"/>
          <w:szCs w:val="24"/>
        </w:rPr>
        <w:t>il peer lending, che viene svolto erogando prestiti a gruppi di soggetti, responsabili solidalmente. I gruppi assicurano un processo di auto-selezione e monitoraggio reciproco;</w:t>
      </w:r>
    </w:p>
    <w:p w14:paraId="3DE0E48E" w14:textId="11697243" w:rsidR="00F83AF6" w:rsidRPr="00094C6D"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3)</w:t>
      </w:r>
      <w:r>
        <w:rPr>
          <w:rFonts w:ascii="Arial" w:hAnsi="Arial" w:cs="Arial"/>
          <w:iCs/>
          <w:sz w:val="24"/>
          <w:szCs w:val="24"/>
        </w:rPr>
        <w:t xml:space="preserve"> </w:t>
      </w:r>
      <w:r w:rsidR="00CC426F">
        <w:rPr>
          <w:rFonts w:ascii="Arial" w:hAnsi="Arial" w:cs="Arial"/>
          <w:iCs/>
          <w:sz w:val="24"/>
          <w:szCs w:val="24"/>
        </w:rPr>
        <w:t xml:space="preserve">il </w:t>
      </w:r>
      <w:r w:rsidRPr="00094C6D">
        <w:rPr>
          <w:rFonts w:ascii="Arial" w:hAnsi="Arial" w:cs="Arial"/>
          <w:iCs/>
          <w:sz w:val="24"/>
          <w:szCs w:val="24"/>
        </w:rPr>
        <w:t>solidarity group: rivolto a gruppi composti da 3 a 10 membri obbligati alla restituzione del credito proporzionalmente alla quota del proprio prestito;</w:t>
      </w:r>
    </w:p>
    <w:p w14:paraId="77ACEAA2" w14:textId="7DB68925" w:rsidR="00F83AF6" w:rsidRPr="00094C6D"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4)</w:t>
      </w:r>
      <w:r>
        <w:rPr>
          <w:rFonts w:ascii="Arial" w:hAnsi="Arial" w:cs="Arial"/>
          <w:iCs/>
          <w:sz w:val="24"/>
          <w:szCs w:val="24"/>
        </w:rPr>
        <w:t xml:space="preserve"> </w:t>
      </w:r>
      <w:r w:rsidR="00CC426F">
        <w:rPr>
          <w:rFonts w:ascii="Arial" w:hAnsi="Arial" w:cs="Arial"/>
          <w:iCs/>
          <w:sz w:val="24"/>
          <w:szCs w:val="24"/>
        </w:rPr>
        <w:t xml:space="preserve">il </w:t>
      </w:r>
      <w:r w:rsidRPr="00094C6D">
        <w:rPr>
          <w:rFonts w:ascii="Arial" w:hAnsi="Arial" w:cs="Arial"/>
          <w:iCs/>
          <w:sz w:val="24"/>
          <w:szCs w:val="24"/>
        </w:rPr>
        <w:t>village banking: istituzione di 20-25 membri che gestisce operazioni di micro-intermediazione finanziaria facendo ricorso a capitali sia propri che esterni;</w:t>
      </w:r>
    </w:p>
    <w:p w14:paraId="3FB23AE5" w14:textId="6CE8C71C" w:rsidR="00F83AF6" w:rsidRPr="00094C6D"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5)</w:t>
      </w:r>
      <w:r>
        <w:rPr>
          <w:rFonts w:ascii="Arial" w:hAnsi="Arial" w:cs="Arial"/>
          <w:iCs/>
          <w:sz w:val="24"/>
          <w:szCs w:val="24"/>
        </w:rPr>
        <w:t xml:space="preserve"> </w:t>
      </w:r>
      <w:r w:rsidR="00CC426F">
        <w:rPr>
          <w:rFonts w:ascii="Arial" w:hAnsi="Arial" w:cs="Arial"/>
          <w:iCs/>
          <w:sz w:val="24"/>
          <w:szCs w:val="24"/>
        </w:rPr>
        <w:t xml:space="preserve">il </w:t>
      </w:r>
      <w:r w:rsidRPr="00094C6D">
        <w:rPr>
          <w:rFonts w:ascii="Arial" w:hAnsi="Arial" w:cs="Arial"/>
          <w:iCs/>
          <w:sz w:val="24"/>
          <w:szCs w:val="24"/>
        </w:rPr>
        <w:t>revolving loan funds: gruppi informali composti da 30-100 persone che gestiscono fondi autonomi. Costituiscono piccole realtà creditizie che si fondano su risorse interne per la gestione del gruppo;</w:t>
      </w:r>
    </w:p>
    <w:p w14:paraId="338A285A" w14:textId="00202F28" w:rsidR="00F83AF6"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6)</w:t>
      </w:r>
      <w:r w:rsidR="00CC426F">
        <w:rPr>
          <w:rFonts w:ascii="Arial" w:hAnsi="Arial" w:cs="Arial"/>
          <w:iCs/>
          <w:sz w:val="24"/>
          <w:szCs w:val="24"/>
        </w:rPr>
        <w:t xml:space="preserve"> le</w:t>
      </w:r>
      <w:r>
        <w:rPr>
          <w:rFonts w:ascii="Arial" w:hAnsi="Arial" w:cs="Arial"/>
          <w:iCs/>
          <w:sz w:val="24"/>
          <w:szCs w:val="24"/>
        </w:rPr>
        <w:t xml:space="preserve"> </w:t>
      </w:r>
      <w:r w:rsidRPr="00094C6D">
        <w:rPr>
          <w:rFonts w:ascii="Arial" w:hAnsi="Arial" w:cs="Arial"/>
          <w:iCs/>
          <w:sz w:val="24"/>
          <w:szCs w:val="24"/>
        </w:rPr>
        <w:t>saving and loan associations: associazioni finanziate con risparmi locali che svolgono attività d’intermediazione creditizia trasferendo flussi di investimenti dalle aree urbane a quelle rurali.</w:t>
      </w:r>
    </w:p>
    <w:p w14:paraId="563AD145"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p>
    <w:p w14:paraId="297B3655"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Esempi diffusi di finanza informale sono rappresentati dalle Rotating Savings and Credit Association (ROSCA) e dalle Accumulating Savings and Credit Association (ASCA), associazioni di cui si è anticipata la trattazione nel precedente capitolo.</w:t>
      </w:r>
    </w:p>
    <w:p w14:paraId="6A7201B9" w14:textId="77777777" w:rsidR="00A56994"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Le Rosca sono formate da un nucleo di partecipanti legati da rapporti di amicizia, vincoli di parentela o comunque di conoscenza, che accettano di versare contributi regolari in modo da costituire un fondo la cui dotazione sia assegnata, a rotazione, in tutto o in parte, a ciascun contributore. Si differenziano da altre tipologie aggregative per la modalità di accesso e la regolarità dei versamenti necessari per la costituzione del fondo di </w:t>
      </w:r>
      <w:r w:rsidR="00A56994" w:rsidRPr="00094C6D">
        <w:rPr>
          <w:rFonts w:ascii="Arial" w:hAnsi="Arial" w:cs="Arial"/>
          <w:iCs/>
          <w:sz w:val="24"/>
          <w:szCs w:val="24"/>
        </w:rPr>
        <w:t>rotazione.</w:t>
      </w:r>
    </w:p>
    <w:p w14:paraId="22E2BEEC" w14:textId="77777777" w:rsidR="00CC426F" w:rsidRDefault="00CC426F" w:rsidP="00F83AF6">
      <w:pPr>
        <w:pStyle w:val="Paragrafoelenco"/>
        <w:tabs>
          <w:tab w:val="left" w:pos="8380"/>
        </w:tabs>
        <w:spacing w:line="360" w:lineRule="auto"/>
        <w:ind w:left="0"/>
        <w:jc w:val="both"/>
        <w:rPr>
          <w:rFonts w:ascii="Arial" w:hAnsi="Arial" w:cs="Arial"/>
          <w:iCs/>
          <w:sz w:val="24"/>
          <w:szCs w:val="24"/>
        </w:rPr>
      </w:pPr>
    </w:p>
    <w:p w14:paraId="76E034CA" w14:textId="15C2BA4E"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lastRenderedPageBreak/>
        <w:t xml:space="preserve">L’aggregazione, di carattere </w:t>
      </w:r>
      <w:r w:rsidR="00A56994" w:rsidRPr="00094C6D">
        <w:rPr>
          <w:rFonts w:ascii="Arial" w:hAnsi="Arial" w:cs="Arial"/>
          <w:iCs/>
          <w:sz w:val="24"/>
          <w:szCs w:val="24"/>
        </w:rPr>
        <w:t>fiduciaria,</w:t>
      </w:r>
      <w:r w:rsidRPr="00094C6D">
        <w:rPr>
          <w:rFonts w:ascii="Arial" w:hAnsi="Arial" w:cs="Arial"/>
          <w:iCs/>
          <w:sz w:val="24"/>
          <w:szCs w:val="24"/>
        </w:rPr>
        <w:t xml:space="preserve"> è soggetta al default nel caso in cui il primo assegnatario del fondo, dopo aver acquisito la dotazione, si sottrae alla contribuzione per il nuovo round. Occorre evidenziare, comunque, che nello schema associativo è previsto un sistema di responsabilità solidale, la cd. joint liability.</w:t>
      </w:r>
    </w:p>
    <w:p w14:paraId="1256286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p>
    <w:p w14:paraId="0E583350"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La Rosca ha diversi vantaggi: nessun costo di transazione, trasparenza delle procedure con il denaro che passa direttamente da un componente a un altro; di contro, lo schema operativo, ha funzioni informali semplici e trasparenti e non prevede costi per le transazioni.</w:t>
      </w:r>
    </w:p>
    <w:p w14:paraId="68B53344" w14:textId="7FB4E1CC" w:rsidR="00F83AF6" w:rsidRPr="00094C6D" w:rsidRDefault="00F83AF6" w:rsidP="00F83AF6">
      <w:pPr>
        <w:pStyle w:val="Paragrafoelenco"/>
        <w:tabs>
          <w:tab w:val="left" w:pos="8380"/>
        </w:tabs>
        <w:spacing w:line="360" w:lineRule="auto"/>
        <w:ind w:left="0"/>
        <w:contextualSpacing w:val="0"/>
        <w:jc w:val="both"/>
        <w:rPr>
          <w:rFonts w:ascii="Arial" w:hAnsi="Arial" w:cs="Arial"/>
          <w:iCs/>
          <w:sz w:val="24"/>
          <w:szCs w:val="24"/>
        </w:rPr>
      </w:pPr>
      <w:r w:rsidRPr="00094C6D">
        <w:rPr>
          <w:rFonts w:ascii="Arial" w:hAnsi="Arial" w:cs="Arial"/>
          <w:iCs/>
          <w:sz w:val="24"/>
          <w:szCs w:val="24"/>
        </w:rPr>
        <w:t xml:space="preserve">Secondo gli </w:t>
      </w:r>
      <w:r w:rsidR="00A56994" w:rsidRPr="00094C6D">
        <w:rPr>
          <w:rFonts w:ascii="Arial" w:hAnsi="Arial" w:cs="Arial"/>
          <w:iCs/>
          <w:sz w:val="24"/>
          <w:szCs w:val="24"/>
        </w:rPr>
        <w:t>scopi,</w:t>
      </w:r>
      <w:r w:rsidRPr="00094C6D">
        <w:rPr>
          <w:rFonts w:ascii="Arial" w:hAnsi="Arial" w:cs="Arial"/>
          <w:iCs/>
          <w:sz w:val="24"/>
          <w:szCs w:val="24"/>
        </w:rPr>
        <w:t xml:space="preserve"> si possono classificare tre tipologie associative:</w:t>
      </w:r>
    </w:p>
    <w:p w14:paraId="0A7CA22E" w14:textId="77777777" w:rsidR="00F83AF6" w:rsidRPr="00094C6D"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a) di reciprocità, nelle quali i membri utilizzano a turno i fondi disponibili, assumendo di volta in volta la qualifica di creditori o debitori. Il primo beneficiario ottiene un prestito privo di interessi mentre l’ultimo socio accumula capitale fino ad un periodo determinato ovvero allo scioglimento dell’iniziativa. I partecipanti avranno la possibilità di disporre di un mutuo in tempo rapido di importo maggiore rispetto a quanto ciascuno avrebbe risparmiato per conto proprio;</w:t>
      </w:r>
    </w:p>
    <w:p w14:paraId="6A667675" w14:textId="77777777" w:rsidR="00F83AF6" w:rsidRPr="00094C6D"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b)</w:t>
      </w:r>
      <w:r>
        <w:rPr>
          <w:rFonts w:ascii="Arial" w:hAnsi="Arial" w:cs="Arial"/>
          <w:iCs/>
          <w:sz w:val="24"/>
          <w:szCs w:val="24"/>
        </w:rPr>
        <w:t xml:space="preserve"> </w:t>
      </w:r>
      <w:r w:rsidRPr="00094C6D">
        <w:rPr>
          <w:rFonts w:ascii="Arial" w:hAnsi="Arial" w:cs="Arial"/>
          <w:iCs/>
          <w:sz w:val="24"/>
          <w:szCs w:val="24"/>
        </w:rPr>
        <w:t>commerciali, dove i fondi vengono raccolti da un terzo che ha assunto l’iniziativa di formare il gruppo e che rivestendo il ruolo di finanziatore, riscuote una commissione per il servizio svolto;</w:t>
      </w:r>
    </w:p>
    <w:p w14:paraId="77DB45BC" w14:textId="77777777" w:rsidR="00F83AF6" w:rsidRDefault="00F83AF6" w:rsidP="00F83AF6">
      <w:pPr>
        <w:pStyle w:val="Paragrafoelenco"/>
        <w:tabs>
          <w:tab w:val="left" w:pos="8380"/>
        </w:tabs>
        <w:spacing w:line="360" w:lineRule="auto"/>
        <w:ind w:left="284" w:hanging="284"/>
        <w:jc w:val="both"/>
        <w:rPr>
          <w:rFonts w:ascii="Arial" w:hAnsi="Arial" w:cs="Arial"/>
          <w:iCs/>
          <w:sz w:val="24"/>
          <w:szCs w:val="24"/>
        </w:rPr>
      </w:pPr>
      <w:r w:rsidRPr="00094C6D">
        <w:rPr>
          <w:rFonts w:ascii="Arial" w:hAnsi="Arial" w:cs="Arial"/>
          <w:iCs/>
          <w:sz w:val="24"/>
          <w:szCs w:val="24"/>
        </w:rPr>
        <w:t>c) finanziarie, in quanto consentono agli aderenti di ricevere in prestito la somma raccolta secondo il sistema della maggiore offerta. La somma capitalizzata viene posta all’asta e ceduta al miglior offerente che, in tal modo, paga un sovrapprezzo (interessi) per assumere il denaro a prestito. Il netto ricavo delle operazioni viene redistribuito tra i partecipanti.</w:t>
      </w:r>
    </w:p>
    <w:p w14:paraId="320F3855" w14:textId="77777777" w:rsidR="00F83AF6" w:rsidRPr="00094C6D" w:rsidRDefault="00F83AF6" w:rsidP="00F83AF6">
      <w:pPr>
        <w:pStyle w:val="Paragrafoelenco"/>
        <w:tabs>
          <w:tab w:val="left" w:pos="8380"/>
        </w:tabs>
        <w:spacing w:line="360" w:lineRule="auto"/>
        <w:ind w:left="426" w:hanging="426"/>
        <w:jc w:val="both"/>
        <w:rPr>
          <w:rFonts w:ascii="Arial" w:hAnsi="Arial" w:cs="Arial"/>
          <w:iCs/>
          <w:sz w:val="24"/>
          <w:szCs w:val="24"/>
        </w:rPr>
      </w:pPr>
    </w:p>
    <w:p w14:paraId="0CF0D240" w14:textId="212A7142"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Mentre le ROSCA rappresentano comitati (cd. club) di risparmio costituiti da individui legati da rapporti di amicizia, vicinato o lavoro, che a turno beneficiano degli importi </w:t>
      </w:r>
      <w:r w:rsidR="00A56994" w:rsidRPr="00094C6D">
        <w:rPr>
          <w:rFonts w:ascii="Arial" w:hAnsi="Arial" w:cs="Arial"/>
          <w:iCs/>
          <w:sz w:val="24"/>
          <w:szCs w:val="24"/>
        </w:rPr>
        <w:t>raccolti,</w:t>
      </w:r>
      <w:r w:rsidRPr="00094C6D">
        <w:rPr>
          <w:rFonts w:ascii="Arial" w:hAnsi="Arial" w:cs="Arial"/>
          <w:iCs/>
          <w:sz w:val="24"/>
          <w:szCs w:val="24"/>
        </w:rPr>
        <w:t xml:space="preserve"> nelle ASCA il risparmio è accumulato fino a un termine prestabilito per poi essere restituito agli associati maggiorato dalle eventuali quote di utile maturate dal fondo mediante la gestione dell’attività di credito (Provenzano, 2012), salvo la determinazione di far proseguire le raccolte individuando un nuovo termine per la distribuzione dei capitali.</w:t>
      </w:r>
    </w:p>
    <w:p w14:paraId="0DBE8BAA" w14:textId="7DE6CC01"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Per la loro natura e finalità, le ASCA richiedono una gestione più complessa rispetto alle ROSCA, in considerazione dell’impiego dei fondi ai fini della proficua </w:t>
      </w:r>
      <w:r w:rsidR="00A56994" w:rsidRPr="00094C6D">
        <w:rPr>
          <w:rFonts w:ascii="Arial" w:hAnsi="Arial" w:cs="Arial"/>
          <w:iCs/>
          <w:sz w:val="24"/>
          <w:szCs w:val="24"/>
        </w:rPr>
        <w:t>redditività.</w:t>
      </w:r>
    </w:p>
    <w:p w14:paraId="6200A4E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Di seguito, si riportano i nomi dei </w:t>
      </w:r>
      <w:r w:rsidRPr="00CC426F">
        <w:rPr>
          <w:rFonts w:ascii="Arial" w:hAnsi="Arial" w:cs="Arial"/>
          <w:i/>
          <w:sz w:val="24"/>
          <w:szCs w:val="24"/>
        </w:rPr>
        <w:t>club saving</w:t>
      </w:r>
      <w:r w:rsidRPr="00094C6D">
        <w:rPr>
          <w:rFonts w:ascii="Arial" w:hAnsi="Arial" w:cs="Arial"/>
          <w:iCs/>
          <w:sz w:val="24"/>
          <w:szCs w:val="24"/>
        </w:rPr>
        <w:t xml:space="preserve"> nei continenti ove gli stessi sono più diffuse:</w:t>
      </w:r>
    </w:p>
    <w:p w14:paraId="4DC29824" w14:textId="77777777" w:rsidR="00F83AF6" w:rsidRDefault="00F83AF6" w:rsidP="00F83AF6">
      <w:pPr>
        <w:pStyle w:val="Paragrafoelenco"/>
        <w:tabs>
          <w:tab w:val="left" w:pos="8380"/>
        </w:tabs>
        <w:spacing w:line="360" w:lineRule="auto"/>
        <w:ind w:left="0"/>
        <w:jc w:val="both"/>
        <w:rPr>
          <w:rFonts w:ascii="Arial" w:hAnsi="Arial" w:cs="Arial"/>
          <w:iCs/>
          <w:sz w:val="24"/>
          <w:szCs w:val="24"/>
        </w:rPr>
      </w:pPr>
    </w:p>
    <w:p w14:paraId="3D538AB3" w14:textId="77777777" w:rsidR="00F83AF6" w:rsidRDefault="00F83AF6" w:rsidP="00F83AF6">
      <w:pPr>
        <w:pStyle w:val="Paragrafoelenco"/>
        <w:tabs>
          <w:tab w:val="left" w:pos="8380"/>
        </w:tabs>
        <w:spacing w:line="360" w:lineRule="auto"/>
        <w:ind w:left="0"/>
        <w:jc w:val="both"/>
        <w:rPr>
          <w:rFonts w:ascii="Arial" w:hAnsi="Arial" w:cs="Arial"/>
          <w:iCs/>
          <w:sz w:val="24"/>
          <w:szCs w:val="24"/>
        </w:rPr>
      </w:pPr>
    </w:p>
    <w:p w14:paraId="48FCC4E7" w14:textId="77777777" w:rsidR="00F83AF6" w:rsidRDefault="00F83AF6" w:rsidP="00F83AF6">
      <w:pPr>
        <w:pStyle w:val="Paragrafoelenco"/>
        <w:tabs>
          <w:tab w:val="left" w:pos="8380"/>
        </w:tabs>
        <w:spacing w:line="360" w:lineRule="auto"/>
        <w:ind w:left="0"/>
        <w:jc w:val="both"/>
        <w:rPr>
          <w:rFonts w:ascii="Arial" w:hAnsi="Arial" w:cs="Arial"/>
          <w:iCs/>
          <w:sz w:val="24"/>
          <w:szCs w:val="24"/>
        </w:rPr>
      </w:pPr>
    </w:p>
    <w:p w14:paraId="241A9D86" w14:textId="77777777" w:rsidR="00F83AF6" w:rsidRPr="0047107B" w:rsidRDefault="00F83AF6" w:rsidP="00F83AF6">
      <w:pPr>
        <w:pStyle w:val="Paragrafoelenco"/>
        <w:tabs>
          <w:tab w:val="left" w:pos="8380"/>
        </w:tabs>
        <w:spacing w:line="360" w:lineRule="auto"/>
        <w:ind w:left="0"/>
        <w:jc w:val="both"/>
        <w:rPr>
          <w:rFonts w:ascii="Arial" w:hAnsi="Arial" w:cs="Arial"/>
          <w:b/>
          <w:bCs/>
          <w:iCs/>
          <w:sz w:val="24"/>
          <w:szCs w:val="24"/>
        </w:rPr>
      </w:pPr>
      <w:r w:rsidRPr="0047107B">
        <w:rPr>
          <w:rFonts w:ascii="Arial" w:hAnsi="Arial" w:cs="Arial"/>
          <w:b/>
          <w:bCs/>
          <w:iCs/>
          <w:sz w:val="24"/>
          <w:szCs w:val="24"/>
        </w:rPr>
        <w:lastRenderedPageBreak/>
        <w:t>AFRICA</w:t>
      </w:r>
    </w:p>
    <w:p w14:paraId="2C19DBB9"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p>
    <w:p w14:paraId="770F0AF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Benin: Asusu, Yissirou, Ndjonu, Gbé-Egbè, Tontine;</w:t>
      </w:r>
    </w:p>
    <w:p w14:paraId="17249FDE"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Botswana: Motshelo;</w:t>
      </w:r>
    </w:p>
    <w:p w14:paraId="7315BE1E"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Burkina Faso: Tontine, Tibissiligbi, Pari, Song-taaba;</w:t>
      </w:r>
    </w:p>
    <w:p w14:paraId="242B8720"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Burundi: Upato (in swahili);</w:t>
      </w:r>
    </w:p>
    <w:p w14:paraId="34EBA4C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Camerun: Jangi, Ujangi, Djana, Mandjon, Djapa, Tontine, Djanggi, Njanggi, Ngwa, Ntchwa;</w:t>
      </w:r>
    </w:p>
    <w:p w14:paraId="4F1D2B1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Egitto: Gameya, Jam'iyya;</w:t>
      </w:r>
    </w:p>
    <w:p w14:paraId="2D0A6E5E"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Etiopia: Ekub, Ikub:</w:t>
      </w:r>
    </w:p>
    <w:p w14:paraId="0438C64C"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Gabon: Bandoi;</w:t>
      </w:r>
    </w:p>
    <w:p w14:paraId="111C034A"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Gambia: Osusu, Esusu, Compin;</w:t>
      </w:r>
    </w:p>
    <w:p w14:paraId="7AB6F1C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Ghana: Susu, Nanamei akpee, Onitsha, Nnoboa:</w:t>
      </w:r>
    </w:p>
    <w:p w14:paraId="5765DBC5"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Costa d'Avorio: Tonton, Tontine, Moni, Diaou Moni, War Moni, Djigi Moni, Safina, Akpole wule, Susu, Aposumbo, Kukule, a tche le sezu, Komite, n'detie, m'bgli sika, Monu;</w:t>
      </w:r>
    </w:p>
    <w:p w14:paraId="79AD003C"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Kenya: Mabati, Nyakinyua, Itega;</w:t>
      </w:r>
    </w:p>
    <w:p w14:paraId="7CEEFEAC" w14:textId="1AC14F60" w:rsidR="00F83AF6" w:rsidRPr="00094C6D" w:rsidRDefault="00A56994"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Liberia:</w:t>
      </w:r>
      <w:r w:rsidR="00F83AF6" w:rsidRPr="00094C6D">
        <w:rPr>
          <w:rFonts w:ascii="Arial" w:hAnsi="Arial" w:cs="Arial"/>
          <w:iCs/>
          <w:sz w:val="24"/>
          <w:szCs w:val="24"/>
        </w:rPr>
        <w:t xml:space="preserve"> Esusu, Susu, Sau;</w:t>
      </w:r>
    </w:p>
    <w:p w14:paraId="77ACF681" w14:textId="54C44D68" w:rsidR="00F83AF6" w:rsidRPr="00094C6D" w:rsidRDefault="00A56994"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Madagascar:</w:t>
      </w:r>
      <w:r w:rsidR="00F83AF6" w:rsidRPr="00094C6D">
        <w:rPr>
          <w:rFonts w:ascii="Arial" w:hAnsi="Arial" w:cs="Arial"/>
          <w:iCs/>
          <w:sz w:val="24"/>
          <w:szCs w:val="24"/>
        </w:rPr>
        <w:t xml:space="preserve"> Fokontany Global Voices;</w:t>
      </w:r>
    </w:p>
    <w:p w14:paraId="4179B3F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Mali: Pari;</w:t>
      </w:r>
    </w:p>
    <w:p w14:paraId="74F9E35E"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Mozambico: Upato, Xitique;</w:t>
      </w:r>
    </w:p>
    <w:p w14:paraId="319488C8"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Niger: Adasse, Tomtine, Asusu;</w:t>
      </w:r>
    </w:p>
    <w:p w14:paraId="2A502F68"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Nigeria: Esusu, Osusu, Enusu, Ajo (Yoruba), Cha (Ibo), Oha, Oja, Adashi (Haussa, Tiv), Bam (Tiv), Isusu (Ot), Utu (Ibo), Dashi (Nupe), Efe (Ibibios), Oku (Kalabari Ijawas), Mitiri, Compiri, Club (Ibo);</w:t>
      </w:r>
    </w:p>
    <w:p w14:paraId="61377EF2"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Congo: Temo, Kitemo, Ikilemba, Kikedimba, Kikirimbahu, Likilimba, Efongo Eambongo, Otabaka, Ekori, Otabi;</w:t>
      </w:r>
    </w:p>
    <w:p w14:paraId="290E05C6"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Senegal: Tontine, Nath;</w:t>
      </w:r>
    </w:p>
    <w:p w14:paraId="1A003A13"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Sierra Leone: Asusu, Esusu;</w:t>
      </w:r>
    </w:p>
    <w:p w14:paraId="15C0A6C6"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Somalia: Haghad, Shaloongo;</w:t>
      </w:r>
    </w:p>
    <w:p w14:paraId="1ACAB26E"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Sudafrica: Chita, Chitu, Stokfel, Stockfair, Mahodisana, Motshelo, Umangelo;</w:t>
      </w:r>
    </w:p>
    <w:p w14:paraId="6D2BD7C9"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Sudan: Khatta, Sanduk, Sandook Box;</w:t>
      </w:r>
    </w:p>
    <w:p w14:paraId="4602323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Swaziland: Stokfel;</w:t>
      </w:r>
    </w:p>
    <w:p w14:paraId="5D4CDC3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Tanzania: Upato, Fongongo;</w:t>
      </w:r>
    </w:p>
    <w:p w14:paraId="68A91653"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Tchad: Pare;</w:t>
      </w:r>
    </w:p>
    <w:p w14:paraId="39CA6105"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Togo: Soo, Tonton, Sodzodzo, Sodyodyo, Abo;</w:t>
      </w:r>
    </w:p>
    <w:p w14:paraId="23F8C1C1"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Tunisia: Noufi, Sanduk;</w:t>
      </w:r>
    </w:p>
    <w:p w14:paraId="192DC0CA"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lastRenderedPageBreak/>
        <w:t>Uganda: Chilemba, Kiremba, Upato, Kwegatta;</w:t>
      </w:r>
    </w:p>
    <w:p w14:paraId="0B49B74A"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Zaire: Ikelemba, Osassa, Bandoi, Kitemo, Kitwadi, Adashi, Tontine, Bandal;</w:t>
      </w:r>
    </w:p>
    <w:p w14:paraId="26094450"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Zambia: Icilimba, Upato, Chilenba;</w:t>
      </w:r>
    </w:p>
    <w:p w14:paraId="4C8E6DE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Zimbabwe: Chimba, Stockfair, Kutrera.</w:t>
      </w:r>
    </w:p>
    <w:p w14:paraId="0F1B23A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p>
    <w:p w14:paraId="1F331390" w14:textId="77777777" w:rsidR="00F83AF6" w:rsidRPr="00BF2ED7" w:rsidRDefault="00F83AF6" w:rsidP="00F83AF6">
      <w:pPr>
        <w:pStyle w:val="Paragrafoelenco"/>
        <w:tabs>
          <w:tab w:val="left" w:pos="8380"/>
        </w:tabs>
        <w:spacing w:line="360" w:lineRule="auto"/>
        <w:ind w:left="0"/>
        <w:jc w:val="both"/>
        <w:rPr>
          <w:rFonts w:ascii="Arial" w:hAnsi="Arial" w:cs="Arial"/>
          <w:b/>
          <w:bCs/>
          <w:iCs/>
          <w:sz w:val="24"/>
          <w:szCs w:val="24"/>
          <w:lang w:val="en-US"/>
        </w:rPr>
      </w:pPr>
      <w:r w:rsidRPr="00BF2ED7">
        <w:rPr>
          <w:rFonts w:ascii="Arial" w:hAnsi="Arial" w:cs="Arial"/>
          <w:b/>
          <w:bCs/>
          <w:iCs/>
          <w:sz w:val="24"/>
          <w:szCs w:val="24"/>
          <w:lang w:val="en-US"/>
        </w:rPr>
        <w:t>ASIA</w:t>
      </w:r>
    </w:p>
    <w:p w14:paraId="05822BA5" w14:textId="77777777" w:rsidR="00F83AF6" w:rsidRPr="00BF2ED7" w:rsidRDefault="00F83AF6" w:rsidP="00F83AF6">
      <w:pPr>
        <w:pStyle w:val="Paragrafoelenco"/>
        <w:tabs>
          <w:tab w:val="left" w:pos="8380"/>
        </w:tabs>
        <w:spacing w:line="360" w:lineRule="auto"/>
        <w:ind w:left="0"/>
        <w:jc w:val="both"/>
        <w:rPr>
          <w:rFonts w:ascii="Arial" w:hAnsi="Arial" w:cs="Arial"/>
          <w:iCs/>
          <w:sz w:val="24"/>
          <w:szCs w:val="24"/>
          <w:lang w:val="en-US"/>
        </w:rPr>
      </w:pPr>
    </w:p>
    <w:p w14:paraId="6DD1127C" w14:textId="6FBB9178" w:rsidR="00F83AF6" w:rsidRPr="00BF2ED7" w:rsidRDefault="00F83AF6" w:rsidP="00F83AF6">
      <w:pPr>
        <w:pStyle w:val="Paragrafoelenco"/>
        <w:tabs>
          <w:tab w:val="left" w:pos="8380"/>
        </w:tabs>
        <w:spacing w:line="360" w:lineRule="auto"/>
        <w:ind w:left="0"/>
        <w:jc w:val="both"/>
        <w:rPr>
          <w:rFonts w:ascii="Arial" w:hAnsi="Arial" w:cs="Arial"/>
          <w:iCs/>
          <w:sz w:val="24"/>
          <w:szCs w:val="24"/>
          <w:lang w:val="en-US"/>
        </w:rPr>
      </w:pPr>
      <w:r w:rsidRPr="00BF2ED7">
        <w:rPr>
          <w:rFonts w:ascii="Arial" w:hAnsi="Arial" w:cs="Arial"/>
          <w:iCs/>
          <w:sz w:val="24"/>
          <w:szCs w:val="24"/>
          <w:lang w:val="en-US"/>
        </w:rPr>
        <w:t xml:space="preserve">Bangladesh: </w:t>
      </w:r>
      <w:r w:rsidR="00A56994" w:rsidRPr="00BF2ED7">
        <w:rPr>
          <w:rFonts w:ascii="Arial" w:hAnsi="Arial" w:cs="Arial"/>
          <w:iCs/>
          <w:sz w:val="24"/>
          <w:szCs w:val="24"/>
          <w:lang w:val="en-US"/>
        </w:rPr>
        <w:t>Samity</w:t>
      </w:r>
      <w:r w:rsidR="00A56994">
        <w:rPr>
          <w:rFonts w:ascii="Arial" w:hAnsi="Arial" w:cs="Arial"/>
          <w:iCs/>
          <w:sz w:val="24"/>
          <w:szCs w:val="24"/>
          <w:lang w:val="en-US"/>
        </w:rPr>
        <w:t>;</w:t>
      </w:r>
    </w:p>
    <w:p w14:paraId="08BF0C12" w14:textId="77777777" w:rsidR="00F83AF6" w:rsidRPr="00BF2ED7" w:rsidRDefault="00F83AF6" w:rsidP="00F83AF6">
      <w:pPr>
        <w:pStyle w:val="Paragrafoelenco"/>
        <w:tabs>
          <w:tab w:val="left" w:pos="8380"/>
        </w:tabs>
        <w:spacing w:line="360" w:lineRule="auto"/>
        <w:ind w:left="0"/>
        <w:jc w:val="both"/>
        <w:rPr>
          <w:rFonts w:ascii="Arial" w:hAnsi="Arial" w:cs="Arial"/>
          <w:iCs/>
          <w:sz w:val="24"/>
          <w:szCs w:val="24"/>
          <w:lang w:val="en-US"/>
        </w:rPr>
      </w:pPr>
      <w:r w:rsidRPr="00BF2ED7">
        <w:rPr>
          <w:rFonts w:ascii="Arial" w:hAnsi="Arial" w:cs="Arial"/>
          <w:iCs/>
          <w:sz w:val="24"/>
          <w:szCs w:val="24"/>
          <w:lang w:val="en-US"/>
        </w:rPr>
        <w:t>Cambogia: Tontine;</w:t>
      </w:r>
    </w:p>
    <w:p w14:paraId="243ECD1B"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Cina: Lun-Hui, Yao-Hui, Piao-Hui, Bone, Ho-hui, Foei-Tsjing;</w:t>
      </w:r>
    </w:p>
    <w:p w14:paraId="184F51FD" w14:textId="26C1CBAA"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Hong </w:t>
      </w:r>
      <w:r w:rsidR="00A56994" w:rsidRPr="00094C6D">
        <w:rPr>
          <w:rFonts w:ascii="Arial" w:hAnsi="Arial" w:cs="Arial"/>
          <w:iCs/>
          <w:sz w:val="24"/>
          <w:szCs w:val="24"/>
        </w:rPr>
        <w:t>Kong:</w:t>
      </w:r>
      <w:r w:rsidRPr="00094C6D">
        <w:rPr>
          <w:rFonts w:ascii="Arial" w:hAnsi="Arial" w:cs="Arial"/>
          <w:iCs/>
          <w:sz w:val="24"/>
          <w:szCs w:val="24"/>
        </w:rPr>
        <w:t xml:space="preserve"> tipi cinesi e Chit club;</w:t>
      </w:r>
    </w:p>
    <w:p w14:paraId="36090DD5" w14:textId="7267E733" w:rsidR="00F83AF6" w:rsidRPr="00094C6D" w:rsidRDefault="00A56994"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India:</w:t>
      </w:r>
      <w:r w:rsidR="00F83AF6" w:rsidRPr="00094C6D">
        <w:rPr>
          <w:rFonts w:ascii="Arial" w:hAnsi="Arial" w:cs="Arial"/>
          <w:iCs/>
          <w:sz w:val="24"/>
          <w:szCs w:val="24"/>
        </w:rPr>
        <w:t xml:space="preserve"> Kameti, Kuri, Chitty, Chit funds, Vishi, Bishi, Nidhi;</w:t>
      </w:r>
    </w:p>
    <w:p w14:paraId="146483B1"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Indonesia: Arisan, Mapalus, Bajulo julo, Jula-jula, Mengandelek;</w:t>
      </w:r>
    </w:p>
    <w:p w14:paraId="6F1CD292"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Giappone : Ko, Kou, Miyin, Mujin, Musin, Tanamoshi;</w:t>
      </w:r>
    </w:p>
    <w:p w14:paraId="3FC730DD"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Corea: Keyes, Kyes, Mujin, Ke;</w:t>
      </w:r>
    </w:p>
    <w:p w14:paraId="57AA51A5"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Libano: Al-tawfir il medawar;</w:t>
      </w:r>
    </w:p>
    <w:p w14:paraId="3C0B0C18" w14:textId="601D98EC" w:rsidR="00F83AF6" w:rsidRPr="00094C6D" w:rsidRDefault="00A56994"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Malesia:</w:t>
      </w:r>
      <w:r w:rsidR="00F83AF6" w:rsidRPr="00094C6D">
        <w:rPr>
          <w:rFonts w:ascii="Arial" w:hAnsi="Arial" w:cs="Arial"/>
          <w:iCs/>
          <w:sz w:val="24"/>
          <w:szCs w:val="24"/>
        </w:rPr>
        <w:t xml:space="preserve"> Kutu, Kootu, Kongsi, Tontine, Hui, Main, Kut;</w:t>
      </w:r>
    </w:p>
    <w:p w14:paraId="0EDBD6CE" w14:textId="604D1DA5" w:rsidR="00F83AF6" w:rsidRPr="00094C6D" w:rsidRDefault="00A56994"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Nepal:</w:t>
      </w:r>
      <w:r w:rsidR="00F83AF6" w:rsidRPr="00094C6D">
        <w:rPr>
          <w:rFonts w:ascii="Arial" w:hAnsi="Arial" w:cs="Arial"/>
          <w:iCs/>
          <w:sz w:val="24"/>
          <w:szCs w:val="24"/>
        </w:rPr>
        <w:t xml:space="preserve"> Dhikur, Dhituti;</w:t>
      </w:r>
    </w:p>
    <w:p w14:paraId="22CC4766"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Pakistan: Bisi, Kistuna;</w:t>
      </w:r>
    </w:p>
    <w:p w14:paraId="11DBCE21" w14:textId="3C07BA44"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Papua Nuova </w:t>
      </w:r>
      <w:r w:rsidR="00A56994" w:rsidRPr="00094C6D">
        <w:rPr>
          <w:rFonts w:ascii="Arial" w:hAnsi="Arial" w:cs="Arial"/>
          <w:iCs/>
          <w:sz w:val="24"/>
          <w:szCs w:val="24"/>
        </w:rPr>
        <w:t>Guinea:</w:t>
      </w:r>
      <w:r w:rsidRPr="00094C6D">
        <w:rPr>
          <w:rFonts w:ascii="Arial" w:hAnsi="Arial" w:cs="Arial"/>
          <w:iCs/>
          <w:sz w:val="24"/>
          <w:szCs w:val="24"/>
        </w:rPr>
        <w:t xml:space="preserve"> Hui, Sande;</w:t>
      </w:r>
    </w:p>
    <w:p w14:paraId="387F72B3"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Filippine: Paluwagan, Turnohan;</w:t>
      </w:r>
    </w:p>
    <w:p w14:paraId="0C600509"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Singapore: Tontine; </w:t>
      </w:r>
    </w:p>
    <w:p w14:paraId="5AADF319" w14:textId="77777777" w:rsidR="00F83AF6" w:rsidRPr="003F69D3"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Sri Lanka: Chit Funds, Cheetu/Sheetu, Sittu Danawa, Situ Mudal, Sittu Wendesiya;</w:t>
      </w:r>
      <w:r w:rsidRPr="003F69D3">
        <w:rPr>
          <w:rFonts w:ascii="Arial" w:hAnsi="Arial" w:cs="Arial"/>
          <w:iCs/>
          <w:sz w:val="24"/>
          <w:szCs w:val="24"/>
        </w:rPr>
        <w:t>Taiwan: Hui;</w:t>
      </w:r>
    </w:p>
    <w:p w14:paraId="5E53F533"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Thailandia: Chaer, Hui, Hue, Huey, Len Chaer;</w:t>
      </w:r>
    </w:p>
    <w:p w14:paraId="55F28DAD"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Vietnam: Hui, Hui Thao, Hui hue hong, Hui bac (ho), Yi hui;</w:t>
      </w:r>
    </w:p>
    <w:p w14:paraId="5532121E"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Yemen: Hajba</w:t>
      </w:r>
      <w:r>
        <w:rPr>
          <w:rFonts w:ascii="Arial" w:hAnsi="Arial" w:cs="Arial"/>
          <w:iCs/>
          <w:sz w:val="24"/>
          <w:szCs w:val="24"/>
        </w:rPr>
        <w:t>.</w:t>
      </w:r>
    </w:p>
    <w:p w14:paraId="7CEDF4CB"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p>
    <w:p w14:paraId="4FD4FF2A" w14:textId="77777777" w:rsidR="00F83AF6" w:rsidRPr="0047107B" w:rsidRDefault="00F83AF6" w:rsidP="00F83AF6">
      <w:pPr>
        <w:pStyle w:val="Paragrafoelenco"/>
        <w:tabs>
          <w:tab w:val="left" w:pos="8380"/>
        </w:tabs>
        <w:spacing w:line="360" w:lineRule="auto"/>
        <w:ind w:left="0"/>
        <w:jc w:val="both"/>
        <w:rPr>
          <w:rFonts w:ascii="Arial" w:hAnsi="Arial" w:cs="Arial"/>
          <w:b/>
          <w:bCs/>
          <w:iCs/>
          <w:sz w:val="24"/>
          <w:szCs w:val="24"/>
        </w:rPr>
      </w:pPr>
      <w:r w:rsidRPr="0047107B">
        <w:rPr>
          <w:rFonts w:ascii="Arial" w:hAnsi="Arial" w:cs="Arial"/>
          <w:b/>
          <w:bCs/>
          <w:iCs/>
          <w:sz w:val="24"/>
          <w:szCs w:val="24"/>
        </w:rPr>
        <w:t xml:space="preserve">AMERICA LATINA, CARAIBI E PACIFICI </w:t>
      </w:r>
    </w:p>
    <w:p w14:paraId="394DCBFE" w14:textId="77777777" w:rsidR="00F83AF6" w:rsidRPr="009E6891" w:rsidRDefault="00F83AF6" w:rsidP="00F83AF6">
      <w:pPr>
        <w:pStyle w:val="Paragrafoelenco"/>
        <w:tabs>
          <w:tab w:val="left" w:pos="8380"/>
        </w:tabs>
        <w:spacing w:line="360" w:lineRule="auto"/>
        <w:ind w:left="0"/>
        <w:jc w:val="both"/>
        <w:rPr>
          <w:rFonts w:ascii="Arial" w:hAnsi="Arial" w:cs="Arial"/>
          <w:iCs/>
          <w:sz w:val="24"/>
          <w:szCs w:val="24"/>
        </w:rPr>
      </w:pPr>
    </w:p>
    <w:p w14:paraId="7897B20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Bahamas: Esu;</w:t>
      </w:r>
    </w:p>
    <w:p w14:paraId="6E959FD1"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Barbados: Meetings;</w:t>
      </w:r>
    </w:p>
    <w:p w14:paraId="7D20F6B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Belize: Syndicate, Tanda;</w:t>
      </w:r>
    </w:p>
    <w:p w14:paraId="74A5593D"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Bolivia: Pasanacu;</w:t>
      </w:r>
    </w:p>
    <w:p w14:paraId="065D7120"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Brasile: Consorcio, Pandero;</w:t>
      </w:r>
    </w:p>
    <w:p w14:paraId="49C984C2"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lastRenderedPageBreak/>
        <w:t>Repubblica Dominicana: San;</w:t>
      </w:r>
    </w:p>
    <w:p w14:paraId="52F6DFCA"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Guatemala: Cuchubal, Cuchuval;</w:t>
      </w:r>
    </w:p>
    <w:p w14:paraId="63F43600"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Guyana: Throw a box, Boxi money;</w:t>
      </w:r>
    </w:p>
    <w:p w14:paraId="2AC8943D"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lang w:val="en-US"/>
        </w:rPr>
      </w:pPr>
      <w:r w:rsidRPr="00094C6D">
        <w:rPr>
          <w:rFonts w:ascii="Arial" w:hAnsi="Arial" w:cs="Arial"/>
          <w:iCs/>
          <w:sz w:val="24"/>
          <w:szCs w:val="24"/>
          <w:lang w:val="en-US"/>
        </w:rPr>
        <w:t>Giamaica: Partners, (Throw a) Box, Susu;</w:t>
      </w:r>
    </w:p>
    <w:p w14:paraId="6BEBB3C3"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Mauritius: Pool, Cycle, Sheet;</w:t>
      </w:r>
    </w:p>
    <w:p w14:paraId="4C5C243E"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Messico: Tanda, Cundina, Mutualista;</w:t>
      </w:r>
    </w:p>
    <w:p w14:paraId="05E747A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Panama: Pandero;</w:t>
      </w:r>
    </w:p>
    <w:p w14:paraId="14B47F1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Perù: Pandero;</w:t>
      </w:r>
    </w:p>
    <w:p w14:paraId="6B7BD896"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Suriname: Kasmonie;</w:t>
      </w:r>
    </w:p>
    <w:p w14:paraId="0930E6C9"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Tobago: Susu;</w:t>
      </w:r>
    </w:p>
    <w:p w14:paraId="34125CE6"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Trinidad: (E)Susu, On, Hui, Chitty</w:t>
      </w:r>
    </w:p>
    <w:p w14:paraId="3F82C004"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Indie Occidentali: Susu;</w:t>
      </w:r>
    </w:p>
    <w:p w14:paraId="160D38D7" w14:textId="77777777"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Samoa Occidentali: Pelagolagomai.</w:t>
      </w:r>
    </w:p>
    <w:p w14:paraId="144A4C5A" w14:textId="77777777" w:rsidR="00F83AF6" w:rsidRPr="00094C6D" w:rsidRDefault="00F83AF6" w:rsidP="00F83AF6">
      <w:pPr>
        <w:pStyle w:val="Paragrafoelenco"/>
        <w:tabs>
          <w:tab w:val="left" w:pos="8380"/>
        </w:tabs>
        <w:spacing w:line="360" w:lineRule="auto"/>
        <w:ind w:left="0" w:hanging="142"/>
        <w:jc w:val="both"/>
        <w:rPr>
          <w:rFonts w:ascii="Arial" w:hAnsi="Arial" w:cs="Arial"/>
          <w:iCs/>
          <w:sz w:val="24"/>
          <w:szCs w:val="24"/>
        </w:rPr>
      </w:pPr>
    </w:p>
    <w:p w14:paraId="015FCDAC" w14:textId="78850781" w:rsidR="00F83AF6" w:rsidRPr="00094C6D" w:rsidRDefault="00F83AF6" w:rsidP="00F83AF6">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Sempre con riferimento ai sistemi dell’informalità finanziaria, si evidenziano gli scambi non </w:t>
      </w:r>
      <w:r w:rsidR="00A56994" w:rsidRPr="00094C6D">
        <w:rPr>
          <w:rFonts w:ascii="Arial" w:hAnsi="Arial" w:cs="Arial"/>
          <w:iCs/>
          <w:sz w:val="24"/>
          <w:szCs w:val="24"/>
        </w:rPr>
        <w:t>monetari,</w:t>
      </w:r>
      <w:r w:rsidRPr="00094C6D">
        <w:rPr>
          <w:rFonts w:ascii="Arial" w:hAnsi="Arial" w:cs="Arial"/>
          <w:iCs/>
          <w:sz w:val="24"/>
          <w:szCs w:val="24"/>
        </w:rPr>
        <w:t xml:space="preserve"> non solo nei paesi del Sud del mondo ma anche in quelli post-industrializzati.</w:t>
      </w:r>
    </w:p>
    <w:p w14:paraId="53620312" w14:textId="77777777" w:rsidR="00F83AF6" w:rsidRDefault="00F83AF6" w:rsidP="00F83AF6">
      <w:pPr>
        <w:pStyle w:val="Paragrafoelenco"/>
        <w:tabs>
          <w:tab w:val="left" w:pos="567"/>
          <w:tab w:val="left" w:pos="8380"/>
        </w:tabs>
        <w:spacing w:line="360" w:lineRule="auto"/>
        <w:ind w:left="0"/>
        <w:jc w:val="both"/>
        <w:rPr>
          <w:rFonts w:ascii="Arial" w:hAnsi="Arial" w:cs="Arial"/>
          <w:iCs/>
          <w:sz w:val="24"/>
          <w:szCs w:val="24"/>
        </w:rPr>
      </w:pPr>
      <w:r w:rsidRPr="00094C6D">
        <w:rPr>
          <w:rFonts w:ascii="Arial" w:hAnsi="Arial" w:cs="Arial"/>
          <w:iCs/>
          <w:sz w:val="24"/>
          <w:szCs w:val="24"/>
        </w:rPr>
        <w:t>Questi sistemi condividono la tesi che le economie</w:t>
      </w:r>
      <w:r>
        <w:rPr>
          <w:rFonts w:ascii="Arial" w:hAnsi="Arial" w:cs="Arial"/>
          <w:iCs/>
          <w:sz w:val="24"/>
          <w:szCs w:val="24"/>
        </w:rPr>
        <w:t>,</w:t>
      </w:r>
      <w:r w:rsidRPr="00094C6D">
        <w:rPr>
          <w:rFonts w:ascii="Arial" w:hAnsi="Arial" w:cs="Arial"/>
          <w:iCs/>
          <w:sz w:val="24"/>
          <w:szCs w:val="24"/>
        </w:rPr>
        <w:t xml:space="preserve"> private dal denaro</w:t>
      </w:r>
      <w:r>
        <w:rPr>
          <w:rFonts w:ascii="Arial" w:hAnsi="Arial" w:cs="Arial"/>
          <w:iCs/>
          <w:sz w:val="24"/>
          <w:szCs w:val="24"/>
        </w:rPr>
        <w:t>,</w:t>
      </w:r>
      <w:r w:rsidRPr="00094C6D">
        <w:rPr>
          <w:rFonts w:ascii="Arial" w:hAnsi="Arial" w:cs="Arial"/>
          <w:iCs/>
          <w:sz w:val="24"/>
          <w:szCs w:val="24"/>
        </w:rPr>
        <w:t xml:space="preserve"> sviluppano fiducia attraverso elementi </w:t>
      </w:r>
      <w:r>
        <w:rPr>
          <w:rFonts w:ascii="Arial" w:hAnsi="Arial" w:cs="Arial"/>
          <w:iCs/>
          <w:sz w:val="24"/>
          <w:szCs w:val="24"/>
        </w:rPr>
        <w:t xml:space="preserve">integrativi </w:t>
      </w:r>
      <w:r w:rsidRPr="00094C6D">
        <w:rPr>
          <w:rFonts w:ascii="Arial" w:hAnsi="Arial" w:cs="Arial"/>
          <w:iCs/>
          <w:sz w:val="24"/>
          <w:szCs w:val="24"/>
        </w:rPr>
        <w:t>che non sono valorizzati dalla teoria economica classica, quali i rapporti umani, la reciprocità, la generosità e l’altruismo.</w:t>
      </w:r>
    </w:p>
    <w:p w14:paraId="721C9D3B" w14:textId="77DBA336" w:rsidR="00F83AF6" w:rsidRDefault="00F83AF6" w:rsidP="00F83AF6">
      <w:pPr>
        <w:pStyle w:val="Paragrafoelenco"/>
        <w:tabs>
          <w:tab w:val="left" w:pos="567"/>
          <w:tab w:val="left" w:pos="8380"/>
        </w:tabs>
        <w:spacing w:line="360" w:lineRule="auto"/>
        <w:ind w:left="0"/>
        <w:jc w:val="both"/>
        <w:rPr>
          <w:rFonts w:ascii="Arial" w:hAnsi="Arial" w:cs="Arial"/>
          <w:iCs/>
          <w:sz w:val="24"/>
          <w:szCs w:val="24"/>
        </w:rPr>
      </w:pPr>
      <w:r>
        <w:rPr>
          <w:rFonts w:ascii="Arial" w:hAnsi="Arial" w:cs="Arial"/>
          <w:iCs/>
          <w:sz w:val="24"/>
          <w:szCs w:val="24"/>
        </w:rPr>
        <w:t>Con l’apporto dell’integrazione</w:t>
      </w:r>
      <w:r w:rsidRPr="00094C6D">
        <w:rPr>
          <w:rFonts w:ascii="Arial" w:hAnsi="Arial" w:cs="Arial"/>
          <w:iCs/>
          <w:sz w:val="24"/>
          <w:szCs w:val="24"/>
        </w:rPr>
        <w:t xml:space="preserve">, la realtà </w:t>
      </w:r>
      <w:r>
        <w:rPr>
          <w:rFonts w:ascii="Arial" w:hAnsi="Arial" w:cs="Arial"/>
          <w:iCs/>
          <w:sz w:val="24"/>
          <w:szCs w:val="24"/>
        </w:rPr>
        <w:t>trova il supporto dei</w:t>
      </w:r>
      <w:r w:rsidRPr="00094C6D">
        <w:rPr>
          <w:rFonts w:ascii="Arial" w:hAnsi="Arial" w:cs="Arial"/>
          <w:iCs/>
          <w:sz w:val="24"/>
          <w:szCs w:val="24"/>
        </w:rPr>
        <w:t xml:space="preserve"> fondamenti antropologici dell’economia e dei suoi presupposti, secondo i quali le persone</w:t>
      </w:r>
      <w:r>
        <w:rPr>
          <w:rFonts w:ascii="Arial" w:hAnsi="Arial" w:cs="Arial"/>
          <w:iCs/>
          <w:sz w:val="24"/>
          <w:szCs w:val="24"/>
        </w:rPr>
        <w:t xml:space="preserve">, </w:t>
      </w:r>
      <w:r w:rsidRPr="00094C6D">
        <w:rPr>
          <w:rFonts w:ascii="Arial" w:hAnsi="Arial" w:cs="Arial"/>
          <w:iCs/>
          <w:sz w:val="24"/>
          <w:szCs w:val="24"/>
        </w:rPr>
        <w:t>prima</w:t>
      </w:r>
      <w:r>
        <w:rPr>
          <w:rFonts w:ascii="Arial" w:hAnsi="Arial" w:cs="Arial"/>
          <w:iCs/>
          <w:sz w:val="24"/>
          <w:szCs w:val="24"/>
        </w:rPr>
        <w:t xml:space="preserve"> di </w:t>
      </w:r>
      <w:r w:rsidR="00A56994">
        <w:rPr>
          <w:rFonts w:ascii="Arial" w:hAnsi="Arial" w:cs="Arial"/>
          <w:iCs/>
          <w:sz w:val="24"/>
          <w:szCs w:val="24"/>
        </w:rPr>
        <w:t xml:space="preserve">pervenire </w:t>
      </w:r>
      <w:r w:rsidR="00A56994" w:rsidRPr="00094C6D">
        <w:rPr>
          <w:rFonts w:ascii="Arial" w:hAnsi="Arial" w:cs="Arial"/>
          <w:iCs/>
          <w:sz w:val="24"/>
          <w:szCs w:val="24"/>
        </w:rPr>
        <w:t>all’egoismo</w:t>
      </w:r>
      <w:r w:rsidRPr="00094C6D">
        <w:rPr>
          <w:rFonts w:ascii="Arial" w:hAnsi="Arial" w:cs="Arial"/>
          <w:iCs/>
          <w:sz w:val="24"/>
          <w:szCs w:val="24"/>
        </w:rPr>
        <w:t xml:space="preserve">, </w:t>
      </w:r>
      <w:r>
        <w:rPr>
          <w:rFonts w:ascii="Arial" w:hAnsi="Arial" w:cs="Arial"/>
          <w:iCs/>
          <w:sz w:val="24"/>
          <w:szCs w:val="24"/>
        </w:rPr>
        <w:t xml:space="preserve">sono animate da </w:t>
      </w:r>
      <w:r w:rsidRPr="00094C6D">
        <w:rPr>
          <w:rFonts w:ascii="Arial" w:hAnsi="Arial" w:cs="Arial"/>
          <w:iCs/>
          <w:sz w:val="24"/>
          <w:szCs w:val="24"/>
        </w:rPr>
        <w:t>sentimenti e valori.</w:t>
      </w:r>
    </w:p>
    <w:p w14:paraId="4EC8E7FA" w14:textId="71D8EDBE" w:rsidR="00F83AF6" w:rsidRDefault="00F83AF6" w:rsidP="00F83AF6">
      <w:pPr>
        <w:pStyle w:val="Paragrafoelenco"/>
        <w:tabs>
          <w:tab w:val="left" w:pos="567"/>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L’interesse primario dei diversi sistemi di scambio non monetari è quello di utilizzare l’economia come uno strumento di benessere </w:t>
      </w:r>
      <w:r w:rsidR="00A56994" w:rsidRPr="00094C6D">
        <w:rPr>
          <w:rFonts w:ascii="Arial" w:hAnsi="Arial" w:cs="Arial"/>
          <w:iCs/>
          <w:sz w:val="24"/>
          <w:szCs w:val="24"/>
        </w:rPr>
        <w:t>condiviso.</w:t>
      </w:r>
    </w:p>
    <w:p w14:paraId="0C78524B" w14:textId="77777777" w:rsidR="00F83AF6" w:rsidRPr="00094C6D" w:rsidRDefault="00F83AF6" w:rsidP="00F83AF6">
      <w:pPr>
        <w:pStyle w:val="Paragrafoelenco"/>
        <w:tabs>
          <w:tab w:val="left" w:pos="567"/>
          <w:tab w:val="left" w:pos="8380"/>
        </w:tabs>
        <w:spacing w:line="360" w:lineRule="auto"/>
        <w:ind w:left="0"/>
        <w:jc w:val="both"/>
        <w:rPr>
          <w:rFonts w:ascii="Arial" w:hAnsi="Arial" w:cs="Arial"/>
          <w:iCs/>
          <w:sz w:val="24"/>
          <w:szCs w:val="24"/>
        </w:rPr>
      </w:pPr>
      <w:r w:rsidRPr="00094C6D">
        <w:rPr>
          <w:rFonts w:ascii="Arial" w:hAnsi="Arial" w:cs="Arial"/>
          <w:iCs/>
          <w:sz w:val="24"/>
          <w:szCs w:val="24"/>
        </w:rPr>
        <w:t>La spinta è quella di impostare un modello sostitutivo a quello tipico dello sviluppo occidentale ritenuto impostato su falsi valori, che in luogo della prosperità restituisce povertà, disastri ambientali e sociali. Un focus sulle economie senza denaro restituisce una realtà diversa rispetto a quelle occidentali, in quanto le prime rappresentano spesso una forma di sopravvivenza.</w:t>
      </w:r>
    </w:p>
    <w:p w14:paraId="7EF9AD02" w14:textId="77777777" w:rsidR="00F83AF6" w:rsidRDefault="00F83AF6" w:rsidP="00F83AF6">
      <w:pPr>
        <w:pStyle w:val="Paragrafoelenco"/>
        <w:tabs>
          <w:tab w:val="left" w:pos="567"/>
          <w:tab w:val="left" w:pos="8380"/>
        </w:tabs>
        <w:spacing w:line="360" w:lineRule="auto"/>
        <w:ind w:left="0"/>
        <w:jc w:val="both"/>
        <w:rPr>
          <w:rFonts w:ascii="Arial" w:hAnsi="Arial" w:cs="Arial"/>
          <w:iCs/>
          <w:sz w:val="24"/>
          <w:szCs w:val="24"/>
        </w:rPr>
      </w:pPr>
    </w:p>
    <w:p w14:paraId="4B6F148C" w14:textId="77777777" w:rsidR="00F83AF6" w:rsidRPr="00094C6D" w:rsidRDefault="00F83AF6" w:rsidP="00F83AF6">
      <w:pPr>
        <w:pStyle w:val="Paragrafoelenco"/>
        <w:tabs>
          <w:tab w:val="left" w:pos="567"/>
          <w:tab w:val="left" w:pos="8380"/>
        </w:tabs>
        <w:spacing w:line="360" w:lineRule="auto"/>
        <w:ind w:left="0"/>
        <w:jc w:val="both"/>
        <w:rPr>
          <w:rFonts w:ascii="Arial" w:hAnsi="Arial" w:cs="Arial"/>
          <w:iCs/>
          <w:sz w:val="24"/>
          <w:szCs w:val="24"/>
        </w:rPr>
      </w:pPr>
      <w:r w:rsidRPr="00094C6D">
        <w:rPr>
          <w:rFonts w:ascii="Arial" w:hAnsi="Arial" w:cs="Arial"/>
          <w:iCs/>
          <w:sz w:val="24"/>
          <w:szCs w:val="24"/>
        </w:rPr>
        <w:t>Nella tradizione delle società informali, sebbene in esse siano affermati il valore del denaro e dei mercati finanziari, l’utilità monetaria non soddisfa i valori e i bisogni che appaga nelle economie occidentali, poiché l’essenza di una socialità sviluppata da rapporti di prossimità e solidarietà è affrancato dal ruolo dell’economia, ritenuto inadeguato per soddisfare i bisogni avvertiti.</w:t>
      </w:r>
    </w:p>
    <w:p w14:paraId="7F740B35" w14:textId="4BD412D6" w:rsidR="00F83AF6" w:rsidRPr="00094C6D" w:rsidRDefault="00F83AF6" w:rsidP="00F83AF6">
      <w:pPr>
        <w:pStyle w:val="Paragrafoelenco"/>
        <w:tabs>
          <w:tab w:val="left" w:pos="567"/>
          <w:tab w:val="left" w:pos="8380"/>
        </w:tabs>
        <w:spacing w:line="360" w:lineRule="auto"/>
        <w:ind w:left="0"/>
        <w:jc w:val="both"/>
        <w:rPr>
          <w:rFonts w:ascii="Arial" w:hAnsi="Arial" w:cs="Arial"/>
          <w:iCs/>
          <w:sz w:val="24"/>
          <w:szCs w:val="24"/>
        </w:rPr>
      </w:pPr>
      <w:r w:rsidRPr="00094C6D">
        <w:rPr>
          <w:rFonts w:ascii="Arial" w:hAnsi="Arial" w:cs="Arial"/>
          <w:iCs/>
          <w:sz w:val="24"/>
          <w:szCs w:val="24"/>
        </w:rPr>
        <w:lastRenderedPageBreak/>
        <w:t xml:space="preserve">Il nuovo modello è alla base della New barter </w:t>
      </w:r>
      <w:r w:rsidR="00A56994" w:rsidRPr="00094C6D">
        <w:rPr>
          <w:rFonts w:ascii="Arial" w:hAnsi="Arial" w:cs="Arial"/>
          <w:iCs/>
          <w:sz w:val="24"/>
          <w:szCs w:val="24"/>
        </w:rPr>
        <w:t>economy,</w:t>
      </w:r>
      <w:r w:rsidRPr="00094C6D">
        <w:rPr>
          <w:rFonts w:ascii="Arial" w:hAnsi="Arial" w:cs="Arial"/>
          <w:iCs/>
          <w:sz w:val="24"/>
          <w:szCs w:val="24"/>
        </w:rPr>
        <w:t xml:space="preserve"> costituita da ““transazioni che hanno come oggetto un bene/servizio all’interno di reti di pari, spesso territorialmente definite e a carattere perlopiù locale, prive di mediazione monetaria e in cui la tecnologia agisce solo come fattore di facilitazione ma non come fattore abilitante alle relazioni, che possono preesistere allo scambio e in qualche modo lo superano. Il valore rimane esclusivamente ai diretti interlocutori e si esprime sotto forma di rafforzamento dei legami fiduciari tra gli stessi. Es.: baratto/riuso, bookrunning, tool library, orti sociali, scambi di cibo, social street, banche del tempo tradizionali, ecc.”.</w:t>
      </w:r>
    </w:p>
    <w:p w14:paraId="21DEF3FB" w14:textId="77777777" w:rsidR="00F83AF6" w:rsidRPr="00094C6D" w:rsidRDefault="00F83AF6" w:rsidP="00F83AF6">
      <w:pPr>
        <w:pStyle w:val="Paragrafoelenco"/>
        <w:tabs>
          <w:tab w:val="left" w:pos="567"/>
          <w:tab w:val="left" w:pos="8380"/>
        </w:tabs>
        <w:spacing w:line="360" w:lineRule="auto"/>
        <w:ind w:left="0"/>
        <w:jc w:val="both"/>
        <w:rPr>
          <w:rFonts w:ascii="Arial" w:hAnsi="Arial" w:cs="Arial"/>
          <w:iCs/>
          <w:sz w:val="24"/>
          <w:szCs w:val="24"/>
        </w:rPr>
      </w:pPr>
    </w:p>
    <w:p w14:paraId="0142A440" w14:textId="0B88E6E2" w:rsidR="00F83AF6" w:rsidRPr="00094C6D" w:rsidRDefault="00F83AF6" w:rsidP="00F83AF6">
      <w:pPr>
        <w:pStyle w:val="Paragrafoelenco"/>
        <w:tabs>
          <w:tab w:val="left" w:pos="567"/>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In tali contesti trovano spazio e affermazione nuove proposte di adesione a scambi di comunità intesi a rafforzare i legami sociali tra gruppi, nei quali si annoverano i </w:t>
      </w:r>
      <w:proofErr w:type="spellStart"/>
      <w:r w:rsidRPr="00094C6D">
        <w:rPr>
          <w:rFonts w:ascii="Arial" w:hAnsi="Arial" w:cs="Arial"/>
          <w:iCs/>
          <w:sz w:val="24"/>
          <w:szCs w:val="24"/>
        </w:rPr>
        <w:t>Systèmes</w:t>
      </w:r>
      <w:proofErr w:type="spellEnd"/>
      <w:r w:rsidRPr="00094C6D">
        <w:rPr>
          <w:rFonts w:ascii="Arial" w:hAnsi="Arial" w:cs="Arial"/>
          <w:iCs/>
          <w:sz w:val="24"/>
          <w:szCs w:val="24"/>
        </w:rPr>
        <w:t xml:space="preserve"> d’</w:t>
      </w:r>
      <w:proofErr w:type="spellStart"/>
      <w:r w:rsidRPr="00094C6D">
        <w:rPr>
          <w:rFonts w:ascii="Arial" w:hAnsi="Arial" w:cs="Arial"/>
          <w:iCs/>
          <w:sz w:val="24"/>
          <w:szCs w:val="24"/>
        </w:rPr>
        <w:t>Echanges</w:t>
      </w:r>
      <w:proofErr w:type="spellEnd"/>
      <w:r w:rsidRPr="00094C6D">
        <w:rPr>
          <w:rFonts w:ascii="Arial" w:hAnsi="Arial" w:cs="Arial"/>
          <w:iCs/>
          <w:sz w:val="24"/>
          <w:szCs w:val="24"/>
        </w:rPr>
        <w:t xml:space="preserve"> </w:t>
      </w:r>
      <w:proofErr w:type="spellStart"/>
      <w:r w:rsidRPr="00094C6D">
        <w:rPr>
          <w:rFonts w:ascii="Arial" w:hAnsi="Arial" w:cs="Arial"/>
          <w:iCs/>
          <w:sz w:val="24"/>
          <w:szCs w:val="24"/>
        </w:rPr>
        <w:t>Communitares</w:t>
      </w:r>
      <w:proofErr w:type="spellEnd"/>
      <w:r w:rsidRPr="00094C6D">
        <w:rPr>
          <w:rFonts w:ascii="Arial" w:hAnsi="Arial" w:cs="Arial"/>
          <w:iCs/>
          <w:sz w:val="24"/>
          <w:szCs w:val="24"/>
        </w:rPr>
        <w:t xml:space="preserve"> presenti in Senegal, il Global Barter Network e la Global Resource Bank negli USA , l’ Interser in Venezuela , il Red Global del Trueque in Argentina , i Tianguis Tlaloc in Messico, i Blue Mountain in Australia, gli Aktie­Strohal in Olanda, i Tauschringe (Cerchi di scambio), i Talents (sistema Talenti), le Zeitbörse (Borse del tempo) in Germania, la Banca del Tempo in Italia , ispiratori di nuovi sistemi di solidarietà economica, in un’ottica di sostituzione degli schemi tradizionali, incapaci di offrire risposte e alternative di migrazione da condizioni di arretratezza e di svolta.</w:t>
      </w:r>
    </w:p>
    <w:p w14:paraId="74A3EA56" w14:textId="77777777" w:rsidR="00F83AF6" w:rsidRPr="00094C6D" w:rsidRDefault="00F83AF6" w:rsidP="00F83AF6">
      <w:pPr>
        <w:pStyle w:val="Paragrafoelenco"/>
        <w:tabs>
          <w:tab w:val="left" w:pos="567"/>
          <w:tab w:val="left" w:pos="8380"/>
        </w:tabs>
        <w:spacing w:line="360" w:lineRule="auto"/>
        <w:ind w:left="0"/>
        <w:jc w:val="both"/>
        <w:rPr>
          <w:rFonts w:ascii="Arial" w:hAnsi="Arial" w:cs="Arial"/>
          <w:iCs/>
          <w:sz w:val="24"/>
          <w:szCs w:val="24"/>
        </w:rPr>
      </w:pPr>
    </w:p>
    <w:p w14:paraId="4F61E332" w14:textId="424FA34E" w:rsidR="00F83AF6" w:rsidRPr="00094C6D" w:rsidRDefault="00F83AF6" w:rsidP="00F83AF6">
      <w:pPr>
        <w:pStyle w:val="Paragrafoelenco"/>
        <w:tabs>
          <w:tab w:val="left" w:pos="567"/>
          <w:tab w:val="left" w:pos="8380"/>
        </w:tabs>
        <w:spacing w:line="360" w:lineRule="auto"/>
        <w:ind w:left="0"/>
        <w:jc w:val="both"/>
        <w:rPr>
          <w:rFonts w:ascii="Arial" w:hAnsi="Arial" w:cs="Arial"/>
          <w:iCs/>
          <w:sz w:val="24"/>
          <w:szCs w:val="24"/>
        </w:rPr>
      </w:pPr>
      <w:r w:rsidRPr="00094C6D">
        <w:rPr>
          <w:rFonts w:ascii="Arial" w:hAnsi="Arial" w:cs="Arial"/>
          <w:iCs/>
          <w:sz w:val="24"/>
          <w:szCs w:val="24"/>
        </w:rPr>
        <w:t xml:space="preserve">In particolare, i sistemi </w:t>
      </w:r>
      <w:r w:rsidR="00A14DA1" w:rsidRPr="00094C6D">
        <w:rPr>
          <w:rFonts w:ascii="Arial" w:hAnsi="Arial" w:cs="Arial"/>
          <w:iCs/>
          <w:sz w:val="24"/>
          <w:szCs w:val="24"/>
        </w:rPr>
        <w:t>SEL rappresentano</w:t>
      </w:r>
      <w:r w:rsidRPr="00094C6D">
        <w:rPr>
          <w:rFonts w:ascii="Arial" w:hAnsi="Arial" w:cs="Arial"/>
          <w:iCs/>
          <w:sz w:val="24"/>
          <w:szCs w:val="24"/>
        </w:rPr>
        <w:t xml:space="preserve"> delle associazioni all’interno delle quali i membri scambiano servizi e beni di varia natura; gli scambi sono oggetto di registrazioni contabili che utilizzano un’unità di conto per ciascun gruppo. Le regole di funzionamento prevedono che, quando avviene uno scambio di servizi o di beni tra due persone, dopo che le stesse si sono preventivamente accordate sul valore della transazione, devono compilare un “voucher di scambio” o un “foglio di patrimonio condiviso”, descrivendo la natura dello scambio e il corrispettivo dello stesso.</w:t>
      </w:r>
    </w:p>
    <w:p w14:paraId="7955E794" w14:textId="77777777" w:rsidR="00F83AF6" w:rsidRDefault="00F83AF6" w:rsidP="00F83AF6">
      <w:pPr>
        <w:pStyle w:val="Paragrafoelenco"/>
        <w:tabs>
          <w:tab w:val="left" w:pos="8380"/>
        </w:tabs>
        <w:spacing w:line="360" w:lineRule="auto"/>
        <w:ind w:left="0"/>
        <w:jc w:val="both"/>
        <w:rPr>
          <w:rFonts w:ascii="Arial" w:hAnsi="Arial" w:cs="Arial"/>
          <w:iCs/>
          <w:sz w:val="24"/>
          <w:szCs w:val="24"/>
        </w:rPr>
      </w:pPr>
    </w:p>
    <w:p w14:paraId="40D26CB8" w14:textId="77777777" w:rsidR="00D55C9B" w:rsidRDefault="00F83AF6" w:rsidP="00D55C9B">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Il conto “moneta SEL” del soggetto che ha trasferito il bene o reso il servizio</w:t>
      </w:r>
      <w:r>
        <w:rPr>
          <w:rFonts w:ascii="Arial" w:hAnsi="Arial" w:cs="Arial"/>
          <w:iCs/>
          <w:sz w:val="24"/>
          <w:szCs w:val="24"/>
        </w:rPr>
        <w:t>,</w:t>
      </w:r>
      <w:r w:rsidRPr="00094C6D">
        <w:rPr>
          <w:rFonts w:ascii="Arial" w:hAnsi="Arial" w:cs="Arial"/>
          <w:iCs/>
          <w:sz w:val="24"/>
          <w:szCs w:val="24"/>
        </w:rPr>
        <w:t xml:space="preserve"> viene accreditato in altrettante unità di conto; il credito gravante sul gruppo gli consente di beneficiare di beni e servizi offerti da un altro membro dell’associazione.</w:t>
      </w:r>
    </w:p>
    <w:p w14:paraId="34FE7DF3" w14:textId="2DC98946" w:rsidR="00F83AF6" w:rsidRPr="00094C6D" w:rsidRDefault="00F83AF6" w:rsidP="00D55C9B">
      <w:pPr>
        <w:pStyle w:val="Paragrafoelenco"/>
        <w:tabs>
          <w:tab w:val="left" w:pos="8380"/>
        </w:tabs>
        <w:spacing w:line="360" w:lineRule="auto"/>
        <w:ind w:left="0"/>
        <w:jc w:val="both"/>
        <w:rPr>
          <w:rFonts w:ascii="Arial" w:hAnsi="Arial" w:cs="Arial"/>
          <w:iCs/>
          <w:sz w:val="24"/>
          <w:szCs w:val="24"/>
        </w:rPr>
      </w:pPr>
      <w:r w:rsidRPr="00094C6D">
        <w:rPr>
          <w:rFonts w:ascii="Arial" w:hAnsi="Arial" w:cs="Arial"/>
          <w:iCs/>
          <w:sz w:val="24"/>
          <w:szCs w:val="24"/>
        </w:rPr>
        <w:t>Allo stesso tempo, la persona che ha beneficiato di questi servizi, vedendosi addebitare il conto, si ritroverà in debito con l’intero gruppo; si stabilisce quindi un’integrazione e una responsabilizzazione tra tutti gli appartenenti al gruppo.</w:t>
      </w:r>
      <w:r w:rsidR="00D55C9B">
        <w:rPr>
          <w:rFonts w:ascii="Arial" w:hAnsi="Arial" w:cs="Arial"/>
          <w:iCs/>
          <w:sz w:val="24"/>
          <w:szCs w:val="24"/>
        </w:rPr>
        <w:t xml:space="preserve"> </w:t>
      </w:r>
      <w:r w:rsidRPr="00094C6D">
        <w:rPr>
          <w:rFonts w:ascii="Arial" w:hAnsi="Arial" w:cs="Arial"/>
          <w:iCs/>
          <w:sz w:val="24"/>
          <w:szCs w:val="24"/>
        </w:rPr>
        <w:t xml:space="preserve">Per l’efficiente funzionamento del sistema è sufficiente osservare le regole che consentono la convivenza in società senza il ricorso a forze coercitive e offrire o chiedere aiuti o beni assicurandosi che gli addebiti o </w:t>
      </w:r>
      <w:r w:rsidRPr="00094C6D">
        <w:rPr>
          <w:rFonts w:ascii="Arial" w:hAnsi="Arial" w:cs="Arial"/>
          <w:iCs/>
          <w:sz w:val="24"/>
          <w:szCs w:val="24"/>
        </w:rPr>
        <w:lastRenderedPageBreak/>
        <w:t>accrediti sul proprio conto in valuta SEL non superino l’importo determinato dall’assemblea generale, oltre il quale il sistema risulta indebolito.</w:t>
      </w:r>
    </w:p>
    <w:p w14:paraId="223290F2" w14:textId="77777777" w:rsidR="00F83AF6" w:rsidRDefault="00F83AF6" w:rsidP="00F83AF6">
      <w:pPr>
        <w:pStyle w:val="Paragrafoelenco"/>
        <w:tabs>
          <w:tab w:val="left" w:pos="142"/>
          <w:tab w:val="left" w:pos="8380"/>
        </w:tabs>
        <w:spacing w:line="360" w:lineRule="auto"/>
        <w:ind w:left="0"/>
        <w:jc w:val="both"/>
        <w:rPr>
          <w:rFonts w:ascii="Arial" w:hAnsi="Arial" w:cs="Arial"/>
          <w:iCs/>
          <w:sz w:val="24"/>
          <w:szCs w:val="24"/>
        </w:rPr>
      </w:pPr>
    </w:p>
    <w:p w14:paraId="08EF5A33" w14:textId="77777777" w:rsidR="00F83AF6" w:rsidRDefault="00F83AF6" w:rsidP="00F83AF6">
      <w:pPr>
        <w:pStyle w:val="Paragrafoelenco"/>
        <w:tabs>
          <w:tab w:val="left" w:pos="142"/>
          <w:tab w:val="left" w:pos="8380"/>
        </w:tabs>
        <w:spacing w:line="360" w:lineRule="auto"/>
        <w:ind w:left="0"/>
        <w:jc w:val="both"/>
        <w:rPr>
          <w:rFonts w:ascii="Arial" w:hAnsi="Arial" w:cs="Arial"/>
          <w:b/>
          <w:bCs/>
          <w:iCs/>
          <w:sz w:val="24"/>
          <w:szCs w:val="24"/>
        </w:rPr>
      </w:pPr>
      <w:r w:rsidRPr="00094C6D">
        <w:rPr>
          <w:rFonts w:ascii="Arial" w:hAnsi="Arial" w:cs="Arial"/>
          <w:iCs/>
          <w:sz w:val="24"/>
          <w:szCs w:val="24"/>
        </w:rPr>
        <w:t>Mentre l’acronimo SEL è riferito normalmente allo scambio commerciale ed economico di beni, quello attribuito a LETS (Locale Scambio di Talent) è associato, in particolare, alle capacità personali creative dell’individuo.</w:t>
      </w:r>
    </w:p>
    <w:p w14:paraId="6164188A" w14:textId="77777777" w:rsidR="00F83AF6" w:rsidRPr="0033093B" w:rsidRDefault="00F83AF6" w:rsidP="00F83AF6">
      <w:pPr>
        <w:spacing w:line="360" w:lineRule="auto"/>
        <w:jc w:val="center"/>
        <w:rPr>
          <w:rFonts w:ascii="Arial" w:hAnsi="Arial" w:cs="Arial"/>
          <w:iCs/>
          <w:sz w:val="24"/>
          <w:szCs w:val="24"/>
        </w:rPr>
      </w:pPr>
      <w:r>
        <w:rPr>
          <w:rFonts w:ascii="Arial" w:hAnsi="Arial" w:cs="Arial"/>
          <w:b/>
          <w:bCs/>
          <w:iCs/>
          <w:sz w:val="24"/>
          <w:szCs w:val="24"/>
        </w:rPr>
        <w:br w:type="page"/>
      </w:r>
    </w:p>
    <w:p w14:paraId="580E40F2" w14:textId="77777777" w:rsidR="00F83AF6" w:rsidRPr="001512DE" w:rsidRDefault="00F83AF6" w:rsidP="00F83AF6">
      <w:pPr>
        <w:pStyle w:val="Paragrafoelenco"/>
        <w:tabs>
          <w:tab w:val="left" w:pos="284"/>
        </w:tabs>
        <w:spacing w:after="0"/>
        <w:ind w:left="0"/>
        <w:jc w:val="both"/>
        <w:rPr>
          <w:rFonts w:ascii="Arial" w:hAnsi="Arial" w:cs="Arial"/>
          <w:b/>
          <w:bCs/>
          <w:iCs/>
          <w:sz w:val="24"/>
          <w:szCs w:val="24"/>
        </w:rPr>
      </w:pPr>
      <w:r w:rsidRPr="001512DE">
        <w:rPr>
          <w:rFonts w:ascii="Arial" w:hAnsi="Arial" w:cs="Arial"/>
          <w:b/>
          <w:bCs/>
          <w:iCs/>
          <w:sz w:val="24"/>
          <w:szCs w:val="24"/>
        </w:rPr>
        <w:lastRenderedPageBreak/>
        <w:t>3.</w:t>
      </w:r>
      <w:r w:rsidRPr="001512DE">
        <w:rPr>
          <w:rFonts w:ascii="Arial" w:hAnsi="Arial" w:cs="Arial"/>
          <w:b/>
          <w:bCs/>
          <w:iCs/>
          <w:sz w:val="24"/>
          <w:szCs w:val="24"/>
        </w:rPr>
        <w:tab/>
        <w:t xml:space="preserve">CAPITOLO II – REGOLAMENTAZIONE </w:t>
      </w:r>
      <w:r>
        <w:rPr>
          <w:rFonts w:ascii="Arial" w:hAnsi="Arial" w:cs="Arial"/>
          <w:b/>
          <w:bCs/>
          <w:iCs/>
          <w:sz w:val="24"/>
          <w:szCs w:val="24"/>
        </w:rPr>
        <w:t>E OPPORTUNITA’</w:t>
      </w:r>
    </w:p>
    <w:p w14:paraId="35DE6373" w14:textId="77777777" w:rsidR="00F83AF6" w:rsidRPr="000A4EA0" w:rsidRDefault="00F83AF6" w:rsidP="00F83AF6">
      <w:pPr>
        <w:tabs>
          <w:tab w:val="left" w:pos="567"/>
        </w:tabs>
        <w:spacing w:after="0"/>
        <w:jc w:val="both"/>
        <w:rPr>
          <w:rFonts w:ascii="Arial" w:hAnsi="Arial" w:cs="Arial"/>
          <w:iCs/>
          <w:sz w:val="24"/>
          <w:szCs w:val="24"/>
        </w:rPr>
      </w:pPr>
    </w:p>
    <w:p w14:paraId="2F99FCF5" w14:textId="6CA0DC6F" w:rsidR="00F83AF6" w:rsidRPr="005E325A" w:rsidRDefault="00F83AF6" w:rsidP="00F83AF6">
      <w:pPr>
        <w:tabs>
          <w:tab w:val="left" w:pos="709"/>
        </w:tabs>
        <w:spacing w:after="0"/>
        <w:ind w:left="851" w:hanging="567"/>
        <w:jc w:val="both"/>
        <w:rPr>
          <w:rFonts w:ascii="Arial" w:hAnsi="Arial" w:cs="Arial"/>
          <w:b/>
          <w:bCs/>
          <w:iCs/>
          <w:sz w:val="24"/>
          <w:szCs w:val="24"/>
        </w:rPr>
      </w:pPr>
      <w:r>
        <w:rPr>
          <w:rFonts w:ascii="Arial" w:hAnsi="Arial" w:cs="Arial"/>
          <w:b/>
          <w:bCs/>
          <w:iCs/>
          <w:sz w:val="24"/>
          <w:szCs w:val="24"/>
        </w:rPr>
        <w:t>3.a.</w:t>
      </w:r>
      <w:r>
        <w:rPr>
          <w:rFonts w:ascii="Arial" w:hAnsi="Arial" w:cs="Arial"/>
          <w:b/>
          <w:bCs/>
          <w:iCs/>
          <w:sz w:val="24"/>
          <w:szCs w:val="24"/>
        </w:rPr>
        <w:tab/>
      </w:r>
      <w:r w:rsidR="00335421">
        <w:rPr>
          <w:rFonts w:ascii="Arial" w:hAnsi="Arial" w:cs="Arial"/>
          <w:b/>
          <w:bCs/>
          <w:iCs/>
          <w:sz w:val="24"/>
          <w:szCs w:val="24"/>
        </w:rPr>
        <w:tab/>
      </w:r>
      <w:r w:rsidRPr="005E325A">
        <w:rPr>
          <w:rFonts w:ascii="Arial" w:hAnsi="Arial" w:cs="Arial"/>
          <w:b/>
          <w:bCs/>
          <w:iCs/>
          <w:sz w:val="24"/>
          <w:szCs w:val="24"/>
        </w:rPr>
        <w:t>LA REGOLAMENTAZIONE</w:t>
      </w:r>
    </w:p>
    <w:p w14:paraId="418A161A" w14:textId="77777777" w:rsidR="00F83AF6" w:rsidRDefault="00F83AF6" w:rsidP="00F83AF6">
      <w:pPr>
        <w:spacing w:after="0"/>
        <w:ind w:left="993" w:hanging="426"/>
        <w:jc w:val="both"/>
        <w:rPr>
          <w:rFonts w:ascii="Arial" w:hAnsi="Arial" w:cs="Arial"/>
          <w:iCs/>
          <w:sz w:val="24"/>
          <w:szCs w:val="24"/>
        </w:rPr>
      </w:pPr>
    </w:p>
    <w:p w14:paraId="4AB46CE5" w14:textId="77777777" w:rsidR="00335421" w:rsidRDefault="00335421" w:rsidP="00F83AF6">
      <w:pPr>
        <w:spacing w:after="0"/>
        <w:ind w:left="993" w:hanging="426"/>
        <w:jc w:val="both"/>
        <w:rPr>
          <w:rFonts w:ascii="Arial" w:hAnsi="Arial" w:cs="Arial"/>
          <w:iCs/>
          <w:sz w:val="24"/>
          <w:szCs w:val="24"/>
        </w:rPr>
      </w:pPr>
    </w:p>
    <w:p w14:paraId="697EA7C7" w14:textId="77777777" w:rsidR="00F83AF6" w:rsidRDefault="00F83AF6" w:rsidP="00335421">
      <w:pPr>
        <w:spacing w:line="360" w:lineRule="auto"/>
        <w:ind w:firstLine="851"/>
        <w:jc w:val="both"/>
        <w:rPr>
          <w:rFonts w:ascii="Arial" w:hAnsi="Arial" w:cs="Arial"/>
          <w:b/>
          <w:bCs/>
          <w:iCs/>
          <w:sz w:val="24"/>
          <w:szCs w:val="24"/>
        </w:rPr>
      </w:pPr>
      <w:r w:rsidRPr="00B278EC">
        <w:rPr>
          <w:rFonts w:ascii="Arial" w:hAnsi="Arial" w:cs="Arial"/>
          <w:iCs/>
          <w:sz w:val="24"/>
          <w:szCs w:val="24"/>
        </w:rPr>
        <w:t xml:space="preserve">Se si volesse ancorare </w:t>
      </w:r>
      <w:r>
        <w:rPr>
          <w:rFonts w:ascii="Arial" w:hAnsi="Arial" w:cs="Arial"/>
          <w:iCs/>
          <w:sz w:val="24"/>
          <w:szCs w:val="24"/>
        </w:rPr>
        <w:t xml:space="preserve">nella dimensione temporale </w:t>
      </w:r>
      <w:r w:rsidRPr="00B278EC">
        <w:rPr>
          <w:rFonts w:ascii="Arial" w:hAnsi="Arial" w:cs="Arial"/>
          <w:iCs/>
          <w:sz w:val="24"/>
          <w:szCs w:val="24"/>
        </w:rPr>
        <w:t>il riconoscimento ufficiale del</w:t>
      </w:r>
      <w:r>
        <w:rPr>
          <w:rFonts w:ascii="Arial" w:hAnsi="Arial" w:cs="Arial"/>
          <w:iCs/>
          <w:sz w:val="24"/>
          <w:szCs w:val="24"/>
        </w:rPr>
        <w:t xml:space="preserve">l’idoneità e dell’efficacia del </w:t>
      </w:r>
      <w:r w:rsidRPr="00B278EC">
        <w:rPr>
          <w:rFonts w:ascii="Arial" w:hAnsi="Arial" w:cs="Arial"/>
          <w:iCs/>
          <w:sz w:val="24"/>
          <w:szCs w:val="24"/>
        </w:rPr>
        <w:t>microcredito</w:t>
      </w:r>
      <w:r>
        <w:rPr>
          <w:rFonts w:ascii="Arial" w:hAnsi="Arial" w:cs="Arial"/>
          <w:iCs/>
          <w:sz w:val="24"/>
          <w:szCs w:val="24"/>
        </w:rPr>
        <w:t xml:space="preserve"> quale strumento finanziario per la lotta alla povertà e all’inclusione, la </w:t>
      </w:r>
      <w:r w:rsidRPr="008A4B41">
        <w:rPr>
          <w:rFonts w:ascii="Arial" w:hAnsi="Arial" w:cs="Arial"/>
          <w:iCs/>
          <w:sz w:val="24"/>
          <w:szCs w:val="24"/>
        </w:rPr>
        <w:t xml:space="preserve">Risoluzione </w:t>
      </w:r>
      <w:r>
        <w:rPr>
          <w:rFonts w:ascii="Arial" w:hAnsi="Arial" w:cs="Arial"/>
          <w:iCs/>
          <w:sz w:val="24"/>
          <w:szCs w:val="24"/>
        </w:rPr>
        <w:t xml:space="preserve">n. </w:t>
      </w:r>
      <w:r w:rsidRPr="008A4B41">
        <w:rPr>
          <w:rFonts w:ascii="Arial" w:hAnsi="Arial" w:cs="Arial"/>
          <w:iCs/>
          <w:sz w:val="24"/>
          <w:szCs w:val="24"/>
        </w:rPr>
        <w:t>52/194, approvata il 18 dicembre 1997</w:t>
      </w:r>
      <w:r>
        <w:rPr>
          <w:rFonts w:ascii="Arial" w:hAnsi="Arial" w:cs="Arial"/>
          <w:iCs/>
          <w:sz w:val="24"/>
          <w:szCs w:val="24"/>
        </w:rPr>
        <w:t xml:space="preserve"> dal</w:t>
      </w:r>
      <w:r w:rsidRPr="008A4B41">
        <w:rPr>
          <w:rFonts w:ascii="Arial" w:hAnsi="Arial" w:cs="Arial"/>
          <w:iCs/>
          <w:sz w:val="24"/>
          <w:szCs w:val="24"/>
        </w:rPr>
        <w:t>l’Assemblea Generale</w:t>
      </w:r>
      <w:r>
        <w:rPr>
          <w:rFonts w:ascii="Arial" w:hAnsi="Arial" w:cs="Arial"/>
          <w:iCs/>
          <w:sz w:val="24"/>
          <w:szCs w:val="24"/>
        </w:rPr>
        <w:t xml:space="preserve"> delle Nazioni Unite potrebbe essere un punto di riferimento, anche se le prime esperienze e le pratiche operative del microcredito cd. “moderno” risalgono al 1976 e derivano dall’intuito e dalla determinazione di Yunus confluiti nella costituzione della Grameen Bank.</w:t>
      </w:r>
    </w:p>
    <w:p w14:paraId="3AF7704F"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 xml:space="preserve">Successivamente, con la Risoluzione n. 53/197, in data 22 febbraio 1999, </w:t>
      </w:r>
      <w:r w:rsidRPr="00E67144">
        <w:rPr>
          <w:rFonts w:ascii="Arial" w:hAnsi="Arial" w:cs="Arial"/>
          <w:iCs/>
          <w:sz w:val="24"/>
          <w:szCs w:val="24"/>
        </w:rPr>
        <w:t xml:space="preserve">l’Assemblea </w:t>
      </w:r>
      <w:r>
        <w:rPr>
          <w:rFonts w:ascii="Arial" w:hAnsi="Arial" w:cs="Arial"/>
          <w:iCs/>
          <w:sz w:val="24"/>
          <w:szCs w:val="24"/>
        </w:rPr>
        <w:t>G</w:t>
      </w:r>
      <w:r w:rsidRPr="00E67144">
        <w:rPr>
          <w:rFonts w:ascii="Arial" w:hAnsi="Arial" w:cs="Arial"/>
          <w:iCs/>
          <w:sz w:val="24"/>
          <w:szCs w:val="24"/>
        </w:rPr>
        <w:t>enerale delle Nazioni Unite</w:t>
      </w:r>
      <w:r>
        <w:rPr>
          <w:rFonts w:ascii="Arial" w:hAnsi="Arial" w:cs="Arial"/>
          <w:iCs/>
          <w:sz w:val="24"/>
          <w:szCs w:val="24"/>
        </w:rPr>
        <w:t xml:space="preserve"> proclamava il 2005 </w:t>
      </w:r>
      <w:r w:rsidRPr="00196203">
        <w:rPr>
          <w:rFonts w:ascii="Arial" w:hAnsi="Arial" w:cs="Arial"/>
          <w:iCs/>
          <w:sz w:val="24"/>
          <w:szCs w:val="24"/>
        </w:rPr>
        <w:t>“</w:t>
      </w:r>
      <w:r w:rsidRPr="003D2129">
        <w:rPr>
          <w:rFonts w:ascii="Arial" w:hAnsi="Arial" w:cs="Arial"/>
          <w:i/>
          <w:sz w:val="24"/>
          <w:szCs w:val="24"/>
        </w:rPr>
        <w:t>Anno internazionale per il Microcredito</w:t>
      </w:r>
      <w:r w:rsidRPr="00196203">
        <w:rPr>
          <w:rFonts w:ascii="Arial" w:hAnsi="Arial" w:cs="Arial"/>
          <w:iCs/>
          <w:sz w:val="24"/>
          <w:szCs w:val="24"/>
        </w:rPr>
        <w:t>”</w:t>
      </w:r>
      <w:r>
        <w:rPr>
          <w:rFonts w:ascii="Arial" w:hAnsi="Arial" w:cs="Arial"/>
          <w:iCs/>
          <w:sz w:val="24"/>
          <w:szCs w:val="24"/>
        </w:rPr>
        <w:t>, invitando</w:t>
      </w:r>
      <w:r w:rsidRPr="00196203">
        <w:rPr>
          <w:rFonts w:ascii="Arial" w:hAnsi="Arial" w:cs="Arial"/>
          <w:iCs/>
          <w:sz w:val="24"/>
          <w:szCs w:val="24"/>
        </w:rPr>
        <w:t xml:space="preserve"> gli Stati</w:t>
      </w:r>
      <w:r>
        <w:rPr>
          <w:rFonts w:ascii="Arial" w:hAnsi="Arial" w:cs="Arial"/>
          <w:iCs/>
          <w:sz w:val="24"/>
          <w:szCs w:val="24"/>
        </w:rPr>
        <w:t xml:space="preserve"> </w:t>
      </w:r>
      <w:r w:rsidRPr="00196203">
        <w:rPr>
          <w:rFonts w:ascii="Arial" w:hAnsi="Arial" w:cs="Arial"/>
          <w:iCs/>
          <w:sz w:val="24"/>
          <w:szCs w:val="24"/>
        </w:rPr>
        <w:t>membri a costituire Comitati Nazionali al fine di</w:t>
      </w:r>
      <w:r>
        <w:rPr>
          <w:rFonts w:ascii="Arial" w:hAnsi="Arial" w:cs="Arial"/>
          <w:iCs/>
          <w:sz w:val="24"/>
          <w:szCs w:val="24"/>
        </w:rPr>
        <w:t xml:space="preserve"> </w:t>
      </w:r>
      <w:r w:rsidRPr="00196203">
        <w:rPr>
          <w:rFonts w:ascii="Arial" w:hAnsi="Arial" w:cs="Arial"/>
          <w:iCs/>
          <w:sz w:val="24"/>
          <w:szCs w:val="24"/>
        </w:rPr>
        <w:t>conseguire gli Obiettivi del Millennio (MDGs</w:t>
      </w:r>
      <w:r>
        <w:rPr>
          <w:rFonts w:ascii="Arial" w:hAnsi="Arial" w:cs="Arial"/>
          <w:iCs/>
          <w:sz w:val="24"/>
          <w:szCs w:val="24"/>
        </w:rPr>
        <w:t>).</w:t>
      </w:r>
      <w:r w:rsidRPr="00196203">
        <w:t xml:space="preserve"> </w:t>
      </w:r>
      <w:r>
        <w:rPr>
          <w:rFonts w:ascii="Arial" w:hAnsi="Arial" w:cs="Arial"/>
          <w:iCs/>
          <w:sz w:val="24"/>
          <w:szCs w:val="24"/>
        </w:rPr>
        <w:t>Da</w:t>
      </w:r>
      <w:r w:rsidRPr="00196203">
        <w:rPr>
          <w:rFonts w:ascii="Arial" w:hAnsi="Arial" w:cs="Arial"/>
          <w:iCs/>
          <w:sz w:val="24"/>
          <w:szCs w:val="24"/>
        </w:rPr>
        <w:t>l 2015,</w:t>
      </w:r>
      <w:r>
        <w:rPr>
          <w:rFonts w:ascii="Arial" w:hAnsi="Arial" w:cs="Arial"/>
          <w:iCs/>
          <w:sz w:val="24"/>
          <w:szCs w:val="24"/>
        </w:rPr>
        <w:t xml:space="preserve"> </w:t>
      </w:r>
      <w:r w:rsidRPr="00196203">
        <w:rPr>
          <w:rFonts w:ascii="Arial" w:hAnsi="Arial" w:cs="Arial"/>
          <w:iCs/>
          <w:sz w:val="24"/>
          <w:szCs w:val="24"/>
        </w:rPr>
        <w:t>con l’emanazione dell’Agenda 2030, l’obiettivo del</w:t>
      </w:r>
      <w:r>
        <w:rPr>
          <w:rFonts w:ascii="Arial" w:hAnsi="Arial" w:cs="Arial"/>
          <w:iCs/>
          <w:sz w:val="24"/>
          <w:szCs w:val="24"/>
        </w:rPr>
        <w:t xml:space="preserve"> </w:t>
      </w:r>
      <w:r w:rsidRPr="00196203">
        <w:rPr>
          <w:rFonts w:ascii="Arial" w:hAnsi="Arial" w:cs="Arial"/>
          <w:iCs/>
          <w:sz w:val="24"/>
          <w:szCs w:val="24"/>
        </w:rPr>
        <w:t>conseguimento degli MDGs è stato sostituito dall’impegno per la realizzazione degli SDGs</w:t>
      </w:r>
      <w:r>
        <w:rPr>
          <w:rFonts w:ascii="Arial" w:hAnsi="Arial" w:cs="Arial"/>
          <w:iCs/>
          <w:sz w:val="24"/>
          <w:szCs w:val="24"/>
        </w:rPr>
        <w:t>, per lo Sviluppo sostenibile.</w:t>
      </w:r>
    </w:p>
    <w:p w14:paraId="419C5992" w14:textId="77777777" w:rsidR="00F83AF6" w:rsidRDefault="00F83AF6" w:rsidP="00F83AF6">
      <w:pPr>
        <w:spacing w:line="360" w:lineRule="auto"/>
        <w:jc w:val="both"/>
        <w:rPr>
          <w:rFonts w:ascii="Arial" w:hAnsi="Arial" w:cs="Arial"/>
          <w:iCs/>
          <w:sz w:val="24"/>
          <w:szCs w:val="24"/>
        </w:rPr>
      </w:pPr>
      <w:r w:rsidRPr="00AD5BD1">
        <w:rPr>
          <w:rFonts w:ascii="Arial" w:hAnsi="Arial" w:cs="Arial"/>
          <w:iCs/>
          <w:sz w:val="24"/>
          <w:szCs w:val="24"/>
        </w:rPr>
        <w:t>In ambito internazionale, l’</w:t>
      </w:r>
      <w:r>
        <w:rPr>
          <w:rFonts w:ascii="Arial" w:hAnsi="Arial" w:cs="Arial"/>
          <w:iCs/>
          <w:sz w:val="24"/>
          <w:szCs w:val="24"/>
        </w:rPr>
        <w:t xml:space="preserve">istituzione </w:t>
      </w:r>
      <w:r w:rsidRPr="00AD5BD1">
        <w:rPr>
          <w:rFonts w:ascii="Arial" w:hAnsi="Arial" w:cs="Arial"/>
          <w:iCs/>
          <w:sz w:val="24"/>
          <w:szCs w:val="24"/>
        </w:rPr>
        <w:t>finanziari</w:t>
      </w:r>
      <w:r>
        <w:rPr>
          <w:rFonts w:ascii="Arial" w:hAnsi="Arial" w:cs="Arial"/>
          <w:iCs/>
          <w:sz w:val="24"/>
          <w:szCs w:val="24"/>
        </w:rPr>
        <w:t>a</w:t>
      </w:r>
      <w:r w:rsidRPr="00AD5BD1">
        <w:rPr>
          <w:rFonts w:ascii="Arial" w:hAnsi="Arial" w:cs="Arial"/>
          <w:iCs/>
          <w:sz w:val="24"/>
          <w:szCs w:val="24"/>
        </w:rPr>
        <w:t xml:space="preserve"> cardine per sostenere la lotta alla povertà è rappresentat</w:t>
      </w:r>
      <w:r>
        <w:rPr>
          <w:rFonts w:ascii="Arial" w:hAnsi="Arial" w:cs="Arial"/>
          <w:iCs/>
          <w:sz w:val="24"/>
          <w:szCs w:val="24"/>
        </w:rPr>
        <w:t>a</w:t>
      </w:r>
      <w:r w:rsidRPr="00AD5BD1">
        <w:rPr>
          <w:rFonts w:ascii="Arial" w:hAnsi="Arial" w:cs="Arial"/>
          <w:iCs/>
          <w:sz w:val="24"/>
          <w:szCs w:val="24"/>
        </w:rPr>
        <w:t xml:space="preserve"> dalla Banca Mondiale (W</w:t>
      </w:r>
      <w:r>
        <w:rPr>
          <w:rFonts w:ascii="Arial" w:hAnsi="Arial" w:cs="Arial"/>
          <w:iCs/>
          <w:sz w:val="24"/>
          <w:szCs w:val="24"/>
        </w:rPr>
        <w:t xml:space="preserve">orld </w:t>
      </w:r>
      <w:r w:rsidRPr="00AD5BD1">
        <w:rPr>
          <w:rFonts w:ascii="Arial" w:hAnsi="Arial" w:cs="Arial"/>
          <w:iCs/>
          <w:sz w:val="24"/>
          <w:szCs w:val="24"/>
        </w:rPr>
        <w:t>B</w:t>
      </w:r>
      <w:r>
        <w:rPr>
          <w:rFonts w:ascii="Arial" w:hAnsi="Arial" w:cs="Arial"/>
          <w:iCs/>
          <w:sz w:val="24"/>
          <w:szCs w:val="24"/>
        </w:rPr>
        <w:t>ank</w:t>
      </w:r>
      <w:r w:rsidRPr="00AD5BD1">
        <w:rPr>
          <w:rFonts w:ascii="Arial" w:hAnsi="Arial" w:cs="Arial"/>
          <w:iCs/>
          <w:sz w:val="24"/>
          <w:szCs w:val="24"/>
        </w:rPr>
        <w:t>)</w:t>
      </w:r>
      <w:r>
        <w:rPr>
          <w:rFonts w:ascii="Arial" w:hAnsi="Arial" w:cs="Arial"/>
          <w:iCs/>
          <w:sz w:val="24"/>
          <w:szCs w:val="24"/>
        </w:rPr>
        <w:t>, o</w:t>
      </w:r>
      <w:r w:rsidRPr="00AD5BD1">
        <w:rPr>
          <w:rFonts w:ascii="Arial" w:hAnsi="Arial" w:cs="Arial"/>
          <w:iCs/>
          <w:sz w:val="24"/>
          <w:szCs w:val="24"/>
        </w:rPr>
        <w:t>rganizzazione nata dagli Accordi di Bretton Wood</w:t>
      </w:r>
      <w:r>
        <w:rPr>
          <w:rFonts w:ascii="Arial" w:hAnsi="Arial" w:cs="Arial"/>
          <w:iCs/>
          <w:sz w:val="24"/>
          <w:szCs w:val="24"/>
        </w:rPr>
        <w:t>s</w:t>
      </w:r>
      <w:r w:rsidRPr="00AD5BD1">
        <w:rPr>
          <w:rFonts w:ascii="Arial" w:hAnsi="Arial" w:cs="Arial"/>
          <w:sz w:val="24"/>
          <w:szCs w:val="24"/>
        </w:rPr>
        <w:t xml:space="preserve"> stipulati nel corso della </w:t>
      </w:r>
      <w:r>
        <w:rPr>
          <w:rFonts w:ascii="Arial" w:hAnsi="Arial" w:cs="Arial"/>
          <w:iCs/>
          <w:sz w:val="24"/>
          <w:szCs w:val="24"/>
        </w:rPr>
        <w:t>C</w:t>
      </w:r>
      <w:r w:rsidRPr="00AD5BD1">
        <w:rPr>
          <w:rFonts w:ascii="Arial" w:hAnsi="Arial" w:cs="Arial"/>
          <w:iCs/>
          <w:sz w:val="24"/>
          <w:szCs w:val="24"/>
        </w:rPr>
        <w:t>onferenza monetaria e finanziaria delle Nazioni Unite (</w:t>
      </w:r>
      <w:r w:rsidRPr="00AD5BD1">
        <w:rPr>
          <w:rFonts w:ascii="Arial" w:hAnsi="Arial" w:cs="Arial"/>
          <w:i/>
          <w:sz w:val="24"/>
          <w:szCs w:val="24"/>
        </w:rPr>
        <w:t>United Nations Monetary and Financial Conference</w:t>
      </w:r>
      <w:r w:rsidRPr="00AD5BD1">
        <w:rPr>
          <w:rFonts w:ascii="Arial" w:hAnsi="Arial" w:cs="Arial"/>
          <w:iCs/>
          <w:sz w:val="24"/>
          <w:szCs w:val="24"/>
        </w:rPr>
        <w:t>)</w:t>
      </w:r>
      <w:r>
        <w:rPr>
          <w:rFonts w:ascii="Arial" w:hAnsi="Arial" w:cs="Arial"/>
          <w:iCs/>
          <w:sz w:val="24"/>
          <w:szCs w:val="24"/>
        </w:rPr>
        <w:t xml:space="preserve"> tenutasi nell’omonima località nel luglio del 1944.</w:t>
      </w:r>
    </w:p>
    <w:p w14:paraId="26250BD5"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La Banca Mondiale fa parte di un gruppo</w:t>
      </w:r>
      <w:r w:rsidRPr="00F3617A">
        <w:t xml:space="preserve"> </w:t>
      </w:r>
      <w:r w:rsidRPr="00F3617A">
        <w:rPr>
          <w:rFonts w:ascii="Arial" w:hAnsi="Arial" w:cs="Arial"/>
          <w:iCs/>
          <w:sz w:val="24"/>
          <w:szCs w:val="24"/>
        </w:rPr>
        <w:t>(GBM) composto da cinque</w:t>
      </w:r>
      <w:r>
        <w:rPr>
          <w:rFonts w:ascii="Arial" w:hAnsi="Arial" w:cs="Arial"/>
          <w:iCs/>
          <w:sz w:val="24"/>
          <w:szCs w:val="24"/>
        </w:rPr>
        <w:t xml:space="preserve"> </w:t>
      </w:r>
      <w:r w:rsidRPr="00F3617A">
        <w:rPr>
          <w:rFonts w:ascii="Arial" w:hAnsi="Arial" w:cs="Arial"/>
          <w:iCs/>
          <w:sz w:val="24"/>
          <w:szCs w:val="24"/>
        </w:rPr>
        <w:t>istituzioni</w:t>
      </w:r>
      <w:r>
        <w:rPr>
          <w:rFonts w:ascii="Arial" w:hAnsi="Arial" w:cs="Arial"/>
          <w:iCs/>
          <w:sz w:val="24"/>
          <w:szCs w:val="24"/>
        </w:rPr>
        <w:t xml:space="preserve">, con distinte specializzazioni in diversi aspetti dello sviluppo ma con vincoli istituzionali comuni finalizzati all’assistenza e allo </w:t>
      </w:r>
      <w:r w:rsidRPr="00F3617A">
        <w:rPr>
          <w:rFonts w:ascii="Arial" w:hAnsi="Arial" w:cs="Arial"/>
          <w:iCs/>
          <w:sz w:val="24"/>
          <w:szCs w:val="24"/>
        </w:rPr>
        <w:t>sviluppo dei</w:t>
      </w:r>
      <w:r>
        <w:rPr>
          <w:rFonts w:ascii="Arial" w:hAnsi="Arial" w:cs="Arial"/>
          <w:iCs/>
          <w:sz w:val="24"/>
          <w:szCs w:val="24"/>
        </w:rPr>
        <w:t xml:space="preserve"> </w:t>
      </w:r>
      <w:r w:rsidRPr="00F3617A">
        <w:rPr>
          <w:rFonts w:ascii="Arial" w:hAnsi="Arial" w:cs="Arial"/>
          <w:iCs/>
          <w:sz w:val="24"/>
          <w:szCs w:val="24"/>
        </w:rPr>
        <w:t>paesi più poveri</w:t>
      </w:r>
      <w:r>
        <w:rPr>
          <w:rFonts w:ascii="Arial" w:hAnsi="Arial" w:cs="Arial"/>
          <w:iCs/>
          <w:sz w:val="24"/>
          <w:szCs w:val="24"/>
        </w:rPr>
        <w:t xml:space="preserve"> per la promozione di una crescita inclusiva e sostenibile (cd. “</w:t>
      </w:r>
      <w:r w:rsidRPr="0021047C">
        <w:rPr>
          <w:rFonts w:ascii="Arial" w:hAnsi="Arial" w:cs="Arial"/>
          <w:i/>
          <w:sz w:val="24"/>
          <w:szCs w:val="24"/>
        </w:rPr>
        <w:t>Shared Prosperity</w:t>
      </w:r>
      <w:r>
        <w:rPr>
          <w:rFonts w:ascii="Arial" w:hAnsi="Arial" w:cs="Arial"/>
          <w:iCs/>
          <w:sz w:val="24"/>
          <w:szCs w:val="24"/>
        </w:rPr>
        <w:t>”)</w:t>
      </w:r>
      <w:r w:rsidRPr="00F3617A">
        <w:rPr>
          <w:rFonts w:ascii="Arial" w:hAnsi="Arial" w:cs="Arial"/>
          <w:iCs/>
          <w:sz w:val="24"/>
          <w:szCs w:val="24"/>
        </w:rPr>
        <w:t>.</w:t>
      </w:r>
    </w:p>
    <w:p w14:paraId="7643C364" w14:textId="77777777" w:rsidR="00F83AF6" w:rsidRPr="00F3617A" w:rsidRDefault="00F83AF6" w:rsidP="00F83AF6">
      <w:pPr>
        <w:spacing w:line="360" w:lineRule="auto"/>
        <w:jc w:val="both"/>
        <w:rPr>
          <w:rFonts w:ascii="Arial" w:hAnsi="Arial" w:cs="Arial"/>
          <w:iCs/>
          <w:sz w:val="24"/>
          <w:szCs w:val="24"/>
        </w:rPr>
      </w:pPr>
      <w:r>
        <w:rPr>
          <w:rFonts w:ascii="Arial" w:hAnsi="Arial" w:cs="Arial"/>
          <w:iCs/>
          <w:sz w:val="24"/>
          <w:szCs w:val="24"/>
        </w:rPr>
        <w:t>Il menzionato GBM è composto dall</w:t>
      </w:r>
      <w:r w:rsidRPr="00F3617A">
        <w:rPr>
          <w:rFonts w:ascii="Arial" w:hAnsi="Arial" w:cs="Arial"/>
          <w:iCs/>
          <w:sz w:val="24"/>
          <w:szCs w:val="24"/>
        </w:rPr>
        <w:t>a Banca Mondiale per la</w:t>
      </w:r>
      <w:r>
        <w:rPr>
          <w:rFonts w:ascii="Arial" w:hAnsi="Arial" w:cs="Arial"/>
          <w:iCs/>
          <w:sz w:val="24"/>
          <w:szCs w:val="24"/>
        </w:rPr>
        <w:t xml:space="preserve"> </w:t>
      </w:r>
      <w:r w:rsidRPr="00F3617A">
        <w:rPr>
          <w:rFonts w:ascii="Arial" w:hAnsi="Arial" w:cs="Arial"/>
          <w:iCs/>
          <w:sz w:val="24"/>
          <w:szCs w:val="24"/>
        </w:rPr>
        <w:t>Ricostruzione e lo Sviluppo (IBRD),</w:t>
      </w:r>
      <w:r>
        <w:rPr>
          <w:rFonts w:ascii="Arial" w:hAnsi="Arial" w:cs="Arial"/>
          <w:iCs/>
          <w:sz w:val="24"/>
          <w:szCs w:val="24"/>
        </w:rPr>
        <w:t xml:space="preserve"> istituita il 27 dicembre 1945 unitamente al Fondo monetario Internazionale, per </w:t>
      </w:r>
      <w:r w:rsidRPr="007B78C3">
        <w:rPr>
          <w:rFonts w:ascii="Arial" w:hAnsi="Arial" w:cs="Arial"/>
          <w:iCs/>
          <w:sz w:val="24"/>
          <w:szCs w:val="24"/>
        </w:rPr>
        <w:t>sostenere la ricostruzione degli</w:t>
      </w:r>
      <w:r>
        <w:rPr>
          <w:rFonts w:ascii="Arial" w:hAnsi="Arial" w:cs="Arial"/>
          <w:iCs/>
          <w:sz w:val="24"/>
          <w:szCs w:val="24"/>
        </w:rPr>
        <w:t xml:space="preserve"> </w:t>
      </w:r>
      <w:r w:rsidRPr="007B78C3">
        <w:rPr>
          <w:rFonts w:ascii="Arial" w:hAnsi="Arial" w:cs="Arial"/>
          <w:iCs/>
          <w:sz w:val="24"/>
          <w:szCs w:val="24"/>
        </w:rPr>
        <w:t>Stati devastati dal secondo conflitto mondiale</w:t>
      </w:r>
      <w:r>
        <w:rPr>
          <w:rFonts w:ascii="Arial" w:hAnsi="Arial" w:cs="Arial"/>
          <w:iCs/>
          <w:sz w:val="24"/>
          <w:szCs w:val="24"/>
        </w:rPr>
        <w:t>, dal</w:t>
      </w:r>
      <w:r w:rsidRPr="00F3617A">
        <w:rPr>
          <w:rFonts w:ascii="Arial" w:hAnsi="Arial" w:cs="Arial"/>
          <w:iCs/>
          <w:sz w:val="24"/>
          <w:szCs w:val="24"/>
        </w:rPr>
        <w:t>l’Associazione</w:t>
      </w:r>
      <w:r>
        <w:rPr>
          <w:rFonts w:ascii="Arial" w:hAnsi="Arial" w:cs="Arial"/>
          <w:iCs/>
          <w:sz w:val="24"/>
          <w:szCs w:val="24"/>
        </w:rPr>
        <w:t xml:space="preserve"> </w:t>
      </w:r>
      <w:r w:rsidRPr="00F3617A">
        <w:rPr>
          <w:rFonts w:ascii="Arial" w:hAnsi="Arial" w:cs="Arial"/>
          <w:iCs/>
          <w:sz w:val="24"/>
          <w:szCs w:val="24"/>
        </w:rPr>
        <w:t>Internazionale di Sviluppo (IDA)</w:t>
      </w:r>
      <w:r>
        <w:rPr>
          <w:rFonts w:ascii="Arial" w:hAnsi="Arial" w:cs="Arial"/>
          <w:iCs/>
          <w:sz w:val="24"/>
          <w:szCs w:val="24"/>
        </w:rPr>
        <w:t xml:space="preserve">, nata nel 1960 </w:t>
      </w:r>
      <w:r w:rsidRPr="007B78C3">
        <w:rPr>
          <w:rFonts w:ascii="Arial" w:hAnsi="Arial" w:cs="Arial"/>
          <w:iCs/>
          <w:sz w:val="24"/>
          <w:szCs w:val="24"/>
        </w:rPr>
        <w:t>per</w:t>
      </w:r>
      <w:r w:rsidRPr="007B78C3">
        <w:rPr>
          <w:rFonts w:ascii="Arial" w:hAnsi="Arial" w:cs="Arial"/>
          <w:sz w:val="24"/>
          <w:szCs w:val="24"/>
        </w:rPr>
        <w:t xml:space="preserve"> fornire assistenza ai Paesi </w:t>
      </w:r>
      <w:r>
        <w:rPr>
          <w:rFonts w:ascii="Arial" w:hAnsi="Arial" w:cs="Arial"/>
          <w:sz w:val="24"/>
          <w:szCs w:val="24"/>
        </w:rPr>
        <w:t xml:space="preserve">impossibilitati ad </w:t>
      </w:r>
      <w:r w:rsidRPr="007B78C3">
        <w:rPr>
          <w:rFonts w:ascii="Arial" w:hAnsi="Arial" w:cs="Arial"/>
          <w:sz w:val="24"/>
          <w:szCs w:val="24"/>
        </w:rPr>
        <w:t xml:space="preserve">accedere ai prestiti </w:t>
      </w:r>
      <w:r>
        <w:rPr>
          <w:rFonts w:ascii="Arial" w:hAnsi="Arial" w:cs="Arial"/>
          <w:sz w:val="24"/>
          <w:szCs w:val="24"/>
        </w:rPr>
        <w:t xml:space="preserve">secondo </w:t>
      </w:r>
      <w:r w:rsidRPr="007B78C3">
        <w:rPr>
          <w:rFonts w:ascii="Arial" w:hAnsi="Arial" w:cs="Arial"/>
          <w:sz w:val="24"/>
          <w:szCs w:val="24"/>
        </w:rPr>
        <w:t>le condizioni previste dall’IBR</w:t>
      </w:r>
      <w:r>
        <w:rPr>
          <w:rFonts w:ascii="Arial" w:hAnsi="Arial" w:cs="Arial"/>
          <w:sz w:val="24"/>
          <w:szCs w:val="24"/>
        </w:rPr>
        <w:t>D, dal</w:t>
      </w:r>
      <w:r w:rsidRPr="00F3617A">
        <w:rPr>
          <w:rFonts w:ascii="Arial" w:hAnsi="Arial" w:cs="Arial"/>
          <w:iCs/>
          <w:sz w:val="24"/>
          <w:szCs w:val="24"/>
        </w:rPr>
        <w:t>la Società Finanziaria</w:t>
      </w:r>
      <w:r>
        <w:rPr>
          <w:rFonts w:ascii="Arial" w:hAnsi="Arial" w:cs="Arial"/>
          <w:iCs/>
          <w:sz w:val="24"/>
          <w:szCs w:val="24"/>
        </w:rPr>
        <w:t xml:space="preserve"> </w:t>
      </w:r>
      <w:r w:rsidRPr="00F3617A">
        <w:rPr>
          <w:rFonts w:ascii="Arial" w:hAnsi="Arial" w:cs="Arial"/>
          <w:iCs/>
          <w:sz w:val="24"/>
          <w:szCs w:val="24"/>
        </w:rPr>
        <w:t>Internazionale (IFC)</w:t>
      </w:r>
      <w:r>
        <w:rPr>
          <w:rFonts w:ascii="Arial" w:hAnsi="Arial" w:cs="Arial"/>
          <w:iCs/>
          <w:sz w:val="24"/>
          <w:szCs w:val="24"/>
        </w:rPr>
        <w:t>,</w:t>
      </w:r>
      <w:r w:rsidRPr="00F3617A">
        <w:rPr>
          <w:rFonts w:ascii="Arial" w:hAnsi="Arial" w:cs="Arial"/>
          <w:iCs/>
          <w:sz w:val="24"/>
          <w:szCs w:val="24"/>
        </w:rPr>
        <w:t xml:space="preserve"> </w:t>
      </w:r>
      <w:r>
        <w:rPr>
          <w:rFonts w:ascii="Arial" w:hAnsi="Arial" w:cs="Arial"/>
          <w:iCs/>
          <w:sz w:val="24"/>
          <w:szCs w:val="24"/>
        </w:rPr>
        <w:t>costituita nel 1956</w:t>
      </w:r>
      <w:r w:rsidRPr="007B78C3">
        <w:t xml:space="preserve"> </w:t>
      </w:r>
      <w:r>
        <w:rPr>
          <w:rFonts w:ascii="Arial" w:hAnsi="Arial" w:cs="Arial"/>
          <w:iCs/>
          <w:sz w:val="24"/>
          <w:szCs w:val="24"/>
        </w:rPr>
        <w:t>per sollecitare</w:t>
      </w:r>
      <w:r w:rsidRPr="007B78C3">
        <w:rPr>
          <w:rFonts w:ascii="Arial" w:hAnsi="Arial" w:cs="Arial"/>
          <w:iCs/>
          <w:sz w:val="24"/>
          <w:szCs w:val="24"/>
        </w:rPr>
        <w:t xml:space="preserve"> la crescita del settore privato nei Paesi in via</w:t>
      </w:r>
      <w:r>
        <w:rPr>
          <w:rFonts w:ascii="Arial" w:hAnsi="Arial" w:cs="Arial"/>
          <w:iCs/>
          <w:sz w:val="24"/>
          <w:szCs w:val="24"/>
        </w:rPr>
        <w:t xml:space="preserve"> </w:t>
      </w:r>
      <w:r w:rsidRPr="007B78C3">
        <w:rPr>
          <w:rFonts w:ascii="Arial" w:hAnsi="Arial" w:cs="Arial"/>
          <w:iCs/>
          <w:sz w:val="24"/>
          <w:szCs w:val="24"/>
        </w:rPr>
        <w:t>di sviluppo</w:t>
      </w:r>
      <w:r>
        <w:rPr>
          <w:rFonts w:ascii="Arial" w:hAnsi="Arial" w:cs="Arial"/>
          <w:iCs/>
          <w:sz w:val="24"/>
          <w:szCs w:val="24"/>
        </w:rPr>
        <w:t>, dal</w:t>
      </w:r>
      <w:r w:rsidRPr="00F3617A">
        <w:rPr>
          <w:rFonts w:ascii="Arial" w:hAnsi="Arial" w:cs="Arial"/>
          <w:iCs/>
          <w:sz w:val="24"/>
          <w:szCs w:val="24"/>
        </w:rPr>
        <w:t>l’Agenzia Multilaterale per la Garanzia</w:t>
      </w:r>
      <w:r>
        <w:rPr>
          <w:rFonts w:ascii="Arial" w:hAnsi="Arial" w:cs="Arial"/>
          <w:iCs/>
          <w:sz w:val="24"/>
          <w:szCs w:val="24"/>
        </w:rPr>
        <w:t xml:space="preserve"> </w:t>
      </w:r>
      <w:r w:rsidRPr="00F3617A">
        <w:rPr>
          <w:rFonts w:ascii="Arial" w:hAnsi="Arial" w:cs="Arial"/>
          <w:iCs/>
          <w:sz w:val="24"/>
          <w:szCs w:val="24"/>
        </w:rPr>
        <w:t>degli Investimenti (MIGA)</w:t>
      </w:r>
      <w:r>
        <w:rPr>
          <w:rFonts w:ascii="Arial" w:hAnsi="Arial" w:cs="Arial"/>
          <w:iCs/>
          <w:sz w:val="24"/>
          <w:szCs w:val="24"/>
        </w:rPr>
        <w:t>, fondata nel 1988</w:t>
      </w:r>
      <w:r w:rsidRPr="00F21C10">
        <w:t xml:space="preserve"> </w:t>
      </w:r>
      <w:r w:rsidRPr="00F21C10">
        <w:rPr>
          <w:rFonts w:ascii="Arial" w:hAnsi="Arial" w:cs="Arial"/>
          <w:iCs/>
          <w:sz w:val="24"/>
          <w:szCs w:val="24"/>
        </w:rPr>
        <w:t>p</w:t>
      </w:r>
      <w:r>
        <w:rPr>
          <w:rFonts w:ascii="Arial" w:hAnsi="Arial" w:cs="Arial"/>
          <w:iCs/>
          <w:sz w:val="24"/>
          <w:szCs w:val="24"/>
        </w:rPr>
        <w:t>er pr</w:t>
      </w:r>
      <w:r w:rsidRPr="00F21C10">
        <w:rPr>
          <w:rFonts w:ascii="Arial" w:hAnsi="Arial" w:cs="Arial"/>
          <w:iCs/>
          <w:sz w:val="24"/>
          <w:szCs w:val="24"/>
        </w:rPr>
        <w:t>omuovere gli investimenti</w:t>
      </w:r>
      <w:r>
        <w:rPr>
          <w:rFonts w:ascii="Arial" w:hAnsi="Arial" w:cs="Arial"/>
          <w:iCs/>
          <w:sz w:val="24"/>
          <w:szCs w:val="24"/>
        </w:rPr>
        <w:t xml:space="preserve"> </w:t>
      </w:r>
      <w:r w:rsidRPr="00F21C10">
        <w:rPr>
          <w:rFonts w:ascii="Arial" w:hAnsi="Arial" w:cs="Arial"/>
          <w:iCs/>
          <w:sz w:val="24"/>
          <w:szCs w:val="24"/>
        </w:rPr>
        <w:t xml:space="preserve">esteri diretti nei Paesi </w:t>
      </w:r>
      <w:r w:rsidRPr="00F21C10">
        <w:rPr>
          <w:rFonts w:ascii="Arial" w:hAnsi="Arial" w:cs="Arial"/>
          <w:iCs/>
          <w:sz w:val="24"/>
          <w:szCs w:val="24"/>
        </w:rPr>
        <w:lastRenderedPageBreak/>
        <w:t>in via di sviluppo</w:t>
      </w:r>
      <w:r>
        <w:rPr>
          <w:rFonts w:ascii="Arial" w:hAnsi="Arial" w:cs="Arial"/>
          <w:iCs/>
          <w:sz w:val="24"/>
          <w:szCs w:val="24"/>
        </w:rPr>
        <w:t xml:space="preserve">, </w:t>
      </w:r>
      <w:r w:rsidRPr="00F3617A">
        <w:rPr>
          <w:rFonts w:ascii="Arial" w:hAnsi="Arial" w:cs="Arial"/>
          <w:iCs/>
          <w:sz w:val="24"/>
          <w:szCs w:val="24"/>
        </w:rPr>
        <w:t xml:space="preserve">e </w:t>
      </w:r>
      <w:r>
        <w:rPr>
          <w:rFonts w:ascii="Arial" w:hAnsi="Arial" w:cs="Arial"/>
          <w:iCs/>
          <w:sz w:val="24"/>
          <w:szCs w:val="24"/>
        </w:rPr>
        <w:t>dal</w:t>
      </w:r>
      <w:r w:rsidRPr="00F3617A">
        <w:rPr>
          <w:rFonts w:ascii="Arial" w:hAnsi="Arial" w:cs="Arial"/>
          <w:iCs/>
          <w:sz w:val="24"/>
          <w:szCs w:val="24"/>
        </w:rPr>
        <w:t xml:space="preserve"> Centro Internazionale per la</w:t>
      </w:r>
      <w:r>
        <w:rPr>
          <w:rFonts w:ascii="Arial" w:hAnsi="Arial" w:cs="Arial"/>
          <w:iCs/>
          <w:sz w:val="24"/>
          <w:szCs w:val="24"/>
        </w:rPr>
        <w:t xml:space="preserve"> </w:t>
      </w:r>
      <w:r w:rsidRPr="00F3617A">
        <w:rPr>
          <w:rFonts w:ascii="Arial" w:hAnsi="Arial" w:cs="Arial"/>
          <w:iCs/>
          <w:sz w:val="24"/>
          <w:szCs w:val="24"/>
        </w:rPr>
        <w:t>Risoluzione delle Controversie in Materia di Investimenti</w:t>
      </w:r>
      <w:r>
        <w:rPr>
          <w:rFonts w:ascii="Arial" w:hAnsi="Arial" w:cs="Arial"/>
          <w:iCs/>
          <w:sz w:val="24"/>
          <w:szCs w:val="24"/>
        </w:rPr>
        <w:t xml:space="preserve"> </w:t>
      </w:r>
      <w:r w:rsidRPr="00F3617A">
        <w:rPr>
          <w:rFonts w:ascii="Arial" w:hAnsi="Arial" w:cs="Arial"/>
          <w:iCs/>
          <w:sz w:val="24"/>
          <w:szCs w:val="24"/>
        </w:rPr>
        <w:t>(ICSID)</w:t>
      </w:r>
      <w:r>
        <w:rPr>
          <w:rFonts w:ascii="Arial" w:hAnsi="Arial" w:cs="Arial"/>
          <w:iCs/>
          <w:sz w:val="24"/>
          <w:szCs w:val="24"/>
        </w:rPr>
        <w:t>, c</w:t>
      </w:r>
      <w:r w:rsidRPr="00F21C10">
        <w:rPr>
          <w:rFonts w:ascii="Arial" w:hAnsi="Arial" w:cs="Arial"/>
          <w:iCs/>
          <w:sz w:val="24"/>
          <w:szCs w:val="24"/>
        </w:rPr>
        <w:t>ostituito nel 1966</w:t>
      </w:r>
      <w:r>
        <w:rPr>
          <w:rFonts w:ascii="Arial" w:hAnsi="Arial" w:cs="Arial"/>
          <w:iCs/>
          <w:sz w:val="24"/>
          <w:szCs w:val="24"/>
        </w:rPr>
        <w:t xml:space="preserve"> in esecuzione di quanto previsto da</w:t>
      </w:r>
      <w:r w:rsidRPr="00F21C10">
        <w:rPr>
          <w:rFonts w:ascii="Arial" w:hAnsi="Arial" w:cs="Arial"/>
          <w:iCs/>
          <w:sz w:val="24"/>
          <w:szCs w:val="24"/>
        </w:rPr>
        <w:t>lla Convenzione per la risoluzione delle controversie in materia di investimenti</w:t>
      </w:r>
      <w:r>
        <w:rPr>
          <w:rFonts w:ascii="Arial" w:hAnsi="Arial" w:cs="Arial"/>
          <w:iCs/>
          <w:sz w:val="24"/>
          <w:szCs w:val="24"/>
        </w:rPr>
        <w:t xml:space="preserve"> </w:t>
      </w:r>
      <w:r w:rsidRPr="00F21C10">
        <w:rPr>
          <w:rFonts w:ascii="Arial" w:hAnsi="Arial" w:cs="Arial"/>
          <w:iCs/>
          <w:sz w:val="24"/>
          <w:szCs w:val="24"/>
        </w:rPr>
        <w:t>tra Stati e investitori stranieri</w:t>
      </w:r>
      <w:r>
        <w:rPr>
          <w:rFonts w:ascii="Arial" w:hAnsi="Arial" w:cs="Arial"/>
          <w:iCs/>
          <w:sz w:val="24"/>
          <w:szCs w:val="24"/>
        </w:rPr>
        <w:t>.</w:t>
      </w:r>
    </w:p>
    <w:p w14:paraId="20ABCB71"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 xml:space="preserve">La denominazione </w:t>
      </w:r>
      <w:r w:rsidRPr="00F3617A">
        <w:rPr>
          <w:rFonts w:ascii="Arial" w:hAnsi="Arial" w:cs="Arial"/>
          <w:iCs/>
          <w:sz w:val="24"/>
          <w:szCs w:val="24"/>
        </w:rPr>
        <w:t>Banca Mondiale (BM)</w:t>
      </w:r>
      <w:r>
        <w:rPr>
          <w:rFonts w:ascii="Arial" w:hAnsi="Arial" w:cs="Arial"/>
          <w:iCs/>
          <w:sz w:val="24"/>
          <w:szCs w:val="24"/>
        </w:rPr>
        <w:t xml:space="preserve"> è da intendersi riferita,</w:t>
      </w:r>
      <w:r w:rsidRPr="00F3617A">
        <w:rPr>
          <w:rFonts w:ascii="Arial" w:hAnsi="Arial" w:cs="Arial"/>
          <w:iCs/>
          <w:sz w:val="24"/>
          <w:szCs w:val="24"/>
        </w:rPr>
        <w:t xml:space="preserve"> generalmente</w:t>
      </w:r>
      <w:r>
        <w:rPr>
          <w:rFonts w:ascii="Arial" w:hAnsi="Arial" w:cs="Arial"/>
          <w:iCs/>
          <w:sz w:val="24"/>
          <w:szCs w:val="24"/>
        </w:rPr>
        <w:t>,</w:t>
      </w:r>
      <w:r w:rsidRPr="00F3617A">
        <w:rPr>
          <w:rFonts w:ascii="Arial" w:hAnsi="Arial" w:cs="Arial"/>
          <w:iCs/>
          <w:sz w:val="24"/>
          <w:szCs w:val="24"/>
        </w:rPr>
        <w:t xml:space="preserve"> solo a IBRD e IDA, mentre il termine</w:t>
      </w:r>
      <w:r>
        <w:rPr>
          <w:rFonts w:ascii="Arial" w:hAnsi="Arial" w:cs="Arial"/>
          <w:iCs/>
          <w:sz w:val="24"/>
          <w:szCs w:val="24"/>
        </w:rPr>
        <w:t xml:space="preserve"> </w:t>
      </w:r>
      <w:r w:rsidRPr="00F3617A">
        <w:rPr>
          <w:rFonts w:ascii="Arial" w:hAnsi="Arial" w:cs="Arial"/>
          <w:iCs/>
          <w:sz w:val="24"/>
          <w:szCs w:val="24"/>
        </w:rPr>
        <w:t xml:space="preserve">Gruppo Banca Mondiale (GBM) </w:t>
      </w:r>
      <w:r>
        <w:rPr>
          <w:rFonts w:ascii="Arial" w:hAnsi="Arial" w:cs="Arial"/>
          <w:iCs/>
          <w:sz w:val="24"/>
          <w:szCs w:val="24"/>
        </w:rPr>
        <w:t xml:space="preserve">include </w:t>
      </w:r>
      <w:r w:rsidRPr="00F3617A">
        <w:rPr>
          <w:rFonts w:ascii="Arial" w:hAnsi="Arial" w:cs="Arial"/>
          <w:iCs/>
          <w:sz w:val="24"/>
          <w:szCs w:val="24"/>
        </w:rPr>
        <w:t xml:space="preserve">tutte le </w:t>
      </w:r>
      <w:r>
        <w:rPr>
          <w:rFonts w:ascii="Arial" w:hAnsi="Arial" w:cs="Arial"/>
          <w:iCs/>
          <w:sz w:val="24"/>
          <w:szCs w:val="24"/>
        </w:rPr>
        <w:t xml:space="preserve">cinque </w:t>
      </w:r>
      <w:r w:rsidRPr="00F3617A">
        <w:rPr>
          <w:rFonts w:ascii="Arial" w:hAnsi="Arial" w:cs="Arial"/>
          <w:iCs/>
          <w:sz w:val="24"/>
          <w:szCs w:val="24"/>
        </w:rPr>
        <w:t>istituzioni</w:t>
      </w:r>
      <w:r>
        <w:rPr>
          <w:rFonts w:ascii="Arial" w:hAnsi="Arial" w:cs="Arial"/>
          <w:iCs/>
          <w:sz w:val="24"/>
          <w:szCs w:val="24"/>
        </w:rPr>
        <w:t xml:space="preserve"> che lo compongono.</w:t>
      </w:r>
    </w:p>
    <w:p w14:paraId="79A8681E"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 xml:space="preserve">Con riguardo agli aspetti organizzativi, le </w:t>
      </w:r>
      <w:r w:rsidRPr="001C5D04">
        <w:rPr>
          <w:rFonts w:ascii="Arial" w:hAnsi="Arial" w:cs="Arial"/>
          <w:iCs/>
          <w:sz w:val="24"/>
          <w:szCs w:val="24"/>
        </w:rPr>
        <w:t>istituzion</w:t>
      </w:r>
      <w:r>
        <w:rPr>
          <w:rFonts w:ascii="Arial" w:hAnsi="Arial" w:cs="Arial"/>
          <w:iCs/>
          <w:sz w:val="24"/>
          <w:szCs w:val="24"/>
        </w:rPr>
        <w:t>i che compongono il</w:t>
      </w:r>
      <w:r w:rsidRPr="001C5D04">
        <w:rPr>
          <w:rFonts w:ascii="Arial" w:hAnsi="Arial" w:cs="Arial"/>
          <w:iCs/>
          <w:sz w:val="24"/>
          <w:szCs w:val="24"/>
        </w:rPr>
        <w:t xml:space="preserve"> G</w:t>
      </w:r>
      <w:r>
        <w:rPr>
          <w:rFonts w:ascii="Arial" w:hAnsi="Arial" w:cs="Arial"/>
          <w:iCs/>
          <w:sz w:val="24"/>
          <w:szCs w:val="24"/>
        </w:rPr>
        <w:t xml:space="preserve">BM sono dotate di un proprio </w:t>
      </w:r>
      <w:r w:rsidRPr="001C5D04">
        <w:rPr>
          <w:rFonts w:ascii="Arial" w:hAnsi="Arial" w:cs="Arial"/>
          <w:iCs/>
          <w:sz w:val="24"/>
          <w:szCs w:val="24"/>
        </w:rPr>
        <w:t>statuto</w:t>
      </w:r>
      <w:r>
        <w:rPr>
          <w:rFonts w:ascii="Arial" w:hAnsi="Arial" w:cs="Arial"/>
          <w:iCs/>
          <w:sz w:val="24"/>
          <w:szCs w:val="24"/>
        </w:rPr>
        <w:t xml:space="preserve"> che, oltre ad esprimere le finalità costitutive e gli obiettivi perseguiti</w:t>
      </w:r>
      <w:r w:rsidRPr="001C5D04">
        <w:rPr>
          <w:rFonts w:ascii="Arial" w:hAnsi="Arial" w:cs="Arial"/>
          <w:iCs/>
          <w:sz w:val="24"/>
          <w:szCs w:val="24"/>
        </w:rPr>
        <w:t xml:space="preserve">, </w:t>
      </w:r>
      <w:r>
        <w:rPr>
          <w:rFonts w:ascii="Arial" w:hAnsi="Arial" w:cs="Arial"/>
          <w:iCs/>
          <w:sz w:val="24"/>
          <w:szCs w:val="24"/>
        </w:rPr>
        <w:t xml:space="preserve">regola </w:t>
      </w:r>
      <w:r w:rsidRPr="001C5D04">
        <w:rPr>
          <w:rFonts w:ascii="Arial" w:hAnsi="Arial" w:cs="Arial"/>
          <w:iCs/>
          <w:sz w:val="24"/>
          <w:szCs w:val="24"/>
        </w:rPr>
        <w:t>i principi organizzativi</w:t>
      </w:r>
      <w:r>
        <w:rPr>
          <w:rFonts w:ascii="Arial" w:hAnsi="Arial" w:cs="Arial"/>
          <w:iCs/>
          <w:sz w:val="24"/>
          <w:szCs w:val="24"/>
        </w:rPr>
        <w:t xml:space="preserve">, le modalità </w:t>
      </w:r>
      <w:r w:rsidRPr="001C5D04">
        <w:rPr>
          <w:rFonts w:ascii="Arial" w:hAnsi="Arial" w:cs="Arial"/>
          <w:iCs/>
          <w:sz w:val="24"/>
          <w:szCs w:val="24"/>
        </w:rPr>
        <w:t>di</w:t>
      </w:r>
      <w:r>
        <w:rPr>
          <w:rFonts w:ascii="Arial" w:hAnsi="Arial" w:cs="Arial"/>
          <w:iCs/>
          <w:sz w:val="24"/>
          <w:szCs w:val="24"/>
        </w:rPr>
        <w:t xml:space="preserve"> </w:t>
      </w:r>
      <w:r w:rsidRPr="001C5D04">
        <w:rPr>
          <w:rFonts w:ascii="Arial" w:hAnsi="Arial" w:cs="Arial"/>
          <w:iCs/>
          <w:sz w:val="24"/>
          <w:szCs w:val="24"/>
        </w:rPr>
        <w:t>adesione</w:t>
      </w:r>
      <w:r>
        <w:rPr>
          <w:rFonts w:ascii="Arial" w:hAnsi="Arial" w:cs="Arial"/>
          <w:iCs/>
          <w:sz w:val="24"/>
          <w:szCs w:val="24"/>
        </w:rPr>
        <w:t xml:space="preserve"> e le procedure di </w:t>
      </w:r>
      <w:r w:rsidRPr="001C5D04">
        <w:rPr>
          <w:rFonts w:ascii="Arial" w:hAnsi="Arial" w:cs="Arial"/>
          <w:iCs/>
          <w:sz w:val="24"/>
          <w:szCs w:val="24"/>
        </w:rPr>
        <w:t>gestione</w:t>
      </w:r>
      <w:r>
        <w:rPr>
          <w:rFonts w:ascii="Arial" w:hAnsi="Arial" w:cs="Arial"/>
          <w:iCs/>
          <w:sz w:val="24"/>
          <w:szCs w:val="24"/>
        </w:rPr>
        <w:t>.</w:t>
      </w:r>
    </w:p>
    <w:p w14:paraId="4CAF3E55"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 xml:space="preserve">Il </w:t>
      </w:r>
      <w:r w:rsidRPr="00E73983">
        <w:rPr>
          <w:rFonts w:ascii="Arial" w:hAnsi="Arial" w:cs="Arial"/>
          <w:iCs/>
          <w:sz w:val="24"/>
          <w:szCs w:val="24"/>
        </w:rPr>
        <w:t xml:space="preserve">vertice del Gruppo della Banca Mondiale è </w:t>
      </w:r>
      <w:r>
        <w:rPr>
          <w:rFonts w:ascii="Arial" w:hAnsi="Arial" w:cs="Arial"/>
          <w:iCs/>
          <w:sz w:val="24"/>
          <w:szCs w:val="24"/>
        </w:rPr>
        <w:t xml:space="preserve">rappresentato dal </w:t>
      </w:r>
      <w:r w:rsidRPr="00E73983">
        <w:rPr>
          <w:rFonts w:ascii="Arial" w:hAnsi="Arial" w:cs="Arial"/>
          <w:iCs/>
          <w:sz w:val="24"/>
          <w:szCs w:val="24"/>
        </w:rPr>
        <w:t>Presidente</w:t>
      </w:r>
      <w:r>
        <w:rPr>
          <w:rFonts w:ascii="Arial" w:hAnsi="Arial" w:cs="Arial"/>
          <w:iCs/>
          <w:sz w:val="24"/>
          <w:szCs w:val="24"/>
        </w:rPr>
        <w:t xml:space="preserve">, designato per tradizione dagli Stati Uniti, paese che detiene la maggiore quota di voti (16,4%); egli è investito di un mandato quinquennale, </w:t>
      </w:r>
      <w:r w:rsidRPr="00E73983">
        <w:rPr>
          <w:rFonts w:ascii="Arial" w:hAnsi="Arial" w:cs="Arial"/>
          <w:iCs/>
          <w:sz w:val="24"/>
          <w:szCs w:val="24"/>
        </w:rPr>
        <w:t>presiede le riunioni dei Consigli esecutivi</w:t>
      </w:r>
      <w:r>
        <w:t>,</w:t>
      </w:r>
      <w:r w:rsidRPr="00B01471">
        <w:rPr>
          <w:rFonts w:ascii="Arial" w:hAnsi="Arial" w:cs="Arial"/>
          <w:iCs/>
          <w:sz w:val="24"/>
          <w:szCs w:val="24"/>
        </w:rPr>
        <w:t xml:space="preserve"> organi responsabili dell’amministrazione</w:t>
      </w:r>
      <w:r>
        <w:rPr>
          <w:rFonts w:ascii="Arial" w:hAnsi="Arial" w:cs="Arial"/>
          <w:iCs/>
          <w:sz w:val="24"/>
          <w:szCs w:val="24"/>
        </w:rPr>
        <w:t>, ed</w:t>
      </w:r>
      <w:r w:rsidRPr="00E73983">
        <w:rPr>
          <w:rFonts w:ascii="Arial" w:hAnsi="Arial" w:cs="Arial"/>
          <w:iCs/>
          <w:sz w:val="24"/>
          <w:szCs w:val="24"/>
        </w:rPr>
        <w:t xml:space="preserve"> è responsabile della gestione delle istituzioni e del Gruppo nel suo complesso.</w:t>
      </w:r>
      <w:r>
        <w:rPr>
          <w:rFonts w:ascii="Arial" w:hAnsi="Arial" w:cs="Arial"/>
          <w:iCs/>
          <w:sz w:val="24"/>
          <w:szCs w:val="24"/>
        </w:rPr>
        <w:t xml:space="preserve"> I paesi aderenti (attualmente 189), nominano il Consiglio dei Governatori,</w:t>
      </w:r>
      <w:r w:rsidRPr="00B01471">
        <w:rPr>
          <w:rFonts w:ascii="Arial" w:hAnsi="Arial" w:cs="Arial"/>
          <w:iCs/>
          <w:sz w:val="24"/>
          <w:szCs w:val="24"/>
        </w:rPr>
        <w:t xml:space="preserve"> </w:t>
      </w:r>
      <w:r>
        <w:rPr>
          <w:rFonts w:ascii="Arial" w:hAnsi="Arial" w:cs="Arial"/>
          <w:iCs/>
          <w:sz w:val="24"/>
          <w:szCs w:val="24"/>
        </w:rPr>
        <w:t>generalmente rappresentati dai Governatori delle banche nazionali, dai M</w:t>
      </w:r>
      <w:r w:rsidRPr="00A173E2">
        <w:rPr>
          <w:rFonts w:ascii="Arial" w:hAnsi="Arial" w:cs="Arial"/>
          <w:iCs/>
          <w:sz w:val="24"/>
          <w:szCs w:val="24"/>
        </w:rPr>
        <w:t xml:space="preserve">inistri delle finanze dei </w:t>
      </w:r>
      <w:r>
        <w:rPr>
          <w:rFonts w:ascii="Arial" w:hAnsi="Arial" w:cs="Arial"/>
          <w:iCs/>
          <w:sz w:val="24"/>
          <w:szCs w:val="24"/>
        </w:rPr>
        <w:t>P</w:t>
      </w:r>
      <w:r w:rsidRPr="00A173E2">
        <w:rPr>
          <w:rFonts w:ascii="Arial" w:hAnsi="Arial" w:cs="Arial"/>
          <w:iCs/>
          <w:sz w:val="24"/>
          <w:szCs w:val="24"/>
        </w:rPr>
        <w:t>aesi membri o i ministri dello sviluppo</w:t>
      </w:r>
      <w:r>
        <w:rPr>
          <w:rFonts w:ascii="Arial" w:hAnsi="Arial" w:cs="Arial"/>
          <w:iCs/>
          <w:sz w:val="24"/>
          <w:szCs w:val="24"/>
        </w:rPr>
        <w:t xml:space="preserve">, che approvano la nomina del Presidente e costituiscono </w:t>
      </w:r>
      <w:r w:rsidRPr="00A173E2">
        <w:rPr>
          <w:rFonts w:ascii="Arial" w:hAnsi="Arial" w:cs="Arial"/>
          <w:iCs/>
          <w:sz w:val="24"/>
          <w:szCs w:val="24"/>
        </w:rPr>
        <w:t>i massimi responsabili politici della Banca</w:t>
      </w:r>
      <w:r>
        <w:rPr>
          <w:rFonts w:ascii="Arial" w:hAnsi="Arial" w:cs="Arial"/>
          <w:iCs/>
          <w:sz w:val="24"/>
          <w:szCs w:val="24"/>
        </w:rPr>
        <w:t>.</w:t>
      </w:r>
    </w:p>
    <w:p w14:paraId="79F73165"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 xml:space="preserve">I processi di lavoro dalla </w:t>
      </w:r>
      <w:r w:rsidRPr="005B2A21">
        <w:rPr>
          <w:rFonts w:ascii="Arial" w:hAnsi="Arial" w:cs="Arial"/>
          <w:iCs/>
          <w:sz w:val="24"/>
          <w:szCs w:val="24"/>
        </w:rPr>
        <w:t>BM</w:t>
      </w:r>
      <w:r>
        <w:rPr>
          <w:rFonts w:ascii="Arial" w:hAnsi="Arial" w:cs="Arial"/>
          <w:iCs/>
          <w:sz w:val="24"/>
          <w:szCs w:val="24"/>
        </w:rPr>
        <w:t xml:space="preserve"> sono indirizzati alla concessione di </w:t>
      </w:r>
      <w:r w:rsidRPr="005B2A21">
        <w:rPr>
          <w:rFonts w:ascii="Arial" w:hAnsi="Arial" w:cs="Arial"/>
          <w:iCs/>
          <w:sz w:val="24"/>
          <w:szCs w:val="24"/>
        </w:rPr>
        <w:t>prestiti e</w:t>
      </w:r>
      <w:r>
        <w:rPr>
          <w:rFonts w:ascii="Arial" w:hAnsi="Arial" w:cs="Arial"/>
          <w:iCs/>
          <w:sz w:val="24"/>
          <w:szCs w:val="24"/>
        </w:rPr>
        <w:t xml:space="preserve"> all’ </w:t>
      </w:r>
      <w:r w:rsidRPr="005B2A21">
        <w:rPr>
          <w:rFonts w:ascii="Arial" w:hAnsi="Arial" w:cs="Arial"/>
          <w:iCs/>
          <w:sz w:val="24"/>
          <w:szCs w:val="24"/>
        </w:rPr>
        <w:t>assistenza tecnica</w:t>
      </w:r>
      <w:r>
        <w:rPr>
          <w:rFonts w:ascii="Arial" w:hAnsi="Arial" w:cs="Arial"/>
          <w:iCs/>
          <w:sz w:val="24"/>
          <w:szCs w:val="24"/>
        </w:rPr>
        <w:t xml:space="preserve"> dei governi</w:t>
      </w:r>
      <w:r w:rsidRPr="005B2A21">
        <w:rPr>
          <w:rFonts w:ascii="Arial" w:hAnsi="Arial" w:cs="Arial"/>
          <w:iCs/>
          <w:sz w:val="24"/>
          <w:szCs w:val="24"/>
        </w:rPr>
        <w:t xml:space="preserve"> beneficiari dei prestiti</w:t>
      </w:r>
      <w:r>
        <w:rPr>
          <w:rFonts w:ascii="Arial" w:hAnsi="Arial" w:cs="Arial"/>
          <w:iCs/>
          <w:sz w:val="24"/>
          <w:szCs w:val="24"/>
        </w:rPr>
        <w:t>; la suddivisione degli interventi finanziari prevede che l’</w:t>
      </w:r>
      <w:r w:rsidRPr="005B2A21">
        <w:rPr>
          <w:rFonts w:ascii="Arial" w:hAnsi="Arial" w:cs="Arial"/>
          <w:iCs/>
          <w:sz w:val="24"/>
          <w:szCs w:val="24"/>
        </w:rPr>
        <w:t>IBRD</w:t>
      </w:r>
      <w:r>
        <w:rPr>
          <w:rFonts w:ascii="Arial" w:hAnsi="Arial" w:cs="Arial"/>
          <w:iCs/>
          <w:sz w:val="24"/>
          <w:szCs w:val="24"/>
        </w:rPr>
        <w:t xml:space="preserve"> </w:t>
      </w:r>
      <w:r w:rsidRPr="005B2A21">
        <w:rPr>
          <w:rFonts w:ascii="Arial" w:hAnsi="Arial" w:cs="Arial"/>
          <w:iCs/>
          <w:sz w:val="24"/>
          <w:szCs w:val="24"/>
        </w:rPr>
        <w:t>assist</w:t>
      </w:r>
      <w:r>
        <w:rPr>
          <w:rFonts w:ascii="Arial" w:hAnsi="Arial" w:cs="Arial"/>
          <w:iCs/>
          <w:sz w:val="24"/>
          <w:szCs w:val="24"/>
        </w:rPr>
        <w:t>a</w:t>
      </w:r>
      <w:r w:rsidRPr="005B2A21">
        <w:rPr>
          <w:rFonts w:ascii="Arial" w:hAnsi="Arial" w:cs="Arial"/>
          <w:iCs/>
          <w:sz w:val="24"/>
          <w:szCs w:val="24"/>
        </w:rPr>
        <w:t xml:space="preserve"> i paesi di medio reddito e i PVS </w:t>
      </w:r>
      <w:r>
        <w:rPr>
          <w:rFonts w:ascii="Arial" w:hAnsi="Arial" w:cs="Arial"/>
          <w:iCs/>
          <w:sz w:val="24"/>
          <w:szCs w:val="24"/>
        </w:rPr>
        <w:t>che hanno m</w:t>
      </w:r>
      <w:r w:rsidRPr="005B2A21">
        <w:rPr>
          <w:rFonts w:ascii="Arial" w:hAnsi="Arial" w:cs="Arial"/>
          <w:iCs/>
          <w:sz w:val="24"/>
          <w:szCs w:val="24"/>
        </w:rPr>
        <w:t>erito di credito,</w:t>
      </w:r>
      <w:r>
        <w:rPr>
          <w:rFonts w:ascii="Arial" w:hAnsi="Arial" w:cs="Arial"/>
          <w:iCs/>
          <w:sz w:val="24"/>
          <w:szCs w:val="24"/>
        </w:rPr>
        <w:t xml:space="preserve"> </w:t>
      </w:r>
      <w:r w:rsidRPr="005B2A21">
        <w:rPr>
          <w:rFonts w:ascii="Arial" w:hAnsi="Arial" w:cs="Arial"/>
          <w:iCs/>
          <w:sz w:val="24"/>
          <w:szCs w:val="24"/>
        </w:rPr>
        <w:t xml:space="preserve">mentre </w:t>
      </w:r>
      <w:r>
        <w:rPr>
          <w:rFonts w:ascii="Arial" w:hAnsi="Arial" w:cs="Arial"/>
          <w:iCs/>
          <w:sz w:val="24"/>
          <w:szCs w:val="24"/>
        </w:rPr>
        <w:t>i programmi del</w:t>
      </w:r>
      <w:r w:rsidRPr="005B2A21">
        <w:rPr>
          <w:rFonts w:ascii="Arial" w:hAnsi="Arial" w:cs="Arial"/>
          <w:iCs/>
          <w:sz w:val="24"/>
          <w:szCs w:val="24"/>
        </w:rPr>
        <w:t xml:space="preserve">l’IDA </w:t>
      </w:r>
      <w:r>
        <w:rPr>
          <w:rFonts w:ascii="Arial" w:hAnsi="Arial" w:cs="Arial"/>
          <w:iCs/>
          <w:sz w:val="24"/>
          <w:szCs w:val="24"/>
        </w:rPr>
        <w:t>sono rivolti ai</w:t>
      </w:r>
      <w:r w:rsidRPr="005B2A21">
        <w:rPr>
          <w:rFonts w:ascii="Arial" w:hAnsi="Arial" w:cs="Arial"/>
          <w:iCs/>
          <w:sz w:val="24"/>
          <w:szCs w:val="24"/>
        </w:rPr>
        <w:t xml:space="preserve"> paesi più poveri,</w:t>
      </w:r>
      <w:r>
        <w:rPr>
          <w:rFonts w:ascii="Arial" w:hAnsi="Arial" w:cs="Arial"/>
          <w:iCs/>
          <w:sz w:val="24"/>
          <w:szCs w:val="24"/>
        </w:rPr>
        <w:t xml:space="preserve"> privati dell’accesso</w:t>
      </w:r>
      <w:r w:rsidRPr="005B2A21">
        <w:rPr>
          <w:rFonts w:ascii="Arial" w:hAnsi="Arial" w:cs="Arial"/>
          <w:iCs/>
          <w:sz w:val="24"/>
          <w:szCs w:val="24"/>
        </w:rPr>
        <w:t xml:space="preserve"> ai mercati finanziari</w:t>
      </w:r>
      <w:r>
        <w:rPr>
          <w:rFonts w:ascii="Arial" w:hAnsi="Arial" w:cs="Arial"/>
          <w:iCs/>
          <w:sz w:val="24"/>
          <w:szCs w:val="24"/>
        </w:rPr>
        <w:t xml:space="preserve"> </w:t>
      </w:r>
      <w:r w:rsidRPr="005B2A21">
        <w:rPr>
          <w:rFonts w:ascii="Arial" w:hAnsi="Arial" w:cs="Arial"/>
          <w:iCs/>
          <w:sz w:val="24"/>
          <w:szCs w:val="24"/>
        </w:rPr>
        <w:t>internazionali.</w:t>
      </w:r>
    </w:p>
    <w:p w14:paraId="1B2EECD3"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 xml:space="preserve">La classificazione della Banca Mondiale </w:t>
      </w:r>
      <w:r w:rsidRPr="00C05593">
        <w:rPr>
          <w:rFonts w:ascii="Arial" w:hAnsi="Arial" w:cs="Arial"/>
          <w:iCs/>
          <w:sz w:val="24"/>
          <w:szCs w:val="24"/>
        </w:rPr>
        <w:t xml:space="preserve">per l’anno 2024 (basata sulla stima dei dati 2023), </w:t>
      </w:r>
      <w:r>
        <w:rPr>
          <w:rFonts w:ascii="Arial" w:hAnsi="Arial" w:cs="Arial"/>
          <w:iCs/>
          <w:sz w:val="24"/>
          <w:szCs w:val="24"/>
        </w:rPr>
        <w:t>effettuata con il calcolo dei dati secondo il metodo Atlas</w:t>
      </w:r>
      <w:r>
        <w:rPr>
          <w:rStyle w:val="Rimandonotaapidipagina"/>
          <w:rFonts w:ascii="Arial" w:hAnsi="Arial" w:cs="Arial"/>
          <w:iCs/>
          <w:sz w:val="24"/>
          <w:szCs w:val="24"/>
        </w:rPr>
        <w:footnoteReference w:id="65"/>
      </w:r>
      <w:r>
        <w:rPr>
          <w:rFonts w:ascii="Arial" w:hAnsi="Arial" w:cs="Arial"/>
          <w:iCs/>
          <w:sz w:val="24"/>
          <w:szCs w:val="24"/>
        </w:rPr>
        <w:t xml:space="preserve">, suddivide le </w:t>
      </w:r>
      <w:r w:rsidRPr="004D12EA">
        <w:rPr>
          <w:rFonts w:ascii="Arial" w:hAnsi="Arial" w:cs="Arial"/>
          <w:iCs/>
          <w:sz w:val="24"/>
          <w:szCs w:val="24"/>
        </w:rPr>
        <w:t xml:space="preserve">economie </w:t>
      </w:r>
      <w:r>
        <w:rPr>
          <w:rFonts w:ascii="Arial" w:hAnsi="Arial" w:cs="Arial"/>
          <w:iCs/>
          <w:sz w:val="24"/>
          <w:szCs w:val="24"/>
        </w:rPr>
        <w:t>dei Paesi, in quattro classi di reddito e precisamente a:</w:t>
      </w:r>
    </w:p>
    <w:p w14:paraId="72401B50" w14:textId="77777777" w:rsidR="00F83AF6" w:rsidRPr="003431AA" w:rsidRDefault="00F83AF6" w:rsidP="00F83AF6">
      <w:pPr>
        <w:pStyle w:val="Paragrafoelenco"/>
        <w:numPr>
          <w:ilvl w:val="0"/>
          <w:numId w:val="14"/>
        </w:numPr>
        <w:spacing w:line="360" w:lineRule="auto"/>
        <w:ind w:left="426" w:hanging="426"/>
        <w:jc w:val="both"/>
        <w:rPr>
          <w:rFonts w:ascii="Arial" w:hAnsi="Arial" w:cs="Arial"/>
          <w:iCs/>
          <w:sz w:val="24"/>
          <w:szCs w:val="24"/>
        </w:rPr>
      </w:pPr>
      <w:r w:rsidRPr="003431AA">
        <w:rPr>
          <w:rFonts w:ascii="Arial" w:hAnsi="Arial" w:cs="Arial"/>
          <w:iCs/>
          <w:sz w:val="24"/>
          <w:szCs w:val="24"/>
        </w:rPr>
        <w:lastRenderedPageBreak/>
        <w:t>basso reddito, con un R</w:t>
      </w:r>
      <w:r>
        <w:rPr>
          <w:rFonts w:ascii="Arial" w:hAnsi="Arial" w:cs="Arial"/>
          <w:iCs/>
          <w:sz w:val="24"/>
          <w:szCs w:val="24"/>
        </w:rPr>
        <w:t>eddito Nazionale Lordo (RNL)</w:t>
      </w:r>
      <w:r w:rsidRPr="003431AA">
        <w:rPr>
          <w:rFonts w:ascii="Arial" w:hAnsi="Arial" w:cs="Arial"/>
          <w:iCs/>
          <w:sz w:val="24"/>
          <w:szCs w:val="24"/>
        </w:rPr>
        <w:t xml:space="preserve"> pro capite pari o inferiore a 1.135 dollari nel 2022;</w:t>
      </w:r>
    </w:p>
    <w:p w14:paraId="2064C2E7" w14:textId="77777777" w:rsidR="00F83AF6" w:rsidRDefault="00F83AF6" w:rsidP="00F83AF6">
      <w:pPr>
        <w:pStyle w:val="Paragrafoelenco"/>
        <w:numPr>
          <w:ilvl w:val="0"/>
          <w:numId w:val="14"/>
        </w:numPr>
        <w:spacing w:line="360" w:lineRule="auto"/>
        <w:ind w:left="426" w:hanging="426"/>
        <w:jc w:val="both"/>
        <w:rPr>
          <w:rFonts w:ascii="Arial" w:hAnsi="Arial" w:cs="Arial"/>
          <w:iCs/>
          <w:sz w:val="24"/>
          <w:szCs w:val="24"/>
        </w:rPr>
      </w:pPr>
      <w:r w:rsidRPr="004D12EA">
        <w:rPr>
          <w:rFonts w:ascii="Arial" w:hAnsi="Arial" w:cs="Arial"/>
          <w:iCs/>
          <w:sz w:val="24"/>
          <w:szCs w:val="24"/>
        </w:rPr>
        <w:t>reddito medio-basso</w:t>
      </w:r>
      <w:r>
        <w:rPr>
          <w:rFonts w:ascii="Arial" w:hAnsi="Arial" w:cs="Arial"/>
          <w:iCs/>
          <w:sz w:val="24"/>
          <w:szCs w:val="24"/>
        </w:rPr>
        <w:t xml:space="preserve">, </w:t>
      </w:r>
      <w:r w:rsidRPr="004D12EA">
        <w:rPr>
          <w:rFonts w:ascii="Arial" w:hAnsi="Arial" w:cs="Arial"/>
          <w:iCs/>
          <w:sz w:val="24"/>
          <w:szCs w:val="24"/>
        </w:rPr>
        <w:t>con un RNL pro capite compreso tra 1.136 e 4.465 dollari;</w:t>
      </w:r>
    </w:p>
    <w:p w14:paraId="5495CEB1" w14:textId="77777777" w:rsidR="00F83AF6" w:rsidRDefault="00F83AF6" w:rsidP="00F83AF6">
      <w:pPr>
        <w:pStyle w:val="Paragrafoelenco"/>
        <w:numPr>
          <w:ilvl w:val="0"/>
          <w:numId w:val="14"/>
        </w:numPr>
        <w:spacing w:line="360" w:lineRule="auto"/>
        <w:ind w:left="426" w:hanging="426"/>
        <w:jc w:val="both"/>
        <w:rPr>
          <w:rFonts w:ascii="Arial" w:hAnsi="Arial" w:cs="Arial"/>
          <w:iCs/>
          <w:sz w:val="24"/>
          <w:szCs w:val="24"/>
        </w:rPr>
      </w:pPr>
      <w:r w:rsidRPr="004D12EA">
        <w:rPr>
          <w:rFonts w:ascii="Arial" w:hAnsi="Arial" w:cs="Arial"/>
          <w:iCs/>
          <w:sz w:val="24"/>
          <w:szCs w:val="24"/>
        </w:rPr>
        <w:t>reddito medio-alto</w:t>
      </w:r>
      <w:r>
        <w:rPr>
          <w:rFonts w:ascii="Arial" w:hAnsi="Arial" w:cs="Arial"/>
          <w:iCs/>
          <w:sz w:val="24"/>
          <w:szCs w:val="24"/>
        </w:rPr>
        <w:t xml:space="preserve">, </w:t>
      </w:r>
      <w:r w:rsidRPr="004D12EA">
        <w:rPr>
          <w:rFonts w:ascii="Arial" w:hAnsi="Arial" w:cs="Arial"/>
          <w:iCs/>
          <w:sz w:val="24"/>
          <w:szCs w:val="24"/>
        </w:rPr>
        <w:t xml:space="preserve">con un RNL pro capite compreso tra 4.466 e 13.845 dollari; </w:t>
      </w:r>
    </w:p>
    <w:p w14:paraId="12272DAD" w14:textId="77777777" w:rsidR="00F83AF6" w:rsidRPr="004D12EA" w:rsidRDefault="00F83AF6" w:rsidP="00F83AF6">
      <w:pPr>
        <w:pStyle w:val="Paragrafoelenco"/>
        <w:numPr>
          <w:ilvl w:val="0"/>
          <w:numId w:val="14"/>
        </w:numPr>
        <w:spacing w:line="360" w:lineRule="auto"/>
        <w:ind w:left="426" w:hanging="426"/>
        <w:jc w:val="both"/>
        <w:rPr>
          <w:rFonts w:ascii="Arial" w:hAnsi="Arial" w:cs="Arial"/>
          <w:iCs/>
          <w:sz w:val="24"/>
          <w:szCs w:val="24"/>
        </w:rPr>
      </w:pPr>
      <w:r w:rsidRPr="004D12EA">
        <w:rPr>
          <w:rFonts w:ascii="Arial" w:hAnsi="Arial" w:cs="Arial"/>
          <w:iCs/>
          <w:sz w:val="24"/>
          <w:szCs w:val="24"/>
        </w:rPr>
        <w:t>alto reddito</w:t>
      </w:r>
      <w:r>
        <w:rPr>
          <w:rFonts w:ascii="Arial" w:hAnsi="Arial" w:cs="Arial"/>
          <w:iCs/>
          <w:sz w:val="24"/>
          <w:szCs w:val="24"/>
        </w:rPr>
        <w:t xml:space="preserve">, </w:t>
      </w:r>
      <w:r w:rsidRPr="004D12EA">
        <w:rPr>
          <w:rFonts w:ascii="Arial" w:hAnsi="Arial" w:cs="Arial"/>
          <w:iCs/>
          <w:sz w:val="24"/>
          <w:szCs w:val="24"/>
        </w:rPr>
        <w:t>quelle con un RNL pro capite pari o superiore a 13.846 dollari.</w:t>
      </w:r>
    </w:p>
    <w:p w14:paraId="0410035E"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Il metodo di classificazione</w:t>
      </w:r>
      <w:r>
        <w:rPr>
          <w:rStyle w:val="Rimandonotaapidipagina"/>
          <w:rFonts w:ascii="Arial" w:hAnsi="Arial" w:cs="Arial"/>
          <w:iCs/>
          <w:sz w:val="24"/>
          <w:szCs w:val="24"/>
        </w:rPr>
        <w:footnoteReference w:id="66"/>
      </w:r>
      <w:r>
        <w:rPr>
          <w:rFonts w:ascii="Arial" w:hAnsi="Arial" w:cs="Arial"/>
          <w:iCs/>
          <w:sz w:val="24"/>
          <w:szCs w:val="24"/>
        </w:rPr>
        <w:t xml:space="preserve"> individuato dalla Banca Mondiale è strutturato sugli indicatori di sviluppo mondiale</w:t>
      </w:r>
      <w:r>
        <w:rPr>
          <w:rStyle w:val="Rimandonotaapidipagina"/>
          <w:rFonts w:ascii="Arial" w:hAnsi="Arial" w:cs="Arial"/>
          <w:iCs/>
          <w:sz w:val="24"/>
          <w:szCs w:val="24"/>
        </w:rPr>
        <w:footnoteReference w:id="67"/>
      </w:r>
      <w:r>
        <w:rPr>
          <w:rFonts w:ascii="Arial" w:hAnsi="Arial" w:cs="Arial"/>
          <w:iCs/>
          <w:sz w:val="24"/>
          <w:szCs w:val="24"/>
        </w:rPr>
        <w:t xml:space="preserve"> dei 189 Paesi membri</w:t>
      </w:r>
      <w:r w:rsidRPr="001A3444">
        <w:rPr>
          <w:rFonts w:ascii="Arial" w:hAnsi="Arial" w:cs="Arial"/>
          <w:iCs/>
          <w:sz w:val="24"/>
          <w:szCs w:val="24"/>
        </w:rPr>
        <w:t xml:space="preserve">, </w:t>
      </w:r>
      <w:r>
        <w:rPr>
          <w:rFonts w:ascii="Arial" w:hAnsi="Arial" w:cs="Arial"/>
          <w:iCs/>
          <w:sz w:val="24"/>
          <w:szCs w:val="24"/>
        </w:rPr>
        <w:t xml:space="preserve">oltre ad altri </w:t>
      </w:r>
      <w:r w:rsidRPr="001A3444">
        <w:rPr>
          <w:rFonts w:ascii="Arial" w:hAnsi="Arial" w:cs="Arial"/>
          <w:iCs/>
          <w:sz w:val="24"/>
          <w:szCs w:val="24"/>
        </w:rPr>
        <w:t xml:space="preserve">28 con una popolazione superiore a 30.000 abitanti, </w:t>
      </w:r>
      <w:r>
        <w:rPr>
          <w:rFonts w:ascii="Arial" w:hAnsi="Arial" w:cs="Arial"/>
          <w:iCs/>
          <w:sz w:val="24"/>
          <w:szCs w:val="24"/>
        </w:rPr>
        <w:t>secondo</w:t>
      </w:r>
      <w:r w:rsidRPr="001A3444">
        <w:rPr>
          <w:rFonts w:ascii="Arial" w:hAnsi="Arial" w:cs="Arial"/>
          <w:iCs/>
          <w:sz w:val="24"/>
          <w:szCs w:val="24"/>
        </w:rPr>
        <w:t xml:space="preserve"> </w:t>
      </w:r>
      <w:r>
        <w:rPr>
          <w:rFonts w:ascii="Arial" w:hAnsi="Arial" w:cs="Arial"/>
          <w:iCs/>
          <w:sz w:val="24"/>
          <w:szCs w:val="24"/>
        </w:rPr>
        <w:t xml:space="preserve">il </w:t>
      </w:r>
      <w:r w:rsidRPr="001A3444">
        <w:rPr>
          <w:rFonts w:ascii="Arial" w:hAnsi="Arial" w:cs="Arial"/>
          <w:iCs/>
          <w:sz w:val="24"/>
          <w:szCs w:val="24"/>
        </w:rPr>
        <w:t>livello di reddito e</w:t>
      </w:r>
      <w:r>
        <w:rPr>
          <w:rFonts w:ascii="Arial" w:hAnsi="Arial" w:cs="Arial"/>
          <w:iCs/>
          <w:sz w:val="24"/>
          <w:szCs w:val="24"/>
        </w:rPr>
        <w:t xml:space="preserve"> la</w:t>
      </w:r>
      <w:r w:rsidRPr="001A3444">
        <w:rPr>
          <w:rFonts w:ascii="Arial" w:hAnsi="Arial" w:cs="Arial"/>
          <w:iCs/>
          <w:sz w:val="24"/>
          <w:szCs w:val="24"/>
        </w:rPr>
        <w:t xml:space="preserve"> regione geografica</w:t>
      </w:r>
      <w:r>
        <w:rPr>
          <w:rFonts w:ascii="Arial" w:hAnsi="Arial" w:cs="Arial"/>
          <w:iCs/>
          <w:sz w:val="24"/>
          <w:szCs w:val="24"/>
        </w:rPr>
        <w:t>.</w:t>
      </w:r>
    </w:p>
    <w:p w14:paraId="755DE57E" w14:textId="77777777" w:rsidR="00F83AF6" w:rsidRDefault="00F83AF6" w:rsidP="00F83AF6">
      <w:pPr>
        <w:spacing w:after="240" w:line="360" w:lineRule="auto"/>
        <w:jc w:val="both"/>
        <w:rPr>
          <w:rFonts w:ascii="Arial" w:hAnsi="Arial" w:cs="Arial"/>
          <w:iCs/>
          <w:sz w:val="24"/>
          <w:szCs w:val="24"/>
        </w:rPr>
      </w:pPr>
      <w:r>
        <w:rPr>
          <w:rFonts w:ascii="Arial" w:hAnsi="Arial" w:cs="Arial"/>
          <w:iCs/>
          <w:sz w:val="24"/>
          <w:szCs w:val="24"/>
        </w:rPr>
        <w:t>Si riporta l’elenco dei Paesi suddivisi per classificazione di reddito.</w:t>
      </w:r>
    </w:p>
    <w:p w14:paraId="2E3A0364" w14:textId="77777777" w:rsidR="00F83AF6" w:rsidRDefault="00F83AF6" w:rsidP="00F83AF6">
      <w:pPr>
        <w:tabs>
          <w:tab w:val="left" w:pos="6804"/>
        </w:tabs>
        <w:spacing w:line="360" w:lineRule="auto"/>
        <w:jc w:val="center"/>
        <w:rPr>
          <w:rFonts w:ascii="Arial" w:hAnsi="Arial" w:cs="Arial"/>
          <w:iCs/>
          <w:sz w:val="24"/>
          <w:szCs w:val="24"/>
        </w:rPr>
      </w:pPr>
      <w:r>
        <w:rPr>
          <w:rFonts w:ascii="Arial" w:hAnsi="Arial" w:cs="Arial"/>
          <w:iCs/>
          <w:noProof/>
          <w:sz w:val="24"/>
          <w:szCs w:val="24"/>
          <w:lang w:eastAsia="it-IT"/>
        </w:rPr>
        <w:drawing>
          <wp:inline distT="0" distB="0" distL="0" distR="0" wp14:anchorId="4FEE8913" wp14:editId="0D0D7712">
            <wp:extent cx="3711344" cy="3657600"/>
            <wp:effectExtent l="0" t="0" r="3810" b="0"/>
            <wp:docPr id="1732441549" name="Immagine 4"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441549" name="Immagine 4" descr="Immagine che contiene testo, schermata, Carattere, numero&#10;&#10;Descrizione generata automa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40057" cy="3685897"/>
                    </a:xfrm>
                    <a:prstGeom prst="rect">
                      <a:avLst/>
                    </a:prstGeom>
                    <a:noFill/>
                  </pic:spPr>
                </pic:pic>
              </a:graphicData>
            </a:graphic>
          </wp:inline>
        </w:drawing>
      </w:r>
    </w:p>
    <w:p w14:paraId="02A0ED79" w14:textId="77777777" w:rsidR="00F83AF6" w:rsidRPr="00E24C94" w:rsidRDefault="00F83AF6" w:rsidP="00F83AF6">
      <w:pPr>
        <w:spacing w:after="0" w:line="360" w:lineRule="auto"/>
        <w:jc w:val="center"/>
        <w:rPr>
          <w:rFonts w:ascii="Arial" w:hAnsi="Arial" w:cs="Arial"/>
          <w:iCs/>
          <w:sz w:val="20"/>
          <w:szCs w:val="20"/>
          <w:lang w:val="en-US"/>
        </w:rPr>
      </w:pPr>
      <w:r w:rsidRPr="00E24C94">
        <w:rPr>
          <w:rFonts w:ascii="Arial" w:hAnsi="Arial" w:cs="Arial"/>
          <w:iCs/>
          <w:sz w:val="20"/>
          <w:szCs w:val="20"/>
          <w:lang w:val="en-US"/>
        </w:rPr>
        <w:t>Fonte: The World Bank, World Bank Country and Lending Groups, in https://datahelpdesk.worldbank.org/knowledgebase/articles/906519-world-bank-country-and-lending-groups.</w:t>
      </w:r>
    </w:p>
    <w:p w14:paraId="72C2DBC6" w14:textId="77777777" w:rsidR="00F83AF6" w:rsidRDefault="00F83AF6" w:rsidP="00F83AF6">
      <w:pPr>
        <w:tabs>
          <w:tab w:val="left" w:pos="7088"/>
          <w:tab w:val="left" w:pos="7230"/>
        </w:tabs>
        <w:spacing w:line="360" w:lineRule="auto"/>
        <w:jc w:val="center"/>
        <w:rPr>
          <w:rFonts w:ascii="Arial" w:hAnsi="Arial" w:cs="Arial"/>
          <w:iCs/>
          <w:sz w:val="24"/>
          <w:szCs w:val="24"/>
        </w:rPr>
      </w:pPr>
      <w:r>
        <w:rPr>
          <w:rFonts w:ascii="Arial" w:hAnsi="Arial" w:cs="Arial"/>
          <w:iCs/>
          <w:noProof/>
          <w:sz w:val="24"/>
          <w:szCs w:val="24"/>
          <w:lang w:eastAsia="it-IT"/>
        </w:rPr>
        <w:lastRenderedPageBreak/>
        <w:drawing>
          <wp:inline distT="0" distB="0" distL="0" distR="0" wp14:anchorId="589DA6DC" wp14:editId="33171E0A">
            <wp:extent cx="3600000" cy="6364800"/>
            <wp:effectExtent l="0" t="0" r="635" b="0"/>
            <wp:docPr id="1966134504" name="Immagine 5" descr="Immagine che contiene testo, menu, schermat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134504" name="Immagine 5" descr="Immagine che contiene testo, menu, schermata, documento&#10;&#10;Descrizione generata automaticament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00000" cy="6364800"/>
                    </a:xfrm>
                    <a:prstGeom prst="rect">
                      <a:avLst/>
                    </a:prstGeom>
                    <a:noFill/>
                  </pic:spPr>
                </pic:pic>
              </a:graphicData>
            </a:graphic>
          </wp:inline>
        </w:drawing>
      </w:r>
    </w:p>
    <w:p w14:paraId="38762A34" w14:textId="77777777" w:rsidR="00F83AF6" w:rsidRPr="00E24C94" w:rsidRDefault="00F83AF6" w:rsidP="00F83AF6">
      <w:pPr>
        <w:spacing w:line="360" w:lineRule="auto"/>
        <w:jc w:val="center"/>
        <w:rPr>
          <w:rFonts w:ascii="Arial" w:hAnsi="Arial" w:cs="Arial"/>
          <w:iCs/>
          <w:sz w:val="20"/>
          <w:szCs w:val="20"/>
          <w:lang w:val="en-US"/>
        </w:rPr>
      </w:pPr>
      <w:r w:rsidRPr="00E24C94">
        <w:rPr>
          <w:rFonts w:ascii="Arial" w:hAnsi="Arial" w:cs="Arial"/>
          <w:iCs/>
          <w:sz w:val="20"/>
          <w:szCs w:val="20"/>
          <w:lang w:val="en-US"/>
        </w:rPr>
        <w:t>Fonte: The World Bank, World Bank Country and Lending Groups, in https://datahelpdesk.worldbank.org/knowledgebase/articles/906519-world-bank-country-and-lending-groups.</w:t>
      </w:r>
    </w:p>
    <w:p w14:paraId="283DCD41" w14:textId="77777777" w:rsidR="00F83AF6" w:rsidRPr="00E24C94" w:rsidRDefault="00F83AF6" w:rsidP="00F83AF6">
      <w:pPr>
        <w:spacing w:line="360" w:lineRule="auto"/>
        <w:jc w:val="both"/>
        <w:rPr>
          <w:rFonts w:ascii="Arial" w:hAnsi="Arial" w:cs="Arial"/>
          <w:iCs/>
          <w:sz w:val="24"/>
          <w:szCs w:val="24"/>
          <w:lang w:val="en-US"/>
        </w:rPr>
      </w:pPr>
    </w:p>
    <w:p w14:paraId="65F81193" w14:textId="77777777" w:rsidR="00F83AF6" w:rsidRDefault="00F83AF6" w:rsidP="00F83AF6">
      <w:pPr>
        <w:tabs>
          <w:tab w:val="left" w:pos="5670"/>
          <w:tab w:val="left" w:pos="6804"/>
        </w:tabs>
        <w:spacing w:line="360" w:lineRule="auto"/>
        <w:jc w:val="center"/>
        <w:rPr>
          <w:rFonts w:ascii="Arial" w:hAnsi="Arial" w:cs="Arial"/>
          <w:iCs/>
          <w:sz w:val="24"/>
          <w:szCs w:val="24"/>
        </w:rPr>
      </w:pPr>
      <w:r>
        <w:rPr>
          <w:rFonts w:ascii="Arial" w:hAnsi="Arial" w:cs="Arial"/>
          <w:iCs/>
          <w:noProof/>
          <w:sz w:val="24"/>
          <w:szCs w:val="24"/>
          <w:lang w:eastAsia="it-IT"/>
        </w:rPr>
        <w:lastRenderedPageBreak/>
        <w:drawing>
          <wp:inline distT="0" distB="0" distL="0" distR="0" wp14:anchorId="18E8307D" wp14:editId="1E98F07F">
            <wp:extent cx="3438000" cy="6480000"/>
            <wp:effectExtent l="0" t="0" r="0" b="0"/>
            <wp:docPr id="1589368584" name="Immagine 6" descr="Immagine che contiene testo, menu, schermata, documen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368584" name="Immagine 6" descr="Immagine che contiene testo, menu, schermata, documento&#10;&#10;Descrizione generata automa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38000" cy="6480000"/>
                    </a:xfrm>
                    <a:prstGeom prst="rect">
                      <a:avLst/>
                    </a:prstGeom>
                    <a:noFill/>
                  </pic:spPr>
                </pic:pic>
              </a:graphicData>
            </a:graphic>
          </wp:inline>
        </w:drawing>
      </w:r>
    </w:p>
    <w:p w14:paraId="78C721DF" w14:textId="77777777" w:rsidR="00F83AF6" w:rsidRPr="00E24C94" w:rsidRDefault="00F83AF6" w:rsidP="00F83AF6">
      <w:pPr>
        <w:spacing w:line="360" w:lineRule="auto"/>
        <w:jc w:val="center"/>
        <w:rPr>
          <w:rFonts w:ascii="Arial" w:hAnsi="Arial" w:cs="Arial"/>
          <w:iCs/>
          <w:sz w:val="20"/>
          <w:szCs w:val="20"/>
          <w:lang w:val="en-US"/>
        </w:rPr>
      </w:pPr>
      <w:r w:rsidRPr="00E24C94">
        <w:rPr>
          <w:rFonts w:ascii="Arial" w:hAnsi="Arial" w:cs="Arial"/>
          <w:iCs/>
          <w:sz w:val="20"/>
          <w:szCs w:val="20"/>
          <w:lang w:val="en-US"/>
        </w:rPr>
        <w:t>Fonte: The World Bank, World Bank Country and Lending Groups, in https://datahelpdesk.worldbank.org/knowledgebase/articles/906519-world-bank-country-and-lending-groups.</w:t>
      </w:r>
    </w:p>
    <w:p w14:paraId="0A6B5051" w14:textId="77777777" w:rsidR="00F83AF6" w:rsidRPr="00EB37D0" w:rsidRDefault="00F83AF6" w:rsidP="00F83AF6">
      <w:pPr>
        <w:pStyle w:val="NormaleWeb"/>
        <w:spacing w:line="360" w:lineRule="auto"/>
        <w:jc w:val="both"/>
        <w:rPr>
          <w:rFonts w:ascii="Arial" w:hAnsi="Arial" w:cs="Arial"/>
          <w:color w:val="000000"/>
        </w:rPr>
      </w:pPr>
      <w:r w:rsidRPr="00EB37D0">
        <w:rPr>
          <w:rFonts w:ascii="Arial" w:hAnsi="Arial" w:cs="Arial"/>
          <w:color w:val="000000"/>
        </w:rPr>
        <w:t xml:space="preserve">La Banca Mondiale, inoltre, collabora con il </w:t>
      </w:r>
      <w:r w:rsidRPr="00EB37D0">
        <w:rPr>
          <w:rFonts w:ascii="Arial" w:hAnsi="Arial" w:cs="Arial"/>
          <w:i/>
          <w:iCs/>
          <w:color w:val="000000"/>
        </w:rPr>
        <w:t>Consultative group to assit the po</w:t>
      </w:r>
      <w:r w:rsidRPr="005345C5">
        <w:rPr>
          <w:rFonts w:ascii="Arial" w:hAnsi="Arial" w:cs="Arial"/>
          <w:i/>
          <w:iCs/>
          <w:color w:val="000000"/>
        </w:rPr>
        <w:t>orest</w:t>
      </w:r>
      <w:r>
        <w:rPr>
          <w:rFonts w:ascii="Arial" w:hAnsi="Arial" w:cs="Arial"/>
          <w:color w:val="000000"/>
        </w:rPr>
        <w:t xml:space="preserve"> </w:t>
      </w:r>
      <w:r w:rsidRPr="00097749">
        <w:rPr>
          <w:rFonts w:ascii="Arial" w:hAnsi="Arial" w:cs="Arial"/>
          <w:color w:val="000000"/>
        </w:rPr>
        <w:t>(CGAP</w:t>
      </w:r>
      <w:r>
        <w:rPr>
          <w:rStyle w:val="Rimandonotaapidipagina"/>
          <w:rFonts w:ascii="Arial" w:hAnsi="Arial" w:cs="Arial"/>
          <w:color w:val="000000"/>
        </w:rPr>
        <w:footnoteReference w:id="68"/>
      </w:r>
      <w:r w:rsidRPr="00097749">
        <w:rPr>
          <w:rFonts w:ascii="Arial" w:hAnsi="Arial" w:cs="Arial"/>
          <w:color w:val="000000"/>
        </w:rPr>
        <w:t>),</w:t>
      </w:r>
      <w:r w:rsidRPr="00EB37D0">
        <w:rPr>
          <w:rFonts w:ascii="Arial" w:hAnsi="Arial" w:cs="Arial"/>
          <w:color w:val="000000"/>
        </w:rPr>
        <w:t xml:space="preserve"> un consorzio fondato nel 1995 da oltre 30 importanti organizzazioni di sviluppo che lavorano per migliorare la vita delle persone che vivono in povertà tramite la microfinanza, in particolare </w:t>
      </w:r>
      <w:r w:rsidRPr="00EB37D0">
        <w:rPr>
          <w:rFonts w:ascii="Arial" w:hAnsi="Arial" w:cs="Arial"/>
          <w:color w:val="000000"/>
        </w:rPr>
        <w:lastRenderedPageBreak/>
        <w:t xml:space="preserve">delle donne, attraverso l’inclusione finanziaria, con il supporto di agenzie, fondazioni e istituzioni, tra le quali la Commissione dell’Unione Europea, </w:t>
      </w:r>
      <w:r>
        <w:rPr>
          <w:rFonts w:ascii="Arial" w:hAnsi="Arial" w:cs="Arial"/>
          <w:color w:val="000000"/>
        </w:rPr>
        <w:t>il Programma di Sviluppo delle Nazioni Unite (</w:t>
      </w:r>
      <w:r w:rsidRPr="00EB37D0">
        <w:rPr>
          <w:rFonts w:ascii="Arial" w:hAnsi="Arial" w:cs="Arial"/>
          <w:color w:val="000000"/>
        </w:rPr>
        <w:t>UNDP</w:t>
      </w:r>
      <w:r>
        <w:rPr>
          <w:rFonts w:ascii="Arial" w:hAnsi="Arial" w:cs="Arial"/>
          <w:color w:val="000000"/>
        </w:rPr>
        <w:t>) e</w:t>
      </w:r>
      <w:r w:rsidRPr="00EB37D0">
        <w:rPr>
          <w:rFonts w:ascii="Arial" w:hAnsi="Arial" w:cs="Arial"/>
          <w:color w:val="000000"/>
        </w:rPr>
        <w:t xml:space="preserve"> </w:t>
      </w:r>
      <w:r>
        <w:rPr>
          <w:rFonts w:ascii="Arial" w:hAnsi="Arial" w:cs="Arial"/>
          <w:color w:val="000000"/>
        </w:rPr>
        <w:t>i</w:t>
      </w:r>
      <w:r w:rsidRPr="002E0FB8">
        <w:rPr>
          <w:rFonts w:ascii="Arial" w:hAnsi="Arial" w:cs="Arial"/>
          <w:color w:val="000000"/>
        </w:rPr>
        <w:t>l Fondo delle Nazioni Unite per lo sviluppo del capitale (UNCDF)</w:t>
      </w:r>
      <w:r>
        <w:rPr>
          <w:rFonts w:ascii="Arial" w:hAnsi="Arial" w:cs="Arial"/>
          <w:color w:val="000000"/>
        </w:rPr>
        <w:t>.</w:t>
      </w:r>
    </w:p>
    <w:p w14:paraId="51F4E0E8" w14:textId="77777777" w:rsidR="00F83AF6" w:rsidRPr="00CC1ABB" w:rsidRDefault="00F83AF6" w:rsidP="00F83AF6">
      <w:pPr>
        <w:pStyle w:val="NormaleWeb"/>
        <w:spacing w:line="360" w:lineRule="auto"/>
        <w:jc w:val="both"/>
        <w:rPr>
          <w:rFonts w:ascii="Arial" w:hAnsi="Arial" w:cs="Arial"/>
          <w:color w:val="000000"/>
        </w:rPr>
      </w:pPr>
      <w:r w:rsidRPr="00CC1ABB">
        <w:rPr>
          <w:rFonts w:ascii="Arial" w:hAnsi="Arial" w:cs="Arial"/>
          <w:color w:val="000000"/>
        </w:rPr>
        <w:t xml:space="preserve">Il CGAP eroga servizi finanziari sostenibili per le persone in </w:t>
      </w:r>
      <w:r>
        <w:rPr>
          <w:rFonts w:ascii="Arial" w:hAnsi="Arial" w:cs="Arial"/>
          <w:color w:val="000000"/>
        </w:rPr>
        <w:t xml:space="preserve">stato di </w:t>
      </w:r>
      <w:r w:rsidRPr="00CC1ABB">
        <w:rPr>
          <w:rFonts w:ascii="Arial" w:hAnsi="Arial" w:cs="Arial"/>
          <w:color w:val="000000"/>
        </w:rPr>
        <w:t>povertà</w:t>
      </w:r>
      <w:r>
        <w:rPr>
          <w:rFonts w:ascii="Arial" w:hAnsi="Arial" w:cs="Arial"/>
          <w:color w:val="000000"/>
        </w:rPr>
        <w:t>; i</w:t>
      </w:r>
      <w:r w:rsidRPr="00CC1ABB">
        <w:rPr>
          <w:rFonts w:ascii="Arial" w:hAnsi="Arial" w:cs="Arial"/>
          <w:color w:val="000000"/>
        </w:rPr>
        <w:t>n particolare, partecipa al finanziamento di istituzioni di microfinanza che rispettano standard concordati e si impegna per migliorare e facilitare il coordinamento dei donatori, oltre a fornire consulenza per progetti di microfinanza e a monitorare la corretta ges</w:t>
      </w:r>
      <w:r>
        <w:rPr>
          <w:rFonts w:ascii="Arial" w:hAnsi="Arial" w:cs="Arial"/>
          <w:color w:val="000000"/>
        </w:rPr>
        <w:t>t</w:t>
      </w:r>
      <w:r w:rsidRPr="00CC1ABB">
        <w:rPr>
          <w:rFonts w:ascii="Arial" w:hAnsi="Arial" w:cs="Arial"/>
          <w:color w:val="000000"/>
        </w:rPr>
        <w:t xml:space="preserve">ione dei finanziamenti ricevuti, </w:t>
      </w:r>
      <w:r>
        <w:rPr>
          <w:rFonts w:ascii="Arial" w:hAnsi="Arial" w:cs="Arial"/>
          <w:color w:val="000000"/>
        </w:rPr>
        <w:t xml:space="preserve">impegnandosi per </w:t>
      </w:r>
      <w:r w:rsidRPr="00CC1ABB">
        <w:rPr>
          <w:rFonts w:ascii="Arial" w:hAnsi="Arial" w:cs="Arial"/>
          <w:color w:val="000000"/>
        </w:rPr>
        <w:t>l’autosufficienza finanziaria dei programmi.</w:t>
      </w:r>
    </w:p>
    <w:p w14:paraId="3A6507F0" w14:textId="77777777" w:rsidR="00F83AF6" w:rsidRPr="00CC1ABB" w:rsidRDefault="00F83AF6" w:rsidP="00F83AF6">
      <w:pPr>
        <w:pStyle w:val="NormaleWeb"/>
        <w:spacing w:line="360" w:lineRule="auto"/>
        <w:jc w:val="both"/>
        <w:rPr>
          <w:rFonts w:ascii="Arial" w:hAnsi="Arial" w:cs="Arial"/>
          <w:color w:val="000000"/>
        </w:rPr>
      </w:pPr>
      <w:r>
        <w:rPr>
          <w:rFonts w:ascii="Arial" w:hAnsi="Arial" w:cs="Arial"/>
          <w:color w:val="000000"/>
        </w:rPr>
        <w:t>L’Organo, pur</w:t>
      </w:r>
      <w:r w:rsidRPr="00CC1ABB">
        <w:rPr>
          <w:rFonts w:ascii="Arial" w:hAnsi="Arial" w:cs="Arial"/>
          <w:color w:val="000000"/>
        </w:rPr>
        <w:t xml:space="preserve"> sostenuto dalla partecipazione finanziaria della Banca mondiale, opera come un’entità indipendente con la propria struttura di governance composta da cinque gruppi: il personale CGAP (segretariato), il gruppo consultivo (Consiglio di amministrazione), il comitato esecutivo, il comitato politico consultivo e il comitato per gli investimenti.</w:t>
      </w:r>
    </w:p>
    <w:p w14:paraId="50EE4BFE" w14:textId="77777777" w:rsidR="00F83AF6" w:rsidRDefault="00F83AF6" w:rsidP="00F83AF6">
      <w:pPr>
        <w:pStyle w:val="NormaleWeb"/>
        <w:spacing w:line="360" w:lineRule="auto"/>
        <w:jc w:val="both"/>
        <w:rPr>
          <w:rFonts w:ascii="Arial" w:hAnsi="Arial" w:cs="Arial"/>
          <w:color w:val="000000"/>
        </w:rPr>
      </w:pPr>
      <w:r w:rsidRPr="002C7367">
        <w:rPr>
          <w:rFonts w:ascii="Arial" w:hAnsi="Arial" w:cs="Arial"/>
          <w:color w:val="000000"/>
        </w:rPr>
        <w:t>Tra gli ulteriori interventi che la Banca Mondiale ha realizzato per la promozione e il sostegno della microfinanza si evidenziano il “</w:t>
      </w:r>
      <w:r w:rsidRPr="002C7367">
        <w:rPr>
          <w:rFonts w:ascii="Arial" w:hAnsi="Arial" w:cs="Arial"/>
          <w:i/>
          <w:iCs/>
          <w:color w:val="000000"/>
        </w:rPr>
        <w:t>Sustainable banking with the poor</w:t>
      </w:r>
      <w:r w:rsidRPr="002C7367">
        <w:rPr>
          <w:rStyle w:val="Rimandonotaapidipagina"/>
          <w:rFonts w:ascii="Arial" w:hAnsi="Arial" w:cs="Arial"/>
          <w:i/>
          <w:iCs/>
          <w:color w:val="000000"/>
        </w:rPr>
        <w:footnoteReference w:id="69"/>
      </w:r>
      <w:r w:rsidRPr="002C7367">
        <w:rPr>
          <w:rFonts w:ascii="Arial" w:hAnsi="Arial" w:cs="Arial"/>
          <w:color w:val="000000"/>
        </w:rPr>
        <w:t>” programma dedicato ai servizi bancari per i poveri, per la cui attuazione sono state divulgate iniziative per la valorizzazione della microfinanza ed è stato predisposto il manuale “</w:t>
      </w:r>
      <w:r w:rsidRPr="002C7367">
        <w:rPr>
          <w:rFonts w:ascii="Arial" w:hAnsi="Arial" w:cs="Arial"/>
          <w:i/>
          <w:iCs/>
          <w:color w:val="000000"/>
        </w:rPr>
        <w:t>Microfinance Handbook</w:t>
      </w:r>
      <w:r w:rsidRPr="002C7367">
        <w:rPr>
          <w:rFonts w:ascii="Arial" w:hAnsi="Arial" w:cs="Arial"/>
          <w:color w:val="000000"/>
        </w:rPr>
        <w:t>”.</w:t>
      </w:r>
    </w:p>
    <w:p w14:paraId="60E625E4" w14:textId="77777777" w:rsidR="00F83AF6" w:rsidRPr="002C7367" w:rsidRDefault="00F83AF6" w:rsidP="00F83AF6">
      <w:pPr>
        <w:pStyle w:val="NormaleWeb"/>
        <w:spacing w:line="360" w:lineRule="auto"/>
        <w:jc w:val="both"/>
        <w:rPr>
          <w:rFonts w:ascii="Arial" w:hAnsi="Arial" w:cs="Arial"/>
          <w:iCs/>
        </w:rPr>
      </w:pPr>
      <w:r w:rsidRPr="002C7367">
        <w:rPr>
          <w:rFonts w:ascii="Arial" w:hAnsi="Arial" w:cs="Arial"/>
          <w:iCs/>
        </w:rPr>
        <w:t xml:space="preserve">Infine, si evidenzia che le Nazioni Unite partecipano al sostegno del microcredito con un organo dedicato alla microfinanza, </w:t>
      </w:r>
      <w:r>
        <w:rPr>
          <w:rFonts w:ascii="Arial" w:hAnsi="Arial" w:cs="Arial"/>
          <w:iCs/>
        </w:rPr>
        <w:t>il “</w:t>
      </w:r>
      <w:r w:rsidRPr="00A14BBF">
        <w:rPr>
          <w:rFonts w:ascii="Arial" w:hAnsi="Arial" w:cs="Arial"/>
          <w:i/>
        </w:rPr>
        <w:t>UNCDF Microfinance</w:t>
      </w:r>
      <w:r>
        <w:rPr>
          <w:rFonts w:ascii="Arial" w:hAnsi="Arial" w:cs="Arial"/>
          <w:iCs/>
        </w:rPr>
        <w:t>”,</w:t>
      </w:r>
      <w:r w:rsidRPr="002C7367">
        <w:rPr>
          <w:rFonts w:ascii="Arial" w:hAnsi="Arial" w:cs="Arial"/>
          <w:iCs/>
        </w:rPr>
        <w:t xml:space="preserve"> che sostiene programmi di microcredito cercando di collaborare con le istituzioni già esistenti e con gli enti locali che praticano la microfinanza, al fine di contribuire, attraverso sovvenzioni o prestiti, alla sostenibilità finanziaria, alla consulenza tecnica e alla formazione.</w:t>
      </w:r>
    </w:p>
    <w:p w14:paraId="784874C4"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In ambito europeo, la legislazione sul microcredito presenta ancora sovrallenamenti e pertanto non è ancora del tutto uniforme.</w:t>
      </w:r>
    </w:p>
    <w:p w14:paraId="0EB47459"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Nel grafico sottostante, sono rilevate le distinte situazioni regolamentari del microcredito in Europa.</w:t>
      </w:r>
    </w:p>
    <w:p w14:paraId="3BE03899" w14:textId="77777777" w:rsidR="00F83AF6" w:rsidRDefault="00F83AF6" w:rsidP="00F83AF6">
      <w:pPr>
        <w:spacing w:line="360" w:lineRule="auto"/>
        <w:jc w:val="both"/>
        <w:rPr>
          <w:rFonts w:ascii="Arial" w:hAnsi="Arial" w:cs="Arial"/>
          <w:iCs/>
          <w:sz w:val="24"/>
          <w:szCs w:val="24"/>
        </w:rPr>
      </w:pPr>
    </w:p>
    <w:p w14:paraId="23E81D40" w14:textId="77777777" w:rsidR="00F83AF6" w:rsidRDefault="00F83AF6" w:rsidP="00F83AF6">
      <w:pPr>
        <w:pStyle w:val="Paragrafoelenco"/>
        <w:ind w:left="0"/>
        <w:jc w:val="center"/>
        <w:rPr>
          <w:rFonts w:ascii="Arial" w:hAnsi="Arial" w:cs="Arial"/>
          <w:i/>
          <w:sz w:val="24"/>
          <w:szCs w:val="24"/>
        </w:rPr>
      </w:pPr>
      <w:r>
        <w:rPr>
          <w:noProof/>
          <w:lang w:eastAsia="it-IT"/>
        </w:rPr>
        <w:drawing>
          <wp:inline distT="0" distB="0" distL="0" distR="0" wp14:anchorId="6C4EFDBE" wp14:editId="2D695869">
            <wp:extent cx="5966638" cy="6795655"/>
            <wp:effectExtent l="0" t="0" r="0" b="0"/>
            <wp:docPr id="828940380" name="Immagine 1" descr="Immagine che contiene testo, elettronica, schermat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787143" name="Immagine 1" descr="Immagine che contiene testo, elettronica, schermata, numero&#10;&#10;Descrizione generata automaticamente"/>
                    <pic:cNvPicPr/>
                  </pic:nvPicPr>
                  <pic:blipFill rotWithShape="1">
                    <a:blip r:embed="rId12"/>
                    <a:srcRect t="3569" b="-915"/>
                    <a:stretch/>
                  </pic:blipFill>
                  <pic:spPr bwMode="auto">
                    <a:xfrm>
                      <a:off x="0" y="0"/>
                      <a:ext cx="5984825" cy="6816369"/>
                    </a:xfrm>
                    <a:prstGeom prst="rect">
                      <a:avLst/>
                    </a:prstGeom>
                    <a:ln>
                      <a:noFill/>
                    </a:ln>
                    <a:extLst>
                      <a:ext uri="{53640926-AAD7-44D8-BBD7-CCE9431645EC}">
                        <a14:shadowObscured xmlns:a14="http://schemas.microsoft.com/office/drawing/2010/main"/>
                      </a:ext>
                    </a:extLst>
                  </pic:spPr>
                </pic:pic>
              </a:graphicData>
            </a:graphic>
          </wp:inline>
        </w:drawing>
      </w:r>
    </w:p>
    <w:p w14:paraId="1AB6E7A9" w14:textId="77777777" w:rsidR="00F83AF6" w:rsidRDefault="00F83AF6" w:rsidP="00F83AF6">
      <w:pPr>
        <w:pStyle w:val="Paragrafoelenco"/>
        <w:spacing w:before="240" w:after="0" w:line="360" w:lineRule="auto"/>
        <w:ind w:left="0"/>
        <w:contextualSpacing w:val="0"/>
        <w:jc w:val="center"/>
        <w:rPr>
          <w:rFonts w:ascii="Arial" w:hAnsi="Arial" w:cs="Arial"/>
          <w:iCs/>
          <w:sz w:val="20"/>
          <w:szCs w:val="20"/>
        </w:rPr>
      </w:pPr>
      <w:r>
        <w:rPr>
          <w:rFonts w:ascii="Arial" w:hAnsi="Arial" w:cs="Arial"/>
          <w:iCs/>
          <w:sz w:val="20"/>
          <w:szCs w:val="20"/>
        </w:rPr>
        <w:t>Regolamentazione del microcredito per Stato membro UE, candidati e potenziali Paesi.</w:t>
      </w:r>
    </w:p>
    <w:p w14:paraId="75E1F5D7" w14:textId="77777777" w:rsidR="00F83AF6" w:rsidRPr="00E24C94" w:rsidRDefault="00F83AF6" w:rsidP="00F83AF6">
      <w:pPr>
        <w:pStyle w:val="Paragrafoelenco"/>
        <w:spacing w:line="360" w:lineRule="auto"/>
        <w:ind w:left="0"/>
        <w:jc w:val="center"/>
        <w:rPr>
          <w:rFonts w:ascii="Arial" w:hAnsi="Arial" w:cs="Arial"/>
          <w:iCs/>
          <w:sz w:val="20"/>
          <w:szCs w:val="20"/>
          <w:lang w:val="en-US"/>
        </w:rPr>
      </w:pPr>
      <w:r w:rsidRPr="00E24C94">
        <w:rPr>
          <w:rFonts w:ascii="Arial" w:hAnsi="Arial" w:cs="Arial"/>
          <w:iCs/>
          <w:sz w:val="20"/>
          <w:szCs w:val="20"/>
          <w:lang w:val="en-US"/>
        </w:rPr>
        <w:t xml:space="preserve">Fonte: European Microfinance Network (EMN), </w:t>
      </w:r>
      <w:r w:rsidRPr="00E24C94">
        <w:rPr>
          <w:rFonts w:ascii="Arial" w:hAnsi="Arial" w:cs="Arial"/>
          <w:i/>
          <w:sz w:val="20"/>
          <w:szCs w:val="20"/>
          <w:lang w:val="en-US"/>
        </w:rPr>
        <w:t>Microcredit regulation in Europe: An overview (2023)</w:t>
      </w:r>
      <w:r w:rsidRPr="00E24C94">
        <w:rPr>
          <w:rFonts w:ascii="Arial" w:hAnsi="Arial" w:cs="Arial"/>
          <w:iCs/>
          <w:sz w:val="20"/>
          <w:szCs w:val="20"/>
          <w:lang w:val="en-US"/>
        </w:rPr>
        <w:t>.</w:t>
      </w:r>
    </w:p>
    <w:p w14:paraId="78A122D3" w14:textId="77777777" w:rsidR="00F83AF6" w:rsidRPr="00E24C94" w:rsidRDefault="00F83AF6" w:rsidP="00F83AF6">
      <w:pPr>
        <w:pStyle w:val="Paragrafoelenco"/>
        <w:ind w:left="0"/>
        <w:jc w:val="center"/>
        <w:rPr>
          <w:rFonts w:ascii="Arial" w:hAnsi="Arial" w:cs="Arial"/>
          <w:iCs/>
          <w:sz w:val="20"/>
          <w:szCs w:val="20"/>
          <w:lang w:val="en-US"/>
        </w:rPr>
      </w:pPr>
    </w:p>
    <w:p w14:paraId="58C2043E" w14:textId="77777777" w:rsidR="00F83AF6" w:rsidRPr="005E2479" w:rsidRDefault="00F83AF6" w:rsidP="00F83AF6">
      <w:pPr>
        <w:pStyle w:val="Paragrafoelenco"/>
        <w:spacing w:line="360" w:lineRule="auto"/>
        <w:ind w:left="0"/>
        <w:jc w:val="both"/>
        <w:rPr>
          <w:rFonts w:ascii="Arial" w:hAnsi="Arial" w:cs="Arial"/>
          <w:iCs/>
          <w:sz w:val="24"/>
          <w:szCs w:val="24"/>
        </w:rPr>
      </w:pPr>
      <w:r w:rsidRPr="005E2479">
        <w:rPr>
          <w:rFonts w:ascii="Arial" w:hAnsi="Arial" w:cs="Arial"/>
          <w:iCs/>
          <w:sz w:val="24"/>
          <w:szCs w:val="24"/>
        </w:rPr>
        <w:t>Nel grafico segue</w:t>
      </w:r>
      <w:r>
        <w:rPr>
          <w:rFonts w:ascii="Arial" w:hAnsi="Arial" w:cs="Arial"/>
          <w:iCs/>
          <w:sz w:val="24"/>
          <w:szCs w:val="24"/>
        </w:rPr>
        <w:t>nte</w:t>
      </w:r>
      <w:r w:rsidRPr="005E2479">
        <w:rPr>
          <w:rFonts w:ascii="Arial" w:hAnsi="Arial" w:cs="Arial"/>
          <w:iCs/>
          <w:sz w:val="24"/>
          <w:szCs w:val="24"/>
        </w:rPr>
        <w:t xml:space="preserve">, sono indicati i Paesi europei che hanno introdotto specifiche norme </w:t>
      </w:r>
      <w:r>
        <w:rPr>
          <w:rFonts w:ascii="Arial" w:hAnsi="Arial" w:cs="Arial"/>
          <w:iCs/>
          <w:sz w:val="24"/>
          <w:szCs w:val="24"/>
        </w:rPr>
        <w:t xml:space="preserve">inerenti alle </w:t>
      </w:r>
      <w:r w:rsidRPr="005E2479">
        <w:rPr>
          <w:rFonts w:ascii="Arial" w:hAnsi="Arial" w:cs="Arial"/>
          <w:iCs/>
          <w:sz w:val="24"/>
          <w:szCs w:val="24"/>
        </w:rPr>
        <w:t>regolamenta</w:t>
      </w:r>
      <w:r>
        <w:rPr>
          <w:rFonts w:ascii="Arial" w:hAnsi="Arial" w:cs="Arial"/>
          <w:iCs/>
          <w:sz w:val="24"/>
          <w:szCs w:val="24"/>
        </w:rPr>
        <w:t xml:space="preserve">zioni del </w:t>
      </w:r>
      <w:r w:rsidRPr="005E2479">
        <w:rPr>
          <w:rFonts w:ascii="Arial" w:hAnsi="Arial" w:cs="Arial"/>
          <w:iCs/>
          <w:sz w:val="24"/>
          <w:szCs w:val="24"/>
        </w:rPr>
        <w:t>microcredito</w:t>
      </w:r>
      <w:r>
        <w:rPr>
          <w:rFonts w:ascii="Arial" w:hAnsi="Arial" w:cs="Arial"/>
          <w:iCs/>
          <w:sz w:val="24"/>
          <w:szCs w:val="24"/>
        </w:rPr>
        <w:t>.</w:t>
      </w:r>
    </w:p>
    <w:p w14:paraId="2629A7A6" w14:textId="77777777" w:rsidR="00F83AF6" w:rsidRDefault="00F83AF6" w:rsidP="00F83AF6">
      <w:pPr>
        <w:pStyle w:val="Paragrafoelenco"/>
        <w:ind w:left="0"/>
        <w:jc w:val="center"/>
        <w:rPr>
          <w:rFonts w:ascii="Arial" w:hAnsi="Arial" w:cs="Arial"/>
          <w:i/>
          <w:sz w:val="24"/>
          <w:szCs w:val="24"/>
        </w:rPr>
      </w:pPr>
      <w:r w:rsidRPr="009710EE">
        <w:rPr>
          <w:noProof/>
          <w:lang w:eastAsia="it-IT"/>
        </w:rPr>
        <w:lastRenderedPageBreak/>
        <w:drawing>
          <wp:inline distT="0" distB="0" distL="0" distR="0" wp14:anchorId="3D718DAF" wp14:editId="48554EBC">
            <wp:extent cx="5760000" cy="3574800"/>
            <wp:effectExtent l="0" t="0" r="0" b="6985"/>
            <wp:docPr id="1036018737" name="Immagine 1" descr="Immagine che contiene testo, schermata, softwa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816973" name="Immagine 1" descr="Immagine che contiene testo, schermata, software, numero&#10;&#10;Descrizione generata automaticamente"/>
                    <pic:cNvPicPr/>
                  </pic:nvPicPr>
                  <pic:blipFill rotWithShape="1">
                    <a:blip r:embed="rId13"/>
                    <a:srcRect l="24" t="1" r="-24" b="1436"/>
                    <a:stretch/>
                  </pic:blipFill>
                  <pic:spPr bwMode="auto">
                    <a:xfrm>
                      <a:off x="0" y="0"/>
                      <a:ext cx="5760000" cy="3574800"/>
                    </a:xfrm>
                    <a:prstGeom prst="rect">
                      <a:avLst/>
                    </a:prstGeom>
                    <a:ln>
                      <a:noFill/>
                    </a:ln>
                    <a:extLst>
                      <a:ext uri="{53640926-AAD7-44D8-BBD7-CCE9431645EC}">
                        <a14:shadowObscured xmlns:a14="http://schemas.microsoft.com/office/drawing/2010/main"/>
                      </a:ext>
                    </a:extLst>
                  </pic:spPr>
                </pic:pic>
              </a:graphicData>
            </a:graphic>
          </wp:inline>
        </w:drawing>
      </w:r>
    </w:p>
    <w:p w14:paraId="27115F14" w14:textId="77777777" w:rsidR="00F83AF6" w:rsidRDefault="00F83AF6" w:rsidP="00F83AF6">
      <w:pPr>
        <w:pStyle w:val="Paragrafoelenco"/>
        <w:spacing w:after="0"/>
        <w:ind w:left="0"/>
        <w:jc w:val="both"/>
        <w:rPr>
          <w:rFonts w:ascii="Arial" w:hAnsi="Arial" w:cs="Arial"/>
          <w:iCs/>
          <w:sz w:val="24"/>
          <w:szCs w:val="24"/>
        </w:rPr>
      </w:pPr>
    </w:p>
    <w:p w14:paraId="60793896" w14:textId="77777777" w:rsidR="00F83AF6" w:rsidRDefault="00F83AF6" w:rsidP="00F83AF6">
      <w:pPr>
        <w:pStyle w:val="Paragrafoelenco"/>
        <w:spacing w:after="0" w:line="360" w:lineRule="auto"/>
        <w:ind w:left="0"/>
        <w:contextualSpacing w:val="0"/>
        <w:jc w:val="center"/>
        <w:rPr>
          <w:rFonts w:ascii="Arial" w:hAnsi="Arial" w:cs="Arial"/>
          <w:iCs/>
          <w:sz w:val="20"/>
          <w:szCs w:val="20"/>
        </w:rPr>
      </w:pPr>
      <w:r>
        <w:rPr>
          <w:rFonts w:ascii="Arial" w:hAnsi="Arial" w:cs="Arial"/>
          <w:iCs/>
          <w:sz w:val="20"/>
          <w:szCs w:val="20"/>
        </w:rPr>
        <w:t>Regolamentazione del microcredito, specifiche previsioni.</w:t>
      </w:r>
    </w:p>
    <w:p w14:paraId="257CC6C8" w14:textId="77777777" w:rsidR="00F83AF6" w:rsidRPr="00E24C94" w:rsidRDefault="00F83AF6" w:rsidP="00F83AF6">
      <w:pPr>
        <w:pStyle w:val="Paragrafoelenco"/>
        <w:spacing w:line="360" w:lineRule="auto"/>
        <w:ind w:left="0"/>
        <w:jc w:val="center"/>
        <w:rPr>
          <w:rFonts w:ascii="Arial" w:hAnsi="Arial" w:cs="Arial"/>
          <w:iCs/>
          <w:sz w:val="20"/>
          <w:szCs w:val="20"/>
          <w:lang w:val="en-US"/>
        </w:rPr>
      </w:pPr>
      <w:r w:rsidRPr="00E24C94">
        <w:rPr>
          <w:rFonts w:ascii="Arial" w:hAnsi="Arial" w:cs="Arial"/>
          <w:iCs/>
          <w:sz w:val="20"/>
          <w:szCs w:val="20"/>
          <w:lang w:val="en-US"/>
        </w:rPr>
        <w:t xml:space="preserve">Fonte: European Microfinance Network (EMN), </w:t>
      </w:r>
      <w:r w:rsidRPr="00E24C94">
        <w:rPr>
          <w:rFonts w:ascii="Arial" w:hAnsi="Arial" w:cs="Arial"/>
          <w:i/>
          <w:sz w:val="20"/>
          <w:szCs w:val="20"/>
          <w:lang w:val="en-US"/>
        </w:rPr>
        <w:t>Microcredit regulation in Europe: An overview (2023)</w:t>
      </w:r>
      <w:r w:rsidRPr="00E24C94">
        <w:rPr>
          <w:rFonts w:ascii="Arial" w:hAnsi="Arial" w:cs="Arial"/>
          <w:iCs/>
          <w:sz w:val="20"/>
          <w:szCs w:val="20"/>
          <w:lang w:val="en-US"/>
        </w:rPr>
        <w:t>.</w:t>
      </w:r>
    </w:p>
    <w:p w14:paraId="3EE2BCE6" w14:textId="77777777" w:rsidR="00F83AF6" w:rsidRPr="00E24C94" w:rsidRDefault="00F83AF6" w:rsidP="00F83AF6">
      <w:pPr>
        <w:pStyle w:val="Paragrafoelenco"/>
        <w:spacing w:after="0"/>
        <w:ind w:left="0"/>
        <w:contextualSpacing w:val="0"/>
        <w:jc w:val="both"/>
        <w:rPr>
          <w:rFonts w:ascii="Arial" w:hAnsi="Arial" w:cs="Arial"/>
          <w:iCs/>
          <w:sz w:val="24"/>
          <w:szCs w:val="24"/>
          <w:lang w:val="en-US"/>
        </w:rPr>
      </w:pPr>
    </w:p>
    <w:p w14:paraId="1B75A005" w14:textId="77777777" w:rsidR="00F83AF6" w:rsidRDefault="00F83AF6" w:rsidP="00F83AF6">
      <w:pPr>
        <w:pStyle w:val="Paragrafoelenco"/>
        <w:spacing w:after="0" w:line="360" w:lineRule="auto"/>
        <w:ind w:left="0"/>
        <w:contextualSpacing w:val="0"/>
        <w:jc w:val="both"/>
        <w:rPr>
          <w:rFonts w:ascii="Arial" w:hAnsi="Arial" w:cs="Arial"/>
          <w:iCs/>
          <w:sz w:val="24"/>
          <w:szCs w:val="24"/>
        </w:rPr>
      </w:pPr>
      <w:r w:rsidRPr="00335E0C">
        <w:rPr>
          <w:rFonts w:ascii="Arial" w:hAnsi="Arial" w:cs="Arial"/>
          <w:iCs/>
          <w:sz w:val="24"/>
          <w:szCs w:val="24"/>
        </w:rPr>
        <w:t>Nel grafico sottostante</w:t>
      </w:r>
      <w:r>
        <w:rPr>
          <w:rFonts w:ascii="Arial" w:hAnsi="Arial" w:cs="Arial"/>
          <w:iCs/>
          <w:sz w:val="24"/>
          <w:szCs w:val="24"/>
        </w:rPr>
        <w:t>, invece,</w:t>
      </w:r>
      <w:r w:rsidRPr="00335E0C">
        <w:rPr>
          <w:rFonts w:ascii="Arial" w:hAnsi="Arial" w:cs="Arial"/>
          <w:iCs/>
          <w:sz w:val="24"/>
          <w:szCs w:val="24"/>
        </w:rPr>
        <w:t xml:space="preserve"> è riportata la panoramica della legislazione che consente ai finanziatori non bancari di concedere microprestiti.</w:t>
      </w:r>
    </w:p>
    <w:p w14:paraId="0A8898D7" w14:textId="77777777" w:rsidR="00F83AF6" w:rsidRPr="009222A0" w:rsidRDefault="00F83AF6" w:rsidP="00F83AF6">
      <w:pPr>
        <w:pStyle w:val="Paragrafoelenco"/>
        <w:spacing w:after="0" w:line="360" w:lineRule="auto"/>
        <w:ind w:left="0"/>
        <w:contextualSpacing w:val="0"/>
        <w:jc w:val="both"/>
        <w:rPr>
          <w:rFonts w:ascii="Arial" w:hAnsi="Arial" w:cs="Arial"/>
          <w:iCs/>
          <w:sz w:val="24"/>
          <w:szCs w:val="24"/>
        </w:rPr>
      </w:pPr>
    </w:p>
    <w:p w14:paraId="355C2C59" w14:textId="77777777" w:rsidR="00F83AF6" w:rsidRDefault="00F83AF6" w:rsidP="00F83AF6">
      <w:pPr>
        <w:pStyle w:val="Paragrafoelenco"/>
        <w:ind w:left="0"/>
        <w:jc w:val="center"/>
        <w:rPr>
          <w:rFonts w:ascii="Arial" w:hAnsi="Arial" w:cs="Arial"/>
          <w:i/>
          <w:sz w:val="24"/>
          <w:szCs w:val="24"/>
        </w:rPr>
      </w:pPr>
      <w:r w:rsidRPr="009710EE">
        <w:rPr>
          <w:noProof/>
          <w:lang w:eastAsia="it-IT"/>
        </w:rPr>
        <w:drawing>
          <wp:inline distT="0" distB="0" distL="0" distR="0" wp14:anchorId="0BBA6C2D" wp14:editId="09D4A0B7">
            <wp:extent cx="5760000" cy="3416400"/>
            <wp:effectExtent l="0" t="0" r="0" b="0"/>
            <wp:docPr id="1307631667" name="Immagine 1" descr="Immagine che contiene testo, schermata, softwa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281485" name="Immagine 1" descr="Immagine che contiene testo, schermata, software, numero&#10;&#10;Descrizione generata automaticamente"/>
                    <pic:cNvPicPr/>
                  </pic:nvPicPr>
                  <pic:blipFill rotWithShape="1">
                    <a:blip r:embed="rId14"/>
                    <a:srcRect l="465" t="3926" r="-465" b="-1600"/>
                    <a:stretch/>
                  </pic:blipFill>
                  <pic:spPr bwMode="auto">
                    <a:xfrm>
                      <a:off x="0" y="0"/>
                      <a:ext cx="5760000" cy="3416400"/>
                    </a:xfrm>
                    <a:prstGeom prst="rect">
                      <a:avLst/>
                    </a:prstGeom>
                    <a:ln>
                      <a:noFill/>
                    </a:ln>
                    <a:extLst>
                      <a:ext uri="{53640926-AAD7-44D8-BBD7-CCE9431645EC}">
                        <a14:shadowObscured xmlns:a14="http://schemas.microsoft.com/office/drawing/2010/main"/>
                      </a:ext>
                    </a:extLst>
                  </pic:spPr>
                </pic:pic>
              </a:graphicData>
            </a:graphic>
          </wp:inline>
        </w:drawing>
      </w:r>
    </w:p>
    <w:p w14:paraId="2C1E2DAC" w14:textId="77777777" w:rsidR="00F83AF6" w:rsidRPr="00523550" w:rsidRDefault="00F83AF6" w:rsidP="00F83AF6">
      <w:pPr>
        <w:pStyle w:val="Paragrafoelenco"/>
        <w:ind w:left="0"/>
        <w:jc w:val="both"/>
        <w:rPr>
          <w:rFonts w:ascii="Arial" w:hAnsi="Arial" w:cs="Arial"/>
          <w:i/>
          <w:sz w:val="20"/>
          <w:szCs w:val="20"/>
        </w:rPr>
      </w:pPr>
    </w:p>
    <w:p w14:paraId="1CCAE312" w14:textId="77777777" w:rsidR="00F83AF6" w:rsidRDefault="00F83AF6" w:rsidP="00F83AF6">
      <w:pPr>
        <w:pStyle w:val="Paragrafoelenco"/>
        <w:spacing w:after="0" w:line="360" w:lineRule="auto"/>
        <w:ind w:left="0"/>
        <w:contextualSpacing w:val="0"/>
        <w:jc w:val="center"/>
        <w:rPr>
          <w:rFonts w:ascii="Arial" w:hAnsi="Arial" w:cs="Arial"/>
          <w:iCs/>
          <w:sz w:val="20"/>
          <w:szCs w:val="20"/>
        </w:rPr>
      </w:pPr>
      <w:r>
        <w:rPr>
          <w:rFonts w:ascii="Arial" w:hAnsi="Arial" w:cs="Arial"/>
          <w:iCs/>
          <w:sz w:val="20"/>
          <w:szCs w:val="20"/>
        </w:rPr>
        <w:t>Panoramica della regolamentazione che consente ai finanziatori (non bancari) di erogare (micro)prestiti.</w:t>
      </w:r>
    </w:p>
    <w:p w14:paraId="2E75FD3C" w14:textId="77777777" w:rsidR="00F83AF6" w:rsidRPr="00E24C94" w:rsidRDefault="00F83AF6" w:rsidP="00F83AF6">
      <w:pPr>
        <w:pStyle w:val="Paragrafoelenco"/>
        <w:spacing w:line="360" w:lineRule="auto"/>
        <w:ind w:left="0"/>
        <w:jc w:val="center"/>
        <w:rPr>
          <w:rFonts w:ascii="Arial" w:hAnsi="Arial" w:cs="Arial"/>
          <w:iCs/>
          <w:sz w:val="20"/>
          <w:szCs w:val="20"/>
          <w:lang w:val="en-US"/>
        </w:rPr>
      </w:pPr>
      <w:r w:rsidRPr="00E24C94">
        <w:rPr>
          <w:rFonts w:ascii="Arial" w:hAnsi="Arial" w:cs="Arial"/>
          <w:iCs/>
          <w:sz w:val="20"/>
          <w:szCs w:val="20"/>
          <w:lang w:val="en-US"/>
        </w:rPr>
        <w:t xml:space="preserve">Fonte: European Microfinance Network (EMN), </w:t>
      </w:r>
      <w:r w:rsidRPr="00E24C94">
        <w:rPr>
          <w:rFonts w:ascii="Arial" w:hAnsi="Arial" w:cs="Arial"/>
          <w:i/>
          <w:sz w:val="20"/>
          <w:szCs w:val="20"/>
          <w:lang w:val="en-US"/>
        </w:rPr>
        <w:t>Microcredit regulation in Europe: An overview (2023)</w:t>
      </w:r>
      <w:r w:rsidRPr="00E24C94">
        <w:rPr>
          <w:rFonts w:ascii="Arial" w:hAnsi="Arial" w:cs="Arial"/>
          <w:iCs/>
          <w:sz w:val="20"/>
          <w:szCs w:val="20"/>
          <w:lang w:val="en-US"/>
        </w:rPr>
        <w:t>.</w:t>
      </w:r>
    </w:p>
    <w:p w14:paraId="7F80BC83" w14:textId="77777777" w:rsidR="00F83AF6" w:rsidRPr="00E24C94" w:rsidRDefault="00F83AF6" w:rsidP="00F83AF6">
      <w:pPr>
        <w:pStyle w:val="Paragrafoelenco"/>
        <w:ind w:left="0"/>
        <w:jc w:val="both"/>
        <w:rPr>
          <w:rFonts w:ascii="Arial" w:hAnsi="Arial" w:cs="Arial"/>
          <w:i/>
          <w:sz w:val="24"/>
          <w:szCs w:val="24"/>
          <w:lang w:val="en-US"/>
        </w:rPr>
      </w:pPr>
    </w:p>
    <w:p w14:paraId="08CCE601" w14:textId="77777777" w:rsidR="00F83AF6" w:rsidRDefault="00F83AF6" w:rsidP="00F83AF6">
      <w:pPr>
        <w:pStyle w:val="Paragrafoelenco"/>
        <w:tabs>
          <w:tab w:val="left" w:pos="9498"/>
        </w:tabs>
        <w:ind w:left="567" w:hanging="567"/>
        <w:jc w:val="center"/>
      </w:pPr>
      <w:r w:rsidRPr="00DE0C49">
        <w:rPr>
          <w:noProof/>
          <w:lang w:eastAsia="it-IT"/>
        </w:rPr>
        <w:drawing>
          <wp:inline distT="0" distB="0" distL="0" distR="0" wp14:anchorId="3D263FF5" wp14:editId="7F706BAC">
            <wp:extent cx="5760000" cy="3322800"/>
            <wp:effectExtent l="0" t="0" r="0" b="0"/>
            <wp:docPr id="1301356666" name="Immagine 1"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650891" name="Immagine 1" descr="Immagine che contiene testo, schermata, numero, Carattere&#10;&#10;Descrizione generata automaticamente"/>
                    <pic:cNvPicPr/>
                  </pic:nvPicPr>
                  <pic:blipFill rotWithShape="1">
                    <a:blip r:embed="rId15"/>
                    <a:srcRect t="1144"/>
                    <a:stretch/>
                  </pic:blipFill>
                  <pic:spPr bwMode="auto">
                    <a:xfrm>
                      <a:off x="0" y="0"/>
                      <a:ext cx="5760000" cy="3322800"/>
                    </a:xfrm>
                    <a:prstGeom prst="rect">
                      <a:avLst/>
                    </a:prstGeom>
                    <a:ln>
                      <a:noFill/>
                    </a:ln>
                    <a:extLst>
                      <a:ext uri="{53640926-AAD7-44D8-BBD7-CCE9431645EC}">
                        <a14:shadowObscured xmlns:a14="http://schemas.microsoft.com/office/drawing/2010/main"/>
                      </a:ext>
                    </a:extLst>
                  </pic:spPr>
                </pic:pic>
              </a:graphicData>
            </a:graphic>
          </wp:inline>
        </w:drawing>
      </w:r>
    </w:p>
    <w:p w14:paraId="37A063F2" w14:textId="77777777" w:rsidR="00F83AF6" w:rsidRPr="00534AAC" w:rsidRDefault="00F83AF6" w:rsidP="00F83AF6">
      <w:pPr>
        <w:pStyle w:val="Paragrafoelenco"/>
        <w:spacing w:after="0" w:line="360" w:lineRule="auto"/>
        <w:ind w:left="0"/>
        <w:contextualSpacing w:val="0"/>
        <w:jc w:val="center"/>
        <w:rPr>
          <w:rFonts w:ascii="Arial" w:hAnsi="Arial" w:cs="Arial"/>
          <w:iCs/>
          <w:sz w:val="20"/>
          <w:szCs w:val="20"/>
        </w:rPr>
      </w:pPr>
    </w:p>
    <w:p w14:paraId="1F26FB81" w14:textId="77777777" w:rsidR="00F83AF6" w:rsidRPr="00E24C94" w:rsidRDefault="00F83AF6" w:rsidP="00F83AF6">
      <w:pPr>
        <w:pStyle w:val="Paragrafoelenco"/>
        <w:spacing w:line="360" w:lineRule="auto"/>
        <w:ind w:left="0"/>
        <w:jc w:val="center"/>
        <w:rPr>
          <w:rFonts w:ascii="Arial" w:hAnsi="Arial" w:cs="Arial"/>
          <w:iCs/>
          <w:sz w:val="20"/>
          <w:szCs w:val="20"/>
          <w:lang w:val="en-US"/>
        </w:rPr>
      </w:pPr>
      <w:r w:rsidRPr="00E24C94">
        <w:rPr>
          <w:rFonts w:ascii="Arial" w:hAnsi="Arial" w:cs="Arial"/>
          <w:iCs/>
          <w:sz w:val="20"/>
          <w:szCs w:val="20"/>
          <w:lang w:val="en-US"/>
        </w:rPr>
        <w:t xml:space="preserve">Fonte: European Microfinance Network (EMN), </w:t>
      </w:r>
      <w:r w:rsidRPr="00E24C94">
        <w:rPr>
          <w:rFonts w:ascii="Arial" w:hAnsi="Arial" w:cs="Arial"/>
          <w:i/>
          <w:sz w:val="20"/>
          <w:szCs w:val="20"/>
          <w:lang w:val="en-US"/>
        </w:rPr>
        <w:t>Microcredit regulation in Europe: An overview (2023)</w:t>
      </w:r>
      <w:r w:rsidRPr="00E24C94">
        <w:rPr>
          <w:rFonts w:ascii="Arial" w:hAnsi="Arial" w:cs="Arial"/>
          <w:iCs/>
          <w:sz w:val="20"/>
          <w:szCs w:val="20"/>
          <w:lang w:val="en-US"/>
        </w:rPr>
        <w:t>.</w:t>
      </w:r>
    </w:p>
    <w:p w14:paraId="358B4D5E" w14:textId="77777777" w:rsidR="00F83AF6" w:rsidRPr="00E24C94" w:rsidRDefault="00F83AF6" w:rsidP="00F83AF6">
      <w:pPr>
        <w:pStyle w:val="Paragrafoelenco"/>
        <w:tabs>
          <w:tab w:val="left" w:pos="9498"/>
        </w:tabs>
        <w:spacing w:line="360" w:lineRule="auto"/>
        <w:ind w:left="567" w:hanging="567"/>
        <w:jc w:val="center"/>
        <w:rPr>
          <w:rFonts w:ascii="Arial" w:hAnsi="Arial" w:cs="Arial"/>
          <w:sz w:val="24"/>
          <w:szCs w:val="24"/>
          <w:lang w:val="en-US"/>
        </w:rPr>
      </w:pPr>
    </w:p>
    <w:p w14:paraId="3C23F042" w14:textId="77777777" w:rsidR="00F83AF6" w:rsidRDefault="00F83AF6" w:rsidP="00F83AF6">
      <w:pPr>
        <w:pStyle w:val="Paragrafoelenco"/>
        <w:ind w:left="0"/>
        <w:jc w:val="center"/>
        <w:rPr>
          <w:rFonts w:ascii="Arial" w:hAnsi="Arial" w:cs="Arial"/>
          <w:i/>
          <w:sz w:val="24"/>
          <w:szCs w:val="24"/>
        </w:rPr>
      </w:pPr>
      <w:r w:rsidRPr="00DE0C49">
        <w:rPr>
          <w:noProof/>
          <w:lang w:eastAsia="it-IT"/>
        </w:rPr>
        <w:drawing>
          <wp:inline distT="0" distB="0" distL="0" distR="0" wp14:anchorId="16DFA53D" wp14:editId="1CD2E376">
            <wp:extent cx="5760000" cy="3499200"/>
            <wp:effectExtent l="0" t="0" r="0" b="6350"/>
            <wp:docPr id="556278010" name="Immagine 1" descr="Immagine che contiene testo, schermata, Carattere,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314691" name="Immagine 1" descr="Immagine che contiene testo, schermata, Carattere, numero&#10;&#10;Descrizione generata automaticamente"/>
                    <pic:cNvPicPr/>
                  </pic:nvPicPr>
                  <pic:blipFill>
                    <a:blip r:embed="rId16"/>
                    <a:stretch>
                      <a:fillRect/>
                    </a:stretch>
                  </pic:blipFill>
                  <pic:spPr>
                    <a:xfrm>
                      <a:off x="0" y="0"/>
                      <a:ext cx="5760000" cy="3499200"/>
                    </a:xfrm>
                    <a:prstGeom prst="rect">
                      <a:avLst/>
                    </a:prstGeom>
                  </pic:spPr>
                </pic:pic>
              </a:graphicData>
            </a:graphic>
          </wp:inline>
        </w:drawing>
      </w:r>
    </w:p>
    <w:p w14:paraId="49C4D70A" w14:textId="77777777" w:rsidR="00F83AF6" w:rsidRPr="00534AAC" w:rsidRDefault="00F83AF6" w:rsidP="00F83AF6">
      <w:pPr>
        <w:pStyle w:val="Paragrafoelenco"/>
        <w:ind w:left="0"/>
        <w:jc w:val="center"/>
        <w:rPr>
          <w:rFonts w:ascii="Arial" w:hAnsi="Arial" w:cs="Arial"/>
          <w:iCs/>
          <w:sz w:val="20"/>
          <w:szCs w:val="20"/>
        </w:rPr>
      </w:pPr>
    </w:p>
    <w:p w14:paraId="1F7A63EA" w14:textId="77777777" w:rsidR="00F83AF6" w:rsidRPr="00E24C94" w:rsidRDefault="00F83AF6" w:rsidP="00F83AF6">
      <w:pPr>
        <w:pStyle w:val="Paragrafoelenco"/>
        <w:spacing w:line="360" w:lineRule="auto"/>
        <w:ind w:left="0"/>
        <w:jc w:val="center"/>
        <w:rPr>
          <w:rFonts w:ascii="Arial" w:hAnsi="Arial" w:cs="Arial"/>
          <w:iCs/>
          <w:sz w:val="20"/>
          <w:szCs w:val="20"/>
          <w:lang w:val="en-US"/>
        </w:rPr>
      </w:pPr>
      <w:r w:rsidRPr="00E24C94">
        <w:rPr>
          <w:rFonts w:ascii="Arial" w:hAnsi="Arial" w:cs="Arial"/>
          <w:iCs/>
          <w:sz w:val="20"/>
          <w:szCs w:val="20"/>
          <w:lang w:val="en-US"/>
        </w:rPr>
        <w:t xml:space="preserve">Fonte: European Microfinance Network (EMN), </w:t>
      </w:r>
      <w:r w:rsidRPr="00E24C94">
        <w:rPr>
          <w:rFonts w:ascii="Arial" w:hAnsi="Arial" w:cs="Arial"/>
          <w:i/>
          <w:sz w:val="20"/>
          <w:szCs w:val="20"/>
          <w:lang w:val="en-US"/>
        </w:rPr>
        <w:t>Microcredit regulation in Europe: An overview (2023)</w:t>
      </w:r>
      <w:r w:rsidRPr="00E24C94">
        <w:rPr>
          <w:rFonts w:ascii="Arial" w:hAnsi="Arial" w:cs="Arial"/>
          <w:iCs/>
          <w:sz w:val="20"/>
          <w:szCs w:val="20"/>
          <w:lang w:val="en-US"/>
        </w:rPr>
        <w:t>.</w:t>
      </w:r>
    </w:p>
    <w:p w14:paraId="3557D436" w14:textId="77777777" w:rsidR="00F83AF6" w:rsidRPr="00E24C94" w:rsidRDefault="00F83AF6" w:rsidP="00F83AF6">
      <w:pPr>
        <w:pStyle w:val="Paragrafoelenco"/>
        <w:ind w:left="0"/>
        <w:jc w:val="both"/>
        <w:rPr>
          <w:rFonts w:ascii="Arial" w:hAnsi="Arial" w:cs="Arial"/>
          <w:i/>
          <w:sz w:val="24"/>
          <w:szCs w:val="24"/>
          <w:lang w:val="en-US"/>
        </w:rPr>
      </w:pPr>
    </w:p>
    <w:p w14:paraId="0574EB0C" w14:textId="77777777" w:rsidR="00F83AF6" w:rsidRPr="00E24C94" w:rsidRDefault="00F83AF6" w:rsidP="00F83AF6">
      <w:pPr>
        <w:pStyle w:val="Paragrafoelenco"/>
        <w:spacing w:line="360" w:lineRule="auto"/>
        <w:ind w:left="0"/>
        <w:jc w:val="both"/>
        <w:rPr>
          <w:rFonts w:ascii="Arial" w:hAnsi="Arial" w:cs="Arial"/>
          <w:iCs/>
          <w:sz w:val="24"/>
          <w:szCs w:val="24"/>
          <w:lang w:val="en-US"/>
        </w:rPr>
      </w:pPr>
    </w:p>
    <w:p w14:paraId="7169CD26" w14:textId="77777777" w:rsidR="00F83AF6" w:rsidRPr="00E24C94" w:rsidRDefault="00F83AF6" w:rsidP="00F83AF6">
      <w:pPr>
        <w:pStyle w:val="Paragrafoelenco"/>
        <w:spacing w:line="360" w:lineRule="auto"/>
        <w:ind w:left="0"/>
        <w:jc w:val="both"/>
        <w:rPr>
          <w:rFonts w:ascii="Arial" w:hAnsi="Arial" w:cs="Arial"/>
          <w:iCs/>
          <w:sz w:val="24"/>
          <w:szCs w:val="24"/>
          <w:lang w:val="en-US"/>
        </w:rPr>
      </w:pPr>
    </w:p>
    <w:p w14:paraId="02F027F0" w14:textId="77777777" w:rsidR="00F83AF6" w:rsidRPr="009D0E6F" w:rsidRDefault="00F83AF6" w:rsidP="00F83AF6">
      <w:pPr>
        <w:pStyle w:val="Paragrafoelenco"/>
        <w:spacing w:line="360" w:lineRule="auto"/>
        <w:ind w:left="0"/>
        <w:jc w:val="both"/>
        <w:rPr>
          <w:rFonts w:ascii="Arial" w:hAnsi="Arial" w:cs="Arial"/>
          <w:iCs/>
          <w:sz w:val="24"/>
          <w:szCs w:val="24"/>
        </w:rPr>
      </w:pPr>
      <w:r w:rsidRPr="009D0E6F">
        <w:rPr>
          <w:rFonts w:ascii="Arial" w:hAnsi="Arial" w:cs="Arial"/>
          <w:iCs/>
          <w:sz w:val="24"/>
          <w:szCs w:val="24"/>
        </w:rPr>
        <w:lastRenderedPageBreak/>
        <w:t>In Italia il microcredito è regolamentato dal d.lgs. 1° settembre 1993, n. 385 (Testo Unico Bancario) e specificamente dai novellati artt. 111 e 113, introdotti con il d.lgs. del 13 agosto 2010, n. 141 e successivamente modificati, prima dal d.lgs. del 19 settembre 2012, n. 1695 e da ultimo, dall’art. 1, comma 914, della legge 30 dicembre 2021, n. 234.</w:t>
      </w:r>
    </w:p>
    <w:p w14:paraId="5238E2DA" w14:textId="4DE2D116" w:rsidR="00F83AF6" w:rsidRDefault="00F83AF6" w:rsidP="00F83AF6">
      <w:pPr>
        <w:pStyle w:val="Paragrafoelenco"/>
        <w:spacing w:line="360" w:lineRule="auto"/>
        <w:ind w:left="0"/>
        <w:jc w:val="both"/>
        <w:rPr>
          <w:rFonts w:ascii="Arial" w:hAnsi="Arial" w:cs="Arial"/>
          <w:iCs/>
          <w:sz w:val="24"/>
          <w:szCs w:val="24"/>
        </w:rPr>
      </w:pPr>
      <w:r w:rsidRPr="009D0E6F">
        <w:rPr>
          <w:rFonts w:ascii="Arial" w:hAnsi="Arial" w:cs="Arial"/>
          <w:iCs/>
          <w:sz w:val="24"/>
          <w:szCs w:val="24"/>
        </w:rPr>
        <w:t>In particolare, l’art. 111 delinea i caratteri oggettivi e soggettivi dello strumento finanziario, mentre l’art. 113 pone le basi per la vigilanza del nuovo mercato micro</w:t>
      </w:r>
      <w:r w:rsidR="00C67B1D">
        <w:rPr>
          <w:rFonts w:ascii="Arial" w:hAnsi="Arial" w:cs="Arial"/>
          <w:iCs/>
          <w:sz w:val="24"/>
          <w:szCs w:val="24"/>
        </w:rPr>
        <w:t>-</w:t>
      </w:r>
      <w:r w:rsidRPr="009D0E6F">
        <w:rPr>
          <w:rFonts w:ascii="Arial" w:hAnsi="Arial" w:cs="Arial"/>
          <w:iCs/>
          <w:sz w:val="24"/>
          <w:szCs w:val="24"/>
        </w:rPr>
        <w:t>creditizio.</w:t>
      </w:r>
    </w:p>
    <w:p w14:paraId="6B6395AB" w14:textId="77777777" w:rsidR="00F83AF6" w:rsidRPr="009D0E6F" w:rsidRDefault="00F83AF6" w:rsidP="00F83AF6">
      <w:pPr>
        <w:pStyle w:val="Paragrafoelenco"/>
        <w:spacing w:line="360" w:lineRule="auto"/>
        <w:ind w:left="0"/>
        <w:jc w:val="both"/>
        <w:rPr>
          <w:rFonts w:ascii="Arial" w:hAnsi="Arial" w:cs="Arial"/>
          <w:iCs/>
          <w:sz w:val="24"/>
          <w:szCs w:val="24"/>
        </w:rPr>
      </w:pPr>
      <w:r w:rsidRPr="009D0E6F">
        <w:rPr>
          <w:rFonts w:ascii="Arial" w:hAnsi="Arial" w:cs="Arial"/>
          <w:iCs/>
          <w:sz w:val="24"/>
          <w:szCs w:val="24"/>
        </w:rPr>
        <w:t>I decreti attuativi e le Istruzioni della Banca d’Italia esplicitano, in dettaglio</w:t>
      </w:r>
      <w:r>
        <w:rPr>
          <w:rFonts w:ascii="Arial" w:hAnsi="Arial" w:cs="Arial"/>
          <w:iCs/>
          <w:sz w:val="24"/>
          <w:szCs w:val="24"/>
        </w:rPr>
        <w:t>,</w:t>
      </w:r>
      <w:r w:rsidRPr="009D0E6F">
        <w:rPr>
          <w:rFonts w:ascii="Arial" w:hAnsi="Arial" w:cs="Arial"/>
          <w:iCs/>
          <w:sz w:val="24"/>
          <w:szCs w:val="24"/>
        </w:rPr>
        <w:t xml:space="preserve"> il disposto normativo.</w:t>
      </w:r>
    </w:p>
    <w:p w14:paraId="6671B51C" w14:textId="77777777" w:rsidR="00F83AF6" w:rsidRPr="009D0E6F" w:rsidRDefault="00F83AF6" w:rsidP="00F83AF6">
      <w:pPr>
        <w:pStyle w:val="Paragrafoelenco"/>
        <w:spacing w:line="360" w:lineRule="auto"/>
        <w:ind w:left="0"/>
        <w:jc w:val="both"/>
        <w:rPr>
          <w:rFonts w:ascii="Arial" w:hAnsi="Arial" w:cs="Arial"/>
          <w:iCs/>
          <w:sz w:val="24"/>
          <w:szCs w:val="24"/>
        </w:rPr>
      </w:pPr>
      <w:r w:rsidRPr="009D0E6F">
        <w:rPr>
          <w:rFonts w:ascii="Arial" w:hAnsi="Arial" w:cs="Arial"/>
          <w:iCs/>
          <w:sz w:val="24"/>
          <w:szCs w:val="24"/>
        </w:rPr>
        <w:t xml:space="preserve">Infine, l’art. 39 della legge del 22 dicembre 2011, n. 2147, e il relativo </w:t>
      </w:r>
      <w:r>
        <w:rPr>
          <w:rFonts w:ascii="Arial" w:hAnsi="Arial" w:cs="Arial"/>
          <w:iCs/>
          <w:sz w:val="24"/>
          <w:szCs w:val="24"/>
        </w:rPr>
        <w:t>regolamento</w:t>
      </w:r>
      <w:r w:rsidRPr="009D0E6F">
        <w:rPr>
          <w:rFonts w:ascii="Arial" w:hAnsi="Arial" w:cs="Arial"/>
          <w:iCs/>
          <w:sz w:val="24"/>
          <w:szCs w:val="24"/>
        </w:rPr>
        <w:t xml:space="preserve"> estendono l’operatività del Fondo Centrale di Garanzia per le Pmi alle operazioni di microcredito.</w:t>
      </w:r>
    </w:p>
    <w:p w14:paraId="333DD3E8" w14:textId="77777777" w:rsidR="00F83AF6" w:rsidRPr="009D0E6F" w:rsidRDefault="00F83AF6" w:rsidP="00F83AF6">
      <w:pPr>
        <w:pStyle w:val="Paragrafoelenco"/>
        <w:spacing w:line="360" w:lineRule="auto"/>
        <w:ind w:left="0"/>
        <w:contextualSpacing w:val="0"/>
        <w:jc w:val="both"/>
        <w:rPr>
          <w:rFonts w:ascii="Arial" w:hAnsi="Arial" w:cs="Arial"/>
          <w:iCs/>
          <w:sz w:val="24"/>
          <w:szCs w:val="24"/>
        </w:rPr>
      </w:pPr>
      <w:r w:rsidRPr="009D0E6F">
        <w:rPr>
          <w:rFonts w:ascii="Arial" w:hAnsi="Arial" w:cs="Arial"/>
          <w:iCs/>
          <w:sz w:val="24"/>
          <w:szCs w:val="24"/>
        </w:rPr>
        <w:t>L’art. 111 del TUB, nell’attuale formulazione, prevede che i soggetti iscritti in un apposito elenco possono concedere finanziamenti a persone fisiche</w:t>
      </w:r>
      <w:r>
        <w:rPr>
          <w:rFonts w:ascii="Arial" w:hAnsi="Arial" w:cs="Arial"/>
          <w:iCs/>
          <w:sz w:val="24"/>
          <w:szCs w:val="24"/>
        </w:rPr>
        <w:t xml:space="preserve">, </w:t>
      </w:r>
      <w:r w:rsidRPr="009D0E6F">
        <w:rPr>
          <w:rFonts w:ascii="Arial" w:hAnsi="Arial" w:cs="Arial"/>
          <w:iCs/>
          <w:sz w:val="24"/>
          <w:szCs w:val="24"/>
        </w:rPr>
        <w:t>società di persone</w:t>
      </w:r>
      <w:r>
        <w:rPr>
          <w:rFonts w:ascii="Arial" w:hAnsi="Arial" w:cs="Arial"/>
          <w:iCs/>
          <w:sz w:val="24"/>
          <w:szCs w:val="24"/>
        </w:rPr>
        <w:t xml:space="preserve">, </w:t>
      </w:r>
      <w:r w:rsidRPr="009D0E6F">
        <w:rPr>
          <w:rFonts w:ascii="Arial" w:hAnsi="Arial" w:cs="Arial"/>
          <w:iCs/>
          <w:sz w:val="24"/>
          <w:szCs w:val="24"/>
        </w:rPr>
        <w:t>società a responsabilità limitata semplificata di cui all’articolo 2463-</w:t>
      </w:r>
      <w:r w:rsidRPr="003D2129">
        <w:rPr>
          <w:rFonts w:ascii="Arial" w:hAnsi="Arial" w:cs="Arial"/>
          <w:i/>
          <w:sz w:val="24"/>
          <w:szCs w:val="24"/>
        </w:rPr>
        <w:t>bis</w:t>
      </w:r>
      <w:r w:rsidRPr="009D0E6F">
        <w:rPr>
          <w:rFonts w:ascii="Arial" w:hAnsi="Arial" w:cs="Arial"/>
          <w:iCs/>
          <w:sz w:val="24"/>
          <w:szCs w:val="24"/>
        </w:rPr>
        <w:t xml:space="preserve"> </w:t>
      </w:r>
      <w:r>
        <w:rPr>
          <w:rFonts w:ascii="Arial" w:hAnsi="Arial" w:cs="Arial"/>
          <w:iCs/>
          <w:sz w:val="24"/>
          <w:szCs w:val="24"/>
        </w:rPr>
        <w:t xml:space="preserve">del </w:t>
      </w:r>
      <w:r w:rsidRPr="009D0E6F">
        <w:rPr>
          <w:rFonts w:ascii="Arial" w:hAnsi="Arial" w:cs="Arial"/>
          <w:iCs/>
          <w:sz w:val="24"/>
          <w:szCs w:val="24"/>
        </w:rPr>
        <w:t>Codice civile</w:t>
      </w:r>
      <w:r>
        <w:rPr>
          <w:rFonts w:ascii="Arial" w:hAnsi="Arial" w:cs="Arial"/>
          <w:iCs/>
          <w:sz w:val="24"/>
          <w:szCs w:val="24"/>
        </w:rPr>
        <w:t xml:space="preserve">, </w:t>
      </w:r>
      <w:r w:rsidRPr="009D0E6F">
        <w:rPr>
          <w:rFonts w:ascii="Arial" w:hAnsi="Arial" w:cs="Arial"/>
          <w:iCs/>
          <w:sz w:val="24"/>
          <w:szCs w:val="24"/>
        </w:rPr>
        <w:t>associazioni o società cooperative, per l’avvio o l’esercizio di attività di lavoro autonomo o di microimpresa, a condizione che i finanziamenti concessi abbiano le seguenti caratteristiche:</w:t>
      </w:r>
    </w:p>
    <w:p w14:paraId="65F731DD"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ammontare non superiore a</w:t>
      </w:r>
      <w:r>
        <w:rPr>
          <w:rFonts w:ascii="Arial" w:hAnsi="Arial" w:cs="Arial"/>
          <w:iCs/>
          <w:sz w:val="24"/>
          <w:szCs w:val="24"/>
        </w:rPr>
        <w:t>d</w:t>
      </w:r>
      <w:r w:rsidRPr="009D0E6F">
        <w:rPr>
          <w:rFonts w:ascii="Arial" w:hAnsi="Arial" w:cs="Arial"/>
          <w:iCs/>
          <w:sz w:val="24"/>
          <w:szCs w:val="24"/>
        </w:rPr>
        <w:t xml:space="preserve"> </w:t>
      </w:r>
      <w:r>
        <w:rPr>
          <w:rFonts w:ascii="Arial" w:hAnsi="Arial" w:cs="Arial"/>
          <w:iCs/>
          <w:sz w:val="24"/>
          <w:szCs w:val="24"/>
        </w:rPr>
        <w:t>euro</w:t>
      </w:r>
      <w:r w:rsidRPr="009D0E6F">
        <w:rPr>
          <w:rFonts w:ascii="Arial" w:hAnsi="Arial" w:cs="Arial"/>
          <w:iCs/>
          <w:sz w:val="24"/>
          <w:szCs w:val="24"/>
        </w:rPr>
        <w:t xml:space="preserve"> 75.000,00 e non siano assistiti da garanzie reali;</w:t>
      </w:r>
    </w:p>
    <w:p w14:paraId="5740C92B" w14:textId="77777777" w:rsidR="00F83AF6" w:rsidRPr="009D0E6F" w:rsidRDefault="00F83AF6" w:rsidP="00F83AF6">
      <w:pPr>
        <w:pStyle w:val="Paragrafoelenco"/>
        <w:spacing w:before="120" w:line="360" w:lineRule="auto"/>
        <w:ind w:left="284" w:hanging="284"/>
        <w:contextualSpacing w:val="0"/>
        <w:jc w:val="both"/>
        <w:rPr>
          <w:rFonts w:ascii="Arial" w:hAnsi="Arial" w:cs="Arial"/>
          <w:iCs/>
          <w:sz w:val="24"/>
          <w:szCs w:val="24"/>
        </w:rPr>
      </w:pPr>
      <w:r w:rsidRPr="009D0E6F">
        <w:rPr>
          <w:rFonts w:ascii="Arial" w:hAnsi="Arial" w:cs="Arial"/>
          <w:iCs/>
          <w:sz w:val="24"/>
          <w:szCs w:val="24"/>
        </w:rPr>
        <w:t xml:space="preserve">- </w:t>
      </w:r>
      <w:r>
        <w:rPr>
          <w:rFonts w:ascii="Arial" w:hAnsi="Arial" w:cs="Arial"/>
          <w:iCs/>
          <w:sz w:val="24"/>
          <w:szCs w:val="24"/>
        </w:rPr>
        <w:tab/>
      </w:r>
      <w:r w:rsidRPr="009D0E6F">
        <w:rPr>
          <w:rFonts w:ascii="Arial" w:hAnsi="Arial" w:cs="Arial"/>
          <w:iCs/>
          <w:sz w:val="24"/>
          <w:szCs w:val="24"/>
        </w:rPr>
        <w:t>siano accompagnati dalla prestazione di servizi ausiliari di assistenza e monitoraggio dei soggetti finanziati.</w:t>
      </w:r>
    </w:p>
    <w:p w14:paraId="6B726750" w14:textId="77777777" w:rsidR="00F83AF6" w:rsidRPr="009D0E6F" w:rsidRDefault="00F83AF6" w:rsidP="00F83AF6">
      <w:pPr>
        <w:pStyle w:val="Paragrafoelenco"/>
        <w:tabs>
          <w:tab w:val="left" w:pos="567"/>
        </w:tabs>
        <w:spacing w:before="160" w:after="0" w:line="360" w:lineRule="auto"/>
        <w:ind w:left="0"/>
        <w:contextualSpacing w:val="0"/>
        <w:jc w:val="both"/>
        <w:rPr>
          <w:rFonts w:ascii="Arial" w:hAnsi="Arial" w:cs="Arial"/>
          <w:iCs/>
          <w:sz w:val="24"/>
          <w:szCs w:val="24"/>
        </w:rPr>
      </w:pPr>
      <w:r w:rsidRPr="009D0E6F">
        <w:rPr>
          <w:rFonts w:ascii="Arial" w:hAnsi="Arial" w:cs="Arial"/>
          <w:iCs/>
          <w:sz w:val="24"/>
          <w:szCs w:val="24"/>
        </w:rPr>
        <w:t>I soggetti iscritti nell’elenco richiamato dall’art. 111 del</w:t>
      </w:r>
      <w:r>
        <w:rPr>
          <w:rFonts w:ascii="Arial" w:hAnsi="Arial" w:cs="Arial"/>
          <w:iCs/>
          <w:sz w:val="24"/>
          <w:szCs w:val="24"/>
        </w:rPr>
        <w:t xml:space="preserve"> </w:t>
      </w:r>
      <w:r w:rsidRPr="009D0E6F">
        <w:rPr>
          <w:rFonts w:ascii="Arial" w:hAnsi="Arial" w:cs="Arial"/>
          <w:iCs/>
          <w:sz w:val="24"/>
          <w:szCs w:val="24"/>
        </w:rPr>
        <w:t>TUB possono concedere finanziamenti a società a responsabilità limitata fino a un importo non superiore ad euro 100.000,00, con le ordinarie garanzie creditizie.</w:t>
      </w:r>
    </w:p>
    <w:p w14:paraId="1EF24919" w14:textId="77777777" w:rsidR="00F83AF6" w:rsidRPr="009D0E6F" w:rsidRDefault="00F83AF6" w:rsidP="00F83AF6">
      <w:pPr>
        <w:pStyle w:val="Paragrafoelenco"/>
        <w:spacing w:before="160" w:line="360" w:lineRule="auto"/>
        <w:ind w:left="0"/>
        <w:contextualSpacing w:val="0"/>
        <w:jc w:val="both"/>
        <w:rPr>
          <w:rFonts w:ascii="Arial" w:hAnsi="Arial" w:cs="Arial"/>
          <w:iCs/>
          <w:sz w:val="24"/>
          <w:szCs w:val="24"/>
        </w:rPr>
      </w:pPr>
      <w:r w:rsidRPr="009D0E6F">
        <w:rPr>
          <w:rFonts w:ascii="Arial" w:hAnsi="Arial" w:cs="Arial"/>
          <w:iCs/>
          <w:sz w:val="24"/>
          <w:szCs w:val="24"/>
        </w:rPr>
        <w:t>L’iscrizione nell’elenco di cui al comma 1 dell’art.111 del TUB è subordinata al ricorrere delle seguenti condizioni:</w:t>
      </w:r>
    </w:p>
    <w:p w14:paraId="4FEB0040"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a.</w:t>
      </w:r>
      <w:r>
        <w:rPr>
          <w:rFonts w:ascii="Arial" w:hAnsi="Arial" w:cs="Arial"/>
          <w:iCs/>
          <w:sz w:val="24"/>
          <w:szCs w:val="24"/>
        </w:rPr>
        <w:tab/>
      </w:r>
      <w:r w:rsidRPr="009D0E6F">
        <w:rPr>
          <w:rFonts w:ascii="Arial" w:hAnsi="Arial" w:cs="Arial"/>
          <w:iCs/>
          <w:sz w:val="24"/>
          <w:szCs w:val="24"/>
        </w:rPr>
        <w:t>natura giuridica di società per azioni, in accomandita per azioni, di società a responsabilità limitata o di società cooperativa;</w:t>
      </w:r>
    </w:p>
    <w:p w14:paraId="05756BA0"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b.</w:t>
      </w:r>
      <w:r w:rsidRPr="009D0E6F">
        <w:rPr>
          <w:rFonts w:ascii="Arial" w:hAnsi="Arial" w:cs="Arial"/>
          <w:iCs/>
          <w:sz w:val="24"/>
          <w:szCs w:val="24"/>
        </w:rPr>
        <w:tab/>
        <w:t>capitale sociale versato non inferiore a cinque volte il capitale minimo previsto per la costituzione delle società per azioni (</w:t>
      </w:r>
      <w:r>
        <w:rPr>
          <w:rFonts w:ascii="Arial" w:hAnsi="Arial" w:cs="Arial"/>
          <w:iCs/>
          <w:sz w:val="24"/>
          <w:szCs w:val="24"/>
        </w:rPr>
        <w:t xml:space="preserve">euro </w:t>
      </w:r>
      <w:r w:rsidRPr="009D0E6F">
        <w:rPr>
          <w:rFonts w:ascii="Arial" w:hAnsi="Arial" w:cs="Arial"/>
          <w:iCs/>
          <w:sz w:val="24"/>
          <w:szCs w:val="24"/>
        </w:rPr>
        <w:t>250</w:t>
      </w:r>
      <w:r>
        <w:rPr>
          <w:rFonts w:ascii="Arial" w:hAnsi="Arial" w:cs="Arial"/>
          <w:iCs/>
          <w:sz w:val="24"/>
          <w:szCs w:val="24"/>
        </w:rPr>
        <w:t>.000,00</w:t>
      </w:r>
      <w:r w:rsidRPr="009D0E6F">
        <w:rPr>
          <w:rFonts w:ascii="Arial" w:hAnsi="Arial" w:cs="Arial"/>
          <w:iCs/>
          <w:sz w:val="24"/>
          <w:szCs w:val="24"/>
        </w:rPr>
        <w:t>);</w:t>
      </w:r>
    </w:p>
    <w:p w14:paraId="04AE7A79"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c.</w:t>
      </w:r>
      <w:r w:rsidRPr="009D0E6F">
        <w:rPr>
          <w:rFonts w:ascii="Arial" w:hAnsi="Arial" w:cs="Arial"/>
          <w:iCs/>
          <w:sz w:val="24"/>
          <w:szCs w:val="24"/>
        </w:rPr>
        <w:tab/>
        <w:t>requisiti di onorabilità previsti dalla normativa per i partecipanti al capitale;</w:t>
      </w:r>
    </w:p>
    <w:p w14:paraId="349D20EA"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d.</w:t>
      </w:r>
      <w:r w:rsidRPr="009D0E6F">
        <w:rPr>
          <w:rFonts w:ascii="Arial" w:hAnsi="Arial" w:cs="Arial"/>
          <w:iCs/>
          <w:sz w:val="24"/>
          <w:szCs w:val="24"/>
        </w:rPr>
        <w:tab/>
        <w:t>possesso dei requisiti di onorabilità e professionalità e insussistenza di cause di sospensione dalla carica previsti dalla normativa per gli esponenti aziendali;</w:t>
      </w:r>
    </w:p>
    <w:p w14:paraId="0B048A40"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e.</w:t>
      </w:r>
      <w:r w:rsidRPr="009D0E6F">
        <w:rPr>
          <w:rFonts w:ascii="Arial" w:hAnsi="Arial" w:cs="Arial"/>
          <w:iCs/>
          <w:sz w:val="24"/>
          <w:szCs w:val="24"/>
        </w:rPr>
        <w:tab/>
        <w:t>oggetto sociale esclusivo limitato all’attività di microcredito e ai servizi accessori e strumentali, tra cui, in particolare, i servizi ausiliari di assistenza e monitoraggio dei soggetti finanziati;</w:t>
      </w:r>
    </w:p>
    <w:p w14:paraId="4838798A" w14:textId="77777777" w:rsidR="00F83AF6" w:rsidRPr="009D0E6F" w:rsidRDefault="00F83AF6" w:rsidP="00F83AF6">
      <w:pPr>
        <w:pStyle w:val="Paragrafoelenco"/>
        <w:spacing w:line="360" w:lineRule="auto"/>
        <w:ind w:left="284" w:hanging="284"/>
        <w:contextualSpacing w:val="0"/>
        <w:jc w:val="both"/>
        <w:rPr>
          <w:rFonts w:ascii="Arial" w:hAnsi="Arial" w:cs="Arial"/>
          <w:iCs/>
          <w:sz w:val="24"/>
          <w:szCs w:val="24"/>
        </w:rPr>
      </w:pPr>
      <w:r w:rsidRPr="009D0E6F">
        <w:rPr>
          <w:rFonts w:ascii="Arial" w:hAnsi="Arial" w:cs="Arial"/>
          <w:iCs/>
          <w:sz w:val="24"/>
          <w:szCs w:val="24"/>
        </w:rPr>
        <w:lastRenderedPageBreak/>
        <w:t>f.</w:t>
      </w:r>
      <w:r w:rsidRPr="009D0E6F">
        <w:rPr>
          <w:rFonts w:ascii="Arial" w:hAnsi="Arial" w:cs="Arial"/>
          <w:iCs/>
          <w:sz w:val="24"/>
          <w:szCs w:val="24"/>
        </w:rPr>
        <w:tab/>
        <w:t>presentazione di un programma di attività che indichi le caratteristiche dei prestiti che si intendono erogare sotto il profilo delle condizioni economiche, delle finalità, del target di clientela, le modalità di erogazione e di monitoraggio dei finanziamenti concessi, nonché l’indicazione dei soggetti di cui ci si intende avvalere per i servizi ausiliari di assistenza e consulenza e le modalità di controllo dell’operato degli stessi.</w:t>
      </w:r>
    </w:p>
    <w:p w14:paraId="399B7721" w14:textId="77777777" w:rsidR="00F83AF6" w:rsidRPr="009D0E6F" w:rsidRDefault="00F83AF6" w:rsidP="00F83AF6">
      <w:pPr>
        <w:pStyle w:val="Paragrafoelenco"/>
        <w:spacing w:line="360" w:lineRule="auto"/>
        <w:ind w:left="0"/>
        <w:contextualSpacing w:val="0"/>
        <w:jc w:val="both"/>
        <w:rPr>
          <w:rFonts w:ascii="Arial" w:hAnsi="Arial" w:cs="Arial"/>
          <w:iCs/>
          <w:sz w:val="24"/>
          <w:szCs w:val="24"/>
        </w:rPr>
      </w:pPr>
      <w:r w:rsidRPr="009D0E6F">
        <w:rPr>
          <w:rFonts w:ascii="Arial" w:hAnsi="Arial" w:cs="Arial"/>
          <w:iCs/>
          <w:sz w:val="24"/>
          <w:szCs w:val="24"/>
        </w:rPr>
        <w:t>Le informazioni e i documenti allegare all’istanza di autorizzazione sono i seguenti:</w:t>
      </w:r>
    </w:p>
    <w:p w14:paraId="1C35F838"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t>certificato rilasciato dal registro delle imprese o dichiarazione sostitutiva ai sensi dell’art. 46 del D.P.R. n. 445/2000, attestante l</w:t>
      </w:r>
      <w:r>
        <w:rPr>
          <w:rFonts w:ascii="Arial" w:hAnsi="Arial" w:cs="Arial"/>
          <w:iCs/>
          <w:sz w:val="24"/>
          <w:szCs w:val="24"/>
        </w:rPr>
        <w:t>’</w:t>
      </w:r>
      <w:r w:rsidRPr="009D0E6F">
        <w:rPr>
          <w:rFonts w:ascii="Arial" w:hAnsi="Arial" w:cs="Arial"/>
          <w:iCs/>
          <w:sz w:val="24"/>
          <w:szCs w:val="24"/>
        </w:rPr>
        <w:t>iscrizione della società nel registro delle imprese o l’iscrizione delle modifiche statutarie;</w:t>
      </w:r>
    </w:p>
    <w:p w14:paraId="5D803DE8"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t>copia dell</w:t>
      </w:r>
      <w:r>
        <w:rPr>
          <w:rFonts w:ascii="Arial" w:hAnsi="Arial" w:cs="Arial"/>
          <w:iCs/>
          <w:sz w:val="24"/>
          <w:szCs w:val="24"/>
        </w:rPr>
        <w:t>’</w:t>
      </w:r>
      <w:r w:rsidRPr="009D0E6F">
        <w:rPr>
          <w:rFonts w:ascii="Arial" w:hAnsi="Arial" w:cs="Arial"/>
          <w:iCs/>
          <w:sz w:val="24"/>
          <w:szCs w:val="24"/>
        </w:rPr>
        <w:t>atto costitutivo e dello statuto sociale dichiarati vigenti dal legale rappresentante della società;</w:t>
      </w:r>
    </w:p>
    <w:p w14:paraId="1BD3C4A6"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t>per le società di nuova costituzione:</w:t>
      </w:r>
    </w:p>
    <w:p w14:paraId="262BE634" w14:textId="77777777" w:rsidR="00F83AF6" w:rsidRPr="009D0E6F" w:rsidRDefault="00F83AF6" w:rsidP="00F83AF6">
      <w:pPr>
        <w:pStyle w:val="Paragrafoelenco"/>
        <w:numPr>
          <w:ilvl w:val="0"/>
          <w:numId w:val="24"/>
        </w:numPr>
        <w:spacing w:line="360" w:lineRule="auto"/>
        <w:ind w:left="567" w:hanging="283"/>
        <w:jc w:val="both"/>
        <w:rPr>
          <w:rFonts w:ascii="Arial" w:hAnsi="Arial" w:cs="Arial"/>
          <w:iCs/>
          <w:sz w:val="24"/>
          <w:szCs w:val="24"/>
        </w:rPr>
      </w:pPr>
      <w:r w:rsidRPr="009D0E6F">
        <w:rPr>
          <w:rFonts w:ascii="Arial" w:hAnsi="Arial" w:cs="Arial"/>
          <w:iCs/>
          <w:sz w:val="24"/>
          <w:szCs w:val="24"/>
        </w:rPr>
        <w:t>attestazione del versamento del capitale sociale, mediante estratto del saldo contabile rilasciato dalla banca presso la quale il versamento è stato effettuato non prima di cinque giorni dall’invio della domanda;</w:t>
      </w:r>
    </w:p>
    <w:p w14:paraId="7D2B20D2" w14:textId="77777777" w:rsidR="00F83AF6" w:rsidRPr="009D0E6F" w:rsidRDefault="00F83AF6" w:rsidP="00F83AF6">
      <w:pPr>
        <w:pStyle w:val="Paragrafoelenco"/>
        <w:numPr>
          <w:ilvl w:val="0"/>
          <w:numId w:val="24"/>
        </w:numPr>
        <w:spacing w:line="360" w:lineRule="auto"/>
        <w:ind w:left="567" w:hanging="283"/>
        <w:jc w:val="both"/>
        <w:rPr>
          <w:rFonts w:ascii="Arial" w:hAnsi="Arial" w:cs="Arial"/>
          <w:iCs/>
          <w:sz w:val="24"/>
          <w:szCs w:val="24"/>
        </w:rPr>
      </w:pPr>
      <w:r w:rsidRPr="009D0E6F">
        <w:rPr>
          <w:rFonts w:ascii="Arial" w:hAnsi="Arial" w:cs="Arial"/>
          <w:iCs/>
          <w:sz w:val="24"/>
          <w:szCs w:val="24"/>
        </w:rPr>
        <w:t>attestazione della sussistenza del capitale medesimo, resa dall</w:t>
      </w:r>
      <w:r>
        <w:rPr>
          <w:rFonts w:ascii="Arial" w:hAnsi="Arial" w:cs="Arial"/>
          <w:iCs/>
          <w:sz w:val="24"/>
          <w:szCs w:val="24"/>
        </w:rPr>
        <w:t>’</w:t>
      </w:r>
      <w:r w:rsidRPr="009D0E6F">
        <w:rPr>
          <w:rFonts w:ascii="Arial" w:hAnsi="Arial" w:cs="Arial"/>
          <w:iCs/>
          <w:sz w:val="24"/>
          <w:szCs w:val="24"/>
        </w:rPr>
        <w:t>organo di controllo se costituito o, in mancanza, dall'organo amministrativo;</w:t>
      </w:r>
    </w:p>
    <w:p w14:paraId="7A970083" w14:textId="77777777" w:rsidR="00F83AF6" w:rsidRPr="009D0E6F" w:rsidRDefault="00F83AF6" w:rsidP="00F83AF6">
      <w:pPr>
        <w:pStyle w:val="Paragrafoelenco"/>
        <w:numPr>
          <w:ilvl w:val="0"/>
          <w:numId w:val="24"/>
        </w:numPr>
        <w:spacing w:line="360" w:lineRule="auto"/>
        <w:ind w:left="567" w:hanging="283"/>
        <w:jc w:val="both"/>
        <w:rPr>
          <w:rFonts w:ascii="Arial" w:hAnsi="Arial" w:cs="Arial"/>
          <w:iCs/>
          <w:sz w:val="24"/>
          <w:szCs w:val="24"/>
        </w:rPr>
      </w:pPr>
      <w:r w:rsidRPr="009D0E6F">
        <w:rPr>
          <w:rFonts w:ascii="Arial" w:hAnsi="Arial" w:cs="Arial"/>
          <w:iCs/>
          <w:sz w:val="24"/>
          <w:szCs w:val="24"/>
        </w:rPr>
        <w:t>in presenza di conferimenti in natura, la relazione di stima o valutazione dei conferimenti in natura ai sensi della disciplina civilistica applicabile alla società;</w:t>
      </w:r>
    </w:p>
    <w:p w14:paraId="0DFB94E8"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Pr>
          <w:rFonts w:ascii="Arial" w:hAnsi="Arial" w:cs="Arial"/>
          <w:iCs/>
          <w:sz w:val="24"/>
          <w:szCs w:val="24"/>
        </w:rPr>
        <w:t>n</w:t>
      </w:r>
      <w:r w:rsidRPr="009D0E6F">
        <w:rPr>
          <w:rFonts w:ascii="Arial" w:hAnsi="Arial" w:cs="Arial"/>
          <w:iCs/>
          <w:sz w:val="24"/>
          <w:szCs w:val="24"/>
        </w:rPr>
        <w:t>el caso di società già operative che intendono esercitare l’attività di microcredito:</w:t>
      </w:r>
    </w:p>
    <w:p w14:paraId="078C50BE" w14:textId="77777777" w:rsidR="00F83AF6" w:rsidRPr="009D0E6F" w:rsidRDefault="00F83AF6" w:rsidP="00F83AF6">
      <w:pPr>
        <w:pStyle w:val="Paragrafoelenco"/>
        <w:numPr>
          <w:ilvl w:val="0"/>
          <w:numId w:val="24"/>
        </w:numPr>
        <w:spacing w:line="360" w:lineRule="auto"/>
        <w:ind w:left="567" w:hanging="283"/>
        <w:jc w:val="both"/>
        <w:rPr>
          <w:rFonts w:ascii="Arial" w:hAnsi="Arial" w:cs="Arial"/>
          <w:iCs/>
          <w:sz w:val="24"/>
          <w:szCs w:val="24"/>
        </w:rPr>
      </w:pPr>
      <w:r w:rsidRPr="009D0E6F">
        <w:rPr>
          <w:rFonts w:ascii="Arial" w:hAnsi="Arial" w:cs="Arial"/>
          <w:iCs/>
          <w:sz w:val="24"/>
          <w:szCs w:val="24"/>
        </w:rPr>
        <w:t>una relazione di stima, effettuata da un soggetto iscritto nel registro dei revisori legali, riferita a data non anteriore a tre mesi dal giorno di presentazione della domanda di iscrizione, dalla quale risulti l’esistenza e l’ammontare del capitale sociale sottoscritto e versato; la perizia è effettuata da esperti, iscritti nel registro dei revisori legali, designati dalla società;</w:t>
      </w:r>
    </w:p>
    <w:p w14:paraId="2D022EF0" w14:textId="77777777" w:rsidR="00F83AF6" w:rsidRPr="009D0E6F" w:rsidRDefault="00F83AF6" w:rsidP="00F83AF6">
      <w:pPr>
        <w:pStyle w:val="Paragrafoelenco"/>
        <w:numPr>
          <w:ilvl w:val="0"/>
          <w:numId w:val="24"/>
        </w:numPr>
        <w:spacing w:line="360" w:lineRule="auto"/>
        <w:ind w:left="567" w:hanging="283"/>
        <w:jc w:val="both"/>
        <w:rPr>
          <w:rFonts w:ascii="Arial" w:hAnsi="Arial" w:cs="Arial"/>
          <w:iCs/>
          <w:sz w:val="24"/>
          <w:szCs w:val="24"/>
        </w:rPr>
      </w:pPr>
      <w:r w:rsidRPr="009D0E6F">
        <w:rPr>
          <w:rFonts w:ascii="Arial" w:hAnsi="Arial" w:cs="Arial"/>
          <w:iCs/>
          <w:sz w:val="24"/>
          <w:szCs w:val="24"/>
        </w:rPr>
        <w:t>una delibera dell’organo di gestione dalla quale risulti il dettaglio dei finanziamenti in essere e che determini quali di essi saranno ricondotti entro le tipologie di microcredito previste dal D.M. n. 176/2014;</w:t>
      </w:r>
    </w:p>
    <w:p w14:paraId="47CF8394"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t>elenco dei soggetti che detengono, direttamente o indirettamente, ossia per il tramite di società controllate, di società fiduciarie o per interposta persona, una partecipazione rilevante nel capitale della società, con l'indicazione delle rispettive quote di partecipazione in valore assoluto e in termini percentuali; per le partecipazioni indirette sono indicati i soggetti per il tramite dei quali è detenuta la partecipazione;</w:t>
      </w:r>
    </w:p>
    <w:p w14:paraId="7EF7AF29"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lastRenderedPageBreak/>
        <w:t>copia del verbale della riunione dell'organo amministrativo, o della dichiarazione dell’amministratore unico, che ha verificato i requisiti dei titolari delle partecipazioni rilevanti nel capitale della società;</w:t>
      </w:r>
    </w:p>
    <w:p w14:paraId="7F07B565"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t>elenco nominativo, con indicazione delle generalità complete, dell'amministratore unico o dei componenti l’organo amministrativo e di quello di controllo ove costituito nonché degli eventuali amministratori delegati, dei direttori generali e dei soggetti che svolgono funzioni equivalenti;</w:t>
      </w:r>
    </w:p>
    <w:p w14:paraId="65C6ED7C" w14:textId="77777777" w:rsidR="00F83AF6" w:rsidRPr="00ED0E1D"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ED0E1D">
        <w:rPr>
          <w:rFonts w:ascii="Arial" w:hAnsi="Arial" w:cs="Arial"/>
          <w:iCs/>
          <w:sz w:val="24"/>
          <w:szCs w:val="24"/>
        </w:rPr>
        <w:t>copia del verbale della riunione dell</w:t>
      </w:r>
      <w:r>
        <w:rPr>
          <w:rFonts w:ascii="Arial" w:hAnsi="Arial" w:cs="Arial"/>
          <w:iCs/>
          <w:sz w:val="24"/>
          <w:szCs w:val="24"/>
        </w:rPr>
        <w:t>’</w:t>
      </w:r>
      <w:r w:rsidRPr="00ED0E1D">
        <w:rPr>
          <w:rFonts w:ascii="Arial" w:hAnsi="Arial" w:cs="Arial"/>
          <w:iCs/>
          <w:sz w:val="24"/>
          <w:szCs w:val="24"/>
        </w:rPr>
        <w:t>organo competente o dell</w:t>
      </w:r>
      <w:r>
        <w:rPr>
          <w:rFonts w:ascii="Arial" w:hAnsi="Arial" w:cs="Arial"/>
          <w:iCs/>
          <w:sz w:val="24"/>
          <w:szCs w:val="24"/>
        </w:rPr>
        <w:t>’</w:t>
      </w:r>
      <w:r w:rsidRPr="00ED0E1D">
        <w:rPr>
          <w:rFonts w:ascii="Arial" w:hAnsi="Arial" w:cs="Arial"/>
          <w:iCs/>
          <w:sz w:val="24"/>
          <w:szCs w:val="24"/>
        </w:rPr>
        <w:t>autodichiarazione relativa alla verifica dei requisiti di onorabilità e professionalità degli esponenti aziendali;</w:t>
      </w:r>
    </w:p>
    <w:p w14:paraId="1B918963"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t>un programma di attività, redatto secondo lo schema previsto;</w:t>
      </w:r>
    </w:p>
    <w:p w14:paraId="39505E8D"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t>per le società già costituite, l’ultimo bilancio approvato e una situazione contabile aggiornata sottoscritta dall'organo amministrativo e da quello di controllo, ove costituito;</w:t>
      </w:r>
    </w:p>
    <w:p w14:paraId="5B481AEB" w14:textId="77777777" w:rsidR="00F83AF6" w:rsidRPr="009D0E6F" w:rsidRDefault="00F83AF6" w:rsidP="00F83AF6">
      <w:pPr>
        <w:pStyle w:val="Paragrafoelenco"/>
        <w:numPr>
          <w:ilvl w:val="0"/>
          <w:numId w:val="23"/>
        </w:numPr>
        <w:spacing w:line="360" w:lineRule="auto"/>
        <w:ind w:left="284" w:hanging="284"/>
        <w:jc w:val="both"/>
        <w:rPr>
          <w:rFonts w:ascii="Arial" w:hAnsi="Arial" w:cs="Arial"/>
          <w:iCs/>
          <w:sz w:val="24"/>
          <w:szCs w:val="24"/>
        </w:rPr>
      </w:pPr>
      <w:r w:rsidRPr="009D0E6F">
        <w:rPr>
          <w:rFonts w:ascii="Arial" w:hAnsi="Arial" w:cs="Arial"/>
          <w:iCs/>
          <w:sz w:val="24"/>
          <w:szCs w:val="24"/>
        </w:rPr>
        <w:t>copia del documento di identità della persona che sottoscrive la domanda di iscrizione.</w:t>
      </w:r>
    </w:p>
    <w:p w14:paraId="783D7F16" w14:textId="77777777" w:rsidR="00F83AF6" w:rsidRPr="00357497" w:rsidRDefault="00F83AF6" w:rsidP="00F83AF6">
      <w:pPr>
        <w:spacing w:line="360" w:lineRule="auto"/>
        <w:jc w:val="both"/>
        <w:rPr>
          <w:rFonts w:ascii="Arial" w:hAnsi="Arial" w:cs="Arial"/>
          <w:iCs/>
          <w:sz w:val="24"/>
          <w:szCs w:val="24"/>
        </w:rPr>
      </w:pPr>
      <w:r w:rsidRPr="00357497">
        <w:rPr>
          <w:rFonts w:ascii="Arial" w:hAnsi="Arial" w:cs="Arial"/>
          <w:iCs/>
          <w:sz w:val="24"/>
          <w:szCs w:val="24"/>
        </w:rPr>
        <w:t>I soggetti iscritti nell’elenco di cui al comma 1 dell’art. 111 TUB possono erogare in via non prevalente finanziamenti anche a favore di persone fisiche in condizioni di particolare vulnerabilità economica o sociale, purché i finanziamenti concessi siano di importo massimo di 10.000 euro, non siano assistiti da garanzie reali, siano accompagnati dalla prestazione di servizi ausiliari di bilancio familiare, abbiano lo scopo di consentire l’inclusione sociale e finanziaria del beneficiario e siano prestati a condizioni più favorevoli di quelle prevalenti sul mercato.</w:t>
      </w:r>
    </w:p>
    <w:p w14:paraId="6A416766" w14:textId="77777777" w:rsidR="00F83AF6" w:rsidRPr="00357497" w:rsidRDefault="00F83AF6" w:rsidP="00F83AF6">
      <w:pPr>
        <w:spacing w:line="360" w:lineRule="auto"/>
        <w:jc w:val="both"/>
        <w:rPr>
          <w:rFonts w:ascii="Arial" w:hAnsi="Arial" w:cs="Arial"/>
          <w:iCs/>
          <w:sz w:val="24"/>
          <w:szCs w:val="24"/>
        </w:rPr>
      </w:pPr>
      <w:r w:rsidRPr="00357497">
        <w:rPr>
          <w:rFonts w:ascii="Arial" w:hAnsi="Arial" w:cs="Arial"/>
          <w:iCs/>
          <w:sz w:val="24"/>
          <w:szCs w:val="24"/>
        </w:rPr>
        <w:t>L’esercizio dell’attività di microcredito rivolta a favore di persone fisiche in condizioni di particolare vulnerabilità economica o sociale deve essere esercitata congiuntamente a quella prevista per l’avvio o l’esercizio di attività di lavoro autonomo o di microimpresa.</w:t>
      </w:r>
    </w:p>
    <w:p w14:paraId="6A28B05C" w14:textId="77777777" w:rsidR="00F83AF6" w:rsidRPr="00357497" w:rsidRDefault="00F83AF6" w:rsidP="00F83AF6">
      <w:pPr>
        <w:spacing w:line="360" w:lineRule="auto"/>
        <w:jc w:val="both"/>
        <w:rPr>
          <w:rFonts w:ascii="Arial" w:hAnsi="Arial" w:cs="Arial"/>
          <w:iCs/>
          <w:sz w:val="24"/>
          <w:szCs w:val="24"/>
        </w:rPr>
      </w:pPr>
      <w:r w:rsidRPr="00357497">
        <w:rPr>
          <w:rFonts w:ascii="Arial" w:hAnsi="Arial" w:cs="Arial"/>
          <w:iCs/>
          <w:sz w:val="24"/>
          <w:szCs w:val="24"/>
        </w:rPr>
        <w:t>L’erogazione di finanziamenti a favore di persone fisiche in condizioni di particolare vulnerabilità economica o sociale, di importo fino a euro 10.000, può essere esercitata anche da soggetti giuridici che non perseguono fini di lucro, in possesso delle specifiche caratteristiche disciplinate dal Ministero dell’economia e delle finanze ed in possesso dei prescritti requisiti di onorabilità, a tassi adeguati a consentire il mero recupero delle spese sostenute dal creditore.</w:t>
      </w:r>
    </w:p>
    <w:p w14:paraId="3602A060" w14:textId="77777777" w:rsidR="00F83AF6" w:rsidRPr="00357497" w:rsidRDefault="00F83AF6" w:rsidP="00F83AF6">
      <w:pPr>
        <w:spacing w:line="360" w:lineRule="auto"/>
        <w:jc w:val="both"/>
        <w:rPr>
          <w:rFonts w:ascii="Arial" w:hAnsi="Arial" w:cs="Arial"/>
          <w:iCs/>
          <w:sz w:val="24"/>
          <w:szCs w:val="24"/>
        </w:rPr>
      </w:pPr>
      <w:r w:rsidRPr="00357497">
        <w:rPr>
          <w:rFonts w:ascii="Arial" w:hAnsi="Arial" w:cs="Arial"/>
          <w:iCs/>
          <w:sz w:val="24"/>
          <w:szCs w:val="24"/>
        </w:rPr>
        <w:t>La norma in esame prevede che l’utilizzo del sostantivo “microcredito” è subordinato alla concessione di finanziamenti secondo le caratteristiche sopra descritte.</w:t>
      </w:r>
    </w:p>
    <w:p w14:paraId="1DCF4C62" w14:textId="77777777" w:rsidR="00F83AF6" w:rsidRPr="00357497" w:rsidRDefault="00F83AF6" w:rsidP="00F83AF6">
      <w:pPr>
        <w:spacing w:line="360" w:lineRule="auto"/>
        <w:jc w:val="both"/>
        <w:rPr>
          <w:rFonts w:ascii="Arial" w:hAnsi="Arial" w:cs="Arial"/>
          <w:iCs/>
          <w:sz w:val="24"/>
          <w:szCs w:val="24"/>
        </w:rPr>
      </w:pPr>
      <w:r w:rsidRPr="00357497">
        <w:rPr>
          <w:rFonts w:ascii="Arial" w:hAnsi="Arial" w:cs="Arial"/>
          <w:iCs/>
          <w:sz w:val="24"/>
          <w:szCs w:val="24"/>
        </w:rPr>
        <w:t xml:space="preserve">L’art. 113 del TUB dispone che l’elenco dei soggetti abilitati all’esercizio del microcredito ai sensi dell’art. </w:t>
      </w:r>
      <w:r>
        <w:rPr>
          <w:rFonts w:ascii="Arial" w:hAnsi="Arial" w:cs="Arial"/>
          <w:iCs/>
          <w:sz w:val="24"/>
          <w:szCs w:val="24"/>
        </w:rPr>
        <w:t>1</w:t>
      </w:r>
      <w:r w:rsidRPr="00357497">
        <w:rPr>
          <w:rFonts w:ascii="Arial" w:hAnsi="Arial" w:cs="Arial"/>
          <w:iCs/>
          <w:sz w:val="24"/>
          <w:szCs w:val="24"/>
        </w:rPr>
        <w:t xml:space="preserve">11 del TUB sia tenuto dalla Banca d’Italia alla quale è attribuita, altresì, la </w:t>
      </w:r>
      <w:r w:rsidRPr="00357497">
        <w:rPr>
          <w:rFonts w:ascii="Arial" w:hAnsi="Arial" w:cs="Arial"/>
          <w:iCs/>
          <w:sz w:val="24"/>
          <w:szCs w:val="24"/>
        </w:rPr>
        <w:lastRenderedPageBreak/>
        <w:t>funzione di vigilanza per il rispetto da parte degli iscritti della disciplina cui essi sono sottoposti. L’ Autorità può chiedere la comunicazione di dati e notizie e la trasmissione di atti e documenti, fissando i relativi termini, può effettuare ispezioni ed inoltre può disporre la cancellazione dall’elenco:</w:t>
      </w:r>
    </w:p>
    <w:p w14:paraId="34B20659"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qualora vengano meno i requisiti per l’iscrizione;</w:t>
      </w:r>
    </w:p>
    <w:p w14:paraId="2CAA4765"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quando risultino gravi violazioni di norme di legge e delle disposizioni emanate nell’ambito della disciplina del TUB;</w:t>
      </w:r>
    </w:p>
    <w:p w14:paraId="1B81B6F9"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per l’inattività dell’iscritto protrattasi per un periodo di tempo non inferiore a un anno.</w:t>
      </w:r>
    </w:p>
    <w:p w14:paraId="5A553AA8"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La Banca d’Italia, inoltre, può imporre agli iscritti il divieto di intraprendere nuove operazioni o disporre la riduzione delle attività per violazioni di disposizioni legislative o amministrative che ne regolano l’attività.</w:t>
      </w:r>
    </w:p>
    <w:p w14:paraId="12B834D2"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 xml:space="preserve">La normativa regolamentare per l’attuazione dell’art.111 TUB è stata adottata con l’emanazione del </w:t>
      </w:r>
      <w:r>
        <w:rPr>
          <w:rFonts w:ascii="Arial" w:hAnsi="Arial" w:cs="Arial"/>
          <w:iCs/>
          <w:sz w:val="24"/>
          <w:szCs w:val="24"/>
        </w:rPr>
        <w:t>d</w:t>
      </w:r>
      <w:r w:rsidRPr="002E43AB">
        <w:rPr>
          <w:rFonts w:ascii="Arial" w:hAnsi="Arial" w:cs="Arial"/>
          <w:iCs/>
          <w:sz w:val="24"/>
          <w:szCs w:val="24"/>
        </w:rPr>
        <w:t>ecreto del Ministro dell’economia e finanze 17 ottobre 2014, n. 176 (Disciplina del microcredito, in attuazione dell'articolo 111, comma 5, del decreto legislativo 1° settembre 1993, n. 385) modificato dal D.M. 20 novembre 2023, n. 211 (Regolamento recante modifiche al decreto del Ministro dell'economia e delle finanze del 17 ottobre 2014, n. 176, recante disciplina del microcredito, in attuazione dell’articolo 111, comma 5, del decreto legislativo 1° settembre 1993, n. 385, nonché in attuazione dell'articolo 1, comma 914, della legge 30 dicembre 2021, n. 234).</w:t>
      </w:r>
    </w:p>
    <w:p w14:paraId="3FCF2472"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Il riformato regolamento, al Titolo I - Microcredito per l’avvio o l’esercizio di attività di lavoro autonomo o di microimpresa - prevede che l’esercizio del microcredito è finalizzato a sostenere l’avvio o l’esercizio di un’attività di lavoro autonomo o di microimpresa, organizzata in forma individuale, di associazione, di società di persone, di società a responsabilità limitata, di società a responsabilità limitata semplificata o di società cooperativa, escludendo la concessione di finanziamenti a</w:t>
      </w:r>
      <w:r>
        <w:rPr>
          <w:rFonts w:ascii="Arial" w:hAnsi="Arial" w:cs="Arial"/>
          <w:iCs/>
          <w:sz w:val="24"/>
          <w:szCs w:val="24"/>
        </w:rPr>
        <w:t>:</w:t>
      </w:r>
    </w:p>
    <w:p w14:paraId="08B6002F"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lavoratori autonomi o imprese titolari di partita IVA da più di cinque anni;</w:t>
      </w:r>
    </w:p>
    <w:p w14:paraId="4931CB96"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società di persone, società a responsabilità limitata, società a responsabilità limitata semplificata, o società cooperative con un numero di dipendenti non soci superiore alle 10 unità.</w:t>
      </w:r>
    </w:p>
    <w:p w14:paraId="165C2265"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La concessione di finanziamenti, anche alternativamente, è finalizzata:</w:t>
      </w:r>
    </w:p>
    <w:p w14:paraId="67A03B8E" w14:textId="3D4F22AD"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 xml:space="preserve">all’acquisto di beni, ivi incluse le materie prime necessarie alla produzione di beni o servizi e le merci destinate alla rivendita, o di servizi strumentali all’attività svolta, compreso il </w:t>
      </w:r>
      <w:r w:rsidRPr="009D0E6F">
        <w:rPr>
          <w:rFonts w:ascii="Arial" w:hAnsi="Arial" w:cs="Arial"/>
          <w:iCs/>
          <w:sz w:val="24"/>
          <w:szCs w:val="24"/>
        </w:rPr>
        <w:lastRenderedPageBreak/>
        <w:t xml:space="preserve">pagamento dei canoni delle operazioni di leasing e il pagamento delle spese connesse alla sottoscrizione di polizze assicurative. I finanziamenti possono essere concessi anche nella forma di </w:t>
      </w:r>
      <w:r w:rsidRPr="005B687C">
        <w:rPr>
          <w:rFonts w:ascii="Arial" w:hAnsi="Arial" w:cs="Arial"/>
          <w:i/>
          <w:sz w:val="24"/>
          <w:szCs w:val="24"/>
        </w:rPr>
        <w:t>micro</w:t>
      </w:r>
      <w:r w:rsidR="005B687C" w:rsidRPr="005B687C">
        <w:rPr>
          <w:rFonts w:ascii="Arial" w:hAnsi="Arial" w:cs="Arial"/>
          <w:i/>
          <w:sz w:val="24"/>
          <w:szCs w:val="24"/>
        </w:rPr>
        <w:t>-</w:t>
      </w:r>
      <w:r w:rsidRPr="005B687C">
        <w:rPr>
          <w:rFonts w:ascii="Arial" w:hAnsi="Arial" w:cs="Arial"/>
          <w:i/>
          <w:sz w:val="24"/>
          <w:szCs w:val="24"/>
        </w:rPr>
        <w:t>leasing</w:t>
      </w:r>
      <w:r w:rsidRPr="009D0E6F">
        <w:rPr>
          <w:rFonts w:ascii="Arial" w:hAnsi="Arial" w:cs="Arial"/>
          <w:iCs/>
          <w:sz w:val="24"/>
          <w:szCs w:val="24"/>
        </w:rPr>
        <w:t xml:space="preserve"> finanziario;</w:t>
      </w:r>
    </w:p>
    <w:p w14:paraId="09199FA4"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alla retribuzione di nuovi dipendenti o soci lavoratori;</w:t>
      </w:r>
    </w:p>
    <w:p w14:paraId="370DFD04"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al pagamento di corsi di formazione volti ad elevare la qualità professionale e le capacità tecniche e gestionali del lavoratore autonomo, dell'imprenditore e dei relativi dipendenti; i finanziamenti concessi alle società di persone e alle società cooperative possono essere destinati anche a consentire la partecipazione a corsi di formazione da parte dei soci;</w:t>
      </w:r>
    </w:p>
    <w:p w14:paraId="2EB06343"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al pagamento di corsi di formazione anche di natura universitaria o post-universitaria volti ad agevolare l'inserimento nel mercato del lavoro delle persone fisiche beneficiarie del finanziamento.</w:t>
      </w:r>
    </w:p>
    <w:p w14:paraId="3FDCCEE4"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All’operatore addetto all’esercizio dell’attività di microcredito è demandata la verifica effettiva della destinazione dei finanziamenti alle specifiche finalità previste dalla normativa.</w:t>
      </w:r>
    </w:p>
    <w:p w14:paraId="14F9DA98"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La disciplina del microcredito prevede anche l’erogazione di servizi ausiliari di assistenza e monitoraggio alle operazioni di finanziamento. Infatti, la disposizione stabilisce che l’operatore di microcredito, sia in fase istruttoria sia durante il periodo di rimborso, presti almeno due dei seguenti servizi ausiliari di assistenza e monitoraggio dei soggetti finanziati:</w:t>
      </w:r>
    </w:p>
    <w:p w14:paraId="5043C3EC"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supporto alla definizione della strategia di sviluppo del progetto finanziato e all</w:t>
      </w:r>
      <w:r>
        <w:rPr>
          <w:rFonts w:ascii="Arial" w:hAnsi="Arial" w:cs="Arial"/>
          <w:iCs/>
          <w:sz w:val="24"/>
          <w:szCs w:val="24"/>
        </w:rPr>
        <w:t>’</w:t>
      </w:r>
      <w:r w:rsidRPr="009D0E6F">
        <w:rPr>
          <w:rFonts w:ascii="Arial" w:hAnsi="Arial" w:cs="Arial"/>
          <w:iCs/>
          <w:sz w:val="24"/>
          <w:szCs w:val="24"/>
        </w:rPr>
        <w:t>analisi di soluzioni per il miglioramento dello svolgimento dell’attività;</w:t>
      </w:r>
    </w:p>
    <w:p w14:paraId="52C0123E"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formazione sulle tecniche di amministrazione dell'impresa, sotto il profilo della gestione contabile, finanziaria e del personale;</w:t>
      </w:r>
    </w:p>
    <w:p w14:paraId="2D88C8BD"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 xml:space="preserve">formazione sull’uso delle tecnologie più evolute per incrementare la produttività; </w:t>
      </w:r>
    </w:p>
    <w:p w14:paraId="7389C9EE"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supporto alla definizione dei prezzi e delle strategie di vendita, con l’effettuazione di studi di mercato;</w:t>
      </w:r>
    </w:p>
    <w:p w14:paraId="0814B669"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supporto per la soluzione di problemi legali, fiscali e amministrativi e informazioni circa i relativi servizi disponibili sul mercato;</w:t>
      </w:r>
    </w:p>
    <w:p w14:paraId="1DA692DE"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con riferimento al finanziamento concesso per il pagamento di corsi di formazione anche di natura universitaria o post-universitaria volti ad agevolare l’inserimento nel mercato del lavoro delle persone fisiche beneficiarie del finanziamento, l’adeguato supporto alla definizione del percorso di inserimento nel mercato del lavoro;</w:t>
      </w:r>
    </w:p>
    <w:p w14:paraId="1A5D1562"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supporto all’individuazione e diagnosi di eventuali criticità dell’implementazione del progetto finanziato.</w:t>
      </w:r>
    </w:p>
    <w:p w14:paraId="000A1610" w14:textId="77777777" w:rsidR="00F83AF6" w:rsidRDefault="00F83AF6" w:rsidP="00F83AF6">
      <w:pPr>
        <w:pStyle w:val="Paragrafoelenco"/>
        <w:spacing w:line="360" w:lineRule="auto"/>
        <w:ind w:left="284" w:hanging="284"/>
        <w:jc w:val="both"/>
        <w:rPr>
          <w:rFonts w:ascii="Arial" w:hAnsi="Arial" w:cs="Arial"/>
          <w:iCs/>
          <w:sz w:val="24"/>
          <w:szCs w:val="24"/>
        </w:rPr>
      </w:pPr>
    </w:p>
    <w:p w14:paraId="1DFD25E7"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lastRenderedPageBreak/>
        <w:t>È concessa facoltà all’operatore finanziario di affidare i servizi ausiliari di assistenza e monitoraggio da espletare a soggetti specializzati nella prestazione di tali attività mediante contratto da stipularsi in forma scritta. Il contratto deve prevedere l’obbligo di informare periodicamente l’operatore sull’andamento delle attività svolte e sui risultati conseguiti dai soggetti finanziati.</w:t>
      </w:r>
    </w:p>
    <w:p w14:paraId="13A3CA57"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Sempre con riguardo all’affidamento dei servizi ausiliari di assistenza e monitoraggio, si evidenzia anche quanto disposto dal decreto-legge 22 ottobre 2016, n. 193, convertito con modificazioni dalla legge 1° dicembre 2016, n. 225, il cui art. 13, comma 1-</w:t>
      </w:r>
      <w:r w:rsidRPr="002E43AB">
        <w:rPr>
          <w:rFonts w:ascii="Arial" w:hAnsi="Arial" w:cs="Arial"/>
          <w:i/>
          <w:sz w:val="24"/>
          <w:szCs w:val="24"/>
        </w:rPr>
        <w:t>bis</w:t>
      </w:r>
      <w:r w:rsidRPr="002E43AB">
        <w:rPr>
          <w:rFonts w:ascii="Arial" w:hAnsi="Arial" w:cs="Arial"/>
          <w:iCs/>
          <w:sz w:val="24"/>
          <w:szCs w:val="24"/>
        </w:rPr>
        <w:t>, ha previsto, tra l’altro, che al fine di garantire la verifica qualitativa e quantitativa dei servizi effettivamente prestati, l’istituzione presso l’Ente nazionale per il microcredito, che ne cura la tenuta e l’aggiornamento, dell'elenco nazionale obbligatorio degli operatori in servizi non finanziari ausiliari di assistenza e monitoraggio per il microcredito. Nel citato elenco, pubblicato nel sito internet istituzionale dell'Ente, sono iscritti i soggetti che possiedono i requisiti stabiliti dall’Ente sulla base delle linee guida redatte dall</w:t>
      </w:r>
      <w:r>
        <w:rPr>
          <w:rFonts w:ascii="Arial" w:hAnsi="Arial" w:cs="Arial"/>
          <w:iCs/>
          <w:sz w:val="24"/>
          <w:szCs w:val="24"/>
        </w:rPr>
        <w:t>o</w:t>
      </w:r>
      <w:r w:rsidRPr="002E43AB">
        <w:rPr>
          <w:rFonts w:ascii="Arial" w:hAnsi="Arial" w:cs="Arial"/>
          <w:iCs/>
          <w:sz w:val="24"/>
          <w:szCs w:val="24"/>
        </w:rPr>
        <w:t xml:space="preserve"> stesso, sentito il parere della Banca d’Italia.</w:t>
      </w:r>
    </w:p>
    <w:p w14:paraId="0D962E4C" w14:textId="77777777" w:rsidR="00F83AF6" w:rsidRDefault="00F83AF6" w:rsidP="00F83AF6">
      <w:pPr>
        <w:spacing w:line="360" w:lineRule="auto"/>
        <w:jc w:val="both"/>
        <w:rPr>
          <w:rFonts w:ascii="Arial" w:hAnsi="Arial" w:cs="Arial"/>
          <w:iCs/>
          <w:sz w:val="24"/>
          <w:szCs w:val="24"/>
        </w:rPr>
      </w:pPr>
      <w:r w:rsidRPr="002E43AB">
        <w:rPr>
          <w:rFonts w:ascii="Arial" w:hAnsi="Arial" w:cs="Arial"/>
          <w:iCs/>
          <w:sz w:val="24"/>
          <w:szCs w:val="24"/>
        </w:rPr>
        <w:t>Inoltre, l’art. 13, comma 1-ter del decreto-legge 22 ottobre 2016, n. 193, convertito con modificazioni dalla legge 1° dicembre 2016, n. 225 ha previsto la definizione, mediante protocollo di intesa, delle modalità attuative per l’istituzione dell’elenco nazionale obbligatorio degli operatori in servizi non finanziari ausiliari di assistenza e monitoraggio nonché per la trasmissione di un rapporto semestrale dall’Ente Nazionale per il Microcredito alla Banca d’Italia</w:t>
      </w:r>
      <w:r>
        <w:rPr>
          <w:rFonts w:ascii="Arial" w:hAnsi="Arial" w:cs="Arial"/>
          <w:iCs/>
          <w:sz w:val="24"/>
          <w:szCs w:val="24"/>
        </w:rPr>
        <w:t>,</w:t>
      </w:r>
      <w:r w:rsidRPr="002E43AB">
        <w:rPr>
          <w:rFonts w:ascii="Arial" w:hAnsi="Arial" w:cs="Arial"/>
          <w:iCs/>
          <w:sz w:val="24"/>
          <w:szCs w:val="24"/>
        </w:rPr>
        <w:t xml:space="preserve"> contenente informazioni qualitative e quantitative sull’erogazione dei servizi ausiliari obbligatori</w:t>
      </w:r>
      <w:r>
        <w:rPr>
          <w:rFonts w:ascii="Arial" w:hAnsi="Arial" w:cs="Arial"/>
          <w:iCs/>
          <w:sz w:val="24"/>
          <w:szCs w:val="24"/>
        </w:rPr>
        <w:t>; il</w:t>
      </w:r>
      <w:r w:rsidRPr="002E43AB">
        <w:rPr>
          <w:rFonts w:ascii="Arial" w:hAnsi="Arial" w:cs="Arial"/>
          <w:iCs/>
          <w:sz w:val="24"/>
          <w:szCs w:val="24"/>
        </w:rPr>
        <w:t xml:space="preserve"> richiamato protocollo d’intesa volto a definire gli scambi informativi tra la Banca d'Italia e l’Ente nazionale del Microcredito è stato siglato il 20 febbraio 2018.</w:t>
      </w:r>
    </w:p>
    <w:p w14:paraId="557AC00C"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L’art. 5 del citato protocollo istituisce un Comitato tecnico composto da rappresentanti delle due istituzioni con il compito di definire le modalità di scambio delle informazioni e di sintesi/analisi delle stesse e agevolare l’attuazione del Protocollo, nel rispetto dei vincoli cui sono sottoposte le informazioni raccolte dalla Banca d’Italia nell’esercizio dell’attività di vigilanza.</w:t>
      </w:r>
    </w:p>
    <w:p w14:paraId="61266D2A" w14:textId="77777777" w:rsidR="00F83AF6" w:rsidRDefault="00F83AF6" w:rsidP="00F83AF6">
      <w:pPr>
        <w:spacing w:line="360" w:lineRule="auto"/>
        <w:jc w:val="both"/>
        <w:rPr>
          <w:rFonts w:ascii="Arial" w:hAnsi="Arial" w:cs="Arial"/>
          <w:iCs/>
          <w:sz w:val="24"/>
          <w:szCs w:val="24"/>
        </w:rPr>
      </w:pPr>
      <w:r w:rsidRPr="002E43AB">
        <w:rPr>
          <w:rFonts w:ascii="Arial" w:hAnsi="Arial" w:cs="Arial"/>
          <w:iCs/>
          <w:sz w:val="24"/>
          <w:szCs w:val="24"/>
        </w:rPr>
        <w:t xml:space="preserve">Con riferimento all’ammontare massimo, alle caratteristiche dei finanziamenti e ai canali distributivi, il Regolamento MEF prevede che i finanziamenti per il lavoro autonomo e le microimprese non possono eccedere il limite di </w:t>
      </w:r>
      <w:r>
        <w:rPr>
          <w:rFonts w:ascii="Arial" w:hAnsi="Arial" w:cs="Arial"/>
          <w:iCs/>
          <w:sz w:val="24"/>
          <w:szCs w:val="24"/>
        </w:rPr>
        <w:t>euro</w:t>
      </w:r>
      <w:r w:rsidRPr="002E43AB">
        <w:rPr>
          <w:rFonts w:ascii="Arial" w:hAnsi="Arial" w:cs="Arial"/>
          <w:iCs/>
          <w:sz w:val="24"/>
          <w:szCs w:val="24"/>
        </w:rPr>
        <w:t xml:space="preserve"> 75.000 per ciascun beneficiario e sono ammessi senza essere assistiti da garanzie reali.</w:t>
      </w:r>
    </w:p>
    <w:p w14:paraId="1A36D82D" w14:textId="77777777" w:rsidR="00F83AF6" w:rsidRDefault="00F83AF6" w:rsidP="00F83AF6">
      <w:pPr>
        <w:spacing w:after="0" w:line="360" w:lineRule="auto"/>
        <w:jc w:val="both"/>
        <w:rPr>
          <w:rFonts w:ascii="Arial" w:hAnsi="Arial" w:cs="Arial"/>
          <w:iCs/>
          <w:sz w:val="24"/>
          <w:szCs w:val="24"/>
        </w:rPr>
      </w:pPr>
    </w:p>
    <w:p w14:paraId="450FE9C0" w14:textId="77777777" w:rsidR="00F83AF6" w:rsidRDefault="00F83AF6" w:rsidP="00F83AF6">
      <w:pPr>
        <w:spacing w:after="0" w:line="360" w:lineRule="auto"/>
        <w:jc w:val="both"/>
        <w:rPr>
          <w:rFonts w:ascii="Arial" w:hAnsi="Arial" w:cs="Arial"/>
          <w:iCs/>
          <w:sz w:val="24"/>
          <w:szCs w:val="24"/>
        </w:rPr>
      </w:pPr>
    </w:p>
    <w:p w14:paraId="0E873575" w14:textId="77777777" w:rsidR="00F83AF6" w:rsidRPr="002E43AB" w:rsidRDefault="00F83AF6" w:rsidP="00F83AF6">
      <w:pPr>
        <w:spacing w:after="0" w:line="360" w:lineRule="auto"/>
        <w:jc w:val="both"/>
        <w:rPr>
          <w:rFonts w:ascii="Arial" w:hAnsi="Arial" w:cs="Arial"/>
          <w:iCs/>
          <w:sz w:val="24"/>
          <w:szCs w:val="24"/>
        </w:rPr>
      </w:pPr>
      <w:r w:rsidRPr="002E43AB">
        <w:rPr>
          <w:rFonts w:ascii="Arial" w:hAnsi="Arial" w:cs="Arial"/>
          <w:iCs/>
          <w:sz w:val="24"/>
          <w:szCs w:val="24"/>
        </w:rPr>
        <w:lastRenderedPageBreak/>
        <w:t>È previsto, inoltre, che:</w:t>
      </w:r>
    </w:p>
    <w:p w14:paraId="741A80A6"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Pr>
          <w:rFonts w:ascii="Arial" w:hAnsi="Arial" w:cs="Arial"/>
          <w:iCs/>
          <w:sz w:val="24"/>
          <w:szCs w:val="24"/>
        </w:rPr>
        <w:t>a</w:t>
      </w:r>
      <w:r w:rsidRPr="009D0E6F">
        <w:rPr>
          <w:rFonts w:ascii="Arial" w:hAnsi="Arial" w:cs="Arial"/>
          <w:iCs/>
          <w:sz w:val="24"/>
          <w:szCs w:val="24"/>
        </w:rPr>
        <w:t>.</w:t>
      </w:r>
      <w:r w:rsidRPr="009D0E6F">
        <w:rPr>
          <w:rFonts w:ascii="Arial" w:hAnsi="Arial" w:cs="Arial"/>
          <w:iCs/>
          <w:sz w:val="24"/>
          <w:szCs w:val="24"/>
        </w:rPr>
        <w:tab/>
        <w:t>gli operatori di microcredito possono concedere finanziamenti in favore delle società a responsabilità limitata, anche assistiti da garanzie reali, per un importo non superiore a 100.000 euro.</w:t>
      </w:r>
    </w:p>
    <w:p w14:paraId="37C65485"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Pr>
          <w:rFonts w:ascii="Arial" w:hAnsi="Arial" w:cs="Arial"/>
          <w:iCs/>
          <w:sz w:val="24"/>
          <w:szCs w:val="24"/>
        </w:rPr>
        <w:t>b.</w:t>
      </w:r>
      <w:r w:rsidRPr="009D0E6F">
        <w:rPr>
          <w:rFonts w:ascii="Arial" w:hAnsi="Arial" w:cs="Arial"/>
          <w:iCs/>
          <w:sz w:val="24"/>
          <w:szCs w:val="24"/>
        </w:rPr>
        <w:tab/>
        <w:t xml:space="preserve">fermo restando i limiti di finanziamento, l’ammontare degli stessi concessi dagli operatori di microcredito a un singolo beneficiario non deve superare il 10% del capitale sociale al netto delle perdite, come risultante dall'ultimo bilancio approvato; </w:t>
      </w:r>
    </w:p>
    <w:p w14:paraId="4EA541AA"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Pr>
          <w:rFonts w:ascii="Arial" w:hAnsi="Arial" w:cs="Arial"/>
          <w:iCs/>
          <w:sz w:val="24"/>
          <w:szCs w:val="24"/>
        </w:rPr>
        <w:t>c.</w:t>
      </w:r>
      <w:r>
        <w:rPr>
          <w:rFonts w:ascii="Arial" w:hAnsi="Arial" w:cs="Arial"/>
          <w:iCs/>
          <w:sz w:val="24"/>
          <w:szCs w:val="24"/>
        </w:rPr>
        <w:tab/>
      </w:r>
      <w:r w:rsidRPr="009D0E6F">
        <w:rPr>
          <w:rFonts w:ascii="Arial" w:hAnsi="Arial" w:cs="Arial"/>
          <w:iCs/>
          <w:sz w:val="24"/>
          <w:szCs w:val="24"/>
        </w:rPr>
        <w:t>l’operatore di microcredito può concedere ad un medesimo soggetto un nuovo finanziamento per un ammontare, che sommato al debito residuo, non superi i limiti previsti (rispettivamente, a seconda dei casi, euro 75.000 o 100.000, ovvero del 10% del capitale sociale al netto delle perdite).</w:t>
      </w:r>
    </w:p>
    <w:p w14:paraId="34D4FE4F"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La durata massima del finanziamento non può essere superiore a dieci anni e il relativo rimborso deve avvenire con rate con scadenza, al massimo, trimestrale.</w:t>
      </w:r>
    </w:p>
    <w:p w14:paraId="6A2CF796"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 contratti di finanziamento sono conclusi direttamente dagli operatori del microcredito.</w:t>
      </w:r>
      <w:r>
        <w:rPr>
          <w:rFonts w:ascii="Arial" w:hAnsi="Arial" w:cs="Arial"/>
          <w:iCs/>
          <w:sz w:val="24"/>
          <w:szCs w:val="24"/>
        </w:rPr>
        <w:t xml:space="preserve"> </w:t>
      </w:r>
      <w:r w:rsidRPr="002E43AB">
        <w:rPr>
          <w:rFonts w:ascii="Arial" w:hAnsi="Arial" w:cs="Arial"/>
          <w:iCs/>
          <w:sz w:val="24"/>
          <w:szCs w:val="24"/>
        </w:rPr>
        <w:t>Per la promozione e il collocamento dei citati contratti di finanziamento, ove non curati direttamente, gli operatori di microcredito possono avvalersi esclusivamente di soggetti specializzati.</w:t>
      </w:r>
    </w:p>
    <w:p w14:paraId="5A231BFE"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Il Titolo II del novellato regolamento disciplina i requisiti dei finanziamenti destinati a promuovere progetti di inclusione sociale e finanziaria. L</w:t>
      </w:r>
      <w:r>
        <w:rPr>
          <w:rFonts w:ascii="Arial" w:hAnsi="Arial" w:cs="Arial"/>
          <w:iCs/>
          <w:sz w:val="24"/>
          <w:szCs w:val="24"/>
        </w:rPr>
        <w:t>’</w:t>
      </w:r>
      <w:r w:rsidRPr="002E43AB">
        <w:rPr>
          <w:rFonts w:ascii="Arial" w:hAnsi="Arial" w:cs="Arial"/>
          <w:iCs/>
          <w:sz w:val="24"/>
          <w:szCs w:val="24"/>
        </w:rPr>
        <w:t>art. 5 del decreto 176/2014 statuisce che rientra nell’attività delle operazioni di microcredito la promozione di progetti di inclusione sociale e finanziaria destinati a persone fisiche che si trovino in una delle seguenti condizioni di particolare vulnerabilità economica o sociale:</w:t>
      </w:r>
    </w:p>
    <w:p w14:paraId="0FF5CBB3"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stato di disoccupazione;</w:t>
      </w:r>
    </w:p>
    <w:p w14:paraId="63943F22"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sospensione o riduzione dell</w:t>
      </w:r>
      <w:r>
        <w:rPr>
          <w:rFonts w:ascii="Arial" w:hAnsi="Arial" w:cs="Arial"/>
          <w:iCs/>
          <w:sz w:val="24"/>
          <w:szCs w:val="24"/>
        </w:rPr>
        <w:t>’</w:t>
      </w:r>
      <w:r w:rsidRPr="009D0E6F">
        <w:rPr>
          <w:rFonts w:ascii="Arial" w:hAnsi="Arial" w:cs="Arial"/>
          <w:iCs/>
          <w:sz w:val="24"/>
          <w:szCs w:val="24"/>
        </w:rPr>
        <w:t>orario di lavoro per cause non dipendenti dalla propria volont</w:t>
      </w:r>
      <w:r>
        <w:rPr>
          <w:rFonts w:ascii="Arial" w:hAnsi="Arial" w:cs="Arial"/>
          <w:iCs/>
          <w:sz w:val="24"/>
          <w:szCs w:val="24"/>
        </w:rPr>
        <w:t>à</w:t>
      </w:r>
      <w:r w:rsidRPr="009D0E6F">
        <w:rPr>
          <w:rFonts w:ascii="Arial" w:hAnsi="Arial" w:cs="Arial"/>
          <w:iCs/>
          <w:sz w:val="24"/>
          <w:szCs w:val="24"/>
        </w:rPr>
        <w:t>;</w:t>
      </w:r>
    </w:p>
    <w:p w14:paraId="4946E287"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sopraggiungere di condizioni di non autosufficienza propria o di un componente il nucleo familiare;</w:t>
      </w:r>
    </w:p>
    <w:p w14:paraId="3F6D3374"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w:t>
      </w:r>
      <w:r w:rsidRPr="009D0E6F">
        <w:rPr>
          <w:rFonts w:ascii="Arial" w:hAnsi="Arial" w:cs="Arial"/>
          <w:iCs/>
          <w:sz w:val="24"/>
          <w:szCs w:val="24"/>
        </w:rPr>
        <w:tab/>
        <w:t>significativa contrazione del reddito o aumento delle spese non derogabili per il nucleo familiare.</w:t>
      </w:r>
    </w:p>
    <w:p w14:paraId="5B5BBDE2"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 finanziamenti sono destinati all</w:t>
      </w:r>
      <w:r>
        <w:rPr>
          <w:rFonts w:ascii="Arial" w:hAnsi="Arial" w:cs="Arial"/>
          <w:iCs/>
          <w:sz w:val="24"/>
          <w:szCs w:val="24"/>
        </w:rPr>
        <w:t>’</w:t>
      </w:r>
      <w:r w:rsidRPr="002E43AB">
        <w:rPr>
          <w:rFonts w:ascii="Arial" w:hAnsi="Arial" w:cs="Arial"/>
          <w:iCs/>
          <w:sz w:val="24"/>
          <w:szCs w:val="24"/>
        </w:rPr>
        <w:t>acquisto di beni o servizi necessari al soddisfacimento di bisogni primari del soggetto finanziato o di un membro del proprio nucleo familiare</w:t>
      </w:r>
      <w:r>
        <w:rPr>
          <w:rFonts w:ascii="Arial" w:hAnsi="Arial" w:cs="Arial"/>
          <w:iCs/>
          <w:sz w:val="24"/>
          <w:szCs w:val="24"/>
        </w:rPr>
        <w:t>,</w:t>
      </w:r>
      <w:r w:rsidRPr="002E43AB">
        <w:rPr>
          <w:rFonts w:ascii="Arial" w:hAnsi="Arial" w:cs="Arial"/>
          <w:iCs/>
          <w:sz w:val="24"/>
          <w:szCs w:val="24"/>
        </w:rPr>
        <w:t xml:space="preserve"> a titolo esemplificativo e non esaustivo, le spese mediche, i canoni di locazione, le spese per la messa a norma degli impianti della propria abitazione principale e per la riqualificazione </w:t>
      </w:r>
      <w:r w:rsidRPr="002E43AB">
        <w:rPr>
          <w:rFonts w:ascii="Arial" w:hAnsi="Arial" w:cs="Arial"/>
          <w:iCs/>
          <w:sz w:val="24"/>
          <w:szCs w:val="24"/>
        </w:rPr>
        <w:lastRenderedPageBreak/>
        <w:t>energetica, le tariffe per l</w:t>
      </w:r>
      <w:r>
        <w:rPr>
          <w:rFonts w:ascii="Arial" w:hAnsi="Arial" w:cs="Arial"/>
          <w:iCs/>
          <w:sz w:val="24"/>
          <w:szCs w:val="24"/>
        </w:rPr>
        <w:t>’</w:t>
      </w:r>
      <w:r w:rsidRPr="002E43AB">
        <w:rPr>
          <w:rFonts w:ascii="Arial" w:hAnsi="Arial" w:cs="Arial"/>
          <w:iCs/>
          <w:sz w:val="24"/>
          <w:szCs w:val="24"/>
        </w:rPr>
        <w:t>accesso a servizi pubblici essenziali, quali i servizi di trasporto e i servizi energetici, le spese necessarie per l</w:t>
      </w:r>
      <w:r>
        <w:rPr>
          <w:rFonts w:ascii="Arial" w:hAnsi="Arial" w:cs="Arial"/>
          <w:iCs/>
          <w:sz w:val="24"/>
          <w:szCs w:val="24"/>
        </w:rPr>
        <w:t>’</w:t>
      </w:r>
      <w:r w:rsidRPr="002E43AB">
        <w:rPr>
          <w:rFonts w:ascii="Arial" w:hAnsi="Arial" w:cs="Arial"/>
          <w:iCs/>
          <w:sz w:val="24"/>
          <w:szCs w:val="24"/>
        </w:rPr>
        <w:t>accesso all’istruzione scolastica.</w:t>
      </w:r>
    </w:p>
    <w:p w14:paraId="699071A6"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L’operatore è tenuto alla verifica, anche richiedendo prove documentali, della sussistenza delle condizioni nonch</w:t>
      </w:r>
      <w:r>
        <w:rPr>
          <w:rFonts w:ascii="Arial" w:hAnsi="Arial" w:cs="Arial"/>
          <w:iCs/>
          <w:sz w:val="24"/>
          <w:szCs w:val="24"/>
        </w:rPr>
        <w:t>é</w:t>
      </w:r>
      <w:r w:rsidRPr="002E43AB">
        <w:rPr>
          <w:rFonts w:ascii="Arial" w:hAnsi="Arial" w:cs="Arial"/>
          <w:iCs/>
          <w:sz w:val="24"/>
          <w:szCs w:val="24"/>
        </w:rPr>
        <w:t xml:space="preserve"> dell’effettivo utilizzo delle somme corrisposte per le finalità per le quali </w:t>
      </w:r>
      <w:r>
        <w:rPr>
          <w:rFonts w:ascii="Arial" w:hAnsi="Arial" w:cs="Arial"/>
          <w:iCs/>
          <w:sz w:val="24"/>
          <w:szCs w:val="24"/>
        </w:rPr>
        <w:t>è</w:t>
      </w:r>
      <w:r w:rsidRPr="002E43AB">
        <w:rPr>
          <w:rFonts w:ascii="Arial" w:hAnsi="Arial" w:cs="Arial"/>
          <w:iCs/>
          <w:sz w:val="24"/>
          <w:szCs w:val="24"/>
        </w:rPr>
        <w:t xml:space="preserve"> prevista l</w:t>
      </w:r>
      <w:r>
        <w:rPr>
          <w:rFonts w:ascii="Arial" w:hAnsi="Arial" w:cs="Arial"/>
          <w:iCs/>
          <w:sz w:val="24"/>
          <w:szCs w:val="24"/>
        </w:rPr>
        <w:t>’</w:t>
      </w:r>
      <w:r w:rsidRPr="002E43AB">
        <w:rPr>
          <w:rFonts w:ascii="Arial" w:hAnsi="Arial" w:cs="Arial"/>
          <w:iCs/>
          <w:sz w:val="24"/>
          <w:szCs w:val="24"/>
        </w:rPr>
        <w:t>concessione de</w:t>
      </w:r>
      <w:r>
        <w:rPr>
          <w:rFonts w:ascii="Arial" w:hAnsi="Arial" w:cs="Arial"/>
          <w:iCs/>
          <w:sz w:val="24"/>
          <w:szCs w:val="24"/>
        </w:rPr>
        <w:t>l</w:t>
      </w:r>
      <w:r w:rsidRPr="002E43AB">
        <w:rPr>
          <w:rFonts w:ascii="Arial" w:hAnsi="Arial" w:cs="Arial"/>
          <w:iCs/>
          <w:sz w:val="24"/>
          <w:szCs w:val="24"/>
        </w:rPr>
        <w:t xml:space="preserve"> finanziamento.</w:t>
      </w:r>
    </w:p>
    <w:p w14:paraId="6564D262"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 xml:space="preserve">L’esposizione di ciascun beneficiario verso il medesimo finanziatore non può eccedere il limite di </w:t>
      </w:r>
      <w:r>
        <w:rPr>
          <w:rFonts w:ascii="Arial" w:hAnsi="Arial" w:cs="Arial"/>
          <w:iCs/>
          <w:sz w:val="24"/>
          <w:szCs w:val="24"/>
        </w:rPr>
        <w:t xml:space="preserve">euro </w:t>
      </w:r>
      <w:r w:rsidRPr="002E43AB">
        <w:rPr>
          <w:rFonts w:ascii="Arial" w:hAnsi="Arial" w:cs="Arial"/>
          <w:iCs/>
          <w:sz w:val="24"/>
          <w:szCs w:val="24"/>
        </w:rPr>
        <w:t>10.000.</w:t>
      </w:r>
    </w:p>
    <w:p w14:paraId="67E7D4B6"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 finanziamenti non sono assistiti da garanzie reali e hanno una durata massima di cinque anni.</w:t>
      </w:r>
    </w:p>
    <w:p w14:paraId="43D84586"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 contratti di finanziamento specificano espressamente la destinazione dei fondi erogati e stabiliscono le forme e le modalit</w:t>
      </w:r>
      <w:r>
        <w:rPr>
          <w:rFonts w:ascii="Arial" w:hAnsi="Arial" w:cs="Arial"/>
          <w:iCs/>
          <w:sz w:val="24"/>
          <w:szCs w:val="24"/>
        </w:rPr>
        <w:t>à</w:t>
      </w:r>
      <w:r w:rsidRPr="002E43AB">
        <w:rPr>
          <w:rFonts w:ascii="Arial" w:hAnsi="Arial" w:cs="Arial"/>
          <w:iCs/>
          <w:sz w:val="24"/>
          <w:szCs w:val="24"/>
        </w:rPr>
        <w:t xml:space="preserve"> di svolgimento dei servizi ausiliari di assistenza dei soggetti finanziati nella gestione del bilancio familiare. Tali servizi devono in particolare fornire ai debitori informazioni utili a migliorare la gestione dei flussi delle entrate e delle uscite e realizzarsi durante l’intera durata del piano di rimborso del finanziamento</w:t>
      </w:r>
      <w:r>
        <w:rPr>
          <w:rFonts w:ascii="Arial" w:hAnsi="Arial" w:cs="Arial"/>
          <w:iCs/>
          <w:sz w:val="24"/>
          <w:szCs w:val="24"/>
        </w:rPr>
        <w:t>; e</w:t>
      </w:r>
      <w:r w:rsidRPr="002E43AB">
        <w:rPr>
          <w:rFonts w:ascii="Arial" w:hAnsi="Arial" w:cs="Arial"/>
          <w:iCs/>
          <w:sz w:val="24"/>
          <w:szCs w:val="24"/>
        </w:rPr>
        <w:t>ssi possono essere prestati direttamente dall'operatore di microcredito ovvero dai soggetti specializzati contrattualizzati con l’operatore</w:t>
      </w:r>
      <w:r>
        <w:rPr>
          <w:rFonts w:ascii="Arial" w:hAnsi="Arial" w:cs="Arial"/>
          <w:iCs/>
          <w:sz w:val="24"/>
          <w:szCs w:val="24"/>
        </w:rPr>
        <w:t>.</w:t>
      </w:r>
    </w:p>
    <w:p w14:paraId="5AF005BD"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Il tasso effettivo globale, comprensivo di interessi, commissioni e spese di ogni genere, ivi comprese quelle per i servizi ausiliari, applicato ai finanziamenti concessi non può superare il tasso effettivo globale medio rilevato per la categoria di operazioni risultante dall</w:t>
      </w:r>
      <w:r>
        <w:rPr>
          <w:rFonts w:ascii="Arial" w:hAnsi="Arial" w:cs="Arial"/>
          <w:iCs/>
          <w:sz w:val="24"/>
          <w:szCs w:val="24"/>
        </w:rPr>
        <w:t>’</w:t>
      </w:r>
      <w:r w:rsidRPr="002E43AB">
        <w:rPr>
          <w:rFonts w:ascii="Arial" w:hAnsi="Arial" w:cs="Arial"/>
          <w:iCs/>
          <w:sz w:val="24"/>
          <w:szCs w:val="24"/>
        </w:rPr>
        <w:t>ultima rilevazione trimestrale effettuata ai sensi della legge 7 marzo 1996, n. 108, moltiplicato per un coefficiente pari a 0,8.</w:t>
      </w:r>
      <w:r>
        <w:rPr>
          <w:rFonts w:ascii="Arial" w:hAnsi="Arial" w:cs="Arial"/>
          <w:iCs/>
          <w:sz w:val="24"/>
          <w:szCs w:val="24"/>
        </w:rPr>
        <w:t xml:space="preserve"> </w:t>
      </w:r>
      <w:r w:rsidRPr="002E43AB">
        <w:rPr>
          <w:rFonts w:ascii="Arial" w:hAnsi="Arial" w:cs="Arial"/>
          <w:iCs/>
          <w:sz w:val="24"/>
          <w:szCs w:val="24"/>
        </w:rPr>
        <w:t>Le clausole non conformi alla richiamata disposizione sono nulle</w:t>
      </w:r>
      <w:r>
        <w:rPr>
          <w:rFonts w:ascii="Arial" w:hAnsi="Arial" w:cs="Arial"/>
          <w:iCs/>
          <w:sz w:val="24"/>
          <w:szCs w:val="24"/>
        </w:rPr>
        <w:t>; l</w:t>
      </w:r>
      <w:r w:rsidRPr="002E43AB">
        <w:rPr>
          <w:rFonts w:ascii="Arial" w:hAnsi="Arial" w:cs="Arial"/>
          <w:iCs/>
          <w:sz w:val="24"/>
          <w:szCs w:val="24"/>
        </w:rPr>
        <w:t>a nullità della clausola non comporta la nullità del contratto e si applica in tal caso il tasso massimo previsto (</w:t>
      </w:r>
      <w:r>
        <w:rPr>
          <w:rFonts w:ascii="Arial" w:hAnsi="Arial" w:cs="Arial"/>
          <w:iCs/>
          <w:sz w:val="24"/>
          <w:szCs w:val="24"/>
        </w:rPr>
        <w:t>nei termini sopra esposti)</w:t>
      </w:r>
      <w:r w:rsidRPr="002E43AB">
        <w:rPr>
          <w:rFonts w:ascii="Arial" w:hAnsi="Arial" w:cs="Arial"/>
          <w:iCs/>
          <w:sz w:val="24"/>
          <w:szCs w:val="24"/>
        </w:rPr>
        <w:t>.</w:t>
      </w:r>
    </w:p>
    <w:p w14:paraId="4518F841" w14:textId="77777777" w:rsidR="00F83AF6" w:rsidRDefault="00F83AF6" w:rsidP="00F83AF6">
      <w:pPr>
        <w:spacing w:line="360" w:lineRule="auto"/>
        <w:jc w:val="both"/>
        <w:rPr>
          <w:rFonts w:ascii="Arial" w:hAnsi="Arial" w:cs="Arial"/>
          <w:iCs/>
          <w:sz w:val="24"/>
          <w:szCs w:val="24"/>
        </w:rPr>
      </w:pPr>
      <w:r w:rsidRPr="002E43AB">
        <w:rPr>
          <w:rFonts w:ascii="Arial" w:hAnsi="Arial" w:cs="Arial"/>
          <w:iCs/>
          <w:sz w:val="24"/>
          <w:szCs w:val="24"/>
        </w:rPr>
        <w:t xml:space="preserve">Gli operatori di microcredito sono obbligati a fornire cliente, prima che egli sia vincolato da un contratto o da una proposta irrevocabile, le informazioni necessarie a consentire una decisione informata e consapevole in merito alla conclusione del contratto. Le informazioni sono fornite </w:t>
      </w:r>
      <w:r>
        <w:rPr>
          <w:rFonts w:ascii="Arial" w:hAnsi="Arial" w:cs="Arial"/>
          <w:iCs/>
          <w:sz w:val="24"/>
          <w:szCs w:val="24"/>
        </w:rPr>
        <w:t xml:space="preserve">a titolo </w:t>
      </w:r>
      <w:r w:rsidRPr="002E43AB">
        <w:rPr>
          <w:rFonts w:ascii="Arial" w:hAnsi="Arial" w:cs="Arial"/>
          <w:iCs/>
          <w:sz w:val="24"/>
          <w:szCs w:val="24"/>
        </w:rPr>
        <w:t>gratuit</w:t>
      </w:r>
      <w:r>
        <w:rPr>
          <w:rFonts w:ascii="Arial" w:hAnsi="Arial" w:cs="Arial"/>
          <w:iCs/>
          <w:sz w:val="24"/>
          <w:szCs w:val="24"/>
        </w:rPr>
        <w:t>o</w:t>
      </w:r>
      <w:r w:rsidRPr="002E43AB">
        <w:rPr>
          <w:rFonts w:ascii="Arial" w:hAnsi="Arial" w:cs="Arial"/>
          <w:iCs/>
          <w:sz w:val="24"/>
          <w:szCs w:val="24"/>
        </w:rPr>
        <w:t>, su supporto cartaceo o su altro supporto durevole, in forma chiara e concis</w:t>
      </w:r>
      <w:r>
        <w:rPr>
          <w:rFonts w:ascii="Arial" w:hAnsi="Arial" w:cs="Arial"/>
          <w:iCs/>
          <w:sz w:val="24"/>
          <w:szCs w:val="24"/>
        </w:rPr>
        <w:t>a</w:t>
      </w:r>
      <w:r w:rsidRPr="002E43AB">
        <w:rPr>
          <w:rFonts w:ascii="Arial" w:hAnsi="Arial" w:cs="Arial"/>
          <w:iCs/>
          <w:sz w:val="24"/>
          <w:szCs w:val="24"/>
        </w:rPr>
        <w:t xml:space="preserve"> e devono includere almeno il tasso annuo effettivo globale, calcolato secondo quanto previsto dalla Banca d’Italia, la durata del contratto e le altre condizioni economiche del finanziamento e devono </w:t>
      </w:r>
      <w:r>
        <w:rPr>
          <w:rFonts w:ascii="Arial" w:hAnsi="Arial" w:cs="Arial"/>
          <w:iCs/>
          <w:sz w:val="24"/>
          <w:szCs w:val="24"/>
        </w:rPr>
        <w:t>altresì i</w:t>
      </w:r>
      <w:r w:rsidRPr="002E43AB">
        <w:rPr>
          <w:rFonts w:ascii="Arial" w:hAnsi="Arial" w:cs="Arial"/>
          <w:iCs/>
          <w:sz w:val="24"/>
          <w:szCs w:val="24"/>
        </w:rPr>
        <w:t>ndicare le conseguenze cui il cliente può andare incontro in caso di mancato pagamento (oneri, spese, azioni giudiziarie, ecc.).</w:t>
      </w:r>
    </w:p>
    <w:p w14:paraId="69F8B239" w14:textId="77777777" w:rsidR="00F83AF6" w:rsidRDefault="00F83AF6" w:rsidP="00F83AF6">
      <w:pPr>
        <w:spacing w:line="360" w:lineRule="auto"/>
        <w:jc w:val="both"/>
        <w:rPr>
          <w:rFonts w:ascii="Arial" w:hAnsi="Arial" w:cs="Arial"/>
          <w:iCs/>
          <w:sz w:val="24"/>
          <w:szCs w:val="24"/>
        </w:rPr>
      </w:pPr>
    </w:p>
    <w:p w14:paraId="04DA2208"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lastRenderedPageBreak/>
        <w:t>La Banca d’Italia disciplina modalità, termini e procedure con riferimento a:</w:t>
      </w:r>
    </w:p>
    <w:p w14:paraId="3F5840E8"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a)</w:t>
      </w:r>
      <w:r w:rsidRPr="009D0E6F">
        <w:rPr>
          <w:rFonts w:ascii="Arial" w:hAnsi="Arial" w:cs="Arial"/>
          <w:iCs/>
          <w:sz w:val="24"/>
          <w:szCs w:val="24"/>
        </w:rPr>
        <w:tab/>
        <w:t>l’iscrizione e la gestione dell</w:t>
      </w:r>
      <w:r>
        <w:rPr>
          <w:rFonts w:ascii="Arial" w:hAnsi="Arial" w:cs="Arial"/>
          <w:iCs/>
          <w:sz w:val="24"/>
          <w:szCs w:val="24"/>
        </w:rPr>
        <w:t>’</w:t>
      </w:r>
      <w:r w:rsidRPr="009D0E6F">
        <w:rPr>
          <w:rFonts w:ascii="Arial" w:hAnsi="Arial" w:cs="Arial"/>
          <w:iCs/>
          <w:sz w:val="24"/>
          <w:szCs w:val="24"/>
        </w:rPr>
        <w:t>elenco di cui all</w:t>
      </w:r>
      <w:r>
        <w:rPr>
          <w:rFonts w:ascii="Arial" w:hAnsi="Arial" w:cs="Arial"/>
          <w:iCs/>
          <w:sz w:val="24"/>
          <w:szCs w:val="24"/>
        </w:rPr>
        <w:t>’</w:t>
      </w:r>
      <w:r w:rsidRPr="009D0E6F">
        <w:rPr>
          <w:rFonts w:ascii="Arial" w:hAnsi="Arial" w:cs="Arial"/>
          <w:iCs/>
          <w:sz w:val="24"/>
          <w:szCs w:val="24"/>
        </w:rPr>
        <w:t>articolo 111, comma 1, TUB, ivi inclusa la dichiarazione di decadenza dell’esponente aziendale in caso di inerzia dell</w:t>
      </w:r>
      <w:r>
        <w:rPr>
          <w:rFonts w:ascii="Arial" w:hAnsi="Arial" w:cs="Arial"/>
          <w:iCs/>
          <w:sz w:val="24"/>
          <w:szCs w:val="24"/>
        </w:rPr>
        <w:t>’</w:t>
      </w:r>
      <w:r w:rsidRPr="009D0E6F">
        <w:rPr>
          <w:rFonts w:ascii="Arial" w:hAnsi="Arial" w:cs="Arial"/>
          <w:iCs/>
          <w:sz w:val="24"/>
          <w:szCs w:val="24"/>
        </w:rPr>
        <w:t>operatore del microcredito;</w:t>
      </w:r>
    </w:p>
    <w:p w14:paraId="37BEE05E"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b)</w:t>
      </w:r>
      <w:r w:rsidRPr="009D0E6F">
        <w:rPr>
          <w:rFonts w:ascii="Arial" w:hAnsi="Arial" w:cs="Arial"/>
          <w:iCs/>
          <w:sz w:val="24"/>
          <w:szCs w:val="24"/>
        </w:rPr>
        <w:tab/>
        <w:t xml:space="preserve">la comunicazione di dati e notizie da parte degli operatori di microcredito con riferimento, tra l’altro, ai finanziamenti concessi </w:t>
      </w:r>
      <w:r>
        <w:rPr>
          <w:rFonts w:ascii="Arial" w:hAnsi="Arial" w:cs="Arial"/>
          <w:iCs/>
          <w:sz w:val="24"/>
          <w:szCs w:val="24"/>
        </w:rPr>
        <w:t>ovvero</w:t>
      </w:r>
      <w:r w:rsidRPr="009D0E6F">
        <w:rPr>
          <w:rFonts w:ascii="Arial" w:hAnsi="Arial" w:cs="Arial"/>
          <w:iCs/>
          <w:sz w:val="24"/>
          <w:szCs w:val="24"/>
        </w:rPr>
        <w:t xml:space="preserve"> alla tipologia di servizi ausiliari </w:t>
      </w:r>
      <w:r>
        <w:rPr>
          <w:rFonts w:ascii="Arial" w:hAnsi="Arial" w:cs="Arial"/>
          <w:iCs/>
          <w:sz w:val="24"/>
          <w:szCs w:val="24"/>
        </w:rPr>
        <w:t>erogati</w:t>
      </w:r>
      <w:r w:rsidRPr="009D0E6F">
        <w:rPr>
          <w:rFonts w:ascii="Arial" w:hAnsi="Arial" w:cs="Arial"/>
          <w:iCs/>
          <w:sz w:val="24"/>
          <w:szCs w:val="24"/>
        </w:rPr>
        <w:t>.</w:t>
      </w:r>
    </w:p>
    <w:p w14:paraId="30B2590E"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Si rappresenta, inoltre, che gli operatori del microcredito sono tenuti all’osservanza delle disposizioni dettate dal D.</w:t>
      </w:r>
      <w:r>
        <w:rPr>
          <w:rFonts w:ascii="Arial" w:hAnsi="Arial" w:cs="Arial"/>
          <w:iCs/>
          <w:sz w:val="24"/>
          <w:szCs w:val="24"/>
        </w:rPr>
        <w:t>l</w:t>
      </w:r>
      <w:r w:rsidRPr="002E43AB">
        <w:rPr>
          <w:rFonts w:ascii="Arial" w:hAnsi="Arial" w:cs="Arial"/>
          <w:iCs/>
          <w:sz w:val="24"/>
          <w:szCs w:val="24"/>
        </w:rPr>
        <w:t>gs.21 novembre 2007, n. 231, in materia di contrasto al riciclaggio e al finanziamento del terrorismo.</w:t>
      </w:r>
    </w:p>
    <w:p w14:paraId="450F3EEF"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Infine, il D.M. 176/2014 stabilisce che sono operatori di finanza mutualistica e solidale i soggetti iscritti nell’elenco di cui all’articolo 111, comma 1, del TUB, e costituiti in forma di cooperativa a mutualità prevalente, il cui statuto preveda che:</w:t>
      </w:r>
    </w:p>
    <w:p w14:paraId="74EE3049"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a)</w:t>
      </w:r>
      <w:r>
        <w:rPr>
          <w:rFonts w:ascii="Arial" w:hAnsi="Arial" w:cs="Arial"/>
          <w:iCs/>
          <w:sz w:val="24"/>
          <w:szCs w:val="24"/>
        </w:rPr>
        <w:tab/>
      </w:r>
      <w:r w:rsidRPr="009D0E6F">
        <w:rPr>
          <w:rFonts w:ascii="Arial" w:hAnsi="Arial" w:cs="Arial"/>
          <w:iCs/>
          <w:sz w:val="24"/>
          <w:szCs w:val="24"/>
        </w:rPr>
        <w:t>partecipanti al capitale, dipendenti e collaboratori siano esclusivamente soci;</w:t>
      </w:r>
    </w:p>
    <w:p w14:paraId="70BF5C13"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b)</w:t>
      </w:r>
      <w:r w:rsidRPr="009D0E6F">
        <w:rPr>
          <w:rFonts w:ascii="Arial" w:hAnsi="Arial" w:cs="Arial"/>
          <w:iCs/>
          <w:sz w:val="24"/>
          <w:szCs w:val="24"/>
        </w:rPr>
        <w:tab/>
        <w:t>l’assemblea dei soci abbia la competenza esclusiva di deliberare in ordine alle scelte strategiche e gestionali;</w:t>
      </w:r>
    </w:p>
    <w:p w14:paraId="783C32F8"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c)</w:t>
      </w:r>
      <w:r>
        <w:rPr>
          <w:rFonts w:ascii="Arial" w:hAnsi="Arial" w:cs="Arial"/>
          <w:iCs/>
          <w:sz w:val="24"/>
          <w:szCs w:val="24"/>
        </w:rPr>
        <w:tab/>
      </w:r>
      <w:r w:rsidRPr="009D0E6F">
        <w:rPr>
          <w:rFonts w:ascii="Arial" w:hAnsi="Arial" w:cs="Arial"/>
          <w:iCs/>
          <w:sz w:val="24"/>
          <w:szCs w:val="24"/>
        </w:rPr>
        <w:t>siano resi pubblici i nominativi dei partecipanti al capitale, l’ammontare dei finanziamenti concessi e la natura dei beneficiari;</w:t>
      </w:r>
    </w:p>
    <w:p w14:paraId="387C4DDA"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d)</w:t>
      </w:r>
      <w:r w:rsidRPr="009D0E6F">
        <w:rPr>
          <w:rFonts w:ascii="Arial" w:hAnsi="Arial" w:cs="Arial"/>
          <w:iCs/>
          <w:sz w:val="24"/>
          <w:szCs w:val="24"/>
        </w:rPr>
        <w:tab/>
        <w:t>la societ</w:t>
      </w:r>
      <w:r>
        <w:rPr>
          <w:rFonts w:ascii="Arial" w:hAnsi="Arial" w:cs="Arial"/>
          <w:iCs/>
          <w:sz w:val="24"/>
          <w:szCs w:val="24"/>
        </w:rPr>
        <w:t>à</w:t>
      </w:r>
      <w:r w:rsidRPr="009D0E6F">
        <w:rPr>
          <w:rFonts w:ascii="Arial" w:hAnsi="Arial" w:cs="Arial"/>
          <w:iCs/>
          <w:sz w:val="24"/>
          <w:szCs w:val="24"/>
        </w:rPr>
        <w:t xml:space="preserve"> non abbia scopo di lucro e non possano essere distribuiti dividendi in misura superiore al tasso di inflazione dell</w:t>
      </w:r>
      <w:r>
        <w:rPr>
          <w:rFonts w:ascii="Arial" w:hAnsi="Arial" w:cs="Arial"/>
          <w:iCs/>
          <w:sz w:val="24"/>
          <w:szCs w:val="24"/>
        </w:rPr>
        <w:t>’</w:t>
      </w:r>
      <w:r w:rsidRPr="009D0E6F">
        <w:rPr>
          <w:rFonts w:ascii="Arial" w:hAnsi="Arial" w:cs="Arial"/>
          <w:iCs/>
          <w:sz w:val="24"/>
          <w:szCs w:val="24"/>
        </w:rPr>
        <w:t>anno di riferimento;</w:t>
      </w:r>
    </w:p>
    <w:p w14:paraId="13C3847B"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e)</w:t>
      </w:r>
      <w:r w:rsidRPr="009D0E6F">
        <w:rPr>
          <w:rFonts w:ascii="Arial" w:hAnsi="Arial" w:cs="Arial"/>
          <w:iCs/>
          <w:sz w:val="24"/>
          <w:szCs w:val="24"/>
        </w:rPr>
        <w:tab/>
        <w:t>per ogni finanziamento sia condotta un’istruttoria socio ambientale alla quale è attribuito lo stesso valore di quella economica ai fini dell</w:t>
      </w:r>
      <w:r>
        <w:rPr>
          <w:rFonts w:ascii="Arial" w:hAnsi="Arial" w:cs="Arial"/>
          <w:iCs/>
          <w:sz w:val="24"/>
          <w:szCs w:val="24"/>
        </w:rPr>
        <w:t>’</w:t>
      </w:r>
      <w:r w:rsidRPr="009D0E6F">
        <w:rPr>
          <w:rFonts w:ascii="Arial" w:hAnsi="Arial" w:cs="Arial"/>
          <w:iCs/>
          <w:sz w:val="24"/>
          <w:szCs w:val="24"/>
        </w:rPr>
        <w:t>erogazione.</w:t>
      </w:r>
    </w:p>
    <w:p w14:paraId="4EBE25D2"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 xml:space="preserve">Inoltre, per quando di riferimento alla finanza etica, </w:t>
      </w:r>
      <w:r>
        <w:rPr>
          <w:rFonts w:ascii="Arial" w:hAnsi="Arial" w:cs="Arial"/>
          <w:iCs/>
          <w:sz w:val="24"/>
          <w:szCs w:val="24"/>
        </w:rPr>
        <w:t>l</w:t>
      </w:r>
      <w:r w:rsidRPr="002E43AB">
        <w:rPr>
          <w:rFonts w:ascii="Arial" w:hAnsi="Arial" w:cs="Arial"/>
          <w:iCs/>
          <w:sz w:val="24"/>
          <w:szCs w:val="24"/>
        </w:rPr>
        <w:t>’art. 111-</w:t>
      </w:r>
      <w:r w:rsidRPr="002E43AB">
        <w:rPr>
          <w:rFonts w:ascii="Arial" w:hAnsi="Arial" w:cs="Arial"/>
          <w:i/>
          <w:sz w:val="24"/>
          <w:szCs w:val="24"/>
        </w:rPr>
        <w:t>bis</w:t>
      </w:r>
      <w:r>
        <w:rPr>
          <w:rFonts w:ascii="Arial" w:hAnsi="Arial" w:cs="Arial"/>
          <w:iCs/>
          <w:sz w:val="24"/>
          <w:szCs w:val="24"/>
        </w:rPr>
        <w:t xml:space="preserve"> del TUB</w:t>
      </w:r>
      <w:r w:rsidRPr="002E43AB">
        <w:rPr>
          <w:rFonts w:ascii="Arial" w:hAnsi="Arial" w:cs="Arial"/>
          <w:iCs/>
          <w:sz w:val="24"/>
          <w:szCs w:val="24"/>
        </w:rPr>
        <w:t>, rubricato “</w:t>
      </w:r>
      <w:r w:rsidRPr="002E43AB">
        <w:rPr>
          <w:rFonts w:ascii="Arial" w:hAnsi="Arial" w:cs="Arial"/>
          <w:i/>
          <w:sz w:val="24"/>
          <w:szCs w:val="24"/>
        </w:rPr>
        <w:t>Finanza etica e sostenibile</w:t>
      </w:r>
      <w:r w:rsidRPr="002E43AB">
        <w:rPr>
          <w:rFonts w:ascii="Arial" w:hAnsi="Arial" w:cs="Arial"/>
          <w:iCs/>
          <w:sz w:val="24"/>
          <w:szCs w:val="24"/>
        </w:rPr>
        <w:t>”, dispone che sono operatori bancari di finanza etica e sostenibile le Banche che conformano la propria attività ai seguenti princìpi:</w:t>
      </w:r>
    </w:p>
    <w:p w14:paraId="6FBDB989"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a)</w:t>
      </w:r>
      <w:r w:rsidRPr="009D0E6F">
        <w:rPr>
          <w:rFonts w:ascii="Arial" w:hAnsi="Arial" w:cs="Arial"/>
          <w:iCs/>
          <w:sz w:val="24"/>
          <w:szCs w:val="24"/>
        </w:rPr>
        <w:tab/>
        <w:t>valutano i finanziamenti erogati a persone giuridiche secondo standard di rating etico internazionalmente riconosciuti, con particolare attenzione all’impatto sociale e ambientale;</w:t>
      </w:r>
    </w:p>
    <w:p w14:paraId="5C83AB36"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b)</w:t>
      </w:r>
      <w:r w:rsidRPr="009D0E6F">
        <w:rPr>
          <w:rFonts w:ascii="Arial" w:hAnsi="Arial" w:cs="Arial"/>
          <w:iCs/>
          <w:sz w:val="24"/>
          <w:szCs w:val="24"/>
        </w:rPr>
        <w:tab/>
        <w:t>danno evidenza pubblica, almeno annualmente, anche via web, dei finanziamenti erogati di cui alla lettera a), tenuto conto delle vigenti normative a tutela della riservatezza dei dati personali;</w:t>
      </w:r>
    </w:p>
    <w:p w14:paraId="424C2CEE"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c)</w:t>
      </w:r>
      <w:r w:rsidRPr="009D0E6F">
        <w:rPr>
          <w:rFonts w:ascii="Arial" w:hAnsi="Arial" w:cs="Arial"/>
          <w:iCs/>
          <w:sz w:val="24"/>
          <w:szCs w:val="24"/>
        </w:rPr>
        <w:tab/>
        <w:t>devolvono almeno il 20% del proprio portafoglio di crediti a organizzazioni senza scopo di lucro o a imprese sociali con personalità giuridica, come definite dalla normativa vigente;</w:t>
      </w:r>
    </w:p>
    <w:p w14:paraId="7F647907"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d)</w:t>
      </w:r>
      <w:r w:rsidRPr="009D0E6F">
        <w:rPr>
          <w:rFonts w:ascii="Arial" w:hAnsi="Arial" w:cs="Arial"/>
          <w:iCs/>
          <w:sz w:val="24"/>
          <w:szCs w:val="24"/>
        </w:rPr>
        <w:tab/>
        <w:t>non distribuiscono profitti e li reinvestono nella propria attività;</w:t>
      </w:r>
    </w:p>
    <w:p w14:paraId="4C840830"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lastRenderedPageBreak/>
        <w:t>e)</w:t>
      </w:r>
      <w:r w:rsidRPr="009D0E6F">
        <w:rPr>
          <w:rFonts w:ascii="Arial" w:hAnsi="Arial" w:cs="Arial"/>
          <w:iCs/>
          <w:sz w:val="24"/>
          <w:szCs w:val="24"/>
        </w:rPr>
        <w:tab/>
        <w:t>adottano un sistema di governance e un modello organizzativo a forte orientamento democratico e partecipativo, caratterizzato da un azionariato diffuso;</w:t>
      </w:r>
    </w:p>
    <w:p w14:paraId="003B0304"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sidRPr="009D0E6F">
        <w:rPr>
          <w:rFonts w:ascii="Arial" w:hAnsi="Arial" w:cs="Arial"/>
          <w:iCs/>
          <w:sz w:val="24"/>
          <w:szCs w:val="24"/>
        </w:rPr>
        <w:t>f)</w:t>
      </w:r>
      <w:r w:rsidRPr="009D0E6F">
        <w:rPr>
          <w:rFonts w:ascii="Arial" w:hAnsi="Arial" w:cs="Arial"/>
          <w:iCs/>
          <w:sz w:val="24"/>
          <w:szCs w:val="24"/>
        </w:rPr>
        <w:tab/>
        <w:t>adottano politiche retributive tese a contenere al massimo la differenza tra la remunerazione maggiore e quella media della banca, il cui rapporto comunque non può superare il valore di 5.</w:t>
      </w:r>
    </w:p>
    <w:p w14:paraId="72EF614E"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La norma prevede anche delle agevolazioni di carattere fiscale, stabilendo che non concorre a formare il reddito imponibile ai sensi dell</w:t>
      </w:r>
      <w:r>
        <w:rPr>
          <w:rFonts w:ascii="Arial" w:hAnsi="Arial" w:cs="Arial"/>
          <w:iCs/>
          <w:sz w:val="24"/>
          <w:szCs w:val="24"/>
        </w:rPr>
        <w:t>’</w:t>
      </w:r>
      <w:r w:rsidRPr="002E43AB">
        <w:rPr>
          <w:rFonts w:ascii="Arial" w:hAnsi="Arial" w:cs="Arial"/>
          <w:iCs/>
          <w:sz w:val="24"/>
          <w:szCs w:val="24"/>
        </w:rPr>
        <w:t>articolo 81 del testo unico delle imposte sui redditi, di cui al decreto del Presidente della Repubblica 22 dicembre 1986, n. 917, degli operatori bancari di finanza etica e sostenibile, una quota pari al 75% delle somme destinate a incremento del capitale proprio.</w:t>
      </w:r>
    </w:p>
    <w:p w14:paraId="6474D7A9"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Infine, un’</w:t>
      </w:r>
      <w:r>
        <w:rPr>
          <w:rFonts w:ascii="Arial" w:hAnsi="Arial" w:cs="Arial"/>
          <w:iCs/>
          <w:sz w:val="24"/>
          <w:szCs w:val="24"/>
        </w:rPr>
        <w:t xml:space="preserve">ulteriore </w:t>
      </w:r>
      <w:r w:rsidRPr="002E43AB">
        <w:rPr>
          <w:rFonts w:ascii="Arial" w:hAnsi="Arial" w:cs="Arial"/>
          <w:iCs/>
          <w:sz w:val="24"/>
          <w:szCs w:val="24"/>
        </w:rPr>
        <w:t>caratteristica dei finanziamenti erogati dagli operatori di microcredito è l’accesso alla garanzia statale a tutela degli intermediari concedenti.</w:t>
      </w:r>
    </w:p>
    <w:p w14:paraId="71824D07"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L’intervento del Fondo Centrale di Garanzia</w:t>
      </w:r>
      <w:r>
        <w:rPr>
          <w:rStyle w:val="Rimandonotaapidipagina"/>
          <w:rFonts w:ascii="Arial" w:hAnsi="Arial" w:cs="Arial"/>
          <w:iCs/>
          <w:sz w:val="24"/>
          <w:szCs w:val="24"/>
        </w:rPr>
        <w:footnoteReference w:id="70"/>
      </w:r>
      <w:r w:rsidRPr="002E43AB">
        <w:rPr>
          <w:rFonts w:ascii="Arial" w:hAnsi="Arial" w:cs="Arial"/>
          <w:iCs/>
          <w:sz w:val="24"/>
          <w:szCs w:val="24"/>
        </w:rPr>
        <w:t>, che dipende dal Ministero delle Imprese e del Made in Italy, ha lo scopo di sostenere l’avvio e lo sviluppo della micro</w:t>
      </w:r>
      <w:r>
        <w:rPr>
          <w:rFonts w:ascii="Arial" w:hAnsi="Arial" w:cs="Arial"/>
          <w:iCs/>
          <w:sz w:val="24"/>
          <w:szCs w:val="24"/>
        </w:rPr>
        <w:t>imprenditorialità</w:t>
      </w:r>
      <w:r w:rsidRPr="002E43AB">
        <w:rPr>
          <w:rFonts w:ascii="Arial" w:hAnsi="Arial" w:cs="Arial"/>
          <w:iCs/>
          <w:sz w:val="24"/>
          <w:szCs w:val="24"/>
        </w:rPr>
        <w:t xml:space="preserve"> favorendo l’accesso alle fonti finanziarie a soggetti privi di merito creditizio e si realizza con la concessione di una garanzia pubblica sulle operazioni ammesse.</w:t>
      </w:r>
    </w:p>
    <w:p w14:paraId="2ED1EF31"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La disposizione sul Fondo di garanzia previsto per le operazioni di microcredito di cui all’art. 39, comma 7-bis del decreto-legge 6 dicembre 2011, n. 201, recante “</w:t>
      </w:r>
      <w:r w:rsidRPr="002E43AB">
        <w:rPr>
          <w:rFonts w:ascii="Arial" w:hAnsi="Arial" w:cs="Arial"/>
          <w:i/>
          <w:sz w:val="24"/>
          <w:szCs w:val="24"/>
        </w:rPr>
        <w:t>Disposizioni urgenti per la crescita, l’equit</w:t>
      </w:r>
      <w:r>
        <w:rPr>
          <w:rFonts w:ascii="Arial" w:hAnsi="Arial" w:cs="Arial"/>
          <w:i/>
          <w:sz w:val="24"/>
          <w:szCs w:val="24"/>
        </w:rPr>
        <w:t>à</w:t>
      </w:r>
      <w:r w:rsidRPr="002E43AB">
        <w:rPr>
          <w:rFonts w:ascii="Arial" w:hAnsi="Arial" w:cs="Arial"/>
          <w:i/>
          <w:sz w:val="24"/>
          <w:szCs w:val="24"/>
        </w:rPr>
        <w:t xml:space="preserve"> e il consolidamento dei conti pubblici</w:t>
      </w:r>
      <w:r>
        <w:rPr>
          <w:rFonts w:ascii="Arial" w:hAnsi="Arial" w:cs="Arial"/>
          <w:i/>
          <w:sz w:val="24"/>
          <w:szCs w:val="24"/>
        </w:rPr>
        <w:t>”</w:t>
      </w:r>
      <w:r w:rsidRPr="002E43AB">
        <w:rPr>
          <w:rFonts w:ascii="Arial" w:hAnsi="Arial" w:cs="Arial"/>
          <w:iCs/>
          <w:sz w:val="24"/>
          <w:szCs w:val="24"/>
        </w:rPr>
        <w:t>, convertito con modificazioni in legge 22 dicembre 2011, prevede che una quota delle disponibilit</w:t>
      </w:r>
      <w:r>
        <w:rPr>
          <w:rFonts w:ascii="Arial" w:hAnsi="Arial" w:cs="Arial"/>
          <w:iCs/>
          <w:sz w:val="24"/>
          <w:szCs w:val="24"/>
        </w:rPr>
        <w:t>à</w:t>
      </w:r>
      <w:r w:rsidRPr="002E43AB">
        <w:rPr>
          <w:rFonts w:ascii="Arial" w:hAnsi="Arial" w:cs="Arial"/>
          <w:iCs/>
          <w:sz w:val="24"/>
          <w:szCs w:val="24"/>
        </w:rPr>
        <w:t xml:space="preserve"> finanziarie del Fondo di garanzia a favore delle piccole e medie imprese, di cui all’ articolo 2, comma 100, lettera a), della legge 23 dicembre 1996, n. 662, sia riservata ad interventi di garanzia in favore del microcredito di cui all’articolo 111 del </w:t>
      </w:r>
      <w:r>
        <w:rPr>
          <w:rFonts w:ascii="Arial" w:hAnsi="Arial" w:cs="Arial"/>
          <w:iCs/>
          <w:sz w:val="24"/>
          <w:szCs w:val="24"/>
        </w:rPr>
        <w:t>TUB</w:t>
      </w:r>
      <w:r w:rsidRPr="002E43AB">
        <w:rPr>
          <w:rFonts w:ascii="Arial" w:hAnsi="Arial" w:cs="Arial"/>
          <w:iCs/>
          <w:sz w:val="24"/>
          <w:szCs w:val="24"/>
        </w:rPr>
        <w:t xml:space="preserve"> da destinare alla microimprenditorialità rimandando a un decreto di natura non regolamentare, adottato dal Ministro dello sviluppo economico</w:t>
      </w:r>
      <w:r>
        <w:rPr>
          <w:rFonts w:ascii="Arial" w:hAnsi="Arial" w:cs="Arial"/>
          <w:iCs/>
          <w:sz w:val="24"/>
          <w:szCs w:val="24"/>
        </w:rPr>
        <w:t xml:space="preserve"> e</w:t>
      </w:r>
      <w:r w:rsidRPr="002E43AB">
        <w:rPr>
          <w:rFonts w:ascii="Arial" w:hAnsi="Arial" w:cs="Arial"/>
          <w:iCs/>
          <w:sz w:val="24"/>
          <w:szCs w:val="24"/>
        </w:rPr>
        <w:t xml:space="preserve"> sentito l’Ente nazionale per il microcredito, la definizione della quota delle risorse del Fondo da destinare al microcredito, le tipologie di operazioni ammissibili, le modalità di concessione, i criteri di selezione nonché l’ammontare massimo delle disponibilità finanziarie del Fondo da destinare alla copertura del rischio derivante dalla concessione della garanzia</w:t>
      </w:r>
      <w:r>
        <w:rPr>
          <w:rFonts w:ascii="Arial" w:hAnsi="Arial" w:cs="Arial"/>
          <w:iCs/>
          <w:sz w:val="24"/>
          <w:szCs w:val="24"/>
        </w:rPr>
        <w:t>.</w:t>
      </w:r>
    </w:p>
    <w:p w14:paraId="46D20923"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 xml:space="preserve">La norma ha, altresì, demandato all’Ente nazionale per il microcredito la stipula di convenzioni con enti pubblici e privati, istituzioni, nazionali ed europee, per l’incremento delle risorse del </w:t>
      </w:r>
      <w:r w:rsidRPr="002E43AB">
        <w:rPr>
          <w:rFonts w:ascii="Arial" w:hAnsi="Arial" w:cs="Arial"/>
          <w:iCs/>
          <w:sz w:val="24"/>
          <w:szCs w:val="24"/>
        </w:rPr>
        <w:lastRenderedPageBreak/>
        <w:t>Fondo dedicate al microcredito per le microimprese o per l’istituzione di fondi di riserva separati presso il medesimo Fondo.</w:t>
      </w:r>
    </w:p>
    <w:p w14:paraId="02B5517F"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In attuazione della citata disposizione, è stato adottato il D.M. 31 maggio 1999, del Ministero dell'industria, del commercio e dell’artigianato, concernente il “</w:t>
      </w:r>
      <w:r w:rsidRPr="009E3434">
        <w:rPr>
          <w:rFonts w:ascii="Arial" w:hAnsi="Arial" w:cs="Arial"/>
          <w:i/>
          <w:sz w:val="24"/>
          <w:szCs w:val="24"/>
        </w:rPr>
        <w:t>Regolamento recante criteri e modalità per la concessione della garanzia e per la gestione del Fondo di garanzia per le piccole e medie imprese</w:t>
      </w:r>
      <w:r w:rsidRPr="002E43AB">
        <w:rPr>
          <w:rFonts w:ascii="Arial" w:hAnsi="Arial" w:cs="Arial"/>
          <w:iCs/>
          <w:sz w:val="24"/>
          <w:szCs w:val="24"/>
        </w:rPr>
        <w:t>”.</w:t>
      </w:r>
    </w:p>
    <w:p w14:paraId="01041715"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 xml:space="preserve">Per gli aspetti di </w:t>
      </w:r>
      <w:r>
        <w:rPr>
          <w:rFonts w:ascii="Arial" w:hAnsi="Arial" w:cs="Arial"/>
          <w:iCs/>
          <w:sz w:val="24"/>
          <w:szCs w:val="24"/>
        </w:rPr>
        <w:t>specifico i</w:t>
      </w:r>
      <w:r w:rsidRPr="002E43AB">
        <w:rPr>
          <w:rFonts w:ascii="Arial" w:hAnsi="Arial" w:cs="Arial"/>
          <w:iCs/>
          <w:sz w:val="24"/>
          <w:szCs w:val="24"/>
        </w:rPr>
        <w:t>nteresse, le condizioni di accesso al Fondo di garanzia</w:t>
      </w:r>
      <w:r>
        <w:rPr>
          <w:rStyle w:val="Rimandonotaapidipagina"/>
          <w:rFonts w:ascii="Arial" w:hAnsi="Arial" w:cs="Arial"/>
          <w:iCs/>
          <w:sz w:val="24"/>
          <w:szCs w:val="24"/>
        </w:rPr>
        <w:footnoteReference w:id="71"/>
      </w:r>
      <w:r w:rsidRPr="002E43AB">
        <w:rPr>
          <w:rFonts w:ascii="Arial" w:hAnsi="Arial" w:cs="Arial"/>
          <w:iCs/>
          <w:sz w:val="24"/>
          <w:szCs w:val="24"/>
        </w:rPr>
        <w:t xml:space="preserve"> sono disciplinate dal D.M del Ministro dello Sviluppo economico 24 dicembre 2014 “</w:t>
      </w:r>
      <w:r w:rsidRPr="002E43AB">
        <w:rPr>
          <w:rFonts w:ascii="Arial" w:hAnsi="Arial" w:cs="Arial"/>
          <w:i/>
          <w:sz w:val="24"/>
          <w:szCs w:val="24"/>
        </w:rPr>
        <w:t>Interventi di garanzia relativi al Fondo di garanzia per le piccole e medie imprese in favore di operazioni del microcredito destinati alla microimprenditorialità</w:t>
      </w:r>
      <w:r w:rsidRPr="002E43AB">
        <w:rPr>
          <w:rFonts w:ascii="Arial" w:hAnsi="Arial" w:cs="Arial"/>
          <w:iCs/>
          <w:sz w:val="24"/>
          <w:szCs w:val="24"/>
        </w:rPr>
        <w:t>”, integrato dal successivo D.M. 18 marzo 2015.</w:t>
      </w:r>
    </w:p>
    <w:p w14:paraId="14F63EF9"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Le citate disposizioni regolano le modalità operative per la richiesta della garanzia sui finanziamenti da concedere per il microcredito. In particolare, è previsto che il beneficiario finale del prestito può chiedere direttamente la garanzia in modalità telematica, previa registrazione e utilizzo delle credenziali di accesso al sito www.fondidigaranzia.it – sezione “microcredito”</w:t>
      </w:r>
      <w:r>
        <w:rPr>
          <w:rFonts w:ascii="Arial" w:hAnsi="Arial" w:cs="Arial"/>
          <w:iCs/>
          <w:sz w:val="24"/>
          <w:szCs w:val="24"/>
        </w:rPr>
        <w:t>; a</w:t>
      </w:r>
      <w:r w:rsidRPr="002E43AB">
        <w:rPr>
          <w:rFonts w:ascii="Arial" w:hAnsi="Arial" w:cs="Arial"/>
          <w:iCs/>
          <w:sz w:val="24"/>
          <w:szCs w:val="24"/>
        </w:rPr>
        <w:t xml:space="preserve"> seguito della presentazione della richiesta di prenotazione della garanzia, il sistema informativo del Fondo attribuisce automaticamente un codice identificativo alla richiesta di prenotazione presentata dal soggetto beneficiario finale e produce la conseguente ricevuta dell'avvenuta prenotazione delle risorse, che il richiedente deve presentare al soggetto finanziatore al quale intende richiedere il finanziamento. La prenotazione resta valida per cinque giorni lavorativi successivi alla data del suo inserimento sul sistema informativo del Fondo</w:t>
      </w:r>
      <w:r>
        <w:rPr>
          <w:rFonts w:ascii="Arial" w:hAnsi="Arial" w:cs="Arial"/>
          <w:iCs/>
          <w:sz w:val="24"/>
          <w:szCs w:val="24"/>
        </w:rPr>
        <w:t>; e</w:t>
      </w:r>
      <w:r w:rsidRPr="002E43AB">
        <w:rPr>
          <w:rFonts w:ascii="Arial" w:hAnsi="Arial" w:cs="Arial"/>
          <w:iCs/>
          <w:sz w:val="24"/>
          <w:szCs w:val="24"/>
        </w:rPr>
        <w:t xml:space="preserve">ntro il menzionato termine, la prenotazione deve essere confermata, a pena di decadenza, dal soggetto finanziatore prescelto, che attesta di aver ricevuto dal soggetto beneficiario formale richiesta di finanziamento. A tal fine, il soggetto finanziatore accede alla sezione “microcredito” del </w:t>
      </w:r>
      <w:r>
        <w:rPr>
          <w:rFonts w:ascii="Arial" w:hAnsi="Arial" w:cs="Arial"/>
          <w:iCs/>
          <w:sz w:val="24"/>
          <w:szCs w:val="24"/>
        </w:rPr>
        <w:t xml:space="preserve">sito web </w:t>
      </w:r>
      <w:r w:rsidRPr="002E43AB">
        <w:rPr>
          <w:rFonts w:ascii="Arial" w:hAnsi="Arial" w:cs="Arial"/>
          <w:iCs/>
          <w:sz w:val="24"/>
          <w:szCs w:val="24"/>
        </w:rPr>
        <w:t>del Fondo</w:t>
      </w:r>
      <w:r>
        <w:rPr>
          <w:rFonts w:ascii="Arial" w:hAnsi="Arial" w:cs="Arial"/>
          <w:iCs/>
          <w:sz w:val="24"/>
          <w:szCs w:val="24"/>
        </w:rPr>
        <w:t xml:space="preserve"> </w:t>
      </w:r>
      <w:r w:rsidRPr="002E43AB">
        <w:rPr>
          <w:rFonts w:ascii="Arial" w:hAnsi="Arial" w:cs="Arial"/>
          <w:iCs/>
          <w:sz w:val="24"/>
          <w:szCs w:val="24"/>
        </w:rPr>
        <w:t xml:space="preserve">utilizzando, oltre alle credenziali di accesso rilasciate dal Gestore del Fondo in sede di abilitazione a operare con il Fondo, il codice identificativo della prenotazione rilasciato inizialmente al richiedente del prestito. La prenotazione confermata dal soggetto finanziatore ha una validità di sessanta giorni successivi alla data della conferma, termine entro il quale il soggetto finanziatore, conclusa l’istruttoria della pratica, deve inviare al Gestore del Fondo la relativa richiesta di garanzia. Nel caso in cui la richiesta di garanzia sia presentata oltre il termine indicato, la prenotazione </w:t>
      </w:r>
      <w:r w:rsidRPr="002E43AB">
        <w:rPr>
          <w:rFonts w:ascii="Arial" w:hAnsi="Arial" w:cs="Arial"/>
          <w:iCs/>
          <w:sz w:val="24"/>
          <w:szCs w:val="24"/>
        </w:rPr>
        <w:lastRenderedPageBreak/>
        <w:t xml:space="preserve">decade e le risorse accantonate rientrano nella disponibilità del Fondo. Per agevolare i soggetti beneficiari finali, nella sezione </w:t>
      </w:r>
      <w:r>
        <w:rPr>
          <w:rFonts w:ascii="Arial" w:hAnsi="Arial" w:cs="Arial"/>
          <w:iCs/>
          <w:sz w:val="24"/>
          <w:szCs w:val="24"/>
        </w:rPr>
        <w:t xml:space="preserve">“microcredito” </w:t>
      </w:r>
      <w:r w:rsidRPr="002E43AB">
        <w:rPr>
          <w:rFonts w:ascii="Arial" w:hAnsi="Arial" w:cs="Arial"/>
          <w:iCs/>
          <w:sz w:val="24"/>
          <w:szCs w:val="24"/>
        </w:rPr>
        <w:t xml:space="preserve">del </w:t>
      </w:r>
      <w:r>
        <w:rPr>
          <w:rFonts w:ascii="Arial" w:hAnsi="Arial" w:cs="Arial"/>
          <w:iCs/>
          <w:sz w:val="24"/>
          <w:szCs w:val="24"/>
        </w:rPr>
        <w:t>citato sistema telematico</w:t>
      </w:r>
      <w:r w:rsidRPr="002E43AB">
        <w:rPr>
          <w:rFonts w:ascii="Arial" w:hAnsi="Arial" w:cs="Arial"/>
          <w:iCs/>
          <w:sz w:val="24"/>
          <w:szCs w:val="24"/>
        </w:rPr>
        <w:t>, è riportato l’elenco dei soggetti finanziatori abilitati a operare con il Fondo.</w:t>
      </w:r>
    </w:p>
    <w:p w14:paraId="45DAA5BA"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La garanzia del Fondo è una agevolazione del Ministero dello sviluppo economico, finanziata anche con risorse europee, che può essere attivata solo a fronte di finanziamenti concessi da banche, società di leasing e altri intermediari finanziari. Il Fondo non interviene direttamente nel rapporto tra banca e cliente. L’applicazione dei tassi di interesse, delle condizioni di rimborso ecc., rientra nell’autonomia delle parti, fermo restando che sulla parte garantita dal Fondo non possono essere acquisite garanzie reali, assicurative o bancarie.</w:t>
      </w:r>
    </w:p>
    <w:p w14:paraId="70149E06"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Il Fondo</w:t>
      </w:r>
      <w:r>
        <w:rPr>
          <w:rStyle w:val="Rimandonotaapidipagina"/>
          <w:rFonts w:ascii="Arial" w:hAnsi="Arial" w:cs="Arial"/>
          <w:iCs/>
          <w:sz w:val="24"/>
          <w:szCs w:val="24"/>
        </w:rPr>
        <w:footnoteReference w:id="72"/>
      </w:r>
      <w:r w:rsidRPr="002E43AB">
        <w:rPr>
          <w:rFonts w:ascii="Arial" w:hAnsi="Arial" w:cs="Arial"/>
          <w:iCs/>
          <w:sz w:val="24"/>
          <w:szCs w:val="24"/>
        </w:rPr>
        <w:t>, a garanzia delle operazioni finanziarie, può azionare tre modalità di intervento:</w:t>
      </w:r>
    </w:p>
    <w:p w14:paraId="61FF4D34"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Pr>
          <w:rFonts w:ascii="Arial" w:hAnsi="Arial" w:cs="Arial"/>
          <w:iCs/>
          <w:sz w:val="24"/>
          <w:szCs w:val="24"/>
        </w:rPr>
        <w:t>-</w:t>
      </w:r>
      <w:r>
        <w:rPr>
          <w:rFonts w:ascii="Arial" w:hAnsi="Arial" w:cs="Arial"/>
          <w:iCs/>
          <w:sz w:val="24"/>
          <w:szCs w:val="24"/>
        </w:rPr>
        <w:tab/>
      </w:r>
      <w:r w:rsidRPr="009D0E6F">
        <w:rPr>
          <w:rFonts w:ascii="Arial" w:hAnsi="Arial" w:cs="Arial"/>
          <w:iCs/>
          <w:sz w:val="24"/>
          <w:szCs w:val="24"/>
        </w:rPr>
        <w:t>garanzia diretta: concessa direttamente ai soggetti finanziatori</w:t>
      </w:r>
      <w:r>
        <w:rPr>
          <w:rFonts w:ascii="Arial" w:hAnsi="Arial" w:cs="Arial"/>
          <w:iCs/>
          <w:sz w:val="24"/>
          <w:szCs w:val="24"/>
        </w:rPr>
        <w:t>; la</w:t>
      </w:r>
      <w:r w:rsidRPr="009D0E6F">
        <w:rPr>
          <w:rFonts w:ascii="Arial" w:hAnsi="Arial" w:cs="Arial"/>
          <w:iCs/>
          <w:sz w:val="24"/>
          <w:szCs w:val="24"/>
        </w:rPr>
        <w:t xml:space="preserve"> garanzia diretta è esplicita, incondizionata, irrevocabile, escutibile a prima richiesta e riferita a una singola operazione finanziaria;</w:t>
      </w:r>
    </w:p>
    <w:p w14:paraId="1A41BC01"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Pr>
          <w:rFonts w:ascii="Arial" w:hAnsi="Arial" w:cs="Arial"/>
          <w:iCs/>
          <w:sz w:val="24"/>
          <w:szCs w:val="24"/>
        </w:rPr>
        <w:t>-</w:t>
      </w:r>
      <w:r>
        <w:rPr>
          <w:rFonts w:ascii="Arial" w:hAnsi="Arial" w:cs="Arial"/>
          <w:iCs/>
          <w:sz w:val="24"/>
          <w:szCs w:val="24"/>
        </w:rPr>
        <w:tab/>
      </w:r>
      <w:r w:rsidRPr="009D0E6F">
        <w:rPr>
          <w:rFonts w:ascii="Arial" w:hAnsi="Arial" w:cs="Arial"/>
          <w:iCs/>
          <w:sz w:val="24"/>
          <w:szCs w:val="24"/>
        </w:rPr>
        <w:t>controgaranzia: concessa ai soggetti garanti ed è attivabile dai soggetti finanziatori in caso di doppio default (dell’impresa beneficiaria e del soggetto garante);</w:t>
      </w:r>
    </w:p>
    <w:p w14:paraId="66D62C5B" w14:textId="77777777" w:rsidR="00F83AF6" w:rsidRPr="009D0E6F" w:rsidRDefault="00F83AF6" w:rsidP="00F83AF6">
      <w:pPr>
        <w:pStyle w:val="Paragrafoelenco"/>
        <w:spacing w:line="360" w:lineRule="auto"/>
        <w:ind w:left="284" w:hanging="284"/>
        <w:jc w:val="both"/>
        <w:rPr>
          <w:rFonts w:ascii="Arial" w:hAnsi="Arial" w:cs="Arial"/>
          <w:iCs/>
          <w:sz w:val="24"/>
          <w:szCs w:val="24"/>
        </w:rPr>
      </w:pPr>
      <w:r>
        <w:rPr>
          <w:rFonts w:ascii="Arial" w:hAnsi="Arial" w:cs="Arial"/>
          <w:iCs/>
          <w:sz w:val="24"/>
          <w:szCs w:val="24"/>
        </w:rPr>
        <w:t>-</w:t>
      </w:r>
      <w:r>
        <w:rPr>
          <w:rFonts w:ascii="Arial" w:hAnsi="Arial" w:cs="Arial"/>
          <w:iCs/>
          <w:sz w:val="24"/>
          <w:szCs w:val="24"/>
        </w:rPr>
        <w:tab/>
      </w:r>
      <w:r w:rsidRPr="009D0E6F">
        <w:rPr>
          <w:rFonts w:ascii="Arial" w:hAnsi="Arial" w:cs="Arial"/>
          <w:iCs/>
          <w:sz w:val="24"/>
          <w:szCs w:val="24"/>
        </w:rPr>
        <w:t>riassicurazione: è il reintegro da parte del Fondo, nei limiti della misura di copertura, di quanto già liquidato dai soggetti garanti ai soggetti finanziator</w:t>
      </w:r>
      <w:r>
        <w:rPr>
          <w:rFonts w:ascii="Arial" w:hAnsi="Arial" w:cs="Arial"/>
          <w:iCs/>
          <w:sz w:val="24"/>
          <w:szCs w:val="24"/>
        </w:rPr>
        <w:t>i.</w:t>
      </w:r>
    </w:p>
    <w:p w14:paraId="41708F87"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Possono essere garantite le imprese di micro, piccole o medie dimensioni (PMI), iscritte al Registro delle Imprese, e i professionisti titolari di partita IVA.</w:t>
      </w:r>
    </w:p>
    <w:p w14:paraId="163EFA2C"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Ai fini dell’ammissibilità alla garanzia, non viene effettuata alcuna valutazione del merito di credito del soggetto beneficiario finale da parte del Gestore del Fondo.</w:t>
      </w:r>
    </w:p>
    <w:p w14:paraId="09103272" w14:textId="77777777" w:rsidR="00F83AF6" w:rsidRPr="002E43AB" w:rsidRDefault="00F83AF6" w:rsidP="00F83AF6">
      <w:pPr>
        <w:spacing w:line="360" w:lineRule="auto"/>
        <w:jc w:val="both"/>
        <w:rPr>
          <w:rFonts w:ascii="Arial" w:hAnsi="Arial" w:cs="Arial"/>
          <w:iCs/>
          <w:sz w:val="24"/>
          <w:szCs w:val="24"/>
        </w:rPr>
      </w:pPr>
      <w:r w:rsidRPr="002E43AB">
        <w:rPr>
          <w:rFonts w:ascii="Arial" w:hAnsi="Arial" w:cs="Arial"/>
          <w:iCs/>
          <w:sz w:val="24"/>
          <w:szCs w:val="24"/>
        </w:rPr>
        <w:t xml:space="preserve">Dal 1° gennaio al 31 dicembre 2024, saranno operative le nuove disposizioni transitorie emanate Decreto-legge 18 ottobre 2023, n 145, (c.d. “DL Fisco-Anticipi”), convertito, con modificazioni, dalla legge 15 dicembre 2023, n. 191. L’art. 15-bis della citata legge prevede per il microcredito che, in relazione alle operazioni finanziarie di importo fino a </w:t>
      </w:r>
      <w:r>
        <w:rPr>
          <w:rFonts w:ascii="Arial" w:hAnsi="Arial" w:cs="Arial"/>
          <w:iCs/>
          <w:sz w:val="24"/>
          <w:szCs w:val="24"/>
        </w:rPr>
        <w:t xml:space="preserve">euro </w:t>
      </w:r>
      <w:r w:rsidRPr="002E43AB">
        <w:rPr>
          <w:rFonts w:ascii="Arial" w:hAnsi="Arial" w:cs="Arial"/>
          <w:iCs/>
          <w:sz w:val="24"/>
          <w:szCs w:val="24"/>
        </w:rPr>
        <w:t xml:space="preserve">40.000, oppure fino a </w:t>
      </w:r>
      <w:r>
        <w:rPr>
          <w:rFonts w:ascii="Arial" w:hAnsi="Arial" w:cs="Arial"/>
          <w:iCs/>
          <w:sz w:val="24"/>
          <w:szCs w:val="24"/>
        </w:rPr>
        <w:t xml:space="preserve">euro </w:t>
      </w:r>
      <w:r w:rsidRPr="002E43AB">
        <w:rPr>
          <w:rFonts w:ascii="Arial" w:hAnsi="Arial" w:cs="Arial"/>
          <w:iCs/>
          <w:sz w:val="24"/>
          <w:szCs w:val="24"/>
        </w:rPr>
        <w:t xml:space="preserve">80.000 nel caso di richiesta di garanzia presentata in modalità di riassicurazione, nonché in relazione alle operazioni finanziarie di microcredito di importo massimo sino a </w:t>
      </w:r>
      <w:r>
        <w:rPr>
          <w:rFonts w:ascii="Arial" w:hAnsi="Arial" w:cs="Arial"/>
          <w:iCs/>
          <w:sz w:val="24"/>
          <w:szCs w:val="24"/>
        </w:rPr>
        <w:t xml:space="preserve">euro </w:t>
      </w:r>
      <w:r w:rsidRPr="002E43AB">
        <w:rPr>
          <w:rFonts w:ascii="Arial" w:hAnsi="Arial" w:cs="Arial"/>
          <w:iCs/>
          <w:sz w:val="24"/>
          <w:szCs w:val="24"/>
        </w:rPr>
        <w:t>50.000, la garanzia del Fondo è rilasciata nella misura massima dell’80%, a titolo gratuito.</w:t>
      </w:r>
    </w:p>
    <w:p w14:paraId="4D6BE554" w14:textId="5B906F38" w:rsidR="00322F20" w:rsidRDefault="00F83AF6" w:rsidP="00F83AF6">
      <w:pPr>
        <w:spacing w:line="360" w:lineRule="auto"/>
        <w:jc w:val="both"/>
        <w:rPr>
          <w:rFonts w:ascii="Arial" w:hAnsi="Arial" w:cs="Arial"/>
          <w:iCs/>
          <w:sz w:val="24"/>
          <w:szCs w:val="24"/>
        </w:rPr>
      </w:pPr>
      <w:r w:rsidRPr="002E43AB">
        <w:rPr>
          <w:rFonts w:ascii="Arial" w:hAnsi="Arial" w:cs="Arial"/>
          <w:iCs/>
          <w:sz w:val="24"/>
          <w:szCs w:val="24"/>
        </w:rPr>
        <w:lastRenderedPageBreak/>
        <w:t>La norma in rassegna, per consentire una partecipazione estesa a tutti i rappresentati istituzionali, delle associazioni di categoria e delle imprese, alla gestione del Fondo di garanzia, ha previsto l’istituzione di un Comitato consultivo composto dal Ministro delle imprese e del made in Italy (Presidente), dal Ministro dell’economia e delle finanze (Vice presiden</w:t>
      </w:r>
      <w:r>
        <w:rPr>
          <w:rFonts w:ascii="Arial" w:hAnsi="Arial" w:cs="Arial"/>
          <w:iCs/>
          <w:sz w:val="24"/>
          <w:szCs w:val="24"/>
        </w:rPr>
        <w:t>te</w:t>
      </w:r>
      <w:r w:rsidRPr="002E43AB">
        <w:rPr>
          <w:rFonts w:ascii="Arial" w:hAnsi="Arial" w:cs="Arial"/>
          <w:iCs/>
          <w:sz w:val="24"/>
          <w:szCs w:val="24"/>
        </w:rPr>
        <w:t>), dal Presidente della Conferenza delle Regioni e delle Province autonome o da un suo delegato, da un rappresentante per le associazioni rappresentative delle imprese dei settori dell’industria, dell’artigianato, del commercio</w:t>
      </w:r>
      <w:r>
        <w:rPr>
          <w:rFonts w:ascii="Arial" w:hAnsi="Arial" w:cs="Arial"/>
          <w:iCs/>
          <w:sz w:val="24"/>
          <w:szCs w:val="24"/>
        </w:rPr>
        <w:t>,</w:t>
      </w:r>
      <w:r w:rsidRPr="002E43AB">
        <w:rPr>
          <w:rFonts w:ascii="Arial" w:hAnsi="Arial" w:cs="Arial"/>
          <w:iCs/>
          <w:sz w:val="24"/>
          <w:szCs w:val="24"/>
        </w:rPr>
        <w:t xml:space="preserve"> dell’agricoltura, della cooperazione e del Terzo settore, nonché delle banche, degli operatori di microcredito e dei confidi.</w:t>
      </w:r>
    </w:p>
    <w:p w14:paraId="0B7167A6" w14:textId="77777777" w:rsidR="00B71143" w:rsidRDefault="00B71143" w:rsidP="00F83AF6">
      <w:pPr>
        <w:spacing w:line="360" w:lineRule="auto"/>
        <w:jc w:val="both"/>
        <w:rPr>
          <w:rFonts w:ascii="Arial" w:hAnsi="Arial" w:cs="Arial"/>
          <w:iCs/>
          <w:sz w:val="24"/>
          <w:szCs w:val="24"/>
        </w:rPr>
      </w:pPr>
    </w:p>
    <w:p w14:paraId="4EC73990" w14:textId="77777777" w:rsidR="008804F0" w:rsidRDefault="008804F0" w:rsidP="00F83AF6">
      <w:pPr>
        <w:spacing w:line="360" w:lineRule="auto"/>
        <w:jc w:val="both"/>
        <w:rPr>
          <w:rFonts w:ascii="Arial" w:hAnsi="Arial" w:cs="Arial"/>
          <w:iCs/>
          <w:sz w:val="24"/>
          <w:szCs w:val="24"/>
        </w:rPr>
      </w:pPr>
    </w:p>
    <w:p w14:paraId="07B47480" w14:textId="77777777" w:rsidR="008804F0" w:rsidRDefault="008804F0" w:rsidP="00F83AF6">
      <w:pPr>
        <w:spacing w:line="360" w:lineRule="auto"/>
        <w:jc w:val="both"/>
        <w:rPr>
          <w:rFonts w:ascii="Arial" w:hAnsi="Arial" w:cs="Arial"/>
          <w:iCs/>
          <w:sz w:val="24"/>
          <w:szCs w:val="24"/>
        </w:rPr>
      </w:pPr>
    </w:p>
    <w:p w14:paraId="0551C48C" w14:textId="77777777" w:rsidR="008804F0" w:rsidRDefault="008804F0" w:rsidP="00F83AF6">
      <w:pPr>
        <w:spacing w:line="360" w:lineRule="auto"/>
        <w:jc w:val="both"/>
        <w:rPr>
          <w:rFonts w:ascii="Arial" w:hAnsi="Arial" w:cs="Arial"/>
          <w:iCs/>
          <w:sz w:val="24"/>
          <w:szCs w:val="24"/>
        </w:rPr>
      </w:pPr>
    </w:p>
    <w:p w14:paraId="3AAF6A55" w14:textId="77777777" w:rsidR="008804F0" w:rsidRDefault="008804F0" w:rsidP="00F83AF6">
      <w:pPr>
        <w:spacing w:line="360" w:lineRule="auto"/>
        <w:jc w:val="both"/>
        <w:rPr>
          <w:rFonts w:ascii="Arial" w:hAnsi="Arial" w:cs="Arial"/>
          <w:iCs/>
          <w:sz w:val="24"/>
          <w:szCs w:val="24"/>
        </w:rPr>
      </w:pPr>
    </w:p>
    <w:p w14:paraId="69556C4B" w14:textId="77777777" w:rsidR="008804F0" w:rsidRDefault="008804F0" w:rsidP="00F83AF6">
      <w:pPr>
        <w:spacing w:line="360" w:lineRule="auto"/>
        <w:jc w:val="both"/>
        <w:rPr>
          <w:rFonts w:ascii="Arial" w:hAnsi="Arial" w:cs="Arial"/>
          <w:iCs/>
          <w:sz w:val="24"/>
          <w:szCs w:val="24"/>
        </w:rPr>
      </w:pPr>
    </w:p>
    <w:p w14:paraId="5F923E74" w14:textId="77777777" w:rsidR="008804F0" w:rsidRDefault="008804F0" w:rsidP="00F83AF6">
      <w:pPr>
        <w:spacing w:line="360" w:lineRule="auto"/>
        <w:jc w:val="both"/>
        <w:rPr>
          <w:rFonts w:ascii="Arial" w:hAnsi="Arial" w:cs="Arial"/>
          <w:iCs/>
          <w:sz w:val="24"/>
          <w:szCs w:val="24"/>
        </w:rPr>
      </w:pPr>
    </w:p>
    <w:p w14:paraId="3A5114C3" w14:textId="77777777" w:rsidR="008804F0" w:rsidRDefault="008804F0" w:rsidP="00F83AF6">
      <w:pPr>
        <w:spacing w:line="360" w:lineRule="auto"/>
        <w:jc w:val="both"/>
        <w:rPr>
          <w:rFonts w:ascii="Arial" w:hAnsi="Arial" w:cs="Arial"/>
          <w:iCs/>
          <w:sz w:val="24"/>
          <w:szCs w:val="24"/>
        </w:rPr>
      </w:pPr>
    </w:p>
    <w:p w14:paraId="4AD593E1" w14:textId="77777777" w:rsidR="008804F0" w:rsidRDefault="008804F0" w:rsidP="00F83AF6">
      <w:pPr>
        <w:spacing w:line="360" w:lineRule="auto"/>
        <w:jc w:val="both"/>
        <w:rPr>
          <w:rFonts w:ascii="Arial" w:hAnsi="Arial" w:cs="Arial"/>
          <w:iCs/>
          <w:sz w:val="24"/>
          <w:szCs w:val="24"/>
        </w:rPr>
      </w:pPr>
    </w:p>
    <w:p w14:paraId="03D33486" w14:textId="77777777" w:rsidR="008804F0" w:rsidRDefault="008804F0" w:rsidP="00F83AF6">
      <w:pPr>
        <w:spacing w:line="360" w:lineRule="auto"/>
        <w:jc w:val="both"/>
        <w:rPr>
          <w:rFonts w:ascii="Arial" w:hAnsi="Arial" w:cs="Arial"/>
          <w:iCs/>
          <w:sz w:val="24"/>
          <w:szCs w:val="24"/>
        </w:rPr>
      </w:pPr>
    </w:p>
    <w:p w14:paraId="0DCC4D3E" w14:textId="77777777" w:rsidR="008804F0" w:rsidRDefault="008804F0" w:rsidP="00F83AF6">
      <w:pPr>
        <w:spacing w:line="360" w:lineRule="auto"/>
        <w:jc w:val="both"/>
        <w:rPr>
          <w:rFonts w:ascii="Arial" w:hAnsi="Arial" w:cs="Arial"/>
          <w:iCs/>
          <w:sz w:val="24"/>
          <w:szCs w:val="24"/>
        </w:rPr>
      </w:pPr>
    </w:p>
    <w:p w14:paraId="521F56C2" w14:textId="77777777" w:rsidR="008804F0" w:rsidRDefault="008804F0" w:rsidP="00F83AF6">
      <w:pPr>
        <w:spacing w:line="360" w:lineRule="auto"/>
        <w:jc w:val="both"/>
        <w:rPr>
          <w:rFonts w:ascii="Arial" w:hAnsi="Arial" w:cs="Arial"/>
          <w:iCs/>
          <w:sz w:val="24"/>
          <w:szCs w:val="24"/>
        </w:rPr>
      </w:pPr>
    </w:p>
    <w:p w14:paraId="7B909EC8" w14:textId="77777777" w:rsidR="008804F0" w:rsidRDefault="008804F0" w:rsidP="00F83AF6">
      <w:pPr>
        <w:spacing w:line="360" w:lineRule="auto"/>
        <w:jc w:val="both"/>
        <w:rPr>
          <w:rFonts w:ascii="Arial" w:hAnsi="Arial" w:cs="Arial"/>
          <w:iCs/>
          <w:sz w:val="24"/>
          <w:szCs w:val="24"/>
        </w:rPr>
      </w:pPr>
    </w:p>
    <w:p w14:paraId="049B3D62" w14:textId="77777777" w:rsidR="008804F0" w:rsidRDefault="008804F0" w:rsidP="00F83AF6">
      <w:pPr>
        <w:spacing w:line="360" w:lineRule="auto"/>
        <w:jc w:val="both"/>
        <w:rPr>
          <w:rFonts w:ascii="Arial" w:hAnsi="Arial" w:cs="Arial"/>
          <w:iCs/>
          <w:sz w:val="24"/>
          <w:szCs w:val="24"/>
        </w:rPr>
      </w:pPr>
    </w:p>
    <w:p w14:paraId="3F170A2A" w14:textId="77777777" w:rsidR="008804F0" w:rsidRDefault="008804F0" w:rsidP="00F83AF6">
      <w:pPr>
        <w:spacing w:line="360" w:lineRule="auto"/>
        <w:jc w:val="both"/>
        <w:rPr>
          <w:rFonts w:ascii="Arial" w:hAnsi="Arial" w:cs="Arial"/>
          <w:iCs/>
          <w:sz w:val="24"/>
          <w:szCs w:val="24"/>
        </w:rPr>
      </w:pPr>
    </w:p>
    <w:p w14:paraId="4B82CA2A" w14:textId="77777777" w:rsidR="008804F0" w:rsidRDefault="008804F0" w:rsidP="00F83AF6">
      <w:pPr>
        <w:spacing w:line="360" w:lineRule="auto"/>
        <w:jc w:val="both"/>
        <w:rPr>
          <w:rFonts w:ascii="Arial" w:hAnsi="Arial" w:cs="Arial"/>
          <w:iCs/>
          <w:sz w:val="24"/>
          <w:szCs w:val="24"/>
        </w:rPr>
      </w:pPr>
    </w:p>
    <w:p w14:paraId="59890268" w14:textId="77777777" w:rsidR="008804F0" w:rsidRDefault="008804F0" w:rsidP="00F83AF6">
      <w:pPr>
        <w:spacing w:line="360" w:lineRule="auto"/>
        <w:jc w:val="both"/>
        <w:rPr>
          <w:rFonts w:ascii="Arial" w:hAnsi="Arial" w:cs="Arial"/>
          <w:iCs/>
          <w:sz w:val="24"/>
          <w:szCs w:val="24"/>
        </w:rPr>
      </w:pPr>
    </w:p>
    <w:p w14:paraId="1DA38E93" w14:textId="77777777" w:rsidR="008804F0" w:rsidRDefault="008804F0" w:rsidP="00F83AF6">
      <w:pPr>
        <w:spacing w:line="360" w:lineRule="auto"/>
        <w:jc w:val="both"/>
        <w:rPr>
          <w:rFonts w:ascii="Arial" w:hAnsi="Arial" w:cs="Arial"/>
          <w:iCs/>
          <w:sz w:val="24"/>
          <w:szCs w:val="24"/>
        </w:rPr>
      </w:pPr>
    </w:p>
    <w:p w14:paraId="1820FCF6" w14:textId="77777777" w:rsidR="008804F0" w:rsidRDefault="008804F0" w:rsidP="00F83AF6">
      <w:pPr>
        <w:spacing w:line="360" w:lineRule="auto"/>
        <w:jc w:val="both"/>
        <w:rPr>
          <w:rFonts w:ascii="Arial" w:hAnsi="Arial" w:cs="Arial"/>
          <w:iCs/>
          <w:sz w:val="24"/>
          <w:szCs w:val="24"/>
        </w:rPr>
      </w:pPr>
    </w:p>
    <w:p w14:paraId="70504A69" w14:textId="77777777" w:rsidR="00F83AF6" w:rsidRPr="00D12B22" w:rsidRDefault="00F83AF6" w:rsidP="00F83AF6">
      <w:pPr>
        <w:ind w:left="1134" w:hanging="567"/>
        <w:jc w:val="both"/>
        <w:rPr>
          <w:rFonts w:ascii="Arial" w:hAnsi="Arial" w:cs="Arial"/>
          <w:b/>
          <w:bCs/>
          <w:iCs/>
          <w:sz w:val="24"/>
          <w:szCs w:val="24"/>
        </w:rPr>
      </w:pPr>
      <w:r>
        <w:rPr>
          <w:rFonts w:ascii="Arial" w:hAnsi="Arial" w:cs="Arial"/>
          <w:b/>
          <w:bCs/>
          <w:iCs/>
          <w:sz w:val="24"/>
          <w:szCs w:val="24"/>
        </w:rPr>
        <w:lastRenderedPageBreak/>
        <w:t>3.b.</w:t>
      </w:r>
      <w:r>
        <w:rPr>
          <w:rFonts w:ascii="Arial" w:hAnsi="Arial" w:cs="Arial"/>
          <w:b/>
          <w:bCs/>
          <w:iCs/>
          <w:sz w:val="24"/>
          <w:szCs w:val="24"/>
        </w:rPr>
        <w:tab/>
      </w:r>
      <w:r w:rsidRPr="00D12B22">
        <w:rPr>
          <w:rFonts w:ascii="Arial" w:hAnsi="Arial" w:cs="Arial"/>
          <w:b/>
          <w:bCs/>
          <w:iCs/>
          <w:sz w:val="24"/>
          <w:szCs w:val="24"/>
        </w:rPr>
        <w:t xml:space="preserve">FONDI </w:t>
      </w:r>
      <w:r>
        <w:rPr>
          <w:rFonts w:ascii="Arial" w:hAnsi="Arial" w:cs="Arial"/>
          <w:b/>
          <w:bCs/>
          <w:iCs/>
          <w:sz w:val="24"/>
          <w:szCs w:val="24"/>
        </w:rPr>
        <w:t xml:space="preserve">STRUTTURALI </w:t>
      </w:r>
      <w:r w:rsidRPr="00D12B22">
        <w:rPr>
          <w:rFonts w:ascii="Arial" w:hAnsi="Arial" w:cs="Arial"/>
          <w:b/>
          <w:bCs/>
          <w:iCs/>
          <w:sz w:val="24"/>
          <w:szCs w:val="24"/>
        </w:rPr>
        <w:t>EUROPEI</w:t>
      </w:r>
    </w:p>
    <w:p w14:paraId="53438638" w14:textId="77777777" w:rsidR="00F83AF6" w:rsidRPr="002E43AB" w:rsidRDefault="00F83AF6" w:rsidP="00F83AF6">
      <w:pPr>
        <w:tabs>
          <w:tab w:val="left" w:pos="851"/>
        </w:tabs>
        <w:ind w:left="567"/>
        <w:jc w:val="both"/>
        <w:rPr>
          <w:rFonts w:ascii="Arial" w:hAnsi="Arial" w:cs="Arial"/>
          <w:iCs/>
          <w:sz w:val="24"/>
          <w:szCs w:val="24"/>
        </w:rPr>
      </w:pPr>
    </w:p>
    <w:p w14:paraId="6080F7B8" w14:textId="77777777" w:rsidR="00F83AF6" w:rsidRPr="001719B1" w:rsidRDefault="00F83AF6" w:rsidP="00F83AF6">
      <w:pPr>
        <w:pStyle w:val="Paragrafoelenco"/>
        <w:spacing w:line="360" w:lineRule="auto"/>
        <w:ind w:left="0" w:firstLine="567"/>
        <w:contextualSpacing w:val="0"/>
        <w:jc w:val="both"/>
        <w:rPr>
          <w:rFonts w:ascii="Arial" w:hAnsi="Arial" w:cs="Arial"/>
          <w:iCs/>
          <w:sz w:val="24"/>
          <w:szCs w:val="24"/>
        </w:rPr>
      </w:pPr>
      <w:r w:rsidRPr="00F12130">
        <w:rPr>
          <w:rFonts w:ascii="Arial" w:hAnsi="Arial" w:cs="Arial"/>
          <w:iCs/>
          <w:sz w:val="24"/>
          <w:szCs w:val="24"/>
        </w:rPr>
        <w:t>I finanziamenti dell</w:t>
      </w:r>
      <w:r>
        <w:rPr>
          <w:rFonts w:ascii="Arial" w:hAnsi="Arial" w:cs="Arial"/>
          <w:iCs/>
          <w:sz w:val="24"/>
          <w:szCs w:val="24"/>
        </w:rPr>
        <w:t>’UE s</w:t>
      </w:r>
      <w:r w:rsidRPr="00F12130">
        <w:rPr>
          <w:rFonts w:ascii="Arial" w:hAnsi="Arial" w:cs="Arial"/>
          <w:iCs/>
          <w:sz w:val="24"/>
          <w:szCs w:val="24"/>
        </w:rPr>
        <w:t>ono gestiti dalla Commissione</w:t>
      </w:r>
      <w:r>
        <w:rPr>
          <w:rFonts w:ascii="Arial" w:hAnsi="Arial" w:cs="Arial"/>
          <w:iCs/>
          <w:sz w:val="24"/>
          <w:szCs w:val="24"/>
        </w:rPr>
        <w:t xml:space="preserve"> europea</w:t>
      </w:r>
      <w:r>
        <w:rPr>
          <w:rStyle w:val="Rimandonotaapidipagina"/>
          <w:rFonts w:ascii="Arial" w:hAnsi="Arial" w:cs="Arial"/>
          <w:iCs/>
          <w:sz w:val="24"/>
          <w:szCs w:val="24"/>
        </w:rPr>
        <w:footnoteReference w:id="73"/>
      </w:r>
      <w:r>
        <w:rPr>
          <w:rFonts w:ascii="Arial" w:hAnsi="Arial" w:cs="Arial"/>
          <w:iCs/>
          <w:sz w:val="24"/>
          <w:szCs w:val="24"/>
        </w:rPr>
        <w:t xml:space="preserve"> e d</w:t>
      </w:r>
      <w:r w:rsidRPr="00F12130">
        <w:rPr>
          <w:rFonts w:ascii="Arial" w:hAnsi="Arial" w:cs="Arial"/>
          <w:iCs/>
          <w:sz w:val="24"/>
          <w:szCs w:val="24"/>
        </w:rPr>
        <w:t>agli Stati membri o tramite partner esecutivi.</w:t>
      </w:r>
      <w:r w:rsidRPr="00352D40">
        <w:t xml:space="preserve"> </w:t>
      </w:r>
      <w:r w:rsidRPr="00352D40">
        <w:rPr>
          <w:rFonts w:ascii="Arial" w:hAnsi="Arial" w:cs="Arial"/>
          <w:iCs/>
          <w:sz w:val="24"/>
          <w:szCs w:val="24"/>
        </w:rPr>
        <w:t xml:space="preserve">Tutti i programmi finanziati secondo le previsioni del bilancio dell’UE rientrano in uno dei tre tipi di modalità di attuazione, a seconda della natura dei </w:t>
      </w:r>
      <w:r w:rsidRPr="001719B1">
        <w:rPr>
          <w:rFonts w:ascii="Arial" w:hAnsi="Arial" w:cs="Arial"/>
          <w:iCs/>
          <w:sz w:val="24"/>
          <w:szCs w:val="24"/>
        </w:rPr>
        <w:t>finanziamenti. Sono previsti tre tipi di gestione</w:t>
      </w:r>
      <w:r w:rsidRPr="001719B1">
        <w:rPr>
          <w:rStyle w:val="Rimandonotaapidipagina"/>
          <w:rFonts w:ascii="Arial" w:hAnsi="Arial" w:cs="Arial"/>
          <w:iCs/>
          <w:sz w:val="24"/>
          <w:szCs w:val="24"/>
        </w:rPr>
        <w:footnoteReference w:id="74"/>
      </w:r>
      <w:r w:rsidRPr="001719B1">
        <w:rPr>
          <w:rFonts w:ascii="Arial" w:hAnsi="Arial" w:cs="Arial"/>
          <w:iCs/>
          <w:sz w:val="24"/>
          <w:szCs w:val="24"/>
        </w:rPr>
        <w:t>.</w:t>
      </w:r>
    </w:p>
    <w:p w14:paraId="4EAC44D4" w14:textId="77777777" w:rsidR="00F83AF6" w:rsidRPr="001719B1" w:rsidRDefault="00F83AF6" w:rsidP="00F83AF6">
      <w:pPr>
        <w:pStyle w:val="Paragrafoelenco"/>
        <w:numPr>
          <w:ilvl w:val="0"/>
          <w:numId w:val="12"/>
        </w:numPr>
        <w:spacing w:line="360" w:lineRule="auto"/>
        <w:ind w:left="284" w:hanging="284"/>
        <w:jc w:val="both"/>
        <w:rPr>
          <w:rFonts w:ascii="Arial" w:hAnsi="Arial" w:cs="Arial"/>
          <w:iCs/>
          <w:sz w:val="24"/>
          <w:szCs w:val="24"/>
        </w:rPr>
      </w:pPr>
      <w:r w:rsidRPr="001719B1">
        <w:rPr>
          <w:rFonts w:ascii="Arial" w:hAnsi="Arial" w:cs="Arial"/>
          <w:iCs/>
          <w:sz w:val="24"/>
          <w:szCs w:val="24"/>
        </w:rPr>
        <w:t>gestione diretta: il finanziamento è gestito direttamente dalla Commissione.</w:t>
      </w:r>
    </w:p>
    <w:p w14:paraId="41D963F0" w14:textId="77777777" w:rsidR="00F83AF6" w:rsidRPr="001719B1" w:rsidRDefault="00F83AF6" w:rsidP="00F83AF6">
      <w:pPr>
        <w:pStyle w:val="Paragrafoelenco"/>
        <w:spacing w:line="360" w:lineRule="auto"/>
        <w:ind w:left="284"/>
        <w:jc w:val="both"/>
        <w:rPr>
          <w:rFonts w:ascii="Arial" w:hAnsi="Arial" w:cs="Arial"/>
          <w:iCs/>
          <w:sz w:val="24"/>
          <w:szCs w:val="24"/>
        </w:rPr>
      </w:pPr>
      <w:r w:rsidRPr="001719B1">
        <w:rPr>
          <w:rFonts w:ascii="Arial" w:hAnsi="Arial" w:cs="Arial"/>
          <w:iCs/>
          <w:sz w:val="24"/>
          <w:szCs w:val="24"/>
        </w:rPr>
        <w:t>Nella gestione diretta, la Commissione europea è responsabile di tutte le fasi dell’attuazione di un programma: pubblicazione degli inviti a presentare proposte, valutazione delle stesse, firma delle convenzioni di sovvenzione, controllo dell’esecuzione dei progetti, valutazione dei risultati, erogazione dei finanziamenti. Tali compiti sono svolti dai servizi della Commissione, presso la sede centrale della stessa, presso le delegazioni dell’UE o tramite le agenzie esecutive dell’UE.</w:t>
      </w:r>
    </w:p>
    <w:p w14:paraId="4BDBCFBE" w14:textId="77777777" w:rsidR="00F83AF6" w:rsidRPr="001719B1" w:rsidRDefault="00F83AF6" w:rsidP="00F83AF6">
      <w:pPr>
        <w:pStyle w:val="Paragrafoelenco"/>
        <w:spacing w:line="360" w:lineRule="auto"/>
        <w:ind w:left="284"/>
        <w:jc w:val="both"/>
        <w:rPr>
          <w:rFonts w:ascii="Arial" w:hAnsi="Arial" w:cs="Arial"/>
          <w:iCs/>
          <w:sz w:val="24"/>
          <w:szCs w:val="24"/>
        </w:rPr>
      </w:pPr>
      <w:r w:rsidRPr="001719B1">
        <w:rPr>
          <w:rFonts w:ascii="Arial" w:hAnsi="Arial" w:cs="Arial"/>
          <w:iCs/>
          <w:sz w:val="24"/>
          <w:szCs w:val="24"/>
        </w:rPr>
        <w:t>I programmi attuati in regime di gestione diretta rappresentano circa il 20% del bilancio dell’UE per il periodo 2021-2027.</w:t>
      </w:r>
    </w:p>
    <w:p w14:paraId="4ABD98E5" w14:textId="77777777" w:rsidR="00F83AF6" w:rsidRPr="001719B1" w:rsidRDefault="00F83AF6" w:rsidP="00F83AF6">
      <w:pPr>
        <w:pStyle w:val="Paragrafoelenco"/>
        <w:numPr>
          <w:ilvl w:val="0"/>
          <w:numId w:val="12"/>
        </w:numPr>
        <w:spacing w:line="360" w:lineRule="auto"/>
        <w:ind w:left="284" w:hanging="284"/>
        <w:jc w:val="both"/>
        <w:rPr>
          <w:rFonts w:ascii="Arial" w:hAnsi="Arial" w:cs="Arial"/>
          <w:iCs/>
          <w:sz w:val="24"/>
          <w:szCs w:val="24"/>
        </w:rPr>
      </w:pPr>
      <w:r w:rsidRPr="001719B1">
        <w:rPr>
          <w:rFonts w:ascii="Arial" w:hAnsi="Arial" w:cs="Arial"/>
          <w:iCs/>
          <w:sz w:val="24"/>
          <w:szCs w:val="24"/>
        </w:rPr>
        <w:t>gestione concorrente: i finanziamenti sono gestiti congiuntamente dalla Commissione e dalle Autorità nazionali. Entrambi assumono la responsabilità della gestione dei programmi.</w:t>
      </w:r>
    </w:p>
    <w:p w14:paraId="669F601B" w14:textId="77777777" w:rsidR="00F83AF6" w:rsidRPr="001719B1" w:rsidRDefault="00F83AF6" w:rsidP="00F83AF6">
      <w:pPr>
        <w:pStyle w:val="Paragrafoelenco"/>
        <w:spacing w:line="360" w:lineRule="auto"/>
        <w:ind w:left="284"/>
        <w:jc w:val="both"/>
        <w:rPr>
          <w:rFonts w:ascii="Arial" w:hAnsi="Arial" w:cs="Arial"/>
          <w:iCs/>
          <w:sz w:val="24"/>
          <w:szCs w:val="24"/>
        </w:rPr>
      </w:pPr>
      <w:r w:rsidRPr="001719B1">
        <w:rPr>
          <w:rFonts w:ascii="Arial" w:hAnsi="Arial" w:cs="Arial"/>
          <w:iCs/>
          <w:sz w:val="24"/>
          <w:szCs w:val="24"/>
        </w:rPr>
        <w:t>Con tale modalità è gestito circa il 70% dei programmi dell’UE.</w:t>
      </w:r>
    </w:p>
    <w:p w14:paraId="0B36E0A0" w14:textId="77777777" w:rsidR="00F83AF6" w:rsidRPr="001719B1" w:rsidRDefault="00F83AF6" w:rsidP="00F83AF6">
      <w:pPr>
        <w:pStyle w:val="Paragrafoelenco"/>
        <w:spacing w:line="360" w:lineRule="auto"/>
        <w:ind w:left="284"/>
        <w:jc w:val="both"/>
        <w:rPr>
          <w:rFonts w:ascii="Arial" w:hAnsi="Arial" w:cs="Arial"/>
          <w:iCs/>
          <w:sz w:val="24"/>
          <w:szCs w:val="24"/>
        </w:rPr>
      </w:pPr>
      <w:r w:rsidRPr="001719B1">
        <w:rPr>
          <w:rFonts w:ascii="Arial" w:hAnsi="Arial" w:cs="Arial"/>
          <w:iCs/>
          <w:sz w:val="24"/>
          <w:szCs w:val="24"/>
        </w:rPr>
        <w:t>Le amministrazioni degli Stati membri (a livello nazionale, regionale e locale) scelgono i progetti da finanziare e sono responsabili della loro gestione, mentre la Commissione, in collaborazione con gli stessi, assicura che i progetti siano eseguiti correttamente.</w:t>
      </w:r>
    </w:p>
    <w:p w14:paraId="5354146B" w14:textId="77777777" w:rsidR="00F83AF6" w:rsidRPr="001719B1" w:rsidRDefault="00F83AF6" w:rsidP="00F83AF6">
      <w:pPr>
        <w:pStyle w:val="Paragrafoelenco"/>
        <w:numPr>
          <w:ilvl w:val="0"/>
          <w:numId w:val="12"/>
        </w:numPr>
        <w:spacing w:line="360" w:lineRule="auto"/>
        <w:ind w:left="284" w:hanging="284"/>
        <w:jc w:val="both"/>
        <w:rPr>
          <w:rFonts w:ascii="Arial" w:hAnsi="Arial" w:cs="Arial"/>
          <w:iCs/>
          <w:sz w:val="24"/>
          <w:szCs w:val="24"/>
        </w:rPr>
      </w:pPr>
      <w:r w:rsidRPr="001719B1">
        <w:rPr>
          <w:rFonts w:ascii="Arial" w:hAnsi="Arial" w:cs="Arial"/>
          <w:iCs/>
          <w:sz w:val="24"/>
          <w:szCs w:val="24"/>
        </w:rPr>
        <w:t>gestione indiretta: i finanziamenti sono gestiti da organizzazioni partner o da altre Autorità interne o esterne dell’Unione. Alcuni programmi di finanziamento sono attuati in tutto o in parte con il sostegno di altri enti, ad esempio autorità nazionali o organizzazioni internazionali. La maggior parte del bilancio dell’UE destinato agli aiuti umanitari e allo sviluppo internazionale, ad esempio, è attuata in regime di gestione indiretta.</w:t>
      </w:r>
    </w:p>
    <w:p w14:paraId="5BA032D9" w14:textId="77777777" w:rsidR="00F83AF6" w:rsidRPr="001719B1" w:rsidRDefault="00F83AF6" w:rsidP="00F83AF6">
      <w:pPr>
        <w:pStyle w:val="Paragrafoelenco"/>
        <w:spacing w:line="360" w:lineRule="auto"/>
        <w:ind w:left="284"/>
        <w:jc w:val="both"/>
        <w:rPr>
          <w:rFonts w:ascii="Arial" w:hAnsi="Arial" w:cs="Arial"/>
          <w:iCs/>
          <w:sz w:val="24"/>
          <w:szCs w:val="24"/>
        </w:rPr>
      </w:pPr>
      <w:r w:rsidRPr="001719B1">
        <w:rPr>
          <w:rFonts w:ascii="Arial" w:hAnsi="Arial" w:cs="Arial"/>
          <w:iCs/>
          <w:sz w:val="24"/>
          <w:szCs w:val="24"/>
        </w:rPr>
        <w:t>I programmi attuati con tale regime di gestione rappresentano circa il 10% del bilancio complessivo dell’UE.</w:t>
      </w:r>
    </w:p>
    <w:p w14:paraId="2BCB90D7" w14:textId="77777777" w:rsidR="00F83AF6" w:rsidRPr="001719B1" w:rsidRDefault="00F83AF6" w:rsidP="00F83AF6">
      <w:pPr>
        <w:spacing w:line="360" w:lineRule="auto"/>
        <w:jc w:val="both"/>
        <w:rPr>
          <w:rFonts w:ascii="Arial" w:hAnsi="Arial" w:cs="Arial"/>
          <w:iCs/>
          <w:sz w:val="24"/>
          <w:szCs w:val="24"/>
        </w:rPr>
      </w:pPr>
      <w:r w:rsidRPr="001719B1">
        <w:rPr>
          <w:rFonts w:ascii="Arial" w:hAnsi="Arial" w:cs="Arial"/>
          <w:iCs/>
          <w:sz w:val="24"/>
          <w:szCs w:val="24"/>
        </w:rPr>
        <w:lastRenderedPageBreak/>
        <w:t>Per tutti i programmi</w:t>
      </w:r>
      <w:r w:rsidRPr="001719B1">
        <w:rPr>
          <w:rStyle w:val="Rimandonotaapidipagina"/>
          <w:rFonts w:ascii="Arial" w:hAnsi="Arial" w:cs="Arial"/>
          <w:iCs/>
          <w:sz w:val="24"/>
          <w:szCs w:val="24"/>
        </w:rPr>
        <w:footnoteReference w:id="75"/>
      </w:r>
      <w:r w:rsidRPr="001719B1">
        <w:rPr>
          <w:rFonts w:ascii="Arial" w:hAnsi="Arial" w:cs="Arial"/>
          <w:iCs/>
          <w:sz w:val="24"/>
          <w:szCs w:val="24"/>
        </w:rPr>
        <w:t>, a prescindere dalle modalità di gestione, la Commissione europea è comunque responsabile della loro corretta attuazione. Nell’esercizio delle funzioni demandate dai regolamenti, la Commissione esercita controlli sulle modalità di impiego dei fondi UE utilizzando gli schemi procedurali previsti dai singoli programmi. Le verifiche sono svolte dai servizi centrali della Commissione, presso le delegazioni e le agenzie dell’UE.</w:t>
      </w:r>
    </w:p>
    <w:p w14:paraId="3B80520F" w14:textId="77777777" w:rsidR="00F83AF6" w:rsidRPr="001719B1" w:rsidRDefault="00F83AF6" w:rsidP="00F83AF6">
      <w:pPr>
        <w:spacing w:line="360" w:lineRule="auto"/>
        <w:jc w:val="both"/>
        <w:rPr>
          <w:rFonts w:ascii="Arial" w:hAnsi="Arial" w:cs="Arial"/>
          <w:iCs/>
          <w:sz w:val="24"/>
          <w:szCs w:val="24"/>
        </w:rPr>
      </w:pPr>
      <w:r w:rsidRPr="001719B1">
        <w:rPr>
          <w:rFonts w:ascii="Arial" w:hAnsi="Arial" w:cs="Arial"/>
          <w:iCs/>
          <w:sz w:val="24"/>
          <w:szCs w:val="24"/>
        </w:rPr>
        <w:t>Nel Quadro Finanziario Pluriennale</w:t>
      </w:r>
      <w:r w:rsidRPr="001719B1">
        <w:rPr>
          <w:rStyle w:val="Rimandonotaapidipagina"/>
          <w:rFonts w:ascii="Arial" w:hAnsi="Arial" w:cs="Arial"/>
          <w:iCs/>
          <w:sz w:val="24"/>
          <w:szCs w:val="24"/>
        </w:rPr>
        <w:footnoteReference w:id="76"/>
      </w:r>
      <w:r w:rsidRPr="001719B1">
        <w:rPr>
          <w:rFonts w:ascii="Arial" w:hAnsi="Arial" w:cs="Arial"/>
          <w:iCs/>
          <w:sz w:val="24"/>
          <w:szCs w:val="24"/>
        </w:rPr>
        <w:t xml:space="preserve"> (QFP) 2021-2027</w:t>
      </w:r>
      <w:r w:rsidRPr="001719B1">
        <w:rPr>
          <w:rStyle w:val="Rimandonotaapidipagina"/>
          <w:rFonts w:ascii="Arial" w:hAnsi="Arial" w:cs="Arial"/>
          <w:iCs/>
          <w:sz w:val="24"/>
          <w:szCs w:val="24"/>
        </w:rPr>
        <w:footnoteReference w:id="77"/>
      </w:r>
      <w:r w:rsidRPr="001719B1">
        <w:rPr>
          <w:rFonts w:ascii="Arial" w:hAnsi="Arial" w:cs="Arial"/>
          <w:iCs/>
          <w:sz w:val="24"/>
          <w:szCs w:val="24"/>
        </w:rPr>
        <w:t>, il budget per gli strumenti per la microfinanza è pari a oltre 2 miliardi di euro, calcolato con prezzi riferiti al 2018 (Investing in People, Social Cohesion and Values: 115.825; European Social Fund+, 87.995; Of which employment and social innovation, 676).</w:t>
      </w:r>
    </w:p>
    <w:p w14:paraId="44D8EE01" w14:textId="77777777" w:rsidR="00F83AF6" w:rsidRPr="001719B1" w:rsidRDefault="00F83AF6" w:rsidP="00F83AF6">
      <w:pPr>
        <w:spacing w:line="360" w:lineRule="auto"/>
        <w:jc w:val="both"/>
        <w:rPr>
          <w:rFonts w:ascii="Arial" w:hAnsi="Arial" w:cs="Arial"/>
          <w:iCs/>
          <w:sz w:val="24"/>
          <w:szCs w:val="24"/>
        </w:rPr>
      </w:pPr>
      <w:r w:rsidRPr="001719B1">
        <w:rPr>
          <w:rFonts w:ascii="Arial" w:hAnsi="Arial" w:cs="Arial"/>
          <w:iCs/>
          <w:sz w:val="24"/>
          <w:szCs w:val="24"/>
        </w:rPr>
        <w:t>La programmazione finanziaria 2021-2027 riflette le modifiche apportate dalla Commissione europea per la revisione dei programmi a sostegno degli investimenti, all’esito delle valutazioni finali relative agli strumenti finanziari previsti dal precedente quadro finanziario unionale. Dalle suddette valutazioni sono emerse criticità operative, quali le sovrapposizioni tra i rispettivi ambiti di applicazione e l’incompatibilità tra le differenti discipline di attuazione, con particolare riferimento alle norme di ammissibilità, di rendicontazione e di relazione, scaturenti dalla diversità dei programmi finanziari previsti. Tra gli effetti negativi rilevati è da evidenziare l’incompatibilità del divieto di poter cumulare fondi di diversa provenienza per supportate progetti che richiedevano la necessità di ricorrere a finanziamenti diversificati</w:t>
      </w:r>
      <w:r w:rsidRPr="001719B1">
        <w:rPr>
          <w:rStyle w:val="Rimandonotaapidipagina"/>
          <w:rFonts w:ascii="Arial" w:hAnsi="Arial" w:cs="Arial"/>
          <w:iCs/>
          <w:sz w:val="24"/>
          <w:szCs w:val="24"/>
        </w:rPr>
        <w:footnoteReference w:id="78"/>
      </w:r>
      <w:r w:rsidRPr="001719B1">
        <w:rPr>
          <w:rFonts w:ascii="Arial" w:hAnsi="Arial" w:cs="Arial"/>
          <w:iCs/>
          <w:sz w:val="24"/>
          <w:szCs w:val="24"/>
        </w:rPr>
        <w:t>.</w:t>
      </w:r>
    </w:p>
    <w:p w14:paraId="512F6D0F" w14:textId="77777777" w:rsidR="00F83AF6" w:rsidRPr="001719B1" w:rsidRDefault="00F83AF6" w:rsidP="00F83AF6">
      <w:pPr>
        <w:pStyle w:val="Paragrafoelenco"/>
        <w:spacing w:line="360" w:lineRule="auto"/>
        <w:ind w:left="0"/>
        <w:contextualSpacing w:val="0"/>
        <w:jc w:val="both"/>
        <w:rPr>
          <w:rFonts w:ascii="Arial" w:hAnsi="Arial" w:cs="Arial"/>
          <w:iCs/>
          <w:sz w:val="24"/>
          <w:szCs w:val="24"/>
        </w:rPr>
      </w:pPr>
      <w:r w:rsidRPr="001719B1">
        <w:rPr>
          <w:rFonts w:ascii="Arial" w:hAnsi="Arial" w:cs="Arial"/>
          <w:iCs/>
          <w:sz w:val="24"/>
          <w:szCs w:val="24"/>
        </w:rPr>
        <w:t>Tra gli obiettivi fondamentali dell’UE (art. 174 TFUE) rientra il compito di promuovere le tre politiche di coesione</w:t>
      </w:r>
      <w:r w:rsidRPr="001719B1">
        <w:rPr>
          <w:rStyle w:val="Rimandonotaapidipagina"/>
          <w:rFonts w:ascii="Arial" w:hAnsi="Arial" w:cs="Arial"/>
          <w:iCs/>
          <w:sz w:val="24"/>
          <w:szCs w:val="24"/>
        </w:rPr>
        <w:footnoteReference w:id="79"/>
      </w:r>
      <w:r w:rsidRPr="001719B1">
        <w:rPr>
          <w:rFonts w:ascii="Arial" w:hAnsi="Arial" w:cs="Arial"/>
          <w:iCs/>
          <w:sz w:val="24"/>
          <w:szCs w:val="24"/>
        </w:rPr>
        <w:t>:</w:t>
      </w:r>
    </w:p>
    <w:p w14:paraId="2377CA58" w14:textId="77777777" w:rsidR="00F83AF6" w:rsidRPr="001719B1" w:rsidRDefault="00F83AF6" w:rsidP="00F83AF6">
      <w:pPr>
        <w:pStyle w:val="Paragrafoelenco"/>
        <w:spacing w:line="360" w:lineRule="auto"/>
        <w:ind w:left="284" w:hanging="284"/>
        <w:jc w:val="both"/>
        <w:rPr>
          <w:rFonts w:ascii="Arial" w:hAnsi="Arial" w:cs="Arial"/>
          <w:iCs/>
          <w:sz w:val="24"/>
          <w:szCs w:val="24"/>
        </w:rPr>
      </w:pPr>
      <w:r w:rsidRPr="001719B1">
        <w:rPr>
          <w:rFonts w:ascii="Arial" w:hAnsi="Arial" w:cs="Arial"/>
          <w:iCs/>
          <w:sz w:val="24"/>
          <w:szCs w:val="24"/>
        </w:rPr>
        <w:t>-</w:t>
      </w:r>
      <w:r w:rsidRPr="001719B1">
        <w:rPr>
          <w:rFonts w:ascii="Arial" w:hAnsi="Arial" w:cs="Arial"/>
          <w:iCs/>
          <w:sz w:val="24"/>
          <w:szCs w:val="24"/>
        </w:rPr>
        <w:tab/>
        <w:t>economica, finalizzata a ridurre i divari di sviluppo tra le regioni, regioni europee (fondo utilizzato: FESR);</w:t>
      </w:r>
    </w:p>
    <w:p w14:paraId="459A490B" w14:textId="77777777" w:rsidR="00F83AF6" w:rsidRPr="001719B1" w:rsidRDefault="00F83AF6" w:rsidP="00F83AF6">
      <w:pPr>
        <w:pStyle w:val="Paragrafoelenco"/>
        <w:spacing w:line="360" w:lineRule="auto"/>
        <w:ind w:left="284" w:hanging="284"/>
        <w:jc w:val="both"/>
        <w:rPr>
          <w:rFonts w:ascii="Arial" w:hAnsi="Arial" w:cs="Arial"/>
          <w:iCs/>
          <w:sz w:val="24"/>
          <w:szCs w:val="24"/>
        </w:rPr>
      </w:pPr>
      <w:r w:rsidRPr="001719B1">
        <w:rPr>
          <w:rFonts w:ascii="Arial" w:hAnsi="Arial" w:cs="Arial"/>
          <w:iCs/>
          <w:sz w:val="24"/>
          <w:szCs w:val="24"/>
        </w:rPr>
        <w:t>-</w:t>
      </w:r>
      <w:r w:rsidRPr="001719B1">
        <w:rPr>
          <w:rFonts w:ascii="Arial" w:hAnsi="Arial" w:cs="Arial"/>
          <w:iCs/>
          <w:sz w:val="24"/>
          <w:szCs w:val="24"/>
        </w:rPr>
        <w:tab/>
        <w:t>sociale, per assicurare a tutti i cittadini, senza discriminazione di uguaglianza l’accesso ai diritti fondamentali in materia lavorativa, sociale ed economica (fondo utilizzato: FSE);</w:t>
      </w:r>
    </w:p>
    <w:p w14:paraId="4AF0F1E1" w14:textId="77777777" w:rsidR="00F83AF6" w:rsidRDefault="00F83AF6" w:rsidP="00F83AF6">
      <w:pPr>
        <w:pStyle w:val="Paragrafoelenco"/>
        <w:spacing w:line="360" w:lineRule="auto"/>
        <w:ind w:left="284" w:hanging="284"/>
        <w:jc w:val="both"/>
        <w:rPr>
          <w:rFonts w:ascii="Arial" w:hAnsi="Arial" w:cs="Arial"/>
          <w:iCs/>
          <w:sz w:val="24"/>
          <w:szCs w:val="24"/>
        </w:rPr>
      </w:pPr>
      <w:r w:rsidRPr="001719B1">
        <w:rPr>
          <w:rFonts w:ascii="Arial" w:hAnsi="Arial" w:cs="Arial"/>
          <w:iCs/>
          <w:sz w:val="24"/>
          <w:szCs w:val="24"/>
        </w:rPr>
        <w:t xml:space="preserve">- </w:t>
      </w:r>
      <w:r w:rsidRPr="001719B1">
        <w:rPr>
          <w:rFonts w:ascii="Arial" w:hAnsi="Arial" w:cs="Arial"/>
          <w:iCs/>
          <w:sz w:val="24"/>
          <w:szCs w:val="24"/>
        </w:rPr>
        <w:tab/>
        <w:t>territoriale, per favorire lo sviluppo equilibrato dei territori europei e l’integrazione delle zone con maggiori problematiche di accessibilità e crescita (fondo utilizzato: FESR tramite Interreg).</w:t>
      </w:r>
    </w:p>
    <w:p w14:paraId="187C1823" w14:textId="77777777" w:rsidR="00F83AF6" w:rsidRPr="00C54AEC" w:rsidRDefault="00F83AF6" w:rsidP="00F83AF6">
      <w:pPr>
        <w:pStyle w:val="Paragrafoelenco"/>
        <w:spacing w:line="360" w:lineRule="auto"/>
        <w:ind w:left="0"/>
        <w:contextualSpacing w:val="0"/>
        <w:jc w:val="both"/>
        <w:rPr>
          <w:rFonts w:ascii="Arial" w:hAnsi="Arial" w:cs="Arial"/>
          <w:iCs/>
          <w:sz w:val="24"/>
          <w:szCs w:val="24"/>
        </w:rPr>
      </w:pPr>
      <w:r>
        <w:rPr>
          <w:rFonts w:ascii="Arial" w:hAnsi="Arial" w:cs="Arial"/>
          <w:iCs/>
          <w:sz w:val="24"/>
          <w:szCs w:val="24"/>
        </w:rPr>
        <w:lastRenderedPageBreak/>
        <w:t>I</w:t>
      </w:r>
      <w:r w:rsidRPr="00C54AEC">
        <w:rPr>
          <w:rFonts w:ascii="Arial" w:hAnsi="Arial" w:cs="Arial"/>
          <w:iCs/>
          <w:sz w:val="24"/>
          <w:szCs w:val="24"/>
        </w:rPr>
        <w:t>l bilancio UE 2021-2027</w:t>
      </w:r>
      <w:r>
        <w:rPr>
          <w:rFonts w:ascii="Arial" w:hAnsi="Arial" w:cs="Arial"/>
          <w:iCs/>
          <w:sz w:val="24"/>
          <w:szCs w:val="24"/>
        </w:rPr>
        <w:t>,</w:t>
      </w:r>
      <w:r w:rsidRPr="00C54AEC">
        <w:rPr>
          <w:rFonts w:ascii="Arial" w:hAnsi="Arial" w:cs="Arial"/>
          <w:iCs/>
          <w:sz w:val="24"/>
          <w:szCs w:val="24"/>
        </w:rPr>
        <w:t xml:space="preserve"> individua </w:t>
      </w:r>
      <w:r>
        <w:rPr>
          <w:rFonts w:ascii="Arial" w:hAnsi="Arial" w:cs="Arial"/>
          <w:iCs/>
          <w:sz w:val="24"/>
          <w:szCs w:val="24"/>
        </w:rPr>
        <w:t xml:space="preserve">i seguenti cinque </w:t>
      </w:r>
      <w:r w:rsidRPr="00C54AEC">
        <w:rPr>
          <w:rFonts w:ascii="Arial" w:hAnsi="Arial" w:cs="Arial"/>
          <w:iCs/>
          <w:sz w:val="24"/>
          <w:szCs w:val="24"/>
        </w:rPr>
        <w:t>obiettivi strategici</w:t>
      </w:r>
      <w:r>
        <w:rPr>
          <w:rFonts w:ascii="Arial" w:hAnsi="Arial" w:cs="Arial"/>
          <w:iCs/>
          <w:sz w:val="24"/>
          <w:szCs w:val="24"/>
        </w:rPr>
        <w:t>:</w:t>
      </w:r>
    </w:p>
    <w:p w14:paraId="6BB6B08F" w14:textId="77777777" w:rsidR="00F83AF6" w:rsidRPr="00841C90" w:rsidRDefault="00F83AF6" w:rsidP="00F83AF6">
      <w:pPr>
        <w:pStyle w:val="Paragrafoelenco"/>
        <w:numPr>
          <w:ilvl w:val="0"/>
          <w:numId w:val="18"/>
        </w:numPr>
        <w:spacing w:line="360" w:lineRule="auto"/>
        <w:ind w:left="284" w:hanging="284"/>
        <w:jc w:val="both"/>
        <w:rPr>
          <w:rFonts w:ascii="Arial" w:hAnsi="Arial" w:cs="Arial"/>
          <w:iCs/>
          <w:sz w:val="24"/>
          <w:szCs w:val="24"/>
        </w:rPr>
      </w:pPr>
      <w:r w:rsidRPr="00841C90">
        <w:rPr>
          <w:rFonts w:ascii="Arial" w:hAnsi="Arial" w:cs="Arial"/>
          <w:iCs/>
          <w:sz w:val="24"/>
          <w:szCs w:val="24"/>
        </w:rPr>
        <w:t>un’Europa più competitiva e intelligente, attraverso la promozione di una trasformazione economica intelligente e innovativa;</w:t>
      </w:r>
    </w:p>
    <w:p w14:paraId="5AA0407B" w14:textId="77777777" w:rsidR="00F83AF6" w:rsidRPr="00841C90" w:rsidRDefault="00F83AF6" w:rsidP="00F83AF6">
      <w:pPr>
        <w:pStyle w:val="Paragrafoelenco"/>
        <w:numPr>
          <w:ilvl w:val="0"/>
          <w:numId w:val="18"/>
        </w:numPr>
        <w:spacing w:line="360" w:lineRule="auto"/>
        <w:ind w:left="284" w:hanging="284"/>
        <w:jc w:val="both"/>
        <w:rPr>
          <w:rFonts w:ascii="Arial" w:hAnsi="Arial" w:cs="Arial"/>
          <w:iCs/>
          <w:sz w:val="24"/>
          <w:szCs w:val="24"/>
        </w:rPr>
      </w:pPr>
      <w:r w:rsidRPr="00841C90">
        <w:rPr>
          <w:rFonts w:ascii="Arial" w:hAnsi="Arial" w:cs="Arial"/>
          <w:iCs/>
          <w:sz w:val="24"/>
          <w:szCs w:val="24"/>
        </w:rPr>
        <w:t>un</w:t>
      </w:r>
      <w:r>
        <w:rPr>
          <w:rFonts w:ascii="Arial" w:hAnsi="Arial" w:cs="Arial"/>
          <w:iCs/>
          <w:sz w:val="24"/>
          <w:szCs w:val="24"/>
        </w:rPr>
        <w:t>’</w:t>
      </w:r>
      <w:r w:rsidRPr="00841C90">
        <w:rPr>
          <w:rFonts w:ascii="Arial" w:hAnsi="Arial" w:cs="Arial"/>
          <w:iCs/>
          <w:sz w:val="24"/>
          <w:szCs w:val="24"/>
        </w:rPr>
        <w:t>Europa resiliente, più verde e a basse emissioni di carbonio, attraverso la promozione di una transizione verso un</w:t>
      </w:r>
      <w:r>
        <w:rPr>
          <w:rFonts w:ascii="Arial" w:hAnsi="Arial" w:cs="Arial"/>
          <w:iCs/>
          <w:sz w:val="24"/>
          <w:szCs w:val="24"/>
        </w:rPr>
        <w:t>’</w:t>
      </w:r>
      <w:r w:rsidRPr="00841C90">
        <w:rPr>
          <w:rFonts w:ascii="Arial" w:hAnsi="Arial" w:cs="Arial"/>
          <w:iCs/>
          <w:sz w:val="24"/>
          <w:szCs w:val="24"/>
        </w:rPr>
        <w:t>energia pulita ed equa, di investimenti verdi e blu, dell’economia circolare, dell</w:t>
      </w:r>
      <w:r>
        <w:rPr>
          <w:rFonts w:ascii="Arial" w:hAnsi="Arial" w:cs="Arial"/>
          <w:iCs/>
          <w:sz w:val="24"/>
          <w:szCs w:val="24"/>
        </w:rPr>
        <w:t>’</w:t>
      </w:r>
      <w:r w:rsidRPr="00841C90">
        <w:rPr>
          <w:rFonts w:ascii="Arial" w:hAnsi="Arial" w:cs="Arial"/>
          <w:iCs/>
          <w:sz w:val="24"/>
          <w:szCs w:val="24"/>
        </w:rPr>
        <w:t>adattamento ai cambiamenti climatici e della gestione e prevenzione dei rischi;</w:t>
      </w:r>
    </w:p>
    <w:p w14:paraId="50D68321" w14:textId="77777777" w:rsidR="00F83AF6" w:rsidRDefault="00F83AF6" w:rsidP="00F83AF6">
      <w:pPr>
        <w:pStyle w:val="Paragrafoelenco"/>
        <w:spacing w:line="360" w:lineRule="auto"/>
        <w:ind w:left="284" w:hanging="284"/>
        <w:jc w:val="both"/>
        <w:rPr>
          <w:rFonts w:ascii="Arial" w:hAnsi="Arial" w:cs="Arial"/>
          <w:iCs/>
          <w:sz w:val="24"/>
          <w:szCs w:val="24"/>
        </w:rPr>
      </w:pPr>
      <w:r w:rsidRPr="00C54AEC">
        <w:rPr>
          <w:rFonts w:ascii="Arial" w:hAnsi="Arial" w:cs="Arial"/>
          <w:iCs/>
          <w:sz w:val="24"/>
          <w:szCs w:val="24"/>
        </w:rPr>
        <w:t>3.</w:t>
      </w:r>
      <w:r>
        <w:rPr>
          <w:rFonts w:ascii="Arial" w:hAnsi="Arial" w:cs="Arial"/>
          <w:iCs/>
          <w:sz w:val="24"/>
          <w:szCs w:val="24"/>
        </w:rPr>
        <w:tab/>
      </w:r>
      <w:r w:rsidRPr="00C54AEC">
        <w:rPr>
          <w:rFonts w:ascii="Arial" w:hAnsi="Arial" w:cs="Arial"/>
          <w:iCs/>
          <w:sz w:val="24"/>
          <w:szCs w:val="24"/>
        </w:rPr>
        <w:t>un</w:t>
      </w:r>
      <w:r>
        <w:rPr>
          <w:rFonts w:ascii="Arial" w:hAnsi="Arial" w:cs="Arial"/>
          <w:iCs/>
          <w:sz w:val="24"/>
          <w:szCs w:val="24"/>
        </w:rPr>
        <w:t>’</w:t>
      </w:r>
      <w:r w:rsidRPr="00C54AEC">
        <w:rPr>
          <w:rFonts w:ascii="Arial" w:hAnsi="Arial" w:cs="Arial"/>
          <w:iCs/>
          <w:sz w:val="24"/>
          <w:szCs w:val="24"/>
        </w:rPr>
        <w:t>Europa più connessa, attraverso il rafforzamento della mobilità e della connettività regionale;</w:t>
      </w:r>
    </w:p>
    <w:p w14:paraId="507157AA" w14:textId="77777777" w:rsidR="00F83AF6" w:rsidRDefault="00F83AF6" w:rsidP="00F83AF6">
      <w:pPr>
        <w:pStyle w:val="Paragrafoelenco"/>
        <w:spacing w:line="360" w:lineRule="auto"/>
        <w:ind w:left="284" w:hanging="284"/>
        <w:jc w:val="both"/>
        <w:rPr>
          <w:rFonts w:ascii="Arial" w:hAnsi="Arial" w:cs="Arial"/>
          <w:iCs/>
          <w:sz w:val="24"/>
          <w:szCs w:val="24"/>
        </w:rPr>
      </w:pPr>
      <w:r w:rsidRPr="00841C90">
        <w:rPr>
          <w:rFonts w:ascii="Arial" w:hAnsi="Arial" w:cs="Arial"/>
          <w:iCs/>
          <w:sz w:val="24"/>
          <w:szCs w:val="24"/>
        </w:rPr>
        <w:t>4.</w:t>
      </w:r>
      <w:r>
        <w:rPr>
          <w:rFonts w:ascii="Arial" w:hAnsi="Arial" w:cs="Arial"/>
          <w:iCs/>
          <w:sz w:val="24"/>
          <w:szCs w:val="24"/>
        </w:rPr>
        <w:tab/>
      </w:r>
      <w:r w:rsidRPr="00841C90">
        <w:rPr>
          <w:rFonts w:ascii="Arial" w:hAnsi="Arial" w:cs="Arial"/>
          <w:iCs/>
          <w:sz w:val="24"/>
          <w:szCs w:val="24"/>
        </w:rPr>
        <w:t>un</w:t>
      </w:r>
      <w:r>
        <w:rPr>
          <w:rFonts w:ascii="Arial" w:hAnsi="Arial" w:cs="Arial"/>
          <w:iCs/>
          <w:sz w:val="24"/>
          <w:szCs w:val="24"/>
        </w:rPr>
        <w:t>’</w:t>
      </w:r>
      <w:r w:rsidRPr="00841C90">
        <w:rPr>
          <w:rFonts w:ascii="Arial" w:hAnsi="Arial" w:cs="Arial"/>
          <w:iCs/>
          <w:sz w:val="24"/>
          <w:szCs w:val="24"/>
        </w:rPr>
        <w:t>Europa più sociale e inclusiva, attraverso l</w:t>
      </w:r>
      <w:r>
        <w:rPr>
          <w:rFonts w:ascii="Arial" w:hAnsi="Arial" w:cs="Arial"/>
          <w:iCs/>
          <w:sz w:val="24"/>
          <w:szCs w:val="24"/>
        </w:rPr>
        <w:t>’</w:t>
      </w:r>
      <w:r w:rsidRPr="00841C90">
        <w:rPr>
          <w:rFonts w:ascii="Arial" w:hAnsi="Arial" w:cs="Arial"/>
          <w:iCs/>
          <w:sz w:val="24"/>
          <w:szCs w:val="24"/>
        </w:rPr>
        <w:t xml:space="preserve">attuazione del Pilastro europeo dei </w:t>
      </w:r>
      <w:r w:rsidRPr="00C54AEC">
        <w:rPr>
          <w:rFonts w:ascii="Arial" w:hAnsi="Arial" w:cs="Arial"/>
          <w:iCs/>
          <w:sz w:val="24"/>
          <w:szCs w:val="24"/>
        </w:rPr>
        <w:t>diritti sociali;</w:t>
      </w:r>
    </w:p>
    <w:p w14:paraId="273CE3F5" w14:textId="77777777" w:rsidR="00F83AF6" w:rsidRDefault="00F83AF6" w:rsidP="00F83AF6">
      <w:pPr>
        <w:pStyle w:val="Paragrafoelenco"/>
        <w:spacing w:line="360" w:lineRule="auto"/>
        <w:ind w:left="284" w:hanging="284"/>
        <w:jc w:val="both"/>
        <w:rPr>
          <w:rFonts w:ascii="Arial" w:hAnsi="Arial" w:cs="Arial"/>
          <w:iCs/>
          <w:sz w:val="24"/>
          <w:szCs w:val="24"/>
        </w:rPr>
      </w:pPr>
      <w:r w:rsidRPr="00841C90">
        <w:rPr>
          <w:rFonts w:ascii="Arial" w:hAnsi="Arial" w:cs="Arial"/>
          <w:iCs/>
          <w:sz w:val="24"/>
          <w:szCs w:val="24"/>
        </w:rPr>
        <w:t>5.</w:t>
      </w:r>
      <w:r>
        <w:rPr>
          <w:rFonts w:ascii="Arial" w:hAnsi="Arial" w:cs="Arial"/>
          <w:iCs/>
          <w:sz w:val="24"/>
          <w:szCs w:val="24"/>
        </w:rPr>
        <w:tab/>
      </w:r>
      <w:r w:rsidRPr="00841C90">
        <w:rPr>
          <w:rFonts w:ascii="Arial" w:hAnsi="Arial" w:cs="Arial"/>
          <w:iCs/>
          <w:sz w:val="24"/>
          <w:szCs w:val="24"/>
        </w:rPr>
        <w:t>un</w:t>
      </w:r>
      <w:r>
        <w:rPr>
          <w:rFonts w:ascii="Arial" w:hAnsi="Arial" w:cs="Arial"/>
          <w:iCs/>
          <w:sz w:val="24"/>
          <w:szCs w:val="24"/>
        </w:rPr>
        <w:t>’</w:t>
      </w:r>
      <w:r w:rsidRPr="00841C90">
        <w:rPr>
          <w:rFonts w:ascii="Arial" w:hAnsi="Arial" w:cs="Arial"/>
          <w:iCs/>
          <w:sz w:val="24"/>
          <w:szCs w:val="24"/>
        </w:rPr>
        <w:t>Europa più vicina ai cittadini, attraverso la promozione dello sviluppo sostenibile</w:t>
      </w:r>
      <w:r>
        <w:rPr>
          <w:rFonts w:ascii="Arial" w:hAnsi="Arial" w:cs="Arial"/>
          <w:iCs/>
          <w:sz w:val="24"/>
          <w:szCs w:val="24"/>
        </w:rPr>
        <w:t xml:space="preserve"> </w:t>
      </w:r>
      <w:r w:rsidRPr="00C54AEC">
        <w:rPr>
          <w:rFonts w:ascii="Arial" w:hAnsi="Arial" w:cs="Arial"/>
          <w:iCs/>
          <w:sz w:val="24"/>
          <w:szCs w:val="24"/>
        </w:rPr>
        <w:t>e integrato delle zone urbane, rurali e costiere e delle iniziative locali.</w:t>
      </w:r>
    </w:p>
    <w:p w14:paraId="6602079E" w14:textId="77777777" w:rsidR="00F83AF6" w:rsidRPr="00344F1E" w:rsidRDefault="00F83AF6" w:rsidP="00F83AF6">
      <w:pPr>
        <w:spacing w:line="360" w:lineRule="auto"/>
        <w:jc w:val="both"/>
        <w:rPr>
          <w:rFonts w:ascii="Arial" w:hAnsi="Arial" w:cs="Arial"/>
          <w:iCs/>
          <w:sz w:val="24"/>
          <w:szCs w:val="24"/>
        </w:rPr>
      </w:pPr>
      <w:r w:rsidRPr="00344F1E">
        <w:rPr>
          <w:rFonts w:ascii="Arial" w:hAnsi="Arial" w:cs="Arial"/>
          <w:iCs/>
          <w:sz w:val="24"/>
          <w:szCs w:val="24"/>
        </w:rPr>
        <w:t>I Fondi strutturali e di investimento europei (Fondi SIE)</w:t>
      </w:r>
      <w:r>
        <w:rPr>
          <w:rStyle w:val="Rimandonotaapidipagina"/>
          <w:rFonts w:ascii="Arial" w:hAnsi="Arial" w:cs="Arial"/>
          <w:iCs/>
          <w:sz w:val="24"/>
          <w:szCs w:val="24"/>
        </w:rPr>
        <w:footnoteReference w:id="80"/>
      </w:r>
      <w:r w:rsidRPr="00344F1E">
        <w:rPr>
          <w:rFonts w:ascii="Arial" w:hAnsi="Arial" w:cs="Arial"/>
          <w:iCs/>
          <w:sz w:val="24"/>
          <w:szCs w:val="24"/>
        </w:rPr>
        <w:t xml:space="preserve"> sono i principali strumenti finanziari</w:t>
      </w:r>
      <w:r>
        <w:rPr>
          <w:rFonts w:ascii="Arial" w:hAnsi="Arial" w:cs="Arial"/>
          <w:iCs/>
          <w:sz w:val="24"/>
          <w:szCs w:val="24"/>
        </w:rPr>
        <w:t xml:space="preserve"> </w:t>
      </w:r>
      <w:r w:rsidRPr="00344F1E">
        <w:rPr>
          <w:rFonts w:ascii="Arial" w:hAnsi="Arial" w:cs="Arial"/>
          <w:iCs/>
          <w:sz w:val="24"/>
          <w:szCs w:val="24"/>
        </w:rPr>
        <w:t>della politica regionale dell</w:t>
      </w:r>
      <w:r>
        <w:rPr>
          <w:rFonts w:ascii="Arial" w:hAnsi="Arial" w:cs="Arial"/>
          <w:iCs/>
          <w:sz w:val="24"/>
          <w:szCs w:val="24"/>
        </w:rPr>
        <w:t>’</w:t>
      </w:r>
      <w:r w:rsidRPr="00344F1E">
        <w:rPr>
          <w:rFonts w:ascii="Arial" w:hAnsi="Arial" w:cs="Arial"/>
          <w:iCs/>
          <w:sz w:val="24"/>
          <w:szCs w:val="24"/>
        </w:rPr>
        <w:t>Unione europea</w:t>
      </w:r>
      <w:r>
        <w:rPr>
          <w:rStyle w:val="Rimandonotaapidipagina"/>
          <w:rFonts w:ascii="Arial" w:hAnsi="Arial" w:cs="Arial"/>
          <w:iCs/>
          <w:sz w:val="24"/>
          <w:szCs w:val="24"/>
        </w:rPr>
        <w:footnoteReference w:id="81"/>
      </w:r>
      <w:r>
        <w:rPr>
          <w:rFonts w:ascii="Arial" w:hAnsi="Arial" w:cs="Arial"/>
          <w:iCs/>
          <w:sz w:val="24"/>
          <w:szCs w:val="24"/>
        </w:rPr>
        <w:t>,</w:t>
      </w:r>
      <w:r w:rsidRPr="00344F1E">
        <w:rPr>
          <w:rFonts w:ascii="Arial" w:hAnsi="Arial" w:cs="Arial"/>
          <w:iCs/>
          <w:sz w:val="24"/>
          <w:szCs w:val="24"/>
        </w:rPr>
        <w:t xml:space="preserve"> il cui scopo è quello di rafforzare la coesione</w:t>
      </w:r>
      <w:r>
        <w:rPr>
          <w:rFonts w:ascii="Arial" w:hAnsi="Arial" w:cs="Arial"/>
          <w:iCs/>
          <w:sz w:val="24"/>
          <w:szCs w:val="24"/>
        </w:rPr>
        <w:t xml:space="preserve"> </w:t>
      </w:r>
      <w:r w:rsidRPr="00344F1E">
        <w:rPr>
          <w:rFonts w:ascii="Arial" w:hAnsi="Arial" w:cs="Arial"/>
          <w:iCs/>
          <w:sz w:val="24"/>
          <w:szCs w:val="24"/>
        </w:rPr>
        <w:t>economica, sociale e territoriale</w:t>
      </w:r>
      <w:r>
        <w:rPr>
          <w:rFonts w:ascii="Arial" w:hAnsi="Arial" w:cs="Arial"/>
          <w:iCs/>
          <w:sz w:val="24"/>
          <w:szCs w:val="24"/>
        </w:rPr>
        <w:t xml:space="preserve"> </w:t>
      </w:r>
      <w:r w:rsidRPr="00344F1E">
        <w:rPr>
          <w:rFonts w:ascii="Arial" w:hAnsi="Arial" w:cs="Arial"/>
          <w:iCs/>
          <w:sz w:val="24"/>
          <w:szCs w:val="24"/>
        </w:rPr>
        <w:t>riducendo il divario fra le regioni più avanzate e quelle in ritardo</w:t>
      </w:r>
      <w:r>
        <w:rPr>
          <w:rFonts w:ascii="Arial" w:hAnsi="Arial" w:cs="Arial"/>
          <w:iCs/>
          <w:sz w:val="24"/>
          <w:szCs w:val="24"/>
        </w:rPr>
        <w:t xml:space="preserve"> </w:t>
      </w:r>
      <w:r w:rsidRPr="00344F1E">
        <w:rPr>
          <w:rFonts w:ascii="Arial" w:hAnsi="Arial" w:cs="Arial"/>
          <w:iCs/>
          <w:sz w:val="24"/>
          <w:szCs w:val="24"/>
        </w:rPr>
        <w:t>di sviluppo (art. 17</w:t>
      </w:r>
      <w:r>
        <w:rPr>
          <w:rFonts w:ascii="Arial" w:hAnsi="Arial" w:cs="Arial"/>
          <w:iCs/>
          <w:sz w:val="24"/>
          <w:szCs w:val="24"/>
        </w:rPr>
        <w:t>7</w:t>
      </w:r>
      <w:r w:rsidRPr="00344F1E">
        <w:rPr>
          <w:rFonts w:ascii="Arial" w:hAnsi="Arial" w:cs="Arial"/>
          <w:iCs/>
          <w:sz w:val="24"/>
          <w:szCs w:val="24"/>
        </w:rPr>
        <w:t xml:space="preserve"> TFUE).</w:t>
      </w:r>
    </w:p>
    <w:p w14:paraId="76EB1B87" w14:textId="77777777" w:rsidR="00F83AF6" w:rsidRPr="00C54AEC" w:rsidRDefault="00F83AF6" w:rsidP="00F83AF6">
      <w:pPr>
        <w:spacing w:line="360" w:lineRule="auto"/>
        <w:jc w:val="both"/>
        <w:rPr>
          <w:rFonts w:ascii="Arial" w:hAnsi="Arial" w:cs="Arial"/>
          <w:iCs/>
          <w:sz w:val="24"/>
          <w:szCs w:val="24"/>
        </w:rPr>
      </w:pPr>
      <w:r w:rsidRPr="00841C90">
        <w:rPr>
          <w:rFonts w:ascii="Arial" w:hAnsi="Arial" w:cs="Arial"/>
          <w:iCs/>
          <w:sz w:val="24"/>
          <w:szCs w:val="24"/>
        </w:rPr>
        <w:t xml:space="preserve">Il quadro giuridico-normativo su cui si basano i Fondi Strutturali per </w:t>
      </w:r>
      <w:r>
        <w:rPr>
          <w:rFonts w:ascii="Arial" w:hAnsi="Arial" w:cs="Arial"/>
          <w:iCs/>
          <w:sz w:val="24"/>
          <w:szCs w:val="24"/>
        </w:rPr>
        <w:t>i</w:t>
      </w:r>
      <w:r w:rsidRPr="00841C90">
        <w:rPr>
          <w:rFonts w:ascii="Arial" w:hAnsi="Arial" w:cs="Arial"/>
          <w:iCs/>
          <w:sz w:val="24"/>
          <w:szCs w:val="24"/>
        </w:rPr>
        <w:t>l periodo 2021-</w:t>
      </w:r>
      <w:r w:rsidRPr="00C54AEC">
        <w:rPr>
          <w:rFonts w:ascii="Arial" w:hAnsi="Arial" w:cs="Arial"/>
          <w:iCs/>
          <w:sz w:val="24"/>
          <w:szCs w:val="24"/>
        </w:rPr>
        <w:t xml:space="preserve">2027, è </w:t>
      </w:r>
      <w:r>
        <w:rPr>
          <w:rFonts w:ascii="Arial" w:hAnsi="Arial" w:cs="Arial"/>
          <w:iCs/>
          <w:sz w:val="24"/>
          <w:szCs w:val="24"/>
        </w:rPr>
        <w:t>rappresentato dai seguenti regolamenti:</w:t>
      </w:r>
    </w:p>
    <w:p w14:paraId="348BEFCC" w14:textId="77777777" w:rsidR="00F83AF6" w:rsidRPr="00012183" w:rsidRDefault="00F83AF6" w:rsidP="00F83AF6">
      <w:pPr>
        <w:pStyle w:val="Paragrafoelenco"/>
        <w:numPr>
          <w:ilvl w:val="1"/>
          <w:numId w:val="20"/>
        </w:numPr>
        <w:spacing w:line="360" w:lineRule="auto"/>
        <w:ind w:left="284" w:hanging="284"/>
        <w:jc w:val="both"/>
        <w:rPr>
          <w:rFonts w:ascii="Arial" w:hAnsi="Arial" w:cs="Arial"/>
          <w:iCs/>
          <w:sz w:val="24"/>
          <w:szCs w:val="24"/>
        </w:rPr>
      </w:pPr>
      <w:r w:rsidRPr="00012183">
        <w:rPr>
          <w:rFonts w:ascii="Arial" w:hAnsi="Arial" w:cs="Arial"/>
          <w:iCs/>
          <w:sz w:val="24"/>
          <w:szCs w:val="24"/>
        </w:rPr>
        <w:t>Regolamento (UE, EURATOM) 2020/2093</w:t>
      </w:r>
      <w:r>
        <w:rPr>
          <w:rFonts w:ascii="Arial" w:hAnsi="Arial" w:cs="Arial"/>
          <w:iCs/>
          <w:sz w:val="24"/>
          <w:szCs w:val="24"/>
        </w:rPr>
        <w:t>,</w:t>
      </w:r>
      <w:r w:rsidRPr="00012183">
        <w:rPr>
          <w:rFonts w:ascii="Arial" w:hAnsi="Arial" w:cs="Arial"/>
          <w:iCs/>
          <w:sz w:val="24"/>
          <w:szCs w:val="24"/>
        </w:rPr>
        <w:t xml:space="preserve"> del 17 dicembre 2020, che </w:t>
      </w:r>
      <w:r>
        <w:rPr>
          <w:rFonts w:ascii="Arial" w:hAnsi="Arial" w:cs="Arial"/>
          <w:iCs/>
          <w:sz w:val="24"/>
          <w:szCs w:val="24"/>
        </w:rPr>
        <w:t>definisce</w:t>
      </w:r>
      <w:r w:rsidRPr="00012183">
        <w:rPr>
          <w:rFonts w:ascii="Arial" w:hAnsi="Arial" w:cs="Arial"/>
          <w:iCs/>
          <w:sz w:val="24"/>
          <w:szCs w:val="24"/>
        </w:rPr>
        <w:t xml:space="preserve"> il quadro finanziario pluriennale per il periodo 2021-2027</w:t>
      </w:r>
      <w:r>
        <w:rPr>
          <w:rFonts w:ascii="Arial" w:hAnsi="Arial" w:cs="Arial"/>
          <w:iCs/>
          <w:sz w:val="24"/>
          <w:szCs w:val="24"/>
        </w:rPr>
        <w:t>;</w:t>
      </w:r>
    </w:p>
    <w:p w14:paraId="777B325B" w14:textId="77777777" w:rsidR="00F83AF6" w:rsidRDefault="00F83AF6" w:rsidP="00FA551B">
      <w:pPr>
        <w:pStyle w:val="Paragrafoelenco"/>
        <w:numPr>
          <w:ilvl w:val="1"/>
          <w:numId w:val="20"/>
        </w:numPr>
        <w:spacing w:line="360" w:lineRule="auto"/>
        <w:ind w:left="284" w:hanging="284"/>
        <w:contextualSpacing w:val="0"/>
        <w:jc w:val="both"/>
        <w:rPr>
          <w:rFonts w:ascii="Arial" w:hAnsi="Arial" w:cs="Arial"/>
          <w:iCs/>
          <w:sz w:val="24"/>
          <w:szCs w:val="24"/>
        </w:rPr>
      </w:pPr>
      <w:r w:rsidRPr="00812919">
        <w:rPr>
          <w:rFonts w:ascii="Arial" w:hAnsi="Arial" w:cs="Arial"/>
          <w:iCs/>
          <w:sz w:val="24"/>
          <w:szCs w:val="24"/>
        </w:rPr>
        <w:t>Regolamento (UE) 2021/1060, del 21 giugno 2021, recante le disposizioni comuni applicabili al Fondo europeo di sviluppo regionale, al Fondo sociale europeo Plus, al Fondo di coesione, al Fondo per una transizione giusta, al Fondo europeo per gli affari marittimi, la pesca e l’acquacoltura, e le regole finanziarie applicabili a tali fondi e al Fondo Asilo, migrazione e integrazione, al Fondo Sicurezza interna e allo Strumento di sostegno finanziario per la gestione delle frontiere e la politica dei visti</w:t>
      </w:r>
      <w:r>
        <w:rPr>
          <w:rFonts w:ascii="Arial" w:hAnsi="Arial" w:cs="Arial"/>
          <w:iCs/>
          <w:sz w:val="24"/>
          <w:szCs w:val="24"/>
        </w:rPr>
        <w:t xml:space="preserve">, </w:t>
      </w:r>
      <w:r w:rsidRPr="00812919">
        <w:rPr>
          <w:rFonts w:ascii="Arial" w:hAnsi="Arial" w:cs="Arial"/>
          <w:iCs/>
          <w:sz w:val="24"/>
          <w:szCs w:val="24"/>
        </w:rPr>
        <w:t>definisce le disposizioni comuni e le regole finanziarie applicabili ai fondi strutturali europei</w:t>
      </w:r>
      <w:r>
        <w:rPr>
          <w:rFonts w:ascii="Arial" w:hAnsi="Arial" w:cs="Arial"/>
          <w:iCs/>
          <w:sz w:val="24"/>
          <w:szCs w:val="24"/>
        </w:rPr>
        <w:t>, previsti dai seguenti provvedimenti:</w:t>
      </w:r>
    </w:p>
    <w:p w14:paraId="4C47D7AD" w14:textId="77777777" w:rsidR="00F83AF6" w:rsidRDefault="00F83AF6" w:rsidP="00F83AF6">
      <w:pPr>
        <w:pStyle w:val="Paragrafoelenco"/>
        <w:numPr>
          <w:ilvl w:val="0"/>
          <w:numId w:val="14"/>
        </w:numPr>
        <w:spacing w:line="360" w:lineRule="auto"/>
        <w:ind w:left="567" w:hanging="283"/>
        <w:jc w:val="both"/>
        <w:rPr>
          <w:rFonts w:ascii="Arial" w:hAnsi="Arial" w:cs="Arial"/>
          <w:iCs/>
          <w:sz w:val="24"/>
          <w:szCs w:val="24"/>
        </w:rPr>
      </w:pPr>
      <w:r w:rsidRPr="009D0D88">
        <w:rPr>
          <w:rFonts w:ascii="Arial" w:hAnsi="Arial" w:cs="Arial"/>
          <w:iCs/>
          <w:sz w:val="24"/>
          <w:szCs w:val="24"/>
        </w:rPr>
        <w:lastRenderedPageBreak/>
        <w:t>Regolamento (UE) 2021/1059, del 24 giugno 2021, recante disposizioni specifiche per l</w:t>
      </w:r>
      <w:r>
        <w:rPr>
          <w:rFonts w:ascii="Arial" w:hAnsi="Arial" w:cs="Arial"/>
          <w:iCs/>
          <w:sz w:val="24"/>
          <w:szCs w:val="24"/>
        </w:rPr>
        <w:t>’</w:t>
      </w:r>
      <w:r w:rsidRPr="009D0D88">
        <w:rPr>
          <w:rFonts w:ascii="Arial" w:hAnsi="Arial" w:cs="Arial"/>
          <w:iCs/>
          <w:sz w:val="24"/>
          <w:szCs w:val="24"/>
        </w:rPr>
        <w:t>obiettivo “Cooperazione territoriale europea (CTE) - (Interreg)</w:t>
      </w:r>
      <w:r>
        <w:rPr>
          <w:rFonts w:ascii="Arial" w:hAnsi="Arial" w:cs="Arial"/>
          <w:iCs/>
          <w:sz w:val="24"/>
          <w:szCs w:val="24"/>
        </w:rPr>
        <w:t>”</w:t>
      </w:r>
      <w:r w:rsidRPr="009D0D88">
        <w:rPr>
          <w:rFonts w:ascii="Arial" w:hAnsi="Arial" w:cs="Arial"/>
          <w:iCs/>
          <w:sz w:val="24"/>
          <w:szCs w:val="24"/>
        </w:rPr>
        <w:t>, sostenuto dal Fondo europeo di sviluppo regionale e dagli strumenti di finanziamento esterno. Con una dotazione di 9,1 miliardi di euro, Interreg interviene nella cooperazione territoriale in Europa nell</w:t>
      </w:r>
      <w:r>
        <w:rPr>
          <w:rFonts w:ascii="Arial" w:hAnsi="Arial" w:cs="Arial"/>
          <w:iCs/>
          <w:sz w:val="24"/>
          <w:szCs w:val="24"/>
        </w:rPr>
        <w:t>’</w:t>
      </w:r>
      <w:r w:rsidRPr="009D0D88">
        <w:rPr>
          <w:rFonts w:ascii="Arial" w:hAnsi="Arial" w:cs="Arial"/>
          <w:iCs/>
          <w:sz w:val="24"/>
          <w:szCs w:val="24"/>
        </w:rPr>
        <w:t xml:space="preserve">ambito delle sue diverse componenti (transfrontaliera, transnazionale e interregionale). </w:t>
      </w:r>
      <w:r>
        <w:rPr>
          <w:rFonts w:ascii="Arial" w:hAnsi="Arial" w:cs="Arial"/>
          <w:iCs/>
          <w:sz w:val="24"/>
          <w:szCs w:val="24"/>
        </w:rPr>
        <w:t>I</w:t>
      </w:r>
      <w:r w:rsidRPr="009D0D88">
        <w:rPr>
          <w:rFonts w:ascii="Arial" w:hAnsi="Arial" w:cs="Arial"/>
          <w:iCs/>
          <w:sz w:val="24"/>
          <w:szCs w:val="24"/>
        </w:rPr>
        <w:t>l regolamento di Interreg istitui</w:t>
      </w:r>
      <w:r>
        <w:rPr>
          <w:rFonts w:ascii="Arial" w:hAnsi="Arial" w:cs="Arial"/>
          <w:iCs/>
          <w:sz w:val="24"/>
          <w:szCs w:val="24"/>
        </w:rPr>
        <w:t>sce</w:t>
      </w:r>
      <w:r w:rsidRPr="009D0D88">
        <w:rPr>
          <w:rFonts w:ascii="Arial" w:hAnsi="Arial" w:cs="Arial"/>
          <w:iCs/>
          <w:sz w:val="24"/>
          <w:szCs w:val="24"/>
        </w:rPr>
        <w:t xml:space="preserve"> una nuova componente dedicata al rafforzamento della cooperazione regionale delle regioni ultra-periferiche;</w:t>
      </w:r>
    </w:p>
    <w:p w14:paraId="7B29E32F" w14:textId="77777777" w:rsidR="00F83AF6" w:rsidRDefault="00F83AF6" w:rsidP="00F83AF6">
      <w:pPr>
        <w:pStyle w:val="Paragrafoelenco"/>
        <w:numPr>
          <w:ilvl w:val="0"/>
          <w:numId w:val="14"/>
        </w:numPr>
        <w:spacing w:line="360" w:lineRule="auto"/>
        <w:ind w:left="567" w:hanging="283"/>
        <w:jc w:val="both"/>
        <w:rPr>
          <w:rFonts w:ascii="Arial" w:hAnsi="Arial" w:cs="Arial"/>
          <w:iCs/>
          <w:sz w:val="24"/>
          <w:szCs w:val="24"/>
        </w:rPr>
      </w:pPr>
      <w:r w:rsidRPr="005E4100">
        <w:rPr>
          <w:rFonts w:ascii="Arial" w:hAnsi="Arial" w:cs="Arial"/>
          <w:iCs/>
          <w:sz w:val="24"/>
          <w:szCs w:val="24"/>
        </w:rPr>
        <w:t xml:space="preserve">Regolamento (UE) 2021/1058, del 24 giugno 2021, relativo al Fondo europeo di sviluppo regionale (FESR), del valore di 226 miliardi di euro e al Fondo di coesione </w:t>
      </w:r>
      <w:r>
        <w:rPr>
          <w:rFonts w:ascii="Arial" w:hAnsi="Arial" w:cs="Arial"/>
          <w:iCs/>
          <w:sz w:val="24"/>
          <w:szCs w:val="24"/>
        </w:rPr>
        <w:t xml:space="preserve">  </w:t>
      </w:r>
      <w:r w:rsidRPr="005E4100">
        <w:rPr>
          <w:rFonts w:ascii="Arial" w:hAnsi="Arial" w:cs="Arial"/>
          <w:iCs/>
          <w:sz w:val="24"/>
          <w:szCs w:val="24"/>
        </w:rPr>
        <w:t xml:space="preserve">(FC, </w:t>
      </w:r>
      <w:r>
        <w:rPr>
          <w:rFonts w:ascii="Arial" w:hAnsi="Arial" w:cs="Arial"/>
          <w:iCs/>
          <w:sz w:val="24"/>
          <w:szCs w:val="24"/>
        </w:rPr>
        <w:t>non destinato al</w:t>
      </w:r>
      <w:r w:rsidRPr="005E4100">
        <w:rPr>
          <w:rFonts w:ascii="Arial" w:hAnsi="Arial" w:cs="Arial"/>
          <w:iCs/>
          <w:sz w:val="24"/>
          <w:szCs w:val="24"/>
        </w:rPr>
        <w:t>l’Italia), del valore di 48 miliardi. Il FESR è orientato al rafforzamento della coesione economica e sociale nell’Unione europea, correggendo gli squilibri esistenti tra le regioni e realizzando le priorità politiche dell’Unione, attraverso una concentrazione tematica delle risorse;</w:t>
      </w:r>
    </w:p>
    <w:p w14:paraId="10FD6C07" w14:textId="77777777" w:rsidR="00F83AF6" w:rsidRPr="004804D8" w:rsidRDefault="00F83AF6" w:rsidP="00F83AF6">
      <w:pPr>
        <w:pStyle w:val="Paragrafoelenco"/>
        <w:numPr>
          <w:ilvl w:val="0"/>
          <w:numId w:val="14"/>
        </w:numPr>
        <w:spacing w:line="360" w:lineRule="auto"/>
        <w:ind w:left="567" w:hanging="283"/>
        <w:jc w:val="both"/>
        <w:rPr>
          <w:rFonts w:ascii="Arial" w:hAnsi="Arial" w:cs="Arial"/>
          <w:iCs/>
          <w:sz w:val="24"/>
          <w:szCs w:val="24"/>
        </w:rPr>
      </w:pPr>
      <w:r w:rsidRPr="004804D8">
        <w:rPr>
          <w:rFonts w:ascii="Arial" w:hAnsi="Arial" w:cs="Arial"/>
          <w:iCs/>
          <w:sz w:val="24"/>
          <w:szCs w:val="24"/>
        </w:rPr>
        <w:t>Regolamento (UE) 2021/1057</w:t>
      </w:r>
      <w:r>
        <w:rPr>
          <w:rFonts w:ascii="Arial" w:hAnsi="Arial" w:cs="Arial"/>
          <w:iCs/>
          <w:sz w:val="24"/>
          <w:szCs w:val="24"/>
        </w:rPr>
        <w:t xml:space="preserve">, </w:t>
      </w:r>
      <w:r w:rsidRPr="004804D8">
        <w:rPr>
          <w:rFonts w:ascii="Arial" w:hAnsi="Arial" w:cs="Arial"/>
          <w:iCs/>
          <w:sz w:val="24"/>
          <w:szCs w:val="24"/>
        </w:rPr>
        <w:t>del 24 giugno 2021</w:t>
      </w:r>
      <w:r>
        <w:rPr>
          <w:rFonts w:ascii="Arial" w:hAnsi="Arial" w:cs="Arial"/>
          <w:iCs/>
          <w:sz w:val="24"/>
          <w:szCs w:val="24"/>
        </w:rPr>
        <w:t xml:space="preserve">, </w:t>
      </w:r>
      <w:r w:rsidRPr="004804D8">
        <w:rPr>
          <w:rFonts w:ascii="Arial" w:hAnsi="Arial" w:cs="Arial"/>
          <w:iCs/>
          <w:sz w:val="24"/>
          <w:szCs w:val="24"/>
        </w:rPr>
        <w:t xml:space="preserve">istituisce </w:t>
      </w:r>
      <w:r>
        <w:rPr>
          <w:rFonts w:ascii="Arial" w:hAnsi="Arial" w:cs="Arial"/>
          <w:iCs/>
          <w:sz w:val="24"/>
          <w:szCs w:val="24"/>
        </w:rPr>
        <w:t xml:space="preserve">il </w:t>
      </w:r>
      <w:r w:rsidRPr="004804D8">
        <w:rPr>
          <w:rFonts w:ascii="Arial" w:hAnsi="Arial" w:cs="Arial"/>
          <w:iCs/>
          <w:sz w:val="24"/>
          <w:szCs w:val="24"/>
        </w:rPr>
        <w:t>Fondo sociale europeo Plus (FSE+)</w:t>
      </w:r>
      <w:r>
        <w:rPr>
          <w:rFonts w:ascii="Arial" w:hAnsi="Arial" w:cs="Arial"/>
          <w:iCs/>
          <w:sz w:val="24"/>
          <w:szCs w:val="24"/>
        </w:rPr>
        <w:t xml:space="preserve"> e </w:t>
      </w:r>
      <w:r w:rsidRPr="004804D8">
        <w:rPr>
          <w:rFonts w:ascii="Arial" w:hAnsi="Arial" w:cs="Arial"/>
          <w:iCs/>
          <w:sz w:val="24"/>
          <w:szCs w:val="24"/>
        </w:rPr>
        <w:t>che abroga il regolamento (UE) n. 1296/2013.</w:t>
      </w:r>
    </w:p>
    <w:p w14:paraId="6525F606" w14:textId="77777777" w:rsidR="00F83AF6" w:rsidRPr="00C54AEC" w:rsidRDefault="00F83AF6" w:rsidP="00F83AF6">
      <w:pPr>
        <w:pStyle w:val="Paragrafoelenco"/>
        <w:spacing w:line="360" w:lineRule="auto"/>
        <w:ind w:left="567"/>
        <w:jc w:val="both"/>
        <w:rPr>
          <w:rFonts w:ascii="Arial" w:hAnsi="Arial" w:cs="Arial"/>
          <w:iCs/>
          <w:sz w:val="24"/>
          <w:szCs w:val="24"/>
        </w:rPr>
      </w:pPr>
      <w:r w:rsidRPr="00913EE7">
        <w:rPr>
          <w:rFonts w:ascii="Arial" w:hAnsi="Arial" w:cs="Arial"/>
          <w:iCs/>
          <w:sz w:val="24"/>
          <w:szCs w:val="24"/>
        </w:rPr>
        <w:t>L’FSE+, del valore di 99,3 miliardi di euro, sosterrà gli Stati membri nel conseguimento dei principali obiettivi sociali dell</w:t>
      </w:r>
      <w:r>
        <w:rPr>
          <w:rFonts w:ascii="Arial" w:hAnsi="Arial" w:cs="Arial"/>
          <w:iCs/>
          <w:sz w:val="24"/>
          <w:szCs w:val="24"/>
        </w:rPr>
        <w:t>’</w:t>
      </w:r>
      <w:r w:rsidRPr="00913EE7">
        <w:rPr>
          <w:rFonts w:ascii="Arial" w:hAnsi="Arial" w:cs="Arial"/>
          <w:iCs/>
          <w:sz w:val="24"/>
          <w:szCs w:val="24"/>
        </w:rPr>
        <w:t>UE per il 2030;</w:t>
      </w:r>
    </w:p>
    <w:p w14:paraId="7C5C27D5" w14:textId="77777777" w:rsidR="00F83AF6" w:rsidRDefault="00F83AF6" w:rsidP="00F83AF6">
      <w:pPr>
        <w:pStyle w:val="Paragrafoelenco"/>
        <w:numPr>
          <w:ilvl w:val="0"/>
          <w:numId w:val="14"/>
        </w:numPr>
        <w:spacing w:line="360" w:lineRule="auto"/>
        <w:ind w:left="567" w:hanging="283"/>
        <w:jc w:val="both"/>
        <w:rPr>
          <w:rFonts w:ascii="Arial" w:hAnsi="Arial" w:cs="Arial"/>
          <w:iCs/>
          <w:sz w:val="24"/>
          <w:szCs w:val="24"/>
        </w:rPr>
      </w:pPr>
      <w:r w:rsidRPr="000324BD">
        <w:rPr>
          <w:rFonts w:ascii="Arial" w:hAnsi="Arial" w:cs="Arial"/>
          <w:iCs/>
          <w:sz w:val="24"/>
          <w:szCs w:val="24"/>
        </w:rPr>
        <w:t>Regolamento (UE) 2021/1056</w:t>
      </w:r>
      <w:r>
        <w:rPr>
          <w:rFonts w:ascii="Arial" w:hAnsi="Arial" w:cs="Arial"/>
          <w:iCs/>
          <w:sz w:val="24"/>
          <w:szCs w:val="24"/>
        </w:rPr>
        <w:t xml:space="preserve">, </w:t>
      </w:r>
      <w:r w:rsidRPr="000324BD">
        <w:rPr>
          <w:rFonts w:ascii="Arial" w:hAnsi="Arial" w:cs="Arial"/>
          <w:iCs/>
          <w:sz w:val="24"/>
          <w:szCs w:val="24"/>
        </w:rPr>
        <w:t xml:space="preserve">del 24 giugno 2021, che istituisce il Fondo per una transizione giusta (Just Transition Fund - JFT) del valore complessivo di 19,2 miliardi di euro integrati da ulteriori 10 miliardi di euro dal Next Generation </w:t>
      </w:r>
      <w:r>
        <w:rPr>
          <w:rFonts w:ascii="Arial" w:hAnsi="Arial" w:cs="Arial"/>
          <w:iCs/>
          <w:sz w:val="24"/>
          <w:szCs w:val="24"/>
        </w:rPr>
        <w:t xml:space="preserve">EU, allo scopo di mitigare </w:t>
      </w:r>
      <w:r w:rsidRPr="000324BD">
        <w:rPr>
          <w:rFonts w:ascii="Arial" w:hAnsi="Arial" w:cs="Arial"/>
          <w:iCs/>
          <w:sz w:val="24"/>
          <w:szCs w:val="24"/>
        </w:rPr>
        <w:t>i costi socio</w:t>
      </w:r>
      <w:r>
        <w:rPr>
          <w:rFonts w:ascii="Arial" w:hAnsi="Arial" w:cs="Arial"/>
          <w:iCs/>
          <w:sz w:val="24"/>
          <w:szCs w:val="24"/>
        </w:rPr>
        <w:t>-</w:t>
      </w:r>
      <w:r w:rsidRPr="000324BD">
        <w:rPr>
          <w:rFonts w:ascii="Arial" w:hAnsi="Arial" w:cs="Arial"/>
          <w:iCs/>
          <w:sz w:val="24"/>
          <w:szCs w:val="24"/>
        </w:rPr>
        <w:t>economici derivanti dalla transizione verso un</w:t>
      </w:r>
      <w:r>
        <w:rPr>
          <w:rFonts w:ascii="Arial" w:hAnsi="Arial" w:cs="Arial"/>
          <w:iCs/>
          <w:sz w:val="24"/>
          <w:szCs w:val="24"/>
        </w:rPr>
        <w:t>’</w:t>
      </w:r>
      <w:r w:rsidRPr="000324BD">
        <w:rPr>
          <w:rFonts w:ascii="Arial" w:hAnsi="Arial" w:cs="Arial"/>
          <w:iCs/>
          <w:sz w:val="24"/>
          <w:szCs w:val="24"/>
        </w:rPr>
        <w:t xml:space="preserve">economia climaticamente neutra, </w:t>
      </w:r>
      <w:r>
        <w:rPr>
          <w:rFonts w:ascii="Arial" w:hAnsi="Arial" w:cs="Arial"/>
          <w:iCs/>
          <w:sz w:val="24"/>
          <w:szCs w:val="24"/>
        </w:rPr>
        <w:t>mediante l’adozione di</w:t>
      </w:r>
      <w:r w:rsidRPr="000324BD">
        <w:rPr>
          <w:rFonts w:ascii="Arial" w:hAnsi="Arial" w:cs="Arial"/>
          <w:iCs/>
          <w:sz w:val="24"/>
          <w:szCs w:val="24"/>
        </w:rPr>
        <w:t xml:space="preserve"> azioni mirate alla diversificazione dell</w:t>
      </w:r>
      <w:r>
        <w:rPr>
          <w:rFonts w:ascii="Arial" w:hAnsi="Arial" w:cs="Arial"/>
          <w:iCs/>
          <w:sz w:val="24"/>
          <w:szCs w:val="24"/>
        </w:rPr>
        <w:t>’</w:t>
      </w:r>
      <w:r w:rsidRPr="000324BD">
        <w:rPr>
          <w:rFonts w:ascii="Arial" w:hAnsi="Arial" w:cs="Arial"/>
          <w:iCs/>
          <w:sz w:val="24"/>
          <w:szCs w:val="24"/>
        </w:rPr>
        <w:t>attività economica e all</w:t>
      </w:r>
      <w:r>
        <w:rPr>
          <w:rFonts w:ascii="Arial" w:hAnsi="Arial" w:cs="Arial"/>
          <w:iCs/>
          <w:sz w:val="24"/>
          <w:szCs w:val="24"/>
        </w:rPr>
        <w:t>’</w:t>
      </w:r>
      <w:r w:rsidRPr="000324BD">
        <w:rPr>
          <w:rFonts w:ascii="Arial" w:hAnsi="Arial" w:cs="Arial"/>
          <w:iCs/>
          <w:sz w:val="24"/>
          <w:szCs w:val="24"/>
        </w:rPr>
        <w:t>adattamento delle persone a un mercato del lavoro in evoluzione.</w:t>
      </w:r>
    </w:p>
    <w:p w14:paraId="7671068B" w14:textId="77777777" w:rsidR="00F83AF6" w:rsidRPr="003248B0" w:rsidRDefault="00F83AF6" w:rsidP="00F83AF6">
      <w:pPr>
        <w:spacing w:line="360" w:lineRule="auto"/>
        <w:jc w:val="both"/>
        <w:rPr>
          <w:rFonts w:ascii="Arial" w:hAnsi="Arial" w:cs="Arial"/>
          <w:iCs/>
          <w:sz w:val="24"/>
          <w:szCs w:val="24"/>
        </w:rPr>
      </w:pPr>
      <w:r>
        <w:rPr>
          <w:rFonts w:ascii="Arial" w:hAnsi="Arial" w:cs="Arial"/>
          <w:iCs/>
          <w:sz w:val="24"/>
          <w:szCs w:val="24"/>
        </w:rPr>
        <w:t>C</w:t>
      </w:r>
      <w:r w:rsidRPr="00455F22">
        <w:rPr>
          <w:rFonts w:ascii="Arial" w:hAnsi="Arial" w:cs="Arial"/>
          <w:iCs/>
          <w:sz w:val="24"/>
          <w:szCs w:val="24"/>
        </w:rPr>
        <w:t xml:space="preserve">on </w:t>
      </w:r>
      <w:r>
        <w:rPr>
          <w:rFonts w:ascii="Arial" w:hAnsi="Arial" w:cs="Arial"/>
          <w:iCs/>
          <w:sz w:val="24"/>
          <w:szCs w:val="24"/>
        </w:rPr>
        <w:t xml:space="preserve">la </w:t>
      </w:r>
      <w:r w:rsidRPr="00455F22">
        <w:rPr>
          <w:rFonts w:ascii="Arial" w:hAnsi="Arial" w:cs="Arial"/>
          <w:iCs/>
          <w:sz w:val="24"/>
          <w:szCs w:val="24"/>
        </w:rPr>
        <w:t xml:space="preserve">Decisione </w:t>
      </w:r>
      <w:r w:rsidRPr="003248B0">
        <w:rPr>
          <w:rFonts w:ascii="Arial" w:hAnsi="Arial" w:cs="Arial"/>
          <w:iCs/>
          <w:sz w:val="24"/>
          <w:szCs w:val="24"/>
        </w:rPr>
        <w:t>di esecuzione C(2022) 4787 del 15 luglio 2022,</w:t>
      </w:r>
      <w:r>
        <w:rPr>
          <w:rFonts w:ascii="Arial" w:hAnsi="Arial" w:cs="Arial"/>
          <w:iCs/>
          <w:sz w:val="24"/>
          <w:szCs w:val="24"/>
        </w:rPr>
        <w:t xml:space="preserve"> è stato approvato l’</w:t>
      </w:r>
      <w:r w:rsidRPr="003248B0">
        <w:rPr>
          <w:rFonts w:ascii="Arial" w:hAnsi="Arial" w:cs="Arial"/>
          <w:iCs/>
          <w:sz w:val="24"/>
          <w:szCs w:val="24"/>
        </w:rPr>
        <w:t>Accordo di Partenariato tra Italia e Commissione europea</w:t>
      </w:r>
      <w:r>
        <w:rPr>
          <w:rFonts w:ascii="Arial" w:hAnsi="Arial" w:cs="Arial"/>
          <w:iCs/>
          <w:sz w:val="24"/>
          <w:szCs w:val="24"/>
        </w:rPr>
        <w:t xml:space="preserve"> che </w:t>
      </w:r>
      <w:r w:rsidRPr="003248B0">
        <w:rPr>
          <w:rFonts w:ascii="Arial" w:hAnsi="Arial" w:cs="Arial"/>
          <w:iCs/>
          <w:sz w:val="24"/>
          <w:szCs w:val="24"/>
        </w:rPr>
        <w:t xml:space="preserve">definisce la strategia e le priorità, nonché le modalità di impiego efficace ed efficiente dei fondi strutturali indicandone la </w:t>
      </w:r>
      <w:r>
        <w:rPr>
          <w:rFonts w:ascii="Arial" w:hAnsi="Arial" w:cs="Arial"/>
          <w:iCs/>
          <w:sz w:val="24"/>
          <w:szCs w:val="24"/>
        </w:rPr>
        <w:t xml:space="preserve"> </w:t>
      </w:r>
      <w:r w:rsidRPr="003248B0">
        <w:rPr>
          <w:rFonts w:ascii="Arial" w:hAnsi="Arial" w:cs="Arial"/>
          <w:iCs/>
          <w:sz w:val="24"/>
          <w:szCs w:val="24"/>
        </w:rPr>
        <w:t>dotazione finanziaria annuale, al fine di perseguire la Strategia dell’Unione per una crescita intelligente, sostenibile e inclusiva.</w:t>
      </w:r>
    </w:p>
    <w:p w14:paraId="6914FF8D"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I</w:t>
      </w:r>
      <w:r w:rsidRPr="003B1969">
        <w:rPr>
          <w:rFonts w:ascii="Arial" w:hAnsi="Arial" w:cs="Arial"/>
          <w:iCs/>
          <w:sz w:val="24"/>
          <w:szCs w:val="24"/>
        </w:rPr>
        <w:t xml:space="preserve">l ciclo di programmazione 2021-2027 </w:t>
      </w:r>
      <w:r>
        <w:rPr>
          <w:rFonts w:ascii="Arial" w:hAnsi="Arial" w:cs="Arial"/>
          <w:iCs/>
          <w:sz w:val="24"/>
          <w:szCs w:val="24"/>
        </w:rPr>
        <w:t xml:space="preserve">prevede che </w:t>
      </w:r>
      <w:r w:rsidRPr="003B1969">
        <w:rPr>
          <w:rFonts w:ascii="Arial" w:hAnsi="Arial" w:cs="Arial"/>
          <w:iCs/>
          <w:sz w:val="24"/>
          <w:szCs w:val="24"/>
        </w:rPr>
        <w:t>l’Italia avr</w:t>
      </w:r>
      <w:r>
        <w:rPr>
          <w:rFonts w:ascii="Arial" w:hAnsi="Arial" w:cs="Arial"/>
          <w:iCs/>
          <w:sz w:val="24"/>
          <w:szCs w:val="24"/>
        </w:rPr>
        <w:t>à</w:t>
      </w:r>
      <w:r w:rsidRPr="003B1969">
        <w:rPr>
          <w:rFonts w:ascii="Arial" w:hAnsi="Arial" w:cs="Arial"/>
          <w:iCs/>
          <w:sz w:val="24"/>
          <w:szCs w:val="24"/>
        </w:rPr>
        <w:t xml:space="preserve"> a disposizione 78,19 miliardi di </w:t>
      </w:r>
      <w:r w:rsidRPr="003248B0">
        <w:rPr>
          <w:rFonts w:ascii="Arial" w:hAnsi="Arial" w:cs="Arial"/>
          <w:iCs/>
          <w:sz w:val="24"/>
          <w:szCs w:val="24"/>
        </w:rPr>
        <w:t>euro</w:t>
      </w:r>
      <w:r>
        <w:rPr>
          <w:rStyle w:val="Rimandonotaapidipagina"/>
          <w:rFonts w:ascii="Arial" w:hAnsi="Arial" w:cs="Arial"/>
          <w:iCs/>
          <w:sz w:val="24"/>
          <w:szCs w:val="24"/>
        </w:rPr>
        <w:footnoteReference w:id="82"/>
      </w:r>
      <w:r w:rsidRPr="003248B0">
        <w:rPr>
          <w:rFonts w:ascii="Arial" w:hAnsi="Arial" w:cs="Arial"/>
          <w:iCs/>
          <w:sz w:val="24"/>
          <w:szCs w:val="24"/>
        </w:rPr>
        <w:t xml:space="preserve">, di cui 44,70 miliardi di risorse comunitarie, comprensive delle quote destinate al </w:t>
      </w:r>
      <w:r w:rsidRPr="003248B0">
        <w:rPr>
          <w:rFonts w:ascii="Arial" w:hAnsi="Arial" w:cs="Arial"/>
          <w:iCs/>
          <w:sz w:val="24"/>
          <w:szCs w:val="24"/>
        </w:rPr>
        <w:lastRenderedPageBreak/>
        <w:t>Fondo per una Transizione Giusta (Just Transition Fund – JTF), Cooperazione Territoriale Europea (CTE), Fondo Sicurezza interna (ISF), Strumento finanziario per la politica di gestione delle frontiere e i visti (BMVI) e Fondo Asilo e migrazione (AMIF).</w:t>
      </w:r>
    </w:p>
    <w:p w14:paraId="659CA434" w14:textId="77777777" w:rsidR="00F83AF6" w:rsidRPr="007E604A" w:rsidRDefault="00F83AF6" w:rsidP="00F83AF6">
      <w:pPr>
        <w:pStyle w:val="Paragrafoelenco"/>
        <w:spacing w:line="360" w:lineRule="auto"/>
        <w:ind w:left="0"/>
        <w:contextualSpacing w:val="0"/>
        <w:jc w:val="both"/>
        <w:rPr>
          <w:rFonts w:ascii="Arial" w:hAnsi="Arial" w:cs="Arial"/>
          <w:iCs/>
          <w:sz w:val="24"/>
          <w:szCs w:val="24"/>
        </w:rPr>
      </w:pPr>
      <w:r w:rsidRPr="007E604A">
        <w:rPr>
          <w:rFonts w:ascii="Arial" w:hAnsi="Arial" w:cs="Arial"/>
          <w:iCs/>
          <w:sz w:val="24"/>
          <w:szCs w:val="24"/>
        </w:rPr>
        <w:t xml:space="preserve">I </w:t>
      </w:r>
      <w:r>
        <w:rPr>
          <w:rFonts w:ascii="Arial" w:hAnsi="Arial" w:cs="Arial"/>
          <w:iCs/>
          <w:sz w:val="24"/>
          <w:szCs w:val="24"/>
        </w:rPr>
        <w:t>62 programmi complessivi sono così distinti</w:t>
      </w:r>
      <w:r w:rsidRPr="007E604A">
        <w:rPr>
          <w:rFonts w:ascii="Arial" w:hAnsi="Arial" w:cs="Arial"/>
          <w:iCs/>
          <w:sz w:val="24"/>
          <w:szCs w:val="24"/>
        </w:rPr>
        <w:t>:</w:t>
      </w:r>
    </w:p>
    <w:p w14:paraId="455452E1" w14:textId="77777777" w:rsidR="00F83AF6" w:rsidRDefault="00F83AF6" w:rsidP="00F83AF6">
      <w:pPr>
        <w:pStyle w:val="Paragrafoelenco"/>
        <w:numPr>
          <w:ilvl w:val="2"/>
          <w:numId w:val="26"/>
        </w:numPr>
        <w:spacing w:line="360" w:lineRule="auto"/>
        <w:ind w:left="284" w:hanging="284"/>
        <w:jc w:val="both"/>
        <w:rPr>
          <w:rFonts w:ascii="Arial" w:hAnsi="Arial" w:cs="Arial"/>
          <w:iCs/>
          <w:sz w:val="24"/>
          <w:szCs w:val="24"/>
        </w:rPr>
      </w:pPr>
      <w:r w:rsidRPr="007E604A">
        <w:rPr>
          <w:rFonts w:ascii="Arial" w:hAnsi="Arial" w:cs="Arial"/>
          <w:iCs/>
          <w:sz w:val="24"/>
          <w:szCs w:val="24"/>
        </w:rPr>
        <w:t>11 Programmi nazionali (PN) gestiti dalle Amministrazioni centrali (compresi JTF e FEAMPA)</w:t>
      </w:r>
      <w:r>
        <w:rPr>
          <w:rFonts w:ascii="Arial" w:hAnsi="Arial" w:cs="Arial"/>
          <w:iCs/>
          <w:sz w:val="24"/>
          <w:szCs w:val="24"/>
        </w:rPr>
        <w:t>;</w:t>
      </w:r>
    </w:p>
    <w:p w14:paraId="4EFC6278" w14:textId="77777777" w:rsidR="00F83AF6" w:rsidRDefault="00F83AF6" w:rsidP="00F83AF6">
      <w:pPr>
        <w:pStyle w:val="Paragrafoelenco"/>
        <w:spacing w:after="0" w:line="360" w:lineRule="auto"/>
        <w:ind w:left="284" w:hanging="284"/>
        <w:jc w:val="center"/>
        <w:rPr>
          <w:rFonts w:ascii="Arial" w:hAnsi="Arial" w:cs="Arial"/>
          <w:iCs/>
          <w:sz w:val="24"/>
          <w:szCs w:val="24"/>
        </w:rPr>
      </w:pPr>
      <w:r w:rsidRPr="00A26AE5">
        <w:rPr>
          <w:noProof/>
          <w:lang w:eastAsia="it-IT"/>
        </w:rPr>
        <w:drawing>
          <wp:inline distT="0" distB="0" distL="0" distR="0" wp14:anchorId="616CF896" wp14:editId="2C8980B7">
            <wp:extent cx="5400000" cy="4118400"/>
            <wp:effectExtent l="0" t="0" r="0" b="0"/>
            <wp:docPr id="1233866684" name="Immagine 1"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957609" name="Immagine 1" descr="Immagine che contiene testo, schermata, numero, Carattere&#10;&#10;Descrizione generata automaticamente"/>
                    <pic:cNvPicPr/>
                  </pic:nvPicPr>
                  <pic:blipFill rotWithShape="1">
                    <a:blip r:embed="rId17"/>
                    <a:srcRect b="1739"/>
                    <a:stretch/>
                  </pic:blipFill>
                  <pic:spPr bwMode="auto">
                    <a:xfrm>
                      <a:off x="0" y="0"/>
                      <a:ext cx="5400000" cy="4118400"/>
                    </a:xfrm>
                    <a:prstGeom prst="rect">
                      <a:avLst/>
                    </a:prstGeom>
                    <a:ln>
                      <a:noFill/>
                    </a:ln>
                    <a:extLst>
                      <a:ext uri="{53640926-AAD7-44D8-BBD7-CCE9431645EC}">
                        <a14:shadowObscured xmlns:a14="http://schemas.microsoft.com/office/drawing/2010/main"/>
                      </a:ext>
                    </a:extLst>
                  </pic:spPr>
                </pic:pic>
              </a:graphicData>
            </a:graphic>
          </wp:inline>
        </w:drawing>
      </w:r>
    </w:p>
    <w:p w14:paraId="435A828A" w14:textId="77777777" w:rsidR="00F83AF6" w:rsidRPr="00170435" w:rsidRDefault="00F83AF6" w:rsidP="00F83AF6">
      <w:pPr>
        <w:pStyle w:val="Didascalia"/>
        <w:spacing w:after="0" w:line="360" w:lineRule="auto"/>
        <w:jc w:val="center"/>
        <w:rPr>
          <w:rFonts w:ascii="Arial" w:hAnsi="Arial" w:cs="Arial"/>
          <w:i w:val="0"/>
          <w:iCs w:val="0"/>
          <w:color w:val="auto"/>
          <w:sz w:val="20"/>
          <w:szCs w:val="20"/>
        </w:rPr>
      </w:pPr>
      <w:r w:rsidRPr="00170435">
        <w:rPr>
          <w:rFonts w:ascii="Arial" w:hAnsi="Arial" w:cs="Arial"/>
          <w:i w:val="0"/>
          <w:iCs w:val="0"/>
          <w:color w:val="auto"/>
          <w:sz w:val="20"/>
          <w:szCs w:val="20"/>
        </w:rPr>
        <w:t xml:space="preserve">Riepilogo </w:t>
      </w:r>
      <w:r>
        <w:rPr>
          <w:rFonts w:ascii="Arial" w:hAnsi="Arial" w:cs="Arial"/>
          <w:i w:val="0"/>
          <w:iCs w:val="0"/>
          <w:color w:val="auto"/>
          <w:sz w:val="20"/>
          <w:szCs w:val="20"/>
        </w:rPr>
        <w:t>P</w:t>
      </w:r>
      <w:r w:rsidRPr="00170435">
        <w:rPr>
          <w:rFonts w:ascii="Arial" w:hAnsi="Arial" w:cs="Arial"/>
          <w:i w:val="0"/>
          <w:iCs w:val="0"/>
          <w:color w:val="auto"/>
          <w:sz w:val="20"/>
          <w:szCs w:val="20"/>
        </w:rPr>
        <w:t xml:space="preserve">rogrammi </w:t>
      </w:r>
      <w:r>
        <w:rPr>
          <w:rFonts w:ascii="Arial" w:hAnsi="Arial" w:cs="Arial"/>
          <w:i w:val="0"/>
          <w:iCs w:val="0"/>
          <w:color w:val="auto"/>
          <w:sz w:val="20"/>
          <w:szCs w:val="20"/>
        </w:rPr>
        <w:t>N</w:t>
      </w:r>
      <w:r w:rsidRPr="00170435">
        <w:rPr>
          <w:rFonts w:ascii="Arial" w:hAnsi="Arial" w:cs="Arial"/>
          <w:i w:val="0"/>
          <w:iCs w:val="0"/>
          <w:color w:val="auto"/>
          <w:sz w:val="20"/>
          <w:szCs w:val="20"/>
        </w:rPr>
        <w:t>azionali</w:t>
      </w:r>
      <w:r>
        <w:rPr>
          <w:rFonts w:ascii="Arial" w:hAnsi="Arial" w:cs="Arial"/>
          <w:i w:val="0"/>
          <w:iCs w:val="0"/>
          <w:color w:val="auto"/>
          <w:sz w:val="20"/>
          <w:szCs w:val="20"/>
        </w:rPr>
        <w:t>.</w:t>
      </w:r>
    </w:p>
    <w:p w14:paraId="024EC606" w14:textId="77777777" w:rsidR="00F83AF6" w:rsidRPr="00170435" w:rsidRDefault="00F83AF6" w:rsidP="00F83AF6">
      <w:pPr>
        <w:pStyle w:val="Didascalia"/>
        <w:spacing w:after="0" w:line="360" w:lineRule="auto"/>
        <w:jc w:val="center"/>
        <w:rPr>
          <w:rFonts w:ascii="Arial" w:hAnsi="Arial" w:cs="Arial"/>
          <w:iCs w:val="0"/>
          <w:color w:val="auto"/>
          <w:sz w:val="20"/>
          <w:szCs w:val="20"/>
        </w:rPr>
      </w:pPr>
      <w:r w:rsidRPr="005D317B">
        <w:rPr>
          <w:rFonts w:ascii="Arial" w:hAnsi="Arial" w:cs="Arial"/>
          <w:color w:val="auto"/>
          <w:sz w:val="20"/>
          <w:szCs w:val="20"/>
        </w:rPr>
        <w:t xml:space="preserve">Fonte: RGS </w:t>
      </w:r>
      <w:r>
        <w:rPr>
          <w:rFonts w:ascii="Arial" w:hAnsi="Arial" w:cs="Arial"/>
          <w:color w:val="auto"/>
          <w:sz w:val="20"/>
          <w:szCs w:val="20"/>
        </w:rPr>
        <w:t>–</w:t>
      </w:r>
      <w:r w:rsidRPr="005D317B">
        <w:rPr>
          <w:rFonts w:ascii="Arial" w:hAnsi="Arial" w:cs="Arial"/>
          <w:color w:val="auto"/>
          <w:sz w:val="20"/>
          <w:szCs w:val="20"/>
        </w:rPr>
        <w:t xml:space="preserve"> IGRUE</w:t>
      </w:r>
      <w:r>
        <w:rPr>
          <w:rFonts w:ascii="Arial" w:hAnsi="Arial" w:cs="Arial"/>
          <w:color w:val="auto"/>
          <w:sz w:val="20"/>
          <w:szCs w:val="20"/>
        </w:rPr>
        <w:t>.</w:t>
      </w:r>
    </w:p>
    <w:p w14:paraId="230F7826" w14:textId="77777777" w:rsidR="00F83AF6" w:rsidRPr="0090779C" w:rsidRDefault="00F83AF6" w:rsidP="00F83AF6">
      <w:pPr>
        <w:pStyle w:val="Paragrafoelenco"/>
        <w:spacing w:after="0" w:line="360" w:lineRule="auto"/>
        <w:ind w:left="284" w:hanging="284"/>
        <w:contextualSpacing w:val="0"/>
        <w:jc w:val="both"/>
        <w:rPr>
          <w:rFonts w:ascii="Arial" w:hAnsi="Arial" w:cs="Arial"/>
          <w:iCs/>
          <w:sz w:val="20"/>
          <w:szCs w:val="20"/>
        </w:rPr>
      </w:pPr>
    </w:p>
    <w:p w14:paraId="2381047A" w14:textId="77777777" w:rsidR="00F83AF6" w:rsidRDefault="00F83AF6" w:rsidP="00F83AF6">
      <w:pPr>
        <w:pStyle w:val="Paragrafoelenco"/>
        <w:numPr>
          <w:ilvl w:val="0"/>
          <w:numId w:val="25"/>
        </w:numPr>
        <w:spacing w:after="0" w:line="360" w:lineRule="auto"/>
        <w:ind w:left="284" w:hanging="284"/>
        <w:contextualSpacing w:val="0"/>
        <w:jc w:val="both"/>
        <w:rPr>
          <w:rFonts w:ascii="Arial" w:hAnsi="Arial" w:cs="Arial"/>
          <w:iCs/>
          <w:sz w:val="24"/>
          <w:szCs w:val="24"/>
        </w:rPr>
      </w:pPr>
      <w:r w:rsidRPr="007E604A">
        <w:rPr>
          <w:rFonts w:ascii="Arial" w:hAnsi="Arial" w:cs="Arial"/>
          <w:iCs/>
          <w:sz w:val="24"/>
          <w:szCs w:val="24"/>
        </w:rPr>
        <w:t>38</w:t>
      </w:r>
      <w:r>
        <w:rPr>
          <w:rFonts w:ascii="Arial" w:hAnsi="Arial" w:cs="Arial"/>
          <w:iCs/>
          <w:sz w:val="24"/>
          <w:szCs w:val="24"/>
        </w:rPr>
        <w:t xml:space="preserve"> </w:t>
      </w:r>
      <w:r w:rsidRPr="007E604A">
        <w:rPr>
          <w:rFonts w:ascii="Arial" w:hAnsi="Arial" w:cs="Arial"/>
          <w:iCs/>
          <w:sz w:val="24"/>
          <w:szCs w:val="24"/>
        </w:rPr>
        <w:t>Programmi</w:t>
      </w:r>
      <w:r>
        <w:rPr>
          <w:rFonts w:ascii="Arial" w:hAnsi="Arial" w:cs="Arial"/>
          <w:iCs/>
          <w:sz w:val="24"/>
          <w:szCs w:val="24"/>
        </w:rPr>
        <w:t xml:space="preserve"> gestiti dalle Regioni:</w:t>
      </w:r>
    </w:p>
    <w:p w14:paraId="27958F6B" w14:textId="77777777" w:rsidR="00F83AF6" w:rsidRPr="0090779C" w:rsidRDefault="00F83AF6" w:rsidP="00F83AF6">
      <w:pPr>
        <w:pStyle w:val="Paragrafoelenco"/>
        <w:spacing w:after="0" w:line="360" w:lineRule="auto"/>
        <w:ind w:left="0"/>
        <w:contextualSpacing w:val="0"/>
        <w:jc w:val="both"/>
        <w:rPr>
          <w:rFonts w:ascii="Arial" w:hAnsi="Arial" w:cs="Arial"/>
          <w:iCs/>
          <w:sz w:val="20"/>
          <w:szCs w:val="20"/>
        </w:rPr>
      </w:pPr>
    </w:p>
    <w:p w14:paraId="2FABC035" w14:textId="77777777" w:rsidR="00F83AF6" w:rsidRDefault="00F83AF6" w:rsidP="00F83AF6">
      <w:pPr>
        <w:pStyle w:val="Paragrafoelenco"/>
        <w:spacing w:after="0" w:line="360" w:lineRule="auto"/>
        <w:ind w:left="0"/>
        <w:jc w:val="center"/>
        <w:rPr>
          <w:rFonts w:ascii="Arial" w:hAnsi="Arial" w:cs="Arial"/>
          <w:iCs/>
          <w:sz w:val="24"/>
          <w:szCs w:val="24"/>
        </w:rPr>
      </w:pPr>
      <w:r w:rsidRPr="00FA7546">
        <w:rPr>
          <w:noProof/>
          <w:lang w:eastAsia="it-IT"/>
        </w:rPr>
        <w:lastRenderedPageBreak/>
        <w:drawing>
          <wp:inline distT="0" distB="0" distL="0" distR="0" wp14:anchorId="321BA760" wp14:editId="69F0DEDF">
            <wp:extent cx="5400000" cy="3290400"/>
            <wp:effectExtent l="0" t="0" r="0" b="5715"/>
            <wp:docPr id="25204956" name="Immagine 1"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815578" name="Immagine 1" descr="Immagine che contiene testo, schermata, numero, Carattere&#10;&#10;Descrizione generata automaticamente"/>
                    <pic:cNvPicPr/>
                  </pic:nvPicPr>
                  <pic:blipFill>
                    <a:blip r:embed="rId18"/>
                    <a:stretch>
                      <a:fillRect/>
                    </a:stretch>
                  </pic:blipFill>
                  <pic:spPr>
                    <a:xfrm>
                      <a:off x="0" y="0"/>
                      <a:ext cx="5400000" cy="3290400"/>
                    </a:xfrm>
                    <a:prstGeom prst="rect">
                      <a:avLst/>
                    </a:prstGeom>
                  </pic:spPr>
                </pic:pic>
              </a:graphicData>
            </a:graphic>
          </wp:inline>
        </w:drawing>
      </w:r>
    </w:p>
    <w:p w14:paraId="6AF97DE7" w14:textId="77777777" w:rsidR="00F83AF6" w:rsidRPr="00170435" w:rsidRDefault="00F83AF6" w:rsidP="00F83AF6">
      <w:pPr>
        <w:pStyle w:val="Didascalia"/>
        <w:spacing w:after="0" w:line="360" w:lineRule="auto"/>
        <w:jc w:val="center"/>
        <w:rPr>
          <w:rFonts w:ascii="Arial" w:hAnsi="Arial" w:cs="Arial"/>
          <w:i w:val="0"/>
          <w:iCs w:val="0"/>
          <w:color w:val="auto"/>
          <w:sz w:val="20"/>
          <w:szCs w:val="20"/>
        </w:rPr>
      </w:pPr>
      <w:r w:rsidRPr="00170435">
        <w:rPr>
          <w:rFonts w:ascii="Arial" w:hAnsi="Arial" w:cs="Arial"/>
          <w:i w:val="0"/>
          <w:iCs w:val="0"/>
          <w:color w:val="auto"/>
          <w:sz w:val="20"/>
          <w:szCs w:val="20"/>
        </w:rPr>
        <w:t xml:space="preserve">Riepilogo </w:t>
      </w:r>
      <w:r>
        <w:rPr>
          <w:rFonts w:ascii="Arial" w:hAnsi="Arial" w:cs="Arial"/>
          <w:i w:val="0"/>
          <w:iCs w:val="0"/>
          <w:color w:val="auto"/>
          <w:sz w:val="20"/>
          <w:szCs w:val="20"/>
        </w:rPr>
        <w:t>P</w:t>
      </w:r>
      <w:r w:rsidRPr="00170435">
        <w:rPr>
          <w:rFonts w:ascii="Arial" w:hAnsi="Arial" w:cs="Arial"/>
          <w:i w:val="0"/>
          <w:iCs w:val="0"/>
          <w:color w:val="auto"/>
          <w:sz w:val="20"/>
          <w:szCs w:val="20"/>
        </w:rPr>
        <w:t xml:space="preserve">rogrammi </w:t>
      </w:r>
      <w:r>
        <w:rPr>
          <w:rFonts w:ascii="Arial" w:hAnsi="Arial" w:cs="Arial"/>
          <w:i w:val="0"/>
          <w:iCs w:val="0"/>
          <w:color w:val="auto"/>
          <w:sz w:val="20"/>
          <w:szCs w:val="20"/>
        </w:rPr>
        <w:t>Regionali (I).</w:t>
      </w:r>
    </w:p>
    <w:p w14:paraId="00600028" w14:textId="77777777" w:rsidR="00F83AF6" w:rsidRPr="00170435" w:rsidRDefault="00F83AF6" w:rsidP="00F83AF6">
      <w:pPr>
        <w:pStyle w:val="Didascalia"/>
        <w:spacing w:after="0" w:line="360" w:lineRule="auto"/>
        <w:jc w:val="center"/>
        <w:rPr>
          <w:rFonts w:ascii="Arial" w:hAnsi="Arial" w:cs="Arial"/>
          <w:iCs w:val="0"/>
          <w:color w:val="auto"/>
          <w:sz w:val="20"/>
          <w:szCs w:val="20"/>
        </w:rPr>
      </w:pPr>
      <w:r w:rsidRPr="005D317B">
        <w:rPr>
          <w:rFonts w:ascii="Arial" w:hAnsi="Arial" w:cs="Arial"/>
          <w:color w:val="auto"/>
          <w:sz w:val="20"/>
          <w:szCs w:val="20"/>
        </w:rPr>
        <w:t xml:space="preserve">Fonte: RGS </w:t>
      </w:r>
      <w:r>
        <w:rPr>
          <w:rFonts w:ascii="Arial" w:hAnsi="Arial" w:cs="Arial"/>
          <w:color w:val="auto"/>
          <w:sz w:val="20"/>
          <w:szCs w:val="20"/>
        </w:rPr>
        <w:t>–</w:t>
      </w:r>
      <w:r w:rsidRPr="005D317B">
        <w:rPr>
          <w:rFonts w:ascii="Arial" w:hAnsi="Arial" w:cs="Arial"/>
          <w:color w:val="auto"/>
          <w:sz w:val="20"/>
          <w:szCs w:val="20"/>
        </w:rPr>
        <w:t xml:space="preserve"> IGRUE</w:t>
      </w:r>
      <w:r>
        <w:rPr>
          <w:rFonts w:ascii="Arial" w:hAnsi="Arial" w:cs="Arial"/>
          <w:color w:val="auto"/>
          <w:sz w:val="20"/>
          <w:szCs w:val="20"/>
        </w:rPr>
        <w:t>.</w:t>
      </w:r>
    </w:p>
    <w:p w14:paraId="7DF2AE1B" w14:textId="77777777" w:rsidR="00F83AF6" w:rsidRDefault="00F83AF6" w:rsidP="00F83AF6">
      <w:pPr>
        <w:pStyle w:val="Paragrafoelenco"/>
        <w:spacing w:after="0" w:line="360" w:lineRule="auto"/>
        <w:ind w:left="0"/>
        <w:jc w:val="center"/>
        <w:rPr>
          <w:rFonts w:ascii="Arial" w:hAnsi="Arial" w:cs="Arial"/>
          <w:iCs/>
          <w:sz w:val="24"/>
          <w:szCs w:val="24"/>
        </w:rPr>
      </w:pPr>
      <w:r w:rsidRPr="00174B21">
        <w:rPr>
          <w:noProof/>
          <w:lang w:eastAsia="it-IT"/>
        </w:rPr>
        <w:lastRenderedPageBreak/>
        <w:drawing>
          <wp:inline distT="0" distB="0" distL="0" distR="0" wp14:anchorId="58A2F869" wp14:editId="7F20C775">
            <wp:extent cx="5400000" cy="5472000"/>
            <wp:effectExtent l="0" t="0" r="0" b="0"/>
            <wp:docPr id="220010196" name="Immagine 1" descr="Immagine che contiene testo, schermata, numero,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801792" name="Immagine 1" descr="Immagine che contiene testo, schermata, numero, Parallelo&#10;&#10;Descrizione generata automaticamente"/>
                    <pic:cNvPicPr/>
                  </pic:nvPicPr>
                  <pic:blipFill>
                    <a:blip r:embed="rId19"/>
                    <a:stretch>
                      <a:fillRect/>
                    </a:stretch>
                  </pic:blipFill>
                  <pic:spPr>
                    <a:xfrm>
                      <a:off x="0" y="0"/>
                      <a:ext cx="5400000" cy="5472000"/>
                    </a:xfrm>
                    <a:prstGeom prst="rect">
                      <a:avLst/>
                    </a:prstGeom>
                  </pic:spPr>
                </pic:pic>
              </a:graphicData>
            </a:graphic>
          </wp:inline>
        </w:drawing>
      </w:r>
    </w:p>
    <w:p w14:paraId="620E4F20" w14:textId="77777777" w:rsidR="00F83AF6" w:rsidRPr="00170435" w:rsidRDefault="00F83AF6" w:rsidP="00F83AF6">
      <w:pPr>
        <w:pStyle w:val="Didascalia"/>
        <w:spacing w:after="0" w:line="360" w:lineRule="auto"/>
        <w:jc w:val="center"/>
        <w:rPr>
          <w:rFonts w:ascii="Arial" w:hAnsi="Arial" w:cs="Arial"/>
          <w:i w:val="0"/>
          <w:iCs w:val="0"/>
          <w:color w:val="auto"/>
          <w:sz w:val="20"/>
          <w:szCs w:val="20"/>
        </w:rPr>
      </w:pPr>
      <w:r w:rsidRPr="00170435">
        <w:rPr>
          <w:rFonts w:ascii="Arial" w:hAnsi="Arial" w:cs="Arial"/>
          <w:i w:val="0"/>
          <w:iCs w:val="0"/>
          <w:color w:val="auto"/>
          <w:sz w:val="20"/>
          <w:szCs w:val="20"/>
        </w:rPr>
        <w:t xml:space="preserve">Riepilogo </w:t>
      </w:r>
      <w:r>
        <w:rPr>
          <w:rFonts w:ascii="Arial" w:hAnsi="Arial" w:cs="Arial"/>
          <w:i w:val="0"/>
          <w:iCs w:val="0"/>
          <w:color w:val="auto"/>
          <w:sz w:val="20"/>
          <w:szCs w:val="20"/>
        </w:rPr>
        <w:t>P</w:t>
      </w:r>
      <w:r w:rsidRPr="00170435">
        <w:rPr>
          <w:rFonts w:ascii="Arial" w:hAnsi="Arial" w:cs="Arial"/>
          <w:i w:val="0"/>
          <w:iCs w:val="0"/>
          <w:color w:val="auto"/>
          <w:sz w:val="20"/>
          <w:szCs w:val="20"/>
        </w:rPr>
        <w:t xml:space="preserve">rogrammi </w:t>
      </w:r>
      <w:r>
        <w:rPr>
          <w:rFonts w:ascii="Arial" w:hAnsi="Arial" w:cs="Arial"/>
          <w:i w:val="0"/>
          <w:iCs w:val="0"/>
          <w:color w:val="auto"/>
          <w:sz w:val="20"/>
          <w:szCs w:val="20"/>
        </w:rPr>
        <w:t>Regionali (II).</w:t>
      </w:r>
    </w:p>
    <w:p w14:paraId="59FE5684" w14:textId="77777777" w:rsidR="00F83AF6" w:rsidRPr="00170435" w:rsidRDefault="00F83AF6" w:rsidP="00F83AF6">
      <w:pPr>
        <w:pStyle w:val="Didascalia"/>
        <w:spacing w:after="0" w:line="360" w:lineRule="auto"/>
        <w:jc w:val="center"/>
        <w:rPr>
          <w:rFonts w:ascii="Arial" w:hAnsi="Arial" w:cs="Arial"/>
          <w:iCs w:val="0"/>
          <w:color w:val="auto"/>
          <w:sz w:val="20"/>
          <w:szCs w:val="20"/>
        </w:rPr>
      </w:pPr>
      <w:r w:rsidRPr="005D317B">
        <w:rPr>
          <w:rFonts w:ascii="Arial" w:hAnsi="Arial" w:cs="Arial"/>
          <w:color w:val="auto"/>
          <w:sz w:val="20"/>
          <w:szCs w:val="20"/>
        </w:rPr>
        <w:t xml:space="preserve">Fonte: RGS </w:t>
      </w:r>
      <w:r>
        <w:rPr>
          <w:rFonts w:ascii="Arial" w:hAnsi="Arial" w:cs="Arial"/>
          <w:color w:val="auto"/>
          <w:sz w:val="20"/>
          <w:szCs w:val="20"/>
        </w:rPr>
        <w:t>–</w:t>
      </w:r>
      <w:r w:rsidRPr="005D317B">
        <w:rPr>
          <w:rFonts w:ascii="Arial" w:hAnsi="Arial" w:cs="Arial"/>
          <w:color w:val="auto"/>
          <w:sz w:val="20"/>
          <w:szCs w:val="20"/>
        </w:rPr>
        <w:t xml:space="preserve"> IGRUE</w:t>
      </w:r>
      <w:r>
        <w:rPr>
          <w:rFonts w:ascii="Arial" w:hAnsi="Arial" w:cs="Arial"/>
          <w:color w:val="auto"/>
          <w:sz w:val="20"/>
          <w:szCs w:val="20"/>
        </w:rPr>
        <w:t>.</w:t>
      </w:r>
    </w:p>
    <w:p w14:paraId="0D49E245" w14:textId="77777777" w:rsidR="00F83AF6" w:rsidRDefault="00F83AF6" w:rsidP="00F83AF6">
      <w:pPr>
        <w:pStyle w:val="Paragrafoelenco"/>
        <w:spacing w:line="360" w:lineRule="auto"/>
        <w:ind w:left="0"/>
        <w:jc w:val="both"/>
        <w:rPr>
          <w:rFonts w:ascii="Arial" w:hAnsi="Arial" w:cs="Arial"/>
          <w:iCs/>
          <w:sz w:val="24"/>
          <w:szCs w:val="24"/>
        </w:rPr>
      </w:pPr>
    </w:p>
    <w:p w14:paraId="667A1C26" w14:textId="77777777" w:rsidR="00F83AF6" w:rsidRDefault="00F83AF6" w:rsidP="00F83AF6">
      <w:pPr>
        <w:pStyle w:val="Paragrafoelenco"/>
        <w:numPr>
          <w:ilvl w:val="2"/>
          <w:numId w:val="20"/>
        </w:numPr>
        <w:spacing w:line="360" w:lineRule="auto"/>
        <w:ind w:left="284" w:hanging="284"/>
        <w:jc w:val="both"/>
        <w:rPr>
          <w:rFonts w:ascii="Arial" w:hAnsi="Arial" w:cs="Arial"/>
          <w:iCs/>
          <w:sz w:val="24"/>
          <w:szCs w:val="24"/>
        </w:rPr>
      </w:pPr>
      <w:r w:rsidRPr="007E604A">
        <w:rPr>
          <w:rFonts w:ascii="Arial" w:hAnsi="Arial" w:cs="Arial"/>
          <w:iCs/>
          <w:sz w:val="24"/>
          <w:szCs w:val="24"/>
        </w:rPr>
        <w:t>10 Programmi Interreg, riguardanti la Cooperazione territoriale europea</w:t>
      </w:r>
      <w:r>
        <w:rPr>
          <w:rFonts w:ascii="Arial" w:hAnsi="Arial" w:cs="Arial"/>
          <w:iCs/>
          <w:sz w:val="24"/>
          <w:szCs w:val="24"/>
        </w:rPr>
        <w:t>;</w:t>
      </w:r>
    </w:p>
    <w:p w14:paraId="7596C8A6" w14:textId="77777777" w:rsidR="00F83AF6" w:rsidRDefault="00F83AF6" w:rsidP="00F83AF6">
      <w:pPr>
        <w:pStyle w:val="Paragrafoelenco"/>
        <w:keepNext/>
        <w:spacing w:after="0" w:line="360" w:lineRule="auto"/>
        <w:ind w:left="0"/>
        <w:jc w:val="center"/>
      </w:pPr>
      <w:r w:rsidRPr="00A50E15">
        <w:rPr>
          <w:noProof/>
          <w:lang w:eastAsia="it-IT"/>
        </w:rPr>
        <w:lastRenderedPageBreak/>
        <w:drawing>
          <wp:inline distT="0" distB="0" distL="0" distR="0" wp14:anchorId="2790C240" wp14:editId="7778D6B5">
            <wp:extent cx="5400000" cy="3657600"/>
            <wp:effectExtent l="0" t="0" r="0" b="0"/>
            <wp:docPr id="1296174782" name="Immagine 1"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411197" name="Immagine 1" descr="Immagine che contiene testo, schermata, numero, Carattere&#10;&#10;Descrizione generata automaticamente"/>
                    <pic:cNvPicPr/>
                  </pic:nvPicPr>
                  <pic:blipFill>
                    <a:blip r:embed="rId20"/>
                    <a:stretch>
                      <a:fillRect/>
                    </a:stretch>
                  </pic:blipFill>
                  <pic:spPr>
                    <a:xfrm>
                      <a:off x="0" y="0"/>
                      <a:ext cx="5400000" cy="3657600"/>
                    </a:xfrm>
                    <a:prstGeom prst="rect">
                      <a:avLst/>
                    </a:prstGeom>
                  </pic:spPr>
                </pic:pic>
              </a:graphicData>
            </a:graphic>
          </wp:inline>
        </w:drawing>
      </w:r>
    </w:p>
    <w:p w14:paraId="349C8942" w14:textId="77777777" w:rsidR="00F83AF6" w:rsidRPr="00170435" w:rsidRDefault="00F83AF6" w:rsidP="00F83AF6">
      <w:pPr>
        <w:pStyle w:val="Didascalia"/>
        <w:spacing w:after="0" w:line="360" w:lineRule="auto"/>
        <w:jc w:val="center"/>
        <w:rPr>
          <w:rFonts w:ascii="Arial" w:hAnsi="Arial" w:cs="Arial"/>
          <w:i w:val="0"/>
          <w:iCs w:val="0"/>
          <w:color w:val="auto"/>
          <w:sz w:val="20"/>
          <w:szCs w:val="20"/>
        </w:rPr>
      </w:pPr>
      <w:r w:rsidRPr="00170435">
        <w:rPr>
          <w:rFonts w:ascii="Arial" w:hAnsi="Arial" w:cs="Arial"/>
          <w:i w:val="0"/>
          <w:iCs w:val="0"/>
          <w:color w:val="auto"/>
          <w:sz w:val="20"/>
          <w:szCs w:val="20"/>
        </w:rPr>
        <w:t>Riepilogo</w:t>
      </w:r>
      <w:r>
        <w:rPr>
          <w:rFonts w:ascii="Arial" w:hAnsi="Arial" w:cs="Arial"/>
          <w:i w:val="0"/>
          <w:iCs w:val="0"/>
          <w:color w:val="auto"/>
          <w:sz w:val="20"/>
          <w:szCs w:val="20"/>
        </w:rPr>
        <w:t xml:space="preserve"> P</w:t>
      </w:r>
      <w:r w:rsidRPr="00170435">
        <w:rPr>
          <w:rFonts w:ascii="Arial" w:hAnsi="Arial" w:cs="Arial"/>
          <w:i w:val="0"/>
          <w:iCs w:val="0"/>
          <w:color w:val="auto"/>
          <w:sz w:val="20"/>
          <w:szCs w:val="20"/>
        </w:rPr>
        <w:t xml:space="preserve">rogrammi </w:t>
      </w:r>
      <w:r>
        <w:rPr>
          <w:rFonts w:ascii="Arial" w:hAnsi="Arial" w:cs="Arial"/>
          <w:i w:val="0"/>
          <w:iCs w:val="0"/>
          <w:color w:val="auto"/>
          <w:sz w:val="20"/>
          <w:szCs w:val="20"/>
        </w:rPr>
        <w:t>Cooperazione Territoriale Europea.</w:t>
      </w:r>
    </w:p>
    <w:p w14:paraId="744A73AD" w14:textId="77777777" w:rsidR="00F83AF6" w:rsidRDefault="00F83AF6" w:rsidP="00F83AF6">
      <w:pPr>
        <w:pStyle w:val="Didascalia"/>
        <w:spacing w:after="0" w:line="360" w:lineRule="auto"/>
        <w:jc w:val="center"/>
        <w:rPr>
          <w:rFonts w:ascii="Arial" w:hAnsi="Arial" w:cs="Arial"/>
          <w:color w:val="auto"/>
          <w:sz w:val="20"/>
          <w:szCs w:val="20"/>
        </w:rPr>
      </w:pPr>
      <w:r w:rsidRPr="005D317B">
        <w:rPr>
          <w:rFonts w:ascii="Arial" w:hAnsi="Arial" w:cs="Arial"/>
          <w:color w:val="auto"/>
          <w:sz w:val="20"/>
          <w:szCs w:val="20"/>
        </w:rPr>
        <w:t xml:space="preserve">Fonte: RGS </w:t>
      </w:r>
      <w:r>
        <w:rPr>
          <w:rFonts w:ascii="Arial" w:hAnsi="Arial" w:cs="Arial"/>
          <w:color w:val="auto"/>
          <w:sz w:val="20"/>
          <w:szCs w:val="20"/>
        </w:rPr>
        <w:t>–</w:t>
      </w:r>
      <w:r w:rsidRPr="005D317B">
        <w:rPr>
          <w:rFonts w:ascii="Arial" w:hAnsi="Arial" w:cs="Arial"/>
          <w:color w:val="auto"/>
          <w:sz w:val="20"/>
          <w:szCs w:val="20"/>
        </w:rPr>
        <w:t xml:space="preserve"> IGRUE</w:t>
      </w:r>
      <w:r>
        <w:rPr>
          <w:rFonts w:ascii="Arial" w:hAnsi="Arial" w:cs="Arial"/>
          <w:color w:val="auto"/>
          <w:sz w:val="20"/>
          <w:szCs w:val="20"/>
        </w:rPr>
        <w:t>.</w:t>
      </w:r>
    </w:p>
    <w:p w14:paraId="6744B7B8" w14:textId="77777777" w:rsidR="00F83AF6" w:rsidRDefault="00F83AF6" w:rsidP="00F83AF6">
      <w:pPr>
        <w:pStyle w:val="Paragrafoelenco"/>
        <w:spacing w:line="360" w:lineRule="auto"/>
        <w:ind w:left="0"/>
        <w:jc w:val="both"/>
        <w:rPr>
          <w:rFonts w:ascii="Arial" w:hAnsi="Arial" w:cs="Arial"/>
          <w:iCs/>
          <w:sz w:val="24"/>
          <w:szCs w:val="24"/>
        </w:rPr>
      </w:pPr>
    </w:p>
    <w:p w14:paraId="5249020F" w14:textId="77777777" w:rsidR="00F83AF6" w:rsidRPr="007E604A" w:rsidRDefault="00F83AF6" w:rsidP="00F83AF6">
      <w:pPr>
        <w:pStyle w:val="Paragrafoelenco"/>
        <w:numPr>
          <w:ilvl w:val="1"/>
          <w:numId w:val="29"/>
        </w:numPr>
        <w:spacing w:line="360" w:lineRule="auto"/>
        <w:ind w:left="284" w:hanging="284"/>
        <w:jc w:val="both"/>
        <w:rPr>
          <w:rFonts w:ascii="Arial" w:hAnsi="Arial" w:cs="Arial"/>
          <w:iCs/>
          <w:sz w:val="24"/>
          <w:szCs w:val="24"/>
        </w:rPr>
      </w:pPr>
      <w:r w:rsidRPr="007E604A">
        <w:rPr>
          <w:rFonts w:ascii="Arial" w:hAnsi="Arial" w:cs="Arial"/>
          <w:iCs/>
          <w:sz w:val="24"/>
          <w:szCs w:val="24"/>
        </w:rPr>
        <w:t>1 Programma nazionale del Fondo Sicurezza Interna (ISF);</w:t>
      </w:r>
    </w:p>
    <w:p w14:paraId="55E0C8B9" w14:textId="77777777" w:rsidR="00F83AF6" w:rsidRPr="007E604A" w:rsidRDefault="00F83AF6" w:rsidP="00F83AF6">
      <w:pPr>
        <w:pStyle w:val="Paragrafoelenco"/>
        <w:numPr>
          <w:ilvl w:val="1"/>
          <w:numId w:val="29"/>
        </w:numPr>
        <w:spacing w:line="360" w:lineRule="auto"/>
        <w:ind w:left="284" w:hanging="284"/>
        <w:jc w:val="both"/>
        <w:rPr>
          <w:rFonts w:ascii="Arial" w:hAnsi="Arial" w:cs="Arial"/>
          <w:iCs/>
          <w:sz w:val="24"/>
          <w:szCs w:val="24"/>
        </w:rPr>
      </w:pPr>
      <w:r w:rsidRPr="007E604A">
        <w:rPr>
          <w:rFonts w:ascii="Arial" w:hAnsi="Arial" w:cs="Arial"/>
          <w:iCs/>
          <w:sz w:val="24"/>
          <w:szCs w:val="24"/>
        </w:rPr>
        <w:t>1 Programma nazionale dello Strumento per il controllo delle frontiere e dei visti (BMVI);</w:t>
      </w:r>
    </w:p>
    <w:p w14:paraId="2B8141CB" w14:textId="77777777" w:rsidR="00F83AF6" w:rsidRDefault="00F83AF6" w:rsidP="00F83AF6">
      <w:pPr>
        <w:pStyle w:val="Paragrafoelenco"/>
        <w:numPr>
          <w:ilvl w:val="1"/>
          <w:numId w:val="29"/>
        </w:numPr>
        <w:spacing w:line="360" w:lineRule="auto"/>
        <w:ind w:left="284" w:hanging="284"/>
        <w:jc w:val="both"/>
        <w:rPr>
          <w:rFonts w:ascii="Arial" w:hAnsi="Arial" w:cs="Arial"/>
          <w:iCs/>
          <w:sz w:val="24"/>
          <w:szCs w:val="24"/>
        </w:rPr>
      </w:pPr>
      <w:r w:rsidRPr="007E604A">
        <w:rPr>
          <w:rFonts w:ascii="Arial" w:hAnsi="Arial" w:cs="Arial"/>
          <w:iCs/>
          <w:sz w:val="24"/>
          <w:szCs w:val="24"/>
        </w:rPr>
        <w:t>1 Programma nazionale del Fondo Asilo, Migrazione e Integrazione (AMIF).</w:t>
      </w:r>
    </w:p>
    <w:p w14:paraId="18C5C165" w14:textId="77777777" w:rsidR="00F83AF6" w:rsidRDefault="00F83AF6" w:rsidP="00F83AF6">
      <w:pPr>
        <w:pStyle w:val="Paragrafoelenco"/>
        <w:spacing w:line="360" w:lineRule="auto"/>
        <w:ind w:left="284"/>
        <w:jc w:val="both"/>
        <w:rPr>
          <w:rFonts w:ascii="Arial" w:hAnsi="Arial" w:cs="Arial"/>
          <w:iCs/>
          <w:sz w:val="24"/>
          <w:szCs w:val="24"/>
        </w:rPr>
      </w:pPr>
    </w:p>
    <w:p w14:paraId="7598FF74" w14:textId="77777777" w:rsidR="00F83AF6" w:rsidRDefault="00F83AF6" w:rsidP="00F83AF6">
      <w:pPr>
        <w:pStyle w:val="Paragrafoelenco"/>
        <w:numPr>
          <w:ilvl w:val="1"/>
          <w:numId w:val="29"/>
        </w:numPr>
        <w:spacing w:line="360" w:lineRule="auto"/>
        <w:ind w:left="284" w:hanging="284"/>
        <w:jc w:val="center"/>
        <w:rPr>
          <w:rFonts w:ascii="Arial" w:hAnsi="Arial" w:cs="Arial"/>
          <w:iCs/>
          <w:sz w:val="24"/>
          <w:szCs w:val="24"/>
        </w:rPr>
      </w:pPr>
      <w:r w:rsidRPr="00697C89">
        <w:rPr>
          <w:noProof/>
          <w:lang w:eastAsia="it-IT"/>
        </w:rPr>
        <w:drawing>
          <wp:inline distT="0" distB="0" distL="0" distR="0" wp14:anchorId="71D1C634" wp14:editId="17AD9AD3">
            <wp:extent cx="5400000" cy="1918800"/>
            <wp:effectExtent l="0" t="0" r="0" b="5715"/>
            <wp:docPr id="1731611827" name="Immagine 1"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407246" name="Immagine 1" descr="Immagine che contiene testo, schermata, numero, Carattere&#10;&#10;Descrizione generata automaticamente"/>
                    <pic:cNvPicPr/>
                  </pic:nvPicPr>
                  <pic:blipFill>
                    <a:blip r:embed="rId21"/>
                    <a:stretch>
                      <a:fillRect/>
                    </a:stretch>
                  </pic:blipFill>
                  <pic:spPr>
                    <a:xfrm>
                      <a:off x="0" y="0"/>
                      <a:ext cx="5400000" cy="1918800"/>
                    </a:xfrm>
                    <a:prstGeom prst="rect">
                      <a:avLst/>
                    </a:prstGeom>
                  </pic:spPr>
                </pic:pic>
              </a:graphicData>
            </a:graphic>
          </wp:inline>
        </w:drawing>
      </w:r>
    </w:p>
    <w:p w14:paraId="098CF516" w14:textId="77777777" w:rsidR="00F83AF6" w:rsidRPr="00170435" w:rsidRDefault="00F83AF6" w:rsidP="00F83AF6">
      <w:pPr>
        <w:pStyle w:val="Didascalia"/>
        <w:spacing w:after="0" w:line="360" w:lineRule="auto"/>
        <w:ind w:left="720"/>
        <w:jc w:val="center"/>
        <w:rPr>
          <w:rFonts w:ascii="Arial" w:hAnsi="Arial" w:cs="Arial"/>
          <w:i w:val="0"/>
          <w:iCs w:val="0"/>
          <w:color w:val="auto"/>
          <w:sz w:val="20"/>
          <w:szCs w:val="20"/>
        </w:rPr>
      </w:pPr>
      <w:r w:rsidRPr="005440F9">
        <w:rPr>
          <w:rFonts w:ascii="Arial" w:hAnsi="Arial" w:cs="Arial"/>
          <w:i w:val="0"/>
          <w:iCs w:val="0"/>
          <w:color w:val="auto"/>
          <w:sz w:val="20"/>
          <w:szCs w:val="20"/>
        </w:rPr>
        <w:t>Riepilogo Programmi Italia AMIF – ISF – BMVI</w:t>
      </w:r>
      <w:r>
        <w:rPr>
          <w:rFonts w:ascii="Arial" w:hAnsi="Arial" w:cs="Arial"/>
          <w:i w:val="0"/>
          <w:iCs w:val="0"/>
          <w:color w:val="auto"/>
          <w:sz w:val="20"/>
          <w:szCs w:val="20"/>
        </w:rPr>
        <w:t>.</w:t>
      </w:r>
    </w:p>
    <w:p w14:paraId="7FA30EDA" w14:textId="77777777" w:rsidR="00F83AF6" w:rsidRDefault="00F83AF6" w:rsidP="00F83AF6">
      <w:pPr>
        <w:pStyle w:val="Didascalia"/>
        <w:spacing w:after="0" w:line="360" w:lineRule="auto"/>
        <w:ind w:left="720"/>
        <w:jc w:val="center"/>
        <w:rPr>
          <w:rFonts w:ascii="Arial" w:hAnsi="Arial" w:cs="Arial"/>
          <w:color w:val="auto"/>
          <w:sz w:val="20"/>
          <w:szCs w:val="20"/>
        </w:rPr>
      </w:pPr>
      <w:r w:rsidRPr="005D317B">
        <w:rPr>
          <w:rFonts w:ascii="Arial" w:hAnsi="Arial" w:cs="Arial"/>
          <w:color w:val="auto"/>
          <w:sz w:val="20"/>
          <w:szCs w:val="20"/>
        </w:rPr>
        <w:t xml:space="preserve">Fonte: RGS </w:t>
      </w:r>
      <w:r>
        <w:rPr>
          <w:rFonts w:ascii="Arial" w:hAnsi="Arial" w:cs="Arial"/>
          <w:color w:val="auto"/>
          <w:sz w:val="20"/>
          <w:szCs w:val="20"/>
        </w:rPr>
        <w:t>–</w:t>
      </w:r>
      <w:r w:rsidRPr="005D317B">
        <w:rPr>
          <w:rFonts w:ascii="Arial" w:hAnsi="Arial" w:cs="Arial"/>
          <w:color w:val="auto"/>
          <w:sz w:val="20"/>
          <w:szCs w:val="20"/>
        </w:rPr>
        <w:t xml:space="preserve"> IGRUE</w:t>
      </w:r>
      <w:r>
        <w:rPr>
          <w:rFonts w:ascii="Arial" w:hAnsi="Arial" w:cs="Arial"/>
          <w:color w:val="auto"/>
          <w:sz w:val="20"/>
          <w:szCs w:val="20"/>
        </w:rPr>
        <w:t>.</w:t>
      </w:r>
    </w:p>
    <w:p w14:paraId="2D7DB470" w14:textId="77777777" w:rsidR="00F83AF6" w:rsidRPr="005440F9" w:rsidRDefault="00F83AF6" w:rsidP="00F83AF6"/>
    <w:p w14:paraId="4A7FEE40" w14:textId="77777777" w:rsidR="00F83AF6" w:rsidRDefault="00F83AF6" w:rsidP="00F83AF6">
      <w:pPr>
        <w:pStyle w:val="Paragrafoelenco"/>
        <w:spacing w:line="360" w:lineRule="auto"/>
        <w:ind w:left="0"/>
        <w:jc w:val="both"/>
        <w:rPr>
          <w:rFonts w:ascii="Arial" w:hAnsi="Arial" w:cs="Arial"/>
          <w:iCs/>
          <w:sz w:val="24"/>
          <w:szCs w:val="24"/>
        </w:rPr>
      </w:pPr>
      <w:r>
        <w:rPr>
          <w:rFonts w:ascii="Arial" w:hAnsi="Arial" w:cs="Arial"/>
          <w:iCs/>
          <w:sz w:val="24"/>
          <w:szCs w:val="24"/>
        </w:rPr>
        <w:lastRenderedPageBreak/>
        <w:t>Un’altra importante risorsa per i fondi europei è quella apportata da InvestEU</w:t>
      </w:r>
      <w:r>
        <w:rPr>
          <w:rStyle w:val="Rimandonotaapidipagina"/>
          <w:rFonts w:ascii="Arial" w:hAnsi="Arial" w:cs="Arial"/>
          <w:iCs/>
          <w:sz w:val="24"/>
          <w:szCs w:val="24"/>
        </w:rPr>
        <w:footnoteReference w:id="83"/>
      </w:r>
      <w:r>
        <w:rPr>
          <w:rFonts w:ascii="Arial" w:hAnsi="Arial" w:cs="Arial"/>
          <w:iCs/>
          <w:sz w:val="24"/>
          <w:szCs w:val="24"/>
        </w:rPr>
        <w:t xml:space="preserve">. </w:t>
      </w:r>
      <w:r w:rsidRPr="00A52AE1">
        <w:rPr>
          <w:rFonts w:ascii="Arial" w:hAnsi="Arial" w:cs="Arial"/>
          <w:iCs/>
          <w:sz w:val="24"/>
          <w:szCs w:val="24"/>
        </w:rPr>
        <w:t>Il nuovo programma istituisce una garanzia dell</w:t>
      </w:r>
      <w:r>
        <w:rPr>
          <w:rFonts w:ascii="Arial" w:hAnsi="Arial" w:cs="Arial"/>
          <w:iCs/>
          <w:sz w:val="24"/>
          <w:szCs w:val="24"/>
        </w:rPr>
        <w:t>’</w:t>
      </w:r>
      <w:r w:rsidRPr="00A52AE1">
        <w:rPr>
          <w:rFonts w:ascii="Arial" w:hAnsi="Arial" w:cs="Arial"/>
          <w:iCs/>
          <w:sz w:val="24"/>
          <w:szCs w:val="24"/>
        </w:rPr>
        <w:t xml:space="preserve">UE pari a circa 26,2 miliardi </w:t>
      </w:r>
      <w:r>
        <w:rPr>
          <w:rFonts w:ascii="Arial" w:hAnsi="Arial" w:cs="Arial"/>
          <w:iCs/>
          <w:sz w:val="24"/>
          <w:szCs w:val="24"/>
        </w:rPr>
        <w:t xml:space="preserve">di euro </w:t>
      </w:r>
      <w:r w:rsidRPr="00A52AE1">
        <w:rPr>
          <w:rFonts w:ascii="Arial" w:hAnsi="Arial" w:cs="Arial"/>
          <w:iCs/>
          <w:sz w:val="24"/>
          <w:szCs w:val="24"/>
        </w:rPr>
        <w:t xml:space="preserve">che </w:t>
      </w:r>
      <w:r>
        <w:rPr>
          <w:rFonts w:ascii="Arial" w:hAnsi="Arial" w:cs="Arial"/>
          <w:iCs/>
          <w:sz w:val="24"/>
          <w:szCs w:val="24"/>
        </w:rPr>
        <w:t xml:space="preserve">consentirà </w:t>
      </w:r>
      <w:r w:rsidRPr="00A52AE1">
        <w:rPr>
          <w:rFonts w:ascii="Arial" w:hAnsi="Arial" w:cs="Arial"/>
          <w:iCs/>
          <w:sz w:val="24"/>
          <w:szCs w:val="24"/>
        </w:rPr>
        <w:t>ai partner d</w:t>
      </w:r>
      <w:r>
        <w:rPr>
          <w:rFonts w:ascii="Arial" w:hAnsi="Arial" w:cs="Arial"/>
          <w:iCs/>
          <w:sz w:val="24"/>
          <w:szCs w:val="24"/>
        </w:rPr>
        <w:t>’</w:t>
      </w:r>
      <w:r w:rsidRPr="00A52AE1">
        <w:rPr>
          <w:rFonts w:ascii="Arial" w:hAnsi="Arial" w:cs="Arial"/>
          <w:iCs/>
          <w:sz w:val="24"/>
          <w:szCs w:val="24"/>
        </w:rPr>
        <w:t>investimento di assumere rischi più elevati e di sostenere progetti a cui avrebbero altrimenti rinunciato.</w:t>
      </w:r>
      <w:r>
        <w:rPr>
          <w:rFonts w:ascii="Arial" w:hAnsi="Arial" w:cs="Arial"/>
          <w:iCs/>
          <w:sz w:val="24"/>
          <w:szCs w:val="24"/>
        </w:rPr>
        <w:t xml:space="preserve"> Nel solco della circolarità, i</w:t>
      </w:r>
      <w:r w:rsidRPr="00A52AE1">
        <w:rPr>
          <w:rFonts w:ascii="Arial" w:hAnsi="Arial" w:cs="Arial"/>
          <w:iCs/>
          <w:sz w:val="24"/>
          <w:szCs w:val="24"/>
        </w:rPr>
        <w:t xml:space="preserve">l sostegno ai </w:t>
      </w:r>
      <w:r>
        <w:rPr>
          <w:rFonts w:ascii="Arial" w:hAnsi="Arial" w:cs="Arial"/>
          <w:iCs/>
          <w:sz w:val="24"/>
          <w:szCs w:val="24"/>
        </w:rPr>
        <w:t xml:space="preserve">nuovi </w:t>
      </w:r>
      <w:r w:rsidRPr="00A52AE1">
        <w:rPr>
          <w:rFonts w:ascii="Arial" w:hAnsi="Arial" w:cs="Arial"/>
          <w:iCs/>
          <w:sz w:val="24"/>
          <w:szCs w:val="24"/>
        </w:rPr>
        <w:t xml:space="preserve">progetti dovrebbe </w:t>
      </w:r>
      <w:r>
        <w:rPr>
          <w:rFonts w:ascii="Arial" w:hAnsi="Arial" w:cs="Arial"/>
          <w:iCs/>
          <w:sz w:val="24"/>
          <w:szCs w:val="24"/>
        </w:rPr>
        <w:t>favorire ulteriori stimoli</w:t>
      </w:r>
      <w:r w:rsidRPr="00A52AE1">
        <w:rPr>
          <w:rFonts w:ascii="Arial" w:hAnsi="Arial" w:cs="Arial"/>
          <w:iCs/>
          <w:sz w:val="24"/>
          <w:szCs w:val="24"/>
        </w:rPr>
        <w:t xml:space="preserve"> </w:t>
      </w:r>
      <w:r>
        <w:rPr>
          <w:rFonts w:ascii="Arial" w:hAnsi="Arial" w:cs="Arial"/>
          <w:iCs/>
          <w:sz w:val="24"/>
          <w:szCs w:val="24"/>
        </w:rPr>
        <w:t xml:space="preserve">che fanno stimare </w:t>
      </w:r>
      <w:r w:rsidRPr="00A52AE1">
        <w:rPr>
          <w:rFonts w:ascii="Arial" w:hAnsi="Arial" w:cs="Arial"/>
          <w:iCs/>
          <w:sz w:val="24"/>
          <w:szCs w:val="24"/>
        </w:rPr>
        <w:t xml:space="preserve">che il programma InvestEU possa mobilitare </w:t>
      </w:r>
      <w:r>
        <w:rPr>
          <w:rFonts w:ascii="Arial" w:hAnsi="Arial" w:cs="Arial"/>
          <w:iCs/>
          <w:sz w:val="24"/>
          <w:szCs w:val="24"/>
        </w:rPr>
        <w:t xml:space="preserve">oltre </w:t>
      </w:r>
      <w:r w:rsidRPr="00A52AE1">
        <w:rPr>
          <w:rFonts w:ascii="Arial" w:hAnsi="Arial" w:cs="Arial"/>
          <w:iCs/>
          <w:sz w:val="24"/>
          <w:szCs w:val="24"/>
        </w:rPr>
        <w:t xml:space="preserve">372 miliardi </w:t>
      </w:r>
      <w:r>
        <w:rPr>
          <w:rFonts w:ascii="Arial" w:hAnsi="Arial" w:cs="Arial"/>
          <w:iCs/>
          <w:sz w:val="24"/>
          <w:szCs w:val="24"/>
        </w:rPr>
        <w:t xml:space="preserve">di euro </w:t>
      </w:r>
      <w:r w:rsidRPr="00A52AE1">
        <w:rPr>
          <w:rFonts w:ascii="Arial" w:hAnsi="Arial" w:cs="Arial"/>
          <w:iCs/>
          <w:sz w:val="24"/>
          <w:szCs w:val="24"/>
        </w:rPr>
        <w:t xml:space="preserve">di </w:t>
      </w:r>
      <w:r>
        <w:rPr>
          <w:rFonts w:ascii="Arial" w:hAnsi="Arial" w:cs="Arial"/>
          <w:iCs/>
          <w:sz w:val="24"/>
          <w:szCs w:val="24"/>
        </w:rPr>
        <w:t xml:space="preserve">ulteriori </w:t>
      </w:r>
      <w:r w:rsidRPr="00A52AE1">
        <w:rPr>
          <w:rFonts w:ascii="Arial" w:hAnsi="Arial" w:cs="Arial"/>
          <w:iCs/>
          <w:sz w:val="24"/>
          <w:szCs w:val="24"/>
        </w:rPr>
        <w:t xml:space="preserve">investimenti in </w:t>
      </w:r>
      <w:r>
        <w:rPr>
          <w:rFonts w:ascii="Arial" w:hAnsi="Arial" w:cs="Arial"/>
          <w:iCs/>
          <w:sz w:val="24"/>
          <w:szCs w:val="24"/>
        </w:rPr>
        <w:t>ambito UE</w:t>
      </w:r>
      <w:r w:rsidRPr="00A52AE1">
        <w:rPr>
          <w:rFonts w:ascii="Arial" w:hAnsi="Arial" w:cs="Arial"/>
          <w:iCs/>
          <w:sz w:val="24"/>
          <w:szCs w:val="24"/>
        </w:rPr>
        <w:t>, contribuendo alla ripresa e alle priorità a lungo termine imposte a livello europeo</w:t>
      </w:r>
      <w:r>
        <w:rPr>
          <w:rStyle w:val="Rimandonotaapidipagina"/>
          <w:rFonts w:ascii="Arial" w:hAnsi="Arial" w:cs="Arial"/>
          <w:iCs/>
          <w:sz w:val="24"/>
          <w:szCs w:val="24"/>
        </w:rPr>
        <w:footnoteReference w:id="84"/>
      </w:r>
      <w:r w:rsidRPr="00A52AE1">
        <w:rPr>
          <w:rFonts w:ascii="Arial" w:hAnsi="Arial" w:cs="Arial"/>
          <w:iCs/>
          <w:sz w:val="24"/>
          <w:szCs w:val="24"/>
        </w:rPr>
        <w:t>.</w:t>
      </w:r>
    </w:p>
    <w:p w14:paraId="28E3E49E" w14:textId="77777777" w:rsidR="00F83AF6" w:rsidRDefault="00F83AF6" w:rsidP="00F83AF6">
      <w:pPr>
        <w:pStyle w:val="Paragrafoelenco"/>
        <w:spacing w:line="360" w:lineRule="auto"/>
        <w:ind w:left="0"/>
        <w:jc w:val="both"/>
        <w:rPr>
          <w:rFonts w:ascii="Arial" w:hAnsi="Arial" w:cs="Arial"/>
          <w:iCs/>
          <w:sz w:val="24"/>
          <w:szCs w:val="24"/>
        </w:rPr>
      </w:pPr>
    </w:p>
    <w:p w14:paraId="49C6534B" w14:textId="77777777" w:rsidR="00F83AF6" w:rsidRDefault="00F83AF6" w:rsidP="00F83AF6">
      <w:pPr>
        <w:pStyle w:val="Paragrafoelenco"/>
        <w:spacing w:after="0" w:line="360" w:lineRule="auto"/>
        <w:ind w:left="0"/>
        <w:jc w:val="both"/>
        <w:rPr>
          <w:rFonts w:ascii="Arial" w:hAnsi="Arial" w:cs="Arial"/>
          <w:iCs/>
          <w:sz w:val="24"/>
          <w:szCs w:val="24"/>
        </w:rPr>
      </w:pPr>
      <w:r>
        <w:rPr>
          <w:rFonts w:ascii="Arial" w:hAnsi="Arial" w:cs="Arial"/>
          <w:iCs/>
          <w:sz w:val="24"/>
          <w:szCs w:val="24"/>
        </w:rPr>
        <w:t>Si riporta, di seguito, il Quadro finanziario pluriennale 2021 definito dalla Commissione UE.</w:t>
      </w:r>
    </w:p>
    <w:p w14:paraId="5876528A" w14:textId="77777777" w:rsidR="00F83AF6" w:rsidRDefault="00F83AF6" w:rsidP="00F83AF6">
      <w:pPr>
        <w:pStyle w:val="Paragrafoelenco"/>
        <w:spacing w:after="0" w:line="360" w:lineRule="auto"/>
        <w:ind w:left="0"/>
        <w:jc w:val="both"/>
        <w:rPr>
          <w:rFonts w:ascii="Arial" w:hAnsi="Arial" w:cs="Arial"/>
          <w:iCs/>
          <w:sz w:val="24"/>
          <w:szCs w:val="24"/>
        </w:rPr>
      </w:pPr>
    </w:p>
    <w:p w14:paraId="4E49605C" w14:textId="77777777" w:rsidR="00F83AF6" w:rsidRDefault="00F83AF6" w:rsidP="00F83AF6">
      <w:pPr>
        <w:pStyle w:val="Paragrafoelenco"/>
        <w:spacing w:after="0" w:line="360" w:lineRule="auto"/>
        <w:ind w:left="0"/>
        <w:jc w:val="center"/>
        <w:rPr>
          <w:rFonts w:ascii="Arial" w:hAnsi="Arial" w:cs="Arial"/>
          <w:iCs/>
          <w:sz w:val="24"/>
          <w:szCs w:val="24"/>
        </w:rPr>
      </w:pPr>
      <w:r>
        <w:rPr>
          <w:noProof/>
          <w:lang w:eastAsia="it-IT"/>
        </w:rPr>
        <w:drawing>
          <wp:inline distT="0" distB="0" distL="0" distR="0" wp14:anchorId="7A1953B6" wp14:editId="38AD5CC3">
            <wp:extent cx="4680000" cy="4935600"/>
            <wp:effectExtent l="0" t="0" r="0" b="0"/>
            <wp:docPr id="379179714" name="Immagine 1" descr="Immagine che contiene testo, numer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179714" name="Immagine 1" descr="Immagine che contiene testo, numero, schermata, Carattere&#10;&#10;Descrizione generata automaticamente"/>
                    <pic:cNvPicPr/>
                  </pic:nvPicPr>
                  <pic:blipFill rotWithShape="1">
                    <a:blip r:embed="rId22"/>
                    <a:srcRect l="4520" t="13012" r="992" b="10173"/>
                    <a:stretch/>
                  </pic:blipFill>
                  <pic:spPr bwMode="auto">
                    <a:xfrm>
                      <a:off x="0" y="0"/>
                      <a:ext cx="4680000" cy="4935600"/>
                    </a:xfrm>
                    <a:prstGeom prst="rect">
                      <a:avLst/>
                    </a:prstGeom>
                    <a:ln>
                      <a:noFill/>
                    </a:ln>
                    <a:extLst>
                      <a:ext uri="{53640926-AAD7-44D8-BBD7-CCE9431645EC}">
                        <a14:shadowObscured xmlns:a14="http://schemas.microsoft.com/office/drawing/2010/main"/>
                      </a:ext>
                    </a:extLst>
                  </pic:spPr>
                </pic:pic>
              </a:graphicData>
            </a:graphic>
          </wp:inline>
        </w:drawing>
      </w:r>
    </w:p>
    <w:p w14:paraId="7002764C" w14:textId="77777777" w:rsidR="00F83AF6" w:rsidRPr="00E24C94" w:rsidRDefault="00F83AF6" w:rsidP="00F83AF6">
      <w:pPr>
        <w:pStyle w:val="Didascalia"/>
        <w:spacing w:after="0" w:line="360" w:lineRule="auto"/>
        <w:ind w:left="720"/>
        <w:jc w:val="center"/>
        <w:rPr>
          <w:rFonts w:ascii="Arial" w:hAnsi="Arial" w:cs="Arial"/>
          <w:i w:val="0"/>
          <w:iCs w:val="0"/>
          <w:color w:val="auto"/>
          <w:sz w:val="20"/>
          <w:szCs w:val="20"/>
          <w:lang w:val="en-US"/>
        </w:rPr>
      </w:pPr>
      <w:r w:rsidRPr="00E24C94">
        <w:rPr>
          <w:rFonts w:ascii="Arial" w:hAnsi="Arial" w:cs="Arial"/>
          <w:color w:val="auto"/>
          <w:sz w:val="20"/>
          <w:szCs w:val="20"/>
          <w:lang w:val="en-US"/>
        </w:rPr>
        <w:t>Multiannual financial framework 2021-2027 and Next Generation EU</w:t>
      </w:r>
      <w:r w:rsidRPr="00E24C94">
        <w:rPr>
          <w:rFonts w:ascii="Arial" w:hAnsi="Arial" w:cs="Arial"/>
          <w:i w:val="0"/>
          <w:iCs w:val="0"/>
          <w:color w:val="auto"/>
          <w:sz w:val="20"/>
          <w:szCs w:val="20"/>
          <w:lang w:val="en-US"/>
        </w:rPr>
        <w:t>.</w:t>
      </w:r>
    </w:p>
    <w:p w14:paraId="29812963" w14:textId="77777777" w:rsidR="00F83AF6" w:rsidRPr="00E24C94" w:rsidRDefault="00F83AF6" w:rsidP="00F83AF6">
      <w:pPr>
        <w:pStyle w:val="Didascalia"/>
        <w:spacing w:after="0" w:line="360" w:lineRule="auto"/>
        <w:ind w:left="720"/>
        <w:jc w:val="center"/>
        <w:rPr>
          <w:rFonts w:ascii="Arial" w:hAnsi="Arial" w:cs="Arial"/>
          <w:color w:val="auto"/>
          <w:sz w:val="20"/>
          <w:szCs w:val="20"/>
          <w:lang w:val="en-US"/>
        </w:rPr>
      </w:pPr>
      <w:r w:rsidRPr="00E24C94">
        <w:rPr>
          <w:rFonts w:ascii="Arial" w:hAnsi="Arial" w:cs="Arial"/>
          <w:color w:val="auto"/>
          <w:sz w:val="20"/>
          <w:szCs w:val="20"/>
          <w:lang w:val="en-US"/>
        </w:rPr>
        <w:t>Fonte: Council of the European Union.</w:t>
      </w:r>
    </w:p>
    <w:p w14:paraId="5B1D8478" w14:textId="77777777" w:rsidR="00F83AF6" w:rsidRPr="00E24C94" w:rsidRDefault="00F83AF6" w:rsidP="00F83AF6">
      <w:pPr>
        <w:pStyle w:val="Paragrafoelenco"/>
        <w:spacing w:line="360" w:lineRule="auto"/>
        <w:ind w:left="0"/>
        <w:jc w:val="both"/>
        <w:rPr>
          <w:rFonts w:ascii="Arial" w:hAnsi="Arial" w:cs="Arial"/>
          <w:iCs/>
          <w:sz w:val="24"/>
          <w:szCs w:val="24"/>
          <w:lang w:val="en-US"/>
        </w:rPr>
      </w:pPr>
    </w:p>
    <w:p w14:paraId="166FD0B4" w14:textId="77777777" w:rsidR="00F83AF6" w:rsidRDefault="00F83AF6" w:rsidP="00F83AF6">
      <w:pPr>
        <w:pStyle w:val="Paragrafoelenco"/>
        <w:spacing w:after="0" w:line="360" w:lineRule="auto"/>
        <w:ind w:left="0"/>
        <w:jc w:val="center"/>
        <w:rPr>
          <w:rFonts w:ascii="Arial" w:hAnsi="Arial" w:cs="Arial"/>
          <w:iCs/>
          <w:sz w:val="24"/>
          <w:szCs w:val="24"/>
        </w:rPr>
      </w:pPr>
      <w:r w:rsidRPr="008760E9">
        <w:rPr>
          <w:noProof/>
          <w:lang w:eastAsia="it-IT"/>
        </w:rPr>
        <w:drawing>
          <wp:inline distT="0" distB="0" distL="0" distR="0" wp14:anchorId="6DCC7130" wp14:editId="571F4229">
            <wp:extent cx="4680000" cy="5824800"/>
            <wp:effectExtent l="0" t="0" r="0" b="0"/>
            <wp:docPr id="1104769166" name="Immagine 1" descr="Immagine che contiene testo, ricevuta, Parallelo,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769166" name="Immagine 1" descr="Immagine che contiene testo, ricevuta, Parallelo, numero&#10;&#10;Descrizione generata automaticamente"/>
                    <pic:cNvPicPr/>
                  </pic:nvPicPr>
                  <pic:blipFill rotWithShape="1">
                    <a:blip r:embed="rId23"/>
                    <a:srcRect l="4469" t="4900" b="11132"/>
                    <a:stretch/>
                  </pic:blipFill>
                  <pic:spPr bwMode="auto">
                    <a:xfrm>
                      <a:off x="0" y="0"/>
                      <a:ext cx="4680000" cy="5824800"/>
                    </a:xfrm>
                    <a:prstGeom prst="rect">
                      <a:avLst/>
                    </a:prstGeom>
                    <a:ln>
                      <a:noFill/>
                    </a:ln>
                    <a:extLst>
                      <a:ext uri="{53640926-AAD7-44D8-BBD7-CCE9431645EC}">
                        <a14:shadowObscured xmlns:a14="http://schemas.microsoft.com/office/drawing/2010/main"/>
                      </a:ext>
                    </a:extLst>
                  </pic:spPr>
                </pic:pic>
              </a:graphicData>
            </a:graphic>
          </wp:inline>
        </w:drawing>
      </w:r>
    </w:p>
    <w:p w14:paraId="5AA64C73" w14:textId="77777777" w:rsidR="00F83AF6" w:rsidRPr="00E24C94" w:rsidRDefault="00F83AF6" w:rsidP="00F83AF6">
      <w:pPr>
        <w:pStyle w:val="Didascalia"/>
        <w:spacing w:after="0" w:line="360" w:lineRule="auto"/>
        <w:ind w:left="720"/>
        <w:jc w:val="center"/>
        <w:rPr>
          <w:rFonts w:ascii="Arial" w:hAnsi="Arial" w:cs="Arial"/>
          <w:i w:val="0"/>
          <w:iCs w:val="0"/>
          <w:color w:val="auto"/>
          <w:sz w:val="20"/>
          <w:szCs w:val="20"/>
          <w:lang w:val="en-US"/>
        </w:rPr>
      </w:pPr>
      <w:r w:rsidRPr="00E24C94">
        <w:rPr>
          <w:rFonts w:ascii="Arial" w:hAnsi="Arial" w:cs="Arial"/>
          <w:color w:val="auto"/>
          <w:sz w:val="20"/>
          <w:szCs w:val="20"/>
          <w:lang w:val="en-US"/>
        </w:rPr>
        <w:t>Multiannual financial framework 2021-2027 and Next Generation EU</w:t>
      </w:r>
      <w:r w:rsidRPr="00E24C94">
        <w:rPr>
          <w:rFonts w:ascii="Arial" w:hAnsi="Arial" w:cs="Arial"/>
          <w:i w:val="0"/>
          <w:iCs w:val="0"/>
          <w:color w:val="auto"/>
          <w:sz w:val="20"/>
          <w:szCs w:val="20"/>
          <w:lang w:val="en-US"/>
        </w:rPr>
        <w:t>.</w:t>
      </w:r>
    </w:p>
    <w:p w14:paraId="38CFC76C" w14:textId="77777777" w:rsidR="00F83AF6" w:rsidRPr="00E24C94" w:rsidRDefault="00F83AF6" w:rsidP="00F83AF6">
      <w:pPr>
        <w:pStyle w:val="Didascalia"/>
        <w:spacing w:after="0" w:line="360" w:lineRule="auto"/>
        <w:ind w:left="720"/>
        <w:jc w:val="center"/>
        <w:rPr>
          <w:rFonts w:ascii="Arial" w:hAnsi="Arial" w:cs="Arial"/>
          <w:color w:val="auto"/>
          <w:sz w:val="20"/>
          <w:szCs w:val="20"/>
          <w:lang w:val="en-US"/>
        </w:rPr>
      </w:pPr>
      <w:r w:rsidRPr="00E24C94">
        <w:rPr>
          <w:rFonts w:ascii="Arial" w:hAnsi="Arial" w:cs="Arial"/>
          <w:color w:val="auto"/>
          <w:sz w:val="20"/>
          <w:szCs w:val="20"/>
          <w:lang w:val="en-US"/>
        </w:rPr>
        <w:t>Fonte: Council of the European Union.</w:t>
      </w:r>
    </w:p>
    <w:p w14:paraId="16224670" w14:textId="77777777" w:rsidR="00F83AF6" w:rsidRPr="00E24C94" w:rsidRDefault="00F83AF6" w:rsidP="00F83AF6">
      <w:pPr>
        <w:pStyle w:val="Paragrafoelenco"/>
        <w:spacing w:line="360" w:lineRule="auto"/>
        <w:ind w:left="0"/>
        <w:jc w:val="both"/>
        <w:rPr>
          <w:rFonts w:ascii="Arial" w:hAnsi="Arial" w:cs="Arial"/>
          <w:iCs/>
          <w:sz w:val="24"/>
          <w:szCs w:val="24"/>
          <w:lang w:val="en-US"/>
        </w:rPr>
      </w:pPr>
    </w:p>
    <w:p w14:paraId="3BF5061D" w14:textId="77777777" w:rsidR="00F83AF6" w:rsidRDefault="00F83AF6" w:rsidP="00F83AF6">
      <w:pPr>
        <w:pStyle w:val="Paragrafoelenco"/>
        <w:spacing w:before="240" w:after="0" w:line="360" w:lineRule="auto"/>
        <w:ind w:left="0"/>
        <w:jc w:val="center"/>
        <w:rPr>
          <w:rFonts w:ascii="Arial" w:hAnsi="Arial" w:cs="Arial"/>
          <w:iCs/>
          <w:sz w:val="24"/>
          <w:szCs w:val="24"/>
        </w:rPr>
      </w:pPr>
      <w:r w:rsidRPr="008760E9">
        <w:rPr>
          <w:noProof/>
          <w:lang w:eastAsia="it-IT"/>
        </w:rPr>
        <w:lastRenderedPageBreak/>
        <w:drawing>
          <wp:inline distT="0" distB="0" distL="0" distR="0" wp14:anchorId="653A0552" wp14:editId="7DEB003D">
            <wp:extent cx="4680000" cy="5623200"/>
            <wp:effectExtent l="0" t="0" r="0" b="0"/>
            <wp:docPr id="1314075018" name="Immagine 1" descr="Immagine che contiene testo, schermata, documento, ricevu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075018" name="Immagine 1" descr="Immagine che contiene testo, schermata, documento, ricevuta&#10;&#10;Descrizione generata automaticamente"/>
                    <pic:cNvPicPr/>
                  </pic:nvPicPr>
                  <pic:blipFill rotWithShape="1">
                    <a:blip r:embed="rId24"/>
                    <a:srcRect l="5292" t="5814" r="1082" b="14770"/>
                    <a:stretch/>
                  </pic:blipFill>
                  <pic:spPr bwMode="auto">
                    <a:xfrm>
                      <a:off x="0" y="0"/>
                      <a:ext cx="4680000" cy="5623200"/>
                    </a:xfrm>
                    <a:prstGeom prst="rect">
                      <a:avLst/>
                    </a:prstGeom>
                    <a:ln>
                      <a:noFill/>
                    </a:ln>
                    <a:extLst>
                      <a:ext uri="{53640926-AAD7-44D8-BBD7-CCE9431645EC}">
                        <a14:shadowObscured xmlns:a14="http://schemas.microsoft.com/office/drawing/2010/main"/>
                      </a:ext>
                    </a:extLst>
                  </pic:spPr>
                </pic:pic>
              </a:graphicData>
            </a:graphic>
          </wp:inline>
        </w:drawing>
      </w:r>
    </w:p>
    <w:p w14:paraId="41F84EB1" w14:textId="77777777" w:rsidR="00F83AF6" w:rsidRPr="00E24C94" w:rsidRDefault="00F83AF6" w:rsidP="00F83AF6">
      <w:pPr>
        <w:pStyle w:val="Didascalia"/>
        <w:spacing w:after="0" w:line="360" w:lineRule="auto"/>
        <w:ind w:left="720"/>
        <w:jc w:val="center"/>
        <w:rPr>
          <w:rFonts w:ascii="Arial" w:hAnsi="Arial" w:cs="Arial"/>
          <w:i w:val="0"/>
          <w:iCs w:val="0"/>
          <w:color w:val="auto"/>
          <w:sz w:val="20"/>
          <w:szCs w:val="20"/>
          <w:lang w:val="en-US"/>
        </w:rPr>
      </w:pPr>
      <w:r w:rsidRPr="00E24C94">
        <w:rPr>
          <w:rFonts w:ascii="Arial" w:hAnsi="Arial" w:cs="Arial"/>
          <w:color w:val="auto"/>
          <w:sz w:val="20"/>
          <w:szCs w:val="20"/>
          <w:lang w:val="en-US"/>
        </w:rPr>
        <w:t>Multiannual financial framework 2021-2027 and Next Generation EU</w:t>
      </w:r>
      <w:r w:rsidRPr="00E24C94">
        <w:rPr>
          <w:rFonts w:ascii="Arial" w:hAnsi="Arial" w:cs="Arial"/>
          <w:i w:val="0"/>
          <w:iCs w:val="0"/>
          <w:color w:val="auto"/>
          <w:sz w:val="20"/>
          <w:szCs w:val="20"/>
          <w:lang w:val="en-US"/>
        </w:rPr>
        <w:t>.</w:t>
      </w:r>
    </w:p>
    <w:p w14:paraId="6DEFB311" w14:textId="77777777" w:rsidR="00F83AF6" w:rsidRPr="00E24C94" w:rsidRDefault="00F83AF6" w:rsidP="00F83AF6">
      <w:pPr>
        <w:pStyle w:val="Didascalia"/>
        <w:spacing w:after="0" w:line="360" w:lineRule="auto"/>
        <w:ind w:left="720"/>
        <w:jc w:val="center"/>
        <w:rPr>
          <w:rFonts w:ascii="Arial" w:hAnsi="Arial" w:cs="Arial"/>
          <w:color w:val="auto"/>
          <w:sz w:val="20"/>
          <w:szCs w:val="20"/>
          <w:lang w:val="en-US"/>
        </w:rPr>
      </w:pPr>
      <w:r w:rsidRPr="00E24C94">
        <w:rPr>
          <w:rFonts w:ascii="Arial" w:hAnsi="Arial" w:cs="Arial"/>
          <w:color w:val="auto"/>
          <w:sz w:val="20"/>
          <w:szCs w:val="20"/>
          <w:lang w:val="en-US"/>
        </w:rPr>
        <w:t>Fonte: Council of the European Union.</w:t>
      </w:r>
    </w:p>
    <w:p w14:paraId="1FB57A0E" w14:textId="77777777" w:rsidR="00F83AF6" w:rsidRPr="00E24C94" w:rsidRDefault="00F83AF6" w:rsidP="00F83AF6">
      <w:pPr>
        <w:pStyle w:val="Paragrafoelenco"/>
        <w:spacing w:line="360" w:lineRule="auto"/>
        <w:ind w:left="0"/>
        <w:jc w:val="both"/>
        <w:rPr>
          <w:rFonts w:ascii="Arial" w:hAnsi="Arial" w:cs="Arial"/>
          <w:iCs/>
          <w:sz w:val="24"/>
          <w:szCs w:val="24"/>
          <w:lang w:val="en-US"/>
        </w:rPr>
      </w:pPr>
    </w:p>
    <w:p w14:paraId="10182DB3" w14:textId="77777777" w:rsidR="00F83AF6" w:rsidRDefault="00F83AF6" w:rsidP="00F83AF6">
      <w:pPr>
        <w:pStyle w:val="Paragrafoelenco"/>
        <w:spacing w:line="360" w:lineRule="auto"/>
        <w:ind w:left="0"/>
        <w:jc w:val="both"/>
        <w:rPr>
          <w:rFonts w:ascii="Arial" w:hAnsi="Arial" w:cs="Arial"/>
          <w:iCs/>
          <w:sz w:val="24"/>
          <w:szCs w:val="24"/>
        </w:rPr>
      </w:pPr>
      <w:r>
        <w:rPr>
          <w:rFonts w:ascii="Arial" w:hAnsi="Arial" w:cs="Arial"/>
          <w:iCs/>
          <w:sz w:val="24"/>
          <w:szCs w:val="24"/>
        </w:rPr>
        <w:t>L’Unione europea, inoltre, nel 2011</w:t>
      </w:r>
      <w:r>
        <w:rPr>
          <w:rStyle w:val="Rimandonotaapidipagina"/>
          <w:rFonts w:ascii="Arial" w:hAnsi="Arial" w:cs="Arial"/>
          <w:iCs/>
          <w:sz w:val="24"/>
          <w:szCs w:val="24"/>
        </w:rPr>
        <w:footnoteReference w:id="85"/>
      </w:r>
      <w:r>
        <w:rPr>
          <w:rFonts w:ascii="Arial" w:hAnsi="Arial" w:cs="Arial"/>
          <w:iCs/>
          <w:sz w:val="24"/>
          <w:szCs w:val="24"/>
        </w:rPr>
        <w:t>, ha adottato il “</w:t>
      </w:r>
      <w:r w:rsidRPr="008139D3">
        <w:rPr>
          <w:rFonts w:ascii="Arial" w:hAnsi="Arial" w:cs="Arial"/>
          <w:i/>
          <w:sz w:val="24"/>
          <w:szCs w:val="24"/>
        </w:rPr>
        <w:t>Codice europeo di buona condotta</w:t>
      </w:r>
      <w:r>
        <w:rPr>
          <w:rFonts w:ascii="Arial" w:hAnsi="Arial" w:cs="Arial"/>
          <w:i/>
          <w:sz w:val="24"/>
          <w:szCs w:val="24"/>
        </w:rPr>
        <w:t xml:space="preserve"> </w:t>
      </w:r>
      <w:r w:rsidRPr="008139D3">
        <w:rPr>
          <w:rFonts w:ascii="Arial" w:hAnsi="Arial" w:cs="Arial"/>
          <w:i/>
          <w:sz w:val="24"/>
          <w:szCs w:val="24"/>
        </w:rPr>
        <w:t>per l’erogazione di microcrediti</w:t>
      </w:r>
      <w:r>
        <w:rPr>
          <w:rFonts w:ascii="Arial" w:hAnsi="Arial" w:cs="Arial"/>
          <w:iCs/>
          <w:sz w:val="24"/>
          <w:szCs w:val="24"/>
        </w:rPr>
        <w:t xml:space="preserve">”, allo scopo di diffondere le </w:t>
      </w:r>
      <w:r w:rsidRPr="008139D3">
        <w:rPr>
          <w:rFonts w:ascii="Arial" w:hAnsi="Arial" w:cs="Arial"/>
          <w:iCs/>
          <w:sz w:val="24"/>
          <w:szCs w:val="24"/>
        </w:rPr>
        <w:t>regole riguardanti</w:t>
      </w:r>
      <w:r>
        <w:rPr>
          <w:rFonts w:ascii="Arial" w:hAnsi="Arial" w:cs="Arial"/>
          <w:iCs/>
          <w:sz w:val="24"/>
          <w:szCs w:val="24"/>
        </w:rPr>
        <w:t xml:space="preserve"> </w:t>
      </w:r>
      <w:r w:rsidRPr="008139D3">
        <w:rPr>
          <w:rFonts w:ascii="Arial" w:hAnsi="Arial" w:cs="Arial"/>
          <w:iCs/>
          <w:sz w:val="24"/>
          <w:szCs w:val="24"/>
        </w:rPr>
        <w:t>la gestione, la governance, la gestione del rischio, la</w:t>
      </w:r>
      <w:r>
        <w:rPr>
          <w:rFonts w:ascii="Arial" w:hAnsi="Arial" w:cs="Arial"/>
          <w:iCs/>
          <w:sz w:val="24"/>
          <w:szCs w:val="24"/>
        </w:rPr>
        <w:t xml:space="preserve"> </w:t>
      </w:r>
      <w:r w:rsidRPr="008139D3">
        <w:rPr>
          <w:rFonts w:ascii="Arial" w:hAnsi="Arial" w:cs="Arial"/>
          <w:iCs/>
          <w:sz w:val="24"/>
          <w:szCs w:val="24"/>
        </w:rPr>
        <w:t xml:space="preserve">rendicontazione e i rapporti con clienti e investitori </w:t>
      </w:r>
      <w:r>
        <w:rPr>
          <w:rFonts w:ascii="Arial" w:hAnsi="Arial" w:cs="Arial"/>
          <w:iCs/>
          <w:sz w:val="24"/>
          <w:szCs w:val="24"/>
        </w:rPr>
        <w:t xml:space="preserve">del </w:t>
      </w:r>
      <w:r w:rsidRPr="008139D3">
        <w:rPr>
          <w:rFonts w:ascii="Arial" w:hAnsi="Arial" w:cs="Arial"/>
          <w:iCs/>
          <w:sz w:val="24"/>
          <w:szCs w:val="24"/>
        </w:rPr>
        <w:t>microcredito nell’Unione</w:t>
      </w:r>
      <w:r>
        <w:rPr>
          <w:rFonts w:ascii="Arial" w:hAnsi="Arial" w:cs="Arial"/>
          <w:iCs/>
          <w:sz w:val="24"/>
          <w:szCs w:val="24"/>
        </w:rPr>
        <w:t>, a vantaggio di tutti gli operatori interessati (</w:t>
      </w:r>
      <w:r w:rsidRPr="008139D3">
        <w:rPr>
          <w:rFonts w:ascii="Arial" w:hAnsi="Arial" w:cs="Arial"/>
          <w:iCs/>
          <w:sz w:val="24"/>
          <w:szCs w:val="24"/>
        </w:rPr>
        <w:t xml:space="preserve">clienti, </w:t>
      </w:r>
      <w:r>
        <w:rPr>
          <w:rFonts w:ascii="Arial" w:hAnsi="Arial" w:cs="Arial"/>
          <w:iCs/>
          <w:sz w:val="24"/>
          <w:szCs w:val="24"/>
        </w:rPr>
        <w:t>i</w:t>
      </w:r>
      <w:r w:rsidRPr="008139D3">
        <w:rPr>
          <w:rFonts w:ascii="Arial" w:hAnsi="Arial" w:cs="Arial"/>
          <w:iCs/>
          <w:sz w:val="24"/>
          <w:szCs w:val="24"/>
        </w:rPr>
        <w:t>nvestitori,</w:t>
      </w:r>
      <w:r>
        <w:rPr>
          <w:rFonts w:ascii="Arial" w:hAnsi="Arial" w:cs="Arial"/>
          <w:iCs/>
          <w:sz w:val="24"/>
          <w:szCs w:val="24"/>
        </w:rPr>
        <w:t xml:space="preserve"> </w:t>
      </w:r>
      <w:r w:rsidRPr="008139D3">
        <w:rPr>
          <w:rFonts w:ascii="Arial" w:hAnsi="Arial" w:cs="Arial"/>
          <w:iCs/>
          <w:sz w:val="24"/>
          <w:szCs w:val="24"/>
        </w:rPr>
        <w:t>finanziatori, autorità di</w:t>
      </w:r>
      <w:r>
        <w:rPr>
          <w:rFonts w:ascii="Arial" w:hAnsi="Arial" w:cs="Arial"/>
          <w:iCs/>
          <w:sz w:val="24"/>
          <w:szCs w:val="24"/>
        </w:rPr>
        <w:t xml:space="preserve"> </w:t>
      </w:r>
      <w:r w:rsidRPr="008139D3">
        <w:rPr>
          <w:rFonts w:ascii="Arial" w:hAnsi="Arial" w:cs="Arial"/>
          <w:iCs/>
          <w:sz w:val="24"/>
          <w:szCs w:val="24"/>
        </w:rPr>
        <w:t>regolamentazione e delle organizzazioni partner</w:t>
      </w:r>
      <w:r>
        <w:rPr>
          <w:rFonts w:ascii="Arial" w:hAnsi="Arial" w:cs="Arial"/>
          <w:iCs/>
          <w:sz w:val="24"/>
          <w:szCs w:val="24"/>
        </w:rPr>
        <w:t xml:space="preserve"> </w:t>
      </w:r>
      <w:r w:rsidRPr="008139D3">
        <w:rPr>
          <w:rFonts w:ascii="Arial" w:hAnsi="Arial" w:cs="Arial"/>
          <w:iCs/>
          <w:sz w:val="24"/>
          <w:szCs w:val="24"/>
        </w:rPr>
        <w:t>europea</w:t>
      </w:r>
      <w:r>
        <w:rPr>
          <w:rFonts w:ascii="Arial" w:hAnsi="Arial" w:cs="Arial"/>
          <w:iCs/>
          <w:sz w:val="24"/>
          <w:szCs w:val="24"/>
        </w:rPr>
        <w:t>).</w:t>
      </w:r>
    </w:p>
    <w:p w14:paraId="0A9DF1DD"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t xml:space="preserve">Il </w:t>
      </w:r>
      <w:r w:rsidRPr="00E82FC9">
        <w:rPr>
          <w:rFonts w:ascii="Arial" w:hAnsi="Arial" w:cs="Arial"/>
          <w:iCs/>
          <w:sz w:val="24"/>
          <w:szCs w:val="24"/>
        </w:rPr>
        <w:t>codice na</w:t>
      </w:r>
      <w:r>
        <w:rPr>
          <w:rFonts w:ascii="Arial" w:hAnsi="Arial" w:cs="Arial"/>
          <w:iCs/>
          <w:sz w:val="24"/>
          <w:szCs w:val="24"/>
        </w:rPr>
        <w:t xml:space="preserve">sce </w:t>
      </w:r>
      <w:r w:rsidRPr="00E82FC9">
        <w:rPr>
          <w:rFonts w:ascii="Arial" w:hAnsi="Arial" w:cs="Arial"/>
          <w:iCs/>
          <w:sz w:val="24"/>
          <w:szCs w:val="24"/>
        </w:rPr>
        <w:t>dalla</w:t>
      </w:r>
      <w:r>
        <w:rPr>
          <w:rFonts w:ascii="Arial" w:hAnsi="Arial" w:cs="Arial"/>
          <w:iCs/>
          <w:sz w:val="24"/>
          <w:szCs w:val="24"/>
        </w:rPr>
        <w:t xml:space="preserve"> </w:t>
      </w:r>
      <w:r w:rsidRPr="00E82FC9">
        <w:rPr>
          <w:rFonts w:ascii="Arial" w:hAnsi="Arial" w:cs="Arial"/>
          <w:iCs/>
          <w:sz w:val="24"/>
          <w:szCs w:val="24"/>
        </w:rPr>
        <w:t xml:space="preserve">constatazione </w:t>
      </w:r>
      <w:r>
        <w:rPr>
          <w:rFonts w:ascii="Arial" w:hAnsi="Arial" w:cs="Arial"/>
          <w:iCs/>
          <w:sz w:val="24"/>
          <w:szCs w:val="24"/>
        </w:rPr>
        <w:t>d</w:t>
      </w:r>
      <w:r w:rsidRPr="00E82FC9">
        <w:rPr>
          <w:rFonts w:ascii="Arial" w:hAnsi="Arial" w:cs="Arial"/>
          <w:iCs/>
          <w:sz w:val="24"/>
          <w:szCs w:val="24"/>
        </w:rPr>
        <w:t>ei differenti quadri normativi</w:t>
      </w:r>
      <w:r>
        <w:rPr>
          <w:rFonts w:ascii="Arial" w:hAnsi="Arial" w:cs="Arial"/>
          <w:iCs/>
          <w:sz w:val="24"/>
          <w:szCs w:val="24"/>
        </w:rPr>
        <w:t xml:space="preserve"> </w:t>
      </w:r>
      <w:r w:rsidRPr="00E82FC9">
        <w:rPr>
          <w:rFonts w:ascii="Arial" w:hAnsi="Arial" w:cs="Arial"/>
          <w:iCs/>
          <w:sz w:val="24"/>
          <w:szCs w:val="24"/>
        </w:rPr>
        <w:t>in cui operano gli enti erogatori di microcrediti dell</w:t>
      </w:r>
      <w:r>
        <w:rPr>
          <w:rFonts w:ascii="Arial" w:hAnsi="Arial" w:cs="Arial"/>
          <w:iCs/>
          <w:sz w:val="24"/>
          <w:szCs w:val="24"/>
        </w:rPr>
        <w:t>’</w:t>
      </w:r>
      <w:r w:rsidRPr="00E82FC9">
        <w:rPr>
          <w:rFonts w:ascii="Arial" w:hAnsi="Arial" w:cs="Arial"/>
          <w:iCs/>
          <w:sz w:val="24"/>
          <w:szCs w:val="24"/>
        </w:rPr>
        <w:t>UE</w:t>
      </w:r>
      <w:r>
        <w:rPr>
          <w:rFonts w:ascii="Arial" w:hAnsi="Arial" w:cs="Arial"/>
          <w:iCs/>
          <w:sz w:val="24"/>
          <w:szCs w:val="24"/>
        </w:rPr>
        <w:t xml:space="preserve"> e della conseguente necessità di individuare</w:t>
      </w:r>
      <w:r w:rsidRPr="00E82FC9">
        <w:rPr>
          <w:rFonts w:ascii="Arial" w:hAnsi="Arial" w:cs="Arial"/>
          <w:iCs/>
          <w:sz w:val="24"/>
          <w:szCs w:val="24"/>
        </w:rPr>
        <w:t xml:space="preserve"> un complesso </w:t>
      </w:r>
      <w:r w:rsidRPr="00E82FC9">
        <w:rPr>
          <w:rFonts w:ascii="Arial" w:hAnsi="Arial" w:cs="Arial"/>
          <w:iCs/>
          <w:sz w:val="24"/>
          <w:szCs w:val="24"/>
        </w:rPr>
        <w:lastRenderedPageBreak/>
        <w:t>unitario di</w:t>
      </w:r>
      <w:r>
        <w:rPr>
          <w:rFonts w:ascii="Arial" w:hAnsi="Arial" w:cs="Arial"/>
          <w:iCs/>
          <w:sz w:val="24"/>
          <w:szCs w:val="24"/>
        </w:rPr>
        <w:t xml:space="preserve"> </w:t>
      </w:r>
      <w:r w:rsidRPr="00E82FC9">
        <w:rPr>
          <w:rFonts w:ascii="Arial" w:hAnsi="Arial" w:cs="Arial"/>
          <w:iCs/>
          <w:sz w:val="24"/>
          <w:szCs w:val="24"/>
        </w:rPr>
        <w:t>aspettative e regole comuni per tutto il settore</w:t>
      </w:r>
      <w:r>
        <w:rPr>
          <w:rFonts w:ascii="Arial" w:hAnsi="Arial" w:cs="Arial"/>
          <w:iCs/>
          <w:sz w:val="24"/>
          <w:szCs w:val="24"/>
        </w:rPr>
        <w:t>, fornendo</w:t>
      </w:r>
      <w:r w:rsidRPr="00E82FC9">
        <w:rPr>
          <w:rFonts w:ascii="Arial" w:hAnsi="Arial" w:cs="Arial"/>
          <w:iCs/>
          <w:sz w:val="24"/>
          <w:szCs w:val="24"/>
        </w:rPr>
        <w:t xml:space="preserve"> orientamenti in forma di </w:t>
      </w:r>
      <w:r w:rsidRPr="00E82FC9">
        <w:rPr>
          <w:rFonts w:ascii="Arial" w:hAnsi="Arial" w:cs="Arial"/>
          <w:i/>
          <w:sz w:val="24"/>
          <w:szCs w:val="24"/>
        </w:rPr>
        <w:t>best practices</w:t>
      </w:r>
      <w:r>
        <w:rPr>
          <w:rFonts w:ascii="Arial" w:hAnsi="Arial" w:cs="Arial"/>
          <w:iCs/>
          <w:sz w:val="24"/>
          <w:szCs w:val="24"/>
        </w:rPr>
        <w:t>.</w:t>
      </w:r>
    </w:p>
    <w:p w14:paraId="685469D9" w14:textId="77777777" w:rsidR="00F83AF6" w:rsidRPr="00E82FC9" w:rsidRDefault="00F83AF6" w:rsidP="00F83AF6">
      <w:pPr>
        <w:pStyle w:val="Paragrafoelenco"/>
        <w:spacing w:line="360" w:lineRule="auto"/>
        <w:ind w:left="0"/>
        <w:contextualSpacing w:val="0"/>
        <w:jc w:val="both"/>
        <w:rPr>
          <w:rFonts w:ascii="Arial" w:hAnsi="Arial" w:cs="Arial"/>
          <w:iCs/>
          <w:sz w:val="24"/>
          <w:szCs w:val="24"/>
        </w:rPr>
      </w:pPr>
      <w:r w:rsidRPr="00E82FC9">
        <w:rPr>
          <w:rFonts w:ascii="Arial" w:hAnsi="Arial" w:cs="Arial"/>
          <w:iCs/>
          <w:sz w:val="24"/>
          <w:szCs w:val="24"/>
        </w:rPr>
        <w:t xml:space="preserve">Il </w:t>
      </w:r>
      <w:r>
        <w:rPr>
          <w:rFonts w:ascii="Arial" w:hAnsi="Arial" w:cs="Arial"/>
          <w:iCs/>
          <w:sz w:val="24"/>
          <w:szCs w:val="24"/>
        </w:rPr>
        <w:t>C</w:t>
      </w:r>
      <w:r w:rsidRPr="00E82FC9">
        <w:rPr>
          <w:rFonts w:ascii="Arial" w:hAnsi="Arial" w:cs="Arial"/>
          <w:iCs/>
          <w:sz w:val="24"/>
          <w:szCs w:val="24"/>
        </w:rPr>
        <w:t xml:space="preserve">odice è diviso </w:t>
      </w:r>
      <w:r>
        <w:rPr>
          <w:rFonts w:ascii="Arial" w:hAnsi="Arial" w:cs="Arial"/>
          <w:iCs/>
          <w:sz w:val="24"/>
          <w:szCs w:val="24"/>
        </w:rPr>
        <w:t xml:space="preserve">nelle seguenti </w:t>
      </w:r>
      <w:r w:rsidRPr="00E82FC9">
        <w:rPr>
          <w:rFonts w:ascii="Arial" w:hAnsi="Arial" w:cs="Arial"/>
          <w:iCs/>
          <w:sz w:val="24"/>
          <w:szCs w:val="24"/>
        </w:rPr>
        <w:t>cinque sezioni:</w:t>
      </w:r>
    </w:p>
    <w:p w14:paraId="096D9D60" w14:textId="77777777" w:rsidR="00F83AF6" w:rsidRPr="00FB708B" w:rsidRDefault="00F83AF6" w:rsidP="00F83AF6">
      <w:pPr>
        <w:pStyle w:val="Paragrafoelenco"/>
        <w:numPr>
          <w:ilvl w:val="0"/>
          <w:numId w:val="17"/>
        </w:numPr>
        <w:spacing w:line="360" w:lineRule="auto"/>
        <w:ind w:left="284" w:hanging="284"/>
        <w:jc w:val="both"/>
        <w:rPr>
          <w:rFonts w:ascii="Arial" w:hAnsi="Arial" w:cs="Arial"/>
          <w:iCs/>
          <w:sz w:val="24"/>
          <w:szCs w:val="24"/>
        </w:rPr>
      </w:pPr>
      <w:r w:rsidRPr="00FB708B">
        <w:rPr>
          <w:rFonts w:ascii="Arial" w:hAnsi="Arial" w:cs="Arial"/>
          <w:iCs/>
          <w:sz w:val="24"/>
          <w:szCs w:val="24"/>
        </w:rPr>
        <w:t>rapporti con clienti e investitori: riguarda gli obblighi degli enti erogatori di microcrediti nei confronti dei clienti e degli investitori nonché i diritti dei clienti e degli investitori;</w:t>
      </w:r>
    </w:p>
    <w:p w14:paraId="4D3B22CC" w14:textId="77777777" w:rsidR="00F83AF6" w:rsidRPr="00FB708B" w:rsidRDefault="00F83AF6" w:rsidP="00F83AF6">
      <w:pPr>
        <w:pStyle w:val="Paragrafoelenco"/>
        <w:numPr>
          <w:ilvl w:val="0"/>
          <w:numId w:val="17"/>
        </w:numPr>
        <w:spacing w:line="360" w:lineRule="auto"/>
        <w:ind w:left="284" w:hanging="284"/>
        <w:jc w:val="both"/>
        <w:rPr>
          <w:rFonts w:ascii="Arial" w:hAnsi="Arial" w:cs="Arial"/>
          <w:iCs/>
          <w:sz w:val="24"/>
          <w:szCs w:val="24"/>
        </w:rPr>
      </w:pPr>
      <w:r w:rsidRPr="00FB708B">
        <w:rPr>
          <w:rFonts w:ascii="Arial" w:hAnsi="Arial" w:cs="Arial"/>
          <w:iCs/>
          <w:sz w:val="24"/>
          <w:szCs w:val="24"/>
        </w:rPr>
        <w:t>governance: riguarda le regole valide per i dirigenti e per il Consiglio di amministrazione degli enti erogatori di microcrediti;</w:t>
      </w:r>
    </w:p>
    <w:p w14:paraId="70B2CB6A" w14:textId="77777777" w:rsidR="00F83AF6" w:rsidRPr="00FB708B" w:rsidRDefault="00F83AF6" w:rsidP="00F83AF6">
      <w:pPr>
        <w:pStyle w:val="Paragrafoelenco"/>
        <w:numPr>
          <w:ilvl w:val="0"/>
          <w:numId w:val="17"/>
        </w:numPr>
        <w:spacing w:line="360" w:lineRule="auto"/>
        <w:ind w:left="284" w:hanging="284"/>
        <w:jc w:val="both"/>
        <w:rPr>
          <w:rFonts w:ascii="Arial" w:hAnsi="Arial" w:cs="Arial"/>
          <w:iCs/>
          <w:sz w:val="24"/>
          <w:szCs w:val="24"/>
        </w:rPr>
      </w:pPr>
      <w:r w:rsidRPr="00FB708B">
        <w:rPr>
          <w:rFonts w:ascii="Arial" w:hAnsi="Arial" w:cs="Arial"/>
          <w:iCs/>
          <w:sz w:val="24"/>
          <w:szCs w:val="24"/>
        </w:rPr>
        <w:t>regole comuni di rendicontazione: specifica gli indicatori che gli enti erogatori di microcrediti devono raccogliere, rendicontare e divulgare;</w:t>
      </w:r>
    </w:p>
    <w:p w14:paraId="1632A383" w14:textId="77777777" w:rsidR="00F83AF6" w:rsidRPr="00FB708B" w:rsidRDefault="00F83AF6" w:rsidP="00F83AF6">
      <w:pPr>
        <w:pStyle w:val="Paragrafoelenco"/>
        <w:numPr>
          <w:ilvl w:val="0"/>
          <w:numId w:val="17"/>
        </w:numPr>
        <w:spacing w:line="360" w:lineRule="auto"/>
        <w:ind w:left="284" w:hanging="284"/>
        <w:jc w:val="both"/>
        <w:rPr>
          <w:rFonts w:ascii="Arial" w:hAnsi="Arial" w:cs="Arial"/>
          <w:iCs/>
          <w:sz w:val="24"/>
          <w:szCs w:val="24"/>
        </w:rPr>
      </w:pPr>
      <w:r w:rsidRPr="00FB708B">
        <w:rPr>
          <w:rFonts w:ascii="Arial" w:hAnsi="Arial" w:cs="Arial"/>
          <w:iCs/>
          <w:sz w:val="24"/>
          <w:szCs w:val="24"/>
        </w:rPr>
        <w:t>sistemi informativi gestionali: specifica le regole comuni per i sistemi informativi gestionali;</w:t>
      </w:r>
    </w:p>
    <w:p w14:paraId="2FB791C3" w14:textId="77777777" w:rsidR="00F83AF6" w:rsidRDefault="00F83AF6" w:rsidP="00F83AF6">
      <w:pPr>
        <w:pStyle w:val="Paragrafoelenco"/>
        <w:numPr>
          <w:ilvl w:val="0"/>
          <w:numId w:val="17"/>
        </w:numPr>
        <w:spacing w:line="360" w:lineRule="auto"/>
        <w:ind w:left="284" w:hanging="284"/>
        <w:jc w:val="both"/>
        <w:rPr>
          <w:rFonts w:ascii="Arial" w:hAnsi="Arial" w:cs="Arial"/>
          <w:iCs/>
          <w:sz w:val="24"/>
          <w:szCs w:val="24"/>
        </w:rPr>
      </w:pPr>
      <w:r w:rsidRPr="00FB708B">
        <w:rPr>
          <w:rFonts w:ascii="Arial" w:hAnsi="Arial" w:cs="Arial"/>
          <w:iCs/>
          <w:sz w:val="24"/>
          <w:szCs w:val="24"/>
        </w:rPr>
        <w:t>gestione del rischio</w:t>
      </w:r>
      <w:r w:rsidRPr="00BE2B42">
        <w:rPr>
          <w:rFonts w:ascii="Arial" w:hAnsi="Arial" w:cs="Arial"/>
          <w:iCs/>
          <w:sz w:val="24"/>
          <w:szCs w:val="24"/>
        </w:rPr>
        <w:t>: specifica gli approcci e le procedure comuni per la gestione del rischio.</w:t>
      </w:r>
    </w:p>
    <w:p w14:paraId="305FB005" w14:textId="77777777" w:rsidR="00F83AF6" w:rsidRDefault="00F83AF6" w:rsidP="00F83AF6">
      <w:pPr>
        <w:rPr>
          <w:rFonts w:ascii="Arial" w:hAnsi="Arial" w:cs="Arial"/>
          <w:iCs/>
          <w:sz w:val="24"/>
          <w:szCs w:val="24"/>
        </w:rPr>
      </w:pPr>
      <w:r>
        <w:rPr>
          <w:rFonts w:ascii="Arial" w:hAnsi="Arial" w:cs="Arial"/>
          <w:iCs/>
          <w:sz w:val="24"/>
          <w:szCs w:val="24"/>
        </w:rPr>
        <w:br w:type="page"/>
      </w:r>
    </w:p>
    <w:p w14:paraId="61F082E9" w14:textId="77777777" w:rsidR="00F83AF6" w:rsidRPr="003F77CD" w:rsidRDefault="00F83AF6" w:rsidP="00F83AF6">
      <w:pPr>
        <w:tabs>
          <w:tab w:val="left" w:pos="284"/>
        </w:tabs>
        <w:spacing w:line="360" w:lineRule="auto"/>
        <w:jc w:val="both"/>
        <w:rPr>
          <w:rFonts w:ascii="Arial" w:hAnsi="Arial" w:cs="Arial"/>
          <w:b/>
          <w:bCs/>
          <w:sz w:val="24"/>
          <w:szCs w:val="24"/>
        </w:rPr>
      </w:pPr>
      <w:r>
        <w:rPr>
          <w:rFonts w:ascii="Arial" w:hAnsi="Arial" w:cs="Arial"/>
          <w:b/>
          <w:bCs/>
        </w:rPr>
        <w:lastRenderedPageBreak/>
        <w:t>4.</w:t>
      </w:r>
      <w:r>
        <w:rPr>
          <w:rFonts w:ascii="Arial" w:hAnsi="Arial" w:cs="Arial"/>
          <w:b/>
          <w:bCs/>
        </w:rPr>
        <w:tab/>
      </w:r>
      <w:r w:rsidRPr="003F77CD">
        <w:rPr>
          <w:rFonts w:ascii="Arial" w:hAnsi="Arial" w:cs="Arial"/>
          <w:b/>
          <w:bCs/>
          <w:sz w:val="24"/>
          <w:szCs w:val="24"/>
        </w:rPr>
        <w:t>CAPITOLO III – L’IMPRESA MICROCREDITO</w:t>
      </w:r>
    </w:p>
    <w:p w14:paraId="62DB0F57" w14:textId="77777777" w:rsidR="00F83AF6" w:rsidRPr="003F77CD" w:rsidRDefault="00F83AF6" w:rsidP="00F83AF6">
      <w:pPr>
        <w:pStyle w:val="Paragrafoelenco"/>
        <w:spacing w:line="360" w:lineRule="auto"/>
        <w:ind w:left="851" w:hanging="567"/>
        <w:jc w:val="both"/>
        <w:rPr>
          <w:rFonts w:ascii="Arial" w:hAnsi="Arial" w:cs="Arial"/>
          <w:iCs/>
          <w:sz w:val="24"/>
          <w:szCs w:val="24"/>
        </w:rPr>
      </w:pPr>
      <w:r>
        <w:rPr>
          <w:rFonts w:ascii="Arial" w:hAnsi="Arial" w:cs="Arial"/>
          <w:b/>
          <w:sz w:val="24"/>
          <w:szCs w:val="24"/>
        </w:rPr>
        <w:t>4</w:t>
      </w:r>
      <w:r w:rsidRPr="006515AD">
        <w:rPr>
          <w:rFonts w:ascii="Arial" w:hAnsi="Arial" w:cs="Arial"/>
          <w:b/>
          <w:sz w:val="24"/>
          <w:szCs w:val="24"/>
        </w:rPr>
        <w:t>.a.</w:t>
      </w:r>
      <w:r>
        <w:rPr>
          <w:rFonts w:ascii="Arial" w:hAnsi="Arial" w:cs="Arial"/>
          <w:b/>
          <w:sz w:val="24"/>
          <w:szCs w:val="24"/>
        </w:rPr>
        <w:tab/>
      </w:r>
      <w:r w:rsidRPr="003F77CD">
        <w:rPr>
          <w:rFonts w:ascii="Arial" w:hAnsi="Arial" w:cs="Arial"/>
          <w:b/>
          <w:bCs/>
          <w:iCs/>
          <w:sz w:val="24"/>
          <w:szCs w:val="24"/>
        </w:rPr>
        <w:t>DATI STATISTICI DI RIFERIMENTO</w:t>
      </w:r>
    </w:p>
    <w:p w14:paraId="08E86FA0" w14:textId="77777777" w:rsidR="00F83AF6" w:rsidRPr="003F77CD" w:rsidRDefault="00F83AF6" w:rsidP="00F83AF6">
      <w:pPr>
        <w:pStyle w:val="Paragrafoelenco"/>
        <w:spacing w:line="360" w:lineRule="auto"/>
        <w:ind w:left="0"/>
        <w:jc w:val="both"/>
        <w:rPr>
          <w:rFonts w:ascii="Arial" w:hAnsi="Arial" w:cs="Arial"/>
          <w:iCs/>
          <w:sz w:val="24"/>
          <w:szCs w:val="24"/>
        </w:rPr>
      </w:pPr>
    </w:p>
    <w:p w14:paraId="580EF9A2" w14:textId="77777777" w:rsidR="00F83AF6" w:rsidRDefault="00F83AF6" w:rsidP="008804F0">
      <w:pPr>
        <w:pStyle w:val="Paragrafoelenco"/>
        <w:spacing w:line="360" w:lineRule="auto"/>
        <w:ind w:left="0" w:firstLine="851"/>
        <w:jc w:val="both"/>
        <w:rPr>
          <w:rFonts w:ascii="Arial" w:hAnsi="Arial" w:cs="Arial"/>
          <w:iCs/>
          <w:sz w:val="24"/>
          <w:szCs w:val="24"/>
        </w:rPr>
      </w:pPr>
      <w:r>
        <w:rPr>
          <w:rFonts w:ascii="Arial" w:hAnsi="Arial" w:cs="Arial"/>
          <w:iCs/>
          <w:sz w:val="24"/>
          <w:szCs w:val="24"/>
        </w:rPr>
        <w:t>Per comprendere e rappresentare le implicazioni e le soluzioni necessarie per le finalità di impiego del microcredito, si ritiene opportuno muovere dalle misurazioni della sua identità e delle sue forme.</w:t>
      </w:r>
    </w:p>
    <w:p w14:paraId="725F3FF4" w14:textId="1A72922D" w:rsidR="00F83AF6" w:rsidRDefault="00F83AF6" w:rsidP="007209AD">
      <w:pPr>
        <w:pStyle w:val="Paragrafoelenco"/>
        <w:spacing w:line="360" w:lineRule="auto"/>
        <w:ind w:left="0"/>
        <w:contextualSpacing w:val="0"/>
        <w:jc w:val="both"/>
        <w:rPr>
          <w:rFonts w:ascii="Arial" w:hAnsi="Arial" w:cs="Arial"/>
          <w:iCs/>
          <w:sz w:val="24"/>
          <w:szCs w:val="24"/>
        </w:rPr>
      </w:pPr>
      <w:r>
        <w:rPr>
          <w:rFonts w:ascii="Arial" w:hAnsi="Arial" w:cs="Arial"/>
          <w:iCs/>
          <w:sz w:val="24"/>
          <w:szCs w:val="24"/>
        </w:rPr>
        <w:t>Lo studio dei dati disponibili è utile per la verifica dell’efficacia dei programmi di applicazione ai casi concreti, specie con riguardo allo stato di povertà,</w:t>
      </w:r>
      <w:r w:rsidRPr="00C517D7">
        <w:rPr>
          <w:rFonts w:ascii="Arial" w:hAnsi="Arial" w:cs="Arial"/>
          <w:iCs/>
          <w:sz w:val="24"/>
          <w:szCs w:val="24"/>
        </w:rPr>
        <w:t xml:space="preserve"> </w:t>
      </w:r>
      <w:r>
        <w:rPr>
          <w:rFonts w:ascii="Arial" w:hAnsi="Arial" w:cs="Arial"/>
          <w:iCs/>
          <w:sz w:val="24"/>
          <w:szCs w:val="24"/>
        </w:rPr>
        <w:t xml:space="preserve">fattore </w:t>
      </w:r>
      <w:r w:rsidRPr="00C517D7">
        <w:rPr>
          <w:rFonts w:ascii="Arial" w:hAnsi="Arial" w:cs="Arial"/>
          <w:iCs/>
          <w:sz w:val="24"/>
          <w:szCs w:val="24"/>
        </w:rPr>
        <w:t>sociale complesso</w:t>
      </w:r>
      <w:r>
        <w:rPr>
          <w:rFonts w:ascii="Arial" w:hAnsi="Arial" w:cs="Arial"/>
          <w:iCs/>
          <w:sz w:val="24"/>
          <w:szCs w:val="24"/>
        </w:rPr>
        <w:t xml:space="preserve"> e mutevole.</w:t>
      </w:r>
      <w:r w:rsidR="007209AD">
        <w:rPr>
          <w:rFonts w:ascii="Arial" w:hAnsi="Arial" w:cs="Arial"/>
          <w:iCs/>
          <w:sz w:val="24"/>
          <w:szCs w:val="24"/>
        </w:rPr>
        <w:t xml:space="preserve"> </w:t>
      </w:r>
      <w:r>
        <w:rPr>
          <w:rFonts w:ascii="Arial" w:hAnsi="Arial" w:cs="Arial"/>
          <w:iCs/>
          <w:sz w:val="24"/>
          <w:szCs w:val="24"/>
        </w:rPr>
        <w:t>Il concetto di povertà non è di facile definizione ed è ampia la letteratura che ne coglie la differenziazione degli aspetti</w:t>
      </w:r>
      <w:r>
        <w:rPr>
          <w:rStyle w:val="Rimandonotaapidipagina"/>
          <w:rFonts w:ascii="Arial" w:hAnsi="Arial" w:cs="Arial"/>
          <w:iCs/>
          <w:sz w:val="24"/>
          <w:szCs w:val="24"/>
        </w:rPr>
        <w:footnoteReference w:id="86"/>
      </w:r>
      <w:r>
        <w:rPr>
          <w:rFonts w:ascii="Arial" w:hAnsi="Arial" w:cs="Arial"/>
          <w:iCs/>
          <w:sz w:val="24"/>
          <w:szCs w:val="24"/>
        </w:rPr>
        <w:t>, secondo diversi elementi</w:t>
      </w:r>
      <w:r>
        <w:rPr>
          <w:rStyle w:val="Rimandonotaapidipagina"/>
          <w:rFonts w:ascii="Arial" w:hAnsi="Arial" w:cs="Arial"/>
          <w:iCs/>
          <w:sz w:val="24"/>
          <w:szCs w:val="24"/>
        </w:rPr>
        <w:footnoteReference w:id="87"/>
      </w:r>
      <w:r>
        <w:rPr>
          <w:rFonts w:ascii="Arial" w:hAnsi="Arial" w:cs="Arial"/>
          <w:iCs/>
          <w:sz w:val="24"/>
          <w:szCs w:val="24"/>
        </w:rPr>
        <w:t>, quali:</w:t>
      </w:r>
    </w:p>
    <w:p w14:paraId="4B256BC0" w14:textId="3CACC79B" w:rsidR="00F83AF6" w:rsidRPr="00E2697F" w:rsidRDefault="00F83AF6" w:rsidP="007209AD">
      <w:pPr>
        <w:pStyle w:val="Paragrafoelenco"/>
        <w:spacing w:before="160" w:after="0" w:line="360" w:lineRule="auto"/>
        <w:ind w:left="142" w:hanging="142"/>
        <w:contextualSpacing w:val="0"/>
        <w:jc w:val="both"/>
        <w:rPr>
          <w:rFonts w:ascii="Arial" w:hAnsi="Arial" w:cs="Arial"/>
          <w:iCs/>
          <w:sz w:val="24"/>
          <w:szCs w:val="24"/>
        </w:rPr>
      </w:pPr>
      <w:r>
        <w:rPr>
          <w:rFonts w:ascii="Arial" w:hAnsi="Arial" w:cs="Arial"/>
          <w:iCs/>
          <w:sz w:val="24"/>
          <w:szCs w:val="24"/>
        </w:rPr>
        <w:t xml:space="preserve">- il </w:t>
      </w:r>
      <w:r w:rsidRPr="00E2697F">
        <w:rPr>
          <w:rFonts w:ascii="Arial" w:hAnsi="Arial" w:cs="Arial"/>
          <w:iCs/>
          <w:sz w:val="24"/>
          <w:szCs w:val="24"/>
        </w:rPr>
        <w:t>reddito: una persona è</w:t>
      </w:r>
      <w:r>
        <w:rPr>
          <w:rFonts w:ascii="Arial" w:hAnsi="Arial" w:cs="Arial"/>
          <w:iCs/>
          <w:sz w:val="24"/>
          <w:szCs w:val="24"/>
        </w:rPr>
        <w:t xml:space="preserve"> definita </w:t>
      </w:r>
      <w:r w:rsidRPr="00E2697F">
        <w:rPr>
          <w:rFonts w:ascii="Arial" w:hAnsi="Arial" w:cs="Arial"/>
          <w:iCs/>
          <w:sz w:val="24"/>
          <w:szCs w:val="24"/>
        </w:rPr>
        <w:t xml:space="preserve">povera </w:t>
      </w:r>
      <w:r>
        <w:rPr>
          <w:rFonts w:ascii="Arial" w:hAnsi="Arial" w:cs="Arial"/>
          <w:iCs/>
          <w:sz w:val="24"/>
          <w:szCs w:val="24"/>
        </w:rPr>
        <w:t xml:space="preserve">quando genera un reddito </w:t>
      </w:r>
      <w:r w:rsidRPr="00E2697F">
        <w:rPr>
          <w:rFonts w:ascii="Arial" w:hAnsi="Arial" w:cs="Arial"/>
          <w:iCs/>
          <w:sz w:val="24"/>
          <w:szCs w:val="24"/>
        </w:rPr>
        <w:t>al di sotto della soglia di povertà del Paese in cui risiede, calcolata sulla disponibilità economica per acquistare beni di prima necessità.</w:t>
      </w:r>
    </w:p>
    <w:p w14:paraId="75A3852E" w14:textId="77777777" w:rsidR="00F83AF6" w:rsidRPr="00E2697F" w:rsidRDefault="00F83AF6" w:rsidP="00F83AF6">
      <w:pPr>
        <w:pStyle w:val="Paragrafoelenco"/>
        <w:spacing w:line="360" w:lineRule="auto"/>
        <w:ind w:left="142" w:hanging="142"/>
        <w:jc w:val="both"/>
        <w:rPr>
          <w:rFonts w:ascii="Arial" w:hAnsi="Arial" w:cs="Arial"/>
          <w:iCs/>
          <w:sz w:val="24"/>
          <w:szCs w:val="24"/>
        </w:rPr>
      </w:pPr>
      <w:r>
        <w:rPr>
          <w:rFonts w:ascii="Arial" w:hAnsi="Arial" w:cs="Arial"/>
          <w:iCs/>
          <w:sz w:val="24"/>
          <w:szCs w:val="24"/>
        </w:rPr>
        <w:t xml:space="preserve">- i </w:t>
      </w:r>
      <w:r w:rsidRPr="00E2697F">
        <w:rPr>
          <w:rFonts w:ascii="Arial" w:hAnsi="Arial" w:cs="Arial"/>
          <w:iCs/>
          <w:sz w:val="24"/>
          <w:szCs w:val="24"/>
        </w:rPr>
        <w:t>bisogni fondamentali: oltre al reddito, questa prospettiva include anche il bisogno d</w:t>
      </w:r>
      <w:r>
        <w:rPr>
          <w:rFonts w:ascii="Arial" w:hAnsi="Arial" w:cs="Arial"/>
          <w:iCs/>
          <w:sz w:val="24"/>
          <w:szCs w:val="24"/>
        </w:rPr>
        <w:t xml:space="preserve">elle persone di disporre di </w:t>
      </w:r>
      <w:r w:rsidRPr="00E2697F">
        <w:rPr>
          <w:rFonts w:ascii="Arial" w:hAnsi="Arial" w:cs="Arial"/>
          <w:iCs/>
          <w:sz w:val="24"/>
          <w:szCs w:val="24"/>
        </w:rPr>
        <w:t>strutture e servizi sociali di base in grado di prevenire le povertà.</w:t>
      </w:r>
    </w:p>
    <w:p w14:paraId="1D392D26" w14:textId="57C2F551" w:rsidR="00F83AF6" w:rsidRDefault="00F83AF6" w:rsidP="00F83AF6">
      <w:pPr>
        <w:pStyle w:val="Paragrafoelenco"/>
        <w:spacing w:line="360" w:lineRule="auto"/>
        <w:ind w:left="142" w:hanging="142"/>
        <w:contextualSpacing w:val="0"/>
        <w:jc w:val="both"/>
        <w:rPr>
          <w:rFonts w:ascii="Arial" w:hAnsi="Arial" w:cs="Arial"/>
          <w:iCs/>
          <w:sz w:val="24"/>
          <w:szCs w:val="24"/>
        </w:rPr>
      </w:pPr>
      <w:r>
        <w:rPr>
          <w:rFonts w:ascii="Arial" w:hAnsi="Arial" w:cs="Arial"/>
          <w:iCs/>
          <w:sz w:val="24"/>
          <w:szCs w:val="24"/>
        </w:rPr>
        <w:t xml:space="preserve">- </w:t>
      </w:r>
      <w:r w:rsidRPr="00E2697F">
        <w:rPr>
          <w:rFonts w:ascii="Arial" w:hAnsi="Arial" w:cs="Arial"/>
          <w:iCs/>
          <w:sz w:val="24"/>
          <w:szCs w:val="24"/>
        </w:rPr>
        <w:t>le opportunità: l</w:t>
      </w:r>
      <w:r>
        <w:rPr>
          <w:rFonts w:ascii="Arial" w:hAnsi="Arial" w:cs="Arial"/>
          <w:iCs/>
          <w:sz w:val="24"/>
          <w:szCs w:val="24"/>
        </w:rPr>
        <w:t>o stato di</w:t>
      </w:r>
      <w:r w:rsidRPr="00E2697F">
        <w:rPr>
          <w:rFonts w:ascii="Arial" w:hAnsi="Arial" w:cs="Arial"/>
          <w:iCs/>
          <w:sz w:val="24"/>
          <w:szCs w:val="24"/>
        </w:rPr>
        <w:t xml:space="preserve"> </w:t>
      </w:r>
      <w:r>
        <w:rPr>
          <w:rFonts w:ascii="Arial" w:hAnsi="Arial" w:cs="Arial"/>
          <w:iCs/>
          <w:sz w:val="24"/>
          <w:szCs w:val="24"/>
        </w:rPr>
        <w:t>bisogno</w:t>
      </w:r>
      <w:r w:rsidRPr="00E2697F">
        <w:rPr>
          <w:rFonts w:ascii="Arial" w:hAnsi="Arial" w:cs="Arial"/>
          <w:iCs/>
          <w:sz w:val="24"/>
          <w:szCs w:val="24"/>
        </w:rPr>
        <w:t xml:space="preserve"> </w:t>
      </w:r>
      <w:r>
        <w:rPr>
          <w:rFonts w:ascii="Arial" w:hAnsi="Arial" w:cs="Arial"/>
          <w:iCs/>
          <w:sz w:val="24"/>
          <w:szCs w:val="24"/>
        </w:rPr>
        <w:t>non è rappresentato soltanto dalla mancanza della</w:t>
      </w:r>
      <w:r w:rsidRPr="00E2697F">
        <w:rPr>
          <w:rFonts w:ascii="Arial" w:hAnsi="Arial" w:cs="Arial"/>
          <w:iCs/>
          <w:sz w:val="24"/>
          <w:szCs w:val="24"/>
        </w:rPr>
        <w:t xml:space="preserve"> disponibilità economica</w:t>
      </w:r>
      <w:r>
        <w:rPr>
          <w:rFonts w:ascii="Arial" w:hAnsi="Arial" w:cs="Arial"/>
          <w:iCs/>
          <w:sz w:val="24"/>
          <w:szCs w:val="24"/>
        </w:rPr>
        <w:t xml:space="preserve"> ma</w:t>
      </w:r>
      <w:r w:rsidRPr="00E2697F">
        <w:rPr>
          <w:rFonts w:ascii="Arial" w:hAnsi="Arial" w:cs="Arial"/>
          <w:iCs/>
          <w:sz w:val="24"/>
          <w:szCs w:val="24"/>
        </w:rPr>
        <w:t xml:space="preserve"> </w:t>
      </w:r>
      <w:r>
        <w:rPr>
          <w:rFonts w:ascii="Arial" w:hAnsi="Arial" w:cs="Arial"/>
          <w:iCs/>
          <w:sz w:val="24"/>
          <w:szCs w:val="24"/>
        </w:rPr>
        <w:t>deve essere valutata anche con riguardo al</w:t>
      </w:r>
      <w:r w:rsidRPr="00E2697F">
        <w:rPr>
          <w:rFonts w:ascii="Arial" w:hAnsi="Arial" w:cs="Arial"/>
          <w:iCs/>
          <w:sz w:val="24"/>
          <w:szCs w:val="24"/>
        </w:rPr>
        <w:t>la possibilità di esercitare determinati diritti, come poter avere cibo nutriente, un’abitazione sicura e pulita, un’istruzione adeguata, ecc.</w:t>
      </w:r>
      <w:r>
        <w:rPr>
          <w:rFonts w:ascii="Arial" w:hAnsi="Arial" w:cs="Arial"/>
          <w:iCs/>
          <w:sz w:val="24"/>
          <w:szCs w:val="24"/>
        </w:rPr>
        <w:t>..</w:t>
      </w:r>
      <w:r w:rsidR="003636DE">
        <w:rPr>
          <w:rFonts w:ascii="Arial" w:hAnsi="Arial" w:cs="Arial"/>
          <w:iCs/>
          <w:sz w:val="24"/>
          <w:szCs w:val="24"/>
        </w:rPr>
        <w:t>.</w:t>
      </w:r>
    </w:p>
    <w:p w14:paraId="3585D2F6" w14:textId="77777777" w:rsidR="00F83AF6" w:rsidRDefault="00F83AF6" w:rsidP="00F83AF6">
      <w:pPr>
        <w:pStyle w:val="Paragrafoelenco"/>
        <w:spacing w:after="120" w:line="360" w:lineRule="auto"/>
        <w:ind w:left="0"/>
        <w:contextualSpacing w:val="0"/>
        <w:jc w:val="both"/>
      </w:pPr>
      <w:r>
        <w:rPr>
          <w:rFonts w:ascii="Arial" w:hAnsi="Arial" w:cs="Arial"/>
          <w:iCs/>
          <w:sz w:val="24"/>
          <w:szCs w:val="24"/>
        </w:rPr>
        <w:t>Una prima classificazione della povertà ricomprende quella assoluta, chiamata anche estrema, rappresentata dalla mancanza di risorse sufficienti per assicurarsi i fabbisogni di base per vivere, e quella relativa, che fa riferimento a una persona o una famiglia che viene considerata povera quando il reddito e le risorse sono inferiori rispetto a quelle ritenute accettabili dalla società in cui vivono.</w:t>
      </w:r>
    </w:p>
    <w:p w14:paraId="69FAFE22" w14:textId="77777777" w:rsidR="00F83AF6" w:rsidRDefault="00F83AF6" w:rsidP="00F83AF6">
      <w:pPr>
        <w:pStyle w:val="Paragrafoelenco"/>
        <w:spacing w:after="120" w:line="360" w:lineRule="auto"/>
        <w:ind w:left="0"/>
        <w:contextualSpacing w:val="0"/>
        <w:jc w:val="both"/>
        <w:rPr>
          <w:rFonts w:ascii="Arial" w:hAnsi="Arial" w:cs="Arial"/>
          <w:iCs/>
          <w:sz w:val="24"/>
          <w:szCs w:val="24"/>
        </w:rPr>
      </w:pPr>
      <w:r w:rsidRPr="00E2697F">
        <w:rPr>
          <w:rFonts w:ascii="Arial" w:hAnsi="Arial" w:cs="Arial"/>
          <w:iCs/>
          <w:sz w:val="24"/>
          <w:szCs w:val="24"/>
        </w:rPr>
        <w:t>Uno dei metodi per definire la povertà assoluta fu quello</w:t>
      </w:r>
      <w:r>
        <w:rPr>
          <w:rFonts w:ascii="Arial" w:hAnsi="Arial" w:cs="Arial"/>
          <w:iCs/>
          <w:sz w:val="24"/>
          <w:szCs w:val="24"/>
        </w:rPr>
        <w:t xml:space="preserve"> proposto da</w:t>
      </w:r>
      <w:r w:rsidRPr="00E2697F">
        <w:rPr>
          <w:rFonts w:ascii="Arial" w:hAnsi="Arial" w:cs="Arial"/>
          <w:iCs/>
          <w:sz w:val="24"/>
          <w:szCs w:val="24"/>
        </w:rPr>
        <w:t xml:space="preserve"> Rowentree</w:t>
      </w:r>
      <w:r>
        <w:rPr>
          <w:rStyle w:val="Rimandonotaapidipagina"/>
          <w:rFonts w:ascii="Arial" w:hAnsi="Arial" w:cs="Arial"/>
          <w:iCs/>
          <w:sz w:val="24"/>
          <w:szCs w:val="24"/>
        </w:rPr>
        <w:footnoteReference w:id="88"/>
      </w:r>
      <w:r w:rsidRPr="00E2697F">
        <w:rPr>
          <w:rFonts w:ascii="Arial" w:hAnsi="Arial" w:cs="Arial"/>
          <w:iCs/>
          <w:sz w:val="24"/>
          <w:szCs w:val="24"/>
        </w:rPr>
        <w:t xml:space="preserve">, che volendo delineare un criterio scientifico per qualificarla, </w:t>
      </w:r>
      <w:r>
        <w:rPr>
          <w:rFonts w:ascii="Arial" w:hAnsi="Arial" w:cs="Arial"/>
          <w:iCs/>
          <w:sz w:val="24"/>
          <w:szCs w:val="24"/>
        </w:rPr>
        <w:t>delineò</w:t>
      </w:r>
      <w:r w:rsidRPr="00E2697F">
        <w:rPr>
          <w:rFonts w:ascii="Arial" w:hAnsi="Arial" w:cs="Arial"/>
          <w:iCs/>
          <w:sz w:val="24"/>
          <w:szCs w:val="24"/>
        </w:rPr>
        <w:t xml:space="preserve"> un modello di sussistenza rappresentato da una lista di beni necessari a soddisfare le condizioni minime per mantenere </w:t>
      </w:r>
      <w:r w:rsidRPr="00E2697F">
        <w:rPr>
          <w:rFonts w:ascii="Arial" w:hAnsi="Arial" w:cs="Arial"/>
          <w:iCs/>
          <w:sz w:val="24"/>
          <w:szCs w:val="24"/>
        </w:rPr>
        <w:lastRenderedPageBreak/>
        <w:t>la salute e l’efficienza fisica delle persone</w:t>
      </w:r>
      <w:r>
        <w:rPr>
          <w:rFonts w:ascii="Arial" w:hAnsi="Arial" w:cs="Arial"/>
          <w:iCs/>
          <w:sz w:val="24"/>
          <w:szCs w:val="24"/>
        </w:rPr>
        <w:t xml:space="preserve"> e</w:t>
      </w:r>
      <w:r w:rsidRPr="00E2697F">
        <w:rPr>
          <w:rFonts w:ascii="Arial" w:hAnsi="Arial" w:cs="Arial"/>
          <w:iCs/>
          <w:sz w:val="24"/>
          <w:szCs w:val="24"/>
        </w:rPr>
        <w:t xml:space="preserve"> determina</w:t>
      </w:r>
      <w:r>
        <w:rPr>
          <w:rFonts w:ascii="Arial" w:hAnsi="Arial" w:cs="Arial"/>
          <w:iCs/>
          <w:sz w:val="24"/>
          <w:szCs w:val="24"/>
        </w:rPr>
        <w:t xml:space="preserve">ndone </w:t>
      </w:r>
      <w:r w:rsidRPr="00E2697F">
        <w:rPr>
          <w:rFonts w:ascii="Arial" w:hAnsi="Arial" w:cs="Arial"/>
          <w:iCs/>
          <w:sz w:val="24"/>
          <w:szCs w:val="24"/>
        </w:rPr>
        <w:t>il costo</w:t>
      </w:r>
      <w:r>
        <w:rPr>
          <w:rFonts w:ascii="Arial" w:hAnsi="Arial" w:cs="Arial"/>
          <w:iCs/>
          <w:sz w:val="24"/>
          <w:szCs w:val="24"/>
        </w:rPr>
        <w:t>, fissandolo quale limite della</w:t>
      </w:r>
      <w:r w:rsidRPr="00E2697F">
        <w:rPr>
          <w:rFonts w:ascii="Arial" w:hAnsi="Arial" w:cs="Arial"/>
          <w:iCs/>
          <w:sz w:val="24"/>
          <w:szCs w:val="24"/>
        </w:rPr>
        <w:t xml:space="preserve"> soglia di povertà</w:t>
      </w:r>
      <w:r>
        <w:rPr>
          <w:rFonts w:ascii="Arial" w:hAnsi="Arial" w:cs="Arial"/>
          <w:iCs/>
          <w:sz w:val="24"/>
          <w:szCs w:val="24"/>
        </w:rPr>
        <w:t xml:space="preserve"> assoluta.</w:t>
      </w:r>
    </w:p>
    <w:p w14:paraId="5CF4453A" w14:textId="77777777" w:rsidR="00F83AF6" w:rsidRDefault="00F83AF6" w:rsidP="00F83AF6">
      <w:pPr>
        <w:pStyle w:val="Paragrafoelenco"/>
        <w:spacing w:after="0" w:line="360" w:lineRule="auto"/>
        <w:ind w:left="0"/>
        <w:contextualSpacing w:val="0"/>
        <w:jc w:val="both"/>
        <w:rPr>
          <w:rFonts w:ascii="Arial" w:hAnsi="Arial" w:cs="Arial"/>
          <w:iCs/>
          <w:sz w:val="24"/>
          <w:szCs w:val="24"/>
        </w:rPr>
      </w:pPr>
      <w:r w:rsidRPr="007B2EEA">
        <w:rPr>
          <w:rFonts w:ascii="Arial" w:hAnsi="Arial" w:cs="Arial"/>
          <w:iCs/>
          <w:sz w:val="24"/>
          <w:szCs w:val="24"/>
        </w:rPr>
        <w:t>L’Organizzazione delle Nazioni Unite (ONU) definisce la povertà</w:t>
      </w:r>
      <w:r>
        <w:rPr>
          <w:rFonts w:ascii="Arial" w:hAnsi="Arial" w:cs="Arial"/>
          <w:iCs/>
          <w:sz w:val="24"/>
          <w:szCs w:val="24"/>
        </w:rPr>
        <w:t xml:space="preserve"> </w:t>
      </w:r>
      <w:r w:rsidRPr="007B2EEA">
        <w:rPr>
          <w:rFonts w:ascii="Arial" w:hAnsi="Arial" w:cs="Arial"/>
          <w:iCs/>
          <w:sz w:val="24"/>
          <w:szCs w:val="24"/>
        </w:rPr>
        <w:t xml:space="preserve">come una condizione </w:t>
      </w:r>
      <w:r w:rsidRPr="00025BD4">
        <w:rPr>
          <w:rFonts w:ascii="Arial" w:hAnsi="Arial" w:cs="Arial"/>
          <w:iCs/>
          <w:sz w:val="24"/>
          <w:szCs w:val="24"/>
        </w:rPr>
        <w:t>caratterizzata da privazione continua e cronica delle risorse, capacità, scelte, sicurezza e potere necessari per poter godere di uno standard di vita adeguato ed altri diritti civili, culturali, economici, politici e sociali</w:t>
      </w:r>
      <w:r>
        <w:rPr>
          <w:rStyle w:val="Rimandonotaapidipagina"/>
          <w:rFonts w:ascii="Arial" w:hAnsi="Arial" w:cs="Arial"/>
          <w:iCs/>
          <w:sz w:val="24"/>
          <w:szCs w:val="24"/>
        </w:rPr>
        <w:footnoteReference w:id="89"/>
      </w:r>
      <w:r w:rsidRPr="00025BD4">
        <w:rPr>
          <w:rFonts w:ascii="Arial" w:hAnsi="Arial" w:cs="Arial"/>
          <w:iCs/>
          <w:sz w:val="24"/>
          <w:szCs w:val="24"/>
        </w:rPr>
        <w:t>.</w:t>
      </w:r>
    </w:p>
    <w:p w14:paraId="2210AAF9" w14:textId="77777777" w:rsidR="00F83AF6" w:rsidRDefault="00F83AF6" w:rsidP="00F83AF6">
      <w:pPr>
        <w:pStyle w:val="Paragrafoelenco"/>
        <w:spacing w:after="840" w:line="360" w:lineRule="auto"/>
        <w:ind w:left="0"/>
        <w:jc w:val="both"/>
        <w:rPr>
          <w:rFonts w:ascii="Arial" w:hAnsi="Arial" w:cs="Arial"/>
          <w:iCs/>
          <w:sz w:val="24"/>
          <w:szCs w:val="24"/>
        </w:rPr>
      </w:pPr>
      <w:r>
        <w:rPr>
          <w:rFonts w:ascii="Arial" w:hAnsi="Arial" w:cs="Arial"/>
          <w:iCs/>
          <w:sz w:val="24"/>
          <w:szCs w:val="24"/>
        </w:rPr>
        <w:t>La misurazione della povertà prevede l’utilizzo di diversi parametri e variabili; può essere effettuata ricorrendo a diversi approcci alternativi, come quello monetario, della capacità e quello dell’inclusione sociale. Secondo l’approccio monetario, la valutazione della povertà è effettuata assumendo a base di riferimento un reddito al di sotto del quale si è considerati poveri; altre valutazioni, utilizzano, ad esempio, l’Indice di povertà multidimensionale (MPI)</w:t>
      </w:r>
      <w:r>
        <w:rPr>
          <w:rStyle w:val="Rimandonotaapidipagina"/>
          <w:rFonts w:ascii="Arial" w:hAnsi="Arial" w:cs="Arial"/>
          <w:iCs/>
          <w:sz w:val="24"/>
          <w:szCs w:val="24"/>
        </w:rPr>
        <w:footnoteReference w:id="90"/>
      </w:r>
      <w:r w:rsidRPr="007254AC">
        <w:rPr>
          <w:rFonts w:ascii="Arial" w:hAnsi="Arial" w:cs="Arial"/>
          <w:iCs/>
          <w:sz w:val="24"/>
          <w:szCs w:val="24"/>
        </w:rPr>
        <w:t xml:space="preserve"> che tiene in considerazione le molteplici privazioni che una persona povera affronta in termini di scolarizzazione, salute e</w:t>
      </w:r>
      <w:r>
        <w:rPr>
          <w:rFonts w:ascii="Arial" w:hAnsi="Arial" w:cs="Arial"/>
          <w:iCs/>
          <w:sz w:val="24"/>
          <w:szCs w:val="24"/>
        </w:rPr>
        <w:t xml:space="preserve">, in generale, per le </w:t>
      </w:r>
      <w:r w:rsidRPr="007254AC">
        <w:rPr>
          <w:rFonts w:ascii="Arial" w:hAnsi="Arial" w:cs="Arial"/>
          <w:iCs/>
          <w:sz w:val="24"/>
          <w:szCs w:val="24"/>
        </w:rPr>
        <w:t>condizioni di vita.</w:t>
      </w:r>
    </w:p>
    <w:p w14:paraId="747BD152" w14:textId="77777777" w:rsidR="00F83AF6" w:rsidRDefault="00F83AF6" w:rsidP="00F83AF6">
      <w:pPr>
        <w:pStyle w:val="Paragrafoelenco"/>
        <w:spacing w:after="840" w:line="360" w:lineRule="auto"/>
        <w:ind w:left="0"/>
        <w:jc w:val="both"/>
        <w:rPr>
          <w:rFonts w:ascii="Arial" w:hAnsi="Arial" w:cs="Arial"/>
          <w:iCs/>
          <w:sz w:val="24"/>
          <w:szCs w:val="24"/>
        </w:rPr>
      </w:pPr>
      <w:r>
        <w:rPr>
          <w:rFonts w:ascii="Arial" w:hAnsi="Arial" w:cs="Arial"/>
          <w:iCs/>
          <w:sz w:val="24"/>
          <w:szCs w:val="24"/>
        </w:rPr>
        <w:t>La popolazione mondiale nel 2022 ha raggiunto la soglia di 8 miliardi di abitanti, confermando la crescita avviata nel 1950, anche se a ritmo più lento; si stima che d</w:t>
      </w:r>
      <w:r w:rsidRPr="00A629BD">
        <w:rPr>
          <w:rFonts w:ascii="Arial" w:hAnsi="Arial" w:cs="Arial"/>
          <w:iCs/>
          <w:sz w:val="24"/>
          <w:szCs w:val="24"/>
        </w:rPr>
        <w:t>ovrebbe raggiungere 8,5 miliardi nel 2030 e 9,7 miliardi nel 2050, con un picco di circa 10,4 miliardi di persone</w:t>
      </w:r>
      <w:r>
        <w:rPr>
          <w:rFonts w:ascii="Arial" w:hAnsi="Arial" w:cs="Arial"/>
          <w:iCs/>
          <w:sz w:val="24"/>
          <w:szCs w:val="24"/>
        </w:rPr>
        <w:t xml:space="preserve"> nel 2080, </w:t>
      </w:r>
      <w:r w:rsidRPr="00A629BD">
        <w:rPr>
          <w:rFonts w:ascii="Arial" w:hAnsi="Arial" w:cs="Arial"/>
          <w:iCs/>
          <w:sz w:val="24"/>
          <w:szCs w:val="24"/>
        </w:rPr>
        <w:t>stabilizza</w:t>
      </w:r>
      <w:r>
        <w:rPr>
          <w:rFonts w:ascii="Arial" w:hAnsi="Arial" w:cs="Arial"/>
          <w:iCs/>
          <w:sz w:val="24"/>
          <w:szCs w:val="24"/>
        </w:rPr>
        <w:t xml:space="preserve">ndosi </w:t>
      </w:r>
      <w:r w:rsidRPr="00A629BD">
        <w:rPr>
          <w:rFonts w:ascii="Arial" w:hAnsi="Arial" w:cs="Arial"/>
          <w:iCs/>
          <w:sz w:val="24"/>
          <w:szCs w:val="24"/>
        </w:rPr>
        <w:t>a quel livello fino al 2100</w:t>
      </w:r>
      <w:r>
        <w:rPr>
          <w:rFonts w:ascii="Arial" w:hAnsi="Arial" w:cs="Arial"/>
          <w:iCs/>
          <w:sz w:val="24"/>
          <w:szCs w:val="24"/>
        </w:rPr>
        <w:t xml:space="preserve"> (cfr. grafico sottostante)</w:t>
      </w:r>
      <w:r w:rsidRPr="00A629BD">
        <w:rPr>
          <w:rFonts w:ascii="Arial" w:hAnsi="Arial" w:cs="Arial"/>
          <w:iCs/>
          <w:sz w:val="24"/>
          <w:szCs w:val="24"/>
        </w:rPr>
        <w:t>.</w:t>
      </w:r>
    </w:p>
    <w:p w14:paraId="4D1A1FD7" w14:textId="77777777" w:rsidR="00F83AF6" w:rsidRDefault="00F83AF6" w:rsidP="00F83AF6">
      <w:pPr>
        <w:pStyle w:val="Paragrafoelenco"/>
        <w:spacing w:after="840" w:line="360" w:lineRule="auto"/>
        <w:ind w:left="0"/>
        <w:jc w:val="both"/>
        <w:rPr>
          <w:rFonts w:ascii="Arial" w:hAnsi="Arial" w:cs="Arial"/>
          <w:iCs/>
          <w:sz w:val="24"/>
          <w:szCs w:val="24"/>
        </w:rPr>
      </w:pPr>
    </w:p>
    <w:p w14:paraId="7E44480E" w14:textId="77777777" w:rsidR="00F83AF6" w:rsidRDefault="00F83AF6" w:rsidP="00F83AF6">
      <w:pPr>
        <w:pStyle w:val="Paragrafoelenco"/>
        <w:ind w:left="0"/>
        <w:jc w:val="center"/>
        <w:rPr>
          <w:rFonts w:ascii="Arial" w:hAnsi="Arial" w:cs="Arial"/>
          <w:iCs/>
          <w:sz w:val="24"/>
          <w:szCs w:val="24"/>
        </w:rPr>
      </w:pPr>
      <w:r w:rsidRPr="00B07359">
        <w:rPr>
          <w:rFonts w:ascii="Arial" w:hAnsi="Arial" w:cs="Arial"/>
          <w:iCs/>
          <w:noProof/>
          <w:sz w:val="24"/>
          <w:szCs w:val="24"/>
          <w:lang w:eastAsia="it-IT"/>
        </w:rPr>
        <w:lastRenderedPageBreak/>
        <w:drawing>
          <wp:inline distT="0" distB="0" distL="0" distR="0" wp14:anchorId="3B75221D" wp14:editId="17AA996A">
            <wp:extent cx="5988050" cy="3714750"/>
            <wp:effectExtent l="0" t="0" r="0" b="0"/>
            <wp:docPr id="699041983" name="Immagine 1"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533665" name="Immagine 1" descr="Immagine che contiene testo, linea, Diagramma, schermata&#10;&#10;Descrizione generata automaticamente"/>
                    <pic:cNvPicPr/>
                  </pic:nvPicPr>
                  <pic:blipFill rotWithShape="1">
                    <a:blip r:embed="rId25"/>
                    <a:srcRect t="1769" b="18406"/>
                    <a:stretch/>
                  </pic:blipFill>
                  <pic:spPr bwMode="auto">
                    <a:xfrm>
                      <a:off x="0" y="0"/>
                      <a:ext cx="5988050" cy="3714750"/>
                    </a:xfrm>
                    <a:prstGeom prst="rect">
                      <a:avLst/>
                    </a:prstGeom>
                    <a:ln>
                      <a:noFill/>
                    </a:ln>
                    <a:extLst>
                      <a:ext uri="{53640926-AAD7-44D8-BBD7-CCE9431645EC}">
                        <a14:shadowObscured xmlns:a14="http://schemas.microsoft.com/office/drawing/2010/main"/>
                      </a:ext>
                    </a:extLst>
                  </pic:spPr>
                </pic:pic>
              </a:graphicData>
            </a:graphic>
          </wp:inline>
        </w:drawing>
      </w:r>
    </w:p>
    <w:p w14:paraId="1C8D2FD5" w14:textId="77777777" w:rsidR="00F83AF6" w:rsidRPr="00C33F1A" w:rsidRDefault="00F83AF6" w:rsidP="00F83AF6">
      <w:pPr>
        <w:pStyle w:val="Paragrafoelenco"/>
        <w:spacing w:line="360" w:lineRule="auto"/>
        <w:ind w:left="0"/>
        <w:jc w:val="center"/>
        <w:rPr>
          <w:rFonts w:ascii="Arial" w:hAnsi="Arial" w:cs="Arial"/>
          <w:i/>
          <w:sz w:val="20"/>
          <w:szCs w:val="20"/>
        </w:rPr>
      </w:pPr>
      <w:r>
        <w:rPr>
          <w:rFonts w:ascii="Arial" w:hAnsi="Arial" w:cs="Arial"/>
          <w:i/>
          <w:sz w:val="20"/>
          <w:szCs w:val="20"/>
        </w:rPr>
        <w:t>Rateo di crescita della popolazione mondiale</w:t>
      </w:r>
      <w:r w:rsidRPr="00C33F1A">
        <w:rPr>
          <w:rFonts w:ascii="Arial" w:hAnsi="Arial" w:cs="Arial"/>
          <w:i/>
          <w:sz w:val="20"/>
          <w:szCs w:val="20"/>
        </w:rPr>
        <w:t>, 1950-2021</w:t>
      </w:r>
      <w:r>
        <w:rPr>
          <w:rFonts w:ascii="Arial" w:hAnsi="Arial" w:cs="Arial"/>
          <w:i/>
          <w:sz w:val="20"/>
          <w:szCs w:val="20"/>
        </w:rPr>
        <w:t>.</w:t>
      </w:r>
    </w:p>
    <w:p w14:paraId="6F70C3D6" w14:textId="77777777" w:rsidR="00F83AF6" w:rsidRPr="00C33F1A" w:rsidRDefault="00F83AF6" w:rsidP="00F83AF6">
      <w:pPr>
        <w:pStyle w:val="Paragrafoelenco"/>
        <w:spacing w:line="360" w:lineRule="auto"/>
        <w:ind w:left="0"/>
        <w:contextualSpacing w:val="0"/>
        <w:jc w:val="center"/>
        <w:rPr>
          <w:rFonts w:ascii="Arial" w:hAnsi="Arial" w:cs="Arial"/>
          <w:iCs/>
          <w:sz w:val="20"/>
          <w:szCs w:val="20"/>
        </w:rPr>
      </w:pPr>
      <w:r w:rsidRPr="00C33F1A">
        <w:rPr>
          <w:rFonts w:ascii="Arial" w:hAnsi="Arial" w:cs="Arial"/>
          <w:iCs/>
          <w:sz w:val="20"/>
          <w:szCs w:val="20"/>
        </w:rPr>
        <w:t>Fonte: UN DESA, 2022.</w:t>
      </w:r>
    </w:p>
    <w:p w14:paraId="5415D131" w14:textId="77777777" w:rsidR="00F83AF6" w:rsidRDefault="00F83AF6" w:rsidP="00F83AF6">
      <w:pPr>
        <w:pStyle w:val="Paragrafoelenco"/>
        <w:spacing w:after="0" w:line="360" w:lineRule="auto"/>
        <w:ind w:left="0"/>
        <w:jc w:val="both"/>
        <w:rPr>
          <w:rFonts w:ascii="Arial" w:hAnsi="Arial" w:cs="Arial"/>
          <w:iCs/>
          <w:sz w:val="24"/>
          <w:szCs w:val="24"/>
        </w:rPr>
      </w:pPr>
    </w:p>
    <w:p w14:paraId="640726BB" w14:textId="77777777" w:rsidR="00F83AF6" w:rsidRPr="001337E9" w:rsidRDefault="00F83AF6" w:rsidP="00F83AF6">
      <w:pPr>
        <w:pStyle w:val="Paragrafoelenco"/>
        <w:spacing w:line="360" w:lineRule="auto"/>
        <w:ind w:left="0"/>
        <w:contextualSpacing w:val="0"/>
        <w:jc w:val="both"/>
        <w:rPr>
          <w:rFonts w:ascii="Arial" w:hAnsi="Arial" w:cs="Arial"/>
          <w:iCs/>
          <w:sz w:val="24"/>
          <w:szCs w:val="24"/>
        </w:rPr>
      </w:pPr>
      <w:r w:rsidRPr="005B72AA">
        <w:rPr>
          <w:rFonts w:ascii="Arial" w:hAnsi="Arial" w:cs="Arial"/>
          <w:iCs/>
          <w:sz w:val="24"/>
          <w:szCs w:val="24"/>
        </w:rPr>
        <w:t xml:space="preserve">Le soglie di povertà internazionali sono state aggiornate </w:t>
      </w:r>
      <w:r>
        <w:rPr>
          <w:rFonts w:ascii="Arial" w:hAnsi="Arial" w:cs="Arial"/>
          <w:iCs/>
          <w:sz w:val="24"/>
          <w:szCs w:val="24"/>
        </w:rPr>
        <w:t>dalla Banca Mondiale nel 2022</w:t>
      </w:r>
      <w:r>
        <w:rPr>
          <w:rStyle w:val="Rimandonotaapidipagina"/>
          <w:rFonts w:ascii="Arial" w:hAnsi="Arial" w:cs="Arial"/>
          <w:iCs/>
          <w:sz w:val="24"/>
          <w:szCs w:val="24"/>
        </w:rPr>
        <w:footnoteReference w:id="91"/>
      </w:r>
      <w:r>
        <w:rPr>
          <w:rFonts w:ascii="Arial" w:hAnsi="Arial" w:cs="Arial"/>
          <w:iCs/>
          <w:sz w:val="24"/>
          <w:szCs w:val="24"/>
        </w:rPr>
        <w:t xml:space="preserve">. </w:t>
      </w:r>
      <w:r w:rsidRPr="005B72AA">
        <w:rPr>
          <w:rFonts w:ascii="Arial" w:hAnsi="Arial" w:cs="Arial"/>
          <w:iCs/>
          <w:sz w:val="24"/>
          <w:szCs w:val="24"/>
        </w:rPr>
        <w:t>Le tre soglie di povertà sono</w:t>
      </w:r>
      <w:r>
        <w:rPr>
          <w:rFonts w:ascii="Arial" w:hAnsi="Arial" w:cs="Arial"/>
          <w:iCs/>
          <w:sz w:val="24"/>
          <w:szCs w:val="24"/>
        </w:rPr>
        <w:t xml:space="preserve"> stimate in </w:t>
      </w:r>
      <w:r w:rsidRPr="005B72AA">
        <w:rPr>
          <w:rFonts w:ascii="Arial" w:hAnsi="Arial" w:cs="Arial"/>
          <w:iCs/>
          <w:sz w:val="24"/>
          <w:szCs w:val="24"/>
        </w:rPr>
        <w:t>2,15 dollari</w:t>
      </w:r>
      <w:r>
        <w:rPr>
          <w:rFonts w:ascii="Arial" w:hAnsi="Arial" w:cs="Arial"/>
          <w:iCs/>
          <w:sz w:val="24"/>
          <w:szCs w:val="24"/>
        </w:rPr>
        <w:t xml:space="preserve">, per la </w:t>
      </w:r>
      <w:r w:rsidRPr="005B72AA">
        <w:rPr>
          <w:rFonts w:ascii="Arial" w:hAnsi="Arial" w:cs="Arial"/>
          <w:iCs/>
          <w:sz w:val="24"/>
          <w:szCs w:val="24"/>
        </w:rPr>
        <w:t xml:space="preserve">povertà estrema, </w:t>
      </w:r>
      <w:r>
        <w:rPr>
          <w:rFonts w:ascii="Arial" w:hAnsi="Arial" w:cs="Arial"/>
          <w:iCs/>
          <w:sz w:val="24"/>
          <w:szCs w:val="24"/>
        </w:rPr>
        <w:t xml:space="preserve">in </w:t>
      </w:r>
      <w:r w:rsidRPr="005B72AA">
        <w:rPr>
          <w:rFonts w:ascii="Arial" w:hAnsi="Arial" w:cs="Arial"/>
          <w:iCs/>
          <w:sz w:val="24"/>
          <w:szCs w:val="24"/>
        </w:rPr>
        <w:t xml:space="preserve">3,65 dollari </w:t>
      </w:r>
      <w:r>
        <w:rPr>
          <w:rFonts w:ascii="Arial" w:hAnsi="Arial" w:cs="Arial"/>
          <w:iCs/>
          <w:sz w:val="24"/>
          <w:szCs w:val="24"/>
        </w:rPr>
        <w:t xml:space="preserve">per il </w:t>
      </w:r>
      <w:r w:rsidRPr="005B72AA">
        <w:rPr>
          <w:rFonts w:ascii="Arial" w:hAnsi="Arial" w:cs="Arial"/>
          <w:iCs/>
          <w:sz w:val="24"/>
          <w:szCs w:val="24"/>
        </w:rPr>
        <w:t xml:space="preserve">reddito medio-basso e </w:t>
      </w:r>
      <w:r>
        <w:rPr>
          <w:rFonts w:ascii="Arial" w:hAnsi="Arial" w:cs="Arial"/>
          <w:iCs/>
          <w:sz w:val="24"/>
          <w:szCs w:val="24"/>
        </w:rPr>
        <w:t xml:space="preserve">in </w:t>
      </w:r>
      <w:r w:rsidRPr="005B72AA">
        <w:rPr>
          <w:rFonts w:ascii="Arial" w:hAnsi="Arial" w:cs="Arial"/>
          <w:iCs/>
          <w:sz w:val="24"/>
          <w:szCs w:val="24"/>
        </w:rPr>
        <w:t xml:space="preserve">6,85 dollari </w:t>
      </w:r>
      <w:r>
        <w:rPr>
          <w:rFonts w:ascii="Arial" w:hAnsi="Arial" w:cs="Arial"/>
          <w:iCs/>
          <w:sz w:val="24"/>
          <w:szCs w:val="24"/>
        </w:rPr>
        <w:t xml:space="preserve">per il </w:t>
      </w:r>
      <w:r w:rsidRPr="005B72AA">
        <w:rPr>
          <w:rFonts w:ascii="Arial" w:hAnsi="Arial" w:cs="Arial"/>
          <w:iCs/>
          <w:sz w:val="24"/>
          <w:szCs w:val="24"/>
        </w:rPr>
        <w:t>reddito medio-alto.</w:t>
      </w:r>
      <w:r>
        <w:rPr>
          <w:rFonts w:ascii="Arial" w:hAnsi="Arial" w:cs="Arial"/>
          <w:iCs/>
          <w:sz w:val="24"/>
          <w:szCs w:val="24"/>
        </w:rPr>
        <w:t xml:space="preserve"> </w:t>
      </w:r>
      <w:r w:rsidRPr="001337E9">
        <w:rPr>
          <w:rFonts w:ascii="Arial" w:hAnsi="Arial" w:cs="Arial"/>
          <w:iCs/>
          <w:sz w:val="24"/>
          <w:szCs w:val="24"/>
        </w:rPr>
        <w:t>C</w:t>
      </w:r>
      <w:r>
        <w:rPr>
          <w:rFonts w:ascii="Arial" w:hAnsi="Arial" w:cs="Arial"/>
          <w:iCs/>
          <w:sz w:val="24"/>
          <w:szCs w:val="24"/>
        </w:rPr>
        <w:t>onseguentemente, ciò comporta che c</w:t>
      </w:r>
      <w:r w:rsidRPr="001337E9">
        <w:rPr>
          <w:rFonts w:ascii="Arial" w:hAnsi="Arial" w:cs="Arial"/>
          <w:iCs/>
          <w:sz w:val="24"/>
          <w:szCs w:val="24"/>
        </w:rPr>
        <w:t xml:space="preserve">hiunque viva con meno di 2,15 dollari al giorno è in condizioni di estrema povertà. Nel mondo, sono circa 719 milioni le persone che </w:t>
      </w:r>
      <w:r>
        <w:rPr>
          <w:rFonts w:ascii="Arial" w:hAnsi="Arial" w:cs="Arial"/>
          <w:iCs/>
          <w:sz w:val="24"/>
          <w:szCs w:val="24"/>
        </w:rPr>
        <w:t>gravano in questo stato.</w:t>
      </w:r>
      <w:r w:rsidRPr="001337E9">
        <w:rPr>
          <w:rFonts w:ascii="Arial" w:hAnsi="Arial" w:cs="Arial"/>
          <w:iCs/>
          <w:sz w:val="24"/>
          <w:szCs w:val="24"/>
        </w:rPr>
        <w:t xml:space="preserve"> Inoltre, sempre la World Bank, rileva che quasi la metà della popolazione mondiale (47%) vive con meno di 6,85 dollari al giorno</w:t>
      </w:r>
      <w:r w:rsidRPr="001337E9">
        <w:rPr>
          <w:rStyle w:val="Rimandonotaapidipagina"/>
          <w:rFonts w:ascii="Arial" w:hAnsi="Arial" w:cs="Arial"/>
          <w:iCs/>
          <w:sz w:val="24"/>
          <w:szCs w:val="24"/>
        </w:rPr>
        <w:footnoteReference w:id="92"/>
      </w:r>
      <w:r w:rsidRPr="001337E9">
        <w:rPr>
          <w:rFonts w:ascii="Arial" w:hAnsi="Arial" w:cs="Arial"/>
          <w:iCs/>
          <w:sz w:val="24"/>
          <w:szCs w:val="24"/>
        </w:rPr>
        <w:t>.</w:t>
      </w:r>
    </w:p>
    <w:p w14:paraId="0165BD49" w14:textId="77777777" w:rsidR="00F83AF6" w:rsidRPr="001337E9" w:rsidRDefault="00F83AF6" w:rsidP="00F83AF6">
      <w:pPr>
        <w:pStyle w:val="Paragrafoelenco"/>
        <w:spacing w:line="360" w:lineRule="auto"/>
        <w:ind w:left="0"/>
        <w:jc w:val="both"/>
        <w:rPr>
          <w:rFonts w:ascii="Arial" w:hAnsi="Arial" w:cs="Arial"/>
          <w:iCs/>
          <w:sz w:val="24"/>
          <w:szCs w:val="24"/>
        </w:rPr>
      </w:pPr>
      <w:r w:rsidRPr="001337E9">
        <w:rPr>
          <w:rFonts w:ascii="Arial" w:hAnsi="Arial" w:cs="Arial"/>
          <w:iCs/>
          <w:sz w:val="24"/>
          <w:szCs w:val="24"/>
        </w:rPr>
        <w:t xml:space="preserve">La pandemia </w:t>
      </w:r>
      <w:r>
        <w:rPr>
          <w:rFonts w:ascii="Arial" w:hAnsi="Arial" w:cs="Arial"/>
          <w:iCs/>
          <w:sz w:val="24"/>
          <w:szCs w:val="24"/>
        </w:rPr>
        <w:t>da “</w:t>
      </w:r>
      <w:r w:rsidRPr="001337E9">
        <w:rPr>
          <w:rFonts w:ascii="Arial" w:hAnsi="Arial" w:cs="Arial"/>
          <w:iCs/>
          <w:sz w:val="24"/>
          <w:szCs w:val="24"/>
        </w:rPr>
        <w:t>COVID-19</w:t>
      </w:r>
      <w:r>
        <w:rPr>
          <w:rFonts w:ascii="Arial" w:hAnsi="Arial" w:cs="Arial"/>
          <w:iCs/>
          <w:sz w:val="24"/>
          <w:szCs w:val="24"/>
        </w:rPr>
        <w:t>”</w:t>
      </w:r>
      <w:r w:rsidRPr="001337E9">
        <w:rPr>
          <w:rFonts w:ascii="Arial" w:hAnsi="Arial" w:cs="Arial"/>
          <w:iCs/>
          <w:sz w:val="24"/>
          <w:szCs w:val="24"/>
        </w:rPr>
        <w:t xml:space="preserve"> ha determinato la più grande battuta d’arresto agli sforzi globali di riduzione della povertà dal 1990, aumentando il numero di persone in condizioni di povertà estrema di circa 70 milioni. L</w:t>
      </w:r>
      <w:r>
        <w:rPr>
          <w:rFonts w:ascii="Arial" w:hAnsi="Arial" w:cs="Arial"/>
          <w:iCs/>
          <w:sz w:val="24"/>
          <w:szCs w:val="24"/>
        </w:rPr>
        <w:t>’</w:t>
      </w:r>
      <w:r w:rsidRPr="001337E9">
        <w:rPr>
          <w:rFonts w:ascii="Arial" w:hAnsi="Arial" w:cs="Arial"/>
          <w:iCs/>
          <w:sz w:val="24"/>
          <w:szCs w:val="24"/>
        </w:rPr>
        <w:t>aumento delle crisi energetiche e alimentari, causate in parte dalle guerre in atto e dall’invasione russa dell</w:t>
      </w:r>
      <w:r>
        <w:rPr>
          <w:rFonts w:ascii="Arial" w:hAnsi="Arial" w:cs="Arial"/>
          <w:iCs/>
          <w:sz w:val="24"/>
          <w:szCs w:val="24"/>
        </w:rPr>
        <w:t>’</w:t>
      </w:r>
      <w:r w:rsidRPr="001337E9">
        <w:rPr>
          <w:rFonts w:ascii="Arial" w:hAnsi="Arial" w:cs="Arial"/>
          <w:iCs/>
          <w:sz w:val="24"/>
          <w:szCs w:val="24"/>
        </w:rPr>
        <w:t>Ucraina, nonché gli effetti dei cambiamenti climatici contribuiscono a una ripresa disomogenea.</w:t>
      </w:r>
    </w:p>
    <w:p w14:paraId="371B5BD5" w14:textId="77777777" w:rsidR="00F83AF6" w:rsidRPr="001337E9" w:rsidRDefault="00F83AF6" w:rsidP="00F83AF6">
      <w:pPr>
        <w:pStyle w:val="Paragrafoelenco"/>
        <w:spacing w:line="360" w:lineRule="auto"/>
        <w:ind w:left="0"/>
        <w:jc w:val="center"/>
        <w:rPr>
          <w:rFonts w:ascii="Arial" w:hAnsi="Arial" w:cs="Arial"/>
          <w:iCs/>
          <w:sz w:val="24"/>
          <w:szCs w:val="24"/>
        </w:rPr>
      </w:pPr>
      <w:r w:rsidRPr="001337E9">
        <w:rPr>
          <w:rFonts w:ascii="Arial" w:hAnsi="Arial" w:cs="Arial"/>
          <w:iCs/>
          <w:noProof/>
          <w:sz w:val="24"/>
          <w:szCs w:val="24"/>
          <w:lang w:eastAsia="it-IT"/>
        </w:rPr>
        <w:lastRenderedPageBreak/>
        <w:drawing>
          <wp:inline distT="0" distB="0" distL="0" distR="0" wp14:anchorId="06CC3A0C" wp14:editId="63DB9D39">
            <wp:extent cx="5956300" cy="3130550"/>
            <wp:effectExtent l="0" t="0" r="6350" b="0"/>
            <wp:docPr id="1174810340" name="Immagine 1" descr="Immagine che contiene testo, schermata, software,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708839" name="Immagine 1" descr="Immagine che contiene testo, schermata, software, Diagramma&#10;&#10;Descrizione generata automaticamente"/>
                    <pic:cNvPicPr/>
                  </pic:nvPicPr>
                  <pic:blipFill rotWithShape="1">
                    <a:blip r:embed="rId26"/>
                    <a:srcRect t="9691" b="8240"/>
                    <a:stretch/>
                  </pic:blipFill>
                  <pic:spPr bwMode="auto">
                    <a:xfrm>
                      <a:off x="0" y="0"/>
                      <a:ext cx="5971097" cy="3138327"/>
                    </a:xfrm>
                    <a:prstGeom prst="rect">
                      <a:avLst/>
                    </a:prstGeom>
                    <a:ln>
                      <a:noFill/>
                    </a:ln>
                    <a:extLst>
                      <a:ext uri="{53640926-AAD7-44D8-BBD7-CCE9431645EC}">
                        <a14:shadowObscured xmlns:a14="http://schemas.microsoft.com/office/drawing/2010/main"/>
                      </a:ext>
                    </a:extLst>
                  </pic:spPr>
                </pic:pic>
              </a:graphicData>
            </a:graphic>
          </wp:inline>
        </w:drawing>
      </w:r>
    </w:p>
    <w:p w14:paraId="2F9ECAB4" w14:textId="77777777" w:rsidR="00F83AF6" w:rsidRPr="00C33F1A" w:rsidRDefault="00F83AF6" w:rsidP="00F83AF6">
      <w:pPr>
        <w:pStyle w:val="Paragrafoelenco"/>
        <w:spacing w:line="360" w:lineRule="auto"/>
        <w:ind w:left="0"/>
        <w:jc w:val="center"/>
        <w:rPr>
          <w:rFonts w:ascii="Arial" w:hAnsi="Arial" w:cs="Arial"/>
          <w:i/>
          <w:sz w:val="20"/>
          <w:szCs w:val="20"/>
        </w:rPr>
      </w:pPr>
      <w:r>
        <w:rPr>
          <w:rFonts w:ascii="Arial" w:hAnsi="Arial" w:cs="Arial"/>
          <w:i/>
          <w:sz w:val="20"/>
          <w:szCs w:val="20"/>
        </w:rPr>
        <w:t>Persone nel mondo al di sotto della soglia di povertà di 2,15 dollari al giorno nel 2019.</w:t>
      </w:r>
    </w:p>
    <w:p w14:paraId="79D335E7" w14:textId="77777777" w:rsidR="00F83AF6" w:rsidRPr="00372780" w:rsidRDefault="00F83AF6" w:rsidP="00F83AF6">
      <w:pPr>
        <w:pStyle w:val="Paragrafoelenco"/>
        <w:spacing w:line="360" w:lineRule="auto"/>
        <w:ind w:left="0"/>
        <w:contextualSpacing w:val="0"/>
        <w:jc w:val="center"/>
        <w:rPr>
          <w:rFonts w:ascii="Arial" w:hAnsi="Arial" w:cs="Arial"/>
          <w:iCs/>
          <w:sz w:val="20"/>
          <w:szCs w:val="20"/>
          <w:lang w:val="en-US"/>
        </w:rPr>
      </w:pPr>
      <w:r w:rsidRPr="00372780">
        <w:rPr>
          <w:rFonts w:ascii="Arial" w:hAnsi="Arial" w:cs="Arial"/>
          <w:iCs/>
          <w:sz w:val="20"/>
          <w:szCs w:val="20"/>
          <w:lang w:val="en-US"/>
        </w:rPr>
        <w:t xml:space="preserve">Fonte: World Bank, </w:t>
      </w:r>
      <w:r w:rsidRPr="00372780">
        <w:rPr>
          <w:rFonts w:ascii="Arial" w:hAnsi="Arial" w:cs="Arial"/>
          <w:i/>
          <w:sz w:val="20"/>
          <w:szCs w:val="20"/>
          <w:lang w:val="en-US"/>
        </w:rPr>
        <w:t>Poverty and Inequality Platform</w:t>
      </w:r>
      <w:r w:rsidRPr="00372780">
        <w:rPr>
          <w:rFonts w:ascii="Arial" w:hAnsi="Arial" w:cs="Arial"/>
          <w:iCs/>
          <w:sz w:val="20"/>
          <w:szCs w:val="20"/>
          <w:lang w:val="en-US"/>
        </w:rPr>
        <w:t>, 2024.</w:t>
      </w:r>
    </w:p>
    <w:p w14:paraId="36C7C8F1" w14:textId="77777777" w:rsidR="00F83AF6" w:rsidRPr="001C5B83" w:rsidRDefault="00F83AF6" w:rsidP="00F83AF6">
      <w:pPr>
        <w:pStyle w:val="Paragrafoelenco"/>
        <w:spacing w:after="0" w:line="360" w:lineRule="auto"/>
        <w:ind w:left="0"/>
        <w:contextualSpacing w:val="0"/>
        <w:jc w:val="both"/>
        <w:rPr>
          <w:rFonts w:ascii="Arial" w:hAnsi="Arial" w:cs="Arial"/>
          <w:iCs/>
          <w:sz w:val="24"/>
          <w:szCs w:val="24"/>
          <w:lang w:val="en-US"/>
        </w:rPr>
      </w:pPr>
    </w:p>
    <w:p w14:paraId="2974A04A" w14:textId="77777777" w:rsidR="00F83AF6" w:rsidRDefault="00F83AF6" w:rsidP="00F83AF6">
      <w:pPr>
        <w:pStyle w:val="Paragrafoelenco"/>
        <w:spacing w:after="0" w:line="360" w:lineRule="auto"/>
        <w:ind w:left="0"/>
        <w:contextualSpacing w:val="0"/>
        <w:jc w:val="both"/>
        <w:rPr>
          <w:rFonts w:ascii="Arial" w:hAnsi="Arial" w:cs="Arial"/>
          <w:iCs/>
          <w:sz w:val="24"/>
          <w:szCs w:val="24"/>
        </w:rPr>
      </w:pPr>
      <w:r w:rsidRPr="00135D90">
        <w:rPr>
          <w:rFonts w:ascii="Arial" w:hAnsi="Arial" w:cs="Arial"/>
          <w:iCs/>
          <w:sz w:val="24"/>
          <w:szCs w:val="24"/>
        </w:rPr>
        <w:t>La povertà estrema</w:t>
      </w:r>
      <w:r>
        <w:rPr>
          <w:rFonts w:ascii="Arial" w:hAnsi="Arial" w:cs="Arial"/>
          <w:iCs/>
          <w:sz w:val="24"/>
          <w:szCs w:val="24"/>
        </w:rPr>
        <w:t xml:space="preserve"> (IPL)</w:t>
      </w:r>
      <w:r w:rsidRPr="00135D90">
        <w:rPr>
          <w:rFonts w:ascii="Arial" w:hAnsi="Arial" w:cs="Arial"/>
          <w:iCs/>
          <w:sz w:val="24"/>
          <w:szCs w:val="24"/>
        </w:rPr>
        <w:t xml:space="preserve"> </w:t>
      </w:r>
      <w:r>
        <w:rPr>
          <w:rFonts w:ascii="Arial" w:hAnsi="Arial" w:cs="Arial"/>
          <w:iCs/>
          <w:sz w:val="24"/>
          <w:szCs w:val="24"/>
        </w:rPr>
        <w:t>può essere</w:t>
      </w:r>
      <w:r w:rsidRPr="00135D90">
        <w:rPr>
          <w:rFonts w:ascii="Arial" w:hAnsi="Arial" w:cs="Arial"/>
          <w:iCs/>
          <w:sz w:val="24"/>
          <w:szCs w:val="24"/>
        </w:rPr>
        <w:t xml:space="preserve"> c</w:t>
      </w:r>
      <w:r>
        <w:rPr>
          <w:rFonts w:ascii="Arial" w:hAnsi="Arial" w:cs="Arial"/>
          <w:iCs/>
          <w:sz w:val="24"/>
          <w:szCs w:val="24"/>
        </w:rPr>
        <w:t xml:space="preserve">onfrontata con la povertà sociale (SPL), calcolata con la formula </w:t>
      </w:r>
      <w:r w:rsidRPr="000040D4">
        <w:rPr>
          <w:rFonts w:ascii="Arial" w:hAnsi="Arial" w:cs="Arial"/>
          <w:iCs/>
          <w:sz w:val="24"/>
          <w:szCs w:val="24"/>
        </w:rPr>
        <w:t>(2,15</w:t>
      </w:r>
      <w:r>
        <w:rPr>
          <w:rFonts w:ascii="Arial" w:hAnsi="Arial" w:cs="Arial"/>
          <w:iCs/>
          <w:sz w:val="24"/>
          <w:szCs w:val="24"/>
        </w:rPr>
        <w:t xml:space="preserve"> </w:t>
      </w:r>
      <w:r w:rsidRPr="000040D4">
        <w:rPr>
          <w:rFonts w:ascii="Arial" w:hAnsi="Arial" w:cs="Arial"/>
          <w:iCs/>
          <w:sz w:val="24"/>
          <w:szCs w:val="24"/>
        </w:rPr>
        <w:t>$, 1,15</w:t>
      </w:r>
      <w:r>
        <w:rPr>
          <w:rFonts w:ascii="Arial" w:hAnsi="Arial" w:cs="Arial"/>
          <w:iCs/>
          <w:sz w:val="24"/>
          <w:szCs w:val="24"/>
        </w:rPr>
        <w:t xml:space="preserve"> </w:t>
      </w:r>
      <w:r w:rsidRPr="000040D4">
        <w:rPr>
          <w:rFonts w:ascii="Arial" w:hAnsi="Arial" w:cs="Arial"/>
          <w:iCs/>
          <w:sz w:val="24"/>
          <w:szCs w:val="24"/>
        </w:rPr>
        <w:t>$ + 0,5</w:t>
      </w:r>
      <w:r>
        <w:rPr>
          <w:rFonts w:ascii="Arial" w:hAnsi="Arial" w:cs="Arial"/>
          <w:iCs/>
          <w:sz w:val="24"/>
          <w:szCs w:val="24"/>
        </w:rPr>
        <w:t xml:space="preserve"> </w:t>
      </w:r>
      <w:r w:rsidRPr="000040D4">
        <w:rPr>
          <w:rFonts w:ascii="Arial" w:hAnsi="Arial" w:cs="Arial"/>
          <w:iCs/>
          <w:sz w:val="24"/>
          <w:szCs w:val="24"/>
        </w:rPr>
        <w:t>*</w:t>
      </w:r>
      <w:r>
        <w:rPr>
          <w:rFonts w:ascii="Arial" w:hAnsi="Arial" w:cs="Arial"/>
          <w:iCs/>
          <w:sz w:val="24"/>
          <w:szCs w:val="24"/>
        </w:rPr>
        <w:t xml:space="preserve"> </w:t>
      </w:r>
      <w:r w:rsidRPr="000040D4">
        <w:rPr>
          <w:rFonts w:ascii="Arial" w:hAnsi="Arial" w:cs="Arial"/>
          <w:iCs/>
          <w:sz w:val="24"/>
          <w:szCs w:val="24"/>
        </w:rPr>
        <w:t>mediana).</w:t>
      </w:r>
      <w:r>
        <w:rPr>
          <w:rFonts w:ascii="Arial" w:hAnsi="Arial" w:cs="Arial"/>
          <w:iCs/>
          <w:sz w:val="24"/>
          <w:szCs w:val="24"/>
        </w:rPr>
        <w:t xml:space="preserve"> </w:t>
      </w:r>
      <w:r w:rsidRPr="000040D4">
        <w:rPr>
          <w:rFonts w:ascii="Arial" w:hAnsi="Arial" w:cs="Arial"/>
          <w:iCs/>
          <w:sz w:val="24"/>
          <w:szCs w:val="24"/>
        </w:rPr>
        <w:t>Ad esempio, per un paese con un consumo medio di 3,00</w:t>
      </w:r>
      <w:r>
        <w:rPr>
          <w:rFonts w:ascii="Arial" w:hAnsi="Arial" w:cs="Arial"/>
          <w:iCs/>
          <w:sz w:val="24"/>
          <w:szCs w:val="24"/>
        </w:rPr>
        <w:t xml:space="preserve"> </w:t>
      </w:r>
      <w:r w:rsidRPr="000040D4">
        <w:rPr>
          <w:rFonts w:ascii="Arial" w:hAnsi="Arial" w:cs="Arial"/>
          <w:iCs/>
          <w:sz w:val="24"/>
          <w:szCs w:val="24"/>
        </w:rPr>
        <w:t xml:space="preserve">$ pro capite al giorno, la SPL </w:t>
      </w:r>
      <w:r>
        <w:rPr>
          <w:rFonts w:ascii="Arial" w:hAnsi="Arial" w:cs="Arial"/>
          <w:iCs/>
          <w:sz w:val="24"/>
          <w:szCs w:val="24"/>
        </w:rPr>
        <w:t xml:space="preserve">è </w:t>
      </w:r>
      <w:r w:rsidRPr="000040D4">
        <w:rPr>
          <w:rFonts w:ascii="Arial" w:hAnsi="Arial" w:cs="Arial"/>
          <w:iCs/>
          <w:sz w:val="24"/>
          <w:szCs w:val="24"/>
        </w:rPr>
        <w:t xml:space="preserve">fissata a </w:t>
      </w:r>
      <w:r>
        <w:rPr>
          <w:rFonts w:ascii="Arial" w:hAnsi="Arial" w:cs="Arial"/>
          <w:iCs/>
          <w:sz w:val="24"/>
          <w:szCs w:val="24"/>
        </w:rPr>
        <w:t>2,65</w:t>
      </w:r>
      <w:r w:rsidRPr="000040D4">
        <w:rPr>
          <w:rFonts w:ascii="Arial" w:hAnsi="Arial" w:cs="Arial"/>
          <w:iCs/>
          <w:sz w:val="24"/>
          <w:szCs w:val="24"/>
        </w:rPr>
        <w:t xml:space="preserve"> $ (= </w:t>
      </w:r>
      <w:r>
        <w:rPr>
          <w:rFonts w:ascii="Arial" w:hAnsi="Arial" w:cs="Arial"/>
          <w:iCs/>
          <w:sz w:val="24"/>
          <w:szCs w:val="24"/>
        </w:rPr>
        <w:t>1,15</w:t>
      </w:r>
      <w:r w:rsidRPr="000040D4">
        <w:rPr>
          <w:rFonts w:ascii="Arial" w:hAnsi="Arial" w:cs="Arial"/>
          <w:iCs/>
          <w:sz w:val="24"/>
          <w:szCs w:val="24"/>
        </w:rPr>
        <w:t xml:space="preserve"> $</w:t>
      </w:r>
      <w:r>
        <w:rPr>
          <w:rFonts w:ascii="Arial" w:hAnsi="Arial" w:cs="Arial"/>
          <w:iCs/>
          <w:sz w:val="24"/>
          <w:szCs w:val="24"/>
        </w:rPr>
        <w:t xml:space="preserve"> </w:t>
      </w:r>
      <w:r w:rsidRPr="000040D4">
        <w:rPr>
          <w:rFonts w:ascii="Arial" w:hAnsi="Arial" w:cs="Arial"/>
          <w:iCs/>
          <w:sz w:val="24"/>
          <w:szCs w:val="24"/>
        </w:rPr>
        <w:t>+</w:t>
      </w:r>
      <w:r>
        <w:rPr>
          <w:rFonts w:ascii="Arial" w:hAnsi="Arial" w:cs="Arial"/>
          <w:iCs/>
          <w:sz w:val="24"/>
          <w:szCs w:val="24"/>
        </w:rPr>
        <w:t xml:space="preserve"> </w:t>
      </w:r>
      <w:r w:rsidRPr="000040D4">
        <w:rPr>
          <w:rFonts w:ascii="Arial" w:hAnsi="Arial" w:cs="Arial"/>
          <w:iCs/>
          <w:sz w:val="24"/>
          <w:szCs w:val="24"/>
        </w:rPr>
        <w:t>0,5</w:t>
      </w:r>
      <w:r>
        <w:rPr>
          <w:rFonts w:ascii="Arial" w:hAnsi="Arial" w:cs="Arial"/>
          <w:iCs/>
          <w:sz w:val="24"/>
          <w:szCs w:val="24"/>
        </w:rPr>
        <w:t xml:space="preserve"> </w:t>
      </w:r>
      <w:r w:rsidRPr="000040D4">
        <w:rPr>
          <w:rFonts w:ascii="Arial" w:hAnsi="Arial" w:cs="Arial"/>
          <w:iCs/>
          <w:sz w:val="24"/>
          <w:szCs w:val="24"/>
        </w:rPr>
        <w:t>*</w:t>
      </w:r>
      <w:r>
        <w:rPr>
          <w:rFonts w:ascii="Arial" w:hAnsi="Arial" w:cs="Arial"/>
          <w:iCs/>
          <w:sz w:val="24"/>
          <w:szCs w:val="24"/>
        </w:rPr>
        <w:t xml:space="preserve"> </w:t>
      </w:r>
      <w:r w:rsidRPr="000040D4">
        <w:rPr>
          <w:rFonts w:ascii="Arial" w:hAnsi="Arial" w:cs="Arial"/>
          <w:iCs/>
          <w:sz w:val="24"/>
          <w:szCs w:val="24"/>
        </w:rPr>
        <w:t>3,00)</w:t>
      </w:r>
      <w:r>
        <w:rPr>
          <w:rFonts w:ascii="Arial" w:hAnsi="Arial" w:cs="Arial"/>
          <w:iCs/>
          <w:sz w:val="24"/>
          <w:szCs w:val="24"/>
        </w:rPr>
        <w:t>.</w:t>
      </w:r>
    </w:p>
    <w:p w14:paraId="7A360F72" w14:textId="7DBBE658" w:rsidR="00F83AF6" w:rsidRPr="00135D90" w:rsidRDefault="00F83AF6" w:rsidP="00F83AF6">
      <w:pPr>
        <w:pStyle w:val="Paragrafoelenco"/>
        <w:spacing w:after="0" w:line="360" w:lineRule="auto"/>
        <w:ind w:left="0"/>
        <w:contextualSpacing w:val="0"/>
        <w:jc w:val="both"/>
        <w:rPr>
          <w:rFonts w:ascii="Arial" w:hAnsi="Arial" w:cs="Arial"/>
          <w:iCs/>
          <w:sz w:val="24"/>
          <w:szCs w:val="24"/>
        </w:rPr>
      </w:pPr>
      <w:r>
        <w:rPr>
          <w:rFonts w:ascii="Arial" w:hAnsi="Arial" w:cs="Arial"/>
          <w:iCs/>
          <w:sz w:val="24"/>
          <w:szCs w:val="24"/>
        </w:rPr>
        <w:t xml:space="preserve">Secondo </w:t>
      </w:r>
      <w:r w:rsidRPr="00D9477D">
        <w:rPr>
          <w:rFonts w:ascii="Arial" w:hAnsi="Arial" w:cs="Arial"/>
          <w:iCs/>
          <w:sz w:val="24"/>
          <w:szCs w:val="24"/>
        </w:rPr>
        <w:t>Jolliffe e Prdyz (2021</w:t>
      </w:r>
      <w:r w:rsidR="007209AD" w:rsidRPr="00D9477D">
        <w:rPr>
          <w:rFonts w:ascii="Arial" w:hAnsi="Arial" w:cs="Arial"/>
          <w:iCs/>
          <w:sz w:val="24"/>
          <w:szCs w:val="24"/>
        </w:rPr>
        <w:t>),</w:t>
      </w:r>
      <w:r w:rsidRPr="00D9477D">
        <w:rPr>
          <w:rFonts w:ascii="Arial" w:hAnsi="Arial" w:cs="Arial"/>
          <w:iCs/>
          <w:sz w:val="24"/>
          <w:szCs w:val="24"/>
        </w:rPr>
        <w:t xml:space="preserve"> la definizione dell</w:t>
      </w:r>
      <w:r>
        <w:rPr>
          <w:rFonts w:ascii="Arial" w:hAnsi="Arial" w:cs="Arial"/>
          <w:iCs/>
          <w:sz w:val="24"/>
          <w:szCs w:val="24"/>
        </w:rPr>
        <w:t xml:space="preserve">a </w:t>
      </w:r>
      <w:r w:rsidRPr="00D9477D">
        <w:rPr>
          <w:rFonts w:ascii="Arial" w:hAnsi="Arial" w:cs="Arial"/>
          <w:iCs/>
          <w:sz w:val="24"/>
          <w:szCs w:val="24"/>
        </w:rPr>
        <w:t>SPL segue da vicino la relazione osservata tra le soglie di povertà nazionali e il consumo o reddito mediano. A differenza della linea di povertà internazionale, che è fissata per tutti i paesi in termini di PPP</w:t>
      </w:r>
      <w:r>
        <w:rPr>
          <w:rFonts w:ascii="Arial" w:hAnsi="Arial" w:cs="Arial"/>
          <w:iCs/>
          <w:sz w:val="24"/>
          <w:szCs w:val="24"/>
        </w:rPr>
        <w:t xml:space="preserve"> (</w:t>
      </w:r>
      <w:r w:rsidRPr="00725556">
        <w:rPr>
          <w:rFonts w:ascii="Arial" w:hAnsi="Arial" w:cs="Arial"/>
          <w:iCs/>
          <w:sz w:val="24"/>
          <w:szCs w:val="24"/>
        </w:rPr>
        <w:t>Purchasing Power Parity</w:t>
      </w:r>
      <w:r>
        <w:rPr>
          <w:rFonts w:ascii="Arial" w:hAnsi="Arial" w:cs="Arial"/>
          <w:iCs/>
          <w:sz w:val="24"/>
          <w:szCs w:val="24"/>
        </w:rPr>
        <w:t>)</w:t>
      </w:r>
      <w:r>
        <w:rPr>
          <w:rStyle w:val="Rimandonotaapidipagina"/>
          <w:rFonts w:ascii="Arial" w:hAnsi="Arial" w:cs="Arial"/>
          <w:iCs/>
          <w:sz w:val="24"/>
          <w:szCs w:val="24"/>
        </w:rPr>
        <w:footnoteReference w:id="93"/>
      </w:r>
      <w:r w:rsidRPr="00D9477D">
        <w:rPr>
          <w:rFonts w:ascii="Arial" w:hAnsi="Arial" w:cs="Arial"/>
          <w:iCs/>
          <w:sz w:val="24"/>
          <w:szCs w:val="24"/>
        </w:rPr>
        <w:t>, la linea di povertà sociale in base alla costruzione varia nel tempo e tra i paesi al variare del consumo mediano</w:t>
      </w:r>
      <w:r>
        <w:rPr>
          <w:rStyle w:val="Rimandonotaapidipagina"/>
          <w:rFonts w:ascii="Arial" w:hAnsi="Arial" w:cs="Arial"/>
          <w:iCs/>
          <w:sz w:val="24"/>
          <w:szCs w:val="24"/>
        </w:rPr>
        <w:footnoteReference w:id="94"/>
      </w:r>
      <w:r w:rsidRPr="00D9477D">
        <w:rPr>
          <w:rFonts w:ascii="Arial" w:hAnsi="Arial" w:cs="Arial"/>
          <w:iCs/>
          <w:sz w:val="24"/>
          <w:szCs w:val="24"/>
        </w:rPr>
        <w:t>.</w:t>
      </w:r>
    </w:p>
    <w:p w14:paraId="06FB7D15" w14:textId="77777777" w:rsidR="00F83AF6" w:rsidRDefault="00F83AF6" w:rsidP="00F83AF6">
      <w:pPr>
        <w:pStyle w:val="Paragrafoelenco"/>
        <w:spacing w:after="0" w:line="360" w:lineRule="auto"/>
        <w:ind w:left="0"/>
        <w:contextualSpacing w:val="0"/>
        <w:jc w:val="both"/>
        <w:rPr>
          <w:rFonts w:ascii="Arial" w:hAnsi="Arial" w:cs="Arial"/>
          <w:iCs/>
          <w:sz w:val="24"/>
          <w:szCs w:val="24"/>
        </w:rPr>
      </w:pPr>
    </w:p>
    <w:p w14:paraId="78FA3B0F" w14:textId="77777777" w:rsidR="00F83AF6" w:rsidRPr="001337E9" w:rsidRDefault="00F83AF6" w:rsidP="00F83AF6">
      <w:pPr>
        <w:pStyle w:val="Paragrafoelenco"/>
        <w:spacing w:line="360" w:lineRule="auto"/>
        <w:ind w:left="0"/>
        <w:contextualSpacing w:val="0"/>
        <w:jc w:val="both"/>
        <w:rPr>
          <w:rFonts w:ascii="Arial" w:hAnsi="Arial" w:cs="Arial"/>
          <w:iCs/>
          <w:sz w:val="24"/>
          <w:szCs w:val="24"/>
        </w:rPr>
      </w:pPr>
    </w:p>
    <w:p w14:paraId="32B8A3A3" w14:textId="77777777" w:rsidR="00F83AF6" w:rsidRPr="001337E9" w:rsidRDefault="00F83AF6" w:rsidP="00F83AF6">
      <w:pPr>
        <w:pStyle w:val="Paragrafoelenco"/>
        <w:spacing w:line="360" w:lineRule="auto"/>
        <w:ind w:left="0"/>
        <w:jc w:val="center"/>
        <w:rPr>
          <w:rFonts w:ascii="Arial" w:hAnsi="Arial" w:cs="Arial"/>
          <w:iCs/>
          <w:sz w:val="24"/>
          <w:szCs w:val="24"/>
        </w:rPr>
      </w:pPr>
      <w:r w:rsidRPr="001337E9">
        <w:rPr>
          <w:rFonts w:ascii="Arial" w:hAnsi="Arial" w:cs="Arial"/>
          <w:iCs/>
          <w:noProof/>
          <w:sz w:val="24"/>
          <w:szCs w:val="24"/>
          <w:lang w:eastAsia="it-IT"/>
        </w:rPr>
        <w:lastRenderedPageBreak/>
        <w:drawing>
          <wp:inline distT="0" distB="0" distL="0" distR="0" wp14:anchorId="7B2B7CC1" wp14:editId="4E5DEB47">
            <wp:extent cx="5937250" cy="3352800"/>
            <wp:effectExtent l="0" t="0" r="6350" b="0"/>
            <wp:docPr id="140202710"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321779" name="Immagine 1" descr="Immagine che contiene testo, diagramma, linea, Diagramma&#10;&#10;Descrizione generata automaticamente"/>
                    <pic:cNvPicPr/>
                  </pic:nvPicPr>
                  <pic:blipFill rotWithShape="1">
                    <a:blip r:embed="rId27"/>
                    <a:srcRect t="1412" b="11367"/>
                    <a:stretch/>
                  </pic:blipFill>
                  <pic:spPr bwMode="auto">
                    <a:xfrm>
                      <a:off x="0" y="0"/>
                      <a:ext cx="5937250" cy="3352800"/>
                    </a:xfrm>
                    <a:prstGeom prst="rect">
                      <a:avLst/>
                    </a:prstGeom>
                    <a:ln>
                      <a:noFill/>
                    </a:ln>
                    <a:extLst>
                      <a:ext uri="{53640926-AAD7-44D8-BBD7-CCE9431645EC}">
                        <a14:shadowObscured xmlns:a14="http://schemas.microsoft.com/office/drawing/2010/main"/>
                      </a:ext>
                    </a:extLst>
                  </pic:spPr>
                </pic:pic>
              </a:graphicData>
            </a:graphic>
          </wp:inline>
        </w:drawing>
      </w:r>
    </w:p>
    <w:p w14:paraId="706A8159" w14:textId="77777777" w:rsidR="00F83AF6" w:rsidRPr="00372780" w:rsidRDefault="00F83AF6" w:rsidP="00F83AF6">
      <w:pPr>
        <w:pStyle w:val="Paragrafoelenco"/>
        <w:spacing w:line="360" w:lineRule="auto"/>
        <w:ind w:left="0"/>
        <w:jc w:val="center"/>
        <w:rPr>
          <w:rFonts w:ascii="Arial" w:hAnsi="Arial" w:cs="Arial"/>
          <w:i/>
          <w:sz w:val="20"/>
          <w:szCs w:val="20"/>
          <w:lang w:val="en-US"/>
        </w:rPr>
      </w:pPr>
      <w:r w:rsidRPr="00372780">
        <w:rPr>
          <w:rFonts w:ascii="Arial" w:hAnsi="Arial" w:cs="Arial"/>
          <w:i/>
          <w:sz w:val="20"/>
          <w:szCs w:val="20"/>
          <w:lang w:val="en-US"/>
        </w:rPr>
        <w:t>Trend povertà mondiale, 2010-2023.</w:t>
      </w:r>
    </w:p>
    <w:p w14:paraId="40F12B11" w14:textId="77777777" w:rsidR="00F83AF6" w:rsidRPr="00372780" w:rsidRDefault="00F83AF6" w:rsidP="00F83AF6">
      <w:pPr>
        <w:pStyle w:val="Paragrafoelenco"/>
        <w:spacing w:line="360" w:lineRule="auto"/>
        <w:ind w:left="0"/>
        <w:jc w:val="center"/>
        <w:rPr>
          <w:rFonts w:ascii="Arial" w:hAnsi="Arial" w:cs="Arial"/>
          <w:iCs/>
          <w:sz w:val="20"/>
          <w:szCs w:val="20"/>
          <w:lang w:val="en-US"/>
        </w:rPr>
      </w:pPr>
      <w:r w:rsidRPr="00372780">
        <w:rPr>
          <w:rFonts w:ascii="Arial" w:hAnsi="Arial" w:cs="Arial"/>
          <w:iCs/>
          <w:sz w:val="20"/>
          <w:szCs w:val="20"/>
          <w:lang w:val="en-US"/>
        </w:rPr>
        <w:t xml:space="preserve">Fonte: </w:t>
      </w:r>
      <w:r w:rsidRPr="00372780">
        <w:rPr>
          <w:rFonts w:ascii="Arial" w:hAnsi="Arial" w:cs="Arial"/>
          <w:i/>
          <w:sz w:val="20"/>
          <w:szCs w:val="20"/>
          <w:lang w:val="en-US"/>
        </w:rPr>
        <w:t>World Bank,</w:t>
      </w:r>
      <w:r w:rsidRPr="00372780">
        <w:rPr>
          <w:rFonts w:ascii="Arial" w:hAnsi="Arial" w:cs="Arial"/>
          <w:iCs/>
          <w:sz w:val="20"/>
          <w:szCs w:val="20"/>
          <w:lang w:val="en-US"/>
        </w:rPr>
        <w:t xml:space="preserve"> </w:t>
      </w:r>
      <w:r w:rsidRPr="00372780">
        <w:rPr>
          <w:rFonts w:ascii="Arial" w:hAnsi="Arial" w:cs="Arial"/>
          <w:i/>
          <w:sz w:val="20"/>
          <w:szCs w:val="20"/>
          <w:lang w:val="en-US"/>
        </w:rPr>
        <w:t>Poverty and Inequality Platform</w:t>
      </w:r>
      <w:r w:rsidRPr="00372780">
        <w:rPr>
          <w:rFonts w:ascii="Arial" w:hAnsi="Arial" w:cs="Arial"/>
          <w:iCs/>
          <w:sz w:val="20"/>
          <w:szCs w:val="20"/>
          <w:lang w:val="en-US"/>
        </w:rPr>
        <w:t>, Mahler et al., 2022.</w:t>
      </w:r>
    </w:p>
    <w:p w14:paraId="7F0E0F34" w14:textId="77777777" w:rsidR="00F83AF6" w:rsidRPr="001C5B83" w:rsidRDefault="00F83AF6" w:rsidP="00F83AF6">
      <w:pPr>
        <w:pStyle w:val="Paragrafoelenco"/>
        <w:spacing w:line="360" w:lineRule="auto"/>
        <w:ind w:left="0"/>
        <w:contextualSpacing w:val="0"/>
        <w:jc w:val="both"/>
        <w:rPr>
          <w:rFonts w:ascii="Arial" w:hAnsi="Arial" w:cs="Arial"/>
          <w:iCs/>
          <w:sz w:val="24"/>
          <w:szCs w:val="24"/>
          <w:lang w:val="en-US"/>
        </w:rPr>
      </w:pPr>
    </w:p>
    <w:p w14:paraId="596A2A89" w14:textId="77777777" w:rsidR="00F83AF6" w:rsidRPr="001337E9" w:rsidRDefault="00F83AF6" w:rsidP="00F83AF6">
      <w:pPr>
        <w:pStyle w:val="Paragrafoelenco"/>
        <w:spacing w:line="360" w:lineRule="auto"/>
        <w:ind w:left="0"/>
        <w:contextualSpacing w:val="0"/>
        <w:jc w:val="both"/>
        <w:rPr>
          <w:rFonts w:ascii="Arial" w:hAnsi="Arial" w:cs="Arial"/>
          <w:iCs/>
          <w:sz w:val="24"/>
          <w:szCs w:val="24"/>
        </w:rPr>
      </w:pPr>
      <w:r w:rsidRPr="001337E9">
        <w:rPr>
          <w:rFonts w:ascii="Arial" w:hAnsi="Arial" w:cs="Arial"/>
          <w:iCs/>
          <w:sz w:val="24"/>
          <w:szCs w:val="24"/>
        </w:rPr>
        <w:t xml:space="preserve">I </w:t>
      </w:r>
      <w:r>
        <w:rPr>
          <w:rFonts w:ascii="Arial" w:hAnsi="Arial" w:cs="Arial"/>
          <w:iCs/>
          <w:sz w:val="24"/>
          <w:szCs w:val="24"/>
        </w:rPr>
        <w:t xml:space="preserve">due </w:t>
      </w:r>
      <w:r w:rsidRPr="001337E9">
        <w:rPr>
          <w:rFonts w:ascii="Arial" w:hAnsi="Arial" w:cs="Arial"/>
          <w:iCs/>
          <w:sz w:val="24"/>
          <w:szCs w:val="24"/>
        </w:rPr>
        <w:t>grafici mostrano la tendenziale diminuzione, nel corso degli anni, rispettivamente, dell’ambito della popolazione in povertà estrema e della percentuale della stessa rispetto alla popolazione mondiale.</w:t>
      </w:r>
    </w:p>
    <w:p w14:paraId="58EEB24B" w14:textId="77777777" w:rsidR="00F83AF6" w:rsidRPr="001337E9" w:rsidRDefault="00F83AF6" w:rsidP="00F83AF6">
      <w:pPr>
        <w:pStyle w:val="Paragrafoelenco"/>
        <w:spacing w:line="360" w:lineRule="auto"/>
        <w:ind w:left="0"/>
        <w:contextualSpacing w:val="0"/>
        <w:jc w:val="both"/>
        <w:rPr>
          <w:rFonts w:ascii="Arial" w:hAnsi="Arial" w:cs="Arial"/>
          <w:iCs/>
          <w:sz w:val="24"/>
          <w:szCs w:val="24"/>
        </w:rPr>
      </w:pPr>
      <w:r w:rsidRPr="001337E9">
        <w:rPr>
          <w:rFonts w:ascii="Arial" w:hAnsi="Arial" w:cs="Arial"/>
          <w:iCs/>
          <w:sz w:val="24"/>
          <w:szCs w:val="24"/>
        </w:rPr>
        <w:t>I paesi a reddito medio-alto e ad alto reddito hanno registrato un calo della povertà nel 2020, adottando, in gran parte, programmi di assistenza sociale rapidi, diffusi e generosi. I paesi a reddito medio-basso hanno subito la maggiore battuta d’arresto iniziale, ma sono tornati ai tassi di povertà pre-COVID entro il 2022. Secondo la World Bank, i paesi a basso reddito, al contrario, sono ancora al di sopra dei tassi di povertà pre-COVID e non riescono a colmare il divario, anche in ragione dell’aumento, seppur modesto, della povertà nel biennio 2022</w:t>
      </w:r>
      <w:r>
        <w:rPr>
          <w:rFonts w:ascii="Arial" w:hAnsi="Arial" w:cs="Arial"/>
          <w:iCs/>
          <w:sz w:val="24"/>
          <w:szCs w:val="24"/>
        </w:rPr>
        <w:t>-</w:t>
      </w:r>
      <w:r w:rsidRPr="001337E9">
        <w:rPr>
          <w:rFonts w:ascii="Arial" w:hAnsi="Arial" w:cs="Arial"/>
          <w:iCs/>
          <w:sz w:val="24"/>
          <w:szCs w:val="24"/>
        </w:rPr>
        <w:t>2023.</w:t>
      </w:r>
    </w:p>
    <w:p w14:paraId="583ACFFF" w14:textId="77777777" w:rsidR="00F83AF6" w:rsidRPr="00D36FCA" w:rsidRDefault="00F83AF6" w:rsidP="00F83AF6">
      <w:pPr>
        <w:pStyle w:val="Paragrafoelenco"/>
        <w:spacing w:line="360" w:lineRule="auto"/>
        <w:ind w:left="0"/>
        <w:contextualSpacing w:val="0"/>
        <w:jc w:val="both"/>
        <w:rPr>
          <w:rFonts w:ascii="Arial" w:hAnsi="Arial" w:cs="Arial"/>
          <w:iCs/>
          <w:sz w:val="24"/>
          <w:szCs w:val="24"/>
        </w:rPr>
      </w:pPr>
      <w:r>
        <w:rPr>
          <w:rFonts w:ascii="Arial" w:hAnsi="Arial" w:cs="Arial"/>
          <w:iCs/>
          <w:sz w:val="24"/>
          <w:szCs w:val="24"/>
        </w:rPr>
        <w:t>N</w:t>
      </w:r>
      <w:r w:rsidRPr="00D36FCA">
        <w:rPr>
          <w:rFonts w:ascii="Arial" w:hAnsi="Arial" w:cs="Arial"/>
          <w:iCs/>
          <w:sz w:val="24"/>
          <w:szCs w:val="24"/>
        </w:rPr>
        <w:t>ell’ambito dei programmi destinati a contrastare la povertà, l’Assemblea Generale delle Nazioni Unite, con la Risoluzione 70/1</w:t>
      </w:r>
      <w:r w:rsidRPr="00D36FCA">
        <w:rPr>
          <w:rStyle w:val="Rimandonotaapidipagina"/>
          <w:rFonts w:ascii="Arial" w:hAnsi="Arial" w:cs="Arial"/>
          <w:iCs/>
          <w:sz w:val="24"/>
          <w:szCs w:val="24"/>
        </w:rPr>
        <w:footnoteReference w:id="95"/>
      </w:r>
      <w:r w:rsidRPr="00D36FCA">
        <w:rPr>
          <w:rFonts w:ascii="Arial" w:hAnsi="Arial" w:cs="Arial"/>
          <w:iCs/>
          <w:sz w:val="24"/>
          <w:szCs w:val="24"/>
        </w:rPr>
        <w:t xml:space="preserve"> del 25 settembre 2015, ha approvato l’Agenda 2030 per lo Sviluppo Sostenibile, che nei suoi 17 Obiettivi</w:t>
      </w:r>
      <w:r>
        <w:rPr>
          <w:rFonts w:ascii="Arial" w:hAnsi="Arial" w:cs="Arial"/>
          <w:iCs/>
          <w:sz w:val="24"/>
          <w:szCs w:val="24"/>
        </w:rPr>
        <w:t xml:space="preserve"> per lo Sviluppo</w:t>
      </w:r>
      <w:r w:rsidRPr="00D36FCA">
        <w:rPr>
          <w:rFonts w:ascii="Arial" w:hAnsi="Arial" w:cs="Arial"/>
          <w:iCs/>
          <w:sz w:val="24"/>
          <w:szCs w:val="24"/>
        </w:rPr>
        <w:t xml:space="preserve"> (</w:t>
      </w:r>
      <w:r w:rsidRPr="00D36FCA">
        <w:rPr>
          <w:rFonts w:ascii="Arial" w:hAnsi="Arial" w:cs="Arial"/>
          <w:i/>
          <w:sz w:val="24"/>
          <w:szCs w:val="24"/>
        </w:rPr>
        <w:t>Sustainable Development Goals</w:t>
      </w:r>
      <w:r>
        <w:rPr>
          <w:rFonts w:ascii="Arial" w:hAnsi="Arial" w:cs="Arial"/>
          <w:i/>
          <w:sz w:val="24"/>
          <w:szCs w:val="24"/>
        </w:rPr>
        <w:t xml:space="preserve"> - SDG)</w:t>
      </w:r>
      <w:r w:rsidRPr="00D36FCA">
        <w:rPr>
          <w:rFonts w:ascii="Arial" w:hAnsi="Arial" w:cs="Arial"/>
          <w:iCs/>
          <w:sz w:val="24"/>
          <w:szCs w:val="24"/>
        </w:rPr>
        <w:t xml:space="preserve"> pone al primo posto la sconfitta della povertà nel mondo, in continuità con gli </w:t>
      </w:r>
      <w:r>
        <w:rPr>
          <w:rFonts w:ascii="Arial" w:hAnsi="Arial" w:cs="Arial"/>
          <w:iCs/>
          <w:sz w:val="24"/>
          <w:szCs w:val="24"/>
        </w:rPr>
        <w:t>Obiettivi di Sviluppo del Millennio (</w:t>
      </w:r>
      <w:r w:rsidRPr="006069EE">
        <w:rPr>
          <w:rFonts w:ascii="Arial" w:hAnsi="Arial" w:cs="Arial"/>
          <w:i/>
          <w:sz w:val="24"/>
          <w:szCs w:val="24"/>
        </w:rPr>
        <w:t>Millenium Development Goals - MDG</w:t>
      </w:r>
      <w:r w:rsidRPr="00D36FCA">
        <w:rPr>
          <w:rFonts w:ascii="Arial" w:hAnsi="Arial" w:cs="Arial"/>
          <w:iCs/>
          <w:sz w:val="24"/>
          <w:szCs w:val="24"/>
        </w:rPr>
        <w:t xml:space="preserve">), </w:t>
      </w:r>
      <w:r>
        <w:rPr>
          <w:rFonts w:ascii="Arial" w:hAnsi="Arial" w:cs="Arial"/>
          <w:iCs/>
          <w:sz w:val="24"/>
          <w:szCs w:val="24"/>
        </w:rPr>
        <w:lastRenderedPageBreak/>
        <w:t>nella cui lista degli otto obiettivi da raggiungere entro il 2015, era stato inserito, al primo posto. lo sradicamento della povertà</w:t>
      </w:r>
      <w:r>
        <w:rPr>
          <w:rStyle w:val="Rimandonotaapidipagina"/>
          <w:rFonts w:ascii="Arial" w:hAnsi="Arial" w:cs="Arial"/>
          <w:iCs/>
          <w:sz w:val="24"/>
          <w:szCs w:val="24"/>
        </w:rPr>
        <w:footnoteReference w:id="96"/>
      </w:r>
    </w:p>
    <w:p w14:paraId="634A40ED" w14:textId="77777777" w:rsidR="00F83AF6" w:rsidRPr="001337E9" w:rsidRDefault="00F83AF6" w:rsidP="00F83AF6">
      <w:pPr>
        <w:pStyle w:val="Paragrafoelenco"/>
        <w:spacing w:line="360" w:lineRule="auto"/>
        <w:ind w:left="0"/>
        <w:jc w:val="both"/>
        <w:rPr>
          <w:rFonts w:ascii="Arial" w:hAnsi="Arial" w:cs="Arial"/>
          <w:iCs/>
          <w:sz w:val="24"/>
          <w:szCs w:val="24"/>
        </w:rPr>
      </w:pPr>
      <w:r>
        <w:rPr>
          <w:rFonts w:ascii="Arial" w:hAnsi="Arial" w:cs="Arial"/>
          <w:iCs/>
          <w:sz w:val="24"/>
          <w:szCs w:val="24"/>
        </w:rPr>
        <w:t>Si</w:t>
      </w:r>
      <w:r w:rsidRPr="001337E9">
        <w:rPr>
          <w:rFonts w:ascii="Arial" w:hAnsi="Arial" w:cs="Arial"/>
          <w:iCs/>
          <w:sz w:val="24"/>
          <w:szCs w:val="24"/>
        </w:rPr>
        <w:t xml:space="preserve"> riportano</w:t>
      </w:r>
      <w:r>
        <w:rPr>
          <w:rFonts w:ascii="Arial" w:hAnsi="Arial" w:cs="Arial"/>
          <w:iCs/>
          <w:sz w:val="24"/>
          <w:szCs w:val="24"/>
        </w:rPr>
        <w:t xml:space="preserve">, di seguito, </w:t>
      </w:r>
      <w:r w:rsidRPr="001337E9">
        <w:rPr>
          <w:rFonts w:ascii="Arial" w:hAnsi="Arial" w:cs="Arial"/>
          <w:iCs/>
          <w:sz w:val="24"/>
          <w:szCs w:val="24"/>
        </w:rPr>
        <w:t>gli intenti dell’Obiettivo</w:t>
      </w:r>
      <w:r>
        <w:rPr>
          <w:rFonts w:ascii="Arial" w:hAnsi="Arial" w:cs="Arial"/>
          <w:iCs/>
          <w:sz w:val="24"/>
          <w:szCs w:val="24"/>
        </w:rPr>
        <w:t xml:space="preserve"> 1</w:t>
      </w:r>
      <w:r w:rsidRPr="001337E9">
        <w:rPr>
          <w:rFonts w:ascii="Arial" w:hAnsi="Arial" w:cs="Arial"/>
          <w:iCs/>
          <w:sz w:val="24"/>
          <w:szCs w:val="24"/>
        </w:rPr>
        <w:t>.</w:t>
      </w:r>
    </w:p>
    <w:p w14:paraId="32A9B564" w14:textId="77777777" w:rsidR="00F83AF6" w:rsidRPr="00E051DE" w:rsidRDefault="00F83AF6" w:rsidP="00F83AF6">
      <w:pPr>
        <w:pStyle w:val="Paragrafoelenco"/>
        <w:spacing w:line="360" w:lineRule="auto"/>
        <w:ind w:left="0"/>
        <w:jc w:val="both"/>
        <w:rPr>
          <w:rFonts w:ascii="Arial" w:hAnsi="Arial" w:cs="Arial"/>
          <w:iCs/>
          <w:sz w:val="24"/>
          <w:szCs w:val="24"/>
        </w:rPr>
      </w:pPr>
    </w:p>
    <w:p w14:paraId="33A08962" w14:textId="77777777" w:rsidR="00F83AF6" w:rsidRPr="001337E9" w:rsidRDefault="00F83AF6" w:rsidP="00F83AF6">
      <w:pPr>
        <w:pStyle w:val="Paragrafoelenco"/>
        <w:spacing w:line="360" w:lineRule="auto"/>
        <w:ind w:left="0"/>
        <w:jc w:val="center"/>
        <w:rPr>
          <w:rFonts w:ascii="Arial" w:hAnsi="Arial" w:cs="Arial"/>
          <w:b/>
          <w:bCs/>
          <w:iCs/>
          <w:sz w:val="24"/>
          <w:szCs w:val="24"/>
        </w:rPr>
      </w:pPr>
      <w:r w:rsidRPr="001337E9">
        <w:rPr>
          <w:rFonts w:ascii="Arial" w:hAnsi="Arial" w:cs="Arial"/>
          <w:b/>
          <w:bCs/>
          <w:iCs/>
          <w:sz w:val="24"/>
          <w:szCs w:val="24"/>
        </w:rPr>
        <w:t>Obiettivo 1. Porre fine ad ogni forma di povertà nel mondo</w:t>
      </w:r>
    </w:p>
    <w:p w14:paraId="30C33617" w14:textId="77777777" w:rsidR="00F83AF6" w:rsidRPr="001337E9" w:rsidRDefault="00F83AF6" w:rsidP="00F83AF6">
      <w:pPr>
        <w:pStyle w:val="Paragrafoelenco"/>
        <w:spacing w:line="360" w:lineRule="auto"/>
        <w:ind w:left="0"/>
        <w:jc w:val="both"/>
        <w:rPr>
          <w:rFonts w:ascii="Arial" w:hAnsi="Arial" w:cs="Arial"/>
          <w:iCs/>
          <w:sz w:val="24"/>
          <w:szCs w:val="24"/>
        </w:rPr>
      </w:pPr>
    </w:p>
    <w:p w14:paraId="4BFEE0C1" w14:textId="77777777" w:rsidR="00F83AF6" w:rsidRPr="001337E9" w:rsidRDefault="00F83AF6" w:rsidP="00F83AF6">
      <w:pPr>
        <w:pStyle w:val="Paragrafoelenco"/>
        <w:spacing w:line="360" w:lineRule="auto"/>
        <w:ind w:left="567" w:hanging="504"/>
        <w:jc w:val="both"/>
        <w:rPr>
          <w:rFonts w:ascii="Arial" w:hAnsi="Arial" w:cs="Arial"/>
          <w:iCs/>
          <w:sz w:val="24"/>
          <w:szCs w:val="24"/>
        </w:rPr>
      </w:pPr>
      <w:r w:rsidRPr="001337E9">
        <w:rPr>
          <w:rFonts w:ascii="Arial" w:hAnsi="Arial" w:cs="Arial"/>
          <w:iCs/>
          <w:sz w:val="24"/>
          <w:szCs w:val="24"/>
        </w:rPr>
        <w:t>1.1</w:t>
      </w:r>
      <w:r w:rsidRPr="001337E9">
        <w:rPr>
          <w:rFonts w:ascii="Arial" w:hAnsi="Arial" w:cs="Arial"/>
          <w:iCs/>
          <w:sz w:val="24"/>
          <w:szCs w:val="24"/>
        </w:rPr>
        <w:tab/>
        <w:t xml:space="preserve">Entro il 2030, sradicare la povertà estrema per tutte le persone </w:t>
      </w:r>
      <w:r>
        <w:rPr>
          <w:rFonts w:ascii="Arial" w:hAnsi="Arial" w:cs="Arial"/>
          <w:iCs/>
          <w:sz w:val="24"/>
          <w:szCs w:val="24"/>
        </w:rPr>
        <w:t xml:space="preserve">nel </w:t>
      </w:r>
      <w:r w:rsidRPr="001337E9">
        <w:rPr>
          <w:rFonts w:ascii="Arial" w:hAnsi="Arial" w:cs="Arial"/>
          <w:iCs/>
          <w:sz w:val="24"/>
          <w:szCs w:val="24"/>
        </w:rPr>
        <w:t>mondo, attualmente misurata sulla base di coloro che vivono con meno di $ 1,25 (dal 2017, 2,15) al giorno.</w:t>
      </w:r>
    </w:p>
    <w:p w14:paraId="0C012222" w14:textId="77777777" w:rsidR="00F83AF6" w:rsidRPr="001337E9" w:rsidRDefault="00F83AF6" w:rsidP="00F83AF6">
      <w:pPr>
        <w:pStyle w:val="Paragrafoelenco"/>
        <w:spacing w:line="360" w:lineRule="auto"/>
        <w:ind w:left="567" w:hanging="504"/>
        <w:rPr>
          <w:rFonts w:ascii="Arial" w:hAnsi="Arial" w:cs="Arial"/>
          <w:iCs/>
          <w:sz w:val="24"/>
          <w:szCs w:val="24"/>
        </w:rPr>
      </w:pPr>
      <w:r w:rsidRPr="001337E9">
        <w:rPr>
          <w:rFonts w:ascii="Arial" w:hAnsi="Arial" w:cs="Arial"/>
          <w:iCs/>
          <w:sz w:val="24"/>
          <w:szCs w:val="24"/>
        </w:rPr>
        <w:t>1.2.</w:t>
      </w:r>
      <w:r w:rsidRPr="001337E9">
        <w:rPr>
          <w:rFonts w:ascii="Arial" w:hAnsi="Arial" w:cs="Arial"/>
          <w:iCs/>
          <w:sz w:val="24"/>
          <w:szCs w:val="24"/>
        </w:rPr>
        <w:tab/>
        <w:t xml:space="preserve">Entro il 2030, ridurre almeno della metà la quota di uomini, donne e bambini di tutte le età che vivono in povertà in tutte le sue forme, </w:t>
      </w:r>
      <w:r>
        <w:rPr>
          <w:rFonts w:ascii="Arial" w:hAnsi="Arial" w:cs="Arial"/>
          <w:iCs/>
          <w:sz w:val="24"/>
          <w:szCs w:val="24"/>
        </w:rPr>
        <w:t xml:space="preserve">in base alle </w:t>
      </w:r>
      <w:r w:rsidRPr="001337E9">
        <w:rPr>
          <w:rFonts w:ascii="Arial" w:hAnsi="Arial" w:cs="Arial"/>
          <w:iCs/>
          <w:sz w:val="24"/>
          <w:szCs w:val="24"/>
        </w:rPr>
        <w:t>definizioni nazionali.</w:t>
      </w:r>
    </w:p>
    <w:p w14:paraId="228739E9" w14:textId="77777777" w:rsidR="00F83AF6" w:rsidRPr="001337E9" w:rsidRDefault="00F83AF6" w:rsidP="00F83AF6">
      <w:pPr>
        <w:pStyle w:val="Paragrafoelenco"/>
        <w:spacing w:line="360" w:lineRule="auto"/>
        <w:ind w:left="567" w:hanging="504"/>
        <w:jc w:val="both"/>
        <w:rPr>
          <w:rFonts w:ascii="Arial" w:hAnsi="Arial" w:cs="Arial"/>
          <w:iCs/>
          <w:sz w:val="24"/>
          <w:szCs w:val="24"/>
        </w:rPr>
      </w:pPr>
      <w:r w:rsidRPr="001337E9">
        <w:rPr>
          <w:rFonts w:ascii="Arial" w:hAnsi="Arial" w:cs="Arial"/>
          <w:iCs/>
          <w:sz w:val="24"/>
          <w:szCs w:val="24"/>
        </w:rPr>
        <w:t>1.3</w:t>
      </w:r>
      <w:r w:rsidRPr="001337E9">
        <w:rPr>
          <w:rFonts w:ascii="Arial" w:hAnsi="Arial" w:cs="Arial"/>
          <w:iCs/>
          <w:sz w:val="24"/>
          <w:szCs w:val="24"/>
        </w:rPr>
        <w:tab/>
        <w:t>Implementare a livello nazionale adeguati sistemi di protezione sociale e misure di sicurezza per tutti, compresi i livelli più bassi, ed entro il 2030 raggiungere una notevole copertura delle persone povere e</w:t>
      </w:r>
      <w:r>
        <w:rPr>
          <w:rFonts w:ascii="Arial" w:hAnsi="Arial" w:cs="Arial"/>
          <w:iCs/>
          <w:sz w:val="24"/>
          <w:szCs w:val="24"/>
        </w:rPr>
        <w:t xml:space="preserve"> dei </w:t>
      </w:r>
      <w:r w:rsidRPr="001337E9">
        <w:rPr>
          <w:rFonts w:ascii="Arial" w:hAnsi="Arial" w:cs="Arial"/>
          <w:iCs/>
          <w:sz w:val="24"/>
          <w:szCs w:val="24"/>
        </w:rPr>
        <w:t>vulnerabil</w:t>
      </w:r>
      <w:r>
        <w:rPr>
          <w:rFonts w:ascii="Arial" w:hAnsi="Arial" w:cs="Arial"/>
          <w:iCs/>
          <w:sz w:val="24"/>
          <w:szCs w:val="24"/>
        </w:rPr>
        <w:t>i</w:t>
      </w:r>
      <w:r w:rsidRPr="001337E9">
        <w:rPr>
          <w:rFonts w:ascii="Arial" w:hAnsi="Arial" w:cs="Arial"/>
          <w:iCs/>
          <w:sz w:val="24"/>
          <w:szCs w:val="24"/>
        </w:rPr>
        <w:t>.</w:t>
      </w:r>
    </w:p>
    <w:p w14:paraId="38C56507" w14:textId="77777777" w:rsidR="00F83AF6" w:rsidRPr="001337E9" w:rsidRDefault="00F83AF6" w:rsidP="00F83AF6">
      <w:pPr>
        <w:pStyle w:val="Paragrafoelenco"/>
        <w:spacing w:line="360" w:lineRule="auto"/>
        <w:ind w:left="567" w:hanging="567"/>
        <w:jc w:val="both"/>
        <w:rPr>
          <w:rFonts w:ascii="Arial" w:hAnsi="Arial" w:cs="Arial"/>
          <w:iCs/>
          <w:sz w:val="24"/>
          <w:szCs w:val="24"/>
        </w:rPr>
      </w:pPr>
      <w:r w:rsidRPr="001337E9">
        <w:rPr>
          <w:rFonts w:ascii="Arial" w:hAnsi="Arial" w:cs="Arial"/>
          <w:iCs/>
          <w:sz w:val="24"/>
          <w:szCs w:val="24"/>
        </w:rPr>
        <w:t>1.4</w:t>
      </w:r>
      <w:r w:rsidRPr="001337E9">
        <w:rPr>
          <w:rFonts w:ascii="Arial" w:hAnsi="Arial" w:cs="Arial"/>
          <w:iCs/>
          <w:sz w:val="24"/>
          <w:szCs w:val="24"/>
        </w:rPr>
        <w:tab/>
        <w:t xml:space="preserve">Entro il 2030, assicurare che tutti gli uomini e le donne, in particolare i più poveri e </w:t>
      </w:r>
      <w:r>
        <w:rPr>
          <w:rFonts w:ascii="Arial" w:hAnsi="Arial" w:cs="Arial"/>
          <w:iCs/>
          <w:sz w:val="24"/>
          <w:szCs w:val="24"/>
        </w:rPr>
        <w:t xml:space="preserve">i </w:t>
      </w:r>
      <w:r w:rsidRPr="001337E9">
        <w:rPr>
          <w:rFonts w:ascii="Arial" w:hAnsi="Arial" w:cs="Arial"/>
          <w:iCs/>
          <w:sz w:val="24"/>
          <w:szCs w:val="24"/>
        </w:rPr>
        <w:t xml:space="preserve">vulnerabili, abbiano uguali diritti alle risorse economiche, insieme all'accesso ai servizi di base, proprietà privata, controllo su terreni e altre forme di proprietà, eredità, risorse naturali, </w:t>
      </w:r>
      <w:r>
        <w:rPr>
          <w:rFonts w:ascii="Arial" w:hAnsi="Arial" w:cs="Arial"/>
          <w:iCs/>
          <w:sz w:val="24"/>
          <w:szCs w:val="24"/>
        </w:rPr>
        <w:t xml:space="preserve">appropriati </w:t>
      </w:r>
      <w:r w:rsidRPr="001337E9">
        <w:rPr>
          <w:rFonts w:ascii="Arial" w:hAnsi="Arial" w:cs="Arial"/>
          <w:iCs/>
          <w:sz w:val="24"/>
          <w:szCs w:val="24"/>
        </w:rPr>
        <w:t>nuove tecnologie e servizi finanziari, tra cui la microfinanza.</w:t>
      </w:r>
    </w:p>
    <w:p w14:paraId="07C19F07" w14:textId="77777777" w:rsidR="00F83AF6" w:rsidRPr="001337E9" w:rsidRDefault="00F83AF6" w:rsidP="00F83AF6">
      <w:pPr>
        <w:pStyle w:val="Paragrafoelenco"/>
        <w:spacing w:line="360" w:lineRule="auto"/>
        <w:ind w:left="567" w:hanging="567"/>
        <w:jc w:val="both"/>
        <w:rPr>
          <w:rFonts w:ascii="Arial" w:hAnsi="Arial" w:cs="Arial"/>
          <w:iCs/>
          <w:sz w:val="24"/>
          <w:szCs w:val="24"/>
        </w:rPr>
      </w:pPr>
      <w:r w:rsidRPr="001337E9">
        <w:rPr>
          <w:rFonts w:ascii="Arial" w:hAnsi="Arial" w:cs="Arial"/>
          <w:iCs/>
          <w:sz w:val="24"/>
          <w:szCs w:val="24"/>
        </w:rPr>
        <w:t xml:space="preserve">1.5 </w:t>
      </w:r>
      <w:r w:rsidRPr="001337E9">
        <w:rPr>
          <w:rFonts w:ascii="Arial" w:hAnsi="Arial" w:cs="Arial"/>
          <w:iCs/>
          <w:sz w:val="24"/>
          <w:szCs w:val="24"/>
        </w:rPr>
        <w:tab/>
        <w:t>Entro il 2030, rinforzare la resilienza dei poveri e di coloro che si trovano in situazioni di vulnerabilità e ridurre la loro esposizione e vulnerabilità a eventi climatici estremi, catastrofi e shock economici, sociali e ambientali.</w:t>
      </w:r>
    </w:p>
    <w:p w14:paraId="29FE8F15" w14:textId="77777777" w:rsidR="00F83AF6" w:rsidRPr="00D24F21" w:rsidRDefault="00F83AF6" w:rsidP="00F83AF6">
      <w:pPr>
        <w:pStyle w:val="Paragrafoelenco"/>
        <w:spacing w:line="360" w:lineRule="auto"/>
        <w:ind w:left="567" w:hanging="567"/>
        <w:jc w:val="both"/>
        <w:rPr>
          <w:rFonts w:ascii="Arial" w:hAnsi="Arial" w:cs="Arial"/>
          <w:iCs/>
          <w:sz w:val="24"/>
          <w:szCs w:val="24"/>
        </w:rPr>
      </w:pPr>
      <w:r w:rsidRPr="00D24F21">
        <w:rPr>
          <w:rFonts w:ascii="Arial" w:hAnsi="Arial" w:cs="Arial"/>
          <w:iCs/>
          <w:sz w:val="24"/>
          <w:szCs w:val="24"/>
        </w:rPr>
        <w:t>1.a</w:t>
      </w:r>
      <w:r w:rsidRPr="00D24F21">
        <w:rPr>
          <w:rFonts w:ascii="Arial" w:hAnsi="Arial" w:cs="Arial"/>
          <w:iCs/>
          <w:sz w:val="24"/>
          <w:szCs w:val="24"/>
        </w:rPr>
        <w:tab/>
        <w:t>Garantire una adeguata mobilitazione di risorse da diverse fonti, anche attraverso la cooperazione allo sviluppo, al fine di fornire mezzi adeguati e affidabili per i paesi in via di sviluppo, in particolare i paesi meno sviluppati, attuando programmi e politiche per porre fine alla povertà in tutte le sue forme.</w:t>
      </w:r>
    </w:p>
    <w:p w14:paraId="25C3F3AB" w14:textId="77777777" w:rsidR="00F83AF6" w:rsidRPr="00D24F21" w:rsidRDefault="00F83AF6" w:rsidP="00F83AF6">
      <w:pPr>
        <w:pStyle w:val="Paragrafoelenco"/>
        <w:spacing w:line="360" w:lineRule="auto"/>
        <w:ind w:left="567" w:hanging="567"/>
        <w:contextualSpacing w:val="0"/>
        <w:jc w:val="both"/>
        <w:rPr>
          <w:rFonts w:ascii="Arial" w:hAnsi="Arial" w:cs="Arial"/>
          <w:iCs/>
          <w:sz w:val="24"/>
          <w:szCs w:val="24"/>
        </w:rPr>
      </w:pPr>
      <w:r w:rsidRPr="00D24F21">
        <w:rPr>
          <w:rFonts w:ascii="Arial" w:hAnsi="Arial" w:cs="Arial"/>
          <w:iCs/>
          <w:sz w:val="24"/>
          <w:szCs w:val="24"/>
        </w:rPr>
        <w:t>1.b</w:t>
      </w:r>
      <w:r w:rsidRPr="00D24F21">
        <w:rPr>
          <w:rFonts w:ascii="Arial" w:hAnsi="Arial" w:cs="Arial"/>
          <w:iCs/>
          <w:sz w:val="24"/>
          <w:szCs w:val="24"/>
        </w:rPr>
        <w:tab/>
        <w:t>Creare solidi sistemi di politiche a livello nazionale, regionale e internazionale, basati su strategie di sviluppo a favore dei poveri e sensibili alle differenze di genere, per sostenere investimenti accelerati nelle azioni di lotta alla povertà.</w:t>
      </w:r>
    </w:p>
    <w:p w14:paraId="6967B532" w14:textId="77777777" w:rsidR="00F83AF6" w:rsidRPr="001337E9" w:rsidRDefault="00F83AF6" w:rsidP="00F83AF6">
      <w:pPr>
        <w:pStyle w:val="Paragrafoelenco"/>
        <w:spacing w:line="360" w:lineRule="auto"/>
        <w:ind w:left="0"/>
        <w:jc w:val="both"/>
        <w:rPr>
          <w:rFonts w:ascii="Arial" w:hAnsi="Arial" w:cs="Arial"/>
          <w:iCs/>
          <w:sz w:val="24"/>
          <w:szCs w:val="24"/>
        </w:rPr>
      </w:pPr>
      <w:r w:rsidRPr="001337E9">
        <w:rPr>
          <w:rFonts w:ascii="Arial" w:hAnsi="Arial" w:cs="Arial"/>
          <w:iCs/>
          <w:sz w:val="24"/>
          <w:szCs w:val="24"/>
        </w:rPr>
        <w:t>Si osserva che al punto 1.4, l’Obiettivo prevede che venga assicurato un più diffuso accesso ai servizi di microfinanza.</w:t>
      </w:r>
      <w:r>
        <w:rPr>
          <w:rFonts w:ascii="Arial" w:hAnsi="Arial" w:cs="Arial"/>
          <w:iCs/>
          <w:sz w:val="24"/>
          <w:szCs w:val="24"/>
        </w:rPr>
        <w:t xml:space="preserve"> </w:t>
      </w:r>
      <w:r w:rsidRPr="001337E9">
        <w:rPr>
          <w:rFonts w:ascii="Arial" w:hAnsi="Arial" w:cs="Arial"/>
          <w:iCs/>
          <w:sz w:val="24"/>
          <w:szCs w:val="24"/>
        </w:rPr>
        <w:t xml:space="preserve">Tuttavia, il grafico della WB riportato in calce, mostra che anche prima della pandemia, l’equilibrio socioeconomico mondiale non era in grado di raggiungere l’obiettivo della Banca Mondiale finalizzato a restringere al 3% la povertà estrema globale </w:t>
      </w:r>
      <w:r w:rsidRPr="001337E9">
        <w:rPr>
          <w:rFonts w:ascii="Arial" w:hAnsi="Arial" w:cs="Arial"/>
          <w:iCs/>
          <w:sz w:val="24"/>
          <w:szCs w:val="24"/>
        </w:rPr>
        <w:lastRenderedPageBreak/>
        <w:t>entro il 2030</w:t>
      </w:r>
      <w:r>
        <w:rPr>
          <w:rFonts w:ascii="Arial" w:hAnsi="Arial" w:cs="Arial"/>
          <w:iCs/>
          <w:sz w:val="24"/>
          <w:szCs w:val="24"/>
        </w:rPr>
        <w:t>; n</w:t>
      </w:r>
      <w:r w:rsidRPr="001337E9">
        <w:rPr>
          <w:rFonts w:ascii="Arial" w:hAnsi="Arial" w:cs="Arial"/>
          <w:iCs/>
          <w:sz w:val="24"/>
          <w:szCs w:val="24"/>
        </w:rPr>
        <w:t>ello scenario pre</w:t>
      </w:r>
      <w:r>
        <w:rPr>
          <w:rFonts w:ascii="Arial" w:hAnsi="Arial" w:cs="Arial"/>
          <w:iCs/>
          <w:sz w:val="24"/>
          <w:szCs w:val="24"/>
        </w:rPr>
        <w:t>-</w:t>
      </w:r>
      <w:r w:rsidRPr="001337E9">
        <w:rPr>
          <w:rFonts w:ascii="Arial" w:hAnsi="Arial" w:cs="Arial"/>
          <w:iCs/>
          <w:sz w:val="24"/>
          <w:szCs w:val="24"/>
        </w:rPr>
        <w:t>pandemico,</w:t>
      </w:r>
      <w:r>
        <w:rPr>
          <w:rFonts w:ascii="Arial" w:hAnsi="Arial" w:cs="Arial"/>
          <w:iCs/>
          <w:sz w:val="24"/>
          <w:szCs w:val="24"/>
        </w:rPr>
        <w:t xml:space="preserve"> </w:t>
      </w:r>
      <w:r w:rsidRPr="001337E9">
        <w:rPr>
          <w:rFonts w:ascii="Arial" w:hAnsi="Arial" w:cs="Arial"/>
          <w:iCs/>
          <w:sz w:val="24"/>
          <w:szCs w:val="24"/>
        </w:rPr>
        <w:t>il tasso di povertà estrema sarebbe stato del 6,5% nel 2030, equivalente a 551 milioni di poveri.</w:t>
      </w:r>
    </w:p>
    <w:p w14:paraId="4A9F2358" w14:textId="77777777" w:rsidR="00F83AF6" w:rsidRPr="001337E9" w:rsidRDefault="00F83AF6" w:rsidP="00F83AF6">
      <w:pPr>
        <w:pStyle w:val="Paragrafoelenco"/>
        <w:spacing w:line="360" w:lineRule="auto"/>
        <w:ind w:left="0"/>
        <w:jc w:val="both"/>
        <w:rPr>
          <w:rFonts w:ascii="Arial" w:hAnsi="Arial" w:cs="Arial"/>
          <w:iCs/>
          <w:sz w:val="24"/>
          <w:szCs w:val="24"/>
        </w:rPr>
      </w:pPr>
    </w:p>
    <w:p w14:paraId="561BBB30" w14:textId="77777777" w:rsidR="00F83AF6" w:rsidRPr="001337E9" w:rsidRDefault="00F83AF6" w:rsidP="00F83AF6">
      <w:pPr>
        <w:pStyle w:val="Paragrafoelenco"/>
        <w:spacing w:line="360" w:lineRule="auto"/>
        <w:ind w:left="0"/>
        <w:jc w:val="center"/>
        <w:rPr>
          <w:rFonts w:ascii="Arial" w:hAnsi="Arial" w:cs="Arial"/>
          <w:iCs/>
          <w:sz w:val="24"/>
          <w:szCs w:val="24"/>
        </w:rPr>
      </w:pPr>
      <w:r w:rsidRPr="001337E9">
        <w:rPr>
          <w:rFonts w:ascii="Arial" w:hAnsi="Arial" w:cs="Arial"/>
          <w:iCs/>
          <w:noProof/>
          <w:sz w:val="24"/>
          <w:szCs w:val="24"/>
          <w:lang w:eastAsia="it-IT"/>
        </w:rPr>
        <w:drawing>
          <wp:inline distT="0" distB="0" distL="0" distR="0" wp14:anchorId="0417E3AE" wp14:editId="2386385E">
            <wp:extent cx="6029960" cy="3245485"/>
            <wp:effectExtent l="0" t="0" r="8890" b="0"/>
            <wp:docPr id="1525559554" name="Immagine 1"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028090" name="Immagine 1" descr="Immagine che contiene testo, linea, Diagramma, schermata&#10;&#10;Descrizione generata automaticamente"/>
                    <pic:cNvPicPr/>
                  </pic:nvPicPr>
                  <pic:blipFill>
                    <a:blip r:embed="rId28"/>
                    <a:stretch>
                      <a:fillRect/>
                    </a:stretch>
                  </pic:blipFill>
                  <pic:spPr>
                    <a:xfrm>
                      <a:off x="0" y="0"/>
                      <a:ext cx="6029960" cy="3245485"/>
                    </a:xfrm>
                    <a:prstGeom prst="rect">
                      <a:avLst/>
                    </a:prstGeom>
                  </pic:spPr>
                </pic:pic>
              </a:graphicData>
            </a:graphic>
          </wp:inline>
        </w:drawing>
      </w:r>
    </w:p>
    <w:p w14:paraId="00E90093" w14:textId="77777777" w:rsidR="00F83AF6" w:rsidRDefault="00F83AF6" w:rsidP="00F83AF6">
      <w:pPr>
        <w:pStyle w:val="Paragrafoelenco"/>
        <w:spacing w:line="360" w:lineRule="auto"/>
        <w:jc w:val="center"/>
        <w:rPr>
          <w:rFonts w:ascii="Arial" w:hAnsi="Arial" w:cs="Arial"/>
          <w:i/>
          <w:sz w:val="20"/>
          <w:szCs w:val="20"/>
        </w:rPr>
      </w:pPr>
      <w:r w:rsidRPr="003F6BE6">
        <w:rPr>
          <w:rFonts w:ascii="Arial" w:hAnsi="Arial" w:cs="Arial"/>
          <w:i/>
          <w:sz w:val="20"/>
          <w:szCs w:val="20"/>
        </w:rPr>
        <w:t>Fonte: Calcoli originali basati su Mahler, Yonzan e Lakner, di prossima pubblicazione;</w:t>
      </w:r>
    </w:p>
    <w:p w14:paraId="05C7BC9B" w14:textId="77777777" w:rsidR="00F83AF6" w:rsidRPr="00372780" w:rsidRDefault="00F83AF6" w:rsidP="00F83AF6">
      <w:pPr>
        <w:pStyle w:val="Paragrafoelenco"/>
        <w:spacing w:line="360" w:lineRule="auto"/>
        <w:jc w:val="center"/>
        <w:rPr>
          <w:rFonts w:ascii="Arial" w:hAnsi="Arial" w:cs="Arial"/>
          <w:iCs/>
          <w:sz w:val="20"/>
          <w:szCs w:val="20"/>
          <w:lang w:val="en-US"/>
        </w:rPr>
      </w:pPr>
      <w:r w:rsidRPr="00372780">
        <w:rPr>
          <w:rFonts w:ascii="Arial" w:hAnsi="Arial" w:cs="Arial"/>
          <w:i/>
          <w:sz w:val="20"/>
          <w:szCs w:val="20"/>
          <w:lang w:val="en-US"/>
        </w:rPr>
        <w:t>World Bank, Poverty and Inequality Platform</w:t>
      </w:r>
      <w:r w:rsidRPr="00372780">
        <w:rPr>
          <w:rFonts w:ascii="Arial" w:hAnsi="Arial" w:cs="Arial"/>
          <w:iCs/>
          <w:sz w:val="20"/>
          <w:szCs w:val="20"/>
          <w:lang w:val="en-US"/>
        </w:rPr>
        <w:t>.</w:t>
      </w:r>
    </w:p>
    <w:p w14:paraId="5A9B386F" w14:textId="77777777" w:rsidR="00F83AF6" w:rsidRPr="00372780" w:rsidRDefault="00F83AF6" w:rsidP="00F83AF6">
      <w:pPr>
        <w:pStyle w:val="Paragrafoelenco"/>
        <w:spacing w:line="360" w:lineRule="auto"/>
        <w:jc w:val="center"/>
        <w:rPr>
          <w:rFonts w:ascii="Arial" w:hAnsi="Arial" w:cs="Arial"/>
          <w:i/>
          <w:sz w:val="20"/>
          <w:szCs w:val="20"/>
          <w:lang w:val="en-US"/>
        </w:rPr>
      </w:pPr>
    </w:p>
    <w:p w14:paraId="0FD0F385" w14:textId="77777777" w:rsidR="00F83AF6" w:rsidRPr="001337E9" w:rsidRDefault="00F83AF6" w:rsidP="00F83AF6">
      <w:pPr>
        <w:pStyle w:val="Paragrafoelenco"/>
        <w:spacing w:line="360" w:lineRule="auto"/>
        <w:ind w:left="0"/>
        <w:jc w:val="center"/>
        <w:rPr>
          <w:rFonts w:ascii="Arial" w:hAnsi="Arial" w:cs="Arial"/>
          <w:iCs/>
          <w:sz w:val="24"/>
          <w:szCs w:val="24"/>
        </w:rPr>
      </w:pPr>
      <w:r w:rsidRPr="001337E9">
        <w:rPr>
          <w:rFonts w:ascii="Arial" w:hAnsi="Arial" w:cs="Arial"/>
          <w:iCs/>
          <w:noProof/>
          <w:sz w:val="24"/>
          <w:szCs w:val="24"/>
          <w:lang w:eastAsia="it-IT"/>
        </w:rPr>
        <w:drawing>
          <wp:inline distT="0" distB="0" distL="0" distR="0" wp14:anchorId="6F2D43CA" wp14:editId="368E8DD3">
            <wp:extent cx="5956300" cy="3075305"/>
            <wp:effectExtent l="0" t="0" r="0" b="0"/>
            <wp:docPr id="1836836989" name="Immagine 1" descr="Immagine che contiene testo, diagramm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68828" name="Immagine 1" descr="Immagine che contiene testo, diagramma, Diagramma, linea&#10;&#10;Descrizione generata automaticamente"/>
                    <pic:cNvPicPr/>
                  </pic:nvPicPr>
                  <pic:blipFill rotWithShape="1">
                    <a:blip r:embed="rId29"/>
                    <a:srcRect l="4235" t="-2658" r="-1977" b="-3273"/>
                    <a:stretch/>
                  </pic:blipFill>
                  <pic:spPr bwMode="auto">
                    <a:xfrm>
                      <a:off x="0" y="0"/>
                      <a:ext cx="5956300" cy="3075305"/>
                    </a:xfrm>
                    <a:prstGeom prst="rect">
                      <a:avLst/>
                    </a:prstGeom>
                    <a:ln>
                      <a:noFill/>
                    </a:ln>
                    <a:extLst>
                      <a:ext uri="{53640926-AAD7-44D8-BBD7-CCE9431645EC}">
                        <a14:shadowObscured xmlns:a14="http://schemas.microsoft.com/office/drawing/2010/main"/>
                      </a:ext>
                    </a:extLst>
                  </pic:spPr>
                </pic:pic>
              </a:graphicData>
            </a:graphic>
          </wp:inline>
        </w:drawing>
      </w:r>
    </w:p>
    <w:p w14:paraId="5E1AECD6" w14:textId="77777777" w:rsidR="00F83AF6" w:rsidRPr="00FD5125" w:rsidRDefault="00F83AF6" w:rsidP="00F83AF6">
      <w:pPr>
        <w:pStyle w:val="Paragrafoelenco"/>
        <w:spacing w:line="360" w:lineRule="auto"/>
        <w:ind w:firstLine="696"/>
        <w:jc w:val="center"/>
        <w:rPr>
          <w:rFonts w:ascii="Arial" w:hAnsi="Arial" w:cs="Arial"/>
          <w:iCs/>
          <w:sz w:val="20"/>
          <w:szCs w:val="20"/>
        </w:rPr>
      </w:pPr>
      <w:r w:rsidRPr="00FD5125">
        <w:rPr>
          <w:rFonts w:ascii="Arial" w:hAnsi="Arial" w:cs="Arial"/>
          <w:iCs/>
          <w:sz w:val="20"/>
          <w:szCs w:val="20"/>
          <w:lang w:val="en-US"/>
        </w:rPr>
        <w:t xml:space="preserve">Fonte: </w:t>
      </w:r>
      <w:r w:rsidRPr="00372780">
        <w:rPr>
          <w:rFonts w:ascii="Arial" w:hAnsi="Arial" w:cs="Arial"/>
          <w:i/>
          <w:iCs/>
          <w:sz w:val="20"/>
          <w:szCs w:val="20"/>
          <w:lang w:val="en-US"/>
        </w:rPr>
        <w:t xml:space="preserve">World Inequality Database, </w:t>
      </w:r>
      <w:r w:rsidRPr="00FD5125">
        <w:rPr>
          <w:rFonts w:ascii="Arial" w:hAnsi="Arial" w:cs="Arial"/>
          <w:iCs/>
          <w:sz w:val="20"/>
          <w:szCs w:val="20"/>
          <w:lang w:val="en-US"/>
        </w:rPr>
        <w:t xml:space="preserve">wir2022.wid.world/methodology, Bauluz et al. </w:t>
      </w:r>
      <w:r w:rsidRPr="00FD5125">
        <w:rPr>
          <w:rFonts w:ascii="Arial" w:hAnsi="Arial" w:cs="Arial"/>
          <w:iCs/>
          <w:sz w:val="20"/>
          <w:szCs w:val="20"/>
        </w:rPr>
        <w:t>(2021).</w:t>
      </w:r>
    </w:p>
    <w:p w14:paraId="49FCBE6F" w14:textId="77777777" w:rsidR="00F83AF6" w:rsidRPr="001337E9" w:rsidRDefault="00F83AF6" w:rsidP="00F83AF6">
      <w:pPr>
        <w:pStyle w:val="Paragrafoelenco"/>
        <w:spacing w:line="360" w:lineRule="auto"/>
        <w:ind w:left="0"/>
        <w:jc w:val="both"/>
        <w:rPr>
          <w:rFonts w:ascii="Arial" w:hAnsi="Arial" w:cs="Arial"/>
          <w:iCs/>
          <w:sz w:val="24"/>
          <w:szCs w:val="24"/>
        </w:rPr>
      </w:pPr>
    </w:p>
    <w:p w14:paraId="0022895C" w14:textId="77777777" w:rsidR="00F83AF6" w:rsidRDefault="00F83AF6" w:rsidP="00F83AF6">
      <w:pPr>
        <w:pStyle w:val="Paragrafoelenco"/>
        <w:spacing w:line="360" w:lineRule="auto"/>
        <w:ind w:left="0"/>
        <w:jc w:val="both"/>
        <w:rPr>
          <w:rFonts w:ascii="Arial" w:hAnsi="Arial" w:cs="Arial"/>
          <w:iCs/>
          <w:sz w:val="24"/>
          <w:szCs w:val="24"/>
        </w:rPr>
      </w:pPr>
      <w:r>
        <w:rPr>
          <w:rFonts w:ascii="Arial" w:hAnsi="Arial" w:cs="Arial"/>
          <w:iCs/>
          <w:sz w:val="24"/>
          <w:szCs w:val="24"/>
        </w:rPr>
        <w:t>I</w:t>
      </w:r>
      <w:r w:rsidRPr="001337E9">
        <w:rPr>
          <w:rFonts w:ascii="Arial" w:hAnsi="Arial" w:cs="Arial"/>
          <w:iCs/>
          <w:sz w:val="24"/>
          <w:szCs w:val="24"/>
        </w:rPr>
        <w:t>l grafico evidenzia che la quota di ricchezza detenuta dallo 0,01% più ricco del mondo è passata dal 7% nel 1995 all’11% nel 2021.</w:t>
      </w:r>
    </w:p>
    <w:p w14:paraId="47FC4A84" w14:textId="77777777" w:rsidR="00F83AF6" w:rsidRDefault="00F83AF6" w:rsidP="00F83AF6">
      <w:pPr>
        <w:pStyle w:val="Paragrafoelenco"/>
        <w:spacing w:line="360" w:lineRule="auto"/>
        <w:ind w:left="0"/>
        <w:jc w:val="both"/>
        <w:rPr>
          <w:rFonts w:ascii="Arial" w:hAnsi="Arial" w:cs="Arial"/>
          <w:iCs/>
          <w:sz w:val="24"/>
          <w:szCs w:val="24"/>
        </w:rPr>
      </w:pPr>
    </w:p>
    <w:p w14:paraId="34C3775B" w14:textId="77777777" w:rsidR="00F83AF6" w:rsidRDefault="00F83AF6" w:rsidP="00F83AF6">
      <w:pPr>
        <w:pStyle w:val="Paragrafoelenco"/>
        <w:spacing w:line="360" w:lineRule="auto"/>
        <w:ind w:left="0"/>
        <w:jc w:val="both"/>
        <w:rPr>
          <w:rFonts w:ascii="Arial" w:hAnsi="Arial" w:cs="Arial"/>
          <w:sz w:val="24"/>
          <w:szCs w:val="24"/>
        </w:rPr>
      </w:pPr>
      <w:r>
        <w:rPr>
          <w:rFonts w:ascii="Arial" w:hAnsi="Arial" w:cs="Arial"/>
          <w:iCs/>
          <w:sz w:val="24"/>
          <w:szCs w:val="24"/>
        </w:rPr>
        <w:lastRenderedPageBreak/>
        <w:t>Relativamente all’Italia, le statistiche Istat</w:t>
      </w:r>
      <w:r>
        <w:rPr>
          <w:rStyle w:val="Rimandonotaapidipagina"/>
          <w:rFonts w:ascii="Arial" w:hAnsi="Arial" w:cs="Arial"/>
          <w:iCs/>
          <w:sz w:val="24"/>
          <w:szCs w:val="24"/>
        </w:rPr>
        <w:footnoteReference w:id="97"/>
      </w:r>
      <w:r>
        <w:rPr>
          <w:rFonts w:ascii="Arial" w:hAnsi="Arial" w:cs="Arial"/>
          <w:iCs/>
          <w:sz w:val="24"/>
          <w:szCs w:val="24"/>
        </w:rPr>
        <w:t xml:space="preserve"> rilevano che nel 2022 si trovavano </w:t>
      </w:r>
      <w:r w:rsidRPr="00561B97">
        <w:rPr>
          <w:rFonts w:ascii="Arial" w:hAnsi="Arial" w:cs="Arial"/>
          <w:iCs/>
          <w:sz w:val="24"/>
          <w:szCs w:val="24"/>
        </w:rPr>
        <w:t>in condizione di povertà assoluta poco più di 2,18 milioni</w:t>
      </w:r>
      <w:r>
        <w:rPr>
          <w:rFonts w:ascii="Arial" w:hAnsi="Arial" w:cs="Arial"/>
          <w:iCs/>
          <w:sz w:val="24"/>
          <w:szCs w:val="24"/>
        </w:rPr>
        <w:t xml:space="preserve"> </w:t>
      </w:r>
      <w:r w:rsidRPr="00561B97">
        <w:rPr>
          <w:rFonts w:ascii="Arial" w:hAnsi="Arial" w:cs="Arial"/>
          <w:iCs/>
          <w:sz w:val="24"/>
          <w:szCs w:val="24"/>
        </w:rPr>
        <w:t>di famiglie (8,3% del totale</w:t>
      </w:r>
      <w:r>
        <w:rPr>
          <w:rFonts w:ascii="Arial" w:hAnsi="Arial" w:cs="Arial"/>
          <w:iCs/>
          <w:sz w:val="24"/>
          <w:szCs w:val="24"/>
        </w:rPr>
        <w:t>, rispetto al</w:t>
      </w:r>
      <w:r w:rsidRPr="00561B97">
        <w:rPr>
          <w:rFonts w:ascii="Arial" w:hAnsi="Arial" w:cs="Arial"/>
          <w:iCs/>
          <w:sz w:val="24"/>
          <w:szCs w:val="24"/>
        </w:rPr>
        <w:t xml:space="preserve"> 7,7% nel 2021) e oltre 5,6 milioni di individui</w:t>
      </w:r>
      <w:r>
        <w:rPr>
          <w:rFonts w:ascii="Arial" w:hAnsi="Arial" w:cs="Arial"/>
          <w:iCs/>
          <w:sz w:val="24"/>
          <w:szCs w:val="24"/>
        </w:rPr>
        <w:t xml:space="preserve"> </w:t>
      </w:r>
      <w:r w:rsidRPr="00561B97">
        <w:rPr>
          <w:rFonts w:ascii="Arial" w:hAnsi="Arial" w:cs="Arial"/>
          <w:iCs/>
          <w:sz w:val="24"/>
          <w:szCs w:val="24"/>
        </w:rPr>
        <w:t>(9,7% in crescita dal 9,1% dell’anno precedente)</w:t>
      </w:r>
      <w:r>
        <w:rPr>
          <w:rFonts w:ascii="Arial" w:hAnsi="Arial" w:cs="Arial"/>
          <w:iCs/>
          <w:sz w:val="24"/>
          <w:szCs w:val="24"/>
        </w:rPr>
        <w:t>, mentre l</w:t>
      </w:r>
      <w:r w:rsidRPr="00A966C9">
        <w:rPr>
          <w:rFonts w:ascii="Arial" w:hAnsi="Arial" w:cs="Arial"/>
          <w:sz w:val="24"/>
          <w:szCs w:val="24"/>
        </w:rPr>
        <w:t>’incidenza di povertà relativa si attesta</w:t>
      </w:r>
      <w:r>
        <w:rPr>
          <w:rFonts w:ascii="Arial" w:hAnsi="Arial" w:cs="Arial"/>
          <w:sz w:val="24"/>
          <w:szCs w:val="24"/>
        </w:rPr>
        <w:t>va</w:t>
      </w:r>
      <w:r w:rsidRPr="00A966C9">
        <w:rPr>
          <w:rFonts w:ascii="Arial" w:hAnsi="Arial" w:cs="Arial"/>
          <w:sz w:val="24"/>
          <w:szCs w:val="24"/>
        </w:rPr>
        <w:t xml:space="preserve"> al 10,9% (rispetto all’11,0% del 2021) e le famiglie </w:t>
      </w:r>
      <w:r>
        <w:rPr>
          <w:rFonts w:ascii="Arial" w:hAnsi="Arial" w:cs="Arial"/>
          <w:sz w:val="24"/>
          <w:szCs w:val="24"/>
        </w:rPr>
        <w:t xml:space="preserve">che rientrano </w:t>
      </w:r>
      <w:r w:rsidRPr="00A966C9">
        <w:rPr>
          <w:rFonts w:ascii="Arial" w:hAnsi="Arial" w:cs="Arial"/>
          <w:sz w:val="24"/>
          <w:szCs w:val="24"/>
        </w:rPr>
        <w:t xml:space="preserve">sotto a </w:t>
      </w:r>
      <w:r>
        <w:rPr>
          <w:rFonts w:ascii="Arial" w:hAnsi="Arial" w:cs="Arial"/>
          <w:sz w:val="24"/>
          <w:szCs w:val="24"/>
        </w:rPr>
        <w:t>tale distinzione erano</w:t>
      </w:r>
      <w:r w:rsidRPr="00A966C9">
        <w:rPr>
          <w:rFonts w:ascii="Arial" w:hAnsi="Arial" w:cs="Arial"/>
          <w:sz w:val="24"/>
          <w:szCs w:val="24"/>
        </w:rPr>
        <w:t xml:space="preserve"> 2,8 milioni.</w:t>
      </w:r>
    </w:p>
    <w:p w14:paraId="49C6B846" w14:textId="77777777" w:rsidR="00F83AF6" w:rsidRDefault="00F83AF6" w:rsidP="00F83AF6">
      <w:pPr>
        <w:pStyle w:val="Paragrafoelenco"/>
        <w:spacing w:line="360" w:lineRule="auto"/>
        <w:ind w:left="0"/>
        <w:jc w:val="both"/>
        <w:rPr>
          <w:rFonts w:ascii="Arial" w:hAnsi="Arial" w:cs="Arial"/>
          <w:iCs/>
          <w:sz w:val="24"/>
          <w:szCs w:val="24"/>
        </w:rPr>
      </w:pPr>
    </w:p>
    <w:p w14:paraId="67982394" w14:textId="77777777" w:rsidR="00F83AF6" w:rsidRDefault="00F83AF6" w:rsidP="00F83AF6">
      <w:pPr>
        <w:pStyle w:val="Paragrafoelenco"/>
        <w:spacing w:line="360" w:lineRule="auto"/>
        <w:ind w:left="0"/>
        <w:jc w:val="both"/>
        <w:rPr>
          <w:rFonts w:ascii="Arial" w:hAnsi="Arial" w:cs="Arial"/>
          <w:iCs/>
          <w:sz w:val="24"/>
          <w:szCs w:val="24"/>
        </w:rPr>
      </w:pPr>
      <w:r>
        <w:rPr>
          <w:rFonts w:ascii="Arial" w:hAnsi="Arial" w:cs="Arial"/>
          <w:iCs/>
          <w:sz w:val="24"/>
          <w:szCs w:val="24"/>
        </w:rPr>
        <w:t>A fronte degli indicatori di quantificazione delle povertà, si riportano di seguito dati finanziari per agevolare, nel mondo, l’inclusione finanziaria.</w:t>
      </w:r>
    </w:p>
    <w:p w14:paraId="5299CFEA" w14:textId="77777777" w:rsidR="00F83AF6" w:rsidRDefault="00F83AF6" w:rsidP="00F83AF6">
      <w:pPr>
        <w:pStyle w:val="Paragrafoelenco"/>
        <w:spacing w:line="360" w:lineRule="auto"/>
        <w:ind w:left="0"/>
        <w:jc w:val="both"/>
        <w:rPr>
          <w:rFonts w:ascii="Arial" w:hAnsi="Arial" w:cs="Arial"/>
          <w:iCs/>
          <w:sz w:val="24"/>
          <w:szCs w:val="24"/>
        </w:rPr>
      </w:pPr>
    </w:p>
    <w:p w14:paraId="71CA141A" w14:textId="77777777" w:rsidR="00F83AF6" w:rsidRDefault="00F83AF6" w:rsidP="00F83AF6">
      <w:pPr>
        <w:pStyle w:val="Paragrafoelenco"/>
        <w:spacing w:line="360" w:lineRule="auto"/>
        <w:ind w:left="0"/>
        <w:jc w:val="both"/>
        <w:rPr>
          <w:rFonts w:ascii="Arial" w:hAnsi="Arial" w:cs="Arial"/>
          <w:iCs/>
          <w:sz w:val="24"/>
          <w:szCs w:val="24"/>
        </w:rPr>
      </w:pPr>
      <w:r>
        <w:rPr>
          <w:rFonts w:ascii="Arial" w:hAnsi="Arial" w:cs="Arial"/>
          <w:iCs/>
          <w:sz w:val="24"/>
          <w:szCs w:val="24"/>
        </w:rPr>
        <w:t>Il grafico che segue riporta una stima dei finanziamenti internazionali per l’inclusione finanziaria con l’avvertenza che i dati indicati con il simbolo “</w:t>
      </w:r>
      <w:r w:rsidRPr="004D32AA">
        <w:rPr>
          <w:rFonts w:ascii="Arial" w:hAnsi="Arial" w:cs="Arial"/>
          <w:sz w:val="24"/>
          <w:szCs w:val="24"/>
          <w:shd w:val="clear" w:color="auto" w:fill="FFFFFF"/>
        </w:rPr>
        <w:t>$</w:t>
      </w:r>
      <w:r>
        <w:rPr>
          <w:rFonts w:ascii="Arial" w:hAnsi="Arial" w:cs="Arial"/>
          <w:sz w:val="24"/>
          <w:szCs w:val="24"/>
          <w:shd w:val="clear" w:color="auto" w:fill="FFFFFF"/>
        </w:rPr>
        <w:t xml:space="preserve"> </w:t>
      </w:r>
      <w:r w:rsidRPr="004D32AA">
        <w:rPr>
          <w:rFonts w:ascii="Arial" w:hAnsi="Arial" w:cs="Arial"/>
          <w:sz w:val="24"/>
          <w:szCs w:val="24"/>
          <w:shd w:val="clear" w:color="auto" w:fill="FFFFFF"/>
        </w:rPr>
        <w:t>bn</w:t>
      </w:r>
      <w:r>
        <w:rPr>
          <w:rFonts w:ascii="Arial" w:hAnsi="Arial" w:cs="Arial"/>
          <w:sz w:val="24"/>
          <w:szCs w:val="24"/>
          <w:shd w:val="clear" w:color="auto" w:fill="FFFFFF"/>
        </w:rPr>
        <w:t>”</w:t>
      </w:r>
      <w:r w:rsidRPr="004D32AA">
        <w:rPr>
          <w:rFonts w:ascii="Arial" w:hAnsi="Arial" w:cs="Arial"/>
          <w:sz w:val="24"/>
          <w:szCs w:val="24"/>
          <w:shd w:val="clear" w:color="auto" w:fill="FFFFFF"/>
        </w:rPr>
        <w:t>, equivale a miliardi di dollari</w:t>
      </w:r>
      <w:r>
        <w:rPr>
          <w:rFonts w:ascii="Arial" w:hAnsi="Arial" w:cs="Arial"/>
          <w:iCs/>
          <w:sz w:val="24"/>
          <w:szCs w:val="24"/>
        </w:rPr>
        <w:t>. Nel 2021, i dati disponibili prevedevano un impiego complessivo di fondi stimato in circa 68 miliardi di dollari.</w:t>
      </w:r>
    </w:p>
    <w:p w14:paraId="70723050" w14:textId="77777777" w:rsidR="00F83AF6" w:rsidRDefault="00F83AF6" w:rsidP="00F83AF6">
      <w:pPr>
        <w:pStyle w:val="Paragrafoelenco"/>
        <w:spacing w:line="360" w:lineRule="auto"/>
        <w:ind w:left="0"/>
        <w:jc w:val="both"/>
        <w:rPr>
          <w:rFonts w:ascii="Arial" w:hAnsi="Arial" w:cs="Arial"/>
          <w:iCs/>
          <w:sz w:val="24"/>
          <w:szCs w:val="24"/>
        </w:rPr>
      </w:pPr>
    </w:p>
    <w:p w14:paraId="67B46B77" w14:textId="77777777" w:rsidR="00F83AF6" w:rsidRDefault="00F83AF6" w:rsidP="00F83AF6">
      <w:pPr>
        <w:pStyle w:val="Paragrafoelenco"/>
        <w:spacing w:line="360" w:lineRule="auto"/>
        <w:ind w:left="0"/>
        <w:jc w:val="center"/>
        <w:rPr>
          <w:rFonts w:ascii="Arial" w:hAnsi="Arial" w:cs="Arial"/>
          <w:iCs/>
          <w:sz w:val="24"/>
          <w:szCs w:val="24"/>
        </w:rPr>
      </w:pPr>
      <w:r>
        <w:rPr>
          <w:noProof/>
          <w:lang w:eastAsia="it-IT"/>
        </w:rPr>
        <w:drawing>
          <wp:inline distT="0" distB="0" distL="0" distR="0" wp14:anchorId="15E3B1CB" wp14:editId="5B287FED">
            <wp:extent cx="5930900" cy="3175000"/>
            <wp:effectExtent l="0" t="0" r="0" b="6350"/>
            <wp:docPr id="1387737362" name="Immagine 1" descr="Immagine che contiene testo, schermata, Carattere,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757174" name="Immagine 1" descr="Immagine che contiene testo, schermata, Carattere, diagramma&#10;&#10;Descrizione generata automaticamente"/>
                    <pic:cNvPicPr/>
                  </pic:nvPicPr>
                  <pic:blipFill rotWithShape="1">
                    <a:blip r:embed="rId30"/>
                    <a:srcRect l="1439" r="2570" b="14237"/>
                    <a:stretch/>
                  </pic:blipFill>
                  <pic:spPr bwMode="auto">
                    <a:xfrm>
                      <a:off x="0" y="0"/>
                      <a:ext cx="5930900" cy="3175000"/>
                    </a:xfrm>
                    <a:prstGeom prst="rect">
                      <a:avLst/>
                    </a:prstGeom>
                    <a:ln>
                      <a:noFill/>
                    </a:ln>
                    <a:extLst>
                      <a:ext uri="{53640926-AAD7-44D8-BBD7-CCE9431645EC}">
                        <a14:shadowObscured xmlns:a14="http://schemas.microsoft.com/office/drawing/2010/main"/>
                      </a:ext>
                    </a:extLst>
                  </pic:spPr>
                </pic:pic>
              </a:graphicData>
            </a:graphic>
          </wp:inline>
        </w:drawing>
      </w:r>
    </w:p>
    <w:p w14:paraId="0F8B9E8F" w14:textId="77777777" w:rsidR="00F83AF6" w:rsidRPr="00E24C94" w:rsidRDefault="00F83AF6" w:rsidP="00F83AF6">
      <w:pPr>
        <w:pStyle w:val="Paragrafoelenco"/>
        <w:spacing w:line="360" w:lineRule="auto"/>
        <w:ind w:left="0"/>
        <w:jc w:val="center"/>
        <w:rPr>
          <w:rFonts w:ascii="Arial" w:hAnsi="Arial" w:cs="Arial"/>
          <w:i/>
          <w:sz w:val="20"/>
          <w:szCs w:val="20"/>
        </w:rPr>
      </w:pPr>
      <w:r w:rsidRPr="00E24C94">
        <w:rPr>
          <w:rFonts w:ascii="Arial" w:hAnsi="Arial" w:cs="Arial"/>
          <w:i/>
          <w:sz w:val="20"/>
          <w:szCs w:val="20"/>
        </w:rPr>
        <w:t>Trends global nel finanziamento internazionale per l’inclusione finanziaria, stime (2011-2021).</w:t>
      </w:r>
    </w:p>
    <w:p w14:paraId="7A4E7DC2" w14:textId="77777777" w:rsidR="00F83AF6" w:rsidRDefault="00F83AF6" w:rsidP="00F83AF6">
      <w:pPr>
        <w:pStyle w:val="Paragrafoelenco"/>
        <w:spacing w:line="360" w:lineRule="auto"/>
        <w:ind w:left="0"/>
        <w:jc w:val="center"/>
        <w:rPr>
          <w:rFonts w:ascii="Arial" w:hAnsi="Arial" w:cs="Arial"/>
          <w:iCs/>
          <w:sz w:val="20"/>
          <w:szCs w:val="20"/>
          <w:lang w:val="en-US"/>
        </w:rPr>
      </w:pPr>
      <w:r w:rsidRPr="00372780">
        <w:rPr>
          <w:rFonts w:ascii="Arial" w:hAnsi="Arial" w:cs="Arial"/>
          <w:iCs/>
          <w:sz w:val="20"/>
          <w:szCs w:val="20"/>
          <w:lang w:val="en-US"/>
        </w:rPr>
        <w:t xml:space="preserve">Fonte: </w:t>
      </w:r>
      <w:r>
        <w:rPr>
          <w:rFonts w:ascii="Arial" w:hAnsi="Arial" w:cs="Arial"/>
          <w:iCs/>
          <w:sz w:val="20"/>
          <w:szCs w:val="20"/>
          <w:lang w:val="en-US"/>
        </w:rPr>
        <w:t>CGAP Cross-Border Funder Survey 2011-2021; Symbiotics MIV Survey 2012-2019.</w:t>
      </w:r>
    </w:p>
    <w:p w14:paraId="303B62F4" w14:textId="77777777" w:rsidR="00F83AF6" w:rsidRPr="00372780" w:rsidRDefault="00F83AF6" w:rsidP="00F83AF6">
      <w:pPr>
        <w:pStyle w:val="Paragrafoelenco"/>
        <w:spacing w:line="360" w:lineRule="auto"/>
        <w:ind w:left="0"/>
        <w:jc w:val="center"/>
        <w:rPr>
          <w:rFonts w:ascii="Arial" w:hAnsi="Arial" w:cs="Arial"/>
          <w:iCs/>
          <w:sz w:val="20"/>
          <w:szCs w:val="20"/>
          <w:lang w:val="en-US"/>
        </w:rPr>
      </w:pPr>
      <w:r>
        <w:rPr>
          <w:rFonts w:ascii="Arial" w:hAnsi="Arial" w:cs="Arial"/>
          <w:iCs/>
          <w:sz w:val="20"/>
          <w:szCs w:val="20"/>
          <w:lang w:val="en-US"/>
        </w:rPr>
        <w:t>Symbiotics PAIF Report 2020, Tameo Impact Fund Solutions PAIF Report 2021-2022.</w:t>
      </w:r>
    </w:p>
    <w:p w14:paraId="714FFEA2" w14:textId="77777777" w:rsidR="00F83AF6" w:rsidRPr="00E24C94" w:rsidRDefault="00F83AF6" w:rsidP="00F83AF6">
      <w:pPr>
        <w:pStyle w:val="Paragrafoelenco"/>
        <w:spacing w:line="360" w:lineRule="auto"/>
        <w:ind w:left="0"/>
        <w:jc w:val="both"/>
        <w:rPr>
          <w:rFonts w:ascii="Arial" w:hAnsi="Arial" w:cs="Arial"/>
          <w:iCs/>
          <w:sz w:val="24"/>
          <w:szCs w:val="24"/>
          <w:lang w:val="en-US"/>
        </w:rPr>
      </w:pPr>
    </w:p>
    <w:p w14:paraId="24E87E72" w14:textId="77777777" w:rsidR="00F83AF6" w:rsidRDefault="00F83AF6" w:rsidP="00F83AF6">
      <w:pPr>
        <w:pStyle w:val="Paragrafoelenco"/>
        <w:spacing w:line="360" w:lineRule="auto"/>
        <w:ind w:left="0"/>
        <w:jc w:val="both"/>
        <w:rPr>
          <w:rFonts w:ascii="Arial" w:hAnsi="Arial" w:cs="Arial"/>
          <w:iCs/>
          <w:sz w:val="24"/>
          <w:szCs w:val="24"/>
        </w:rPr>
      </w:pPr>
      <w:r>
        <w:rPr>
          <w:rFonts w:ascii="Arial" w:hAnsi="Arial" w:cs="Arial"/>
          <w:iCs/>
          <w:sz w:val="24"/>
          <w:szCs w:val="24"/>
        </w:rPr>
        <w:t>Il grafico che segue mostra la tendenza degli impegni assunti e la composizione dei fondi per sottotipo di finanziatori.</w:t>
      </w:r>
    </w:p>
    <w:p w14:paraId="06479CFB" w14:textId="77777777" w:rsidR="00F83AF6" w:rsidRDefault="00F83AF6" w:rsidP="00F83AF6">
      <w:pPr>
        <w:pStyle w:val="Paragrafoelenco"/>
        <w:spacing w:line="360" w:lineRule="auto"/>
        <w:ind w:left="0"/>
        <w:jc w:val="both"/>
        <w:rPr>
          <w:rFonts w:ascii="Arial" w:hAnsi="Arial" w:cs="Arial"/>
          <w:iCs/>
          <w:sz w:val="24"/>
          <w:szCs w:val="24"/>
        </w:rPr>
      </w:pPr>
    </w:p>
    <w:p w14:paraId="045DFA31" w14:textId="77777777" w:rsidR="00F83AF6" w:rsidRPr="00A966C9" w:rsidRDefault="00F83AF6" w:rsidP="00F83AF6">
      <w:pPr>
        <w:pStyle w:val="Paragrafoelenco"/>
        <w:spacing w:line="360" w:lineRule="auto"/>
        <w:ind w:left="0"/>
        <w:jc w:val="center"/>
        <w:rPr>
          <w:rFonts w:ascii="Arial" w:hAnsi="Arial" w:cs="Arial"/>
          <w:iCs/>
          <w:sz w:val="24"/>
          <w:szCs w:val="24"/>
        </w:rPr>
      </w:pPr>
      <w:r>
        <w:rPr>
          <w:noProof/>
          <w:lang w:eastAsia="it-IT"/>
        </w:rPr>
        <w:lastRenderedPageBreak/>
        <w:drawing>
          <wp:inline distT="0" distB="0" distL="0" distR="0" wp14:anchorId="3BC0965E" wp14:editId="665563DF">
            <wp:extent cx="6019800" cy="3244850"/>
            <wp:effectExtent l="0" t="0" r="0" b="0"/>
            <wp:docPr id="1224373488" name="Immagine 1" descr="Immagine che contiene testo, schermat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138260" name="Immagine 1" descr="Immagine che contiene testo, schermata, diagramma, Parallelo&#10;&#10;Descrizione generata automaticamente"/>
                    <pic:cNvPicPr/>
                  </pic:nvPicPr>
                  <pic:blipFill rotWithShape="1">
                    <a:blip r:embed="rId31"/>
                    <a:srcRect l="527" r="1473" b="10359"/>
                    <a:stretch/>
                  </pic:blipFill>
                  <pic:spPr bwMode="auto">
                    <a:xfrm>
                      <a:off x="0" y="0"/>
                      <a:ext cx="6019800" cy="3244850"/>
                    </a:xfrm>
                    <a:prstGeom prst="rect">
                      <a:avLst/>
                    </a:prstGeom>
                    <a:ln>
                      <a:noFill/>
                    </a:ln>
                    <a:extLst>
                      <a:ext uri="{53640926-AAD7-44D8-BBD7-CCE9431645EC}">
                        <a14:shadowObscured xmlns:a14="http://schemas.microsoft.com/office/drawing/2010/main"/>
                      </a:ext>
                    </a:extLst>
                  </pic:spPr>
                </pic:pic>
              </a:graphicData>
            </a:graphic>
          </wp:inline>
        </w:drawing>
      </w:r>
    </w:p>
    <w:p w14:paraId="2453D556" w14:textId="77777777" w:rsidR="00F83AF6" w:rsidRDefault="00F83AF6" w:rsidP="00F83AF6">
      <w:pPr>
        <w:pStyle w:val="Paragrafoelenco"/>
        <w:spacing w:line="360" w:lineRule="auto"/>
        <w:ind w:left="0"/>
        <w:jc w:val="center"/>
        <w:rPr>
          <w:rFonts w:ascii="Arial" w:hAnsi="Arial" w:cs="Arial"/>
          <w:i/>
          <w:sz w:val="20"/>
          <w:szCs w:val="20"/>
          <w:lang w:val="en-US"/>
        </w:rPr>
      </w:pPr>
    </w:p>
    <w:p w14:paraId="3F2C0C2C" w14:textId="77777777" w:rsidR="00F83AF6" w:rsidRPr="00E24C94" w:rsidRDefault="00F83AF6" w:rsidP="00F83AF6">
      <w:pPr>
        <w:pStyle w:val="Paragrafoelenco"/>
        <w:spacing w:line="360" w:lineRule="auto"/>
        <w:ind w:left="0"/>
        <w:jc w:val="center"/>
        <w:rPr>
          <w:rFonts w:ascii="Arial" w:hAnsi="Arial" w:cs="Arial"/>
          <w:i/>
          <w:sz w:val="20"/>
          <w:szCs w:val="20"/>
        </w:rPr>
      </w:pPr>
      <w:r w:rsidRPr="00E24C94">
        <w:rPr>
          <w:rFonts w:ascii="Arial" w:hAnsi="Arial" w:cs="Arial"/>
          <w:i/>
          <w:sz w:val="20"/>
          <w:szCs w:val="20"/>
        </w:rPr>
        <w:t>Trends negli impegni assunti (per sottotipo di finanziatore, 2015-2021).</w:t>
      </w:r>
    </w:p>
    <w:p w14:paraId="17DBDC36" w14:textId="77777777" w:rsidR="00F83AF6" w:rsidRPr="00372780" w:rsidRDefault="00F83AF6" w:rsidP="00F83AF6">
      <w:pPr>
        <w:pStyle w:val="Paragrafoelenco"/>
        <w:spacing w:after="0" w:line="360" w:lineRule="auto"/>
        <w:ind w:left="0"/>
        <w:jc w:val="center"/>
        <w:rPr>
          <w:rFonts w:ascii="Arial" w:hAnsi="Arial" w:cs="Arial"/>
          <w:iCs/>
          <w:sz w:val="20"/>
          <w:szCs w:val="20"/>
          <w:lang w:val="en-US"/>
        </w:rPr>
      </w:pPr>
      <w:r w:rsidRPr="00372780">
        <w:rPr>
          <w:rFonts w:ascii="Arial" w:hAnsi="Arial" w:cs="Arial"/>
          <w:iCs/>
          <w:sz w:val="20"/>
          <w:szCs w:val="20"/>
          <w:lang w:val="en-US"/>
        </w:rPr>
        <w:t xml:space="preserve">Fonte: </w:t>
      </w:r>
      <w:r>
        <w:rPr>
          <w:rFonts w:ascii="Arial" w:hAnsi="Arial" w:cs="Arial"/>
          <w:iCs/>
          <w:sz w:val="20"/>
          <w:szCs w:val="20"/>
          <w:lang w:val="en-US"/>
        </w:rPr>
        <w:t>CGAP Cross-Border Funder Survey 2015-2021.</w:t>
      </w:r>
    </w:p>
    <w:p w14:paraId="689BD07E" w14:textId="77777777" w:rsidR="00F83AF6" w:rsidRPr="00E24C94" w:rsidRDefault="00F83AF6" w:rsidP="00F83AF6">
      <w:pPr>
        <w:spacing w:after="0" w:line="360" w:lineRule="auto"/>
        <w:jc w:val="both"/>
        <w:rPr>
          <w:rFonts w:ascii="Arial" w:hAnsi="Arial" w:cs="Arial"/>
          <w:iCs/>
          <w:sz w:val="24"/>
          <w:szCs w:val="24"/>
          <w:lang w:val="en-US"/>
        </w:rPr>
      </w:pPr>
    </w:p>
    <w:p w14:paraId="3C9A598D" w14:textId="77777777" w:rsidR="00F83AF6" w:rsidRDefault="00F83AF6" w:rsidP="00F83AF6">
      <w:pPr>
        <w:spacing w:after="0" w:line="360" w:lineRule="auto"/>
        <w:jc w:val="both"/>
        <w:rPr>
          <w:rFonts w:ascii="Arial" w:hAnsi="Arial" w:cs="Arial"/>
          <w:iCs/>
          <w:sz w:val="24"/>
          <w:szCs w:val="24"/>
        </w:rPr>
      </w:pPr>
      <w:r>
        <w:rPr>
          <w:rFonts w:ascii="Arial" w:hAnsi="Arial" w:cs="Arial"/>
          <w:iCs/>
          <w:sz w:val="24"/>
          <w:szCs w:val="24"/>
        </w:rPr>
        <w:t>Il grafico sotto riportato evidenzia la distribuzione geografica nel mondo dei finanziamenti in rassegna e il relativo ammontare.</w:t>
      </w:r>
    </w:p>
    <w:p w14:paraId="086A3FA8" w14:textId="77777777" w:rsidR="00F83AF6" w:rsidRDefault="00F83AF6" w:rsidP="00F83AF6">
      <w:pPr>
        <w:spacing w:after="0" w:line="360" w:lineRule="auto"/>
        <w:jc w:val="both"/>
        <w:rPr>
          <w:rFonts w:ascii="Arial" w:hAnsi="Arial" w:cs="Arial"/>
          <w:iCs/>
          <w:sz w:val="24"/>
          <w:szCs w:val="24"/>
        </w:rPr>
      </w:pPr>
    </w:p>
    <w:p w14:paraId="6F18C3CE" w14:textId="77777777" w:rsidR="00F83AF6" w:rsidRDefault="00F83AF6" w:rsidP="00F83AF6">
      <w:pPr>
        <w:spacing w:line="360" w:lineRule="auto"/>
        <w:jc w:val="center"/>
        <w:rPr>
          <w:rFonts w:ascii="Arial" w:hAnsi="Arial" w:cs="Arial"/>
          <w:iCs/>
          <w:sz w:val="24"/>
          <w:szCs w:val="24"/>
        </w:rPr>
      </w:pPr>
      <w:r w:rsidRPr="009C6EFC">
        <w:rPr>
          <w:noProof/>
          <w:lang w:eastAsia="it-IT"/>
        </w:rPr>
        <w:drawing>
          <wp:inline distT="0" distB="0" distL="0" distR="0" wp14:anchorId="74E5460A" wp14:editId="1ABCDA48">
            <wp:extent cx="6083300" cy="3175000"/>
            <wp:effectExtent l="0" t="0" r="0" b="6350"/>
            <wp:docPr id="17085289" name="Immagine 1" descr="Immagine che contiene testo, schermat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693131" name="Immagine 1" descr="Immagine che contiene testo, schermata, diagramma, Parallelo&#10;&#10;Descrizione generata automaticamente"/>
                    <pic:cNvPicPr/>
                  </pic:nvPicPr>
                  <pic:blipFill rotWithShape="1">
                    <a:blip r:embed="rId32"/>
                    <a:srcRect b="7182"/>
                    <a:stretch/>
                  </pic:blipFill>
                  <pic:spPr bwMode="auto">
                    <a:xfrm>
                      <a:off x="0" y="0"/>
                      <a:ext cx="6083300" cy="3175000"/>
                    </a:xfrm>
                    <a:prstGeom prst="rect">
                      <a:avLst/>
                    </a:prstGeom>
                    <a:ln>
                      <a:noFill/>
                    </a:ln>
                    <a:extLst>
                      <a:ext uri="{53640926-AAD7-44D8-BBD7-CCE9431645EC}">
                        <a14:shadowObscured xmlns:a14="http://schemas.microsoft.com/office/drawing/2010/main"/>
                      </a:ext>
                    </a:extLst>
                  </pic:spPr>
                </pic:pic>
              </a:graphicData>
            </a:graphic>
          </wp:inline>
        </w:drawing>
      </w:r>
    </w:p>
    <w:p w14:paraId="241CA362" w14:textId="77777777" w:rsidR="00F83AF6" w:rsidRPr="00E24C94" w:rsidRDefault="00F83AF6" w:rsidP="00F83AF6">
      <w:pPr>
        <w:pStyle w:val="Paragrafoelenco"/>
        <w:spacing w:line="360" w:lineRule="auto"/>
        <w:ind w:left="0"/>
        <w:jc w:val="center"/>
        <w:rPr>
          <w:rFonts w:ascii="Arial" w:hAnsi="Arial" w:cs="Arial"/>
          <w:i/>
          <w:sz w:val="20"/>
          <w:szCs w:val="20"/>
        </w:rPr>
      </w:pPr>
      <w:r w:rsidRPr="00E24C94">
        <w:rPr>
          <w:rFonts w:ascii="Arial" w:hAnsi="Arial" w:cs="Arial"/>
          <w:i/>
          <w:sz w:val="20"/>
          <w:szCs w:val="20"/>
        </w:rPr>
        <w:t>Distribuzione geografica dei finanziamenti per l’inclusione finanziaria (2015-2021).</w:t>
      </w:r>
    </w:p>
    <w:p w14:paraId="79B4AFA7" w14:textId="77777777" w:rsidR="00F83AF6" w:rsidRPr="00372780" w:rsidRDefault="00F83AF6" w:rsidP="00F83AF6">
      <w:pPr>
        <w:pStyle w:val="Paragrafoelenco"/>
        <w:spacing w:line="360" w:lineRule="auto"/>
        <w:ind w:left="0"/>
        <w:jc w:val="center"/>
        <w:rPr>
          <w:rFonts w:ascii="Arial" w:hAnsi="Arial" w:cs="Arial"/>
          <w:iCs/>
          <w:sz w:val="20"/>
          <w:szCs w:val="20"/>
          <w:lang w:val="en-US"/>
        </w:rPr>
      </w:pPr>
      <w:r w:rsidRPr="00372780">
        <w:rPr>
          <w:rFonts w:ascii="Arial" w:hAnsi="Arial" w:cs="Arial"/>
          <w:iCs/>
          <w:sz w:val="20"/>
          <w:szCs w:val="20"/>
          <w:lang w:val="en-US"/>
        </w:rPr>
        <w:t xml:space="preserve">Fonte: </w:t>
      </w:r>
      <w:r>
        <w:rPr>
          <w:rFonts w:ascii="Arial" w:hAnsi="Arial" w:cs="Arial"/>
          <w:iCs/>
          <w:sz w:val="20"/>
          <w:szCs w:val="20"/>
          <w:lang w:val="en-US"/>
        </w:rPr>
        <w:t>CGAP Cross-Border Funder Survey 2015-2021.</w:t>
      </w:r>
    </w:p>
    <w:p w14:paraId="23C39DB2" w14:textId="77777777" w:rsidR="00F83AF6" w:rsidRDefault="00F83AF6" w:rsidP="007209AD">
      <w:pPr>
        <w:spacing w:line="360" w:lineRule="auto"/>
        <w:jc w:val="both"/>
        <w:rPr>
          <w:rFonts w:ascii="Arial" w:hAnsi="Arial" w:cs="Arial"/>
          <w:iCs/>
          <w:sz w:val="24"/>
          <w:szCs w:val="24"/>
        </w:rPr>
      </w:pPr>
      <w:r>
        <w:rPr>
          <w:rFonts w:ascii="Arial" w:hAnsi="Arial" w:cs="Arial"/>
          <w:iCs/>
          <w:sz w:val="24"/>
          <w:szCs w:val="24"/>
        </w:rPr>
        <w:lastRenderedPageBreak/>
        <w:t>Il seguente grafico riporta la composizione degli strumenti a cui si è fatto ricorso ed evidenzia gli impegni per</w:t>
      </w:r>
      <w:r w:rsidRPr="00D851A3">
        <w:rPr>
          <w:rFonts w:ascii="Arial" w:hAnsi="Arial" w:cs="Arial"/>
          <w:iCs/>
          <w:sz w:val="24"/>
          <w:szCs w:val="24"/>
        </w:rPr>
        <w:t xml:space="preserve"> progetto convertiti in USD</w:t>
      </w:r>
      <w:r>
        <w:rPr>
          <w:rFonts w:ascii="Arial" w:hAnsi="Arial" w:cs="Arial"/>
          <w:iCs/>
          <w:sz w:val="24"/>
          <w:szCs w:val="24"/>
        </w:rPr>
        <w:t xml:space="preserve"> </w:t>
      </w:r>
      <w:r w:rsidRPr="00D851A3">
        <w:rPr>
          <w:rFonts w:ascii="Arial" w:hAnsi="Arial" w:cs="Arial"/>
          <w:iCs/>
          <w:sz w:val="24"/>
          <w:szCs w:val="24"/>
        </w:rPr>
        <w:t>utilizzando i tassi di cambio di fine anno.</w:t>
      </w:r>
    </w:p>
    <w:p w14:paraId="22856B3D" w14:textId="77777777" w:rsidR="00F83AF6" w:rsidRDefault="00F83AF6" w:rsidP="00F83AF6">
      <w:pPr>
        <w:spacing w:line="360" w:lineRule="auto"/>
        <w:jc w:val="center"/>
        <w:rPr>
          <w:rFonts w:ascii="Arial" w:hAnsi="Arial" w:cs="Arial"/>
          <w:iCs/>
          <w:sz w:val="24"/>
          <w:szCs w:val="24"/>
        </w:rPr>
      </w:pPr>
      <w:r w:rsidRPr="009C6EFC">
        <w:rPr>
          <w:noProof/>
          <w:lang w:eastAsia="it-IT"/>
        </w:rPr>
        <w:drawing>
          <wp:inline distT="0" distB="0" distL="0" distR="0" wp14:anchorId="5A0EBE51" wp14:editId="02A8122E">
            <wp:extent cx="6120000" cy="3243600"/>
            <wp:effectExtent l="0" t="0" r="0" b="0"/>
            <wp:docPr id="1211672853" name="Immagine 1"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655380" name="Immagine 1" descr="Immagine che contiene testo, schermata, diagramma, linea&#10;&#10;Descrizione generata automaticamente"/>
                    <pic:cNvPicPr/>
                  </pic:nvPicPr>
                  <pic:blipFill rotWithShape="1">
                    <a:blip r:embed="rId33"/>
                    <a:srcRect b="6256"/>
                    <a:stretch/>
                  </pic:blipFill>
                  <pic:spPr bwMode="auto">
                    <a:xfrm>
                      <a:off x="0" y="0"/>
                      <a:ext cx="6120000" cy="3243600"/>
                    </a:xfrm>
                    <a:prstGeom prst="rect">
                      <a:avLst/>
                    </a:prstGeom>
                    <a:ln>
                      <a:noFill/>
                    </a:ln>
                    <a:extLst>
                      <a:ext uri="{53640926-AAD7-44D8-BBD7-CCE9431645EC}">
                        <a14:shadowObscured xmlns:a14="http://schemas.microsoft.com/office/drawing/2010/main"/>
                      </a:ext>
                    </a:extLst>
                  </pic:spPr>
                </pic:pic>
              </a:graphicData>
            </a:graphic>
          </wp:inline>
        </w:drawing>
      </w:r>
    </w:p>
    <w:p w14:paraId="736FD820" w14:textId="77777777" w:rsidR="00F83AF6" w:rsidRPr="00E24C94" w:rsidRDefault="00F83AF6" w:rsidP="00F83AF6">
      <w:pPr>
        <w:pStyle w:val="Paragrafoelenco"/>
        <w:spacing w:line="360" w:lineRule="auto"/>
        <w:ind w:left="0"/>
        <w:jc w:val="center"/>
        <w:rPr>
          <w:rFonts w:ascii="Arial" w:hAnsi="Arial" w:cs="Arial"/>
          <w:i/>
          <w:sz w:val="20"/>
          <w:szCs w:val="20"/>
        </w:rPr>
      </w:pPr>
      <w:r w:rsidRPr="00E24C94">
        <w:rPr>
          <w:rFonts w:ascii="Arial" w:hAnsi="Arial" w:cs="Arial"/>
          <w:i/>
          <w:sz w:val="20"/>
          <w:szCs w:val="20"/>
        </w:rPr>
        <w:t>Strumenti di finanziamento per l’inclusione finanziaria (2015-2021).</w:t>
      </w:r>
    </w:p>
    <w:p w14:paraId="24C34314" w14:textId="77777777" w:rsidR="00F83AF6" w:rsidRPr="00372780" w:rsidRDefault="00F83AF6" w:rsidP="00F83AF6">
      <w:pPr>
        <w:pStyle w:val="Paragrafoelenco"/>
        <w:spacing w:after="0" w:line="360" w:lineRule="auto"/>
        <w:ind w:left="0"/>
        <w:jc w:val="center"/>
        <w:rPr>
          <w:rFonts w:ascii="Arial" w:hAnsi="Arial" w:cs="Arial"/>
          <w:iCs/>
          <w:sz w:val="20"/>
          <w:szCs w:val="20"/>
          <w:lang w:val="en-US"/>
        </w:rPr>
      </w:pPr>
      <w:r w:rsidRPr="00372780">
        <w:rPr>
          <w:rFonts w:ascii="Arial" w:hAnsi="Arial" w:cs="Arial"/>
          <w:iCs/>
          <w:sz w:val="20"/>
          <w:szCs w:val="20"/>
          <w:lang w:val="en-US"/>
        </w:rPr>
        <w:t xml:space="preserve">Fonte: </w:t>
      </w:r>
      <w:r>
        <w:rPr>
          <w:rFonts w:ascii="Arial" w:hAnsi="Arial" w:cs="Arial"/>
          <w:iCs/>
          <w:sz w:val="20"/>
          <w:szCs w:val="20"/>
          <w:lang w:val="en-US"/>
        </w:rPr>
        <w:t>CGAP Cross-Border Funder Survey 2015-2021.</w:t>
      </w:r>
    </w:p>
    <w:p w14:paraId="71F12F0E" w14:textId="77777777" w:rsidR="00F83AF6" w:rsidRPr="00E24C94" w:rsidRDefault="00F83AF6" w:rsidP="00F83AF6">
      <w:pPr>
        <w:spacing w:after="0" w:line="360" w:lineRule="auto"/>
        <w:jc w:val="both"/>
        <w:rPr>
          <w:rFonts w:ascii="Arial" w:hAnsi="Arial" w:cs="Arial"/>
          <w:iCs/>
          <w:sz w:val="24"/>
          <w:szCs w:val="24"/>
          <w:lang w:val="en-US"/>
        </w:rPr>
      </w:pPr>
    </w:p>
    <w:p w14:paraId="4CA70F4A" w14:textId="77777777" w:rsidR="00F83AF6" w:rsidRDefault="00F83AF6" w:rsidP="00F83AF6">
      <w:pPr>
        <w:spacing w:after="0" w:line="360" w:lineRule="auto"/>
        <w:jc w:val="both"/>
        <w:rPr>
          <w:rFonts w:ascii="Arial" w:hAnsi="Arial" w:cs="Arial"/>
          <w:iCs/>
          <w:sz w:val="24"/>
          <w:szCs w:val="24"/>
        </w:rPr>
      </w:pPr>
      <w:r>
        <w:rPr>
          <w:rFonts w:ascii="Arial" w:hAnsi="Arial" w:cs="Arial"/>
          <w:iCs/>
          <w:sz w:val="24"/>
          <w:szCs w:val="24"/>
        </w:rPr>
        <w:t>Il grafico sotto riportato evidenzia la destinazione e la composizione dei finanziamenti, nonché l’andamento della dimensione dei progetti.</w:t>
      </w:r>
    </w:p>
    <w:p w14:paraId="4002769B" w14:textId="77777777" w:rsidR="00F83AF6" w:rsidRDefault="00F83AF6" w:rsidP="00F83AF6">
      <w:pPr>
        <w:spacing w:after="0" w:line="360" w:lineRule="auto"/>
        <w:jc w:val="both"/>
        <w:rPr>
          <w:rFonts w:ascii="Arial" w:hAnsi="Arial" w:cs="Arial"/>
          <w:iCs/>
          <w:sz w:val="24"/>
          <w:szCs w:val="24"/>
        </w:rPr>
      </w:pPr>
    </w:p>
    <w:p w14:paraId="398CE14A" w14:textId="77777777" w:rsidR="00F83AF6" w:rsidRDefault="00F83AF6" w:rsidP="007209AD">
      <w:pPr>
        <w:spacing w:line="360" w:lineRule="auto"/>
        <w:jc w:val="center"/>
        <w:rPr>
          <w:rFonts w:ascii="Arial" w:hAnsi="Arial" w:cs="Arial"/>
          <w:i/>
          <w:sz w:val="20"/>
          <w:szCs w:val="20"/>
          <w:lang w:val="en-US"/>
        </w:rPr>
      </w:pPr>
      <w:r w:rsidRPr="009C6EFC">
        <w:rPr>
          <w:noProof/>
          <w:lang w:eastAsia="it-IT"/>
        </w:rPr>
        <w:drawing>
          <wp:inline distT="0" distB="0" distL="0" distR="0" wp14:anchorId="04CE1FA5" wp14:editId="72A0A182">
            <wp:extent cx="6120000" cy="3006000"/>
            <wp:effectExtent l="0" t="0" r="0" b="0"/>
            <wp:docPr id="1076355029" name="Immagine 1" descr="Immagine che contiene testo, schermat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478463" name="Immagine 1" descr="Immagine che contiene testo, schermata, diagramma, Parallelo&#10;&#10;Descrizione generata automaticamente"/>
                    <pic:cNvPicPr/>
                  </pic:nvPicPr>
                  <pic:blipFill rotWithShape="1">
                    <a:blip r:embed="rId34"/>
                    <a:srcRect l="1264" r="1327" b="1063"/>
                    <a:stretch/>
                  </pic:blipFill>
                  <pic:spPr bwMode="auto">
                    <a:xfrm>
                      <a:off x="0" y="0"/>
                      <a:ext cx="6120000" cy="3006000"/>
                    </a:xfrm>
                    <a:prstGeom prst="rect">
                      <a:avLst/>
                    </a:prstGeom>
                    <a:ln>
                      <a:noFill/>
                    </a:ln>
                    <a:extLst>
                      <a:ext uri="{53640926-AAD7-44D8-BBD7-CCE9431645EC}">
                        <a14:shadowObscured xmlns:a14="http://schemas.microsoft.com/office/drawing/2010/main"/>
                      </a:ext>
                    </a:extLst>
                  </pic:spPr>
                </pic:pic>
              </a:graphicData>
            </a:graphic>
          </wp:inline>
        </w:drawing>
      </w:r>
    </w:p>
    <w:p w14:paraId="6CABAA93" w14:textId="77777777" w:rsidR="00F83AF6" w:rsidRPr="00E24C94" w:rsidRDefault="00F83AF6" w:rsidP="00F83AF6">
      <w:pPr>
        <w:spacing w:after="0" w:line="360" w:lineRule="auto"/>
        <w:jc w:val="center"/>
        <w:rPr>
          <w:rFonts w:ascii="Arial" w:hAnsi="Arial" w:cs="Arial"/>
          <w:i/>
          <w:sz w:val="20"/>
          <w:szCs w:val="20"/>
        </w:rPr>
      </w:pPr>
      <w:r w:rsidRPr="00E24C94">
        <w:rPr>
          <w:rFonts w:ascii="Arial" w:hAnsi="Arial" w:cs="Arial"/>
          <w:i/>
          <w:sz w:val="20"/>
          <w:szCs w:val="20"/>
        </w:rPr>
        <w:t>Destinatari dei finanziamenti per l’inclusione finanziaria (2015-2021).</w:t>
      </w:r>
    </w:p>
    <w:p w14:paraId="10BBA950" w14:textId="77777777" w:rsidR="00F83AF6" w:rsidRPr="00372780" w:rsidRDefault="00F83AF6" w:rsidP="00F83AF6">
      <w:pPr>
        <w:spacing w:after="0" w:line="360" w:lineRule="auto"/>
        <w:jc w:val="center"/>
        <w:rPr>
          <w:rFonts w:ascii="Arial" w:hAnsi="Arial" w:cs="Arial"/>
          <w:iCs/>
          <w:sz w:val="20"/>
          <w:szCs w:val="20"/>
          <w:lang w:val="en-US"/>
        </w:rPr>
      </w:pPr>
      <w:r w:rsidRPr="00372780">
        <w:rPr>
          <w:rFonts w:ascii="Arial" w:hAnsi="Arial" w:cs="Arial"/>
          <w:iCs/>
          <w:sz w:val="20"/>
          <w:szCs w:val="20"/>
          <w:lang w:val="en-US"/>
        </w:rPr>
        <w:t xml:space="preserve">Fonte: </w:t>
      </w:r>
      <w:r>
        <w:rPr>
          <w:rFonts w:ascii="Arial" w:hAnsi="Arial" w:cs="Arial"/>
          <w:iCs/>
          <w:sz w:val="20"/>
          <w:szCs w:val="20"/>
          <w:lang w:val="en-US"/>
        </w:rPr>
        <w:t>CGAP Cross-Border Funder Survey 2015-2021.</w:t>
      </w:r>
    </w:p>
    <w:p w14:paraId="0A5B28B9" w14:textId="77777777" w:rsidR="00F83AF6" w:rsidRDefault="00F83AF6" w:rsidP="00F83AF6">
      <w:pPr>
        <w:spacing w:line="360" w:lineRule="auto"/>
        <w:jc w:val="both"/>
        <w:rPr>
          <w:rFonts w:ascii="Arial" w:hAnsi="Arial" w:cs="Arial"/>
          <w:iCs/>
          <w:sz w:val="24"/>
          <w:szCs w:val="24"/>
        </w:rPr>
      </w:pPr>
      <w:r>
        <w:rPr>
          <w:rFonts w:ascii="Arial" w:hAnsi="Arial" w:cs="Arial"/>
          <w:iCs/>
          <w:sz w:val="24"/>
          <w:szCs w:val="24"/>
        </w:rPr>
        <w:lastRenderedPageBreak/>
        <w:t>Il grafico sottostante mostra gli impegni per finalità di finanziamento e il numero di progetti per tema.</w:t>
      </w:r>
    </w:p>
    <w:p w14:paraId="6635FFB2" w14:textId="77777777" w:rsidR="00F83AF6" w:rsidRDefault="00F83AF6" w:rsidP="00F83AF6">
      <w:pPr>
        <w:spacing w:line="360" w:lineRule="auto"/>
        <w:jc w:val="center"/>
        <w:rPr>
          <w:rFonts w:ascii="Arial" w:hAnsi="Arial" w:cs="Arial"/>
          <w:iCs/>
          <w:sz w:val="24"/>
          <w:szCs w:val="24"/>
        </w:rPr>
      </w:pPr>
      <w:r w:rsidRPr="00CA75CE">
        <w:rPr>
          <w:noProof/>
          <w:lang w:eastAsia="it-IT"/>
        </w:rPr>
        <w:drawing>
          <wp:inline distT="0" distB="0" distL="0" distR="0" wp14:anchorId="1760DB46" wp14:editId="79C8DC13">
            <wp:extent cx="6051550" cy="3195955"/>
            <wp:effectExtent l="0" t="0" r="6350" b="4445"/>
            <wp:docPr id="572178508" name="Immagine 1" descr="Immagine che contiene testo, schermata, software, Sito Web&#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335701" name="Immagine 1" descr="Immagine che contiene testo, schermata, software, Sito Web&#10;&#10;Descrizione generata automaticamente"/>
                    <pic:cNvPicPr/>
                  </pic:nvPicPr>
                  <pic:blipFill rotWithShape="1">
                    <a:blip r:embed="rId35"/>
                    <a:srcRect l="-1" r="1011"/>
                    <a:stretch/>
                  </pic:blipFill>
                  <pic:spPr bwMode="auto">
                    <a:xfrm>
                      <a:off x="0" y="0"/>
                      <a:ext cx="6051550" cy="3195955"/>
                    </a:xfrm>
                    <a:prstGeom prst="rect">
                      <a:avLst/>
                    </a:prstGeom>
                    <a:ln>
                      <a:noFill/>
                    </a:ln>
                    <a:extLst>
                      <a:ext uri="{53640926-AAD7-44D8-BBD7-CCE9431645EC}">
                        <a14:shadowObscured xmlns:a14="http://schemas.microsoft.com/office/drawing/2010/main"/>
                      </a:ext>
                    </a:extLst>
                  </pic:spPr>
                </pic:pic>
              </a:graphicData>
            </a:graphic>
          </wp:inline>
        </w:drawing>
      </w:r>
    </w:p>
    <w:p w14:paraId="409F3C3C" w14:textId="77777777" w:rsidR="00F83AF6" w:rsidRPr="00E24C94" w:rsidRDefault="00F83AF6" w:rsidP="00F83AF6">
      <w:pPr>
        <w:spacing w:after="0" w:line="360" w:lineRule="auto"/>
        <w:jc w:val="center"/>
        <w:rPr>
          <w:rFonts w:ascii="Arial" w:hAnsi="Arial" w:cs="Arial"/>
          <w:i/>
          <w:sz w:val="20"/>
          <w:szCs w:val="20"/>
        </w:rPr>
      </w:pPr>
      <w:r w:rsidRPr="00E24C94">
        <w:rPr>
          <w:rFonts w:ascii="Arial" w:hAnsi="Arial" w:cs="Arial"/>
          <w:i/>
          <w:sz w:val="20"/>
          <w:szCs w:val="20"/>
        </w:rPr>
        <w:t>Impegni per finalità di finanziamento (2021) e numeri di progetti per tema (2015-2021).</w:t>
      </w:r>
    </w:p>
    <w:p w14:paraId="37D6AB34" w14:textId="77777777" w:rsidR="00F83AF6" w:rsidRPr="00372780" w:rsidRDefault="00F83AF6" w:rsidP="00F83AF6">
      <w:pPr>
        <w:spacing w:after="0" w:line="360" w:lineRule="auto"/>
        <w:jc w:val="center"/>
        <w:rPr>
          <w:rFonts w:ascii="Arial" w:hAnsi="Arial" w:cs="Arial"/>
          <w:iCs/>
          <w:sz w:val="20"/>
          <w:szCs w:val="20"/>
          <w:lang w:val="en-US"/>
        </w:rPr>
      </w:pPr>
      <w:r w:rsidRPr="00372780">
        <w:rPr>
          <w:rFonts w:ascii="Arial" w:hAnsi="Arial" w:cs="Arial"/>
          <w:iCs/>
          <w:sz w:val="20"/>
          <w:szCs w:val="20"/>
          <w:lang w:val="en-US"/>
        </w:rPr>
        <w:t xml:space="preserve">Fonte: </w:t>
      </w:r>
      <w:r>
        <w:rPr>
          <w:rFonts w:ascii="Arial" w:hAnsi="Arial" w:cs="Arial"/>
          <w:iCs/>
          <w:sz w:val="20"/>
          <w:szCs w:val="20"/>
          <w:lang w:val="en-US"/>
        </w:rPr>
        <w:t>CGAP Cross-Border Funder Survey 2015-2021.</w:t>
      </w:r>
    </w:p>
    <w:p w14:paraId="4172C8D3" w14:textId="77777777" w:rsidR="00F83AF6" w:rsidRPr="00E24C94" w:rsidRDefault="00F83AF6" w:rsidP="00F83AF6">
      <w:pPr>
        <w:spacing w:after="0" w:line="360" w:lineRule="auto"/>
        <w:jc w:val="both"/>
        <w:rPr>
          <w:rFonts w:ascii="Arial" w:hAnsi="Arial" w:cs="Arial"/>
          <w:iCs/>
          <w:sz w:val="24"/>
          <w:szCs w:val="24"/>
          <w:lang w:val="en-US"/>
        </w:rPr>
      </w:pPr>
    </w:p>
    <w:p w14:paraId="6B8F25CF" w14:textId="77777777" w:rsidR="00F83AF6" w:rsidRDefault="00F83AF6" w:rsidP="00F83AF6">
      <w:pPr>
        <w:spacing w:after="0" w:line="360" w:lineRule="auto"/>
        <w:jc w:val="both"/>
        <w:rPr>
          <w:rFonts w:ascii="Arial" w:hAnsi="Arial" w:cs="Arial"/>
          <w:iCs/>
          <w:sz w:val="24"/>
          <w:szCs w:val="24"/>
        </w:rPr>
      </w:pPr>
      <w:r w:rsidRPr="001337E9">
        <w:rPr>
          <w:rFonts w:ascii="Arial" w:hAnsi="Arial" w:cs="Arial"/>
          <w:iCs/>
          <w:sz w:val="24"/>
          <w:szCs w:val="24"/>
        </w:rPr>
        <w:t>Dall’ultimo rapporto del Fondo Monetario Internazionale “</w:t>
      </w:r>
      <w:r w:rsidRPr="001337E9">
        <w:rPr>
          <w:rFonts w:ascii="Arial" w:hAnsi="Arial" w:cs="Arial"/>
          <w:i/>
          <w:sz w:val="24"/>
          <w:szCs w:val="24"/>
        </w:rPr>
        <w:t>Financial Acces</w:t>
      </w:r>
      <w:r>
        <w:rPr>
          <w:rFonts w:ascii="Arial" w:hAnsi="Arial" w:cs="Arial"/>
          <w:i/>
          <w:sz w:val="24"/>
          <w:szCs w:val="24"/>
        </w:rPr>
        <w:t>s</w:t>
      </w:r>
      <w:r w:rsidRPr="001337E9">
        <w:rPr>
          <w:rFonts w:ascii="Arial" w:hAnsi="Arial" w:cs="Arial"/>
          <w:i/>
          <w:sz w:val="24"/>
          <w:szCs w:val="24"/>
        </w:rPr>
        <w:t xml:space="preserve"> Survey 2023, Trends and Dev</w:t>
      </w:r>
      <w:r>
        <w:rPr>
          <w:rFonts w:ascii="Arial" w:hAnsi="Arial" w:cs="Arial"/>
          <w:i/>
          <w:sz w:val="24"/>
          <w:szCs w:val="24"/>
        </w:rPr>
        <w:t>e</w:t>
      </w:r>
      <w:r w:rsidRPr="001337E9">
        <w:rPr>
          <w:rFonts w:ascii="Arial" w:hAnsi="Arial" w:cs="Arial"/>
          <w:i/>
          <w:sz w:val="24"/>
          <w:szCs w:val="24"/>
        </w:rPr>
        <w:t>lopment</w:t>
      </w:r>
      <w:r w:rsidRPr="001337E9">
        <w:rPr>
          <w:rFonts w:ascii="Arial" w:hAnsi="Arial" w:cs="Arial"/>
          <w:iCs/>
          <w:sz w:val="24"/>
          <w:szCs w:val="24"/>
        </w:rPr>
        <w:t>”</w:t>
      </w:r>
      <w:r w:rsidRPr="001337E9">
        <w:rPr>
          <w:rStyle w:val="Rimandonotaapidipagina"/>
          <w:rFonts w:ascii="Arial" w:hAnsi="Arial" w:cs="Arial"/>
          <w:iCs/>
          <w:sz w:val="24"/>
          <w:szCs w:val="24"/>
        </w:rPr>
        <w:footnoteReference w:id="98"/>
      </w:r>
      <w:r w:rsidRPr="001337E9">
        <w:rPr>
          <w:rFonts w:ascii="Arial" w:hAnsi="Arial" w:cs="Arial"/>
          <w:iCs/>
          <w:sz w:val="24"/>
          <w:szCs w:val="24"/>
        </w:rPr>
        <w:t xml:space="preserve"> emerge che le istituzioni di microfinanza continuano a sostenere microprestiti e depositi</w:t>
      </w:r>
      <w:r>
        <w:rPr>
          <w:rFonts w:ascii="Arial" w:hAnsi="Arial" w:cs="Arial"/>
          <w:iCs/>
          <w:sz w:val="24"/>
          <w:szCs w:val="24"/>
        </w:rPr>
        <w:t>; i</w:t>
      </w:r>
      <w:r w:rsidRPr="001337E9">
        <w:rPr>
          <w:rFonts w:ascii="Arial" w:hAnsi="Arial" w:cs="Arial"/>
          <w:iCs/>
          <w:sz w:val="24"/>
          <w:szCs w:val="24"/>
        </w:rPr>
        <w:t>l mercato</w:t>
      </w:r>
      <w:r>
        <w:rPr>
          <w:rFonts w:ascii="Arial" w:hAnsi="Arial" w:cs="Arial"/>
          <w:iCs/>
          <w:sz w:val="24"/>
          <w:szCs w:val="24"/>
        </w:rPr>
        <w:t xml:space="preserve"> della microfinanza </w:t>
      </w:r>
      <w:r w:rsidRPr="001337E9">
        <w:rPr>
          <w:rFonts w:ascii="Arial" w:hAnsi="Arial" w:cs="Arial"/>
          <w:iCs/>
          <w:sz w:val="24"/>
          <w:szCs w:val="24"/>
        </w:rPr>
        <w:t>è rimasto resiliente nonostante l</w:t>
      </w:r>
      <w:r>
        <w:rPr>
          <w:rFonts w:ascii="Arial" w:hAnsi="Arial" w:cs="Arial"/>
          <w:iCs/>
          <w:sz w:val="24"/>
          <w:szCs w:val="24"/>
        </w:rPr>
        <w:t>e</w:t>
      </w:r>
      <w:r w:rsidRPr="001337E9">
        <w:rPr>
          <w:rFonts w:ascii="Arial" w:hAnsi="Arial" w:cs="Arial"/>
          <w:iCs/>
          <w:sz w:val="24"/>
          <w:szCs w:val="24"/>
        </w:rPr>
        <w:t xml:space="preserve"> crisi economic</w:t>
      </w:r>
      <w:r>
        <w:rPr>
          <w:rFonts w:ascii="Arial" w:hAnsi="Arial" w:cs="Arial"/>
          <w:iCs/>
          <w:sz w:val="24"/>
          <w:szCs w:val="24"/>
        </w:rPr>
        <w:t>he</w:t>
      </w:r>
      <w:r w:rsidRPr="001337E9">
        <w:rPr>
          <w:rFonts w:ascii="Arial" w:hAnsi="Arial" w:cs="Arial"/>
          <w:iCs/>
          <w:sz w:val="24"/>
          <w:szCs w:val="24"/>
        </w:rPr>
        <w:t xml:space="preserve"> e sanitaria global</w:t>
      </w:r>
      <w:r>
        <w:rPr>
          <w:rFonts w:ascii="Arial" w:hAnsi="Arial" w:cs="Arial"/>
          <w:iCs/>
          <w:sz w:val="24"/>
          <w:szCs w:val="24"/>
        </w:rPr>
        <w:t>i</w:t>
      </w:r>
      <w:r w:rsidRPr="001337E9">
        <w:rPr>
          <w:rFonts w:ascii="Arial" w:hAnsi="Arial" w:cs="Arial"/>
          <w:iCs/>
          <w:sz w:val="24"/>
          <w:szCs w:val="24"/>
        </w:rPr>
        <w:t xml:space="preserve"> </w:t>
      </w:r>
      <w:r>
        <w:rPr>
          <w:rFonts w:ascii="Arial" w:hAnsi="Arial" w:cs="Arial"/>
          <w:iCs/>
          <w:sz w:val="24"/>
          <w:szCs w:val="24"/>
        </w:rPr>
        <w:t xml:space="preserve">registrate </w:t>
      </w:r>
      <w:r w:rsidRPr="001337E9">
        <w:rPr>
          <w:rFonts w:ascii="Arial" w:hAnsi="Arial" w:cs="Arial"/>
          <w:iCs/>
          <w:sz w:val="24"/>
          <w:szCs w:val="24"/>
        </w:rPr>
        <w:t>negli ultimi anni, compres</w:t>
      </w:r>
      <w:r>
        <w:rPr>
          <w:rFonts w:ascii="Arial" w:hAnsi="Arial" w:cs="Arial"/>
          <w:iCs/>
          <w:sz w:val="24"/>
          <w:szCs w:val="24"/>
        </w:rPr>
        <w:t xml:space="preserve">a l’annualità </w:t>
      </w:r>
      <w:r w:rsidRPr="001337E9">
        <w:rPr>
          <w:rFonts w:ascii="Arial" w:hAnsi="Arial" w:cs="Arial"/>
          <w:iCs/>
          <w:sz w:val="24"/>
          <w:szCs w:val="24"/>
        </w:rPr>
        <w:t>2022.</w:t>
      </w:r>
    </w:p>
    <w:p w14:paraId="6DAA6A43" w14:textId="77777777" w:rsidR="00F83AF6" w:rsidRDefault="00F83AF6" w:rsidP="00F83AF6">
      <w:pPr>
        <w:spacing w:after="0" w:line="360" w:lineRule="auto"/>
        <w:jc w:val="both"/>
        <w:rPr>
          <w:rFonts w:ascii="Arial" w:hAnsi="Arial" w:cs="Arial"/>
          <w:iCs/>
          <w:sz w:val="24"/>
          <w:szCs w:val="24"/>
        </w:rPr>
      </w:pPr>
      <w:r w:rsidRPr="001337E9">
        <w:rPr>
          <w:rFonts w:ascii="Arial" w:hAnsi="Arial" w:cs="Arial"/>
          <w:iCs/>
          <w:sz w:val="24"/>
          <w:szCs w:val="24"/>
        </w:rPr>
        <w:t>Il numero di conti di deposito di microfinanza è aumentato nella maggior parte de</w:t>
      </w:r>
      <w:r>
        <w:rPr>
          <w:rFonts w:ascii="Arial" w:hAnsi="Arial" w:cs="Arial"/>
          <w:iCs/>
          <w:sz w:val="24"/>
          <w:szCs w:val="24"/>
        </w:rPr>
        <w:t>lle economie</w:t>
      </w:r>
      <w:r w:rsidRPr="001337E9">
        <w:rPr>
          <w:rFonts w:ascii="Arial" w:hAnsi="Arial" w:cs="Arial"/>
          <w:iCs/>
          <w:sz w:val="24"/>
          <w:szCs w:val="24"/>
        </w:rPr>
        <w:t xml:space="preserve"> a reddito medio tra il 2020 e il 2022</w:t>
      </w:r>
      <w:r>
        <w:rPr>
          <w:rFonts w:ascii="Arial" w:hAnsi="Arial" w:cs="Arial"/>
          <w:iCs/>
          <w:sz w:val="24"/>
          <w:szCs w:val="24"/>
        </w:rPr>
        <w:t>; i</w:t>
      </w:r>
      <w:r w:rsidRPr="001337E9">
        <w:rPr>
          <w:rFonts w:ascii="Arial" w:hAnsi="Arial" w:cs="Arial"/>
          <w:iCs/>
          <w:sz w:val="24"/>
          <w:szCs w:val="24"/>
        </w:rPr>
        <w:t>n</w:t>
      </w:r>
      <w:r>
        <w:rPr>
          <w:rFonts w:ascii="Arial" w:hAnsi="Arial" w:cs="Arial"/>
          <w:iCs/>
          <w:sz w:val="24"/>
          <w:szCs w:val="24"/>
        </w:rPr>
        <w:t xml:space="preserve"> aggiunta, </w:t>
      </w:r>
      <w:r w:rsidRPr="001337E9">
        <w:rPr>
          <w:rFonts w:ascii="Arial" w:hAnsi="Arial" w:cs="Arial"/>
          <w:iCs/>
          <w:sz w:val="24"/>
          <w:szCs w:val="24"/>
        </w:rPr>
        <w:t xml:space="preserve">il numero di </w:t>
      </w:r>
      <w:r>
        <w:rPr>
          <w:rFonts w:ascii="Arial" w:hAnsi="Arial" w:cs="Arial"/>
          <w:iCs/>
          <w:sz w:val="24"/>
          <w:szCs w:val="24"/>
        </w:rPr>
        <w:t xml:space="preserve">conti di </w:t>
      </w:r>
      <w:r w:rsidRPr="001337E9">
        <w:rPr>
          <w:rFonts w:ascii="Arial" w:hAnsi="Arial" w:cs="Arial"/>
          <w:iCs/>
          <w:sz w:val="24"/>
          <w:szCs w:val="24"/>
        </w:rPr>
        <w:t>prestit</w:t>
      </w:r>
      <w:r>
        <w:rPr>
          <w:rFonts w:ascii="Arial" w:hAnsi="Arial" w:cs="Arial"/>
          <w:iCs/>
          <w:sz w:val="24"/>
          <w:szCs w:val="24"/>
        </w:rPr>
        <w:t>o</w:t>
      </w:r>
      <w:r w:rsidRPr="001337E9">
        <w:rPr>
          <w:rFonts w:ascii="Arial" w:hAnsi="Arial" w:cs="Arial"/>
          <w:iCs/>
          <w:sz w:val="24"/>
          <w:szCs w:val="24"/>
        </w:rPr>
        <w:t xml:space="preserve"> d</w:t>
      </w:r>
      <w:r>
        <w:rPr>
          <w:rFonts w:ascii="Arial" w:hAnsi="Arial" w:cs="Arial"/>
          <w:iCs/>
          <w:sz w:val="24"/>
          <w:szCs w:val="24"/>
        </w:rPr>
        <w:t xml:space="preserve">i </w:t>
      </w:r>
      <w:r w:rsidRPr="001337E9">
        <w:rPr>
          <w:rFonts w:ascii="Arial" w:hAnsi="Arial" w:cs="Arial"/>
          <w:iCs/>
          <w:sz w:val="24"/>
          <w:szCs w:val="24"/>
        </w:rPr>
        <w:t xml:space="preserve">microfinanza </w:t>
      </w:r>
      <w:r>
        <w:rPr>
          <w:rFonts w:ascii="Arial" w:hAnsi="Arial" w:cs="Arial"/>
          <w:iCs/>
          <w:sz w:val="24"/>
          <w:szCs w:val="24"/>
        </w:rPr>
        <w:t xml:space="preserve">è </w:t>
      </w:r>
      <w:r w:rsidRPr="001337E9">
        <w:rPr>
          <w:rFonts w:ascii="Arial" w:hAnsi="Arial" w:cs="Arial"/>
          <w:iCs/>
          <w:sz w:val="24"/>
          <w:szCs w:val="24"/>
        </w:rPr>
        <w:t>aumentat</w:t>
      </w:r>
      <w:r>
        <w:rPr>
          <w:rFonts w:ascii="Arial" w:hAnsi="Arial" w:cs="Arial"/>
          <w:iCs/>
          <w:sz w:val="24"/>
          <w:szCs w:val="24"/>
        </w:rPr>
        <w:t xml:space="preserve">o </w:t>
      </w:r>
      <w:r w:rsidRPr="001337E9">
        <w:rPr>
          <w:rFonts w:ascii="Arial" w:hAnsi="Arial" w:cs="Arial"/>
          <w:iCs/>
          <w:sz w:val="24"/>
          <w:szCs w:val="24"/>
        </w:rPr>
        <w:t>di più rispetto ai conti di prestito delle banche commerciali in paesi come l’Albania, Bangladesh e Georgia nello stesso periodo. Alcuni dei fattori chiave per il crescente utilizzo dei servizi di microfinanza includono una maggiore disponibilità di microfinanza nelle piattaforme di pagamento digitali e mobili, una domanda sostanziale di finanziamenti a breve termine e su piccola scala tra clienti a basso reddito e PMI</w:t>
      </w:r>
      <w:r>
        <w:rPr>
          <w:rFonts w:ascii="Arial" w:hAnsi="Arial" w:cs="Arial"/>
          <w:iCs/>
          <w:sz w:val="24"/>
          <w:szCs w:val="24"/>
        </w:rPr>
        <w:t xml:space="preserve">, </w:t>
      </w:r>
      <w:r w:rsidRPr="001337E9">
        <w:rPr>
          <w:rFonts w:ascii="Arial" w:hAnsi="Arial" w:cs="Arial"/>
          <w:iCs/>
          <w:sz w:val="24"/>
          <w:szCs w:val="24"/>
        </w:rPr>
        <w:t>e iniziative governative che incoraggiano l’uso della microfinanza.</w:t>
      </w:r>
    </w:p>
    <w:p w14:paraId="3DBB741E" w14:textId="77777777" w:rsidR="00F83AF6" w:rsidRDefault="00F83AF6" w:rsidP="00F83AF6">
      <w:pPr>
        <w:spacing w:after="0" w:line="360" w:lineRule="auto"/>
        <w:jc w:val="both"/>
        <w:rPr>
          <w:rFonts w:ascii="Arial" w:hAnsi="Arial" w:cs="Arial"/>
          <w:iCs/>
          <w:sz w:val="24"/>
          <w:szCs w:val="24"/>
        </w:rPr>
      </w:pPr>
    </w:p>
    <w:p w14:paraId="5B626C67" w14:textId="77777777" w:rsidR="00F83AF6" w:rsidRPr="001337E9" w:rsidRDefault="00F83AF6" w:rsidP="00F83AF6">
      <w:pPr>
        <w:spacing w:after="0" w:line="360" w:lineRule="auto"/>
        <w:jc w:val="both"/>
        <w:rPr>
          <w:rFonts w:ascii="Arial" w:hAnsi="Arial" w:cs="Arial"/>
          <w:iCs/>
          <w:sz w:val="24"/>
          <w:szCs w:val="24"/>
        </w:rPr>
      </w:pPr>
    </w:p>
    <w:p w14:paraId="69E58C86" w14:textId="77777777" w:rsidR="00F83AF6" w:rsidRDefault="00F83AF6" w:rsidP="00F83AF6">
      <w:pPr>
        <w:pStyle w:val="Paragrafoelenco"/>
        <w:spacing w:line="360" w:lineRule="auto"/>
        <w:ind w:left="0"/>
        <w:contextualSpacing w:val="0"/>
        <w:jc w:val="center"/>
        <w:rPr>
          <w:rFonts w:ascii="Arial" w:hAnsi="Arial" w:cs="Arial"/>
          <w:iCs/>
          <w:sz w:val="24"/>
          <w:szCs w:val="24"/>
        </w:rPr>
      </w:pPr>
      <w:r w:rsidRPr="00EF24B5">
        <w:rPr>
          <w:noProof/>
          <w:lang w:eastAsia="it-IT"/>
        </w:rPr>
        <w:lastRenderedPageBreak/>
        <w:drawing>
          <wp:inline distT="0" distB="0" distL="0" distR="0" wp14:anchorId="29AFC854" wp14:editId="57A50911">
            <wp:extent cx="6089650" cy="4419600"/>
            <wp:effectExtent l="0" t="0" r="6350" b="0"/>
            <wp:docPr id="1164150214" name="Immagine 1"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552056" name="Immagine 1" descr="Immagine che contiene testo, schermata, diagramma, linea&#10;&#10;Descrizione generata automaticamente"/>
                    <pic:cNvPicPr/>
                  </pic:nvPicPr>
                  <pic:blipFill rotWithShape="1">
                    <a:blip r:embed="rId36"/>
                    <a:srcRect t="4114" b="4331"/>
                    <a:stretch/>
                  </pic:blipFill>
                  <pic:spPr bwMode="auto">
                    <a:xfrm>
                      <a:off x="0" y="0"/>
                      <a:ext cx="6089650" cy="4419600"/>
                    </a:xfrm>
                    <a:prstGeom prst="rect">
                      <a:avLst/>
                    </a:prstGeom>
                    <a:ln>
                      <a:noFill/>
                    </a:ln>
                    <a:extLst>
                      <a:ext uri="{53640926-AAD7-44D8-BBD7-CCE9431645EC}">
                        <a14:shadowObscured xmlns:a14="http://schemas.microsoft.com/office/drawing/2010/main"/>
                      </a:ext>
                    </a:extLst>
                  </pic:spPr>
                </pic:pic>
              </a:graphicData>
            </a:graphic>
          </wp:inline>
        </w:drawing>
      </w:r>
    </w:p>
    <w:p w14:paraId="264CDA1B" w14:textId="77777777" w:rsidR="00F83AF6" w:rsidRPr="00E24C94" w:rsidRDefault="00F83AF6" w:rsidP="00F83AF6">
      <w:pPr>
        <w:spacing w:after="0" w:line="360" w:lineRule="auto"/>
        <w:jc w:val="center"/>
        <w:rPr>
          <w:rFonts w:ascii="Arial" w:hAnsi="Arial" w:cs="Arial"/>
          <w:i/>
          <w:sz w:val="20"/>
          <w:szCs w:val="20"/>
        </w:rPr>
      </w:pPr>
      <w:r w:rsidRPr="00E24C94">
        <w:rPr>
          <w:rFonts w:ascii="Arial" w:hAnsi="Arial" w:cs="Arial"/>
          <w:i/>
          <w:sz w:val="20"/>
          <w:szCs w:val="20"/>
        </w:rPr>
        <w:t>Prestiti da istituzioni di microfinanza e prestiti da banche commerciali nel 2020 e 2022.</w:t>
      </w:r>
    </w:p>
    <w:p w14:paraId="6D580716" w14:textId="77777777" w:rsidR="00F83AF6" w:rsidRPr="00372780" w:rsidRDefault="00F83AF6" w:rsidP="00F83AF6">
      <w:pPr>
        <w:spacing w:after="0" w:line="360" w:lineRule="auto"/>
        <w:jc w:val="center"/>
        <w:rPr>
          <w:rFonts w:ascii="Arial" w:hAnsi="Arial" w:cs="Arial"/>
          <w:iCs/>
          <w:sz w:val="20"/>
          <w:szCs w:val="20"/>
          <w:lang w:val="en-US"/>
        </w:rPr>
      </w:pPr>
      <w:r w:rsidRPr="00372780">
        <w:rPr>
          <w:rFonts w:ascii="Arial" w:hAnsi="Arial" w:cs="Arial"/>
          <w:iCs/>
          <w:sz w:val="20"/>
          <w:szCs w:val="20"/>
          <w:lang w:val="en-US"/>
        </w:rPr>
        <w:t xml:space="preserve">Fonte: </w:t>
      </w:r>
      <w:r w:rsidRPr="00F75CDE">
        <w:rPr>
          <w:rFonts w:ascii="Arial" w:hAnsi="Arial" w:cs="Arial"/>
          <w:i/>
          <w:sz w:val="20"/>
          <w:szCs w:val="20"/>
          <w:lang w:val="en-US"/>
        </w:rPr>
        <w:t>Financial Access Survey and IMF staff calculations</w:t>
      </w:r>
      <w:r>
        <w:rPr>
          <w:rFonts w:ascii="Arial" w:hAnsi="Arial" w:cs="Arial"/>
          <w:iCs/>
          <w:sz w:val="20"/>
          <w:szCs w:val="20"/>
          <w:lang w:val="en-US"/>
        </w:rPr>
        <w:t>.</w:t>
      </w:r>
    </w:p>
    <w:p w14:paraId="6514C98E" w14:textId="77777777" w:rsidR="00F83AF6" w:rsidRPr="00E24C94" w:rsidRDefault="00F83AF6" w:rsidP="00F83AF6">
      <w:pPr>
        <w:pStyle w:val="Paragrafoelenco"/>
        <w:spacing w:line="360" w:lineRule="auto"/>
        <w:ind w:left="0"/>
        <w:jc w:val="right"/>
        <w:rPr>
          <w:rFonts w:ascii="Arial" w:hAnsi="Arial" w:cs="Arial"/>
          <w:iCs/>
          <w:sz w:val="24"/>
          <w:szCs w:val="24"/>
          <w:lang w:val="en-US"/>
        </w:rPr>
      </w:pPr>
    </w:p>
    <w:p w14:paraId="69854272" w14:textId="77777777" w:rsidR="00F83AF6" w:rsidRDefault="00F83AF6" w:rsidP="00F83AF6">
      <w:pPr>
        <w:pStyle w:val="Paragrafoelenco"/>
        <w:spacing w:line="360" w:lineRule="auto"/>
        <w:ind w:left="0"/>
        <w:jc w:val="both"/>
        <w:rPr>
          <w:rFonts w:ascii="Arial" w:hAnsi="Arial" w:cs="Arial"/>
          <w:iCs/>
          <w:sz w:val="24"/>
          <w:szCs w:val="24"/>
        </w:rPr>
      </w:pPr>
      <w:r>
        <w:rPr>
          <w:rFonts w:ascii="Arial" w:hAnsi="Arial" w:cs="Arial"/>
          <w:iCs/>
          <w:sz w:val="24"/>
          <w:szCs w:val="24"/>
        </w:rPr>
        <w:t>Dall’analisi del rapporto FAS si rileva un d</w:t>
      </w:r>
      <w:r w:rsidRPr="00835122">
        <w:rPr>
          <w:rFonts w:ascii="Arial" w:hAnsi="Arial" w:cs="Arial"/>
          <w:iCs/>
          <w:sz w:val="24"/>
          <w:szCs w:val="24"/>
        </w:rPr>
        <w:t>ivario di genere persistente nell’accesso finanziario</w:t>
      </w:r>
      <w:r>
        <w:rPr>
          <w:rFonts w:ascii="Arial" w:hAnsi="Arial" w:cs="Arial"/>
          <w:iCs/>
          <w:sz w:val="24"/>
          <w:szCs w:val="24"/>
        </w:rPr>
        <w:t>; l</w:t>
      </w:r>
      <w:r w:rsidRPr="001E2542">
        <w:rPr>
          <w:rFonts w:ascii="Arial" w:hAnsi="Arial" w:cs="Arial"/>
          <w:iCs/>
          <w:sz w:val="24"/>
          <w:szCs w:val="24"/>
        </w:rPr>
        <w:t xml:space="preserve">’inclusione finanziaria </w:t>
      </w:r>
      <w:r>
        <w:rPr>
          <w:rFonts w:ascii="Arial" w:hAnsi="Arial" w:cs="Arial"/>
          <w:iCs/>
          <w:sz w:val="24"/>
          <w:szCs w:val="24"/>
        </w:rPr>
        <w:t>rappresenta un fattore e</w:t>
      </w:r>
      <w:r w:rsidRPr="001E2542">
        <w:rPr>
          <w:rFonts w:ascii="Arial" w:hAnsi="Arial" w:cs="Arial"/>
          <w:iCs/>
          <w:sz w:val="24"/>
          <w:szCs w:val="24"/>
        </w:rPr>
        <w:t>ssenziale per la crescita economica</w:t>
      </w:r>
      <w:r>
        <w:rPr>
          <w:rFonts w:ascii="Arial" w:hAnsi="Arial" w:cs="Arial"/>
          <w:iCs/>
          <w:sz w:val="24"/>
          <w:szCs w:val="24"/>
        </w:rPr>
        <w:t xml:space="preserve">, in quanto l’accesso </w:t>
      </w:r>
      <w:r w:rsidRPr="001E2542">
        <w:rPr>
          <w:rFonts w:ascii="Arial" w:hAnsi="Arial" w:cs="Arial"/>
          <w:iCs/>
          <w:sz w:val="24"/>
          <w:szCs w:val="24"/>
        </w:rPr>
        <w:t>ai servizi finanziari</w:t>
      </w:r>
      <w:r>
        <w:rPr>
          <w:rFonts w:ascii="Arial" w:hAnsi="Arial" w:cs="Arial"/>
          <w:iCs/>
          <w:sz w:val="24"/>
          <w:szCs w:val="24"/>
        </w:rPr>
        <w:t xml:space="preserve"> consente la possibilità di </w:t>
      </w:r>
      <w:r w:rsidRPr="001E2542">
        <w:rPr>
          <w:rFonts w:ascii="Arial" w:hAnsi="Arial" w:cs="Arial"/>
          <w:iCs/>
          <w:sz w:val="24"/>
          <w:szCs w:val="24"/>
        </w:rPr>
        <w:t>risparmiare</w:t>
      </w:r>
      <w:r>
        <w:rPr>
          <w:rFonts w:ascii="Arial" w:hAnsi="Arial" w:cs="Arial"/>
          <w:iCs/>
          <w:sz w:val="24"/>
          <w:szCs w:val="24"/>
        </w:rPr>
        <w:t xml:space="preserve"> e</w:t>
      </w:r>
      <w:r w:rsidRPr="001E2542">
        <w:rPr>
          <w:rFonts w:ascii="Arial" w:hAnsi="Arial" w:cs="Arial"/>
          <w:iCs/>
          <w:sz w:val="24"/>
          <w:szCs w:val="24"/>
        </w:rPr>
        <w:t xml:space="preserve"> investire o </w:t>
      </w:r>
      <w:r>
        <w:rPr>
          <w:rFonts w:ascii="Arial" w:hAnsi="Arial" w:cs="Arial"/>
          <w:iCs/>
          <w:sz w:val="24"/>
          <w:szCs w:val="24"/>
        </w:rPr>
        <w:t>di avviare d</w:t>
      </w:r>
      <w:r w:rsidRPr="001E2542">
        <w:rPr>
          <w:rFonts w:ascii="Arial" w:hAnsi="Arial" w:cs="Arial"/>
          <w:iCs/>
          <w:sz w:val="24"/>
          <w:szCs w:val="24"/>
        </w:rPr>
        <w:t>i avviare un’impresa</w:t>
      </w:r>
      <w:r>
        <w:rPr>
          <w:rFonts w:ascii="Arial" w:hAnsi="Arial" w:cs="Arial"/>
          <w:iCs/>
          <w:sz w:val="24"/>
          <w:szCs w:val="24"/>
        </w:rPr>
        <w:t>.</w:t>
      </w:r>
    </w:p>
    <w:p w14:paraId="385304E7" w14:textId="77777777" w:rsidR="00F83AF6" w:rsidRDefault="00F83AF6" w:rsidP="00F83AF6">
      <w:pPr>
        <w:pStyle w:val="Paragrafoelenco"/>
        <w:spacing w:line="360" w:lineRule="auto"/>
        <w:ind w:left="0"/>
        <w:jc w:val="both"/>
        <w:rPr>
          <w:rFonts w:ascii="Arial" w:hAnsi="Arial" w:cs="Arial"/>
          <w:iCs/>
          <w:sz w:val="24"/>
          <w:szCs w:val="24"/>
        </w:rPr>
      </w:pPr>
      <w:r w:rsidRPr="00835122">
        <w:rPr>
          <w:rFonts w:ascii="Arial" w:hAnsi="Arial" w:cs="Arial"/>
          <w:iCs/>
          <w:sz w:val="24"/>
          <w:szCs w:val="24"/>
        </w:rPr>
        <w:t xml:space="preserve">L’inclusione finanziaria delle donne è fondamentale </w:t>
      </w:r>
      <w:r>
        <w:rPr>
          <w:rFonts w:ascii="Arial" w:hAnsi="Arial" w:cs="Arial"/>
          <w:iCs/>
          <w:sz w:val="24"/>
          <w:szCs w:val="24"/>
        </w:rPr>
        <w:t xml:space="preserve">ai fini del loro </w:t>
      </w:r>
      <w:r w:rsidRPr="00835122">
        <w:rPr>
          <w:rFonts w:ascii="Arial" w:hAnsi="Arial" w:cs="Arial"/>
          <w:iCs/>
          <w:sz w:val="24"/>
          <w:szCs w:val="24"/>
        </w:rPr>
        <w:t>l’</w:t>
      </w:r>
      <w:r w:rsidRPr="00782B56">
        <w:rPr>
          <w:rFonts w:ascii="Arial" w:hAnsi="Arial" w:cs="Arial"/>
          <w:i/>
          <w:sz w:val="24"/>
          <w:szCs w:val="24"/>
        </w:rPr>
        <w:t>empowerment</w:t>
      </w:r>
      <w:r w:rsidRPr="00835122">
        <w:rPr>
          <w:rFonts w:ascii="Arial" w:hAnsi="Arial" w:cs="Arial"/>
          <w:iCs/>
          <w:sz w:val="24"/>
          <w:szCs w:val="24"/>
        </w:rPr>
        <w:t xml:space="preserve"> economico (Women’s World Banking</w:t>
      </w:r>
      <w:r>
        <w:rPr>
          <w:rFonts w:ascii="Arial" w:hAnsi="Arial" w:cs="Arial"/>
          <w:iCs/>
          <w:sz w:val="24"/>
          <w:szCs w:val="24"/>
        </w:rPr>
        <w:t xml:space="preserve"> </w:t>
      </w:r>
      <w:r w:rsidRPr="00835122">
        <w:rPr>
          <w:rFonts w:ascii="Arial" w:hAnsi="Arial" w:cs="Arial"/>
          <w:iCs/>
          <w:sz w:val="24"/>
          <w:szCs w:val="24"/>
        </w:rPr>
        <w:t>2023, CGAP 2021b)</w:t>
      </w:r>
      <w:r>
        <w:rPr>
          <w:rFonts w:ascii="Arial" w:hAnsi="Arial" w:cs="Arial"/>
          <w:iCs/>
          <w:sz w:val="24"/>
          <w:szCs w:val="24"/>
        </w:rPr>
        <w:t>.</w:t>
      </w:r>
      <w:r w:rsidRPr="00835122">
        <w:rPr>
          <w:rFonts w:ascii="Arial" w:hAnsi="Arial" w:cs="Arial"/>
          <w:iCs/>
          <w:sz w:val="24"/>
          <w:szCs w:val="24"/>
        </w:rPr>
        <w:t xml:space="preserve"> </w:t>
      </w:r>
      <w:r>
        <w:rPr>
          <w:rFonts w:ascii="Arial" w:hAnsi="Arial" w:cs="Arial"/>
          <w:iCs/>
          <w:sz w:val="24"/>
          <w:szCs w:val="24"/>
        </w:rPr>
        <w:t>L’</w:t>
      </w:r>
      <w:r w:rsidRPr="00835122">
        <w:rPr>
          <w:rFonts w:ascii="Arial" w:hAnsi="Arial" w:cs="Arial"/>
          <w:iCs/>
          <w:sz w:val="24"/>
          <w:szCs w:val="24"/>
        </w:rPr>
        <w:t xml:space="preserve"> accesso ai servizi finanziari consente alle donne di avere un maggiore controllo</w:t>
      </w:r>
      <w:r>
        <w:rPr>
          <w:rFonts w:ascii="Arial" w:hAnsi="Arial" w:cs="Arial"/>
          <w:iCs/>
          <w:sz w:val="24"/>
          <w:szCs w:val="24"/>
        </w:rPr>
        <w:t xml:space="preserve"> </w:t>
      </w:r>
      <w:r w:rsidRPr="00835122">
        <w:rPr>
          <w:rFonts w:ascii="Arial" w:hAnsi="Arial" w:cs="Arial"/>
          <w:iCs/>
          <w:sz w:val="24"/>
          <w:szCs w:val="24"/>
        </w:rPr>
        <w:t xml:space="preserve">risorse, </w:t>
      </w:r>
      <w:r>
        <w:rPr>
          <w:rFonts w:ascii="Arial" w:hAnsi="Arial" w:cs="Arial"/>
          <w:iCs/>
          <w:sz w:val="24"/>
          <w:szCs w:val="24"/>
        </w:rPr>
        <w:t xml:space="preserve">influendo sul conseguimento di </w:t>
      </w:r>
      <w:r w:rsidRPr="00835122">
        <w:rPr>
          <w:rFonts w:ascii="Arial" w:hAnsi="Arial" w:cs="Arial"/>
          <w:iCs/>
          <w:sz w:val="24"/>
          <w:szCs w:val="24"/>
        </w:rPr>
        <w:t>migliori risultati soci</w:t>
      </w:r>
      <w:r>
        <w:rPr>
          <w:rFonts w:ascii="Arial" w:hAnsi="Arial" w:cs="Arial"/>
          <w:iCs/>
          <w:sz w:val="24"/>
          <w:szCs w:val="24"/>
        </w:rPr>
        <w:t>oeconomici; resta comunque evidente un</w:t>
      </w:r>
      <w:r w:rsidRPr="00835122">
        <w:rPr>
          <w:rFonts w:ascii="Arial" w:hAnsi="Arial" w:cs="Arial"/>
          <w:iCs/>
          <w:sz w:val="24"/>
          <w:szCs w:val="24"/>
        </w:rPr>
        <w:t xml:space="preserve"> divario di genere</w:t>
      </w:r>
      <w:r>
        <w:rPr>
          <w:rFonts w:ascii="Arial" w:hAnsi="Arial" w:cs="Arial"/>
          <w:iCs/>
          <w:sz w:val="24"/>
          <w:szCs w:val="24"/>
        </w:rPr>
        <w:t xml:space="preserve"> </w:t>
      </w:r>
      <w:r w:rsidRPr="00835122">
        <w:rPr>
          <w:rFonts w:ascii="Arial" w:hAnsi="Arial" w:cs="Arial"/>
          <w:iCs/>
          <w:sz w:val="24"/>
          <w:szCs w:val="24"/>
        </w:rPr>
        <w:t>nell’accesso finanziario</w:t>
      </w:r>
      <w:r>
        <w:rPr>
          <w:rFonts w:ascii="Arial" w:hAnsi="Arial" w:cs="Arial"/>
          <w:iCs/>
          <w:sz w:val="24"/>
          <w:szCs w:val="24"/>
        </w:rPr>
        <w:t xml:space="preserve"> attribuibile a </w:t>
      </w:r>
      <w:r w:rsidRPr="00835122">
        <w:rPr>
          <w:rFonts w:ascii="Arial" w:hAnsi="Arial" w:cs="Arial"/>
          <w:iCs/>
          <w:sz w:val="24"/>
          <w:szCs w:val="24"/>
        </w:rPr>
        <w:t xml:space="preserve">una serie di barriere di genere, anche </w:t>
      </w:r>
      <w:r>
        <w:rPr>
          <w:rFonts w:ascii="Arial" w:hAnsi="Arial" w:cs="Arial"/>
          <w:iCs/>
          <w:sz w:val="24"/>
          <w:szCs w:val="24"/>
        </w:rPr>
        <w:t xml:space="preserve">di tipo </w:t>
      </w:r>
      <w:r w:rsidRPr="00835122">
        <w:rPr>
          <w:rFonts w:ascii="Arial" w:hAnsi="Arial" w:cs="Arial"/>
          <w:iCs/>
          <w:sz w:val="24"/>
          <w:szCs w:val="24"/>
        </w:rPr>
        <w:t>strutturali, come i vincoli giuridici e normativi, le norme sociali e la minore partecipazione al mercato del lavoro</w:t>
      </w:r>
      <w:r>
        <w:rPr>
          <w:rFonts w:ascii="Arial" w:hAnsi="Arial" w:cs="Arial"/>
          <w:iCs/>
          <w:sz w:val="24"/>
          <w:szCs w:val="24"/>
        </w:rPr>
        <w:t xml:space="preserve"> </w:t>
      </w:r>
      <w:r w:rsidRPr="00835122">
        <w:rPr>
          <w:rFonts w:ascii="Arial" w:hAnsi="Arial" w:cs="Arial"/>
          <w:iCs/>
          <w:sz w:val="24"/>
          <w:szCs w:val="24"/>
        </w:rPr>
        <w:t xml:space="preserve">da parte delle donne (Innovations for Poverty Action 2017). </w:t>
      </w:r>
    </w:p>
    <w:p w14:paraId="63EFE490" w14:textId="77777777" w:rsidR="00F83AF6" w:rsidRDefault="00F83AF6" w:rsidP="00F83AF6">
      <w:pPr>
        <w:pStyle w:val="Paragrafoelenco"/>
        <w:spacing w:line="360" w:lineRule="auto"/>
        <w:ind w:left="0"/>
        <w:jc w:val="both"/>
        <w:rPr>
          <w:rFonts w:ascii="Arial" w:hAnsi="Arial" w:cs="Arial"/>
          <w:iCs/>
          <w:sz w:val="24"/>
          <w:szCs w:val="24"/>
        </w:rPr>
      </w:pPr>
      <w:r w:rsidRPr="00835122">
        <w:rPr>
          <w:rFonts w:ascii="Arial" w:hAnsi="Arial" w:cs="Arial"/>
          <w:iCs/>
          <w:sz w:val="24"/>
          <w:szCs w:val="24"/>
        </w:rPr>
        <w:t xml:space="preserve">I dati FAS disaggregati per genere </w:t>
      </w:r>
      <w:r>
        <w:rPr>
          <w:rFonts w:ascii="Arial" w:hAnsi="Arial" w:cs="Arial"/>
          <w:iCs/>
          <w:sz w:val="24"/>
          <w:szCs w:val="24"/>
        </w:rPr>
        <w:t xml:space="preserve">rilevano i </w:t>
      </w:r>
      <w:r w:rsidRPr="00835122">
        <w:rPr>
          <w:rFonts w:ascii="Arial" w:hAnsi="Arial" w:cs="Arial"/>
          <w:iCs/>
          <w:sz w:val="24"/>
          <w:szCs w:val="24"/>
        </w:rPr>
        <w:t xml:space="preserve">livelli di esclusione finanziaria delle donne a causa di </w:t>
      </w:r>
      <w:r>
        <w:rPr>
          <w:rFonts w:ascii="Arial" w:hAnsi="Arial" w:cs="Arial"/>
          <w:iCs/>
          <w:sz w:val="24"/>
          <w:szCs w:val="24"/>
        </w:rPr>
        <w:t>siffatte persistenti barriere</w:t>
      </w:r>
      <w:r w:rsidRPr="00835122">
        <w:rPr>
          <w:rFonts w:ascii="Arial" w:hAnsi="Arial" w:cs="Arial"/>
          <w:iCs/>
          <w:sz w:val="24"/>
          <w:szCs w:val="24"/>
        </w:rPr>
        <w:t>.</w:t>
      </w:r>
    </w:p>
    <w:p w14:paraId="05204F91" w14:textId="77777777" w:rsidR="00F83AF6" w:rsidRDefault="00F83AF6" w:rsidP="00F83AF6">
      <w:pPr>
        <w:pStyle w:val="Paragrafoelenco"/>
        <w:spacing w:line="360" w:lineRule="auto"/>
        <w:ind w:left="0"/>
        <w:jc w:val="both"/>
        <w:rPr>
          <w:rFonts w:ascii="Arial" w:hAnsi="Arial" w:cs="Arial"/>
          <w:iCs/>
          <w:sz w:val="24"/>
          <w:szCs w:val="24"/>
        </w:rPr>
      </w:pPr>
      <w:r w:rsidRPr="00835122">
        <w:rPr>
          <w:rFonts w:ascii="Arial" w:hAnsi="Arial" w:cs="Arial"/>
          <w:iCs/>
          <w:sz w:val="24"/>
          <w:szCs w:val="24"/>
        </w:rPr>
        <w:t>Sebbene i dati FAS disponibili suggeriscano che in molti paesi un numero maggiore di uomini e donne ha avuto accesso ai conti bancari</w:t>
      </w:r>
      <w:r>
        <w:rPr>
          <w:rFonts w:ascii="Arial" w:hAnsi="Arial" w:cs="Arial"/>
          <w:iCs/>
          <w:sz w:val="24"/>
          <w:szCs w:val="24"/>
        </w:rPr>
        <w:t xml:space="preserve"> </w:t>
      </w:r>
      <w:r w:rsidRPr="00835122">
        <w:rPr>
          <w:rFonts w:ascii="Arial" w:hAnsi="Arial" w:cs="Arial"/>
          <w:iCs/>
          <w:sz w:val="24"/>
          <w:szCs w:val="24"/>
        </w:rPr>
        <w:t xml:space="preserve">nel 2022, il grado di </w:t>
      </w:r>
      <w:r>
        <w:rPr>
          <w:rFonts w:ascii="Arial" w:hAnsi="Arial" w:cs="Arial"/>
          <w:iCs/>
          <w:sz w:val="24"/>
          <w:szCs w:val="24"/>
        </w:rPr>
        <w:t xml:space="preserve">diffusione dei </w:t>
      </w:r>
      <w:r w:rsidRPr="00835122">
        <w:rPr>
          <w:rFonts w:ascii="Arial" w:hAnsi="Arial" w:cs="Arial"/>
          <w:iCs/>
          <w:sz w:val="24"/>
          <w:szCs w:val="24"/>
        </w:rPr>
        <w:t xml:space="preserve">conti bancari tra </w:t>
      </w:r>
      <w:r w:rsidRPr="00835122">
        <w:rPr>
          <w:rFonts w:ascii="Arial" w:hAnsi="Arial" w:cs="Arial"/>
          <w:iCs/>
          <w:sz w:val="24"/>
          <w:szCs w:val="24"/>
        </w:rPr>
        <w:lastRenderedPageBreak/>
        <w:t>le donne rimane significativo</w:t>
      </w:r>
      <w:r>
        <w:rPr>
          <w:rFonts w:ascii="Arial" w:hAnsi="Arial" w:cs="Arial"/>
          <w:iCs/>
          <w:sz w:val="24"/>
          <w:szCs w:val="24"/>
        </w:rPr>
        <w:t xml:space="preserve"> </w:t>
      </w:r>
      <w:r w:rsidRPr="00835122">
        <w:rPr>
          <w:rFonts w:ascii="Arial" w:hAnsi="Arial" w:cs="Arial"/>
          <w:iCs/>
          <w:sz w:val="24"/>
          <w:szCs w:val="24"/>
        </w:rPr>
        <w:t>inferiore a quello degli uomini in alcune economie come Bangladesh, Giordania, Pakistan e Zambia.</w:t>
      </w:r>
      <w:r>
        <w:rPr>
          <w:rFonts w:ascii="Arial" w:hAnsi="Arial" w:cs="Arial"/>
          <w:iCs/>
          <w:sz w:val="24"/>
          <w:szCs w:val="24"/>
        </w:rPr>
        <w:t xml:space="preserve"> I</w:t>
      </w:r>
      <w:r w:rsidRPr="001E2542">
        <w:rPr>
          <w:rFonts w:ascii="Arial" w:hAnsi="Arial" w:cs="Arial"/>
          <w:iCs/>
          <w:sz w:val="24"/>
          <w:szCs w:val="24"/>
        </w:rPr>
        <w:t>n termini di valore dei depositi in percentuale del PIL</w:t>
      </w:r>
      <w:r>
        <w:rPr>
          <w:rFonts w:ascii="Arial" w:hAnsi="Arial" w:cs="Arial"/>
          <w:iCs/>
          <w:sz w:val="24"/>
          <w:szCs w:val="24"/>
        </w:rPr>
        <w:t>,</w:t>
      </w:r>
      <w:r w:rsidRPr="001E2542">
        <w:rPr>
          <w:rFonts w:ascii="Arial" w:hAnsi="Arial" w:cs="Arial"/>
          <w:iCs/>
          <w:sz w:val="24"/>
          <w:szCs w:val="24"/>
        </w:rPr>
        <w:t xml:space="preserve"> le donne detengono</w:t>
      </w:r>
      <w:r>
        <w:rPr>
          <w:rFonts w:ascii="Arial" w:hAnsi="Arial" w:cs="Arial"/>
          <w:iCs/>
          <w:sz w:val="24"/>
          <w:szCs w:val="24"/>
        </w:rPr>
        <w:t xml:space="preserve"> </w:t>
      </w:r>
      <w:r w:rsidRPr="001E2542">
        <w:rPr>
          <w:rFonts w:ascii="Arial" w:hAnsi="Arial" w:cs="Arial"/>
          <w:iCs/>
          <w:sz w:val="24"/>
          <w:szCs w:val="24"/>
        </w:rPr>
        <w:t>depositi significativamente più bassi rispetto agli uomini in alcune economie e il divario di genere è sostanziale</w:t>
      </w:r>
      <w:r>
        <w:rPr>
          <w:rFonts w:ascii="Arial" w:hAnsi="Arial" w:cs="Arial"/>
          <w:iCs/>
          <w:sz w:val="24"/>
          <w:szCs w:val="24"/>
        </w:rPr>
        <w:t xml:space="preserve"> </w:t>
      </w:r>
      <w:r w:rsidRPr="001E2542">
        <w:rPr>
          <w:rFonts w:ascii="Arial" w:hAnsi="Arial" w:cs="Arial"/>
          <w:iCs/>
          <w:sz w:val="24"/>
          <w:szCs w:val="24"/>
        </w:rPr>
        <w:t>(ad esempio, Albania, Bangladesh e Giordania).</w:t>
      </w:r>
      <w:r>
        <w:rPr>
          <w:rFonts w:ascii="Arial" w:hAnsi="Arial" w:cs="Arial"/>
          <w:iCs/>
          <w:sz w:val="24"/>
          <w:szCs w:val="24"/>
        </w:rPr>
        <w:t xml:space="preserve"> Sebbene in alcuni paesi si registri </w:t>
      </w:r>
      <w:r w:rsidRPr="001E2542">
        <w:rPr>
          <w:rFonts w:ascii="Arial" w:hAnsi="Arial" w:cs="Arial"/>
          <w:iCs/>
          <w:sz w:val="24"/>
          <w:szCs w:val="24"/>
        </w:rPr>
        <w:t>un l</w:t>
      </w:r>
      <w:r>
        <w:rPr>
          <w:rFonts w:ascii="Arial" w:hAnsi="Arial" w:cs="Arial"/>
          <w:iCs/>
          <w:sz w:val="24"/>
          <w:szCs w:val="24"/>
        </w:rPr>
        <w:t xml:space="preserve">ieve assottigliamento del </w:t>
      </w:r>
      <w:r w:rsidRPr="001E2542">
        <w:rPr>
          <w:rFonts w:ascii="Arial" w:hAnsi="Arial" w:cs="Arial"/>
          <w:iCs/>
          <w:sz w:val="24"/>
          <w:szCs w:val="24"/>
        </w:rPr>
        <w:t>divario di genere</w:t>
      </w:r>
      <w:r>
        <w:rPr>
          <w:rFonts w:ascii="Arial" w:hAnsi="Arial" w:cs="Arial"/>
          <w:iCs/>
          <w:sz w:val="24"/>
          <w:szCs w:val="24"/>
        </w:rPr>
        <w:t xml:space="preserve">, a questo non corrisponde un maggiore </w:t>
      </w:r>
      <w:r w:rsidRPr="001E2542">
        <w:rPr>
          <w:rFonts w:ascii="Arial" w:hAnsi="Arial" w:cs="Arial"/>
          <w:iCs/>
          <w:sz w:val="24"/>
          <w:szCs w:val="24"/>
        </w:rPr>
        <w:t>accesso e utilizzo d</w:t>
      </w:r>
      <w:r>
        <w:rPr>
          <w:rFonts w:ascii="Arial" w:hAnsi="Arial" w:cs="Arial"/>
          <w:iCs/>
          <w:sz w:val="24"/>
          <w:szCs w:val="24"/>
        </w:rPr>
        <w:t>ei f</w:t>
      </w:r>
      <w:r w:rsidRPr="001E2542">
        <w:rPr>
          <w:rFonts w:ascii="Arial" w:hAnsi="Arial" w:cs="Arial"/>
          <w:iCs/>
          <w:sz w:val="24"/>
          <w:szCs w:val="24"/>
        </w:rPr>
        <w:t>inanziamenti</w:t>
      </w:r>
      <w:r>
        <w:rPr>
          <w:rFonts w:ascii="Arial" w:hAnsi="Arial" w:cs="Arial"/>
          <w:iCs/>
          <w:sz w:val="24"/>
          <w:szCs w:val="24"/>
        </w:rPr>
        <w:t xml:space="preserve"> per le </w:t>
      </w:r>
      <w:r w:rsidRPr="001E2542">
        <w:rPr>
          <w:rFonts w:ascii="Arial" w:hAnsi="Arial" w:cs="Arial"/>
          <w:iCs/>
          <w:sz w:val="24"/>
          <w:szCs w:val="24"/>
        </w:rPr>
        <w:t>donne. Ad esempio, in India, il divario di genere nel valore dei depositi in essere è diminuito nel 2022,</w:t>
      </w:r>
      <w:r>
        <w:rPr>
          <w:rFonts w:ascii="Arial" w:hAnsi="Arial" w:cs="Arial"/>
          <w:iCs/>
          <w:sz w:val="24"/>
          <w:szCs w:val="24"/>
        </w:rPr>
        <w:t xml:space="preserve"> </w:t>
      </w:r>
      <w:r w:rsidRPr="001E2542">
        <w:rPr>
          <w:rFonts w:ascii="Arial" w:hAnsi="Arial" w:cs="Arial"/>
          <w:iCs/>
          <w:sz w:val="24"/>
          <w:szCs w:val="24"/>
        </w:rPr>
        <w:t>ma ciò è dovuto in gran parte a un calo dei depositi di proprietà maschile, piuttosto che a un aumento dei depositi di proprietà femminile.</w:t>
      </w:r>
    </w:p>
    <w:p w14:paraId="43992CB1" w14:textId="77777777" w:rsidR="00F83AF6" w:rsidRDefault="00F83AF6" w:rsidP="00F83AF6">
      <w:pPr>
        <w:pStyle w:val="Paragrafoelenco"/>
        <w:spacing w:line="360" w:lineRule="auto"/>
        <w:ind w:left="0"/>
        <w:jc w:val="both"/>
        <w:rPr>
          <w:rFonts w:ascii="Arial" w:hAnsi="Arial" w:cs="Arial"/>
          <w:iCs/>
          <w:sz w:val="24"/>
          <w:szCs w:val="24"/>
        </w:rPr>
      </w:pPr>
    </w:p>
    <w:p w14:paraId="665452EC" w14:textId="77777777" w:rsidR="00F83AF6" w:rsidRDefault="00F83AF6" w:rsidP="00F83AF6">
      <w:pPr>
        <w:pStyle w:val="Paragrafoelenco"/>
        <w:spacing w:line="360" w:lineRule="auto"/>
        <w:ind w:left="0"/>
        <w:contextualSpacing w:val="0"/>
        <w:jc w:val="both"/>
        <w:rPr>
          <w:rFonts w:ascii="Arial" w:hAnsi="Arial" w:cs="Arial"/>
          <w:iCs/>
          <w:sz w:val="24"/>
          <w:szCs w:val="24"/>
        </w:rPr>
      </w:pPr>
      <w:r>
        <w:rPr>
          <w:rFonts w:ascii="Arial" w:hAnsi="Arial" w:cs="Arial"/>
          <w:iCs/>
          <w:sz w:val="24"/>
          <w:szCs w:val="24"/>
        </w:rPr>
        <w:t>Il grafico sottostante evidenzia il maggiore divario di genere dei depositi rispetto ai prestiti.</w:t>
      </w:r>
    </w:p>
    <w:p w14:paraId="4BFE12A8" w14:textId="77777777" w:rsidR="00F83AF6" w:rsidRDefault="00F83AF6" w:rsidP="00F83AF6">
      <w:pPr>
        <w:pStyle w:val="Paragrafoelenco"/>
        <w:spacing w:line="360" w:lineRule="auto"/>
        <w:ind w:left="0"/>
        <w:contextualSpacing w:val="0"/>
        <w:jc w:val="center"/>
        <w:rPr>
          <w:rFonts w:ascii="Arial" w:hAnsi="Arial" w:cs="Arial"/>
          <w:iCs/>
          <w:sz w:val="24"/>
          <w:szCs w:val="24"/>
        </w:rPr>
      </w:pPr>
      <w:r>
        <w:rPr>
          <w:rFonts w:ascii="Arial" w:hAnsi="Arial" w:cs="Arial"/>
          <w:iCs/>
          <w:noProof/>
          <w:sz w:val="24"/>
          <w:szCs w:val="24"/>
          <w:lang w:eastAsia="it-IT"/>
        </w:rPr>
        <w:drawing>
          <wp:inline distT="0" distB="0" distL="0" distR="0" wp14:anchorId="7159C71C" wp14:editId="1C3879A1">
            <wp:extent cx="5726430" cy="5070764"/>
            <wp:effectExtent l="0" t="0" r="7620" b="0"/>
            <wp:docPr id="2058111309" name="Immagine 1" descr="Immagine che contiene testo, schermata, diagramm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4594464" name="Immagine 1" descr="Immagine che contiene testo, schermata, diagramma, numero&#10;&#10;Descrizione generata automaticamente"/>
                    <pic:cNvPicPr>
                      <a:picLocks noChangeAspect="1" noChangeArrowheads="1"/>
                    </pic:cNvPicPr>
                  </pic:nvPicPr>
                  <pic:blipFill rotWithShape="1">
                    <a:blip r:embed="rId37">
                      <a:extLst>
                        <a:ext uri="{28A0092B-C50C-407E-A947-70E740481C1C}">
                          <a14:useLocalDpi xmlns:a14="http://schemas.microsoft.com/office/drawing/2010/main" val="0"/>
                        </a:ext>
                      </a:extLst>
                    </a:blip>
                    <a:srcRect l="2413" r="2561" b="11644"/>
                    <a:stretch/>
                  </pic:blipFill>
                  <pic:spPr bwMode="auto">
                    <a:xfrm>
                      <a:off x="0" y="0"/>
                      <a:ext cx="5734608" cy="5078005"/>
                    </a:xfrm>
                    <a:prstGeom prst="rect">
                      <a:avLst/>
                    </a:prstGeom>
                    <a:noFill/>
                    <a:ln>
                      <a:noFill/>
                    </a:ln>
                    <a:extLst>
                      <a:ext uri="{53640926-AAD7-44D8-BBD7-CCE9431645EC}">
                        <a14:shadowObscured xmlns:a14="http://schemas.microsoft.com/office/drawing/2010/main"/>
                      </a:ext>
                    </a:extLst>
                  </pic:spPr>
                </pic:pic>
              </a:graphicData>
            </a:graphic>
          </wp:inline>
        </w:drawing>
      </w:r>
    </w:p>
    <w:p w14:paraId="6D1E9896" w14:textId="77777777" w:rsidR="00F83AF6" w:rsidRPr="00E24C94" w:rsidRDefault="00F83AF6" w:rsidP="00F83AF6">
      <w:pPr>
        <w:spacing w:after="0" w:line="360" w:lineRule="auto"/>
        <w:jc w:val="center"/>
        <w:rPr>
          <w:rFonts w:ascii="Arial" w:hAnsi="Arial" w:cs="Arial"/>
          <w:i/>
          <w:sz w:val="20"/>
          <w:szCs w:val="20"/>
        </w:rPr>
      </w:pPr>
      <w:r w:rsidRPr="00E24C94">
        <w:rPr>
          <w:rFonts w:ascii="Arial" w:hAnsi="Arial" w:cs="Arial"/>
          <w:i/>
          <w:sz w:val="20"/>
          <w:szCs w:val="20"/>
        </w:rPr>
        <w:t>Maggior divario di genere nei prestiti in essere rispetto ai depositi.</w:t>
      </w:r>
    </w:p>
    <w:p w14:paraId="49D09F5D" w14:textId="77777777" w:rsidR="00F83AF6" w:rsidRPr="00372780" w:rsidRDefault="00F83AF6" w:rsidP="00F83AF6">
      <w:pPr>
        <w:spacing w:line="360" w:lineRule="auto"/>
        <w:jc w:val="center"/>
        <w:rPr>
          <w:rFonts w:ascii="Arial" w:hAnsi="Arial" w:cs="Arial"/>
          <w:iCs/>
          <w:sz w:val="20"/>
          <w:szCs w:val="20"/>
          <w:lang w:val="en-US"/>
        </w:rPr>
      </w:pPr>
      <w:r w:rsidRPr="00372780">
        <w:rPr>
          <w:rFonts w:ascii="Arial" w:hAnsi="Arial" w:cs="Arial"/>
          <w:iCs/>
          <w:sz w:val="20"/>
          <w:szCs w:val="20"/>
          <w:lang w:val="en-US"/>
        </w:rPr>
        <w:t xml:space="preserve">Fonte: </w:t>
      </w:r>
      <w:r w:rsidRPr="00F75CDE">
        <w:rPr>
          <w:rFonts w:ascii="Arial" w:hAnsi="Arial" w:cs="Arial"/>
          <w:i/>
          <w:sz w:val="20"/>
          <w:szCs w:val="20"/>
          <w:lang w:val="en-US"/>
        </w:rPr>
        <w:t>Financial Access Survey and IMF staff calculations</w:t>
      </w:r>
      <w:r>
        <w:rPr>
          <w:rFonts w:ascii="Arial" w:hAnsi="Arial" w:cs="Arial"/>
          <w:iCs/>
          <w:sz w:val="20"/>
          <w:szCs w:val="20"/>
          <w:lang w:val="en-US"/>
        </w:rPr>
        <w:t>.</w:t>
      </w:r>
    </w:p>
    <w:p w14:paraId="637E89C6" w14:textId="77777777" w:rsidR="00F83AF6" w:rsidRPr="00AA7B56" w:rsidRDefault="00F83AF6" w:rsidP="00F83AF6">
      <w:pPr>
        <w:pStyle w:val="Paragrafoelenco"/>
        <w:spacing w:line="360" w:lineRule="auto"/>
        <w:ind w:left="0"/>
        <w:contextualSpacing w:val="0"/>
        <w:jc w:val="both"/>
        <w:rPr>
          <w:rFonts w:ascii="Arial" w:hAnsi="Arial" w:cs="Arial"/>
          <w:iCs/>
          <w:sz w:val="24"/>
          <w:szCs w:val="24"/>
          <w:lang w:val="en-US"/>
        </w:rPr>
      </w:pPr>
    </w:p>
    <w:p w14:paraId="08786CB7" w14:textId="77777777" w:rsidR="00F83AF6" w:rsidRDefault="00F83AF6" w:rsidP="00F83AF6">
      <w:pPr>
        <w:pStyle w:val="Paragrafoelenco"/>
        <w:spacing w:line="360" w:lineRule="auto"/>
        <w:ind w:left="0"/>
        <w:contextualSpacing w:val="0"/>
        <w:jc w:val="both"/>
        <w:rPr>
          <w:rFonts w:ascii="Arial" w:hAnsi="Arial" w:cs="Arial"/>
          <w:iCs/>
          <w:sz w:val="24"/>
          <w:szCs w:val="24"/>
        </w:rPr>
      </w:pPr>
      <w:r w:rsidRPr="001337E9">
        <w:rPr>
          <w:rFonts w:ascii="Arial" w:hAnsi="Arial" w:cs="Arial"/>
          <w:iCs/>
          <w:sz w:val="24"/>
          <w:szCs w:val="24"/>
        </w:rPr>
        <w:lastRenderedPageBreak/>
        <w:t xml:space="preserve">I dati FAS </w:t>
      </w:r>
      <w:r>
        <w:rPr>
          <w:rFonts w:ascii="Arial" w:hAnsi="Arial" w:cs="Arial"/>
          <w:iCs/>
          <w:sz w:val="24"/>
          <w:szCs w:val="24"/>
        </w:rPr>
        <w:t>rivelano altresì</w:t>
      </w:r>
      <w:r w:rsidRPr="001337E9">
        <w:rPr>
          <w:rFonts w:ascii="Arial" w:hAnsi="Arial" w:cs="Arial"/>
          <w:iCs/>
          <w:sz w:val="24"/>
          <w:szCs w:val="24"/>
        </w:rPr>
        <w:t xml:space="preserve"> che il valore eccezionale dei depositi e dei prestiti di microfinanza nei paesi a basso</w:t>
      </w:r>
      <w:r>
        <w:rPr>
          <w:rFonts w:ascii="Arial" w:hAnsi="Arial" w:cs="Arial"/>
          <w:iCs/>
          <w:sz w:val="24"/>
          <w:szCs w:val="24"/>
        </w:rPr>
        <w:t xml:space="preserve"> e medio </w:t>
      </w:r>
      <w:r w:rsidRPr="001337E9">
        <w:rPr>
          <w:rFonts w:ascii="Arial" w:hAnsi="Arial" w:cs="Arial"/>
          <w:iCs/>
          <w:sz w:val="24"/>
          <w:szCs w:val="24"/>
        </w:rPr>
        <w:t xml:space="preserve">reddito </w:t>
      </w:r>
      <w:r>
        <w:rPr>
          <w:rFonts w:ascii="Arial" w:hAnsi="Arial" w:cs="Arial"/>
          <w:iCs/>
          <w:sz w:val="24"/>
          <w:szCs w:val="24"/>
        </w:rPr>
        <w:t xml:space="preserve">è in </w:t>
      </w:r>
      <w:r w:rsidRPr="001337E9">
        <w:rPr>
          <w:rFonts w:ascii="Arial" w:hAnsi="Arial" w:cs="Arial"/>
          <w:iCs/>
          <w:sz w:val="24"/>
          <w:szCs w:val="24"/>
        </w:rPr>
        <w:t>aument</w:t>
      </w:r>
      <w:r>
        <w:rPr>
          <w:rFonts w:ascii="Arial" w:hAnsi="Arial" w:cs="Arial"/>
          <w:iCs/>
          <w:sz w:val="24"/>
          <w:szCs w:val="24"/>
        </w:rPr>
        <w:t>o</w:t>
      </w:r>
      <w:r w:rsidRPr="001337E9">
        <w:rPr>
          <w:rFonts w:ascii="Arial" w:hAnsi="Arial" w:cs="Arial"/>
          <w:iCs/>
          <w:sz w:val="24"/>
          <w:szCs w:val="24"/>
        </w:rPr>
        <w:t xml:space="preserve"> dal 2020 in contrasto con la riduzione complessiva de</w:t>
      </w:r>
      <w:r>
        <w:rPr>
          <w:rFonts w:ascii="Arial" w:hAnsi="Arial" w:cs="Arial"/>
          <w:iCs/>
          <w:sz w:val="24"/>
          <w:szCs w:val="24"/>
        </w:rPr>
        <w:t xml:space="preserve">i </w:t>
      </w:r>
      <w:r w:rsidRPr="001337E9">
        <w:rPr>
          <w:rFonts w:ascii="Arial" w:hAnsi="Arial" w:cs="Arial"/>
          <w:iCs/>
          <w:sz w:val="24"/>
          <w:szCs w:val="24"/>
        </w:rPr>
        <w:t xml:space="preserve">depositi e prestiti </w:t>
      </w:r>
      <w:r>
        <w:rPr>
          <w:rFonts w:ascii="Arial" w:hAnsi="Arial" w:cs="Arial"/>
          <w:iCs/>
          <w:sz w:val="24"/>
          <w:szCs w:val="24"/>
        </w:rPr>
        <w:t>delle banche commerciali</w:t>
      </w:r>
      <w:r w:rsidRPr="001337E9">
        <w:rPr>
          <w:rFonts w:ascii="Arial" w:hAnsi="Arial" w:cs="Arial"/>
          <w:iCs/>
          <w:sz w:val="24"/>
          <w:szCs w:val="24"/>
        </w:rPr>
        <w:t>.</w:t>
      </w:r>
      <w:r>
        <w:rPr>
          <w:rFonts w:ascii="Arial" w:hAnsi="Arial" w:cs="Arial"/>
          <w:iCs/>
          <w:sz w:val="24"/>
          <w:szCs w:val="24"/>
        </w:rPr>
        <w:t xml:space="preserve"> L’</w:t>
      </w:r>
      <w:r w:rsidRPr="001337E9">
        <w:rPr>
          <w:rFonts w:ascii="Arial" w:hAnsi="Arial" w:cs="Arial"/>
          <w:iCs/>
          <w:sz w:val="24"/>
          <w:szCs w:val="24"/>
        </w:rPr>
        <w:t xml:space="preserve">importo in essere dei prestiti di microfinanza come quota di PIL è aumentato in oltre il 50% delle economie del campione, così come i prestiti delle banche commerciali </w:t>
      </w:r>
      <w:r>
        <w:rPr>
          <w:rFonts w:ascii="Arial" w:hAnsi="Arial" w:cs="Arial"/>
          <w:iCs/>
          <w:sz w:val="24"/>
          <w:szCs w:val="24"/>
        </w:rPr>
        <w:t xml:space="preserve">sono </w:t>
      </w:r>
      <w:r w:rsidRPr="001337E9">
        <w:rPr>
          <w:rFonts w:ascii="Arial" w:hAnsi="Arial" w:cs="Arial"/>
          <w:iCs/>
          <w:sz w:val="24"/>
          <w:szCs w:val="24"/>
        </w:rPr>
        <w:t>diminuit</w:t>
      </w:r>
      <w:r>
        <w:rPr>
          <w:rFonts w:ascii="Arial" w:hAnsi="Arial" w:cs="Arial"/>
          <w:iCs/>
          <w:sz w:val="24"/>
          <w:szCs w:val="24"/>
        </w:rPr>
        <w:t>i</w:t>
      </w:r>
      <w:r w:rsidRPr="001337E9">
        <w:rPr>
          <w:rFonts w:ascii="Arial" w:hAnsi="Arial" w:cs="Arial"/>
          <w:iCs/>
          <w:sz w:val="24"/>
          <w:szCs w:val="24"/>
        </w:rPr>
        <w:t xml:space="preserve"> in quasi il 70% delle economie del campione tra il 2020 e il 2022. In Africa, molti istituti di microfinanza hanno ampliato il proprio portafoglio crediti per servire le MPMI, sostenuti dalla resilienza del settore</w:t>
      </w:r>
      <w:r>
        <w:rPr>
          <w:rFonts w:ascii="Arial" w:hAnsi="Arial" w:cs="Arial"/>
          <w:iCs/>
          <w:sz w:val="24"/>
          <w:szCs w:val="24"/>
        </w:rPr>
        <w:t>,</w:t>
      </w:r>
      <w:r w:rsidRPr="001337E9">
        <w:rPr>
          <w:rFonts w:ascii="Arial" w:hAnsi="Arial" w:cs="Arial"/>
          <w:iCs/>
          <w:sz w:val="24"/>
          <w:szCs w:val="24"/>
        </w:rPr>
        <w:t xml:space="preserve"> nonostante l’inasprimento delle condizioni finanziarie.</w:t>
      </w:r>
    </w:p>
    <w:p w14:paraId="0EEF5EA8" w14:textId="77777777" w:rsidR="00F83AF6" w:rsidRDefault="00F83AF6" w:rsidP="00F83AF6">
      <w:pPr>
        <w:pStyle w:val="Paragrafoelenco"/>
        <w:spacing w:after="0" w:line="360" w:lineRule="auto"/>
        <w:ind w:left="0"/>
        <w:contextualSpacing w:val="0"/>
        <w:jc w:val="both"/>
        <w:rPr>
          <w:rFonts w:ascii="Arial" w:hAnsi="Arial" w:cs="Arial"/>
          <w:iCs/>
          <w:sz w:val="24"/>
          <w:szCs w:val="24"/>
        </w:rPr>
      </w:pPr>
      <w:r>
        <w:rPr>
          <w:rFonts w:ascii="Arial" w:hAnsi="Arial" w:cs="Arial"/>
          <w:iCs/>
          <w:sz w:val="24"/>
          <w:szCs w:val="24"/>
        </w:rPr>
        <w:t>L’utilizzo dei conti bancari continua ad aumentare mentre il valore dei depositi e dei prestiti in essere rispetto al PIL è diminuito in alcune regioni. Di seguito i principali dati di riferimento.</w:t>
      </w:r>
    </w:p>
    <w:p w14:paraId="100F1306" w14:textId="77777777" w:rsidR="00F83AF6" w:rsidRPr="001337E9" w:rsidRDefault="00F83AF6" w:rsidP="00F83AF6">
      <w:pPr>
        <w:pStyle w:val="Paragrafoelenco"/>
        <w:spacing w:after="0" w:line="360" w:lineRule="auto"/>
        <w:ind w:left="0"/>
        <w:contextualSpacing w:val="0"/>
        <w:jc w:val="both"/>
        <w:rPr>
          <w:rFonts w:ascii="Arial" w:hAnsi="Arial" w:cs="Arial"/>
          <w:iCs/>
          <w:sz w:val="24"/>
          <w:szCs w:val="24"/>
        </w:rPr>
      </w:pPr>
    </w:p>
    <w:p w14:paraId="2D59854D" w14:textId="77777777" w:rsidR="00F83AF6" w:rsidRDefault="00F83AF6" w:rsidP="00F83AF6">
      <w:pPr>
        <w:pStyle w:val="Paragrafoelenco"/>
        <w:spacing w:line="360" w:lineRule="auto"/>
        <w:ind w:left="0"/>
        <w:contextualSpacing w:val="0"/>
        <w:jc w:val="center"/>
        <w:rPr>
          <w:rFonts w:ascii="Arial" w:hAnsi="Arial" w:cs="Arial"/>
          <w:iCs/>
          <w:sz w:val="24"/>
          <w:szCs w:val="24"/>
        </w:rPr>
      </w:pPr>
      <w:r>
        <w:rPr>
          <w:noProof/>
          <w:lang w:eastAsia="it-IT"/>
        </w:rPr>
        <w:drawing>
          <wp:inline distT="0" distB="0" distL="0" distR="0" wp14:anchorId="3D9EE417" wp14:editId="13A10E97">
            <wp:extent cx="5956300" cy="4724400"/>
            <wp:effectExtent l="0" t="0" r="6350" b="0"/>
            <wp:docPr id="1022991285" name="Immagine 1" descr="Immagine che contiene testo, schermat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613766" name="Immagine 1" descr="Immagine che contiene testo, schermata, diagramma, Parallelo&#10;&#10;Descrizione generata automaticamente"/>
                    <pic:cNvPicPr/>
                  </pic:nvPicPr>
                  <pic:blipFill rotWithShape="1">
                    <a:blip r:embed="rId38"/>
                    <a:srcRect l="2068" r="3034" b="19043"/>
                    <a:stretch/>
                  </pic:blipFill>
                  <pic:spPr bwMode="auto">
                    <a:xfrm>
                      <a:off x="0" y="0"/>
                      <a:ext cx="5963707" cy="4730275"/>
                    </a:xfrm>
                    <a:prstGeom prst="rect">
                      <a:avLst/>
                    </a:prstGeom>
                    <a:ln>
                      <a:noFill/>
                    </a:ln>
                    <a:extLst>
                      <a:ext uri="{53640926-AAD7-44D8-BBD7-CCE9431645EC}">
                        <a14:shadowObscured xmlns:a14="http://schemas.microsoft.com/office/drawing/2010/main"/>
                      </a:ext>
                    </a:extLst>
                  </pic:spPr>
                </pic:pic>
              </a:graphicData>
            </a:graphic>
          </wp:inline>
        </w:drawing>
      </w:r>
    </w:p>
    <w:p w14:paraId="5E5BB6AF" w14:textId="77777777" w:rsidR="00F83AF6" w:rsidRPr="00E24C94" w:rsidRDefault="00F83AF6" w:rsidP="00F83AF6">
      <w:pPr>
        <w:spacing w:after="0" w:line="360" w:lineRule="auto"/>
        <w:jc w:val="center"/>
        <w:rPr>
          <w:rFonts w:ascii="Arial" w:hAnsi="Arial" w:cs="Arial"/>
          <w:i/>
          <w:sz w:val="20"/>
          <w:szCs w:val="20"/>
        </w:rPr>
      </w:pPr>
      <w:r w:rsidRPr="00E24C94">
        <w:rPr>
          <w:rFonts w:ascii="Arial" w:hAnsi="Arial" w:cs="Arial"/>
          <w:i/>
          <w:sz w:val="20"/>
          <w:szCs w:val="20"/>
        </w:rPr>
        <w:t>Conti di deposito e di prestito.</w:t>
      </w:r>
    </w:p>
    <w:p w14:paraId="7F7C3DFF" w14:textId="77777777" w:rsidR="00F83AF6" w:rsidRPr="00372780" w:rsidRDefault="00F83AF6" w:rsidP="00F83AF6">
      <w:pPr>
        <w:spacing w:after="0" w:line="360" w:lineRule="auto"/>
        <w:jc w:val="center"/>
        <w:rPr>
          <w:rFonts w:ascii="Arial" w:hAnsi="Arial" w:cs="Arial"/>
          <w:iCs/>
          <w:sz w:val="20"/>
          <w:szCs w:val="20"/>
          <w:lang w:val="en-US"/>
        </w:rPr>
      </w:pPr>
      <w:r w:rsidRPr="00372780">
        <w:rPr>
          <w:rFonts w:ascii="Arial" w:hAnsi="Arial" w:cs="Arial"/>
          <w:iCs/>
          <w:sz w:val="20"/>
          <w:szCs w:val="20"/>
          <w:lang w:val="en-US"/>
        </w:rPr>
        <w:t xml:space="preserve">Fonte: </w:t>
      </w:r>
      <w:r w:rsidRPr="00F75CDE">
        <w:rPr>
          <w:rFonts w:ascii="Arial" w:hAnsi="Arial" w:cs="Arial"/>
          <w:i/>
          <w:sz w:val="20"/>
          <w:szCs w:val="20"/>
          <w:lang w:val="en-US"/>
        </w:rPr>
        <w:t>Financial Access Survey and IMF staff calculations</w:t>
      </w:r>
      <w:r>
        <w:rPr>
          <w:rFonts w:ascii="Arial" w:hAnsi="Arial" w:cs="Arial"/>
          <w:iCs/>
          <w:sz w:val="20"/>
          <w:szCs w:val="20"/>
          <w:lang w:val="en-US"/>
        </w:rPr>
        <w:t>.</w:t>
      </w:r>
    </w:p>
    <w:p w14:paraId="5C636B74" w14:textId="77777777" w:rsidR="00F83AF6" w:rsidRPr="00E24C94" w:rsidRDefault="00F83AF6" w:rsidP="00F83AF6">
      <w:pPr>
        <w:pStyle w:val="Paragrafoelenco"/>
        <w:spacing w:line="360" w:lineRule="auto"/>
        <w:ind w:left="0"/>
        <w:contextualSpacing w:val="0"/>
        <w:jc w:val="both"/>
        <w:rPr>
          <w:rFonts w:ascii="Arial" w:hAnsi="Arial" w:cs="Arial"/>
          <w:iCs/>
          <w:sz w:val="24"/>
          <w:szCs w:val="24"/>
          <w:lang w:val="en-US"/>
        </w:rPr>
      </w:pPr>
    </w:p>
    <w:p w14:paraId="6D1E18E1" w14:textId="77777777" w:rsidR="00F83AF6" w:rsidRPr="001337E9" w:rsidRDefault="00F83AF6" w:rsidP="00F83AF6">
      <w:pPr>
        <w:pStyle w:val="Paragrafoelenco"/>
        <w:spacing w:after="0" w:line="360" w:lineRule="auto"/>
        <w:ind w:left="0"/>
        <w:contextualSpacing w:val="0"/>
        <w:jc w:val="both"/>
        <w:rPr>
          <w:rFonts w:ascii="Arial" w:hAnsi="Arial" w:cs="Arial"/>
          <w:iCs/>
          <w:sz w:val="24"/>
          <w:szCs w:val="24"/>
        </w:rPr>
      </w:pPr>
      <w:r w:rsidRPr="001337E9">
        <w:rPr>
          <w:rFonts w:ascii="Arial" w:hAnsi="Arial" w:cs="Arial"/>
          <w:iCs/>
          <w:sz w:val="24"/>
          <w:szCs w:val="24"/>
        </w:rPr>
        <w:lastRenderedPageBreak/>
        <w:t xml:space="preserve">Per </w:t>
      </w:r>
      <w:r>
        <w:rPr>
          <w:rFonts w:ascii="Arial" w:hAnsi="Arial" w:cs="Arial"/>
          <w:iCs/>
          <w:sz w:val="24"/>
          <w:szCs w:val="24"/>
        </w:rPr>
        <w:t xml:space="preserve">un’analisi del quadro europeo, </w:t>
      </w:r>
      <w:r w:rsidRPr="001337E9">
        <w:rPr>
          <w:rFonts w:ascii="Arial" w:hAnsi="Arial" w:cs="Arial"/>
          <w:iCs/>
          <w:sz w:val="24"/>
          <w:szCs w:val="24"/>
        </w:rPr>
        <w:t xml:space="preserve">si riporta un grafico tratto da </w:t>
      </w:r>
      <w:r>
        <w:rPr>
          <w:rFonts w:ascii="Arial" w:hAnsi="Arial" w:cs="Arial"/>
          <w:iCs/>
          <w:sz w:val="24"/>
          <w:szCs w:val="24"/>
        </w:rPr>
        <w:t>“</w:t>
      </w:r>
      <w:r w:rsidRPr="00430316">
        <w:rPr>
          <w:rFonts w:ascii="Arial" w:hAnsi="Arial" w:cs="Arial"/>
          <w:i/>
          <w:sz w:val="24"/>
          <w:szCs w:val="24"/>
        </w:rPr>
        <w:t>Microfinance in Europe: Survey Report</w:t>
      </w:r>
      <w:r>
        <w:rPr>
          <w:rFonts w:ascii="Arial" w:hAnsi="Arial" w:cs="Arial"/>
          <w:i/>
          <w:sz w:val="24"/>
          <w:szCs w:val="24"/>
        </w:rPr>
        <w:t xml:space="preserve"> </w:t>
      </w:r>
      <w:r w:rsidRPr="00430316">
        <w:rPr>
          <w:rFonts w:ascii="Arial" w:hAnsi="Arial" w:cs="Arial"/>
          <w:i/>
          <w:sz w:val="24"/>
          <w:szCs w:val="24"/>
        </w:rPr>
        <w:t>2022</w:t>
      </w:r>
      <w:r>
        <w:rPr>
          <w:rFonts w:ascii="Arial" w:hAnsi="Arial" w:cs="Arial"/>
          <w:iCs/>
          <w:sz w:val="24"/>
          <w:szCs w:val="24"/>
        </w:rPr>
        <w:t>”</w:t>
      </w:r>
      <w:r w:rsidRPr="001337E9">
        <w:rPr>
          <w:rFonts w:ascii="Arial" w:hAnsi="Arial" w:cs="Arial"/>
          <w:iCs/>
          <w:sz w:val="24"/>
          <w:szCs w:val="24"/>
        </w:rPr>
        <w:t xml:space="preserve">, relativo al numero delle istituzioni di microfinanza nei singoli </w:t>
      </w:r>
      <w:r>
        <w:rPr>
          <w:rFonts w:ascii="Arial" w:hAnsi="Arial" w:cs="Arial"/>
          <w:iCs/>
          <w:sz w:val="24"/>
          <w:szCs w:val="24"/>
        </w:rPr>
        <w:t>S</w:t>
      </w:r>
      <w:r w:rsidRPr="001337E9">
        <w:rPr>
          <w:rFonts w:ascii="Arial" w:hAnsi="Arial" w:cs="Arial"/>
          <w:iCs/>
          <w:sz w:val="24"/>
          <w:szCs w:val="24"/>
        </w:rPr>
        <w:t>tati europei.</w:t>
      </w:r>
    </w:p>
    <w:p w14:paraId="36AD647A" w14:textId="77777777" w:rsidR="00F83AF6" w:rsidRPr="001337E9" w:rsidRDefault="00F83AF6" w:rsidP="00F83AF6">
      <w:pPr>
        <w:pStyle w:val="Paragrafoelenco"/>
        <w:spacing w:after="0" w:line="360" w:lineRule="auto"/>
        <w:ind w:left="0"/>
        <w:jc w:val="center"/>
        <w:rPr>
          <w:rFonts w:ascii="Arial" w:hAnsi="Arial" w:cs="Arial"/>
          <w:i/>
          <w:sz w:val="24"/>
          <w:szCs w:val="24"/>
        </w:rPr>
      </w:pPr>
      <w:r w:rsidRPr="001337E9">
        <w:rPr>
          <w:rFonts w:ascii="Arial" w:hAnsi="Arial" w:cs="Arial"/>
          <w:noProof/>
          <w:lang w:eastAsia="it-IT"/>
        </w:rPr>
        <w:drawing>
          <wp:inline distT="0" distB="0" distL="0" distR="0" wp14:anchorId="24B96E3B" wp14:editId="78C689D3">
            <wp:extent cx="2771775" cy="200891"/>
            <wp:effectExtent l="0" t="0" r="0" b="8890"/>
            <wp:docPr id="321389936" name="Immagine 1" descr="Immagine che contiene testo, mapp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190771" name="Immagine 1" descr="Immagine che contiene testo, mappa, schermata&#10;&#10;Descrizione generata automaticamente"/>
                    <pic:cNvPicPr/>
                  </pic:nvPicPr>
                  <pic:blipFill rotWithShape="1">
                    <a:blip r:embed="rId39"/>
                    <a:srcRect l="40062" t="7019" r="18952" b="89447"/>
                    <a:stretch/>
                  </pic:blipFill>
                  <pic:spPr bwMode="auto">
                    <a:xfrm>
                      <a:off x="0" y="0"/>
                      <a:ext cx="2798379" cy="202819"/>
                    </a:xfrm>
                    <a:prstGeom prst="rect">
                      <a:avLst/>
                    </a:prstGeom>
                    <a:ln>
                      <a:noFill/>
                    </a:ln>
                    <a:extLst>
                      <a:ext uri="{53640926-AAD7-44D8-BBD7-CCE9431645EC}">
                        <a14:shadowObscured xmlns:a14="http://schemas.microsoft.com/office/drawing/2010/main"/>
                      </a:ext>
                    </a:extLst>
                  </pic:spPr>
                </pic:pic>
              </a:graphicData>
            </a:graphic>
          </wp:inline>
        </w:drawing>
      </w:r>
      <w:r w:rsidRPr="001337E9">
        <w:rPr>
          <w:rFonts w:ascii="Arial" w:hAnsi="Arial" w:cs="Arial"/>
          <w:noProof/>
          <w:lang w:eastAsia="it-IT"/>
        </w:rPr>
        <w:drawing>
          <wp:inline distT="0" distB="0" distL="0" distR="0" wp14:anchorId="73A24CEC" wp14:editId="346E01E1">
            <wp:extent cx="5492923" cy="3073837"/>
            <wp:effectExtent l="0" t="0" r="0" b="0"/>
            <wp:docPr id="712553744" name="Immagine 1" descr="Immagine che contiene testo, mapp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190771" name="Immagine 1" descr="Immagine che contiene testo, mappa, schermata&#10;&#10;Descrizione generata automaticamente"/>
                    <pic:cNvPicPr/>
                  </pic:nvPicPr>
                  <pic:blipFill rotWithShape="1">
                    <a:blip r:embed="rId39"/>
                    <a:srcRect l="14743" t="10549" r="3072" b="40490"/>
                    <a:stretch/>
                  </pic:blipFill>
                  <pic:spPr bwMode="auto">
                    <a:xfrm>
                      <a:off x="0" y="0"/>
                      <a:ext cx="5531164" cy="3095237"/>
                    </a:xfrm>
                    <a:prstGeom prst="rect">
                      <a:avLst/>
                    </a:prstGeom>
                    <a:ln>
                      <a:noFill/>
                    </a:ln>
                    <a:extLst>
                      <a:ext uri="{53640926-AAD7-44D8-BBD7-CCE9431645EC}">
                        <a14:shadowObscured xmlns:a14="http://schemas.microsoft.com/office/drawing/2010/main"/>
                      </a:ext>
                    </a:extLst>
                  </pic:spPr>
                </pic:pic>
              </a:graphicData>
            </a:graphic>
          </wp:inline>
        </w:drawing>
      </w:r>
    </w:p>
    <w:p w14:paraId="34F47629" w14:textId="77777777" w:rsidR="00F83AF6" w:rsidRDefault="00F83AF6" w:rsidP="00F83AF6">
      <w:pPr>
        <w:pStyle w:val="Paragrafoelenco"/>
        <w:spacing w:after="0" w:line="360" w:lineRule="auto"/>
        <w:ind w:left="0"/>
        <w:contextualSpacing w:val="0"/>
        <w:jc w:val="center"/>
        <w:rPr>
          <w:rFonts w:ascii="Arial" w:hAnsi="Arial" w:cs="Arial"/>
          <w:iCs/>
          <w:sz w:val="20"/>
          <w:szCs w:val="20"/>
        </w:rPr>
      </w:pPr>
      <w:r>
        <w:rPr>
          <w:rFonts w:ascii="Arial" w:hAnsi="Arial" w:cs="Arial"/>
          <w:iCs/>
          <w:sz w:val="20"/>
          <w:szCs w:val="20"/>
        </w:rPr>
        <w:t>Numero di MFIs per singolo Paese.</w:t>
      </w:r>
    </w:p>
    <w:p w14:paraId="2165D492" w14:textId="77777777" w:rsidR="00F83AF6" w:rsidRPr="00EF2546" w:rsidRDefault="00F83AF6" w:rsidP="00F83AF6">
      <w:pPr>
        <w:pStyle w:val="Paragrafoelenco"/>
        <w:spacing w:after="0" w:line="360" w:lineRule="auto"/>
        <w:ind w:left="0"/>
        <w:contextualSpacing w:val="0"/>
        <w:jc w:val="center"/>
        <w:rPr>
          <w:rFonts w:ascii="Arial" w:hAnsi="Arial" w:cs="Arial"/>
          <w:iCs/>
          <w:sz w:val="20"/>
          <w:szCs w:val="20"/>
        </w:rPr>
      </w:pPr>
      <w:r w:rsidRPr="00EF2546">
        <w:rPr>
          <w:rFonts w:ascii="Arial" w:hAnsi="Arial" w:cs="Arial"/>
          <w:iCs/>
          <w:sz w:val="20"/>
          <w:szCs w:val="20"/>
        </w:rPr>
        <w:t xml:space="preserve">Fonte: European Microfinance Network, </w:t>
      </w:r>
      <w:r w:rsidRPr="00190702">
        <w:rPr>
          <w:rFonts w:ascii="Arial" w:hAnsi="Arial" w:cs="Arial"/>
          <w:i/>
          <w:sz w:val="20"/>
          <w:szCs w:val="20"/>
        </w:rPr>
        <w:t>Microfinance in Europe: Survey Report</w:t>
      </w:r>
      <w:r w:rsidRPr="00EF2546">
        <w:rPr>
          <w:rFonts w:ascii="Arial" w:hAnsi="Arial" w:cs="Arial"/>
          <w:iCs/>
          <w:sz w:val="20"/>
          <w:szCs w:val="20"/>
        </w:rPr>
        <w:t xml:space="preserve"> (2022 edition).</w:t>
      </w:r>
    </w:p>
    <w:p w14:paraId="5A989810" w14:textId="77777777" w:rsidR="00F83AF6" w:rsidRDefault="00F83AF6" w:rsidP="00F83AF6">
      <w:pPr>
        <w:pStyle w:val="Paragrafoelenco"/>
        <w:spacing w:after="0" w:line="360" w:lineRule="auto"/>
        <w:ind w:left="0"/>
        <w:contextualSpacing w:val="0"/>
        <w:jc w:val="both"/>
        <w:rPr>
          <w:rFonts w:ascii="Arial" w:hAnsi="Arial" w:cs="Arial"/>
          <w:iCs/>
          <w:sz w:val="24"/>
          <w:szCs w:val="24"/>
        </w:rPr>
      </w:pPr>
    </w:p>
    <w:p w14:paraId="2B0E9267" w14:textId="77777777" w:rsidR="00F83AF6" w:rsidRPr="001337E9" w:rsidRDefault="00F83AF6" w:rsidP="00F83AF6">
      <w:pPr>
        <w:pStyle w:val="Paragrafoelenco"/>
        <w:spacing w:after="0" w:line="360" w:lineRule="auto"/>
        <w:ind w:left="0"/>
        <w:contextualSpacing w:val="0"/>
        <w:jc w:val="both"/>
        <w:rPr>
          <w:rFonts w:ascii="Arial" w:hAnsi="Arial" w:cs="Arial"/>
          <w:iCs/>
          <w:sz w:val="24"/>
          <w:szCs w:val="24"/>
        </w:rPr>
      </w:pPr>
      <w:r>
        <w:rPr>
          <w:rFonts w:ascii="Arial" w:hAnsi="Arial" w:cs="Arial"/>
          <w:iCs/>
          <w:sz w:val="24"/>
          <w:szCs w:val="24"/>
        </w:rPr>
        <w:t xml:space="preserve">La figura seguente </w:t>
      </w:r>
      <w:r w:rsidRPr="001337E9">
        <w:rPr>
          <w:rFonts w:ascii="Arial" w:hAnsi="Arial" w:cs="Arial"/>
          <w:iCs/>
          <w:sz w:val="24"/>
          <w:szCs w:val="24"/>
        </w:rPr>
        <w:t>riporta il portafoglio dei prestiti delle cooperative di credito operanti in Europa a</w:t>
      </w:r>
      <w:r>
        <w:rPr>
          <w:rFonts w:ascii="Arial" w:hAnsi="Arial" w:cs="Arial"/>
          <w:iCs/>
          <w:sz w:val="24"/>
          <w:szCs w:val="24"/>
        </w:rPr>
        <w:t xml:space="preserve">l mese di </w:t>
      </w:r>
      <w:r w:rsidRPr="001337E9">
        <w:rPr>
          <w:rFonts w:ascii="Arial" w:hAnsi="Arial" w:cs="Arial"/>
          <w:iCs/>
          <w:sz w:val="24"/>
          <w:szCs w:val="24"/>
        </w:rPr>
        <w:t>dicembre 2020</w:t>
      </w:r>
      <w:r>
        <w:rPr>
          <w:rFonts w:ascii="Arial" w:hAnsi="Arial" w:cs="Arial"/>
          <w:iCs/>
          <w:sz w:val="24"/>
          <w:szCs w:val="24"/>
        </w:rPr>
        <w:t>.</w:t>
      </w:r>
    </w:p>
    <w:p w14:paraId="6913452B" w14:textId="77777777" w:rsidR="00F83AF6" w:rsidRDefault="00F83AF6" w:rsidP="00F83AF6">
      <w:pPr>
        <w:pStyle w:val="Paragrafoelenco"/>
        <w:spacing w:line="360" w:lineRule="auto"/>
        <w:ind w:left="0"/>
        <w:jc w:val="center"/>
        <w:rPr>
          <w:rFonts w:ascii="Arial" w:hAnsi="Arial" w:cs="Arial"/>
          <w:i/>
          <w:sz w:val="24"/>
          <w:szCs w:val="24"/>
        </w:rPr>
      </w:pPr>
      <w:r w:rsidRPr="001337E9">
        <w:rPr>
          <w:rFonts w:ascii="Arial" w:hAnsi="Arial" w:cs="Arial"/>
          <w:noProof/>
          <w:lang w:eastAsia="it-IT"/>
        </w:rPr>
        <w:drawing>
          <wp:inline distT="0" distB="0" distL="0" distR="0" wp14:anchorId="7B4AF039" wp14:editId="04EEB299">
            <wp:extent cx="6060970" cy="3131127"/>
            <wp:effectExtent l="0" t="0" r="0" b="0"/>
            <wp:docPr id="845061582" name="Immagine 1" descr="Immagine che contiene testo, schermata, numero,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162618" name="Immagine 1" descr="Immagine che contiene testo, schermata, numero, Parallelo&#10;&#10;Descrizione generata automaticamente"/>
                    <pic:cNvPicPr/>
                  </pic:nvPicPr>
                  <pic:blipFill rotWithShape="1">
                    <a:blip r:embed="rId40"/>
                    <a:srcRect l="-566" t="5913" r="566" b="16559"/>
                    <a:stretch/>
                  </pic:blipFill>
                  <pic:spPr bwMode="auto">
                    <a:xfrm>
                      <a:off x="0" y="0"/>
                      <a:ext cx="6094247" cy="3148318"/>
                    </a:xfrm>
                    <a:prstGeom prst="rect">
                      <a:avLst/>
                    </a:prstGeom>
                    <a:ln>
                      <a:noFill/>
                    </a:ln>
                    <a:extLst>
                      <a:ext uri="{53640926-AAD7-44D8-BBD7-CCE9431645EC}">
                        <a14:shadowObscured xmlns:a14="http://schemas.microsoft.com/office/drawing/2010/main"/>
                      </a:ext>
                    </a:extLst>
                  </pic:spPr>
                </pic:pic>
              </a:graphicData>
            </a:graphic>
          </wp:inline>
        </w:drawing>
      </w:r>
    </w:p>
    <w:p w14:paraId="235174F7" w14:textId="77777777" w:rsidR="00F83AF6" w:rsidRDefault="00F83AF6" w:rsidP="00F83AF6">
      <w:pPr>
        <w:pStyle w:val="Paragrafoelenco"/>
        <w:spacing w:after="0" w:line="360" w:lineRule="auto"/>
        <w:ind w:left="0"/>
        <w:contextualSpacing w:val="0"/>
        <w:jc w:val="center"/>
        <w:rPr>
          <w:rFonts w:ascii="Arial" w:hAnsi="Arial" w:cs="Arial"/>
          <w:iCs/>
          <w:sz w:val="20"/>
          <w:szCs w:val="20"/>
        </w:rPr>
      </w:pPr>
      <w:r>
        <w:rPr>
          <w:rFonts w:ascii="Arial" w:hAnsi="Arial" w:cs="Arial"/>
          <w:iCs/>
          <w:sz w:val="20"/>
          <w:szCs w:val="20"/>
        </w:rPr>
        <w:t>P</w:t>
      </w:r>
      <w:r w:rsidRPr="004663C5">
        <w:rPr>
          <w:rFonts w:ascii="Arial" w:hAnsi="Arial" w:cs="Arial"/>
          <w:iCs/>
          <w:sz w:val="20"/>
          <w:szCs w:val="20"/>
        </w:rPr>
        <w:t>ortafoglio prestiti i</w:t>
      </w:r>
      <w:r>
        <w:rPr>
          <w:rFonts w:ascii="Arial" w:hAnsi="Arial" w:cs="Arial"/>
          <w:iCs/>
          <w:sz w:val="20"/>
          <w:szCs w:val="20"/>
        </w:rPr>
        <w:t xml:space="preserve">n circolazione </w:t>
      </w:r>
      <w:r w:rsidRPr="004663C5">
        <w:rPr>
          <w:rFonts w:ascii="Arial" w:hAnsi="Arial" w:cs="Arial"/>
          <w:iCs/>
          <w:sz w:val="20"/>
          <w:szCs w:val="20"/>
        </w:rPr>
        <w:t>delle cooperative di credito</w:t>
      </w:r>
      <w:r>
        <w:rPr>
          <w:rFonts w:ascii="Arial" w:hAnsi="Arial" w:cs="Arial"/>
          <w:iCs/>
          <w:sz w:val="20"/>
          <w:szCs w:val="20"/>
        </w:rPr>
        <w:t xml:space="preserve"> operanti in Europa al dicembre 2020.</w:t>
      </w:r>
    </w:p>
    <w:p w14:paraId="0700E241" w14:textId="77777777" w:rsidR="00F83AF6" w:rsidRPr="00E24C94" w:rsidRDefault="00F83AF6" w:rsidP="00F83AF6">
      <w:pPr>
        <w:pStyle w:val="Paragrafoelenco"/>
        <w:spacing w:after="0" w:line="360" w:lineRule="auto"/>
        <w:ind w:left="0"/>
        <w:contextualSpacing w:val="0"/>
        <w:jc w:val="center"/>
        <w:rPr>
          <w:rFonts w:ascii="Arial" w:hAnsi="Arial" w:cs="Arial"/>
          <w:iCs/>
          <w:sz w:val="20"/>
          <w:szCs w:val="20"/>
          <w:lang w:val="en-US"/>
        </w:rPr>
      </w:pPr>
      <w:r w:rsidRPr="00E24C94">
        <w:rPr>
          <w:rFonts w:ascii="Arial" w:hAnsi="Arial" w:cs="Arial"/>
          <w:iCs/>
          <w:sz w:val="20"/>
          <w:szCs w:val="20"/>
          <w:lang w:val="en-US"/>
        </w:rPr>
        <w:t>Fonte: World Council of Credit Unions (WOCCU) Statistical Report 2020.</w:t>
      </w:r>
    </w:p>
    <w:p w14:paraId="47F485C5" w14:textId="0598DA0B" w:rsidR="00F83AF6" w:rsidRPr="001337E9" w:rsidRDefault="00F83AF6" w:rsidP="00F83AF6">
      <w:pPr>
        <w:spacing w:line="360" w:lineRule="auto"/>
        <w:jc w:val="both"/>
        <w:rPr>
          <w:rFonts w:ascii="Arial" w:hAnsi="Arial" w:cs="Arial"/>
          <w:sz w:val="24"/>
          <w:szCs w:val="24"/>
        </w:rPr>
      </w:pPr>
      <w:r w:rsidRPr="001337E9">
        <w:rPr>
          <w:rFonts w:ascii="Arial" w:hAnsi="Arial" w:cs="Arial"/>
          <w:sz w:val="24"/>
          <w:szCs w:val="24"/>
        </w:rPr>
        <w:lastRenderedPageBreak/>
        <w:t xml:space="preserve">Il report rileva che il settore della microfinanza in Europa </w:t>
      </w:r>
      <w:r>
        <w:rPr>
          <w:rFonts w:ascii="Arial" w:hAnsi="Arial" w:cs="Arial"/>
          <w:sz w:val="24"/>
          <w:szCs w:val="24"/>
        </w:rPr>
        <w:t xml:space="preserve">appare alquanto </w:t>
      </w:r>
      <w:r w:rsidR="007209AD" w:rsidRPr="001337E9">
        <w:rPr>
          <w:rFonts w:ascii="Arial" w:hAnsi="Arial" w:cs="Arial"/>
          <w:sz w:val="24"/>
          <w:szCs w:val="24"/>
        </w:rPr>
        <w:t>diversificato</w:t>
      </w:r>
      <w:r w:rsidR="007209AD">
        <w:rPr>
          <w:rFonts w:ascii="Arial" w:hAnsi="Arial" w:cs="Arial"/>
          <w:sz w:val="24"/>
          <w:szCs w:val="24"/>
        </w:rPr>
        <w:t xml:space="preserve">; </w:t>
      </w:r>
      <w:r>
        <w:rPr>
          <w:rFonts w:ascii="Arial" w:hAnsi="Arial" w:cs="Arial"/>
          <w:sz w:val="24"/>
          <w:szCs w:val="24"/>
        </w:rPr>
        <w:t>i</w:t>
      </w:r>
      <w:r w:rsidRPr="001337E9">
        <w:rPr>
          <w:rFonts w:ascii="Arial" w:hAnsi="Arial" w:cs="Arial"/>
          <w:sz w:val="24"/>
          <w:szCs w:val="24"/>
        </w:rPr>
        <w:t xml:space="preserve"> servizi di microfinanza sono forniti da vari tipi di istituzioni che operano in diversi regimi normativi.</w:t>
      </w:r>
    </w:p>
    <w:p w14:paraId="0ABCAC37" w14:textId="77777777" w:rsidR="00F83AF6" w:rsidRPr="001337E9" w:rsidRDefault="00F83AF6" w:rsidP="00F83AF6">
      <w:pPr>
        <w:spacing w:line="360" w:lineRule="auto"/>
        <w:jc w:val="both"/>
        <w:rPr>
          <w:rFonts w:ascii="Arial" w:hAnsi="Arial" w:cs="Arial"/>
          <w:sz w:val="24"/>
          <w:szCs w:val="24"/>
        </w:rPr>
      </w:pPr>
      <w:r w:rsidRPr="001337E9">
        <w:rPr>
          <w:rFonts w:ascii="Arial" w:hAnsi="Arial" w:cs="Arial"/>
          <w:sz w:val="24"/>
          <w:szCs w:val="24"/>
        </w:rPr>
        <w:t>Le cooperative di credito sono le entità giuridiche più numerose che forniscono microprestiti</w:t>
      </w:r>
      <w:r>
        <w:rPr>
          <w:rFonts w:ascii="Arial" w:hAnsi="Arial" w:cs="Arial"/>
          <w:sz w:val="24"/>
          <w:szCs w:val="24"/>
        </w:rPr>
        <w:t>; s</w:t>
      </w:r>
      <w:r w:rsidRPr="001337E9">
        <w:rPr>
          <w:rFonts w:ascii="Arial" w:hAnsi="Arial" w:cs="Arial"/>
          <w:sz w:val="24"/>
          <w:szCs w:val="24"/>
        </w:rPr>
        <w:t>ono censite oltre 2600 cooperative di credito in 13 Paesi che possiedono un portafoglio complessivo di prestiti superiore a 9 miliardi di euro</w:t>
      </w:r>
      <w:r>
        <w:rPr>
          <w:rFonts w:ascii="Arial" w:hAnsi="Arial" w:cs="Arial"/>
          <w:sz w:val="24"/>
          <w:szCs w:val="24"/>
        </w:rPr>
        <w:t>; sono utilizzate da p</w:t>
      </w:r>
      <w:r w:rsidRPr="001337E9">
        <w:rPr>
          <w:rFonts w:ascii="Arial" w:hAnsi="Arial" w:cs="Arial"/>
          <w:sz w:val="24"/>
          <w:szCs w:val="24"/>
        </w:rPr>
        <w:t>ersone a basso reddito</w:t>
      </w:r>
      <w:r>
        <w:rPr>
          <w:rFonts w:ascii="Arial" w:hAnsi="Arial" w:cs="Arial"/>
          <w:sz w:val="24"/>
          <w:szCs w:val="24"/>
        </w:rPr>
        <w:t xml:space="preserve"> per </w:t>
      </w:r>
      <w:r w:rsidRPr="001337E9">
        <w:rPr>
          <w:rFonts w:ascii="Arial" w:hAnsi="Arial" w:cs="Arial"/>
          <w:sz w:val="24"/>
          <w:szCs w:val="24"/>
        </w:rPr>
        <w:t>opportunità di risparmio, microprestiti e servizi di trasferimento di denaro.</w:t>
      </w:r>
    </w:p>
    <w:p w14:paraId="03275EB3" w14:textId="77777777" w:rsidR="00F83AF6" w:rsidRPr="001337E9" w:rsidRDefault="00F83AF6" w:rsidP="00F83AF6">
      <w:pPr>
        <w:spacing w:line="360" w:lineRule="auto"/>
        <w:jc w:val="both"/>
        <w:rPr>
          <w:rFonts w:ascii="Arial" w:hAnsi="Arial" w:cs="Arial"/>
          <w:sz w:val="24"/>
          <w:szCs w:val="24"/>
        </w:rPr>
      </w:pPr>
      <w:r w:rsidRPr="001337E9">
        <w:rPr>
          <w:rFonts w:ascii="Arial" w:hAnsi="Arial" w:cs="Arial"/>
          <w:sz w:val="24"/>
          <w:szCs w:val="24"/>
        </w:rPr>
        <w:t xml:space="preserve">Sempre </w:t>
      </w:r>
      <w:r>
        <w:rPr>
          <w:rFonts w:ascii="Arial" w:hAnsi="Arial" w:cs="Arial"/>
          <w:sz w:val="24"/>
          <w:szCs w:val="24"/>
        </w:rPr>
        <w:t xml:space="preserve">lo studio in esame </w:t>
      </w:r>
      <w:r w:rsidRPr="001337E9">
        <w:rPr>
          <w:rFonts w:ascii="Arial" w:hAnsi="Arial" w:cs="Arial"/>
          <w:sz w:val="24"/>
          <w:szCs w:val="24"/>
        </w:rPr>
        <w:t>attesta che il settore si è ripreso dagli effetti della pandemia</w:t>
      </w:r>
      <w:r>
        <w:rPr>
          <w:rFonts w:ascii="Arial" w:hAnsi="Arial" w:cs="Arial"/>
          <w:sz w:val="24"/>
          <w:szCs w:val="24"/>
        </w:rPr>
        <w:t>; n</w:t>
      </w:r>
      <w:r w:rsidRPr="001337E9">
        <w:rPr>
          <w:rFonts w:ascii="Arial" w:hAnsi="Arial" w:cs="Arial"/>
          <w:sz w:val="24"/>
          <w:szCs w:val="24"/>
        </w:rPr>
        <w:t>on sono stati</w:t>
      </w:r>
      <w:r>
        <w:rPr>
          <w:rFonts w:ascii="Arial" w:hAnsi="Arial" w:cs="Arial"/>
          <w:sz w:val="24"/>
          <w:szCs w:val="24"/>
        </w:rPr>
        <w:t xml:space="preserve"> registrati</w:t>
      </w:r>
      <w:r w:rsidRPr="001337E9">
        <w:rPr>
          <w:rFonts w:ascii="Arial" w:hAnsi="Arial" w:cs="Arial"/>
          <w:sz w:val="24"/>
          <w:szCs w:val="24"/>
        </w:rPr>
        <w:t xml:space="preserve"> grandi cambiamenti in termini di composizione </w:t>
      </w:r>
      <w:r>
        <w:rPr>
          <w:rFonts w:ascii="Arial" w:hAnsi="Arial" w:cs="Arial"/>
          <w:sz w:val="24"/>
          <w:szCs w:val="24"/>
        </w:rPr>
        <w:t xml:space="preserve">degli operatori </w:t>
      </w:r>
      <w:r w:rsidRPr="001337E9">
        <w:rPr>
          <w:rFonts w:ascii="Arial" w:hAnsi="Arial" w:cs="Arial"/>
          <w:sz w:val="24"/>
          <w:szCs w:val="24"/>
        </w:rPr>
        <w:t>del settore</w:t>
      </w:r>
      <w:r>
        <w:rPr>
          <w:rFonts w:ascii="Arial" w:hAnsi="Arial" w:cs="Arial"/>
          <w:sz w:val="24"/>
          <w:szCs w:val="24"/>
        </w:rPr>
        <w:t>, dei</w:t>
      </w:r>
      <w:r w:rsidRPr="001337E9">
        <w:rPr>
          <w:rFonts w:ascii="Arial" w:hAnsi="Arial" w:cs="Arial"/>
          <w:sz w:val="24"/>
          <w:szCs w:val="24"/>
        </w:rPr>
        <w:t xml:space="preserve"> prodotti</w:t>
      </w:r>
      <w:r>
        <w:rPr>
          <w:rFonts w:ascii="Arial" w:hAnsi="Arial" w:cs="Arial"/>
          <w:sz w:val="24"/>
          <w:szCs w:val="24"/>
        </w:rPr>
        <w:t xml:space="preserve"> e</w:t>
      </w:r>
      <w:r w:rsidRPr="001337E9">
        <w:rPr>
          <w:rFonts w:ascii="Arial" w:hAnsi="Arial" w:cs="Arial"/>
          <w:sz w:val="24"/>
          <w:szCs w:val="24"/>
        </w:rPr>
        <w:t xml:space="preserve"> servizi offerti o</w:t>
      </w:r>
      <w:r>
        <w:rPr>
          <w:rFonts w:ascii="Arial" w:hAnsi="Arial" w:cs="Arial"/>
          <w:sz w:val="24"/>
          <w:szCs w:val="24"/>
        </w:rPr>
        <w:t>vvero dei</w:t>
      </w:r>
      <w:r w:rsidRPr="001337E9">
        <w:rPr>
          <w:rFonts w:ascii="Arial" w:hAnsi="Arial" w:cs="Arial"/>
          <w:sz w:val="24"/>
          <w:szCs w:val="24"/>
        </w:rPr>
        <w:t xml:space="preserve"> gruppi target serviti. Le tre principali tip</w:t>
      </w:r>
      <w:r>
        <w:rPr>
          <w:rFonts w:ascii="Arial" w:hAnsi="Arial" w:cs="Arial"/>
          <w:sz w:val="24"/>
          <w:szCs w:val="24"/>
        </w:rPr>
        <w:t xml:space="preserve">ologie </w:t>
      </w:r>
      <w:r w:rsidRPr="001337E9">
        <w:rPr>
          <w:rFonts w:ascii="Arial" w:hAnsi="Arial" w:cs="Arial"/>
          <w:sz w:val="24"/>
          <w:szCs w:val="24"/>
        </w:rPr>
        <w:t>istituzionali (ONG, NBFI e cooperative di credito) hanno continuato a essere presenti sul mercato con lo stesso numero di operatori dislocati prima della pandemia.</w:t>
      </w:r>
    </w:p>
    <w:p w14:paraId="1868ACA8" w14:textId="77777777" w:rsidR="00F83AF6" w:rsidRPr="001337E9" w:rsidRDefault="00F83AF6" w:rsidP="00F83AF6">
      <w:pPr>
        <w:spacing w:line="360" w:lineRule="auto"/>
        <w:jc w:val="both"/>
        <w:rPr>
          <w:rFonts w:ascii="Arial" w:hAnsi="Arial" w:cs="Arial"/>
          <w:sz w:val="24"/>
          <w:szCs w:val="24"/>
        </w:rPr>
      </w:pPr>
      <w:r w:rsidRPr="001337E9">
        <w:rPr>
          <w:rFonts w:ascii="Arial" w:hAnsi="Arial" w:cs="Arial"/>
          <w:sz w:val="24"/>
          <w:szCs w:val="24"/>
        </w:rPr>
        <w:t>Nonostante si sia registrato un rallentamento delle erogazioni nel corso del 2020 per il 62% delle IFM, la maggior parte delle IFM (</w:t>
      </w:r>
      <w:r>
        <w:rPr>
          <w:rFonts w:ascii="Arial" w:hAnsi="Arial" w:cs="Arial"/>
          <w:sz w:val="24"/>
          <w:szCs w:val="24"/>
        </w:rPr>
        <w:t xml:space="preserve">circa il </w:t>
      </w:r>
      <w:r w:rsidRPr="001337E9">
        <w:rPr>
          <w:rFonts w:ascii="Arial" w:hAnsi="Arial" w:cs="Arial"/>
          <w:sz w:val="24"/>
          <w:szCs w:val="24"/>
        </w:rPr>
        <w:t xml:space="preserve">68%) non solo è tornata ai livelli di impieghi pre-pandemia ma ha addirittura aumentato, rispetto al 2019, i volumi dei prestiti nel 2021 </w:t>
      </w:r>
    </w:p>
    <w:p w14:paraId="02B46248" w14:textId="77777777" w:rsidR="00F83AF6" w:rsidRDefault="00F83AF6" w:rsidP="00F83AF6">
      <w:pPr>
        <w:spacing w:line="360" w:lineRule="auto"/>
        <w:jc w:val="both"/>
        <w:rPr>
          <w:rFonts w:ascii="Arial" w:hAnsi="Arial" w:cs="Arial"/>
          <w:sz w:val="24"/>
          <w:szCs w:val="24"/>
        </w:rPr>
      </w:pPr>
      <w:r w:rsidRPr="001337E9">
        <w:rPr>
          <w:rFonts w:ascii="Arial" w:hAnsi="Arial" w:cs="Arial"/>
          <w:sz w:val="24"/>
          <w:szCs w:val="24"/>
        </w:rPr>
        <w:t xml:space="preserve">Alla </w:t>
      </w:r>
      <w:r>
        <w:rPr>
          <w:rFonts w:ascii="Arial" w:hAnsi="Arial" w:cs="Arial"/>
          <w:sz w:val="24"/>
          <w:szCs w:val="24"/>
        </w:rPr>
        <w:t>conclusione</w:t>
      </w:r>
      <w:r w:rsidRPr="001337E9">
        <w:rPr>
          <w:rFonts w:ascii="Arial" w:hAnsi="Arial" w:cs="Arial"/>
          <w:sz w:val="24"/>
          <w:szCs w:val="24"/>
        </w:rPr>
        <w:t xml:space="preserve"> del 2021, il valore del portafoglio totale di microprestiti ha raggiunto i 4,3 miliardi di euro e il numero di mutuatari attivi era di 1,4 milioni. </w:t>
      </w:r>
      <w:r>
        <w:rPr>
          <w:rFonts w:ascii="Arial" w:hAnsi="Arial" w:cs="Arial"/>
          <w:sz w:val="24"/>
          <w:szCs w:val="24"/>
        </w:rPr>
        <w:t>Le d</w:t>
      </w:r>
      <w:r w:rsidRPr="001337E9">
        <w:rPr>
          <w:rFonts w:ascii="Arial" w:hAnsi="Arial" w:cs="Arial"/>
          <w:sz w:val="24"/>
          <w:szCs w:val="24"/>
        </w:rPr>
        <w:t xml:space="preserve">onne e le popolazioni rurali sono rimasti i due gruppi target principali, ciascuno dei quali costituisce il 43% dei mutuatari attivi. Anche se i migranti e </w:t>
      </w:r>
      <w:r>
        <w:rPr>
          <w:rFonts w:ascii="Arial" w:hAnsi="Arial" w:cs="Arial"/>
          <w:sz w:val="24"/>
          <w:szCs w:val="24"/>
        </w:rPr>
        <w:t xml:space="preserve">i </w:t>
      </w:r>
      <w:r w:rsidRPr="001337E9">
        <w:rPr>
          <w:rFonts w:ascii="Arial" w:hAnsi="Arial" w:cs="Arial"/>
          <w:sz w:val="24"/>
          <w:szCs w:val="24"/>
        </w:rPr>
        <w:t>rifugiati fanno parte di una piccola quota di mutuatari (9%), molte IFM sono interessate a</w:t>
      </w:r>
      <w:r>
        <w:rPr>
          <w:rFonts w:ascii="Arial" w:hAnsi="Arial" w:cs="Arial"/>
          <w:sz w:val="24"/>
          <w:szCs w:val="24"/>
        </w:rPr>
        <w:t xml:space="preserve"> espandere </w:t>
      </w:r>
      <w:r w:rsidRPr="001337E9">
        <w:rPr>
          <w:rFonts w:ascii="Arial" w:hAnsi="Arial" w:cs="Arial"/>
          <w:sz w:val="24"/>
          <w:szCs w:val="24"/>
        </w:rPr>
        <w:t>il coinvolgimento di questo gruppo target e fornire loro servizi di microfinanza.</w:t>
      </w:r>
    </w:p>
    <w:p w14:paraId="5D2B25F1" w14:textId="77777777" w:rsidR="00F83AF6" w:rsidRPr="001337E9" w:rsidRDefault="00F83AF6" w:rsidP="00F83AF6">
      <w:pPr>
        <w:spacing w:line="360" w:lineRule="auto"/>
        <w:jc w:val="both"/>
        <w:rPr>
          <w:rFonts w:ascii="Arial" w:hAnsi="Arial" w:cs="Arial"/>
          <w:sz w:val="24"/>
          <w:szCs w:val="24"/>
        </w:rPr>
      </w:pPr>
      <w:r w:rsidRPr="001337E9">
        <w:rPr>
          <w:rFonts w:ascii="Arial" w:hAnsi="Arial" w:cs="Arial"/>
          <w:sz w:val="24"/>
          <w:szCs w:val="24"/>
        </w:rPr>
        <w:t xml:space="preserve">Sono state registrate le diverse tendenze osservate nelle precedenti iterazioni del mercato della microfinanza. Il segmento dei prestiti personali continua a crescere più velocemente </w:t>
      </w:r>
      <w:r>
        <w:rPr>
          <w:rFonts w:ascii="Arial" w:hAnsi="Arial" w:cs="Arial"/>
          <w:sz w:val="24"/>
          <w:szCs w:val="24"/>
        </w:rPr>
        <w:t xml:space="preserve">rispetto ai </w:t>
      </w:r>
      <w:r w:rsidRPr="001337E9">
        <w:rPr>
          <w:rFonts w:ascii="Arial" w:hAnsi="Arial" w:cs="Arial"/>
          <w:sz w:val="24"/>
          <w:szCs w:val="24"/>
        </w:rPr>
        <w:t>prestiti alle imprese, sia in termini di valore lordo del portafoglio prestiti (13% contro una crescita dell’8%) e</w:t>
      </w:r>
      <w:r>
        <w:rPr>
          <w:rFonts w:ascii="Arial" w:hAnsi="Arial" w:cs="Arial"/>
          <w:sz w:val="24"/>
          <w:szCs w:val="24"/>
        </w:rPr>
        <w:t xml:space="preserve"> di</w:t>
      </w:r>
      <w:r w:rsidRPr="001337E9">
        <w:rPr>
          <w:rFonts w:ascii="Arial" w:hAnsi="Arial" w:cs="Arial"/>
          <w:sz w:val="24"/>
          <w:szCs w:val="24"/>
        </w:rPr>
        <w:t xml:space="preserve"> numero di mutuatari attivi (8% contro una crescita del 5%).</w:t>
      </w:r>
    </w:p>
    <w:p w14:paraId="5B5B7AD3" w14:textId="77777777" w:rsidR="00F83AF6" w:rsidRDefault="00F83AF6" w:rsidP="00F83AF6">
      <w:pPr>
        <w:spacing w:line="360" w:lineRule="auto"/>
        <w:jc w:val="both"/>
        <w:rPr>
          <w:rFonts w:ascii="Arial" w:hAnsi="Arial" w:cs="Arial"/>
          <w:sz w:val="24"/>
          <w:szCs w:val="24"/>
        </w:rPr>
      </w:pPr>
      <w:r w:rsidRPr="001337E9">
        <w:rPr>
          <w:rFonts w:ascii="Arial" w:hAnsi="Arial" w:cs="Arial"/>
          <w:sz w:val="24"/>
          <w:szCs w:val="24"/>
        </w:rPr>
        <w:t>La tendenza alla digitalizzazione, accelerata dal blocco e dalla necessità d</w:t>
      </w:r>
      <w:r>
        <w:rPr>
          <w:rFonts w:ascii="Arial" w:hAnsi="Arial" w:cs="Arial"/>
          <w:sz w:val="24"/>
          <w:szCs w:val="24"/>
        </w:rPr>
        <w:t xml:space="preserve">i lavorare da remoto </w:t>
      </w:r>
      <w:r w:rsidRPr="001337E9">
        <w:rPr>
          <w:rFonts w:ascii="Arial" w:hAnsi="Arial" w:cs="Arial"/>
          <w:sz w:val="24"/>
          <w:szCs w:val="24"/>
        </w:rPr>
        <w:t xml:space="preserve">e di comunicare con i clienti, ha </w:t>
      </w:r>
      <w:r>
        <w:rPr>
          <w:rFonts w:ascii="Arial" w:hAnsi="Arial" w:cs="Arial"/>
          <w:sz w:val="24"/>
          <w:szCs w:val="24"/>
        </w:rPr>
        <w:t xml:space="preserve">condotto </w:t>
      </w:r>
      <w:r w:rsidRPr="001337E9">
        <w:rPr>
          <w:rFonts w:ascii="Arial" w:hAnsi="Arial" w:cs="Arial"/>
          <w:sz w:val="24"/>
          <w:szCs w:val="24"/>
        </w:rPr>
        <w:t>all’i</w:t>
      </w:r>
      <w:r>
        <w:rPr>
          <w:rFonts w:ascii="Arial" w:hAnsi="Arial" w:cs="Arial"/>
          <w:sz w:val="24"/>
          <w:szCs w:val="24"/>
        </w:rPr>
        <w:t>mplementazione</w:t>
      </w:r>
      <w:r w:rsidRPr="001337E9">
        <w:rPr>
          <w:rFonts w:ascii="Arial" w:hAnsi="Arial" w:cs="Arial"/>
          <w:sz w:val="24"/>
          <w:szCs w:val="24"/>
        </w:rPr>
        <w:t xml:space="preserve"> di nuovi strumenti digitali.</w:t>
      </w:r>
      <w:r>
        <w:rPr>
          <w:rFonts w:ascii="Arial" w:hAnsi="Arial" w:cs="Arial"/>
          <w:sz w:val="24"/>
          <w:szCs w:val="24"/>
        </w:rPr>
        <w:t xml:space="preserve"> Circa l’84</w:t>
      </w:r>
      <w:r w:rsidRPr="001337E9">
        <w:rPr>
          <w:rFonts w:ascii="Arial" w:hAnsi="Arial" w:cs="Arial"/>
          <w:sz w:val="24"/>
          <w:szCs w:val="24"/>
        </w:rPr>
        <w:t>% delle IFM dispone di soluzioni digitali che supportano i clienti nel richiedere, gestire o rimborsare un prestito.</w:t>
      </w:r>
    </w:p>
    <w:p w14:paraId="5F83CD30" w14:textId="77777777" w:rsidR="00F83AF6" w:rsidRDefault="00F83AF6" w:rsidP="00F83AF6">
      <w:pPr>
        <w:spacing w:line="360" w:lineRule="auto"/>
        <w:jc w:val="both"/>
        <w:rPr>
          <w:rFonts w:ascii="Arial" w:hAnsi="Arial" w:cs="Arial"/>
          <w:sz w:val="24"/>
          <w:szCs w:val="24"/>
        </w:rPr>
      </w:pPr>
      <w:r w:rsidRPr="001337E9">
        <w:rPr>
          <w:rFonts w:ascii="Arial" w:hAnsi="Arial" w:cs="Arial"/>
          <w:sz w:val="24"/>
          <w:szCs w:val="24"/>
        </w:rPr>
        <w:t xml:space="preserve">Con una grande propensione alla crescita, le IFM ritengono che le scarse capacità dei clienti siano il principale ostacolo allo sviluppo del settore della microfinanza. I redditi bassi e i redditi instabili, le limitate capacità finanziarie e le scarse competenze digitali dei clienti sono </w:t>
      </w:r>
      <w:r w:rsidRPr="001337E9">
        <w:rPr>
          <w:rFonts w:ascii="Arial" w:hAnsi="Arial" w:cs="Arial"/>
          <w:sz w:val="24"/>
          <w:szCs w:val="24"/>
        </w:rPr>
        <w:lastRenderedPageBreak/>
        <w:t xml:space="preserve">percepite da molte IFM come le </w:t>
      </w:r>
      <w:r>
        <w:rPr>
          <w:rFonts w:ascii="Arial" w:hAnsi="Arial" w:cs="Arial"/>
          <w:sz w:val="24"/>
          <w:szCs w:val="24"/>
        </w:rPr>
        <w:t xml:space="preserve">principali </w:t>
      </w:r>
      <w:r w:rsidRPr="001337E9">
        <w:rPr>
          <w:rFonts w:ascii="Arial" w:hAnsi="Arial" w:cs="Arial"/>
          <w:sz w:val="24"/>
          <w:szCs w:val="24"/>
        </w:rPr>
        <w:t>sfide da affrontare. La maggior parte</w:t>
      </w:r>
      <w:r>
        <w:rPr>
          <w:rFonts w:ascii="Arial" w:hAnsi="Arial" w:cs="Arial"/>
          <w:sz w:val="24"/>
          <w:szCs w:val="24"/>
        </w:rPr>
        <w:t xml:space="preserve"> </w:t>
      </w:r>
      <w:r w:rsidRPr="001337E9">
        <w:rPr>
          <w:rFonts w:ascii="Arial" w:hAnsi="Arial" w:cs="Arial"/>
          <w:sz w:val="24"/>
          <w:szCs w:val="24"/>
        </w:rPr>
        <w:t>delle IFM continua a sostenere i propri clienti nello sviluppo delle loro capacità imprenditoriali e finanziarie, offrendo servizi non finanziari.</w:t>
      </w:r>
    </w:p>
    <w:p w14:paraId="5E6390CA" w14:textId="77777777" w:rsidR="00F83AF6" w:rsidRPr="001337E9" w:rsidRDefault="00F83AF6" w:rsidP="00F83AF6">
      <w:pPr>
        <w:spacing w:line="360" w:lineRule="auto"/>
        <w:jc w:val="both"/>
        <w:rPr>
          <w:rFonts w:ascii="Arial" w:hAnsi="Arial" w:cs="Arial"/>
          <w:sz w:val="24"/>
          <w:szCs w:val="24"/>
        </w:rPr>
      </w:pPr>
      <w:r w:rsidRPr="001337E9">
        <w:rPr>
          <w:rFonts w:ascii="Arial" w:hAnsi="Arial" w:cs="Arial"/>
          <w:sz w:val="24"/>
          <w:szCs w:val="24"/>
        </w:rPr>
        <w:t>Nonostante le aspettative attese dalla digitalizzazione, la modalità di erogazione dei servizi non finanziari e l’assistenza diretta alla persona, rappresenta ancora il modo più comune di fornire servizi non finanziari (&gt; 80% delle IFM)</w:t>
      </w:r>
      <w:r>
        <w:rPr>
          <w:rFonts w:ascii="Arial" w:hAnsi="Arial" w:cs="Arial"/>
          <w:sz w:val="24"/>
          <w:szCs w:val="24"/>
        </w:rPr>
        <w:t>; l’</w:t>
      </w:r>
      <w:r w:rsidRPr="001337E9">
        <w:rPr>
          <w:rFonts w:ascii="Arial" w:hAnsi="Arial" w:cs="Arial"/>
          <w:sz w:val="24"/>
          <w:szCs w:val="24"/>
        </w:rPr>
        <w:t xml:space="preserve">assistenza individuale o il supporto di gruppo </w:t>
      </w:r>
      <w:r>
        <w:rPr>
          <w:rFonts w:ascii="Arial" w:hAnsi="Arial" w:cs="Arial"/>
          <w:sz w:val="24"/>
          <w:szCs w:val="24"/>
        </w:rPr>
        <w:t xml:space="preserve">a mezzo di canali </w:t>
      </w:r>
      <w:r w:rsidRPr="001337E9">
        <w:rPr>
          <w:rFonts w:ascii="Arial" w:hAnsi="Arial" w:cs="Arial"/>
          <w:sz w:val="24"/>
          <w:szCs w:val="24"/>
        </w:rPr>
        <w:t xml:space="preserve">virtuali è fornita solo dalla metà delle IFM, mentre le piattaforme online </w:t>
      </w:r>
      <w:r w:rsidRPr="00E527FE">
        <w:rPr>
          <w:rFonts w:ascii="Arial" w:hAnsi="Arial" w:cs="Arial"/>
          <w:i/>
          <w:iCs/>
          <w:sz w:val="24"/>
          <w:szCs w:val="24"/>
        </w:rPr>
        <w:t>self-service</w:t>
      </w:r>
      <w:r w:rsidRPr="001337E9">
        <w:rPr>
          <w:rFonts w:ascii="Arial" w:hAnsi="Arial" w:cs="Arial"/>
          <w:sz w:val="24"/>
          <w:szCs w:val="24"/>
        </w:rPr>
        <w:t xml:space="preserve"> sono messe a disposizione dei clienti </w:t>
      </w:r>
      <w:r w:rsidRPr="00856C1F">
        <w:rPr>
          <w:rFonts w:ascii="Arial" w:hAnsi="Arial" w:cs="Arial"/>
          <w:sz w:val="24"/>
          <w:szCs w:val="24"/>
        </w:rPr>
        <w:t>da poco più di un terzo</w:t>
      </w:r>
      <w:r>
        <w:rPr>
          <w:rFonts w:ascii="Arial" w:hAnsi="Arial" w:cs="Arial"/>
          <w:sz w:val="24"/>
          <w:szCs w:val="24"/>
        </w:rPr>
        <w:t xml:space="preserve"> di quest’ultime.</w:t>
      </w:r>
    </w:p>
    <w:p w14:paraId="2CB673DE" w14:textId="77777777" w:rsidR="00F83AF6" w:rsidRDefault="00F83AF6" w:rsidP="00F83AF6">
      <w:pPr>
        <w:spacing w:line="360" w:lineRule="auto"/>
        <w:jc w:val="both"/>
        <w:rPr>
          <w:rFonts w:ascii="Arial" w:hAnsi="Arial" w:cs="Arial"/>
          <w:sz w:val="24"/>
          <w:szCs w:val="24"/>
        </w:rPr>
      </w:pPr>
      <w:r w:rsidRPr="001337E9">
        <w:rPr>
          <w:rFonts w:ascii="Arial" w:hAnsi="Arial" w:cs="Arial"/>
          <w:sz w:val="24"/>
          <w:szCs w:val="24"/>
        </w:rPr>
        <w:t xml:space="preserve">Nonostante le </w:t>
      </w:r>
      <w:r>
        <w:rPr>
          <w:rFonts w:ascii="Arial" w:hAnsi="Arial" w:cs="Arial"/>
          <w:sz w:val="24"/>
          <w:szCs w:val="24"/>
        </w:rPr>
        <w:t>molteplici</w:t>
      </w:r>
      <w:r w:rsidRPr="001337E9">
        <w:rPr>
          <w:rFonts w:ascii="Arial" w:hAnsi="Arial" w:cs="Arial"/>
          <w:sz w:val="24"/>
          <w:szCs w:val="24"/>
        </w:rPr>
        <w:t xml:space="preserve"> sfide, le IFM rimangono positive e ottimiste sul futuro</w:t>
      </w:r>
      <w:r>
        <w:rPr>
          <w:rFonts w:ascii="Arial" w:hAnsi="Arial" w:cs="Arial"/>
          <w:sz w:val="24"/>
          <w:szCs w:val="24"/>
        </w:rPr>
        <w:t>; u</w:t>
      </w:r>
      <w:r w:rsidRPr="001337E9">
        <w:rPr>
          <w:rFonts w:ascii="Arial" w:hAnsi="Arial" w:cs="Arial"/>
          <w:sz w:val="24"/>
          <w:szCs w:val="24"/>
        </w:rPr>
        <w:t xml:space="preserve">n anno dopo l'inizio della pandemia di </w:t>
      </w:r>
      <w:r>
        <w:rPr>
          <w:rFonts w:ascii="Arial" w:hAnsi="Arial" w:cs="Arial"/>
          <w:sz w:val="24"/>
          <w:szCs w:val="24"/>
        </w:rPr>
        <w:t>“</w:t>
      </w:r>
      <w:r w:rsidRPr="001337E9">
        <w:rPr>
          <w:rFonts w:ascii="Arial" w:hAnsi="Arial" w:cs="Arial"/>
          <w:sz w:val="24"/>
          <w:szCs w:val="24"/>
        </w:rPr>
        <w:t>COVID-19</w:t>
      </w:r>
      <w:r>
        <w:rPr>
          <w:rFonts w:ascii="Arial" w:hAnsi="Arial" w:cs="Arial"/>
          <w:sz w:val="24"/>
          <w:szCs w:val="24"/>
        </w:rPr>
        <w:t>”</w:t>
      </w:r>
      <w:r w:rsidRPr="001337E9">
        <w:rPr>
          <w:rFonts w:ascii="Arial" w:hAnsi="Arial" w:cs="Arial"/>
          <w:sz w:val="24"/>
          <w:szCs w:val="24"/>
        </w:rPr>
        <w:t xml:space="preserve">, </w:t>
      </w:r>
      <w:r>
        <w:rPr>
          <w:rFonts w:ascii="Arial" w:hAnsi="Arial" w:cs="Arial"/>
          <w:sz w:val="24"/>
          <w:szCs w:val="24"/>
        </w:rPr>
        <w:t xml:space="preserve">circa </w:t>
      </w:r>
      <w:r w:rsidRPr="001337E9">
        <w:rPr>
          <w:rFonts w:ascii="Arial" w:hAnsi="Arial" w:cs="Arial"/>
          <w:sz w:val="24"/>
          <w:szCs w:val="24"/>
        </w:rPr>
        <w:t>l'80% delle IFM valutano la loro situazione come buona o molto buona e il 71% delle IFM ritiene che l’attività migliorerà nei prossimi 12 mesi.</w:t>
      </w:r>
    </w:p>
    <w:p w14:paraId="6E87E75C" w14:textId="77777777" w:rsidR="00F83AF6" w:rsidRDefault="00F83AF6" w:rsidP="00F83AF6">
      <w:pPr>
        <w:spacing w:line="360" w:lineRule="auto"/>
        <w:jc w:val="both"/>
        <w:rPr>
          <w:rFonts w:ascii="Arial" w:hAnsi="Arial" w:cs="Arial"/>
          <w:sz w:val="24"/>
          <w:szCs w:val="24"/>
        </w:rPr>
      </w:pPr>
      <w:r w:rsidRPr="001337E9">
        <w:rPr>
          <w:rFonts w:ascii="Arial" w:hAnsi="Arial" w:cs="Arial"/>
          <w:sz w:val="24"/>
          <w:szCs w:val="24"/>
        </w:rPr>
        <w:t>Molte IFM in Europa sono già impegnate nella transizione verde e sono del tutto o in parte conformi</w:t>
      </w:r>
      <w:r>
        <w:rPr>
          <w:rFonts w:ascii="Arial" w:hAnsi="Arial" w:cs="Arial"/>
          <w:sz w:val="24"/>
          <w:szCs w:val="24"/>
        </w:rPr>
        <w:t xml:space="preserve">, </w:t>
      </w:r>
      <w:r w:rsidRPr="001337E9">
        <w:rPr>
          <w:rFonts w:ascii="Arial" w:hAnsi="Arial" w:cs="Arial"/>
          <w:sz w:val="24"/>
          <w:szCs w:val="24"/>
        </w:rPr>
        <w:t>dal punto di vista climatico</w:t>
      </w:r>
      <w:r>
        <w:rPr>
          <w:rFonts w:ascii="Arial" w:hAnsi="Arial" w:cs="Arial"/>
          <w:sz w:val="24"/>
          <w:szCs w:val="24"/>
        </w:rPr>
        <w:t>,</w:t>
      </w:r>
      <w:r w:rsidRPr="001337E9">
        <w:rPr>
          <w:rFonts w:ascii="Arial" w:hAnsi="Arial" w:cs="Arial"/>
          <w:sz w:val="24"/>
          <w:szCs w:val="24"/>
        </w:rPr>
        <w:t xml:space="preserve"> ai finanziamenti verdi sostenibili. La responsabilità ambientale, obiettivi o processi ambientali fanno parte della strategia istituzionale di quasi il 40% delle IFM. Sebbene un numero minore di IFM (33%) riporti i propri indicatori di performance ambientale, ben il 55% monitora e gestisce l'impatto negativo delle proprie operazioni.</w:t>
      </w:r>
    </w:p>
    <w:p w14:paraId="6EC39AD9" w14:textId="77777777" w:rsidR="00F83AF6" w:rsidRPr="001337E9" w:rsidRDefault="00F83AF6" w:rsidP="00F83AF6">
      <w:pPr>
        <w:spacing w:line="360" w:lineRule="auto"/>
        <w:jc w:val="both"/>
        <w:rPr>
          <w:rFonts w:ascii="Arial" w:hAnsi="Arial" w:cs="Arial"/>
          <w:sz w:val="24"/>
          <w:szCs w:val="24"/>
        </w:rPr>
      </w:pPr>
      <w:r w:rsidRPr="001337E9">
        <w:rPr>
          <w:rFonts w:ascii="Arial" w:hAnsi="Arial" w:cs="Arial"/>
          <w:sz w:val="24"/>
          <w:szCs w:val="24"/>
        </w:rPr>
        <w:t>Il monitoraggio dell’impatto ambientale dei clienti e l'inclusione di tali dati nella valutazione del credito sono meno spesso praticati dalle IFM in Europa (27% delle IFM) mentre quello delle vulnerabilità ambientali dei clienti è applicato solo dal 15% delle istituzioni.</w:t>
      </w:r>
    </w:p>
    <w:p w14:paraId="61185C5C" w14:textId="77777777" w:rsidR="00F83AF6" w:rsidRPr="001337E9" w:rsidRDefault="00F83AF6" w:rsidP="00F83AF6">
      <w:pPr>
        <w:spacing w:line="360" w:lineRule="auto"/>
        <w:jc w:val="both"/>
        <w:rPr>
          <w:rFonts w:ascii="Arial" w:hAnsi="Arial" w:cs="Arial"/>
          <w:sz w:val="24"/>
          <w:szCs w:val="24"/>
        </w:rPr>
      </w:pPr>
      <w:r w:rsidRPr="001337E9">
        <w:rPr>
          <w:rFonts w:ascii="Arial" w:hAnsi="Arial" w:cs="Arial"/>
          <w:sz w:val="24"/>
          <w:szCs w:val="24"/>
        </w:rPr>
        <w:t>Sebbene più del 70% delle IFM finanzi le tecnologie ecocompatibili dei propri clienti, solo il 26% lo fa attraverso prodotti di prestito dedicati. La domanda più alta è attualmente quella di finanziare soluzioni per l'efficienza energetica e l'energia rinnovabile, e si prevede che questo segmento del credito verde</w:t>
      </w:r>
      <w:r w:rsidRPr="001337E9">
        <w:rPr>
          <w:rStyle w:val="Rimandonotaapidipagina"/>
          <w:rFonts w:ascii="Arial" w:hAnsi="Arial" w:cs="Arial"/>
          <w:sz w:val="24"/>
          <w:szCs w:val="24"/>
        </w:rPr>
        <w:footnoteReference w:id="99"/>
      </w:r>
      <w:r>
        <w:rPr>
          <w:rFonts w:ascii="Arial" w:hAnsi="Arial" w:cs="Arial"/>
          <w:sz w:val="24"/>
          <w:szCs w:val="24"/>
        </w:rPr>
        <w:t xml:space="preserve"> </w:t>
      </w:r>
      <w:r w:rsidRPr="00304DEA">
        <w:rPr>
          <w:rFonts w:ascii="Arial" w:hAnsi="Arial" w:cs="Arial"/>
          <w:sz w:val="24"/>
          <w:szCs w:val="24"/>
        </w:rPr>
        <w:t>crescerà ulteriormente</w:t>
      </w:r>
      <w:r>
        <w:rPr>
          <w:rFonts w:ascii="Arial" w:hAnsi="Arial" w:cs="Arial"/>
          <w:sz w:val="24"/>
          <w:szCs w:val="24"/>
        </w:rPr>
        <w:t>.</w:t>
      </w:r>
    </w:p>
    <w:p w14:paraId="7E9C140E" w14:textId="77777777" w:rsidR="00F83AF6" w:rsidRPr="001337E9" w:rsidRDefault="00F83AF6" w:rsidP="00F83AF6">
      <w:pPr>
        <w:spacing w:line="360" w:lineRule="auto"/>
        <w:jc w:val="both"/>
        <w:rPr>
          <w:rFonts w:ascii="Arial" w:hAnsi="Arial" w:cs="Arial"/>
          <w:iCs/>
          <w:sz w:val="24"/>
          <w:szCs w:val="24"/>
        </w:rPr>
      </w:pPr>
      <w:r w:rsidRPr="001337E9">
        <w:rPr>
          <w:rFonts w:ascii="Arial" w:hAnsi="Arial" w:cs="Arial"/>
          <w:iCs/>
          <w:sz w:val="24"/>
          <w:szCs w:val="24"/>
        </w:rPr>
        <w:t xml:space="preserve">Per quanto riguarda l’Italia, si evidenziano </w:t>
      </w:r>
      <w:r>
        <w:rPr>
          <w:rFonts w:ascii="Arial" w:hAnsi="Arial" w:cs="Arial"/>
          <w:iCs/>
          <w:sz w:val="24"/>
          <w:szCs w:val="24"/>
        </w:rPr>
        <w:t xml:space="preserve">i </w:t>
      </w:r>
      <w:r w:rsidRPr="001337E9">
        <w:rPr>
          <w:rFonts w:ascii="Arial" w:hAnsi="Arial" w:cs="Arial"/>
          <w:iCs/>
          <w:sz w:val="24"/>
          <w:szCs w:val="24"/>
        </w:rPr>
        <w:t>dati di seguito riportati.</w:t>
      </w:r>
    </w:p>
    <w:p w14:paraId="44BA46BC" w14:textId="77777777" w:rsidR="00F83AF6" w:rsidRPr="001337E9" w:rsidRDefault="00F83AF6" w:rsidP="00F83AF6">
      <w:pPr>
        <w:spacing w:line="360" w:lineRule="auto"/>
        <w:jc w:val="both"/>
        <w:rPr>
          <w:rFonts w:ascii="Arial" w:hAnsi="Arial" w:cs="Arial"/>
          <w:iCs/>
          <w:sz w:val="24"/>
          <w:szCs w:val="24"/>
        </w:rPr>
      </w:pPr>
      <w:r w:rsidRPr="001337E9">
        <w:rPr>
          <w:rFonts w:ascii="Arial" w:hAnsi="Arial" w:cs="Arial"/>
          <w:iCs/>
          <w:sz w:val="24"/>
          <w:szCs w:val="24"/>
        </w:rPr>
        <w:t xml:space="preserve">La popolazione residente in Italia al 1° gennaio 2023 è di 58 milioni e 851mila unità, 179mila in meno </w:t>
      </w:r>
      <w:r>
        <w:rPr>
          <w:rFonts w:ascii="Arial" w:hAnsi="Arial" w:cs="Arial"/>
          <w:iCs/>
          <w:sz w:val="24"/>
          <w:szCs w:val="24"/>
        </w:rPr>
        <w:t xml:space="preserve">rispetto alla </w:t>
      </w:r>
      <w:r w:rsidRPr="001337E9">
        <w:rPr>
          <w:rFonts w:ascii="Arial" w:hAnsi="Arial" w:cs="Arial"/>
          <w:iCs/>
          <w:sz w:val="24"/>
          <w:szCs w:val="24"/>
        </w:rPr>
        <w:t>precedente</w:t>
      </w:r>
      <w:r>
        <w:rPr>
          <w:rFonts w:ascii="Arial" w:hAnsi="Arial" w:cs="Arial"/>
          <w:iCs/>
          <w:sz w:val="24"/>
          <w:szCs w:val="24"/>
        </w:rPr>
        <w:t xml:space="preserve"> annualità</w:t>
      </w:r>
      <w:r w:rsidRPr="001337E9">
        <w:rPr>
          <w:rFonts w:ascii="Arial" w:hAnsi="Arial" w:cs="Arial"/>
          <w:iCs/>
          <w:sz w:val="24"/>
          <w:szCs w:val="24"/>
        </w:rPr>
        <w:t>, per una riduzione pari al 3‰ (Fonte Istat).</w:t>
      </w:r>
    </w:p>
    <w:p w14:paraId="393878A2" w14:textId="77777777" w:rsidR="00F83AF6" w:rsidRPr="001337E9" w:rsidRDefault="00F83AF6" w:rsidP="00F83AF6">
      <w:pPr>
        <w:spacing w:line="360" w:lineRule="auto"/>
        <w:jc w:val="both"/>
        <w:rPr>
          <w:rFonts w:ascii="Arial" w:hAnsi="Arial" w:cs="Arial"/>
          <w:iCs/>
          <w:sz w:val="24"/>
          <w:szCs w:val="24"/>
        </w:rPr>
      </w:pPr>
      <w:r w:rsidRPr="001337E9">
        <w:rPr>
          <w:rFonts w:ascii="Arial" w:hAnsi="Arial" w:cs="Arial"/>
          <w:iCs/>
          <w:sz w:val="24"/>
          <w:szCs w:val="24"/>
        </w:rPr>
        <w:t xml:space="preserve">In relazione all’esclusione finanziaria (che in un’accezione generica, può essere definita come l’impossibilità o la riluttanza per alcuni soggetti – individui o imprese – di accedere a servizi </w:t>
      </w:r>
      <w:r w:rsidRPr="001337E9">
        <w:rPr>
          <w:rFonts w:ascii="Arial" w:hAnsi="Arial" w:cs="Arial"/>
          <w:iCs/>
          <w:sz w:val="24"/>
          <w:szCs w:val="24"/>
        </w:rPr>
        <w:lastRenderedPageBreak/>
        <w:t>finanziari basilari, quali conti correnti e di deposito, prestiti, servizi assicurativi e di pagamento), il 4,4</w:t>
      </w:r>
      <w:r>
        <w:rPr>
          <w:rFonts w:ascii="Arial" w:hAnsi="Arial" w:cs="Arial"/>
          <w:iCs/>
          <w:sz w:val="24"/>
          <w:szCs w:val="24"/>
        </w:rPr>
        <w:t>%</w:t>
      </w:r>
      <w:r w:rsidRPr="001337E9">
        <w:rPr>
          <w:rFonts w:ascii="Arial" w:hAnsi="Arial" w:cs="Arial"/>
          <w:iCs/>
          <w:sz w:val="24"/>
          <w:szCs w:val="24"/>
        </w:rPr>
        <w:t xml:space="preserve"> delle famiglie italiane</w:t>
      </w:r>
      <w:r>
        <w:rPr>
          <w:rFonts w:ascii="Arial" w:hAnsi="Arial" w:cs="Arial"/>
          <w:iCs/>
          <w:sz w:val="24"/>
          <w:szCs w:val="24"/>
        </w:rPr>
        <w:t xml:space="preserve"> ovvero</w:t>
      </w:r>
      <w:r w:rsidRPr="001337E9">
        <w:rPr>
          <w:rFonts w:ascii="Arial" w:hAnsi="Arial" w:cs="Arial"/>
          <w:iCs/>
          <w:sz w:val="24"/>
          <w:szCs w:val="24"/>
        </w:rPr>
        <w:t xml:space="preserve"> 1,1 milioni di nuclei familiari, che corrispondono a 2,3 milioni di persone</w:t>
      </w:r>
      <w:r>
        <w:rPr>
          <w:rFonts w:ascii="Arial" w:hAnsi="Arial" w:cs="Arial"/>
          <w:iCs/>
          <w:sz w:val="24"/>
          <w:szCs w:val="24"/>
        </w:rPr>
        <w:t>,</w:t>
      </w:r>
      <w:r w:rsidRPr="001337E9">
        <w:rPr>
          <w:rFonts w:ascii="Arial" w:hAnsi="Arial" w:cs="Arial"/>
          <w:iCs/>
          <w:sz w:val="24"/>
          <w:szCs w:val="24"/>
        </w:rPr>
        <w:t xml:space="preserve"> non dispone di un conto corrente o di deposito bancario, né di un conto postale. Il quadro di esclusione finanziaria è molto più grave al Sud con il 55,7% (Isole 22,5%, Nord Ovest 8,6%, Nord est 7,6%, Centro 5.6%. (Fonte Banca d’Italia</w:t>
      </w:r>
      <w:r>
        <w:rPr>
          <w:rFonts w:ascii="Arial" w:hAnsi="Arial" w:cs="Arial"/>
          <w:iCs/>
          <w:sz w:val="24"/>
          <w:szCs w:val="24"/>
        </w:rPr>
        <w:t xml:space="preserve">, </w:t>
      </w:r>
      <w:r w:rsidRPr="001337E9">
        <w:rPr>
          <w:rFonts w:ascii="Arial" w:hAnsi="Arial" w:cs="Arial"/>
          <w:iCs/>
          <w:sz w:val="24"/>
          <w:szCs w:val="24"/>
        </w:rPr>
        <w:t>2020).</w:t>
      </w:r>
    </w:p>
    <w:p w14:paraId="4678ACA1" w14:textId="77777777" w:rsidR="00F83AF6" w:rsidRPr="001337E9" w:rsidRDefault="00F83AF6" w:rsidP="00F83AF6">
      <w:pPr>
        <w:spacing w:line="360" w:lineRule="auto"/>
        <w:jc w:val="both"/>
        <w:rPr>
          <w:rFonts w:ascii="Arial" w:hAnsi="Arial" w:cs="Arial"/>
          <w:iCs/>
          <w:sz w:val="24"/>
          <w:szCs w:val="24"/>
        </w:rPr>
      </w:pPr>
      <w:r w:rsidRPr="001337E9">
        <w:rPr>
          <w:rFonts w:ascii="Arial" w:hAnsi="Arial" w:cs="Arial"/>
          <w:iCs/>
          <w:sz w:val="24"/>
          <w:szCs w:val="24"/>
        </w:rPr>
        <w:t>Nel 2022, gli sportelli bancari attivi in Italia erano 20.986.</w:t>
      </w:r>
    </w:p>
    <w:p w14:paraId="1E8364CC" w14:textId="77777777" w:rsidR="00F83AF6" w:rsidRPr="001337E9" w:rsidRDefault="00F83AF6" w:rsidP="00F83AF6">
      <w:pPr>
        <w:spacing w:line="360" w:lineRule="auto"/>
        <w:jc w:val="both"/>
        <w:rPr>
          <w:rFonts w:ascii="Arial" w:hAnsi="Arial" w:cs="Arial"/>
          <w:iCs/>
          <w:sz w:val="24"/>
          <w:szCs w:val="24"/>
        </w:rPr>
      </w:pPr>
      <w:r w:rsidRPr="001337E9">
        <w:rPr>
          <w:rFonts w:ascii="Arial" w:hAnsi="Arial" w:cs="Arial"/>
          <w:iCs/>
          <w:sz w:val="24"/>
          <w:szCs w:val="24"/>
        </w:rPr>
        <w:t xml:space="preserve">Oltre quattro milioni di italiani abitano in Comuni </w:t>
      </w:r>
      <w:r>
        <w:rPr>
          <w:rFonts w:ascii="Arial" w:hAnsi="Arial" w:cs="Arial"/>
          <w:iCs/>
          <w:sz w:val="24"/>
          <w:szCs w:val="24"/>
        </w:rPr>
        <w:t xml:space="preserve">dove non è presente alcuna </w:t>
      </w:r>
      <w:r w:rsidRPr="001337E9">
        <w:rPr>
          <w:rFonts w:ascii="Arial" w:hAnsi="Arial" w:cs="Arial"/>
          <w:iCs/>
          <w:sz w:val="24"/>
          <w:szCs w:val="24"/>
        </w:rPr>
        <w:t>filiale bancaria: il 6,3% della popolazione del Nord, il 4,6% della popolazione del Centro e il 20,4% di quella del Sud e delle Isole.</w:t>
      </w:r>
    </w:p>
    <w:p w14:paraId="31BEA473" w14:textId="77777777" w:rsidR="00F83AF6" w:rsidRPr="001337E9" w:rsidRDefault="00F83AF6" w:rsidP="00F83AF6">
      <w:pPr>
        <w:spacing w:line="360" w:lineRule="auto"/>
        <w:jc w:val="both"/>
        <w:rPr>
          <w:rFonts w:ascii="Arial" w:hAnsi="Arial" w:cs="Arial"/>
          <w:iCs/>
          <w:sz w:val="24"/>
          <w:szCs w:val="24"/>
        </w:rPr>
      </w:pPr>
      <w:r w:rsidRPr="001337E9">
        <w:rPr>
          <w:rFonts w:ascii="Arial" w:hAnsi="Arial" w:cs="Arial"/>
          <w:iCs/>
          <w:sz w:val="24"/>
          <w:szCs w:val="24"/>
        </w:rPr>
        <w:t>Soltanto il 45% della clientela sfrutta i canali digitali delle banche.</w:t>
      </w:r>
    </w:p>
    <w:p w14:paraId="79B7AE69" w14:textId="77777777" w:rsidR="00F83AF6" w:rsidRDefault="00F83AF6" w:rsidP="00F83AF6">
      <w:pPr>
        <w:spacing w:line="360" w:lineRule="auto"/>
        <w:jc w:val="both"/>
        <w:rPr>
          <w:rFonts w:ascii="Arial" w:hAnsi="Arial" w:cs="Arial"/>
          <w:iCs/>
          <w:sz w:val="24"/>
          <w:szCs w:val="24"/>
        </w:rPr>
      </w:pPr>
      <w:r w:rsidRPr="001337E9">
        <w:rPr>
          <w:rFonts w:ascii="Arial" w:hAnsi="Arial" w:cs="Arial"/>
          <w:iCs/>
          <w:sz w:val="24"/>
          <w:szCs w:val="24"/>
        </w:rPr>
        <w:t xml:space="preserve">Per </w:t>
      </w:r>
      <w:r>
        <w:rPr>
          <w:rFonts w:ascii="Arial" w:hAnsi="Arial" w:cs="Arial"/>
          <w:iCs/>
          <w:sz w:val="24"/>
          <w:szCs w:val="24"/>
        </w:rPr>
        <w:t>quanto attiene al</w:t>
      </w:r>
      <w:r w:rsidRPr="001337E9">
        <w:rPr>
          <w:rFonts w:ascii="Arial" w:hAnsi="Arial" w:cs="Arial"/>
          <w:iCs/>
          <w:sz w:val="24"/>
          <w:szCs w:val="24"/>
        </w:rPr>
        <w:t xml:space="preserve">le attività di microcredito in Italia, </w:t>
      </w:r>
      <w:r>
        <w:rPr>
          <w:rFonts w:ascii="Arial" w:hAnsi="Arial" w:cs="Arial"/>
          <w:iCs/>
          <w:sz w:val="24"/>
          <w:szCs w:val="24"/>
        </w:rPr>
        <w:t>la tabella</w:t>
      </w:r>
      <w:r w:rsidRPr="001337E9">
        <w:rPr>
          <w:rFonts w:ascii="Arial" w:hAnsi="Arial" w:cs="Arial"/>
          <w:iCs/>
          <w:sz w:val="24"/>
          <w:szCs w:val="24"/>
        </w:rPr>
        <w:t xml:space="preserve"> sottostante dettaglia le operazioni realizzate dal lavoro di promozione di 130 operatori nei confronti di 15.679 beneficiari, per un ammontare complessivo di circa 214 milioni di euro (Fonte: Fondazione Finanza Etica</w:t>
      </w:r>
      <w:r>
        <w:rPr>
          <w:rFonts w:ascii="Arial" w:hAnsi="Arial" w:cs="Arial"/>
          <w:iCs/>
          <w:sz w:val="24"/>
          <w:szCs w:val="24"/>
        </w:rPr>
        <w:t>, Rapporto sull’I</w:t>
      </w:r>
      <w:r w:rsidRPr="001337E9">
        <w:rPr>
          <w:rFonts w:ascii="Arial" w:hAnsi="Arial" w:cs="Arial"/>
          <w:iCs/>
          <w:sz w:val="24"/>
          <w:szCs w:val="24"/>
        </w:rPr>
        <w:t>nclusione finanziaria e Microcredito</w:t>
      </w:r>
      <w:r>
        <w:rPr>
          <w:rFonts w:ascii="Arial" w:hAnsi="Arial" w:cs="Arial"/>
          <w:iCs/>
          <w:sz w:val="24"/>
          <w:szCs w:val="24"/>
        </w:rPr>
        <w:t xml:space="preserve"> </w:t>
      </w:r>
      <w:r w:rsidRPr="001337E9">
        <w:rPr>
          <w:rFonts w:ascii="Arial" w:hAnsi="Arial" w:cs="Arial"/>
          <w:iCs/>
          <w:sz w:val="24"/>
          <w:szCs w:val="24"/>
        </w:rPr>
        <w:t xml:space="preserve">– </w:t>
      </w:r>
      <w:r>
        <w:rPr>
          <w:rFonts w:ascii="Arial" w:hAnsi="Arial" w:cs="Arial"/>
          <w:iCs/>
          <w:sz w:val="24"/>
          <w:szCs w:val="24"/>
        </w:rPr>
        <w:t>R</w:t>
      </w:r>
      <w:r w:rsidRPr="001337E9">
        <w:rPr>
          <w:rFonts w:ascii="Arial" w:hAnsi="Arial" w:cs="Arial"/>
          <w:iCs/>
          <w:sz w:val="24"/>
          <w:szCs w:val="24"/>
        </w:rPr>
        <w:t>apporto 2022)</w:t>
      </w:r>
      <w:r>
        <w:rPr>
          <w:rFonts w:ascii="Arial" w:hAnsi="Arial" w:cs="Arial"/>
          <w:iCs/>
          <w:sz w:val="24"/>
          <w:szCs w:val="24"/>
        </w:rPr>
        <w:t>.</w:t>
      </w:r>
    </w:p>
    <w:p w14:paraId="16AADBCC" w14:textId="77777777" w:rsidR="00F83AF6" w:rsidRDefault="00F83AF6" w:rsidP="00F83AF6">
      <w:pPr>
        <w:spacing w:line="360" w:lineRule="auto"/>
        <w:jc w:val="center"/>
        <w:rPr>
          <w:rFonts w:ascii="Arial" w:hAnsi="Arial" w:cs="Arial"/>
          <w:iCs/>
          <w:sz w:val="19"/>
          <w:szCs w:val="19"/>
        </w:rPr>
      </w:pPr>
      <w:r w:rsidRPr="001337E9">
        <w:rPr>
          <w:rFonts w:ascii="Arial" w:hAnsi="Arial" w:cs="Arial"/>
          <w:noProof/>
          <w:lang w:eastAsia="it-IT"/>
        </w:rPr>
        <w:lastRenderedPageBreak/>
        <w:drawing>
          <wp:inline distT="0" distB="0" distL="0" distR="0" wp14:anchorId="54463CAC" wp14:editId="259268F4">
            <wp:extent cx="5905141" cy="6182338"/>
            <wp:effectExtent l="0" t="0" r="635" b="9525"/>
            <wp:docPr id="1430765803" name="Immagine 1" descr="Immagine che contiene testo, schermata, numero,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834806" name="Immagine 1" descr="Immagine che contiene testo, schermata, numero, Parallelo&#10;&#10;Descrizione generata automaticamente"/>
                    <pic:cNvPicPr/>
                  </pic:nvPicPr>
                  <pic:blipFill>
                    <a:blip r:embed="rId41"/>
                    <a:stretch>
                      <a:fillRect/>
                    </a:stretch>
                  </pic:blipFill>
                  <pic:spPr>
                    <a:xfrm>
                      <a:off x="0" y="0"/>
                      <a:ext cx="5918579" cy="6196406"/>
                    </a:xfrm>
                    <a:prstGeom prst="rect">
                      <a:avLst/>
                    </a:prstGeom>
                  </pic:spPr>
                </pic:pic>
              </a:graphicData>
            </a:graphic>
          </wp:inline>
        </w:drawing>
      </w:r>
      <w:r w:rsidRPr="001A27A2">
        <w:rPr>
          <w:rFonts w:ascii="Arial" w:hAnsi="Arial" w:cs="Arial"/>
          <w:iCs/>
          <w:sz w:val="19"/>
          <w:szCs w:val="19"/>
        </w:rPr>
        <w:t>Fonte: Fondazione Finanza Etica, 4° Rapporto sull’Inclusione finanziaria e 16° Rapporto sul Microcredito in Italia.</w:t>
      </w:r>
    </w:p>
    <w:p w14:paraId="33BED915" w14:textId="77777777" w:rsidR="00F83AF6" w:rsidRPr="00227F12" w:rsidRDefault="00F83AF6" w:rsidP="00F83AF6">
      <w:pPr>
        <w:spacing w:after="0" w:line="360" w:lineRule="auto"/>
        <w:jc w:val="both"/>
        <w:rPr>
          <w:rFonts w:ascii="Arial" w:hAnsi="Arial" w:cs="Arial"/>
          <w:iCs/>
          <w:sz w:val="24"/>
          <w:szCs w:val="24"/>
        </w:rPr>
      </w:pPr>
    </w:p>
    <w:p w14:paraId="3B9AC868" w14:textId="77777777" w:rsidR="00F83AF6" w:rsidRPr="001337E9" w:rsidRDefault="00F83AF6" w:rsidP="00F83AF6">
      <w:pPr>
        <w:spacing w:before="160" w:line="360" w:lineRule="auto"/>
        <w:jc w:val="both"/>
        <w:rPr>
          <w:rFonts w:ascii="Arial" w:hAnsi="Arial" w:cs="Arial"/>
          <w:iCs/>
          <w:sz w:val="24"/>
          <w:szCs w:val="24"/>
        </w:rPr>
      </w:pPr>
      <w:r w:rsidRPr="001337E9">
        <w:rPr>
          <w:rFonts w:ascii="Arial" w:hAnsi="Arial" w:cs="Arial"/>
          <w:iCs/>
          <w:sz w:val="24"/>
          <w:szCs w:val="24"/>
        </w:rPr>
        <w:t>La distribuzione dei 130 programmi di microcredito in base all’ambito territoriale è riportata nel grafico 2.1, mentre la distribuzione dei 15.679 prestiti è mostrata nel grafico 2.2 (Fonte: Fondazione Finanza Etica</w:t>
      </w:r>
      <w:r>
        <w:rPr>
          <w:rFonts w:ascii="Arial" w:hAnsi="Arial" w:cs="Arial"/>
          <w:iCs/>
          <w:sz w:val="24"/>
          <w:szCs w:val="24"/>
        </w:rPr>
        <w:t>, Rapporto sull’</w:t>
      </w:r>
      <w:r w:rsidRPr="001337E9">
        <w:rPr>
          <w:rFonts w:ascii="Arial" w:hAnsi="Arial" w:cs="Arial"/>
          <w:iCs/>
          <w:sz w:val="24"/>
          <w:szCs w:val="24"/>
        </w:rPr>
        <w:t xml:space="preserve">Inclusione finanziaria e Microcredito – </w:t>
      </w:r>
      <w:r>
        <w:rPr>
          <w:rFonts w:ascii="Arial" w:hAnsi="Arial" w:cs="Arial"/>
          <w:iCs/>
          <w:sz w:val="24"/>
          <w:szCs w:val="24"/>
        </w:rPr>
        <w:t>R</w:t>
      </w:r>
      <w:r w:rsidRPr="001337E9">
        <w:rPr>
          <w:rFonts w:ascii="Arial" w:hAnsi="Arial" w:cs="Arial"/>
          <w:iCs/>
          <w:sz w:val="24"/>
          <w:szCs w:val="24"/>
        </w:rPr>
        <w:t>apporto 2022).</w:t>
      </w:r>
    </w:p>
    <w:p w14:paraId="3C070616" w14:textId="77777777" w:rsidR="00F83AF6" w:rsidRPr="001337E9" w:rsidRDefault="00F83AF6" w:rsidP="00F83AF6">
      <w:pPr>
        <w:spacing w:line="360" w:lineRule="auto"/>
        <w:jc w:val="center"/>
        <w:rPr>
          <w:rFonts w:ascii="Arial" w:hAnsi="Arial" w:cs="Arial"/>
          <w:iCs/>
          <w:sz w:val="24"/>
          <w:szCs w:val="24"/>
        </w:rPr>
      </w:pPr>
      <w:r w:rsidRPr="001337E9">
        <w:rPr>
          <w:rFonts w:ascii="Arial" w:hAnsi="Arial" w:cs="Arial"/>
          <w:noProof/>
          <w:lang w:eastAsia="it-IT"/>
        </w:rPr>
        <w:lastRenderedPageBreak/>
        <w:drawing>
          <wp:inline distT="0" distB="0" distL="0" distR="0" wp14:anchorId="7CD123A4" wp14:editId="7E5143F5">
            <wp:extent cx="5400000" cy="5374800"/>
            <wp:effectExtent l="0" t="0" r="0" b="0"/>
            <wp:docPr id="1534497159" name="Immagine 1" descr="Immagine che contiene testo, schermata, Parallelo,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950562" name="Immagine 1" descr="Immagine che contiene testo, schermata, Parallelo, diagramma&#10;&#10;Descrizione generata automaticamente"/>
                    <pic:cNvPicPr/>
                  </pic:nvPicPr>
                  <pic:blipFill rotWithShape="1">
                    <a:blip r:embed="rId42"/>
                    <a:srcRect l="4306" t="7823" r="1896" b="12261"/>
                    <a:stretch/>
                  </pic:blipFill>
                  <pic:spPr bwMode="auto">
                    <a:xfrm>
                      <a:off x="0" y="0"/>
                      <a:ext cx="5400000" cy="5374800"/>
                    </a:xfrm>
                    <a:prstGeom prst="rect">
                      <a:avLst/>
                    </a:prstGeom>
                    <a:ln>
                      <a:noFill/>
                    </a:ln>
                    <a:extLst>
                      <a:ext uri="{53640926-AAD7-44D8-BBD7-CCE9431645EC}">
                        <a14:shadowObscured xmlns:a14="http://schemas.microsoft.com/office/drawing/2010/main"/>
                      </a:ext>
                    </a:extLst>
                  </pic:spPr>
                </pic:pic>
              </a:graphicData>
            </a:graphic>
          </wp:inline>
        </w:drawing>
      </w:r>
    </w:p>
    <w:p w14:paraId="74815EB1" w14:textId="77777777" w:rsidR="00F83AF6" w:rsidRPr="001A27A2" w:rsidRDefault="00F83AF6" w:rsidP="00F83AF6">
      <w:pPr>
        <w:spacing w:line="360" w:lineRule="auto"/>
        <w:jc w:val="center"/>
        <w:rPr>
          <w:rFonts w:ascii="Arial" w:hAnsi="Arial" w:cs="Arial"/>
          <w:iCs/>
          <w:sz w:val="19"/>
          <w:szCs w:val="19"/>
        </w:rPr>
      </w:pPr>
      <w:r w:rsidRPr="001A27A2">
        <w:rPr>
          <w:rFonts w:ascii="Arial" w:hAnsi="Arial" w:cs="Arial"/>
          <w:iCs/>
          <w:sz w:val="19"/>
          <w:szCs w:val="19"/>
        </w:rPr>
        <w:t>Fonte: Fondazione Finanza Etica, 4° Rapporto sull’Inclusione finanziaria e 16° Rapporto sul Microcredito in Italia.</w:t>
      </w:r>
    </w:p>
    <w:p w14:paraId="221AB14D" w14:textId="77777777" w:rsidR="00F83AF6" w:rsidRDefault="00F83AF6" w:rsidP="00F83AF6">
      <w:pPr>
        <w:spacing w:line="360" w:lineRule="auto"/>
        <w:jc w:val="center"/>
        <w:rPr>
          <w:rFonts w:ascii="Arial" w:hAnsi="Arial" w:cs="Arial"/>
          <w:iCs/>
          <w:sz w:val="19"/>
          <w:szCs w:val="19"/>
        </w:rPr>
      </w:pPr>
      <w:r w:rsidRPr="001337E9">
        <w:rPr>
          <w:rFonts w:ascii="Arial" w:hAnsi="Arial" w:cs="Arial"/>
          <w:noProof/>
          <w:lang w:eastAsia="it-IT"/>
        </w:rPr>
        <w:drawing>
          <wp:inline distT="0" distB="0" distL="0" distR="0" wp14:anchorId="0EA9181A" wp14:editId="080E47EF">
            <wp:extent cx="5040000" cy="2750400"/>
            <wp:effectExtent l="0" t="0" r="0" b="0"/>
            <wp:docPr id="1946954142" name="Immagine 1" descr="Immagine che contiene testo, schermata, Carattere,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931283" name="Immagine 1" descr="Immagine che contiene testo, schermata, Carattere, linea&#10;&#10;Descrizione generata automaticamente"/>
                    <pic:cNvPicPr/>
                  </pic:nvPicPr>
                  <pic:blipFill rotWithShape="1">
                    <a:blip r:embed="rId43"/>
                    <a:srcRect t="11803"/>
                    <a:stretch/>
                  </pic:blipFill>
                  <pic:spPr bwMode="auto">
                    <a:xfrm>
                      <a:off x="0" y="0"/>
                      <a:ext cx="5040000" cy="2750400"/>
                    </a:xfrm>
                    <a:prstGeom prst="rect">
                      <a:avLst/>
                    </a:prstGeom>
                    <a:ln>
                      <a:noFill/>
                    </a:ln>
                    <a:extLst>
                      <a:ext uri="{53640926-AAD7-44D8-BBD7-CCE9431645EC}">
                        <a14:shadowObscured xmlns:a14="http://schemas.microsoft.com/office/drawing/2010/main"/>
                      </a:ext>
                    </a:extLst>
                  </pic:spPr>
                </pic:pic>
              </a:graphicData>
            </a:graphic>
          </wp:inline>
        </w:drawing>
      </w:r>
    </w:p>
    <w:p w14:paraId="75109A55" w14:textId="77777777" w:rsidR="00F83AF6" w:rsidRPr="001A27A2" w:rsidRDefault="00F83AF6" w:rsidP="00F83AF6">
      <w:pPr>
        <w:spacing w:line="360" w:lineRule="auto"/>
        <w:jc w:val="center"/>
        <w:rPr>
          <w:rFonts w:ascii="Arial" w:hAnsi="Arial" w:cs="Arial"/>
          <w:iCs/>
          <w:sz w:val="19"/>
          <w:szCs w:val="19"/>
        </w:rPr>
      </w:pPr>
      <w:r w:rsidRPr="001A27A2">
        <w:rPr>
          <w:rFonts w:ascii="Arial" w:hAnsi="Arial" w:cs="Arial"/>
          <w:iCs/>
          <w:sz w:val="19"/>
          <w:szCs w:val="19"/>
        </w:rPr>
        <w:t>Fonte: Fondazione Finanza Etica, 4° Rapporto sull’Inclusione finanziaria e 16° Rapporto sul Microcredito in Italia.</w:t>
      </w:r>
    </w:p>
    <w:p w14:paraId="18FD9409" w14:textId="77777777" w:rsidR="00F83AF6" w:rsidRDefault="00F83AF6" w:rsidP="00F83AF6">
      <w:pPr>
        <w:spacing w:after="0" w:line="360" w:lineRule="auto"/>
        <w:jc w:val="both"/>
        <w:rPr>
          <w:rFonts w:ascii="Arial" w:hAnsi="Arial" w:cs="Arial"/>
          <w:iCs/>
          <w:sz w:val="24"/>
          <w:szCs w:val="24"/>
        </w:rPr>
      </w:pPr>
      <w:r w:rsidRPr="001337E9">
        <w:rPr>
          <w:rFonts w:ascii="Arial" w:hAnsi="Arial" w:cs="Arial"/>
          <w:iCs/>
          <w:sz w:val="24"/>
          <w:szCs w:val="24"/>
        </w:rPr>
        <w:lastRenderedPageBreak/>
        <w:t>Nel grafico successivo 2.4 sono riportati i numeri di prestito per classe dimensionale.</w:t>
      </w:r>
    </w:p>
    <w:p w14:paraId="5324D923" w14:textId="77777777" w:rsidR="00F83AF6" w:rsidRPr="009724DC" w:rsidRDefault="00F83AF6" w:rsidP="00F83AF6">
      <w:pPr>
        <w:spacing w:after="0" w:line="360" w:lineRule="auto"/>
        <w:jc w:val="both"/>
        <w:rPr>
          <w:rFonts w:ascii="Arial" w:hAnsi="Arial" w:cs="Arial"/>
          <w:iCs/>
          <w:sz w:val="20"/>
          <w:szCs w:val="20"/>
        </w:rPr>
      </w:pPr>
    </w:p>
    <w:p w14:paraId="47AAF293" w14:textId="77777777" w:rsidR="00F83AF6" w:rsidRDefault="00F83AF6" w:rsidP="00F83AF6">
      <w:pPr>
        <w:spacing w:line="360" w:lineRule="auto"/>
        <w:jc w:val="center"/>
        <w:rPr>
          <w:rFonts w:ascii="Arial" w:hAnsi="Arial" w:cs="Arial"/>
          <w:iCs/>
          <w:sz w:val="19"/>
          <w:szCs w:val="19"/>
        </w:rPr>
      </w:pPr>
      <w:r w:rsidRPr="001337E9">
        <w:rPr>
          <w:rFonts w:ascii="Arial" w:hAnsi="Arial" w:cs="Arial"/>
          <w:noProof/>
          <w:lang w:eastAsia="it-IT"/>
        </w:rPr>
        <w:drawing>
          <wp:inline distT="0" distB="0" distL="0" distR="0" wp14:anchorId="26EA4EED" wp14:editId="05E2AF4C">
            <wp:extent cx="5760000" cy="3420000"/>
            <wp:effectExtent l="0" t="0" r="0" b="0"/>
            <wp:docPr id="1330315518" name="Immagine 1" descr="Immagine che contiene testo, schermata, cerchi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602669" name="Immagine 1" descr="Immagine che contiene testo, schermata, cerchio, Carattere&#10;&#10;Descrizione generata automaticamente"/>
                    <pic:cNvPicPr/>
                  </pic:nvPicPr>
                  <pic:blipFill rotWithShape="1">
                    <a:blip r:embed="rId44"/>
                    <a:srcRect t="1" b="2451"/>
                    <a:stretch/>
                  </pic:blipFill>
                  <pic:spPr bwMode="auto">
                    <a:xfrm>
                      <a:off x="0" y="0"/>
                      <a:ext cx="5760000" cy="3420000"/>
                    </a:xfrm>
                    <a:prstGeom prst="rect">
                      <a:avLst/>
                    </a:prstGeom>
                    <a:ln>
                      <a:noFill/>
                    </a:ln>
                    <a:extLst>
                      <a:ext uri="{53640926-AAD7-44D8-BBD7-CCE9431645EC}">
                        <a14:shadowObscured xmlns:a14="http://schemas.microsoft.com/office/drawing/2010/main"/>
                      </a:ext>
                    </a:extLst>
                  </pic:spPr>
                </pic:pic>
              </a:graphicData>
            </a:graphic>
          </wp:inline>
        </w:drawing>
      </w:r>
    </w:p>
    <w:p w14:paraId="0428C999" w14:textId="77777777" w:rsidR="00F83AF6" w:rsidRPr="001A27A2" w:rsidRDefault="00F83AF6" w:rsidP="00F83AF6">
      <w:pPr>
        <w:spacing w:line="360" w:lineRule="auto"/>
        <w:jc w:val="center"/>
        <w:rPr>
          <w:rFonts w:ascii="Arial" w:hAnsi="Arial" w:cs="Arial"/>
          <w:iCs/>
          <w:sz w:val="19"/>
          <w:szCs w:val="19"/>
        </w:rPr>
      </w:pPr>
      <w:r w:rsidRPr="001A27A2">
        <w:rPr>
          <w:rFonts w:ascii="Arial" w:hAnsi="Arial" w:cs="Arial"/>
          <w:iCs/>
          <w:sz w:val="19"/>
          <w:szCs w:val="19"/>
        </w:rPr>
        <w:t>Fonte: Fondazione Finanza Etica, 4° Rapporto sull’Inclusione finanziaria e 16° Rapporto sul Microcredito in Italia.</w:t>
      </w:r>
    </w:p>
    <w:p w14:paraId="2BCA9E0B" w14:textId="77777777" w:rsidR="00F83AF6" w:rsidRDefault="00F83AF6" w:rsidP="00F83AF6">
      <w:pPr>
        <w:spacing w:before="240" w:after="0" w:line="360" w:lineRule="auto"/>
        <w:jc w:val="both"/>
        <w:rPr>
          <w:rFonts w:ascii="Arial" w:hAnsi="Arial" w:cs="Arial"/>
          <w:iCs/>
          <w:sz w:val="24"/>
          <w:szCs w:val="24"/>
        </w:rPr>
      </w:pPr>
      <w:r w:rsidRPr="001337E9">
        <w:rPr>
          <w:rFonts w:ascii="Arial" w:hAnsi="Arial" w:cs="Arial"/>
          <w:iCs/>
          <w:sz w:val="24"/>
          <w:szCs w:val="24"/>
        </w:rPr>
        <w:t xml:space="preserve">Infine, nell’ulteriore </w:t>
      </w:r>
      <w:r>
        <w:rPr>
          <w:rFonts w:ascii="Arial" w:hAnsi="Arial" w:cs="Arial"/>
          <w:iCs/>
          <w:sz w:val="24"/>
          <w:szCs w:val="24"/>
        </w:rPr>
        <w:t>tabella</w:t>
      </w:r>
      <w:r w:rsidRPr="001337E9">
        <w:rPr>
          <w:rFonts w:ascii="Arial" w:hAnsi="Arial" w:cs="Arial"/>
          <w:iCs/>
          <w:sz w:val="24"/>
          <w:szCs w:val="24"/>
        </w:rPr>
        <w:t xml:space="preserve">, sono riportati il numero dei programmi di prestito per le </w:t>
      </w:r>
      <w:r w:rsidRPr="00445F0D">
        <w:rPr>
          <w:rFonts w:ascii="Arial" w:hAnsi="Arial" w:cs="Arial"/>
          <w:i/>
          <w:sz w:val="24"/>
          <w:szCs w:val="24"/>
        </w:rPr>
        <w:t>startup</w:t>
      </w:r>
      <w:r w:rsidRPr="001337E9">
        <w:rPr>
          <w:rFonts w:ascii="Arial" w:hAnsi="Arial" w:cs="Arial"/>
          <w:iCs/>
          <w:sz w:val="24"/>
          <w:szCs w:val="24"/>
        </w:rPr>
        <w:t xml:space="preserve"> e il lavoro autonomo con il relativo dettaglio delle operazioni.</w:t>
      </w:r>
    </w:p>
    <w:p w14:paraId="171DCCF6" w14:textId="77777777" w:rsidR="00F83AF6" w:rsidRPr="0033572E" w:rsidRDefault="00F83AF6" w:rsidP="00F83AF6">
      <w:pPr>
        <w:spacing w:after="0" w:line="360" w:lineRule="auto"/>
        <w:jc w:val="both"/>
        <w:rPr>
          <w:rFonts w:ascii="Arial" w:hAnsi="Arial" w:cs="Arial"/>
          <w:iCs/>
          <w:sz w:val="20"/>
          <w:szCs w:val="20"/>
        </w:rPr>
      </w:pPr>
    </w:p>
    <w:p w14:paraId="6D4CBF59" w14:textId="77777777" w:rsidR="00F83AF6" w:rsidRPr="001337E9" w:rsidRDefault="00F83AF6" w:rsidP="00F83AF6">
      <w:pPr>
        <w:spacing w:line="360" w:lineRule="auto"/>
        <w:jc w:val="center"/>
        <w:rPr>
          <w:rFonts w:ascii="Arial" w:hAnsi="Arial" w:cs="Arial"/>
          <w:iCs/>
          <w:sz w:val="24"/>
          <w:szCs w:val="24"/>
        </w:rPr>
      </w:pPr>
      <w:r w:rsidRPr="001337E9">
        <w:rPr>
          <w:rFonts w:ascii="Arial" w:hAnsi="Arial" w:cs="Arial"/>
          <w:noProof/>
          <w:lang w:eastAsia="it-IT"/>
        </w:rPr>
        <w:drawing>
          <wp:inline distT="0" distB="0" distL="0" distR="0" wp14:anchorId="646B97E0" wp14:editId="0EAE5F18">
            <wp:extent cx="5758636" cy="3482340"/>
            <wp:effectExtent l="0" t="0" r="0" b="3810"/>
            <wp:docPr id="314767665" name="Immagine 1" descr="Immagine che contiene testo, schermata, numero,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559609" name="Immagine 1" descr="Immagine che contiene testo, schermata, numero, Parallelo&#10;&#10;Descrizione generata automaticamente"/>
                    <pic:cNvPicPr/>
                  </pic:nvPicPr>
                  <pic:blipFill rotWithShape="1">
                    <a:blip r:embed="rId45"/>
                    <a:srcRect t="-1" b="18705"/>
                    <a:stretch/>
                  </pic:blipFill>
                  <pic:spPr bwMode="auto">
                    <a:xfrm>
                      <a:off x="0" y="0"/>
                      <a:ext cx="5762410" cy="3484622"/>
                    </a:xfrm>
                    <a:prstGeom prst="rect">
                      <a:avLst/>
                    </a:prstGeom>
                    <a:ln>
                      <a:noFill/>
                    </a:ln>
                    <a:extLst>
                      <a:ext uri="{53640926-AAD7-44D8-BBD7-CCE9431645EC}">
                        <a14:shadowObscured xmlns:a14="http://schemas.microsoft.com/office/drawing/2010/main"/>
                      </a:ext>
                    </a:extLst>
                  </pic:spPr>
                </pic:pic>
              </a:graphicData>
            </a:graphic>
          </wp:inline>
        </w:drawing>
      </w:r>
    </w:p>
    <w:p w14:paraId="3455AC33" w14:textId="77777777" w:rsidR="00F83AF6" w:rsidRDefault="00F83AF6" w:rsidP="00F83AF6">
      <w:pPr>
        <w:tabs>
          <w:tab w:val="left" w:pos="709"/>
        </w:tabs>
        <w:spacing w:line="360" w:lineRule="auto"/>
        <w:jc w:val="center"/>
        <w:rPr>
          <w:rFonts w:ascii="Arial" w:hAnsi="Arial" w:cs="Arial"/>
          <w:b/>
          <w:sz w:val="24"/>
          <w:szCs w:val="24"/>
        </w:rPr>
      </w:pPr>
      <w:r w:rsidRPr="001A27A2">
        <w:rPr>
          <w:rFonts w:ascii="Arial" w:hAnsi="Arial" w:cs="Arial"/>
          <w:iCs/>
          <w:sz w:val="19"/>
          <w:szCs w:val="19"/>
        </w:rPr>
        <w:t>Fonte: Fondazione Finanza Etica, 4° Rapporto sull’Inclusione finanziaria e 16° Rapporto sul Microcredito in Italia.</w:t>
      </w:r>
    </w:p>
    <w:p w14:paraId="239D1579" w14:textId="77777777" w:rsidR="00077609" w:rsidRPr="006515AD" w:rsidRDefault="00077609" w:rsidP="00077609">
      <w:pPr>
        <w:tabs>
          <w:tab w:val="left" w:pos="709"/>
        </w:tabs>
        <w:spacing w:after="0" w:line="360" w:lineRule="auto"/>
        <w:ind w:left="567"/>
        <w:jc w:val="both"/>
        <w:rPr>
          <w:rFonts w:ascii="Arial" w:hAnsi="Arial" w:cs="Arial"/>
          <w:b/>
          <w:sz w:val="24"/>
          <w:szCs w:val="24"/>
        </w:rPr>
      </w:pPr>
      <w:r>
        <w:rPr>
          <w:rFonts w:ascii="Arial" w:hAnsi="Arial" w:cs="Arial"/>
          <w:b/>
          <w:sz w:val="24"/>
          <w:szCs w:val="24"/>
        </w:rPr>
        <w:lastRenderedPageBreak/>
        <w:t xml:space="preserve">4.b. </w:t>
      </w:r>
      <w:r w:rsidRPr="006515AD">
        <w:rPr>
          <w:rFonts w:ascii="Arial" w:hAnsi="Arial" w:cs="Arial"/>
          <w:b/>
          <w:sz w:val="24"/>
          <w:szCs w:val="24"/>
        </w:rPr>
        <w:t>LA CRITICITA’ DELLE RISORSE</w:t>
      </w:r>
    </w:p>
    <w:p w14:paraId="5C4D765B" w14:textId="77777777" w:rsidR="00077609" w:rsidRDefault="00077609" w:rsidP="00077609">
      <w:pPr>
        <w:spacing w:after="0" w:line="360" w:lineRule="auto"/>
        <w:ind w:firstLine="567"/>
        <w:jc w:val="both"/>
        <w:rPr>
          <w:rFonts w:ascii="Arial" w:hAnsi="Arial" w:cs="Arial"/>
          <w:sz w:val="24"/>
          <w:szCs w:val="24"/>
        </w:rPr>
      </w:pPr>
    </w:p>
    <w:p w14:paraId="22C27221" w14:textId="77777777" w:rsidR="00077609" w:rsidRDefault="00077609" w:rsidP="008804F0">
      <w:pPr>
        <w:spacing w:line="360" w:lineRule="auto"/>
        <w:ind w:firstLine="993"/>
        <w:jc w:val="both"/>
        <w:rPr>
          <w:rFonts w:ascii="Arial" w:hAnsi="Arial" w:cs="Arial"/>
          <w:sz w:val="24"/>
          <w:szCs w:val="24"/>
        </w:rPr>
      </w:pPr>
      <w:r>
        <w:rPr>
          <w:rFonts w:ascii="Arial" w:hAnsi="Arial" w:cs="Arial"/>
          <w:sz w:val="24"/>
          <w:szCs w:val="24"/>
        </w:rPr>
        <w:t xml:space="preserve">Le Istituzioni di microfinanza sono nate essenzialmente con lo scopo originario di sostenere aiuti finanziari fondati, quasi esclusivamente, </w:t>
      </w:r>
      <w:r w:rsidRPr="0041025E">
        <w:rPr>
          <w:rFonts w:ascii="Arial" w:hAnsi="Arial" w:cs="Arial"/>
          <w:sz w:val="24"/>
          <w:szCs w:val="24"/>
        </w:rPr>
        <w:t>sull</w:t>
      </w:r>
      <w:r>
        <w:rPr>
          <w:rFonts w:ascii="Arial" w:hAnsi="Arial" w:cs="Arial"/>
          <w:sz w:val="24"/>
          <w:szCs w:val="24"/>
        </w:rPr>
        <w:t>’erogazione di prestiti per le persone povere, per soddisfare programmi umanitari e, in genere, per lo sviluppo locale.</w:t>
      </w:r>
    </w:p>
    <w:p w14:paraId="18A11323"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 xml:space="preserve">La creazione e la diffusione nel tempo delle MFI, soprattutto nei Paesi in via di sviluppo su iniziativa di organizzazione statali, nonostante la nascita di diverse ONG e l’istituzione di fondazioni e associazioni con scopi filantropici e caritatevoli che ne assicurano i finanziamenti, non garantisce alle stesse </w:t>
      </w:r>
      <w:proofErr w:type="spellStart"/>
      <w:r w:rsidRPr="00752790">
        <w:rPr>
          <w:rFonts w:ascii="Arial" w:hAnsi="Arial" w:cs="Arial"/>
          <w:i/>
          <w:iCs/>
          <w:sz w:val="24"/>
          <w:szCs w:val="24"/>
        </w:rPr>
        <w:t>Microfinance</w:t>
      </w:r>
      <w:proofErr w:type="spellEnd"/>
      <w:r w:rsidRPr="00752790">
        <w:rPr>
          <w:rFonts w:ascii="Arial" w:hAnsi="Arial" w:cs="Arial"/>
          <w:i/>
          <w:iCs/>
          <w:sz w:val="24"/>
          <w:szCs w:val="24"/>
        </w:rPr>
        <w:t xml:space="preserve"> Institutions</w:t>
      </w:r>
      <w:r>
        <w:rPr>
          <w:rFonts w:ascii="Arial" w:hAnsi="Arial" w:cs="Arial"/>
          <w:sz w:val="24"/>
          <w:szCs w:val="24"/>
        </w:rPr>
        <w:t>, la possibilità di sostenere le iniziative che perseguitano in piena autonomia finanziaria. Infatti, uno dei principali problemi per la crescita del microcredito è legato alla sostenibilità dei progetti delle Istituzioni di Microfinanza (MFI)</w:t>
      </w:r>
      <w:r>
        <w:rPr>
          <w:rStyle w:val="Rimandonotaapidipagina"/>
          <w:rFonts w:ascii="Arial" w:hAnsi="Arial" w:cs="Arial"/>
          <w:sz w:val="24"/>
          <w:szCs w:val="24"/>
        </w:rPr>
        <w:footnoteReference w:id="100"/>
      </w:r>
      <w:r>
        <w:rPr>
          <w:rFonts w:ascii="Arial" w:hAnsi="Arial" w:cs="Arial"/>
          <w:sz w:val="24"/>
          <w:szCs w:val="24"/>
        </w:rPr>
        <w:t xml:space="preserve">, cioè alla capacità delle stesse </w:t>
      </w:r>
      <w:r w:rsidRPr="00A549A7">
        <w:rPr>
          <w:rFonts w:ascii="Arial" w:hAnsi="Arial" w:cs="Arial"/>
          <w:sz w:val="24"/>
          <w:szCs w:val="24"/>
        </w:rPr>
        <w:t>di</w:t>
      </w:r>
      <w:r>
        <w:rPr>
          <w:rFonts w:ascii="Arial" w:hAnsi="Arial" w:cs="Arial"/>
          <w:sz w:val="24"/>
          <w:szCs w:val="24"/>
        </w:rPr>
        <w:t xml:space="preserve"> perseguire </w:t>
      </w:r>
      <w:r w:rsidRPr="00A549A7">
        <w:rPr>
          <w:rFonts w:ascii="Arial" w:hAnsi="Arial" w:cs="Arial"/>
          <w:sz w:val="24"/>
          <w:szCs w:val="24"/>
        </w:rPr>
        <w:t xml:space="preserve">la </w:t>
      </w:r>
      <w:r w:rsidRPr="00FB2351">
        <w:rPr>
          <w:rFonts w:ascii="Arial" w:hAnsi="Arial" w:cs="Arial"/>
          <w:i/>
          <w:iCs/>
          <w:sz w:val="24"/>
          <w:szCs w:val="24"/>
        </w:rPr>
        <w:t>mission</w:t>
      </w:r>
      <w:r>
        <w:rPr>
          <w:rFonts w:ascii="Arial" w:hAnsi="Arial" w:cs="Arial"/>
          <w:sz w:val="24"/>
          <w:szCs w:val="24"/>
        </w:rPr>
        <w:t xml:space="preserve"> in piena autonomia e con risorse proprie, affrancandosi dalla dipendenza dei finanziamenti che ricevono a titolo gratuito (</w:t>
      </w:r>
      <w:r w:rsidRPr="00A549A7">
        <w:rPr>
          <w:rFonts w:ascii="Arial" w:hAnsi="Arial" w:cs="Arial"/>
          <w:sz w:val="24"/>
          <w:szCs w:val="24"/>
        </w:rPr>
        <w:t>sovvenzioni</w:t>
      </w:r>
      <w:r>
        <w:rPr>
          <w:rFonts w:ascii="Arial" w:hAnsi="Arial" w:cs="Arial"/>
          <w:sz w:val="24"/>
          <w:szCs w:val="24"/>
        </w:rPr>
        <w:t xml:space="preserve"> o donazioni) e da prestiti concessi a condizioni agevolate, costituiti, essenzialmente, da:</w:t>
      </w:r>
    </w:p>
    <w:p w14:paraId="7667F390" w14:textId="77777777" w:rsidR="00077609" w:rsidRPr="001E2FB4" w:rsidRDefault="00077609" w:rsidP="00077609">
      <w:pPr>
        <w:spacing w:line="360" w:lineRule="auto"/>
        <w:jc w:val="both"/>
        <w:rPr>
          <w:rFonts w:ascii="Arial" w:hAnsi="Arial" w:cs="Arial"/>
          <w:sz w:val="24"/>
          <w:szCs w:val="24"/>
        </w:rPr>
      </w:pPr>
      <w:r w:rsidRPr="001E2FB4">
        <w:rPr>
          <w:rFonts w:ascii="Arial" w:hAnsi="Arial" w:cs="Arial"/>
          <w:sz w:val="24"/>
          <w:szCs w:val="24"/>
        </w:rPr>
        <w:t>■</w:t>
      </w:r>
      <w:r>
        <w:rPr>
          <w:rFonts w:ascii="Arial" w:hAnsi="Arial" w:cs="Arial"/>
          <w:sz w:val="24"/>
          <w:szCs w:val="24"/>
        </w:rPr>
        <w:t xml:space="preserve"> s</w:t>
      </w:r>
      <w:r w:rsidRPr="001E2FB4">
        <w:rPr>
          <w:rFonts w:ascii="Arial" w:hAnsi="Arial" w:cs="Arial"/>
          <w:sz w:val="24"/>
          <w:szCs w:val="24"/>
        </w:rPr>
        <w:t>ovvenzioni per il rafforzamento delle capacità istituzionali</w:t>
      </w:r>
      <w:r>
        <w:rPr>
          <w:rFonts w:ascii="Arial" w:hAnsi="Arial" w:cs="Arial"/>
          <w:sz w:val="24"/>
          <w:szCs w:val="24"/>
        </w:rPr>
        <w:t>;</w:t>
      </w:r>
    </w:p>
    <w:p w14:paraId="0CF7D0F4" w14:textId="77777777" w:rsidR="00077609" w:rsidRPr="001E2FB4" w:rsidRDefault="00077609" w:rsidP="00077609">
      <w:pPr>
        <w:spacing w:line="360" w:lineRule="auto"/>
        <w:jc w:val="both"/>
        <w:rPr>
          <w:rFonts w:ascii="Arial" w:hAnsi="Arial" w:cs="Arial"/>
          <w:sz w:val="24"/>
          <w:szCs w:val="24"/>
        </w:rPr>
      </w:pPr>
      <w:r w:rsidRPr="001E2FB4">
        <w:rPr>
          <w:rFonts w:ascii="Arial" w:hAnsi="Arial" w:cs="Arial"/>
          <w:sz w:val="24"/>
          <w:szCs w:val="24"/>
        </w:rPr>
        <w:t xml:space="preserve">■ </w:t>
      </w:r>
      <w:r>
        <w:rPr>
          <w:rFonts w:ascii="Arial" w:hAnsi="Arial" w:cs="Arial"/>
          <w:sz w:val="24"/>
          <w:szCs w:val="24"/>
        </w:rPr>
        <w:t>c</w:t>
      </w:r>
      <w:r w:rsidRPr="001E2FB4">
        <w:rPr>
          <w:rFonts w:ascii="Arial" w:hAnsi="Arial" w:cs="Arial"/>
          <w:sz w:val="24"/>
          <w:szCs w:val="24"/>
        </w:rPr>
        <w:t>ontributi per coprire carenze operative</w:t>
      </w:r>
      <w:r>
        <w:rPr>
          <w:rFonts w:ascii="Arial" w:hAnsi="Arial" w:cs="Arial"/>
          <w:sz w:val="24"/>
          <w:szCs w:val="24"/>
        </w:rPr>
        <w:t>:</w:t>
      </w:r>
    </w:p>
    <w:p w14:paraId="1A17DB03" w14:textId="77777777" w:rsidR="00077609" w:rsidRPr="001E2FB4" w:rsidRDefault="00077609" w:rsidP="00077609">
      <w:pPr>
        <w:spacing w:line="360" w:lineRule="auto"/>
        <w:jc w:val="both"/>
        <w:rPr>
          <w:rFonts w:ascii="Arial" w:hAnsi="Arial" w:cs="Arial"/>
          <w:sz w:val="24"/>
          <w:szCs w:val="24"/>
        </w:rPr>
      </w:pPr>
      <w:r w:rsidRPr="001E2FB4">
        <w:rPr>
          <w:rFonts w:ascii="Arial" w:hAnsi="Arial" w:cs="Arial"/>
          <w:sz w:val="24"/>
          <w:szCs w:val="24"/>
        </w:rPr>
        <w:t xml:space="preserve">■ </w:t>
      </w:r>
      <w:r>
        <w:rPr>
          <w:rFonts w:ascii="Arial" w:hAnsi="Arial" w:cs="Arial"/>
          <w:sz w:val="24"/>
          <w:szCs w:val="24"/>
        </w:rPr>
        <w:t>c</w:t>
      </w:r>
      <w:r w:rsidRPr="001E2FB4">
        <w:rPr>
          <w:rFonts w:ascii="Arial" w:hAnsi="Arial" w:cs="Arial"/>
          <w:sz w:val="24"/>
          <w:szCs w:val="24"/>
        </w:rPr>
        <w:t>ontributi per prestiti in conto capitale o capitale</w:t>
      </w:r>
      <w:r>
        <w:rPr>
          <w:rFonts w:ascii="Arial" w:hAnsi="Arial" w:cs="Arial"/>
          <w:sz w:val="24"/>
          <w:szCs w:val="24"/>
        </w:rPr>
        <w:t>;</w:t>
      </w:r>
    </w:p>
    <w:p w14:paraId="2039C8AD" w14:textId="77777777" w:rsidR="00077609" w:rsidRPr="001E2FB4" w:rsidRDefault="00077609" w:rsidP="00077609">
      <w:pPr>
        <w:spacing w:line="360" w:lineRule="auto"/>
        <w:jc w:val="both"/>
        <w:rPr>
          <w:rFonts w:ascii="Arial" w:hAnsi="Arial" w:cs="Arial"/>
          <w:sz w:val="24"/>
          <w:szCs w:val="24"/>
        </w:rPr>
      </w:pPr>
      <w:r w:rsidRPr="001E2FB4">
        <w:rPr>
          <w:rFonts w:ascii="Arial" w:hAnsi="Arial" w:cs="Arial"/>
          <w:sz w:val="24"/>
          <w:szCs w:val="24"/>
        </w:rPr>
        <w:t xml:space="preserve">■ </w:t>
      </w:r>
      <w:r>
        <w:rPr>
          <w:rFonts w:ascii="Arial" w:hAnsi="Arial" w:cs="Arial"/>
          <w:sz w:val="24"/>
          <w:szCs w:val="24"/>
        </w:rPr>
        <w:t>p</w:t>
      </w:r>
      <w:r w:rsidRPr="001E2FB4">
        <w:rPr>
          <w:rFonts w:ascii="Arial" w:hAnsi="Arial" w:cs="Arial"/>
          <w:sz w:val="24"/>
          <w:szCs w:val="24"/>
        </w:rPr>
        <w:t>restiti agevolati per finanziare i prestiti</w:t>
      </w:r>
      <w:r>
        <w:rPr>
          <w:rFonts w:ascii="Arial" w:hAnsi="Arial" w:cs="Arial"/>
          <w:sz w:val="24"/>
          <w:szCs w:val="24"/>
        </w:rPr>
        <w:t>;</w:t>
      </w:r>
    </w:p>
    <w:p w14:paraId="63D44C5E" w14:textId="77777777" w:rsidR="00077609" w:rsidRPr="001E2FB4" w:rsidRDefault="00077609" w:rsidP="00077609">
      <w:pPr>
        <w:spacing w:line="360" w:lineRule="auto"/>
        <w:jc w:val="both"/>
        <w:rPr>
          <w:rFonts w:ascii="Arial" w:hAnsi="Arial" w:cs="Arial"/>
          <w:sz w:val="24"/>
          <w:szCs w:val="24"/>
        </w:rPr>
      </w:pPr>
      <w:r w:rsidRPr="001E2FB4">
        <w:rPr>
          <w:rFonts w:ascii="Arial" w:hAnsi="Arial" w:cs="Arial"/>
          <w:sz w:val="24"/>
          <w:szCs w:val="24"/>
        </w:rPr>
        <w:t xml:space="preserve">■ </w:t>
      </w:r>
      <w:r>
        <w:rPr>
          <w:rFonts w:ascii="Arial" w:hAnsi="Arial" w:cs="Arial"/>
          <w:sz w:val="24"/>
          <w:szCs w:val="24"/>
        </w:rPr>
        <w:t>l</w:t>
      </w:r>
      <w:r w:rsidRPr="001E2FB4">
        <w:rPr>
          <w:rFonts w:ascii="Arial" w:hAnsi="Arial" w:cs="Arial"/>
          <w:sz w:val="24"/>
          <w:szCs w:val="24"/>
        </w:rPr>
        <w:t>inee di credito</w:t>
      </w:r>
      <w:r>
        <w:rPr>
          <w:rFonts w:ascii="Arial" w:hAnsi="Arial" w:cs="Arial"/>
          <w:sz w:val="24"/>
          <w:szCs w:val="24"/>
        </w:rPr>
        <w:t>;</w:t>
      </w:r>
    </w:p>
    <w:p w14:paraId="6282A2D7" w14:textId="77777777" w:rsidR="00077609" w:rsidRDefault="00077609" w:rsidP="00077609">
      <w:pPr>
        <w:spacing w:line="360" w:lineRule="auto"/>
        <w:jc w:val="both"/>
        <w:rPr>
          <w:rFonts w:ascii="Arial" w:hAnsi="Arial" w:cs="Arial"/>
          <w:sz w:val="24"/>
          <w:szCs w:val="24"/>
        </w:rPr>
      </w:pPr>
      <w:r w:rsidRPr="001E2FB4">
        <w:rPr>
          <w:rFonts w:ascii="Arial" w:hAnsi="Arial" w:cs="Arial"/>
          <w:sz w:val="24"/>
          <w:szCs w:val="24"/>
        </w:rPr>
        <w:t xml:space="preserve">■ </w:t>
      </w:r>
      <w:r>
        <w:rPr>
          <w:rFonts w:ascii="Arial" w:hAnsi="Arial" w:cs="Arial"/>
          <w:sz w:val="24"/>
          <w:szCs w:val="24"/>
        </w:rPr>
        <w:t>g</w:t>
      </w:r>
      <w:r w:rsidRPr="001E2FB4">
        <w:rPr>
          <w:rFonts w:ascii="Arial" w:hAnsi="Arial" w:cs="Arial"/>
          <w:sz w:val="24"/>
          <w:szCs w:val="24"/>
        </w:rPr>
        <w:t>aranzie per fondi commerciali</w:t>
      </w:r>
      <w:r>
        <w:rPr>
          <w:rFonts w:ascii="Arial" w:hAnsi="Arial" w:cs="Arial"/>
          <w:sz w:val="24"/>
          <w:szCs w:val="24"/>
        </w:rPr>
        <w:t>,</w:t>
      </w:r>
    </w:p>
    <w:p w14:paraId="48ADF323" w14:textId="77777777" w:rsidR="00077609" w:rsidRPr="001E2FB4" w:rsidRDefault="00077609" w:rsidP="00077609">
      <w:pPr>
        <w:spacing w:line="360" w:lineRule="auto"/>
        <w:jc w:val="both"/>
        <w:rPr>
          <w:rFonts w:ascii="Arial" w:hAnsi="Arial" w:cs="Arial"/>
          <w:sz w:val="24"/>
          <w:szCs w:val="24"/>
        </w:rPr>
      </w:pPr>
      <w:r>
        <w:rPr>
          <w:rFonts w:ascii="Arial" w:hAnsi="Arial" w:cs="Arial"/>
          <w:sz w:val="24"/>
          <w:szCs w:val="24"/>
        </w:rPr>
        <w:t>oltre all’assistenza tecnica.</w:t>
      </w:r>
    </w:p>
    <w:p w14:paraId="5455682B"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 xml:space="preserve">Alle difficoltà già segnalate, si deve aggiungere la circostanza che in molti Paesi, </w:t>
      </w:r>
      <w:r w:rsidRPr="0030125E">
        <w:rPr>
          <w:rFonts w:ascii="Arial" w:hAnsi="Arial" w:cs="Arial"/>
          <w:sz w:val="24"/>
          <w:szCs w:val="24"/>
        </w:rPr>
        <w:t>i governi lo</w:t>
      </w:r>
      <w:r>
        <w:rPr>
          <w:rFonts w:ascii="Arial" w:hAnsi="Arial" w:cs="Arial"/>
          <w:sz w:val="24"/>
          <w:szCs w:val="24"/>
        </w:rPr>
        <w:t>cali</w:t>
      </w:r>
      <w:r w:rsidRPr="0030125E">
        <w:rPr>
          <w:rFonts w:ascii="Arial" w:hAnsi="Arial" w:cs="Arial"/>
          <w:sz w:val="24"/>
          <w:szCs w:val="24"/>
        </w:rPr>
        <w:t xml:space="preserve"> impongono formalmente</w:t>
      </w:r>
      <w:r>
        <w:rPr>
          <w:rFonts w:ascii="Arial" w:hAnsi="Arial" w:cs="Arial"/>
          <w:sz w:val="24"/>
          <w:szCs w:val="24"/>
        </w:rPr>
        <w:t xml:space="preserve"> alla MFI di fornire uno stock </w:t>
      </w:r>
      <w:r w:rsidRPr="0030125E">
        <w:rPr>
          <w:rFonts w:ascii="Arial" w:hAnsi="Arial" w:cs="Arial"/>
          <w:sz w:val="24"/>
          <w:szCs w:val="24"/>
        </w:rPr>
        <w:t>del loro portafoglio o di un certo volume d</w:t>
      </w:r>
      <w:r>
        <w:rPr>
          <w:rFonts w:ascii="Arial" w:hAnsi="Arial" w:cs="Arial"/>
          <w:sz w:val="24"/>
          <w:szCs w:val="24"/>
        </w:rPr>
        <w:t xml:space="preserve">i beni della </w:t>
      </w:r>
      <w:r w:rsidRPr="0030125E">
        <w:rPr>
          <w:rFonts w:ascii="Arial" w:hAnsi="Arial" w:cs="Arial"/>
          <w:sz w:val="24"/>
          <w:szCs w:val="24"/>
        </w:rPr>
        <w:t xml:space="preserve">loro </w:t>
      </w:r>
      <w:r>
        <w:rPr>
          <w:rFonts w:ascii="Arial" w:hAnsi="Arial" w:cs="Arial"/>
          <w:sz w:val="24"/>
          <w:szCs w:val="24"/>
        </w:rPr>
        <w:t xml:space="preserve">attività a </w:t>
      </w:r>
      <w:r w:rsidRPr="0030125E">
        <w:rPr>
          <w:rFonts w:ascii="Arial" w:hAnsi="Arial" w:cs="Arial"/>
          <w:sz w:val="24"/>
          <w:szCs w:val="24"/>
        </w:rPr>
        <w:t>segmenti informali o più poveri della società o ad alcuni</w:t>
      </w:r>
      <w:r>
        <w:rPr>
          <w:rFonts w:ascii="Arial" w:hAnsi="Arial" w:cs="Arial"/>
          <w:sz w:val="24"/>
          <w:szCs w:val="24"/>
        </w:rPr>
        <w:t xml:space="preserve"> </w:t>
      </w:r>
      <w:r w:rsidRPr="0030125E">
        <w:rPr>
          <w:rFonts w:ascii="Arial" w:hAnsi="Arial" w:cs="Arial"/>
          <w:sz w:val="24"/>
          <w:szCs w:val="24"/>
        </w:rPr>
        <w:t xml:space="preserve">settori economici. </w:t>
      </w:r>
      <w:r>
        <w:rPr>
          <w:rFonts w:ascii="Arial" w:hAnsi="Arial" w:cs="Arial"/>
          <w:sz w:val="24"/>
          <w:szCs w:val="24"/>
        </w:rPr>
        <w:t>Per assicurare questi impegni supplettivi, v</w:t>
      </w:r>
      <w:r w:rsidRPr="0030125E">
        <w:rPr>
          <w:rFonts w:ascii="Arial" w:hAnsi="Arial" w:cs="Arial"/>
          <w:sz w:val="24"/>
          <w:szCs w:val="24"/>
        </w:rPr>
        <w:t>engono creati sportelli speciali nelle banche commerciali o vengono fornite linee di credito riscontate. Nella maggior parte dei casi, gli stanziamenti settoriali non funzionano</w:t>
      </w:r>
      <w:r>
        <w:rPr>
          <w:rFonts w:ascii="Arial" w:hAnsi="Arial" w:cs="Arial"/>
          <w:sz w:val="24"/>
          <w:szCs w:val="24"/>
        </w:rPr>
        <w:t xml:space="preserve"> </w:t>
      </w:r>
      <w:r w:rsidRPr="0030125E">
        <w:rPr>
          <w:rFonts w:ascii="Arial" w:hAnsi="Arial" w:cs="Arial"/>
          <w:sz w:val="24"/>
          <w:szCs w:val="24"/>
        </w:rPr>
        <w:t xml:space="preserve">perché non </w:t>
      </w:r>
      <w:r>
        <w:rPr>
          <w:rFonts w:ascii="Arial" w:hAnsi="Arial" w:cs="Arial"/>
          <w:sz w:val="24"/>
          <w:szCs w:val="24"/>
        </w:rPr>
        <w:t xml:space="preserve">sostenuti da </w:t>
      </w:r>
      <w:r w:rsidRPr="0030125E">
        <w:rPr>
          <w:rFonts w:ascii="Arial" w:hAnsi="Arial" w:cs="Arial"/>
          <w:sz w:val="24"/>
          <w:szCs w:val="24"/>
        </w:rPr>
        <w:t xml:space="preserve">incentivi </w:t>
      </w:r>
      <w:r w:rsidRPr="0030125E">
        <w:rPr>
          <w:rFonts w:ascii="Arial" w:hAnsi="Arial" w:cs="Arial"/>
          <w:sz w:val="24"/>
          <w:szCs w:val="24"/>
        </w:rPr>
        <w:lastRenderedPageBreak/>
        <w:t>commerciali</w:t>
      </w:r>
      <w:r>
        <w:rPr>
          <w:rFonts w:ascii="Arial" w:hAnsi="Arial" w:cs="Arial"/>
          <w:sz w:val="24"/>
          <w:szCs w:val="24"/>
        </w:rPr>
        <w:t xml:space="preserve">. </w:t>
      </w:r>
      <w:r w:rsidRPr="0030125E">
        <w:rPr>
          <w:rFonts w:ascii="Arial" w:hAnsi="Arial" w:cs="Arial"/>
          <w:sz w:val="24"/>
          <w:szCs w:val="24"/>
        </w:rPr>
        <w:t xml:space="preserve">Molti </w:t>
      </w:r>
      <w:r>
        <w:rPr>
          <w:rFonts w:ascii="Arial" w:hAnsi="Arial" w:cs="Arial"/>
          <w:sz w:val="24"/>
          <w:szCs w:val="24"/>
        </w:rPr>
        <w:t xml:space="preserve">istituti </w:t>
      </w:r>
      <w:r w:rsidRPr="0030125E">
        <w:rPr>
          <w:rFonts w:ascii="Arial" w:hAnsi="Arial" w:cs="Arial"/>
          <w:sz w:val="24"/>
          <w:szCs w:val="24"/>
        </w:rPr>
        <w:t xml:space="preserve">preferiscono </w:t>
      </w:r>
      <w:r>
        <w:rPr>
          <w:rFonts w:ascii="Arial" w:hAnsi="Arial" w:cs="Arial"/>
          <w:sz w:val="24"/>
          <w:szCs w:val="24"/>
        </w:rPr>
        <w:t>assoggettarsi alle p</w:t>
      </w:r>
      <w:r w:rsidRPr="0030125E">
        <w:rPr>
          <w:rFonts w:ascii="Arial" w:hAnsi="Arial" w:cs="Arial"/>
          <w:sz w:val="24"/>
          <w:szCs w:val="24"/>
        </w:rPr>
        <w:t>enalità</w:t>
      </w:r>
      <w:r>
        <w:rPr>
          <w:rFonts w:ascii="Arial" w:hAnsi="Arial" w:cs="Arial"/>
          <w:sz w:val="24"/>
          <w:szCs w:val="24"/>
        </w:rPr>
        <w:t xml:space="preserve"> previste piuttosto che </w:t>
      </w:r>
      <w:proofErr w:type="gramStart"/>
      <w:r w:rsidRPr="0030125E">
        <w:rPr>
          <w:rFonts w:ascii="Arial" w:hAnsi="Arial" w:cs="Arial"/>
          <w:sz w:val="24"/>
          <w:szCs w:val="24"/>
        </w:rPr>
        <w:t>e</w:t>
      </w:r>
      <w:proofErr w:type="gramEnd"/>
      <w:r w:rsidRPr="0030125E">
        <w:rPr>
          <w:rFonts w:ascii="Arial" w:hAnsi="Arial" w:cs="Arial"/>
          <w:sz w:val="24"/>
          <w:szCs w:val="24"/>
        </w:rPr>
        <w:t xml:space="preserve"> adempiere ai propri obblighi.</w:t>
      </w:r>
    </w:p>
    <w:p w14:paraId="6B8A2D62"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Sul tema dell’autonomia d</w:t>
      </w:r>
      <w:r w:rsidRPr="00BE49D1">
        <w:rPr>
          <w:rFonts w:ascii="Arial" w:hAnsi="Arial" w:cs="Arial"/>
          <w:sz w:val="24"/>
          <w:szCs w:val="24"/>
        </w:rPr>
        <w:t>alle donazioni e</w:t>
      </w:r>
      <w:r>
        <w:rPr>
          <w:rFonts w:ascii="Arial" w:hAnsi="Arial" w:cs="Arial"/>
          <w:sz w:val="24"/>
          <w:szCs w:val="24"/>
        </w:rPr>
        <w:t xml:space="preserve"> da</w:t>
      </w:r>
      <w:r w:rsidRPr="00BE49D1">
        <w:rPr>
          <w:rFonts w:ascii="Arial" w:hAnsi="Arial" w:cs="Arial"/>
          <w:sz w:val="24"/>
          <w:szCs w:val="24"/>
        </w:rPr>
        <w:t xml:space="preserve">i </w:t>
      </w:r>
      <w:r>
        <w:rPr>
          <w:rFonts w:ascii="Arial" w:hAnsi="Arial" w:cs="Arial"/>
          <w:sz w:val="24"/>
          <w:szCs w:val="24"/>
        </w:rPr>
        <w:t xml:space="preserve">sostegni esterni </w:t>
      </w:r>
      <w:proofErr w:type="spellStart"/>
      <w:r w:rsidRPr="00BE49D1">
        <w:rPr>
          <w:rFonts w:ascii="Arial" w:hAnsi="Arial" w:cs="Arial"/>
          <w:sz w:val="24"/>
          <w:szCs w:val="24"/>
        </w:rPr>
        <w:t>Morduch</w:t>
      </w:r>
      <w:proofErr w:type="spellEnd"/>
      <w:r w:rsidRPr="00BE49D1">
        <w:rPr>
          <w:rFonts w:ascii="Arial" w:hAnsi="Arial" w:cs="Arial"/>
          <w:sz w:val="24"/>
          <w:szCs w:val="24"/>
        </w:rPr>
        <w:t xml:space="preserve"> (1999)</w:t>
      </w:r>
      <w:r>
        <w:rPr>
          <w:rStyle w:val="Rimandonotaapidipagina"/>
          <w:rFonts w:ascii="Arial" w:hAnsi="Arial" w:cs="Arial"/>
          <w:sz w:val="24"/>
          <w:szCs w:val="24"/>
        </w:rPr>
        <w:footnoteReference w:id="101"/>
      </w:r>
      <w:r>
        <w:rPr>
          <w:rFonts w:ascii="Arial" w:hAnsi="Arial" w:cs="Arial"/>
          <w:sz w:val="24"/>
          <w:szCs w:val="24"/>
        </w:rPr>
        <w:t xml:space="preserve"> mette in evidenza che la </w:t>
      </w:r>
      <w:r w:rsidRPr="00BE49D1">
        <w:rPr>
          <w:rFonts w:ascii="Arial" w:hAnsi="Arial" w:cs="Arial"/>
          <w:sz w:val="24"/>
          <w:szCs w:val="24"/>
        </w:rPr>
        <w:t xml:space="preserve">finalità </w:t>
      </w:r>
      <w:r>
        <w:rPr>
          <w:rFonts w:ascii="Arial" w:hAnsi="Arial" w:cs="Arial"/>
          <w:sz w:val="24"/>
          <w:szCs w:val="24"/>
        </w:rPr>
        <w:t>d</w:t>
      </w:r>
      <w:r w:rsidRPr="00BE49D1">
        <w:rPr>
          <w:rFonts w:ascii="Arial" w:hAnsi="Arial" w:cs="Arial"/>
          <w:sz w:val="24"/>
          <w:szCs w:val="24"/>
        </w:rPr>
        <w:t xml:space="preserve">el microcredito </w:t>
      </w:r>
      <w:r>
        <w:rPr>
          <w:rFonts w:ascii="Arial" w:hAnsi="Arial" w:cs="Arial"/>
          <w:sz w:val="24"/>
          <w:szCs w:val="24"/>
        </w:rPr>
        <w:t xml:space="preserve">è rappresentata dalla capacità di utilizzare con efficacia </w:t>
      </w:r>
      <w:r w:rsidRPr="00BE49D1">
        <w:rPr>
          <w:rFonts w:ascii="Arial" w:hAnsi="Arial" w:cs="Arial"/>
          <w:sz w:val="24"/>
          <w:szCs w:val="24"/>
        </w:rPr>
        <w:t xml:space="preserve">i fondi </w:t>
      </w:r>
      <w:r>
        <w:rPr>
          <w:rFonts w:ascii="Arial" w:hAnsi="Arial" w:cs="Arial"/>
          <w:sz w:val="24"/>
          <w:szCs w:val="24"/>
        </w:rPr>
        <w:t>a disposizione, prescindendo dalla loro fonte</w:t>
      </w:r>
      <w:r w:rsidRPr="00BE49D1">
        <w:rPr>
          <w:rFonts w:ascii="Arial" w:hAnsi="Arial" w:cs="Arial"/>
          <w:sz w:val="24"/>
          <w:szCs w:val="24"/>
        </w:rPr>
        <w:t>.</w:t>
      </w:r>
    </w:p>
    <w:p w14:paraId="2EFBFACB"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 xml:space="preserve">La sostenibilità implica la possibilità di garantire alle MFI uno stato di </w:t>
      </w:r>
      <w:r w:rsidRPr="00A549A7">
        <w:rPr>
          <w:rFonts w:ascii="Arial" w:hAnsi="Arial" w:cs="Arial"/>
          <w:sz w:val="24"/>
          <w:szCs w:val="24"/>
        </w:rPr>
        <w:t>sopravvivenza nel lungo termine</w:t>
      </w:r>
      <w:r>
        <w:rPr>
          <w:rFonts w:ascii="Arial" w:hAnsi="Arial" w:cs="Arial"/>
          <w:sz w:val="24"/>
          <w:szCs w:val="24"/>
        </w:rPr>
        <w:t>, avendo riguardo, tra l’altro che i prestiti di importo limitato sono troppo onerosi e di scarsa redditività.</w:t>
      </w:r>
    </w:p>
    <w:p w14:paraId="13D110B2"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 xml:space="preserve">È da considerare, infatti che i principali ricavi </w:t>
      </w:r>
      <w:r w:rsidRPr="003520A0">
        <w:rPr>
          <w:rFonts w:ascii="Arial" w:hAnsi="Arial" w:cs="Arial"/>
          <w:sz w:val="24"/>
          <w:szCs w:val="24"/>
        </w:rPr>
        <w:t>dell</w:t>
      </w:r>
      <w:r>
        <w:rPr>
          <w:rFonts w:ascii="Arial" w:hAnsi="Arial" w:cs="Arial"/>
          <w:sz w:val="24"/>
          <w:szCs w:val="24"/>
        </w:rPr>
        <w:t>e</w:t>
      </w:r>
      <w:r w:rsidRPr="003520A0">
        <w:rPr>
          <w:rFonts w:ascii="Arial" w:hAnsi="Arial" w:cs="Arial"/>
          <w:sz w:val="24"/>
          <w:szCs w:val="24"/>
        </w:rPr>
        <w:t xml:space="preserve"> MFI, sono costituiti principalmente dagli interessi su prestiti</w:t>
      </w:r>
      <w:r>
        <w:rPr>
          <w:rFonts w:ascii="Arial" w:hAnsi="Arial" w:cs="Arial"/>
          <w:sz w:val="24"/>
          <w:szCs w:val="24"/>
        </w:rPr>
        <w:t xml:space="preserve"> ed è proprio sulla determinazione dei tassi di interesse da applicare l’aspetto su cui può trovare appoggio, tra l’altro, la ricerca sulla sostenibilità delle MFI, come sostengono </w:t>
      </w:r>
      <w:r w:rsidRPr="003520A0">
        <w:rPr>
          <w:rFonts w:ascii="Arial" w:hAnsi="Arial" w:cs="Arial"/>
          <w:sz w:val="24"/>
          <w:szCs w:val="24"/>
        </w:rPr>
        <w:t xml:space="preserve">Gibbons e </w:t>
      </w:r>
      <w:proofErr w:type="spellStart"/>
      <w:r w:rsidRPr="003520A0">
        <w:rPr>
          <w:rFonts w:ascii="Arial" w:hAnsi="Arial" w:cs="Arial"/>
          <w:sz w:val="24"/>
          <w:szCs w:val="24"/>
        </w:rPr>
        <w:t>Meehan</w:t>
      </w:r>
      <w:proofErr w:type="spellEnd"/>
      <w:r w:rsidRPr="003520A0">
        <w:rPr>
          <w:rFonts w:ascii="Arial" w:hAnsi="Arial" w:cs="Arial"/>
          <w:sz w:val="24"/>
          <w:szCs w:val="24"/>
        </w:rPr>
        <w:t xml:space="preserve"> (2000)</w:t>
      </w:r>
      <w:r>
        <w:rPr>
          <w:rStyle w:val="Rimandonotaapidipagina"/>
          <w:rFonts w:ascii="Arial" w:hAnsi="Arial" w:cs="Arial"/>
          <w:sz w:val="24"/>
          <w:szCs w:val="24"/>
        </w:rPr>
        <w:footnoteReference w:id="102"/>
      </w:r>
      <w:r>
        <w:rPr>
          <w:rFonts w:ascii="Arial" w:hAnsi="Arial" w:cs="Arial"/>
          <w:sz w:val="24"/>
          <w:szCs w:val="24"/>
        </w:rPr>
        <w:t xml:space="preserve">. La concessione di finanziamenti non supportati da adeguati tassi di interesse, in un quadro di sostegni finanziari ridotti, induce a crisi </w:t>
      </w:r>
      <w:r w:rsidRPr="003520A0">
        <w:rPr>
          <w:rFonts w:ascii="Arial" w:hAnsi="Arial" w:cs="Arial"/>
          <w:sz w:val="24"/>
          <w:szCs w:val="24"/>
        </w:rPr>
        <w:t>di liquidità</w:t>
      </w:r>
      <w:r>
        <w:rPr>
          <w:rFonts w:ascii="Arial" w:hAnsi="Arial" w:cs="Arial"/>
          <w:sz w:val="24"/>
          <w:szCs w:val="24"/>
        </w:rPr>
        <w:t xml:space="preserve"> e può comportare la decretazione dello stato di decozione della MFI.</w:t>
      </w:r>
    </w:p>
    <w:p w14:paraId="567A3310" w14:textId="77777777" w:rsidR="00077609" w:rsidRDefault="00077609" w:rsidP="00077609">
      <w:pPr>
        <w:spacing w:line="360" w:lineRule="auto"/>
        <w:jc w:val="both"/>
        <w:rPr>
          <w:rFonts w:ascii="Arial" w:hAnsi="Arial" w:cs="Arial"/>
          <w:sz w:val="24"/>
          <w:szCs w:val="24"/>
        </w:rPr>
      </w:pPr>
      <w:r w:rsidRPr="00113E61">
        <w:rPr>
          <w:rFonts w:ascii="Arial" w:hAnsi="Arial" w:cs="Arial"/>
          <w:sz w:val="24"/>
          <w:szCs w:val="24"/>
        </w:rPr>
        <w:t>Le indicazioni di miglioramento suggerite (Gonzalez-Vega</w:t>
      </w:r>
      <w:r>
        <w:rPr>
          <w:rFonts w:ascii="Arial" w:hAnsi="Arial" w:cs="Arial"/>
          <w:sz w:val="24"/>
          <w:szCs w:val="24"/>
        </w:rPr>
        <w:t xml:space="preserve"> e altri</w:t>
      </w:r>
      <w:r w:rsidRPr="00113E61">
        <w:rPr>
          <w:rFonts w:ascii="Arial" w:hAnsi="Arial" w:cs="Arial"/>
          <w:sz w:val="24"/>
          <w:szCs w:val="24"/>
        </w:rPr>
        <w:t>, 1998)</w:t>
      </w:r>
      <w:r>
        <w:rPr>
          <w:rStyle w:val="Rimandonotaapidipagina"/>
          <w:rFonts w:ascii="Arial" w:hAnsi="Arial" w:cs="Arial"/>
          <w:sz w:val="24"/>
          <w:szCs w:val="24"/>
        </w:rPr>
        <w:footnoteReference w:id="103"/>
      </w:r>
      <w:r w:rsidRPr="00113E61">
        <w:rPr>
          <w:rFonts w:ascii="Arial" w:hAnsi="Arial" w:cs="Arial"/>
          <w:sz w:val="24"/>
          <w:szCs w:val="24"/>
        </w:rPr>
        <w:t xml:space="preserve"> indirizzano a una diversa strutturazione delle MFI, che ai fini della loro sostenibilità,</w:t>
      </w:r>
      <w:r>
        <w:rPr>
          <w:rFonts w:ascii="Arial" w:hAnsi="Arial" w:cs="Arial"/>
          <w:sz w:val="24"/>
          <w:szCs w:val="24"/>
        </w:rPr>
        <w:t xml:space="preserve"> e superare le sfide</w:t>
      </w:r>
      <w:r w:rsidRPr="00113E61">
        <w:rPr>
          <w:rFonts w:ascii="Arial" w:hAnsi="Arial" w:cs="Arial"/>
          <w:sz w:val="24"/>
          <w:szCs w:val="24"/>
        </w:rPr>
        <w:t xml:space="preserve"> </w:t>
      </w:r>
      <w:r>
        <w:rPr>
          <w:rFonts w:ascii="Arial" w:hAnsi="Arial" w:cs="Arial"/>
          <w:sz w:val="24"/>
          <w:szCs w:val="24"/>
        </w:rPr>
        <w:t xml:space="preserve">dovrebbero </w:t>
      </w:r>
      <w:r w:rsidRPr="00113E61">
        <w:rPr>
          <w:rFonts w:ascii="Arial" w:hAnsi="Arial" w:cs="Arial"/>
          <w:sz w:val="24"/>
          <w:szCs w:val="24"/>
        </w:rPr>
        <w:t>r</w:t>
      </w:r>
      <w:r>
        <w:rPr>
          <w:rFonts w:ascii="Arial" w:hAnsi="Arial" w:cs="Arial"/>
          <w:sz w:val="24"/>
          <w:szCs w:val="24"/>
        </w:rPr>
        <w:t>evisionare l</w:t>
      </w:r>
      <w:r w:rsidRPr="00113E61">
        <w:rPr>
          <w:rFonts w:ascii="Arial" w:hAnsi="Arial" w:cs="Arial"/>
          <w:sz w:val="24"/>
          <w:szCs w:val="24"/>
        </w:rPr>
        <w:t>a gestione organizzativa, aprendola a diverse risorse di approvvigionamento</w:t>
      </w:r>
      <w:r>
        <w:rPr>
          <w:rFonts w:ascii="Arial" w:hAnsi="Arial" w:cs="Arial"/>
          <w:sz w:val="24"/>
          <w:szCs w:val="24"/>
        </w:rPr>
        <w:t xml:space="preserve"> anche da privati</w:t>
      </w:r>
      <w:r w:rsidRPr="00113E61">
        <w:rPr>
          <w:rFonts w:ascii="Arial" w:hAnsi="Arial" w:cs="Arial"/>
          <w:sz w:val="24"/>
          <w:szCs w:val="24"/>
        </w:rPr>
        <w:t xml:space="preserve">, </w:t>
      </w:r>
      <w:r>
        <w:rPr>
          <w:rFonts w:ascii="Arial" w:hAnsi="Arial" w:cs="Arial"/>
          <w:sz w:val="24"/>
          <w:szCs w:val="24"/>
        </w:rPr>
        <w:t xml:space="preserve">rafforzare il recupero delle insolvenze, allargare la platea della clientela, rivedere </w:t>
      </w:r>
      <w:r w:rsidRPr="00113E61">
        <w:rPr>
          <w:rFonts w:ascii="Arial" w:hAnsi="Arial" w:cs="Arial"/>
          <w:sz w:val="24"/>
          <w:szCs w:val="24"/>
        </w:rPr>
        <w:t xml:space="preserve">la gestione dei costi e dei tassi e </w:t>
      </w:r>
      <w:r>
        <w:rPr>
          <w:rFonts w:ascii="Arial" w:hAnsi="Arial" w:cs="Arial"/>
          <w:sz w:val="24"/>
          <w:szCs w:val="24"/>
        </w:rPr>
        <w:t xml:space="preserve">procedere </w:t>
      </w:r>
      <w:r w:rsidRPr="00113E61">
        <w:rPr>
          <w:rFonts w:ascii="Arial" w:hAnsi="Arial" w:cs="Arial"/>
          <w:sz w:val="24"/>
          <w:szCs w:val="24"/>
        </w:rPr>
        <w:t>all’ampliamento dell’offerta dei servizi erogati</w:t>
      </w:r>
      <w:r>
        <w:rPr>
          <w:rFonts w:ascii="Arial" w:hAnsi="Arial" w:cs="Arial"/>
          <w:sz w:val="24"/>
          <w:szCs w:val="24"/>
        </w:rPr>
        <w:t>.</w:t>
      </w:r>
    </w:p>
    <w:p w14:paraId="2905C1B5"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 xml:space="preserve">La </w:t>
      </w:r>
      <w:r w:rsidRPr="00BD6900">
        <w:rPr>
          <w:rFonts w:ascii="Arial" w:hAnsi="Arial" w:cs="Arial"/>
          <w:sz w:val="24"/>
          <w:szCs w:val="24"/>
        </w:rPr>
        <w:t xml:space="preserve">microfinanza sostenibile è </w:t>
      </w:r>
      <w:r>
        <w:rPr>
          <w:rFonts w:ascii="Arial" w:hAnsi="Arial" w:cs="Arial"/>
          <w:sz w:val="24"/>
          <w:szCs w:val="24"/>
        </w:rPr>
        <w:t>a vantaggio di</w:t>
      </w:r>
      <w:r w:rsidRPr="00BD6900">
        <w:rPr>
          <w:rFonts w:ascii="Arial" w:hAnsi="Arial" w:cs="Arial"/>
          <w:sz w:val="24"/>
          <w:szCs w:val="24"/>
        </w:rPr>
        <w:t xml:space="preserve"> istituzioni</w:t>
      </w:r>
      <w:r>
        <w:rPr>
          <w:rFonts w:ascii="Arial" w:hAnsi="Arial" w:cs="Arial"/>
          <w:sz w:val="24"/>
          <w:szCs w:val="24"/>
        </w:rPr>
        <w:t xml:space="preserve"> finanziarie </w:t>
      </w:r>
      <w:r w:rsidRPr="00BD6900">
        <w:rPr>
          <w:rFonts w:ascii="Arial" w:hAnsi="Arial" w:cs="Arial"/>
          <w:sz w:val="24"/>
          <w:szCs w:val="24"/>
        </w:rPr>
        <w:t xml:space="preserve">commerciali che forniscono </w:t>
      </w:r>
      <w:r>
        <w:rPr>
          <w:rFonts w:ascii="Arial" w:hAnsi="Arial" w:cs="Arial"/>
          <w:sz w:val="24"/>
          <w:szCs w:val="24"/>
        </w:rPr>
        <w:t xml:space="preserve">erogazioni </w:t>
      </w:r>
      <w:r w:rsidRPr="00BD6900">
        <w:rPr>
          <w:rFonts w:ascii="Arial" w:hAnsi="Arial" w:cs="Arial"/>
          <w:sz w:val="24"/>
          <w:szCs w:val="24"/>
        </w:rPr>
        <w:t xml:space="preserve"> ai poveri economicamente attivi a tassi di interesse </w:t>
      </w:r>
      <w:r>
        <w:rPr>
          <w:rFonts w:ascii="Arial" w:hAnsi="Arial" w:cs="Arial"/>
          <w:sz w:val="24"/>
          <w:szCs w:val="24"/>
        </w:rPr>
        <w:t xml:space="preserve">adeguati alla copertura di </w:t>
      </w:r>
      <w:r w:rsidRPr="00BD6900">
        <w:rPr>
          <w:rFonts w:ascii="Arial" w:hAnsi="Arial" w:cs="Arial"/>
          <w:sz w:val="24"/>
          <w:szCs w:val="24"/>
        </w:rPr>
        <w:t>tutti i costi e i rischi</w:t>
      </w:r>
      <w:r>
        <w:rPr>
          <w:rFonts w:ascii="Arial" w:hAnsi="Arial" w:cs="Arial"/>
          <w:sz w:val="24"/>
          <w:szCs w:val="24"/>
        </w:rPr>
        <w:t>, oltre che ad assicurare un</w:t>
      </w:r>
      <w:r w:rsidRPr="00BD6900">
        <w:rPr>
          <w:rFonts w:ascii="Arial" w:hAnsi="Arial" w:cs="Arial"/>
          <w:sz w:val="24"/>
          <w:szCs w:val="24"/>
        </w:rPr>
        <w:t xml:space="preserve"> profitto</w:t>
      </w:r>
      <w:r>
        <w:rPr>
          <w:rFonts w:ascii="Arial" w:hAnsi="Arial" w:cs="Arial"/>
          <w:sz w:val="24"/>
          <w:szCs w:val="24"/>
        </w:rPr>
        <w:t xml:space="preserve"> (Robinson, 2009)</w:t>
      </w:r>
      <w:r>
        <w:rPr>
          <w:rStyle w:val="Rimandonotaapidipagina"/>
          <w:rFonts w:ascii="Arial" w:hAnsi="Arial" w:cs="Arial"/>
          <w:sz w:val="24"/>
          <w:szCs w:val="24"/>
        </w:rPr>
        <w:footnoteReference w:id="104"/>
      </w:r>
      <w:r>
        <w:rPr>
          <w:rFonts w:ascii="Arial" w:hAnsi="Arial" w:cs="Arial"/>
          <w:sz w:val="24"/>
          <w:szCs w:val="24"/>
        </w:rPr>
        <w:t xml:space="preserve">. Sono diffusi </w:t>
      </w:r>
      <w:r w:rsidRPr="00BD6900">
        <w:rPr>
          <w:rFonts w:ascii="Arial" w:hAnsi="Arial" w:cs="Arial"/>
          <w:sz w:val="24"/>
          <w:szCs w:val="24"/>
        </w:rPr>
        <w:t xml:space="preserve">molti tipi di programmi di microcredito e </w:t>
      </w:r>
      <w:proofErr w:type="spellStart"/>
      <w:r w:rsidRPr="00BD6900">
        <w:rPr>
          <w:rFonts w:ascii="Arial" w:hAnsi="Arial" w:cs="Arial"/>
          <w:sz w:val="24"/>
          <w:szCs w:val="24"/>
        </w:rPr>
        <w:t>microrisparmio</w:t>
      </w:r>
      <w:proofErr w:type="spellEnd"/>
      <w:r w:rsidRPr="00BD6900">
        <w:rPr>
          <w:rFonts w:ascii="Arial" w:hAnsi="Arial" w:cs="Arial"/>
          <w:sz w:val="24"/>
          <w:szCs w:val="24"/>
        </w:rPr>
        <w:t xml:space="preserve"> di successo. L</w:t>
      </w:r>
      <w:r>
        <w:rPr>
          <w:rFonts w:ascii="Arial" w:hAnsi="Arial" w:cs="Arial"/>
          <w:sz w:val="24"/>
          <w:szCs w:val="24"/>
        </w:rPr>
        <w:t xml:space="preserve">a sostenibilità e la redditività delle </w:t>
      </w:r>
      <w:r w:rsidRPr="00BD6900">
        <w:rPr>
          <w:rFonts w:ascii="Arial" w:hAnsi="Arial" w:cs="Arial"/>
          <w:sz w:val="24"/>
          <w:szCs w:val="24"/>
        </w:rPr>
        <w:t xml:space="preserve"> istituzioni di microfinanza</w:t>
      </w:r>
      <w:r>
        <w:rPr>
          <w:rFonts w:ascii="Arial" w:hAnsi="Arial" w:cs="Arial"/>
          <w:sz w:val="24"/>
          <w:szCs w:val="24"/>
        </w:rPr>
        <w:t xml:space="preserve"> di impronta </w:t>
      </w:r>
      <w:r w:rsidRPr="00BD6900">
        <w:rPr>
          <w:rFonts w:ascii="Arial" w:hAnsi="Arial" w:cs="Arial"/>
          <w:sz w:val="24"/>
          <w:szCs w:val="24"/>
        </w:rPr>
        <w:t xml:space="preserve">commerciale </w:t>
      </w:r>
      <w:r>
        <w:rPr>
          <w:rFonts w:ascii="Arial" w:hAnsi="Arial" w:cs="Arial"/>
          <w:sz w:val="24"/>
          <w:szCs w:val="24"/>
        </w:rPr>
        <w:t xml:space="preserve">riverberano alle </w:t>
      </w:r>
      <w:r w:rsidRPr="00BD6900">
        <w:rPr>
          <w:rFonts w:ascii="Arial" w:hAnsi="Arial" w:cs="Arial"/>
          <w:sz w:val="24"/>
          <w:szCs w:val="24"/>
        </w:rPr>
        <w:t xml:space="preserve">economie </w:t>
      </w:r>
      <w:r>
        <w:rPr>
          <w:rFonts w:ascii="Arial" w:hAnsi="Arial" w:cs="Arial"/>
          <w:sz w:val="24"/>
          <w:szCs w:val="24"/>
        </w:rPr>
        <w:t xml:space="preserve">locali i </w:t>
      </w:r>
      <w:r>
        <w:rPr>
          <w:rFonts w:ascii="Arial" w:hAnsi="Arial" w:cs="Arial"/>
          <w:sz w:val="24"/>
          <w:szCs w:val="24"/>
        </w:rPr>
        <w:lastRenderedPageBreak/>
        <w:t xml:space="preserve">benefici dell’incremento </w:t>
      </w:r>
      <w:r w:rsidRPr="00BD6900">
        <w:rPr>
          <w:rFonts w:ascii="Arial" w:hAnsi="Arial" w:cs="Arial"/>
          <w:sz w:val="24"/>
          <w:szCs w:val="24"/>
        </w:rPr>
        <w:t xml:space="preserve">produzione, </w:t>
      </w:r>
      <w:r>
        <w:rPr>
          <w:rFonts w:ascii="Arial" w:hAnsi="Arial" w:cs="Arial"/>
          <w:sz w:val="24"/>
          <w:szCs w:val="24"/>
        </w:rPr>
        <w:t xml:space="preserve">generando, allo stesso tempo, </w:t>
      </w:r>
      <w:r w:rsidRPr="00BD6900">
        <w:rPr>
          <w:rFonts w:ascii="Arial" w:hAnsi="Arial" w:cs="Arial"/>
          <w:sz w:val="24"/>
          <w:szCs w:val="24"/>
        </w:rPr>
        <w:t xml:space="preserve">nuove risorse disponibili per gli investimenti e </w:t>
      </w:r>
      <w:r>
        <w:rPr>
          <w:rFonts w:ascii="Arial" w:hAnsi="Arial" w:cs="Arial"/>
          <w:sz w:val="24"/>
          <w:szCs w:val="24"/>
        </w:rPr>
        <w:t>i</w:t>
      </w:r>
      <w:r w:rsidRPr="00BD6900">
        <w:rPr>
          <w:rFonts w:ascii="Arial" w:hAnsi="Arial" w:cs="Arial"/>
          <w:sz w:val="24"/>
          <w:szCs w:val="24"/>
        </w:rPr>
        <w:t>l miglioramento del capitale proprio.</w:t>
      </w:r>
    </w:p>
    <w:p w14:paraId="5CE50EE0"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Per affrontare le difficoltà sempre crescenti della instabilità dei flussi derivanti dalle donazioni, alcune MFI, sotto la spinta di pervenire ad uno stato di autonomia finanziaria,</w:t>
      </w:r>
      <w:r w:rsidRPr="00A549A7">
        <w:rPr>
          <w:rFonts w:ascii="Arial" w:hAnsi="Arial" w:cs="Arial"/>
          <w:sz w:val="24"/>
          <w:szCs w:val="24"/>
        </w:rPr>
        <w:t xml:space="preserve"> </w:t>
      </w:r>
      <w:r>
        <w:rPr>
          <w:rFonts w:ascii="Arial" w:hAnsi="Arial" w:cs="Arial"/>
          <w:sz w:val="24"/>
          <w:szCs w:val="24"/>
        </w:rPr>
        <w:t>hanno trasformato la propria natura di enti non profit avviando politiche di impiego alla stregua delle tradizionali imprese commerciali</w:t>
      </w:r>
      <w:r>
        <w:rPr>
          <w:rStyle w:val="Rimandonotaapidipagina"/>
          <w:rFonts w:ascii="Arial" w:hAnsi="Arial" w:cs="Arial"/>
          <w:sz w:val="24"/>
          <w:szCs w:val="24"/>
        </w:rPr>
        <w:footnoteReference w:id="105"/>
      </w:r>
      <w:r>
        <w:rPr>
          <w:rFonts w:ascii="Arial" w:hAnsi="Arial" w:cs="Arial"/>
          <w:sz w:val="24"/>
          <w:szCs w:val="24"/>
        </w:rPr>
        <w:t>.</w:t>
      </w:r>
    </w:p>
    <w:p w14:paraId="5A788436" w14:textId="77777777" w:rsidR="00077609" w:rsidRPr="006C6820" w:rsidRDefault="00077609" w:rsidP="00077609">
      <w:pPr>
        <w:spacing w:line="360" w:lineRule="auto"/>
        <w:jc w:val="both"/>
        <w:rPr>
          <w:rFonts w:ascii="Arial" w:hAnsi="Arial" w:cs="Arial"/>
          <w:sz w:val="24"/>
          <w:szCs w:val="24"/>
        </w:rPr>
      </w:pPr>
      <w:r>
        <w:rPr>
          <w:rFonts w:ascii="Arial" w:hAnsi="Arial" w:cs="Arial"/>
          <w:sz w:val="24"/>
          <w:szCs w:val="24"/>
        </w:rPr>
        <w:t xml:space="preserve">È il caso del </w:t>
      </w:r>
      <w:r w:rsidRPr="00E413CC">
        <w:rPr>
          <w:rFonts w:ascii="Arial" w:hAnsi="Arial" w:cs="Arial"/>
          <w:i/>
          <w:iCs/>
          <w:sz w:val="24"/>
          <w:szCs w:val="24"/>
        </w:rPr>
        <w:t xml:space="preserve">Banco </w:t>
      </w:r>
      <w:proofErr w:type="spellStart"/>
      <w:r w:rsidRPr="00E413CC">
        <w:rPr>
          <w:rFonts w:ascii="Arial" w:hAnsi="Arial" w:cs="Arial"/>
          <w:i/>
          <w:iCs/>
          <w:sz w:val="24"/>
          <w:szCs w:val="24"/>
        </w:rPr>
        <w:t>Comportamos</w:t>
      </w:r>
      <w:proofErr w:type="spellEnd"/>
      <w:r>
        <w:rPr>
          <w:rFonts w:ascii="Arial" w:hAnsi="Arial" w:cs="Arial"/>
          <w:sz w:val="24"/>
          <w:szCs w:val="24"/>
        </w:rPr>
        <w:t>,</w:t>
      </w:r>
      <w:r w:rsidRPr="00ED11F6">
        <w:rPr>
          <w:rFonts w:ascii="Arial" w:hAnsi="Arial" w:cs="Arial"/>
          <w:sz w:val="24"/>
          <w:szCs w:val="24"/>
        </w:rPr>
        <w:t xml:space="preserve"> un</w:t>
      </w:r>
      <w:r>
        <w:rPr>
          <w:rFonts w:ascii="Arial" w:hAnsi="Arial" w:cs="Arial"/>
          <w:sz w:val="24"/>
          <w:szCs w:val="24"/>
        </w:rPr>
        <w:t xml:space="preserve">a banca messicana che rappresenta </w:t>
      </w:r>
      <w:r w:rsidRPr="00ED11F6">
        <w:rPr>
          <w:rFonts w:ascii="Arial" w:hAnsi="Arial" w:cs="Arial"/>
          <w:sz w:val="24"/>
          <w:szCs w:val="24"/>
        </w:rPr>
        <w:t xml:space="preserve">la più grande </w:t>
      </w:r>
      <w:r>
        <w:rPr>
          <w:rFonts w:ascii="Arial" w:hAnsi="Arial" w:cs="Arial"/>
          <w:sz w:val="24"/>
          <w:szCs w:val="24"/>
        </w:rPr>
        <w:t xml:space="preserve">istituzione </w:t>
      </w:r>
      <w:r w:rsidRPr="00ED11F6">
        <w:rPr>
          <w:rFonts w:ascii="Arial" w:hAnsi="Arial" w:cs="Arial"/>
          <w:sz w:val="24"/>
          <w:szCs w:val="24"/>
        </w:rPr>
        <w:t>di microfinanza dell</w:t>
      </w:r>
      <w:r>
        <w:rPr>
          <w:rFonts w:ascii="Arial" w:hAnsi="Arial" w:cs="Arial"/>
          <w:sz w:val="24"/>
          <w:szCs w:val="24"/>
        </w:rPr>
        <w:t>’</w:t>
      </w:r>
      <w:r w:rsidRPr="00ED11F6">
        <w:rPr>
          <w:rFonts w:ascii="Arial" w:hAnsi="Arial" w:cs="Arial"/>
          <w:sz w:val="24"/>
          <w:szCs w:val="24"/>
        </w:rPr>
        <w:t>America Latin</w:t>
      </w:r>
      <w:r>
        <w:rPr>
          <w:rFonts w:ascii="Arial" w:hAnsi="Arial" w:cs="Arial"/>
          <w:sz w:val="24"/>
          <w:szCs w:val="24"/>
        </w:rPr>
        <w:t xml:space="preserve">a: il </w:t>
      </w:r>
      <w:r w:rsidRPr="006C6820">
        <w:rPr>
          <w:rFonts w:ascii="Arial" w:hAnsi="Arial" w:cs="Arial"/>
          <w:sz w:val="24"/>
          <w:szCs w:val="24"/>
        </w:rPr>
        <w:t xml:space="preserve">20 aprile 2007 </w:t>
      </w:r>
      <w:r>
        <w:rPr>
          <w:rFonts w:ascii="Arial" w:hAnsi="Arial" w:cs="Arial"/>
          <w:sz w:val="24"/>
          <w:szCs w:val="24"/>
        </w:rPr>
        <w:t>ha</w:t>
      </w:r>
      <w:r w:rsidRPr="006C6820">
        <w:rPr>
          <w:rFonts w:ascii="Arial" w:hAnsi="Arial" w:cs="Arial"/>
          <w:sz w:val="24"/>
          <w:szCs w:val="24"/>
        </w:rPr>
        <w:t xml:space="preserve"> </w:t>
      </w:r>
      <w:r>
        <w:rPr>
          <w:rFonts w:ascii="Arial" w:hAnsi="Arial" w:cs="Arial"/>
          <w:sz w:val="24"/>
          <w:szCs w:val="24"/>
        </w:rPr>
        <w:t xml:space="preserve">lanciato </w:t>
      </w:r>
      <w:r w:rsidRPr="006C6820">
        <w:rPr>
          <w:rFonts w:ascii="Arial" w:hAnsi="Arial" w:cs="Arial"/>
          <w:sz w:val="24"/>
          <w:szCs w:val="24"/>
        </w:rPr>
        <w:t>sul mercato azioni per un ammontare pari al 30% della proprietà</w:t>
      </w:r>
      <w:r>
        <w:rPr>
          <w:rFonts w:ascii="Arial" w:hAnsi="Arial" w:cs="Arial"/>
          <w:sz w:val="24"/>
          <w:szCs w:val="24"/>
        </w:rPr>
        <w:t>, s</w:t>
      </w:r>
      <w:r w:rsidRPr="006C6820">
        <w:rPr>
          <w:rFonts w:ascii="Arial" w:hAnsi="Arial" w:cs="Arial"/>
          <w:sz w:val="24"/>
          <w:szCs w:val="24"/>
        </w:rPr>
        <w:t>ottoscritte dagli</w:t>
      </w:r>
      <w:r>
        <w:rPr>
          <w:rFonts w:ascii="Arial" w:hAnsi="Arial" w:cs="Arial"/>
          <w:sz w:val="24"/>
          <w:szCs w:val="24"/>
        </w:rPr>
        <w:t xml:space="preserve"> </w:t>
      </w:r>
      <w:r w:rsidRPr="006C6820">
        <w:rPr>
          <w:rFonts w:ascii="Arial" w:hAnsi="Arial" w:cs="Arial"/>
          <w:sz w:val="24"/>
          <w:szCs w:val="24"/>
        </w:rPr>
        <w:t xml:space="preserve">investitori per un </w:t>
      </w:r>
      <w:r>
        <w:rPr>
          <w:rFonts w:ascii="Arial" w:hAnsi="Arial" w:cs="Arial"/>
          <w:sz w:val="24"/>
          <w:szCs w:val="24"/>
        </w:rPr>
        <w:t xml:space="preserve">valore </w:t>
      </w:r>
      <w:r w:rsidRPr="006C6820">
        <w:rPr>
          <w:rFonts w:ascii="Arial" w:hAnsi="Arial" w:cs="Arial"/>
          <w:sz w:val="24"/>
          <w:szCs w:val="24"/>
        </w:rPr>
        <w:t>pari a 13 volte la quantità offerta</w:t>
      </w:r>
      <w:r>
        <w:rPr>
          <w:rFonts w:ascii="Arial" w:hAnsi="Arial" w:cs="Arial"/>
          <w:sz w:val="24"/>
          <w:szCs w:val="24"/>
        </w:rPr>
        <w:t>. Il</w:t>
      </w:r>
      <w:r w:rsidRPr="006C6820">
        <w:rPr>
          <w:rFonts w:ascii="Arial" w:hAnsi="Arial" w:cs="Arial"/>
          <w:sz w:val="24"/>
          <w:szCs w:val="24"/>
        </w:rPr>
        <w:t xml:space="preserve"> </w:t>
      </w:r>
      <w:r>
        <w:rPr>
          <w:rFonts w:ascii="Arial" w:hAnsi="Arial" w:cs="Arial"/>
          <w:sz w:val="24"/>
          <w:szCs w:val="24"/>
        </w:rPr>
        <w:t>p</w:t>
      </w:r>
      <w:r w:rsidRPr="006C6820">
        <w:rPr>
          <w:rFonts w:ascii="Arial" w:hAnsi="Arial" w:cs="Arial"/>
          <w:sz w:val="24"/>
          <w:szCs w:val="24"/>
        </w:rPr>
        <w:t xml:space="preserve">rezzo </w:t>
      </w:r>
      <w:r>
        <w:rPr>
          <w:rFonts w:ascii="Arial" w:hAnsi="Arial" w:cs="Arial"/>
          <w:sz w:val="24"/>
          <w:szCs w:val="24"/>
        </w:rPr>
        <w:t xml:space="preserve">delle azioni </w:t>
      </w:r>
      <w:r w:rsidRPr="006C6820">
        <w:rPr>
          <w:rFonts w:ascii="Arial" w:hAnsi="Arial" w:cs="Arial"/>
          <w:sz w:val="24"/>
          <w:szCs w:val="24"/>
        </w:rPr>
        <w:t>è aumentato</w:t>
      </w:r>
      <w:r>
        <w:rPr>
          <w:rFonts w:ascii="Arial" w:hAnsi="Arial" w:cs="Arial"/>
          <w:sz w:val="24"/>
          <w:szCs w:val="24"/>
        </w:rPr>
        <w:t xml:space="preserve"> </w:t>
      </w:r>
      <w:r w:rsidRPr="006C6820">
        <w:rPr>
          <w:rFonts w:ascii="Arial" w:hAnsi="Arial" w:cs="Arial"/>
          <w:sz w:val="24"/>
          <w:szCs w:val="24"/>
        </w:rPr>
        <w:t>ulteriormente del 22%</w:t>
      </w:r>
      <w:r>
        <w:rPr>
          <w:rFonts w:ascii="Arial" w:hAnsi="Arial" w:cs="Arial"/>
          <w:sz w:val="24"/>
          <w:szCs w:val="24"/>
        </w:rPr>
        <w:t xml:space="preserve"> </w:t>
      </w:r>
      <w:r w:rsidRPr="006C6820">
        <w:rPr>
          <w:rFonts w:ascii="Arial" w:hAnsi="Arial" w:cs="Arial"/>
          <w:sz w:val="24"/>
          <w:szCs w:val="24"/>
        </w:rPr>
        <w:t>il giorno della quotazione.</w:t>
      </w:r>
      <w:r>
        <w:rPr>
          <w:rFonts w:ascii="Arial" w:hAnsi="Arial" w:cs="Arial"/>
          <w:sz w:val="24"/>
          <w:szCs w:val="24"/>
        </w:rPr>
        <w:t xml:space="preserve"> L’operazione </w:t>
      </w:r>
      <w:r w:rsidRPr="006C6820">
        <w:rPr>
          <w:rFonts w:ascii="Arial" w:hAnsi="Arial" w:cs="Arial"/>
          <w:sz w:val="24"/>
          <w:szCs w:val="24"/>
        </w:rPr>
        <w:t xml:space="preserve">ha </w:t>
      </w:r>
      <w:r>
        <w:rPr>
          <w:rFonts w:ascii="Arial" w:hAnsi="Arial" w:cs="Arial"/>
          <w:sz w:val="24"/>
          <w:szCs w:val="24"/>
        </w:rPr>
        <w:t xml:space="preserve">rappresentato la </w:t>
      </w:r>
      <w:r w:rsidRPr="006C6820">
        <w:rPr>
          <w:rFonts w:ascii="Arial" w:hAnsi="Arial" w:cs="Arial"/>
          <w:sz w:val="24"/>
          <w:szCs w:val="24"/>
        </w:rPr>
        <w:t xml:space="preserve">svolta ufficiale del microcredito </w:t>
      </w:r>
      <w:r>
        <w:rPr>
          <w:rFonts w:ascii="Arial" w:hAnsi="Arial" w:cs="Arial"/>
          <w:sz w:val="24"/>
          <w:szCs w:val="24"/>
        </w:rPr>
        <w:t>verso il m</w:t>
      </w:r>
      <w:r w:rsidRPr="006C6820">
        <w:rPr>
          <w:rFonts w:ascii="Arial" w:hAnsi="Arial" w:cs="Arial"/>
          <w:sz w:val="24"/>
          <w:szCs w:val="24"/>
        </w:rPr>
        <w:t xml:space="preserve">ondo della finanza e delle banche commerciali, </w:t>
      </w:r>
      <w:r>
        <w:rPr>
          <w:rFonts w:ascii="Arial" w:hAnsi="Arial" w:cs="Arial"/>
          <w:sz w:val="24"/>
          <w:szCs w:val="24"/>
        </w:rPr>
        <w:t xml:space="preserve">stimolando la spinta </w:t>
      </w:r>
      <w:r w:rsidRPr="006C6820">
        <w:rPr>
          <w:rFonts w:ascii="Arial" w:hAnsi="Arial" w:cs="Arial"/>
          <w:sz w:val="24"/>
          <w:szCs w:val="24"/>
        </w:rPr>
        <w:t xml:space="preserve">all’afflusso di capitali </w:t>
      </w:r>
      <w:r>
        <w:rPr>
          <w:rFonts w:ascii="Arial" w:hAnsi="Arial" w:cs="Arial"/>
          <w:sz w:val="24"/>
          <w:szCs w:val="24"/>
        </w:rPr>
        <w:t>privati al settore della microfinanza</w:t>
      </w:r>
      <w:r w:rsidRPr="006C6820">
        <w:rPr>
          <w:rFonts w:ascii="Arial" w:hAnsi="Arial" w:cs="Arial"/>
          <w:sz w:val="24"/>
          <w:szCs w:val="24"/>
        </w:rPr>
        <w:t>.</w:t>
      </w:r>
    </w:p>
    <w:p w14:paraId="5C74E77A"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L’</w:t>
      </w:r>
      <w:r w:rsidRPr="00A201CB">
        <w:rPr>
          <w:rFonts w:ascii="Arial" w:hAnsi="Arial" w:cs="Arial"/>
          <w:sz w:val="24"/>
          <w:szCs w:val="24"/>
        </w:rPr>
        <w:t xml:space="preserve">IPO di </w:t>
      </w:r>
      <w:proofErr w:type="spellStart"/>
      <w:r w:rsidRPr="00137789">
        <w:rPr>
          <w:rFonts w:ascii="Arial" w:hAnsi="Arial" w:cs="Arial"/>
          <w:i/>
          <w:iCs/>
          <w:sz w:val="24"/>
          <w:szCs w:val="24"/>
        </w:rPr>
        <w:t>Compartamos</w:t>
      </w:r>
      <w:proofErr w:type="spellEnd"/>
      <w:r w:rsidRPr="00A201CB">
        <w:rPr>
          <w:rFonts w:ascii="Arial" w:hAnsi="Arial" w:cs="Arial"/>
          <w:sz w:val="24"/>
          <w:szCs w:val="24"/>
        </w:rPr>
        <w:t xml:space="preserve"> non è stata la prima nel campo della microfinanza</w:t>
      </w:r>
      <w:r>
        <w:rPr>
          <w:rFonts w:ascii="Arial" w:hAnsi="Arial" w:cs="Arial"/>
          <w:sz w:val="24"/>
          <w:szCs w:val="24"/>
        </w:rPr>
        <w:t>, anche se è stata l’operazione di maggior rilievo; in precedenza erano state avviate le</w:t>
      </w:r>
      <w:r w:rsidRPr="00A201CB">
        <w:rPr>
          <w:rFonts w:ascii="Arial" w:hAnsi="Arial" w:cs="Arial"/>
          <w:sz w:val="24"/>
          <w:szCs w:val="24"/>
        </w:rPr>
        <w:t xml:space="preserve"> IPO di </w:t>
      </w:r>
      <w:r w:rsidRPr="008F0819">
        <w:rPr>
          <w:rFonts w:ascii="Arial" w:hAnsi="Arial" w:cs="Arial"/>
          <w:i/>
          <w:iCs/>
          <w:sz w:val="24"/>
          <w:szCs w:val="24"/>
        </w:rPr>
        <w:t xml:space="preserve">Bank </w:t>
      </w:r>
      <w:proofErr w:type="spellStart"/>
      <w:r w:rsidRPr="008F0819">
        <w:rPr>
          <w:rFonts w:ascii="Arial" w:hAnsi="Arial" w:cs="Arial"/>
          <w:i/>
          <w:iCs/>
          <w:sz w:val="24"/>
          <w:szCs w:val="24"/>
        </w:rPr>
        <w:t>Rakyat</w:t>
      </w:r>
      <w:proofErr w:type="spellEnd"/>
      <w:r w:rsidRPr="00A201CB">
        <w:rPr>
          <w:rFonts w:ascii="Arial" w:hAnsi="Arial" w:cs="Arial"/>
          <w:sz w:val="24"/>
          <w:szCs w:val="24"/>
        </w:rPr>
        <w:t xml:space="preserve"> Indonesia e </w:t>
      </w:r>
      <w:r>
        <w:rPr>
          <w:rFonts w:ascii="Arial" w:hAnsi="Arial" w:cs="Arial"/>
          <w:sz w:val="24"/>
          <w:szCs w:val="24"/>
        </w:rPr>
        <w:t xml:space="preserve">di </w:t>
      </w:r>
      <w:r w:rsidRPr="008F0819">
        <w:rPr>
          <w:rFonts w:ascii="Arial" w:hAnsi="Arial" w:cs="Arial"/>
          <w:i/>
          <w:iCs/>
          <w:sz w:val="24"/>
          <w:szCs w:val="24"/>
        </w:rPr>
        <w:t>Equity Bank</w:t>
      </w:r>
      <w:r>
        <w:rPr>
          <w:rFonts w:ascii="Arial" w:hAnsi="Arial" w:cs="Arial"/>
          <w:sz w:val="24"/>
          <w:szCs w:val="24"/>
        </w:rPr>
        <w:t xml:space="preserve">, in </w:t>
      </w:r>
      <w:proofErr w:type="spellStart"/>
      <w:r>
        <w:rPr>
          <w:rFonts w:ascii="Arial" w:hAnsi="Arial" w:cs="Arial"/>
          <w:sz w:val="24"/>
          <w:szCs w:val="24"/>
        </w:rPr>
        <w:t>Kenia</w:t>
      </w:r>
      <w:proofErr w:type="spellEnd"/>
      <w:r>
        <w:rPr>
          <w:rFonts w:ascii="Arial" w:hAnsi="Arial" w:cs="Arial"/>
          <w:sz w:val="24"/>
          <w:szCs w:val="24"/>
        </w:rPr>
        <w:t>.</w:t>
      </w:r>
    </w:p>
    <w:p w14:paraId="0BE127B0"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 xml:space="preserve">Gli stimoli del cambiamento, ovvero all’apertura ai circuiti finanziari commerciali, si propagano tra le Istituzioni di microcredito, le quali si stanno rilevando un ottimo </w:t>
      </w:r>
      <w:r w:rsidRPr="00DA3FA5">
        <w:rPr>
          <w:rFonts w:ascii="Arial" w:hAnsi="Arial" w:cs="Arial"/>
          <w:sz w:val="24"/>
          <w:szCs w:val="24"/>
        </w:rPr>
        <w:t xml:space="preserve">investimento </w:t>
      </w:r>
      <w:r>
        <w:rPr>
          <w:rFonts w:ascii="Arial" w:hAnsi="Arial" w:cs="Arial"/>
          <w:sz w:val="24"/>
          <w:szCs w:val="24"/>
        </w:rPr>
        <w:t xml:space="preserve">per gli investitori privati che speculativamente sono alla ricerca di asset per l’impiego delle proprie risorse finanziarie. </w:t>
      </w:r>
    </w:p>
    <w:p w14:paraId="57BC41C9" w14:textId="77777777" w:rsidR="00077609" w:rsidRPr="005D5DDA" w:rsidRDefault="00077609" w:rsidP="00077609">
      <w:pPr>
        <w:spacing w:line="360" w:lineRule="auto"/>
        <w:jc w:val="both"/>
        <w:rPr>
          <w:rFonts w:ascii="Arial" w:hAnsi="Arial" w:cs="Arial"/>
          <w:sz w:val="24"/>
          <w:szCs w:val="24"/>
        </w:rPr>
      </w:pPr>
      <w:r>
        <w:rPr>
          <w:rFonts w:ascii="Arial" w:hAnsi="Arial" w:cs="Arial"/>
          <w:sz w:val="24"/>
          <w:szCs w:val="24"/>
        </w:rPr>
        <w:t xml:space="preserve">Uno studio sulla microfinanza della </w:t>
      </w:r>
      <w:r w:rsidRPr="005D5DDA">
        <w:rPr>
          <w:rFonts w:ascii="Arial" w:hAnsi="Arial" w:cs="Arial"/>
          <w:sz w:val="24"/>
          <w:szCs w:val="24"/>
        </w:rPr>
        <w:t xml:space="preserve">Luiss Business School </w:t>
      </w:r>
      <w:r>
        <w:rPr>
          <w:rFonts w:ascii="Arial" w:hAnsi="Arial" w:cs="Arial"/>
          <w:sz w:val="24"/>
          <w:szCs w:val="24"/>
        </w:rPr>
        <w:t xml:space="preserve">in collaborazione con la </w:t>
      </w:r>
      <w:proofErr w:type="spellStart"/>
      <w:r w:rsidRPr="00D25AA8">
        <w:rPr>
          <w:rFonts w:ascii="Arial" w:hAnsi="Arial" w:cs="Arial"/>
          <w:i/>
          <w:iCs/>
          <w:sz w:val="24"/>
          <w:szCs w:val="24"/>
        </w:rPr>
        <w:t>Mikro</w:t>
      </w:r>
      <w:proofErr w:type="spellEnd"/>
      <w:r w:rsidRPr="00D25AA8">
        <w:rPr>
          <w:rFonts w:ascii="Arial" w:hAnsi="Arial" w:cs="Arial"/>
          <w:i/>
          <w:iCs/>
          <w:sz w:val="24"/>
          <w:szCs w:val="24"/>
        </w:rPr>
        <w:t xml:space="preserve"> </w:t>
      </w:r>
      <w:proofErr w:type="spellStart"/>
      <w:r w:rsidRPr="00D25AA8">
        <w:rPr>
          <w:rFonts w:ascii="Arial" w:hAnsi="Arial" w:cs="Arial"/>
          <w:i/>
          <w:iCs/>
          <w:sz w:val="24"/>
          <w:szCs w:val="24"/>
        </w:rPr>
        <w:t>Kapital</w:t>
      </w:r>
      <w:proofErr w:type="spellEnd"/>
      <w:r w:rsidRPr="005D5DDA">
        <w:rPr>
          <w:rFonts w:ascii="Arial" w:hAnsi="Arial" w:cs="Arial"/>
          <w:sz w:val="24"/>
          <w:szCs w:val="24"/>
        </w:rPr>
        <w:t xml:space="preserve">, curato dal Prof. Raffaele Oriani, Associate Dean della Luiss Business School, </w:t>
      </w:r>
      <w:r>
        <w:rPr>
          <w:rFonts w:ascii="Arial" w:hAnsi="Arial" w:cs="Arial"/>
          <w:sz w:val="24"/>
          <w:szCs w:val="24"/>
        </w:rPr>
        <w:t xml:space="preserve">ha </w:t>
      </w:r>
      <w:r w:rsidRPr="005D5DDA">
        <w:rPr>
          <w:rFonts w:ascii="Arial" w:hAnsi="Arial" w:cs="Arial"/>
          <w:sz w:val="24"/>
          <w:szCs w:val="24"/>
        </w:rPr>
        <w:t>esplora</w:t>
      </w:r>
      <w:r>
        <w:rPr>
          <w:rFonts w:ascii="Arial" w:hAnsi="Arial" w:cs="Arial"/>
          <w:sz w:val="24"/>
          <w:szCs w:val="24"/>
        </w:rPr>
        <w:t>to</w:t>
      </w:r>
      <w:r w:rsidRPr="005D5DDA">
        <w:rPr>
          <w:rFonts w:ascii="Arial" w:hAnsi="Arial" w:cs="Arial"/>
          <w:sz w:val="24"/>
          <w:szCs w:val="24"/>
        </w:rPr>
        <w:t xml:space="preserve"> le prospettive della microfinanza come una nuova </w:t>
      </w:r>
      <w:r>
        <w:rPr>
          <w:rFonts w:ascii="Arial" w:hAnsi="Arial" w:cs="Arial"/>
          <w:sz w:val="24"/>
          <w:szCs w:val="24"/>
        </w:rPr>
        <w:t>“</w:t>
      </w:r>
      <w:r w:rsidRPr="005D5DDA">
        <w:rPr>
          <w:rFonts w:ascii="Arial" w:hAnsi="Arial" w:cs="Arial"/>
          <w:sz w:val="24"/>
          <w:szCs w:val="24"/>
        </w:rPr>
        <w:t>asset class</w:t>
      </w:r>
      <w:r>
        <w:rPr>
          <w:rFonts w:ascii="Arial" w:hAnsi="Arial" w:cs="Arial"/>
          <w:sz w:val="24"/>
          <w:szCs w:val="24"/>
        </w:rPr>
        <w:t>”</w:t>
      </w:r>
      <w:r w:rsidRPr="005D5DDA">
        <w:rPr>
          <w:rFonts w:ascii="Arial" w:hAnsi="Arial" w:cs="Arial"/>
          <w:sz w:val="24"/>
          <w:szCs w:val="24"/>
        </w:rPr>
        <w:t xml:space="preserve"> redditizia.</w:t>
      </w:r>
    </w:p>
    <w:p w14:paraId="6C34945C" w14:textId="77777777" w:rsidR="00077609" w:rsidRPr="005D5DDA" w:rsidRDefault="00077609" w:rsidP="00077609">
      <w:pPr>
        <w:spacing w:line="360" w:lineRule="auto"/>
        <w:jc w:val="both"/>
        <w:rPr>
          <w:rFonts w:ascii="Arial" w:hAnsi="Arial" w:cs="Arial"/>
          <w:sz w:val="24"/>
          <w:szCs w:val="24"/>
        </w:rPr>
      </w:pPr>
      <w:r w:rsidRPr="005D5DDA">
        <w:rPr>
          <w:rFonts w:ascii="Arial" w:hAnsi="Arial" w:cs="Arial"/>
          <w:sz w:val="24"/>
          <w:szCs w:val="24"/>
        </w:rPr>
        <w:t xml:space="preserve">L’analisi </w:t>
      </w:r>
      <w:r>
        <w:rPr>
          <w:rFonts w:ascii="Arial" w:hAnsi="Arial" w:cs="Arial"/>
          <w:sz w:val="24"/>
          <w:szCs w:val="24"/>
        </w:rPr>
        <w:t>che emerge dal</w:t>
      </w:r>
      <w:r w:rsidRPr="005D5DDA">
        <w:rPr>
          <w:rFonts w:ascii="Arial" w:hAnsi="Arial" w:cs="Arial"/>
          <w:sz w:val="24"/>
          <w:szCs w:val="24"/>
        </w:rPr>
        <w:t xml:space="preserve"> paper evidenzia l’esistenza di un mercato potenziale ampio e in crescit</w:t>
      </w:r>
      <w:r>
        <w:rPr>
          <w:rFonts w:ascii="Arial" w:hAnsi="Arial" w:cs="Arial"/>
          <w:sz w:val="24"/>
          <w:szCs w:val="24"/>
        </w:rPr>
        <w:t xml:space="preserve">a e </w:t>
      </w:r>
      <w:r w:rsidRPr="005D5DDA">
        <w:rPr>
          <w:rFonts w:ascii="Arial" w:hAnsi="Arial" w:cs="Arial"/>
          <w:sz w:val="24"/>
          <w:szCs w:val="24"/>
        </w:rPr>
        <w:t>la presenza di investitori istituzionali privati (</w:t>
      </w:r>
      <w:proofErr w:type="spellStart"/>
      <w:r w:rsidRPr="005D5DDA">
        <w:rPr>
          <w:rFonts w:ascii="Arial" w:hAnsi="Arial" w:cs="Arial"/>
          <w:sz w:val="24"/>
          <w:szCs w:val="24"/>
        </w:rPr>
        <w:t>Microfinance</w:t>
      </w:r>
      <w:proofErr w:type="spellEnd"/>
      <w:r w:rsidRPr="005D5DDA">
        <w:rPr>
          <w:rFonts w:ascii="Arial" w:hAnsi="Arial" w:cs="Arial"/>
          <w:sz w:val="24"/>
          <w:szCs w:val="24"/>
        </w:rPr>
        <w:t xml:space="preserve"> Investment </w:t>
      </w:r>
      <w:proofErr w:type="spellStart"/>
      <w:r w:rsidRPr="005D5DDA">
        <w:rPr>
          <w:rFonts w:ascii="Arial" w:hAnsi="Arial" w:cs="Arial"/>
          <w:sz w:val="24"/>
          <w:szCs w:val="24"/>
        </w:rPr>
        <w:t>Vehicles</w:t>
      </w:r>
      <w:proofErr w:type="spellEnd"/>
      <w:r w:rsidRPr="005D5DDA">
        <w:rPr>
          <w:rFonts w:ascii="Arial" w:hAnsi="Arial" w:cs="Arial"/>
          <w:sz w:val="24"/>
          <w:szCs w:val="24"/>
        </w:rPr>
        <w:t>, MIV</w:t>
      </w:r>
      <w:r>
        <w:rPr>
          <w:rStyle w:val="Rimandonotaapidipagina"/>
          <w:rFonts w:ascii="Arial" w:hAnsi="Arial" w:cs="Arial"/>
          <w:sz w:val="24"/>
          <w:szCs w:val="24"/>
        </w:rPr>
        <w:footnoteReference w:id="106"/>
      </w:r>
      <w:r w:rsidRPr="005D5DDA">
        <w:rPr>
          <w:rFonts w:ascii="Arial" w:hAnsi="Arial" w:cs="Arial"/>
          <w:sz w:val="24"/>
          <w:szCs w:val="24"/>
        </w:rPr>
        <w:t>)</w:t>
      </w:r>
      <w:r>
        <w:rPr>
          <w:rFonts w:ascii="Arial" w:hAnsi="Arial" w:cs="Arial"/>
          <w:sz w:val="24"/>
          <w:szCs w:val="24"/>
        </w:rPr>
        <w:t>.</w:t>
      </w:r>
    </w:p>
    <w:p w14:paraId="382C6D2E" w14:textId="77777777" w:rsidR="00077609" w:rsidRPr="00DA3FA5" w:rsidRDefault="00077609" w:rsidP="00077609">
      <w:pPr>
        <w:spacing w:line="360" w:lineRule="auto"/>
        <w:jc w:val="both"/>
        <w:rPr>
          <w:rFonts w:ascii="Arial" w:hAnsi="Arial" w:cs="Arial"/>
          <w:sz w:val="24"/>
          <w:szCs w:val="24"/>
        </w:rPr>
      </w:pPr>
      <w:r>
        <w:rPr>
          <w:rFonts w:ascii="Arial" w:hAnsi="Arial" w:cs="Arial"/>
          <w:sz w:val="24"/>
          <w:szCs w:val="24"/>
        </w:rPr>
        <w:lastRenderedPageBreak/>
        <w:t xml:space="preserve">I </w:t>
      </w:r>
      <w:r w:rsidRPr="005E2355">
        <w:rPr>
          <w:rFonts w:ascii="Arial" w:hAnsi="Arial" w:cs="Arial"/>
          <w:sz w:val="24"/>
          <w:szCs w:val="24"/>
        </w:rPr>
        <w:t>rendimenti</w:t>
      </w:r>
      <w:r>
        <w:rPr>
          <w:rFonts w:ascii="Arial" w:hAnsi="Arial" w:cs="Arial"/>
          <w:sz w:val="24"/>
          <w:szCs w:val="24"/>
        </w:rPr>
        <w:t xml:space="preserve"> previsti</w:t>
      </w:r>
      <w:r>
        <w:rPr>
          <w:rStyle w:val="Rimandonotaapidipagina"/>
          <w:rFonts w:ascii="Arial" w:hAnsi="Arial" w:cs="Arial"/>
          <w:sz w:val="24"/>
          <w:szCs w:val="24"/>
        </w:rPr>
        <w:footnoteReference w:id="107"/>
      </w:r>
      <w:r>
        <w:rPr>
          <w:rFonts w:ascii="Arial" w:hAnsi="Arial" w:cs="Arial"/>
          <w:sz w:val="24"/>
          <w:szCs w:val="24"/>
        </w:rPr>
        <w:t xml:space="preserve"> </w:t>
      </w:r>
      <w:r w:rsidRPr="005E2355">
        <w:rPr>
          <w:rFonts w:ascii="Arial" w:hAnsi="Arial" w:cs="Arial"/>
          <w:sz w:val="24"/>
          <w:szCs w:val="24"/>
        </w:rPr>
        <w:t>sono caratterizzati da una combinazione rischio-rendimento peculiare</w:t>
      </w:r>
      <w:r>
        <w:rPr>
          <w:rFonts w:ascii="Arial" w:hAnsi="Arial" w:cs="Arial"/>
          <w:sz w:val="24"/>
          <w:szCs w:val="24"/>
        </w:rPr>
        <w:t xml:space="preserve"> e da una </w:t>
      </w:r>
      <w:r w:rsidRPr="005E2355">
        <w:rPr>
          <w:rFonts w:ascii="Arial" w:hAnsi="Arial" w:cs="Arial"/>
          <w:sz w:val="24"/>
          <w:szCs w:val="24"/>
        </w:rPr>
        <w:t>volatilità</w:t>
      </w:r>
      <w:r>
        <w:rPr>
          <w:rFonts w:ascii="Arial" w:hAnsi="Arial" w:cs="Arial"/>
          <w:sz w:val="24"/>
          <w:szCs w:val="24"/>
        </w:rPr>
        <w:t xml:space="preserve"> molto bassa</w:t>
      </w:r>
      <w:r w:rsidRPr="005E2355">
        <w:rPr>
          <w:rFonts w:ascii="Arial" w:hAnsi="Arial" w:cs="Arial"/>
          <w:sz w:val="24"/>
          <w:szCs w:val="24"/>
        </w:rPr>
        <w:t xml:space="preserve">. </w:t>
      </w:r>
      <w:r>
        <w:rPr>
          <w:rFonts w:ascii="Arial" w:hAnsi="Arial" w:cs="Arial"/>
          <w:sz w:val="24"/>
          <w:szCs w:val="24"/>
        </w:rPr>
        <w:t xml:space="preserve">Le attese auspicate designano la </w:t>
      </w:r>
      <w:r w:rsidRPr="005E2355">
        <w:rPr>
          <w:rFonts w:ascii="Arial" w:hAnsi="Arial" w:cs="Arial"/>
          <w:sz w:val="24"/>
          <w:szCs w:val="24"/>
        </w:rPr>
        <w:t>microfinanza come una specifica asset class</w:t>
      </w:r>
      <w:r>
        <w:rPr>
          <w:rFonts w:ascii="Arial" w:hAnsi="Arial" w:cs="Arial"/>
          <w:sz w:val="24"/>
          <w:szCs w:val="24"/>
        </w:rPr>
        <w:t xml:space="preserve"> in un </w:t>
      </w:r>
      <w:r w:rsidRPr="00DA3FA5">
        <w:rPr>
          <w:rFonts w:ascii="Arial" w:hAnsi="Arial" w:cs="Arial"/>
          <w:sz w:val="24"/>
          <w:szCs w:val="24"/>
        </w:rPr>
        <w:t>mercato che supera ormai i 100 miliardi di dollari</w:t>
      </w:r>
      <w:r>
        <w:rPr>
          <w:rFonts w:ascii="Arial" w:hAnsi="Arial" w:cs="Arial"/>
          <w:sz w:val="24"/>
          <w:szCs w:val="24"/>
        </w:rPr>
        <w:t>.</w:t>
      </w:r>
    </w:p>
    <w:p w14:paraId="1B655CF3"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Precedentemente, n</w:t>
      </w:r>
      <w:r w:rsidRPr="00DA3FA5">
        <w:rPr>
          <w:rFonts w:ascii="Arial" w:hAnsi="Arial" w:cs="Arial"/>
          <w:sz w:val="24"/>
          <w:szCs w:val="24"/>
        </w:rPr>
        <w:t>el 2015 erano</w:t>
      </w:r>
      <w:r>
        <w:rPr>
          <w:rFonts w:ascii="Arial" w:hAnsi="Arial" w:cs="Arial"/>
          <w:sz w:val="24"/>
          <w:szCs w:val="24"/>
        </w:rPr>
        <w:t xml:space="preserve"> stati investiti 70 </w:t>
      </w:r>
      <w:r w:rsidRPr="00DA3FA5">
        <w:rPr>
          <w:rFonts w:ascii="Arial" w:hAnsi="Arial" w:cs="Arial"/>
          <w:sz w:val="24"/>
          <w:szCs w:val="24"/>
        </w:rPr>
        <w:t xml:space="preserve">miliardi </w:t>
      </w:r>
      <w:r>
        <w:rPr>
          <w:rFonts w:ascii="Arial" w:hAnsi="Arial" w:cs="Arial"/>
          <w:sz w:val="24"/>
          <w:szCs w:val="24"/>
        </w:rPr>
        <w:t>di</w:t>
      </w:r>
      <w:r w:rsidRPr="00DA3FA5">
        <w:rPr>
          <w:rFonts w:ascii="Arial" w:hAnsi="Arial" w:cs="Arial"/>
          <w:sz w:val="24"/>
          <w:szCs w:val="24"/>
        </w:rPr>
        <w:t xml:space="preserve"> dollari</w:t>
      </w:r>
      <w:r>
        <w:rPr>
          <w:rFonts w:ascii="Arial" w:hAnsi="Arial" w:cs="Arial"/>
          <w:sz w:val="24"/>
          <w:szCs w:val="24"/>
        </w:rPr>
        <w:t xml:space="preserve">, per complessivi </w:t>
      </w:r>
      <w:r w:rsidRPr="00DA3FA5">
        <w:rPr>
          <w:rFonts w:ascii="Arial" w:hAnsi="Arial" w:cs="Arial"/>
          <w:sz w:val="24"/>
          <w:szCs w:val="24"/>
        </w:rPr>
        <w:t xml:space="preserve">200 milioni di soggetti finanziati, </w:t>
      </w:r>
      <w:r>
        <w:rPr>
          <w:rFonts w:ascii="Arial" w:hAnsi="Arial" w:cs="Arial"/>
          <w:sz w:val="24"/>
          <w:szCs w:val="24"/>
        </w:rPr>
        <w:t xml:space="preserve">con un’aggiunta, nel 2016, di ulteriori 37 miliardi, facendo attestare al </w:t>
      </w:r>
      <w:r w:rsidRPr="00DA3FA5">
        <w:rPr>
          <w:rFonts w:ascii="Arial" w:hAnsi="Arial" w:cs="Arial"/>
          <w:sz w:val="24"/>
          <w:szCs w:val="24"/>
        </w:rPr>
        <w:t>9%</w:t>
      </w:r>
      <w:r>
        <w:rPr>
          <w:rFonts w:ascii="Arial" w:hAnsi="Arial" w:cs="Arial"/>
          <w:sz w:val="24"/>
          <w:szCs w:val="24"/>
        </w:rPr>
        <w:t xml:space="preserve"> l’incremento degli investimenti rispetto a quelli del 2015. La stima </w:t>
      </w:r>
      <w:proofErr w:type="gramStart"/>
      <w:r>
        <w:rPr>
          <w:rFonts w:ascii="Arial" w:hAnsi="Arial" w:cs="Arial"/>
          <w:sz w:val="24"/>
          <w:szCs w:val="24"/>
        </w:rPr>
        <w:t>del trend</w:t>
      </w:r>
      <w:proofErr w:type="gramEnd"/>
      <w:r>
        <w:rPr>
          <w:rFonts w:ascii="Arial" w:hAnsi="Arial" w:cs="Arial"/>
          <w:sz w:val="24"/>
          <w:szCs w:val="24"/>
        </w:rPr>
        <w:t xml:space="preserve"> di crescita prevista dagli analisti si aggira ad un aumento dei finanziamenti del</w:t>
      </w:r>
      <w:r w:rsidRPr="00DA3FA5">
        <w:rPr>
          <w:rFonts w:ascii="Arial" w:hAnsi="Arial" w:cs="Arial"/>
          <w:sz w:val="24"/>
          <w:szCs w:val="24"/>
        </w:rPr>
        <w:t xml:space="preserve"> 15% nel</w:t>
      </w:r>
      <w:r>
        <w:rPr>
          <w:rFonts w:ascii="Arial" w:hAnsi="Arial" w:cs="Arial"/>
          <w:sz w:val="24"/>
          <w:szCs w:val="24"/>
        </w:rPr>
        <w:t xml:space="preserve">l’arco temporale </w:t>
      </w:r>
      <w:r w:rsidRPr="00DA3FA5">
        <w:rPr>
          <w:rFonts w:ascii="Arial" w:hAnsi="Arial" w:cs="Arial"/>
          <w:sz w:val="24"/>
          <w:szCs w:val="24"/>
        </w:rPr>
        <w:t xml:space="preserve">2016-2020. </w:t>
      </w:r>
    </w:p>
    <w:p w14:paraId="1AAB8496" w14:textId="77777777" w:rsidR="00077609" w:rsidRDefault="00077609" w:rsidP="00077609">
      <w:pPr>
        <w:spacing w:line="360" w:lineRule="auto"/>
        <w:jc w:val="both"/>
        <w:rPr>
          <w:rFonts w:ascii="Arial" w:hAnsi="Arial" w:cs="Arial"/>
          <w:sz w:val="24"/>
          <w:szCs w:val="24"/>
        </w:rPr>
      </w:pPr>
      <w:r>
        <w:rPr>
          <w:rFonts w:ascii="Arial" w:hAnsi="Arial" w:cs="Arial"/>
          <w:sz w:val="24"/>
          <w:szCs w:val="24"/>
        </w:rPr>
        <w:t xml:space="preserve">Dal rapporto pubblicato da </w:t>
      </w:r>
      <w:proofErr w:type="spellStart"/>
      <w:r w:rsidRPr="00B05689">
        <w:rPr>
          <w:rFonts w:ascii="Arial" w:hAnsi="Arial" w:cs="Arial"/>
          <w:i/>
          <w:iCs/>
          <w:sz w:val="24"/>
          <w:szCs w:val="24"/>
        </w:rPr>
        <w:t>Symbiotic</w:t>
      </w:r>
      <w:proofErr w:type="spellEnd"/>
      <w:r>
        <w:rPr>
          <w:rFonts w:ascii="Arial" w:hAnsi="Arial" w:cs="Arial"/>
          <w:sz w:val="24"/>
          <w:szCs w:val="24"/>
        </w:rPr>
        <w:t xml:space="preserve">, una delle principali piattaforme di accesso al mercato degli investimenti ad alto impatto, e pubblicato dal Sole 24 Ore, </w:t>
      </w:r>
      <w:r w:rsidRPr="00187F00">
        <w:rPr>
          <w:rFonts w:ascii="Arial" w:hAnsi="Arial" w:cs="Arial"/>
          <w:sz w:val="24"/>
          <w:szCs w:val="24"/>
        </w:rPr>
        <w:t>si rileva che</w:t>
      </w:r>
      <w:r>
        <w:rPr>
          <w:rFonts w:ascii="Arial" w:hAnsi="Arial" w:cs="Arial"/>
          <w:sz w:val="24"/>
          <w:szCs w:val="24"/>
        </w:rPr>
        <w:t xml:space="preserve"> una quota</w:t>
      </w:r>
      <w:r w:rsidRPr="00187F00">
        <w:rPr>
          <w:rFonts w:ascii="Arial" w:hAnsi="Arial" w:cs="Arial"/>
          <w:sz w:val="24"/>
          <w:szCs w:val="24"/>
        </w:rPr>
        <w:t xml:space="preserve"> </w:t>
      </w:r>
      <w:r>
        <w:rPr>
          <w:rFonts w:ascii="Arial" w:hAnsi="Arial" w:cs="Arial"/>
          <w:sz w:val="24"/>
          <w:szCs w:val="24"/>
        </w:rPr>
        <w:t xml:space="preserve">rilevante degli investimenti </w:t>
      </w:r>
      <w:r w:rsidRPr="00DA3FA5">
        <w:rPr>
          <w:rFonts w:ascii="Arial" w:hAnsi="Arial" w:cs="Arial"/>
          <w:sz w:val="24"/>
          <w:szCs w:val="24"/>
        </w:rPr>
        <w:t>(13,5 miliardi a fine 2017</w:t>
      </w:r>
      <w:r>
        <w:rPr>
          <w:rFonts w:ascii="Arial" w:hAnsi="Arial" w:cs="Arial"/>
          <w:sz w:val="24"/>
          <w:szCs w:val="24"/>
        </w:rPr>
        <w:t xml:space="preserve">, </w:t>
      </w:r>
      <w:r w:rsidRPr="00DA3FA5">
        <w:rPr>
          <w:rFonts w:ascii="Arial" w:hAnsi="Arial" w:cs="Arial"/>
          <w:sz w:val="24"/>
          <w:szCs w:val="24"/>
        </w:rPr>
        <w:t xml:space="preserve">con un incremento media annua delle attività gestite del 22% fra il 2006 e il 2016) </w:t>
      </w:r>
      <w:r>
        <w:rPr>
          <w:rFonts w:ascii="Arial" w:hAnsi="Arial" w:cs="Arial"/>
          <w:sz w:val="24"/>
          <w:szCs w:val="24"/>
        </w:rPr>
        <w:t xml:space="preserve">sia </w:t>
      </w:r>
      <w:r w:rsidRPr="00DA3FA5">
        <w:rPr>
          <w:rFonts w:ascii="Arial" w:hAnsi="Arial" w:cs="Arial"/>
          <w:sz w:val="24"/>
          <w:szCs w:val="24"/>
        </w:rPr>
        <w:t xml:space="preserve">gestita </w:t>
      </w:r>
      <w:r>
        <w:rPr>
          <w:rFonts w:ascii="Arial" w:hAnsi="Arial" w:cs="Arial"/>
          <w:sz w:val="24"/>
          <w:szCs w:val="24"/>
        </w:rPr>
        <w:t>utilizzando i V</w:t>
      </w:r>
      <w:r w:rsidRPr="00DA3FA5">
        <w:rPr>
          <w:rFonts w:ascii="Arial" w:hAnsi="Arial" w:cs="Arial"/>
          <w:sz w:val="24"/>
          <w:szCs w:val="24"/>
        </w:rPr>
        <w:t xml:space="preserve">eicoli </w:t>
      </w:r>
      <w:r>
        <w:rPr>
          <w:rFonts w:ascii="Arial" w:hAnsi="Arial" w:cs="Arial"/>
          <w:sz w:val="24"/>
          <w:szCs w:val="24"/>
        </w:rPr>
        <w:t>I</w:t>
      </w:r>
      <w:r w:rsidRPr="00DA3FA5">
        <w:rPr>
          <w:rFonts w:ascii="Arial" w:hAnsi="Arial" w:cs="Arial"/>
          <w:sz w:val="24"/>
          <w:szCs w:val="24"/>
        </w:rPr>
        <w:t xml:space="preserve">ndipendenti di </w:t>
      </w:r>
      <w:r>
        <w:rPr>
          <w:rFonts w:ascii="Arial" w:hAnsi="Arial" w:cs="Arial"/>
          <w:sz w:val="24"/>
          <w:szCs w:val="24"/>
        </w:rPr>
        <w:t>I</w:t>
      </w:r>
      <w:r w:rsidRPr="00DA3FA5">
        <w:rPr>
          <w:rFonts w:ascii="Arial" w:hAnsi="Arial" w:cs="Arial"/>
          <w:sz w:val="24"/>
          <w:szCs w:val="24"/>
        </w:rPr>
        <w:t>nvestimento (</w:t>
      </w:r>
      <w:proofErr w:type="spellStart"/>
      <w:r w:rsidRPr="00DA3FA5">
        <w:rPr>
          <w:rFonts w:ascii="Arial" w:hAnsi="Arial" w:cs="Arial"/>
          <w:sz w:val="24"/>
          <w:szCs w:val="24"/>
        </w:rPr>
        <w:t>Microfinance</w:t>
      </w:r>
      <w:proofErr w:type="spellEnd"/>
      <w:r w:rsidRPr="00DA3FA5">
        <w:rPr>
          <w:rFonts w:ascii="Arial" w:hAnsi="Arial" w:cs="Arial"/>
          <w:sz w:val="24"/>
          <w:szCs w:val="24"/>
        </w:rPr>
        <w:t xml:space="preserve"> Investments </w:t>
      </w:r>
      <w:proofErr w:type="spellStart"/>
      <w:r w:rsidRPr="00DA3FA5">
        <w:rPr>
          <w:rFonts w:ascii="Arial" w:hAnsi="Arial" w:cs="Arial"/>
          <w:sz w:val="24"/>
          <w:szCs w:val="24"/>
        </w:rPr>
        <w:t>Vehicles</w:t>
      </w:r>
      <w:proofErr w:type="spellEnd"/>
      <w:r w:rsidRPr="00DA3FA5">
        <w:rPr>
          <w:rFonts w:ascii="Arial" w:hAnsi="Arial" w:cs="Arial"/>
          <w:sz w:val="24"/>
          <w:szCs w:val="24"/>
        </w:rPr>
        <w:t xml:space="preserve">, </w:t>
      </w:r>
      <w:proofErr w:type="spellStart"/>
      <w:r w:rsidRPr="00DA3FA5">
        <w:rPr>
          <w:rFonts w:ascii="Arial" w:hAnsi="Arial" w:cs="Arial"/>
          <w:sz w:val="24"/>
          <w:szCs w:val="24"/>
        </w:rPr>
        <w:t>Miv</w:t>
      </w:r>
      <w:proofErr w:type="spellEnd"/>
      <w:r w:rsidRPr="00DA3FA5">
        <w:rPr>
          <w:rFonts w:ascii="Arial" w:hAnsi="Arial" w:cs="Arial"/>
          <w:sz w:val="24"/>
          <w:szCs w:val="24"/>
        </w:rPr>
        <w:t>)</w:t>
      </w:r>
      <w:r>
        <w:rPr>
          <w:rFonts w:ascii="Arial" w:hAnsi="Arial" w:cs="Arial"/>
          <w:sz w:val="24"/>
          <w:szCs w:val="24"/>
        </w:rPr>
        <w:t>. Tale circostanza appare favorevole al mercato del microcredito in una prospettiva ritenuto inserito nel contesto degli asset class.</w:t>
      </w:r>
    </w:p>
    <w:p w14:paraId="410A2BB5" w14:textId="77777777" w:rsidR="00077609" w:rsidRDefault="00077609" w:rsidP="00077609">
      <w:pPr>
        <w:tabs>
          <w:tab w:val="left" w:pos="709"/>
        </w:tabs>
        <w:spacing w:line="360" w:lineRule="auto"/>
        <w:jc w:val="both"/>
        <w:rPr>
          <w:rFonts w:ascii="Arial" w:hAnsi="Arial" w:cs="Arial"/>
          <w:bCs/>
          <w:sz w:val="24"/>
          <w:szCs w:val="24"/>
        </w:rPr>
      </w:pPr>
      <w:r>
        <w:rPr>
          <w:rFonts w:ascii="Arial" w:hAnsi="Arial" w:cs="Arial"/>
          <w:bCs/>
          <w:sz w:val="24"/>
          <w:szCs w:val="24"/>
        </w:rPr>
        <w:t xml:space="preserve">I dati esposti rilevano anche che </w:t>
      </w:r>
      <w:r w:rsidRPr="00DA3FA5">
        <w:rPr>
          <w:rFonts w:ascii="Arial" w:hAnsi="Arial" w:cs="Arial"/>
          <w:bCs/>
          <w:sz w:val="24"/>
          <w:szCs w:val="24"/>
        </w:rPr>
        <w:t>nel tempo</w:t>
      </w:r>
      <w:r>
        <w:rPr>
          <w:rFonts w:ascii="Arial" w:hAnsi="Arial" w:cs="Arial"/>
          <w:bCs/>
          <w:sz w:val="24"/>
          <w:szCs w:val="24"/>
        </w:rPr>
        <w:t xml:space="preserve">, la </w:t>
      </w:r>
      <w:r w:rsidRPr="00DA3FA5">
        <w:rPr>
          <w:rFonts w:ascii="Arial" w:hAnsi="Arial" w:cs="Arial"/>
          <w:bCs/>
          <w:sz w:val="24"/>
          <w:szCs w:val="24"/>
        </w:rPr>
        <w:t xml:space="preserve">platea degli investitori si sia evoluta e </w:t>
      </w:r>
      <w:r>
        <w:rPr>
          <w:rFonts w:ascii="Arial" w:hAnsi="Arial" w:cs="Arial"/>
          <w:bCs/>
          <w:sz w:val="24"/>
          <w:szCs w:val="24"/>
        </w:rPr>
        <w:t xml:space="preserve">che la </w:t>
      </w:r>
      <w:r w:rsidRPr="00DA3FA5">
        <w:rPr>
          <w:rFonts w:ascii="Arial" w:hAnsi="Arial" w:cs="Arial"/>
          <w:bCs/>
          <w:sz w:val="24"/>
          <w:szCs w:val="24"/>
        </w:rPr>
        <w:t xml:space="preserve">prevalenza del denaro pubblico si </w:t>
      </w:r>
      <w:r>
        <w:rPr>
          <w:rFonts w:ascii="Arial" w:hAnsi="Arial" w:cs="Arial"/>
          <w:bCs/>
          <w:sz w:val="24"/>
          <w:szCs w:val="24"/>
        </w:rPr>
        <w:t xml:space="preserve">stata </w:t>
      </w:r>
      <w:r w:rsidRPr="00DA3FA5">
        <w:rPr>
          <w:rFonts w:ascii="Arial" w:hAnsi="Arial" w:cs="Arial"/>
          <w:bCs/>
          <w:sz w:val="24"/>
          <w:szCs w:val="24"/>
        </w:rPr>
        <w:t>sostituit</w:t>
      </w:r>
      <w:r>
        <w:rPr>
          <w:rFonts w:ascii="Arial" w:hAnsi="Arial" w:cs="Arial"/>
          <w:bCs/>
          <w:sz w:val="24"/>
          <w:szCs w:val="24"/>
        </w:rPr>
        <w:t>a progressivamente da</w:t>
      </w:r>
      <w:r w:rsidRPr="00DA3FA5">
        <w:rPr>
          <w:rFonts w:ascii="Arial" w:hAnsi="Arial" w:cs="Arial"/>
          <w:bCs/>
          <w:sz w:val="24"/>
          <w:szCs w:val="24"/>
        </w:rPr>
        <w:t xml:space="preserve"> fondi di provenienza privata</w:t>
      </w:r>
      <w:r>
        <w:rPr>
          <w:rFonts w:ascii="Arial" w:hAnsi="Arial" w:cs="Arial"/>
          <w:bCs/>
          <w:sz w:val="24"/>
          <w:szCs w:val="24"/>
        </w:rPr>
        <w:t>: il 52%</w:t>
      </w:r>
      <w:r w:rsidRPr="00DA3FA5">
        <w:rPr>
          <w:rFonts w:ascii="Arial" w:hAnsi="Arial" w:cs="Arial"/>
          <w:bCs/>
          <w:sz w:val="24"/>
          <w:szCs w:val="24"/>
        </w:rPr>
        <w:t xml:space="preserve"> da investitor</w:t>
      </w:r>
      <w:r>
        <w:rPr>
          <w:rFonts w:ascii="Arial" w:hAnsi="Arial" w:cs="Arial"/>
          <w:bCs/>
          <w:sz w:val="24"/>
          <w:szCs w:val="24"/>
        </w:rPr>
        <w:t xml:space="preserve">i </w:t>
      </w:r>
      <w:r w:rsidRPr="00DA3FA5">
        <w:rPr>
          <w:rFonts w:ascii="Arial" w:hAnsi="Arial" w:cs="Arial"/>
          <w:bCs/>
          <w:sz w:val="24"/>
          <w:szCs w:val="24"/>
        </w:rPr>
        <w:t>istituzionali</w:t>
      </w:r>
      <w:r>
        <w:rPr>
          <w:rFonts w:ascii="Arial" w:hAnsi="Arial" w:cs="Arial"/>
          <w:bCs/>
          <w:sz w:val="24"/>
          <w:szCs w:val="24"/>
        </w:rPr>
        <w:t xml:space="preserve">, </w:t>
      </w:r>
      <w:r w:rsidRPr="00DA3FA5">
        <w:rPr>
          <w:rFonts w:ascii="Arial" w:hAnsi="Arial" w:cs="Arial"/>
          <w:bCs/>
          <w:sz w:val="24"/>
          <w:szCs w:val="24"/>
        </w:rPr>
        <w:t xml:space="preserve">il 28% </w:t>
      </w:r>
      <w:r>
        <w:rPr>
          <w:rFonts w:ascii="Arial" w:hAnsi="Arial" w:cs="Arial"/>
          <w:bCs/>
          <w:sz w:val="24"/>
          <w:szCs w:val="24"/>
        </w:rPr>
        <w:t xml:space="preserve">da </w:t>
      </w:r>
      <w:r w:rsidRPr="00DA3FA5">
        <w:rPr>
          <w:rFonts w:ascii="Arial" w:hAnsi="Arial" w:cs="Arial"/>
          <w:bCs/>
          <w:sz w:val="24"/>
          <w:szCs w:val="24"/>
        </w:rPr>
        <w:t xml:space="preserve">soggetti retail e </w:t>
      </w:r>
      <w:r>
        <w:rPr>
          <w:rFonts w:ascii="Arial" w:hAnsi="Arial" w:cs="Arial"/>
          <w:bCs/>
          <w:sz w:val="24"/>
          <w:szCs w:val="24"/>
        </w:rPr>
        <w:t>il 20% da</w:t>
      </w:r>
      <w:r w:rsidRPr="00DA3FA5">
        <w:rPr>
          <w:rFonts w:ascii="Arial" w:hAnsi="Arial" w:cs="Arial"/>
          <w:bCs/>
          <w:sz w:val="24"/>
          <w:szCs w:val="24"/>
        </w:rPr>
        <w:t>gli investitori pubblici</w:t>
      </w:r>
      <w:r>
        <w:rPr>
          <w:rFonts w:ascii="Arial" w:hAnsi="Arial" w:cs="Arial"/>
          <w:bCs/>
          <w:sz w:val="24"/>
          <w:szCs w:val="24"/>
        </w:rPr>
        <w:t>.</w:t>
      </w:r>
    </w:p>
    <w:p w14:paraId="3E3BA7F4" w14:textId="77777777" w:rsidR="00077609" w:rsidRPr="00DD6542" w:rsidRDefault="00077609" w:rsidP="00077609">
      <w:pPr>
        <w:tabs>
          <w:tab w:val="left" w:pos="709"/>
        </w:tabs>
        <w:spacing w:line="360" w:lineRule="auto"/>
        <w:jc w:val="both"/>
        <w:rPr>
          <w:rFonts w:ascii="Arial" w:hAnsi="Arial" w:cs="Arial"/>
          <w:bCs/>
          <w:sz w:val="24"/>
          <w:szCs w:val="24"/>
        </w:rPr>
      </w:pPr>
      <w:r>
        <w:rPr>
          <w:rFonts w:ascii="Arial" w:hAnsi="Arial" w:cs="Arial"/>
          <w:bCs/>
          <w:sz w:val="24"/>
          <w:szCs w:val="24"/>
        </w:rPr>
        <w:t>Si ha notizia</w:t>
      </w:r>
      <w:r>
        <w:rPr>
          <w:rStyle w:val="Rimandonotaapidipagina"/>
          <w:rFonts w:ascii="Arial" w:hAnsi="Arial" w:cs="Arial"/>
          <w:bCs/>
          <w:sz w:val="24"/>
          <w:szCs w:val="24"/>
        </w:rPr>
        <w:footnoteReference w:id="108"/>
      </w:r>
      <w:r>
        <w:rPr>
          <w:rFonts w:ascii="Arial" w:hAnsi="Arial" w:cs="Arial"/>
          <w:bCs/>
          <w:sz w:val="24"/>
          <w:szCs w:val="24"/>
        </w:rPr>
        <w:t xml:space="preserve"> anche della prima cartolarizzazione </w:t>
      </w:r>
      <w:r w:rsidRPr="00691413">
        <w:rPr>
          <w:rFonts w:ascii="Arial" w:hAnsi="Arial" w:cs="Arial"/>
          <w:bCs/>
          <w:sz w:val="24"/>
          <w:szCs w:val="24"/>
        </w:rPr>
        <w:t>di Microcredito di Impresa</w:t>
      </w:r>
      <w:r>
        <w:rPr>
          <w:rFonts w:ascii="Arial" w:hAnsi="Arial" w:cs="Arial"/>
          <w:bCs/>
          <w:sz w:val="24"/>
          <w:szCs w:val="24"/>
        </w:rPr>
        <w:t xml:space="preserve">, </w:t>
      </w:r>
      <w:r w:rsidRPr="00691413">
        <w:rPr>
          <w:rFonts w:ascii="Arial" w:hAnsi="Arial" w:cs="Arial"/>
          <w:bCs/>
          <w:sz w:val="24"/>
          <w:szCs w:val="24"/>
        </w:rPr>
        <w:t xml:space="preserve">strutturata da </w:t>
      </w:r>
      <w:proofErr w:type="spellStart"/>
      <w:r w:rsidRPr="00B05689">
        <w:rPr>
          <w:rFonts w:ascii="Arial" w:hAnsi="Arial" w:cs="Arial"/>
          <w:bCs/>
          <w:i/>
          <w:iCs/>
          <w:sz w:val="24"/>
          <w:szCs w:val="24"/>
        </w:rPr>
        <w:t>Illimity</w:t>
      </w:r>
      <w:proofErr w:type="spellEnd"/>
      <w:r w:rsidRPr="00B05689">
        <w:rPr>
          <w:rFonts w:ascii="Arial" w:hAnsi="Arial" w:cs="Arial"/>
          <w:bCs/>
          <w:i/>
          <w:iCs/>
          <w:sz w:val="24"/>
          <w:szCs w:val="24"/>
        </w:rPr>
        <w:t xml:space="preserve"> Bank</w:t>
      </w:r>
      <w:r>
        <w:rPr>
          <w:rFonts w:ascii="Arial" w:hAnsi="Arial" w:cs="Arial"/>
          <w:bCs/>
          <w:sz w:val="24"/>
          <w:szCs w:val="24"/>
        </w:rPr>
        <w:t xml:space="preserve"> e </w:t>
      </w:r>
      <w:r w:rsidRPr="00192585">
        <w:rPr>
          <w:rFonts w:ascii="Arial" w:hAnsi="Arial" w:cs="Arial"/>
          <w:bCs/>
          <w:sz w:val="24"/>
          <w:szCs w:val="24"/>
        </w:rPr>
        <w:t>realizzat</w:t>
      </w:r>
      <w:r>
        <w:rPr>
          <w:rFonts w:ascii="Arial" w:hAnsi="Arial" w:cs="Arial"/>
          <w:bCs/>
          <w:sz w:val="24"/>
          <w:szCs w:val="24"/>
        </w:rPr>
        <w:t>a sul</w:t>
      </w:r>
      <w:r w:rsidRPr="00192585">
        <w:rPr>
          <w:rFonts w:ascii="Arial" w:hAnsi="Arial" w:cs="Arial"/>
          <w:bCs/>
          <w:sz w:val="24"/>
          <w:szCs w:val="24"/>
        </w:rPr>
        <w:t xml:space="preserve"> mercato italiano avent</w:t>
      </w:r>
      <w:r>
        <w:rPr>
          <w:rFonts w:ascii="Arial" w:hAnsi="Arial" w:cs="Arial"/>
          <w:bCs/>
          <w:sz w:val="24"/>
          <w:szCs w:val="24"/>
        </w:rPr>
        <w:t xml:space="preserve">e </w:t>
      </w:r>
      <w:r w:rsidRPr="00192585">
        <w:rPr>
          <w:rFonts w:ascii="Arial" w:hAnsi="Arial" w:cs="Arial"/>
          <w:bCs/>
          <w:sz w:val="24"/>
          <w:szCs w:val="24"/>
        </w:rPr>
        <w:t>ad oggetto crediti</w:t>
      </w:r>
      <w:r>
        <w:rPr>
          <w:rFonts w:ascii="Arial" w:hAnsi="Arial" w:cs="Arial"/>
          <w:bCs/>
          <w:sz w:val="24"/>
          <w:szCs w:val="24"/>
        </w:rPr>
        <w:t xml:space="preserve"> </w:t>
      </w:r>
      <w:r w:rsidRPr="006B1A67">
        <w:rPr>
          <w:rFonts w:ascii="Arial" w:hAnsi="Arial" w:cs="Arial"/>
          <w:bCs/>
          <w:sz w:val="24"/>
          <w:szCs w:val="24"/>
        </w:rPr>
        <w:t>per un valore massimo di circa 85 milioni di</w:t>
      </w:r>
      <w:r>
        <w:rPr>
          <w:rFonts w:ascii="Arial" w:hAnsi="Arial" w:cs="Arial"/>
          <w:bCs/>
          <w:sz w:val="24"/>
          <w:szCs w:val="24"/>
        </w:rPr>
        <w:t xml:space="preserve"> euro</w:t>
      </w:r>
      <w:r w:rsidRPr="00192585">
        <w:rPr>
          <w:rFonts w:ascii="Arial" w:hAnsi="Arial" w:cs="Arial"/>
          <w:bCs/>
          <w:sz w:val="24"/>
          <w:szCs w:val="24"/>
        </w:rPr>
        <w:t xml:space="preserve"> derivanti da finanziamenti erogati a </w:t>
      </w:r>
      <w:r>
        <w:rPr>
          <w:rFonts w:ascii="Arial" w:hAnsi="Arial" w:cs="Arial"/>
          <w:bCs/>
          <w:sz w:val="24"/>
          <w:szCs w:val="24"/>
        </w:rPr>
        <w:t>“</w:t>
      </w:r>
      <w:r w:rsidRPr="00192585">
        <w:rPr>
          <w:rFonts w:ascii="Arial" w:hAnsi="Arial" w:cs="Arial"/>
          <w:bCs/>
          <w:sz w:val="24"/>
          <w:szCs w:val="24"/>
        </w:rPr>
        <w:t>microimprese</w:t>
      </w:r>
      <w:r>
        <w:rPr>
          <w:rFonts w:ascii="Arial" w:hAnsi="Arial" w:cs="Arial"/>
          <w:bCs/>
          <w:sz w:val="24"/>
          <w:szCs w:val="24"/>
        </w:rPr>
        <w:t>”</w:t>
      </w:r>
      <w:r w:rsidRPr="00192585">
        <w:rPr>
          <w:rFonts w:ascii="Arial" w:hAnsi="Arial" w:cs="Arial"/>
          <w:bCs/>
          <w:sz w:val="24"/>
          <w:szCs w:val="24"/>
        </w:rPr>
        <w:t>.</w:t>
      </w:r>
    </w:p>
    <w:p w14:paraId="11A71662" w14:textId="77777777" w:rsidR="00077609" w:rsidRPr="00DD6542" w:rsidRDefault="00077609" w:rsidP="00077609">
      <w:pPr>
        <w:tabs>
          <w:tab w:val="left" w:pos="709"/>
        </w:tabs>
        <w:spacing w:line="360" w:lineRule="auto"/>
        <w:jc w:val="both"/>
        <w:rPr>
          <w:rFonts w:ascii="Arial" w:hAnsi="Arial" w:cs="Arial"/>
          <w:bCs/>
          <w:sz w:val="24"/>
          <w:szCs w:val="24"/>
        </w:rPr>
      </w:pPr>
      <w:r w:rsidRPr="00DD6542">
        <w:rPr>
          <w:rFonts w:ascii="Arial" w:hAnsi="Arial" w:cs="Arial"/>
          <w:bCs/>
          <w:sz w:val="24"/>
          <w:szCs w:val="24"/>
        </w:rPr>
        <w:t>L'operazione è stata realizzata tramite l</w:t>
      </w:r>
      <w:r>
        <w:rPr>
          <w:rFonts w:ascii="Arial" w:hAnsi="Arial" w:cs="Arial"/>
          <w:bCs/>
          <w:sz w:val="24"/>
          <w:szCs w:val="24"/>
        </w:rPr>
        <w:t>’</w:t>
      </w:r>
      <w:r w:rsidRPr="00DD6542">
        <w:rPr>
          <w:rFonts w:ascii="Arial" w:hAnsi="Arial" w:cs="Arial"/>
          <w:bCs/>
          <w:sz w:val="24"/>
          <w:szCs w:val="24"/>
        </w:rPr>
        <w:t xml:space="preserve">emissione, da parte della società veicolo </w:t>
      </w:r>
      <w:r w:rsidRPr="008D4968">
        <w:rPr>
          <w:rFonts w:ascii="Arial" w:hAnsi="Arial" w:cs="Arial"/>
          <w:bCs/>
          <w:i/>
          <w:iCs/>
          <w:sz w:val="24"/>
          <w:szCs w:val="24"/>
        </w:rPr>
        <w:t>BEATRIX SPV S.</w:t>
      </w:r>
      <w:r>
        <w:rPr>
          <w:rFonts w:ascii="Arial" w:hAnsi="Arial" w:cs="Arial"/>
          <w:bCs/>
          <w:i/>
          <w:iCs/>
          <w:sz w:val="24"/>
          <w:szCs w:val="24"/>
        </w:rPr>
        <w:t>R.L.</w:t>
      </w:r>
      <w:r w:rsidRPr="00DD6542">
        <w:rPr>
          <w:rFonts w:ascii="Arial" w:hAnsi="Arial" w:cs="Arial"/>
          <w:bCs/>
          <w:sz w:val="24"/>
          <w:szCs w:val="24"/>
        </w:rPr>
        <w:t xml:space="preserve"> (costituita ai sensi della legge 130/1999) di due classi (senior e junior) di titoli </w:t>
      </w:r>
      <w:r w:rsidRPr="008D4968">
        <w:rPr>
          <w:rFonts w:ascii="Arial" w:hAnsi="Arial" w:cs="Arial"/>
          <w:bCs/>
          <w:i/>
          <w:iCs/>
          <w:sz w:val="24"/>
          <w:szCs w:val="24"/>
        </w:rPr>
        <w:t>asset-</w:t>
      </w:r>
      <w:proofErr w:type="spellStart"/>
      <w:r w:rsidRPr="008D4968">
        <w:rPr>
          <w:rFonts w:ascii="Arial" w:hAnsi="Arial" w:cs="Arial"/>
          <w:bCs/>
          <w:i/>
          <w:iCs/>
          <w:sz w:val="24"/>
          <w:szCs w:val="24"/>
        </w:rPr>
        <w:t>backed</w:t>
      </w:r>
      <w:proofErr w:type="spellEnd"/>
      <w:r w:rsidRPr="00DD6542">
        <w:rPr>
          <w:rFonts w:ascii="Arial" w:hAnsi="Arial" w:cs="Arial"/>
          <w:bCs/>
          <w:sz w:val="24"/>
          <w:szCs w:val="24"/>
        </w:rPr>
        <w:t xml:space="preserve"> a ricorso limitato con struttura c.d. </w:t>
      </w:r>
      <w:r>
        <w:rPr>
          <w:rFonts w:ascii="Arial" w:hAnsi="Arial" w:cs="Arial"/>
          <w:bCs/>
          <w:sz w:val="24"/>
          <w:szCs w:val="24"/>
        </w:rPr>
        <w:t>“</w:t>
      </w:r>
      <w:proofErr w:type="spellStart"/>
      <w:r w:rsidRPr="00DD6542">
        <w:rPr>
          <w:rFonts w:ascii="Arial" w:hAnsi="Arial" w:cs="Arial"/>
          <w:bCs/>
          <w:sz w:val="24"/>
          <w:szCs w:val="24"/>
        </w:rPr>
        <w:t>fungible</w:t>
      </w:r>
      <w:proofErr w:type="spellEnd"/>
      <w:r w:rsidRPr="00DD6542">
        <w:rPr>
          <w:rFonts w:ascii="Arial" w:hAnsi="Arial" w:cs="Arial"/>
          <w:bCs/>
          <w:sz w:val="24"/>
          <w:szCs w:val="24"/>
        </w:rPr>
        <w:t xml:space="preserve"> notes</w:t>
      </w:r>
      <w:r>
        <w:rPr>
          <w:rFonts w:ascii="Arial" w:hAnsi="Arial" w:cs="Arial"/>
          <w:bCs/>
          <w:sz w:val="24"/>
          <w:szCs w:val="24"/>
        </w:rPr>
        <w:t>”</w:t>
      </w:r>
      <w:r w:rsidRPr="00DD6542">
        <w:rPr>
          <w:rFonts w:ascii="Arial" w:hAnsi="Arial" w:cs="Arial"/>
          <w:bCs/>
          <w:sz w:val="24"/>
          <w:szCs w:val="24"/>
        </w:rPr>
        <w:t xml:space="preserve"> che sono stati sottoscritti da </w:t>
      </w:r>
      <w:proofErr w:type="spellStart"/>
      <w:r w:rsidRPr="008D4968">
        <w:rPr>
          <w:rFonts w:ascii="Arial" w:hAnsi="Arial" w:cs="Arial"/>
          <w:bCs/>
          <w:i/>
          <w:iCs/>
          <w:sz w:val="24"/>
          <w:szCs w:val="24"/>
        </w:rPr>
        <w:t>illimity</w:t>
      </w:r>
      <w:proofErr w:type="spellEnd"/>
      <w:r w:rsidRPr="00DD6542">
        <w:rPr>
          <w:rFonts w:ascii="Arial" w:hAnsi="Arial" w:cs="Arial"/>
          <w:bCs/>
          <w:sz w:val="24"/>
          <w:szCs w:val="24"/>
        </w:rPr>
        <w:t xml:space="preserve"> e da Microcredito di Impresa.</w:t>
      </w:r>
    </w:p>
    <w:p w14:paraId="52125FCE" w14:textId="77777777" w:rsidR="00077609" w:rsidRPr="00DD6542" w:rsidRDefault="00077609" w:rsidP="00077609">
      <w:pPr>
        <w:tabs>
          <w:tab w:val="left" w:pos="709"/>
        </w:tabs>
        <w:spacing w:after="0" w:line="360" w:lineRule="auto"/>
        <w:jc w:val="both"/>
        <w:rPr>
          <w:rFonts w:ascii="Arial" w:hAnsi="Arial" w:cs="Arial"/>
          <w:bCs/>
          <w:sz w:val="24"/>
          <w:szCs w:val="24"/>
        </w:rPr>
      </w:pPr>
      <w:r w:rsidRPr="00192585">
        <w:rPr>
          <w:rFonts w:ascii="Arial" w:hAnsi="Arial" w:cs="Arial"/>
          <w:bCs/>
          <w:sz w:val="24"/>
          <w:szCs w:val="24"/>
        </w:rPr>
        <w:t>Si tratta della prima operazione di cartolarizzazione realizzata da Microcredito di Impresa e di una delle prime cartolarizzazioni realizzate sul mercato italiano aventi ad oggetto crediti derivanti da finanziamenti erogati a "microimprese".</w:t>
      </w:r>
    </w:p>
    <w:p w14:paraId="25F23023" w14:textId="77777777" w:rsidR="00077609" w:rsidRDefault="00077609" w:rsidP="00077609">
      <w:pPr>
        <w:tabs>
          <w:tab w:val="left" w:pos="709"/>
        </w:tabs>
        <w:spacing w:after="0" w:line="360" w:lineRule="auto"/>
        <w:jc w:val="both"/>
        <w:rPr>
          <w:rFonts w:ascii="Arial" w:hAnsi="Arial" w:cs="Arial"/>
          <w:bCs/>
          <w:sz w:val="24"/>
          <w:szCs w:val="24"/>
        </w:rPr>
      </w:pPr>
    </w:p>
    <w:p w14:paraId="3228ECAA" w14:textId="31C70A83" w:rsidR="00222F2D" w:rsidRDefault="00222F2D" w:rsidP="00222F2D">
      <w:pPr>
        <w:tabs>
          <w:tab w:val="left" w:pos="709"/>
        </w:tabs>
        <w:spacing w:after="0" w:line="360" w:lineRule="auto"/>
        <w:ind w:left="567"/>
        <w:jc w:val="both"/>
        <w:rPr>
          <w:rFonts w:ascii="Arial" w:hAnsi="Arial" w:cs="Arial"/>
          <w:b/>
          <w:sz w:val="24"/>
          <w:szCs w:val="24"/>
        </w:rPr>
      </w:pPr>
      <w:r>
        <w:rPr>
          <w:rFonts w:ascii="Arial" w:hAnsi="Arial" w:cs="Arial"/>
          <w:b/>
          <w:sz w:val="24"/>
          <w:szCs w:val="24"/>
        </w:rPr>
        <w:lastRenderedPageBreak/>
        <w:t xml:space="preserve">4.c. IL </w:t>
      </w:r>
      <w:r w:rsidRPr="007535B6">
        <w:rPr>
          <w:rFonts w:ascii="Arial" w:hAnsi="Arial" w:cs="Arial"/>
          <w:b/>
          <w:i/>
          <w:iCs/>
          <w:sz w:val="24"/>
          <w:szCs w:val="24"/>
        </w:rPr>
        <w:t>CARRY TRADE</w:t>
      </w:r>
      <w:r>
        <w:rPr>
          <w:rFonts w:ascii="Arial" w:hAnsi="Arial" w:cs="Arial"/>
          <w:b/>
          <w:sz w:val="24"/>
          <w:szCs w:val="24"/>
        </w:rPr>
        <w:t xml:space="preserve"> APPLICATO AL MICROCREDITO: ESITO DI UNA RICERCA</w:t>
      </w:r>
    </w:p>
    <w:p w14:paraId="670C0F4C" w14:textId="77777777" w:rsidR="00222F2D" w:rsidRPr="00CB4EE1" w:rsidRDefault="00222F2D" w:rsidP="00222F2D">
      <w:pPr>
        <w:tabs>
          <w:tab w:val="left" w:pos="709"/>
        </w:tabs>
        <w:spacing w:after="0" w:line="360" w:lineRule="auto"/>
        <w:ind w:left="567"/>
        <w:jc w:val="both"/>
        <w:rPr>
          <w:rFonts w:ascii="Arial" w:hAnsi="Arial" w:cs="Arial"/>
          <w:bCs/>
          <w:sz w:val="24"/>
          <w:szCs w:val="24"/>
        </w:rPr>
      </w:pPr>
    </w:p>
    <w:p w14:paraId="54B3B2C5" w14:textId="77777777" w:rsidR="00222F2D" w:rsidRPr="0058422B" w:rsidRDefault="00222F2D" w:rsidP="008804F0">
      <w:pPr>
        <w:tabs>
          <w:tab w:val="left" w:pos="709"/>
        </w:tabs>
        <w:spacing w:line="360" w:lineRule="auto"/>
        <w:ind w:firstLine="993"/>
        <w:jc w:val="both"/>
        <w:rPr>
          <w:rFonts w:ascii="Arial" w:hAnsi="Arial" w:cs="Arial"/>
          <w:bCs/>
          <w:sz w:val="24"/>
          <w:szCs w:val="24"/>
        </w:rPr>
      </w:pPr>
      <w:r w:rsidRPr="0058422B">
        <w:rPr>
          <w:rFonts w:ascii="Arial" w:hAnsi="Arial" w:cs="Arial"/>
          <w:bCs/>
          <w:sz w:val="24"/>
          <w:szCs w:val="24"/>
        </w:rPr>
        <w:t xml:space="preserve">Il </w:t>
      </w:r>
      <w:r w:rsidRPr="0058422B">
        <w:rPr>
          <w:rFonts w:ascii="Arial" w:hAnsi="Arial" w:cs="Arial"/>
          <w:bCs/>
          <w:i/>
          <w:iCs/>
          <w:sz w:val="24"/>
          <w:szCs w:val="24"/>
        </w:rPr>
        <w:t>carry trade</w:t>
      </w:r>
      <w:r w:rsidRPr="0058422B">
        <w:rPr>
          <w:rFonts w:ascii="Arial" w:hAnsi="Arial" w:cs="Arial"/>
          <w:bCs/>
          <w:sz w:val="24"/>
          <w:szCs w:val="24"/>
        </w:rPr>
        <w:t xml:space="preserve"> è un’operazione speculativa finanziaria (trading) che consiste nel prendere a prestito capitali in una data valuta per investire gli stessi in strumenti finanziari denominati in altre valute e comunque con un rendimento superiore al costo del finanziamento.</w:t>
      </w:r>
    </w:p>
    <w:p w14:paraId="0CDE1972" w14:textId="77777777" w:rsidR="00222F2D" w:rsidRPr="0058422B" w:rsidRDefault="00222F2D" w:rsidP="00222F2D">
      <w:pPr>
        <w:tabs>
          <w:tab w:val="left" w:pos="709"/>
        </w:tabs>
        <w:spacing w:line="360" w:lineRule="auto"/>
        <w:jc w:val="both"/>
        <w:rPr>
          <w:rFonts w:ascii="Arial" w:hAnsi="Arial" w:cs="Arial"/>
          <w:bCs/>
          <w:sz w:val="24"/>
          <w:szCs w:val="24"/>
        </w:rPr>
      </w:pPr>
      <w:r w:rsidRPr="0058422B">
        <w:rPr>
          <w:rFonts w:ascii="Arial" w:hAnsi="Arial" w:cs="Arial"/>
          <w:bCs/>
          <w:sz w:val="24"/>
          <w:szCs w:val="24"/>
        </w:rPr>
        <w:t>Il profitto è costituito dalla differenza tra il rendimento e il costo dell’investimento.</w:t>
      </w:r>
    </w:p>
    <w:p w14:paraId="3F82D0C7" w14:textId="77777777" w:rsidR="00222F2D" w:rsidRPr="0058422B" w:rsidRDefault="00222F2D" w:rsidP="00222F2D">
      <w:pPr>
        <w:tabs>
          <w:tab w:val="left" w:pos="709"/>
        </w:tabs>
        <w:spacing w:line="360" w:lineRule="auto"/>
        <w:jc w:val="both"/>
        <w:rPr>
          <w:rFonts w:ascii="Arial" w:hAnsi="Arial" w:cs="Arial"/>
          <w:bCs/>
          <w:sz w:val="24"/>
          <w:szCs w:val="24"/>
        </w:rPr>
      </w:pPr>
      <w:r w:rsidRPr="0058422B">
        <w:rPr>
          <w:rFonts w:ascii="Arial" w:hAnsi="Arial" w:cs="Arial"/>
          <w:bCs/>
          <w:sz w:val="24"/>
          <w:szCs w:val="24"/>
        </w:rPr>
        <w:t>La ricerca trae spunto dagli studi e dall’elaborazione scientifica del Prof. Carmelo Intrisano e dalla Prof.ssa Anna Paola Micheli dell’Università di Cassino e del Lazio Meridionale – Dipartimento di Economia e Giurisprudenza, ai quali porgo i ringraziamenti per l’attenzione e la disponibilità che mi hanno dedicato.</w:t>
      </w:r>
    </w:p>
    <w:p w14:paraId="18903C22" w14:textId="77777777" w:rsidR="00222F2D" w:rsidRDefault="00222F2D" w:rsidP="00222F2D">
      <w:pPr>
        <w:tabs>
          <w:tab w:val="left" w:pos="709"/>
        </w:tabs>
        <w:spacing w:after="0" w:line="360" w:lineRule="auto"/>
        <w:jc w:val="both"/>
        <w:rPr>
          <w:rFonts w:ascii="Arial" w:hAnsi="Arial" w:cs="Arial"/>
          <w:bCs/>
          <w:i/>
          <w:iCs/>
          <w:sz w:val="24"/>
          <w:szCs w:val="24"/>
        </w:rPr>
      </w:pPr>
      <w:r w:rsidRPr="0058422B">
        <w:rPr>
          <w:rFonts w:ascii="Arial" w:hAnsi="Arial" w:cs="Arial"/>
          <w:bCs/>
          <w:sz w:val="24"/>
          <w:szCs w:val="24"/>
        </w:rPr>
        <w:t>“</w:t>
      </w:r>
      <w:r w:rsidRPr="0058422B">
        <w:rPr>
          <w:rFonts w:ascii="Arial" w:hAnsi="Arial" w:cs="Arial"/>
          <w:bCs/>
          <w:i/>
          <w:iCs/>
          <w:sz w:val="24"/>
          <w:szCs w:val="24"/>
        </w:rPr>
        <w:t>Se pratichi un tasso di interesse annuo dell’80% negli USA vieni chiamato usuraio; se pratichi lo stesso tasso di interesse in America Latina o in Africa puoi essere considerato un’associazione caritatevole per la lotta alla povertà”. Karlan e Zinman (2007)</w:t>
      </w:r>
      <w:r>
        <w:rPr>
          <w:rFonts w:ascii="Arial" w:hAnsi="Arial" w:cs="Arial"/>
          <w:bCs/>
          <w:i/>
          <w:iCs/>
          <w:sz w:val="24"/>
          <w:szCs w:val="24"/>
        </w:rPr>
        <w:t>.</w:t>
      </w:r>
    </w:p>
    <w:p w14:paraId="705FB605" w14:textId="77777777" w:rsidR="00222F2D" w:rsidRPr="00926519" w:rsidRDefault="00222F2D" w:rsidP="00222F2D">
      <w:pPr>
        <w:tabs>
          <w:tab w:val="left" w:pos="709"/>
        </w:tabs>
        <w:spacing w:after="0" w:line="360" w:lineRule="auto"/>
        <w:jc w:val="both"/>
        <w:rPr>
          <w:rFonts w:ascii="Arial" w:hAnsi="Arial" w:cs="Arial"/>
          <w:bCs/>
          <w:sz w:val="24"/>
          <w:szCs w:val="24"/>
        </w:rPr>
      </w:pPr>
    </w:p>
    <w:p w14:paraId="22D6DD92" w14:textId="77777777" w:rsidR="00222F2D" w:rsidRPr="00716136" w:rsidRDefault="00222F2D" w:rsidP="00222F2D">
      <w:pPr>
        <w:pStyle w:val="Paragrafoelenco"/>
        <w:tabs>
          <w:tab w:val="left" w:pos="567"/>
        </w:tabs>
        <w:spacing w:line="360" w:lineRule="auto"/>
        <w:ind w:left="0"/>
        <w:jc w:val="both"/>
        <w:rPr>
          <w:rFonts w:ascii="Arial" w:hAnsi="Arial" w:cs="Arial"/>
          <w:sz w:val="24"/>
          <w:szCs w:val="24"/>
        </w:rPr>
      </w:pPr>
      <w:r w:rsidRPr="00716136">
        <w:rPr>
          <w:rFonts w:ascii="Arial" w:hAnsi="Arial" w:cs="Arial"/>
          <w:sz w:val="24"/>
          <w:szCs w:val="24"/>
        </w:rPr>
        <w:t>I.1.</w:t>
      </w:r>
      <w:r w:rsidRPr="00716136">
        <w:rPr>
          <w:rFonts w:ascii="Arial" w:hAnsi="Arial" w:cs="Arial"/>
          <w:sz w:val="24"/>
          <w:szCs w:val="24"/>
        </w:rPr>
        <w:tab/>
        <w:t xml:space="preserve">La strategia </w:t>
      </w:r>
      <w:r w:rsidRPr="00B23466">
        <w:rPr>
          <w:rFonts w:ascii="Arial" w:hAnsi="Arial" w:cs="Arial"/>
          <w:i/>
          <w:iCs/>
          <w:sz w:val="24"/>
          <w:szCs w:val="24"/>
        </w:rPr>
        <w:t>carry trade</w:t>
      </w:r>
      <w:r w:rsidRPr="00716136">
        <w:rPr>
          <w:rFonts w:ascii="Arial" w:hAnsi="Arial" w:cs="Arial"/>
          <w:sz w:val="24"/>
          <w:szCs w:val="24"/>
        </w:rPr>
        <w:t xml:space="preserve"> e il pay-off nel microcredito</w:t>
      </w:r>
    </w:p>
    <w:p w14:paraId="27FEF857" w14:textId="77777777" w:rsidR="00222F2D" w:rsidRPr="00716136" w:rsidRDefault="00222F2D" w:rsidP="00222F2D">
      <w:pPr>
        <w:pStyle w:val="Paragrafoelenco"/>
        <w:spacing w:line="360" w:lineRule="auto"/>
        <w:ind w:left="0"/>
        <w:jc w:val="both"/>
        <w:rPr>
          <w:rFonts w:ascii="Arial" w:hAnsi="Arial" w:cs="Arial"/>
          <w:sz w:val="24"/>
          <w:szCs w:val="24"/>
        </w:rPr>
      </w:pPr>
    </w:p>
    <w:p w14:paraId="7B89F453" w14:textId="77777777" w:rsidR="00222F2D" w:rsidRDefault="00222F2D" w:rsidP="00222F2D">
      <w:pPr>
        <w:pStyle w:val="Paragrafoelenco"/>
        <w:spacing w:line="360" w:lineRule="auto"/>
        <w:ind w:left="0"/>
        <w:jc w:val="both"/>
        <w:rPr>
          <w:rFonts w:ascii="Arial" w:hAnsi="Arial" w:cs="Arial"/>
          <w:sz w:val="24"/>
          <w:szCs w:val="24"/>
        </w:rPr>
      </w:pPr>
      <w:r w:rsidRPr="00716136">
        <w:rPr>
          <w:rFonts w:ascii="Arial" w:hAnsi="Arial" w:cs="Arial"/>
          <w:sz w:val="24"/>
          <w:szCs w:val="24"/>
        </w:rPr>
        <w:t xml:space="preserve">In linea generale il </w:t>
      </w:r>
      <w:r w:rsidRPr="0038305C">
        <w:rPr>
          <w:rFonts w:ascii="Arial" w:hAnsi="Arial" w:cs="Arial"/>
          <w:i/>
          <w:iCs/>
          <w:sz w:val="24"/>
          <w:szCs w:val="24"/>
        </w:rPr>
        <w:t>carry trade</w:t>
      </w:r>
      <w:r w:rsidRPr="00716136">
        <w:rPr>
          <w:rFonts w:ascii="Arial" w:hAnsi="Arial" w:cs="Arial"/>
          <w:sz w:val="24"/>
          <w:szCs w:val="24"/>
        </w:rPr>
        <w:t xml:space="preserve"> è l’operazione realizzata da un investitore internazionale che prende in prestito denaro in mercati caratterizzati da bassi tassi di interesse per investire in asset finanziari di mercati in cui il costo del denaro è maggiore</w:t>
      </w:r>
      <w:r>
        <w:rPr>
          <w:rFonts w:ascii="Arial" w:hAnsi="Arial" w:cs="Arial"/>
          <w:sz w:val="24"/>
          <w:szCs w:val="24"/>
        </w:rPr>
        <w:t>; a</w:t>
      </w:r>
      <w:r w:rsidRPr="00716136">
        <w:rPr>
          <w:rFonts w:ascii="Arial" w:hAnsi="Arial" w:cs="Arial"/>
          <w:sz w:val="24"/>
          <w:szCs w:val="24"/>
        </w:rPr>
        <w:t>ffinché sia profittevole, l’operazione deve consentire di ripagare il debito e</w:t>
      </w:r>
      <w:r>
        <w:rPr>
          <w:rFonts w:ascii="Arial" w:hAnsi="Arial" w:cs="Arial"/>
          <w:sz w:val="24"/>
          <w:szCs w:val="24"/>
        </w:rPr>
        <w:t xml:space="preserve"> conseguire </w:t>
      </w:r>
      <w:r w:rsidRPr="00716136">
        <w:rPr>
          <w:rFonts w:ascii="Arial" w:hAnsi="Arial" w:cs="Arial"/>
          <w:sz w:val="24"/>
          <w:szCs w:val="24"/>
        </w:rPr>
        <w:t xml:space="preserve">un premio di rendimento congruo rispetto al rischio assunto. Tale </w:t>
      </w:r>
      <w:r>
        <w:rPr>
          <w:rFonts w:ascii="Arial" w:hAnsi="Arial" w:cs="Arial"/>
          <w:sz w:val="24"/>
          <w:szCs w:val="24"/>
        </w:rPr>
        <w:t xml:space="preserve">scelta strategica </w:t>
      </w:r>
      <w:r w:rsidRPr="00716136">
        <w:rPr>
          <w:rFonts w:ascii="Arial" w:hAnsi="Arial" w:cs="Arial"/>
          <w:sz w:val="24"/>
          <w:szCs w:val="24"/>
        </w:rPr>
        <w:t xml:space="preserve">genera dei pay-off positivi con un profilo per il rischio scomponibile in due parti: </w:t>
      </w:r>
      <w:r>
        <w:rPr>
          <w:rFonts w:ascii="Arial" w:hAnsi="Arial" w:cs="Arial"/>
          <w:sz w:val="24"/>
          <w:szCs w:val="24"/>
        </w:rPr>
        <w:t xml:space="preserve">il </w:t>
      </w:r>
      <w:r w:rsidRPr="00037F2D">
        <w:rPr>
          <w:rFonts w:ascii="Arial" w:hAnsi="Arial" w:cs="Arial"/>
          <w:i/>
          <w:iCs/>
          <w:sz w:val="24"/>
          <w:szCs w:val="24"/>
        </w:rPr>
        <w:t>home risk premium</w:t>
      </w:r>
      <w:r w:rsidRPr="00716136">
        <w:rPr>
          <w:rFonts w:ascii="Arial" w:hAnsi="Arial" w:cs="Arial"/>
          <w:sz w:val="24"/>
          <w:szCs w:val="24"/>
        </w:rPr>
        <w:t xml:space="preserve"> che compensa per il rischio </w:t>
      </w:r>
      <w:r>
        <w:rPr>
          <w:rFonts w:ascii="Arial" w:hAnsi="Arial" w:cs="Arial"/>
          <w:sz w:val="24"/>
          <w:szCs w:val="24"/>
        </w:rPr>
        <w:t>P</w:t>
      </w:r>
      <w:r w:rsidRPr="00716136">
        <w:rPr>
          <w:rFonts w:ascii="Arial" w:hAnsi="Arial" w:cs="Arial"/>
          <w:sz w:val="24"/>
          <w:szCs w:val="24"/>
        </w:rPr>
        <w:t>aese e</w:t>
      </w:r>
      <w:r>
        <w:rPr>
          <w:rFonts w:ascii="Arial" w:hAnsi="Arial" w:cs="Arial"/>
          <w:sz w:val="24"/>
          <w:szCs w:val="24"/>
        </w:rPr>
        <w:t xml:space="preserve"> </w:t>
      </w:r>
      <w:r w:rsidRPr="00716136">
        <w:rPr>
          <w:rFonts w:ascii="Arial" w:hAnsi="Arial" w:cs="Arial"/>
          <w:sz w:val="24"/>
          <w:szCs w:val="24"/>
        </w:rPr>
        <w:t xml:space="preserve">il </w:t>
      </w:r>
      <w:r w:rsidRPr="00A03B10">
        <w:rPr>
          <w:rFonts w:ascii="Arial" w:hAnsi="Arial" w:cs="Arial"/>
          <w:i/>
          <w:iCs/>
          <w:sz w:val="24"/>
          <w:szCs w:val="24"/>
        </w:rPr>
        <w:t>carry trade risk premium</w:t>
      </w:r>
      <w:r w:rsidRPr="00716136">
        <w:rPr>
          <w:rFonts w:ascii="Arial" w:hAnsi="Arial" w:cs="Arial"/>
          <w:sz w:val="24"/>
          <w:szCs w:val="24"/>
        </w:rPr>
        <w:t xml:space="preserve"> che remunera per il rischio globale.</w:t>
      </w:r>
    </w:p>
    <w:p w14:paraId="766F025E" w14:textId="77777777" w:rsidR="00222F2D" w:rsidRDefault="00222F2D" w:rsidP="00222F2D">
      <w:pPr>
        <w:pStyle w:val="Paragrafoelenco"/>
        <w:spacing w:line="360" w:lineRule="auto"/>
        <w:ind w:left="0"/>
        <w:jc w:val="both"/>
        <w:rPr>
          <w:rFonts w:ascii="Arial" w:hAnsi="Arial" w:cs="Arial"/>
          <w:sz w:val="24"/>
          <w:szCs w:val="24"/>
        </w:rPr>
      </w:pPr>
      <w:r w:rsidRPr="00716136">
        <w:rPr>
          <w:rFonts w:ascii="Arial" w:hAnsi="Arial" w:cs="Arial"/>
          <w:sz w:val="24"/>
          <w:szCs w:val="24"/>
        </w:rPr>
        <w:t xml:space="preserve">La principale spiegazione attribuita agli elevati pay-off risiede nel fatto che essi servono a compensare i diversi elementi di rischio. È stato dimostrato (Burnside, Eichenbaum, Kleshchelski, Rebelo, 2008) che le misure tradizionali di rischio non riescono a spiegare i rendimenti del </w:t>
      </w:r>
      <w:r w:rsidRPr="00F430BE">
        <w:rPr>
          <w:rFonts w:ascii="Arial" w:hAnsi="Arial" w:cs="Arial"/>
          <w:i/>
          <w:iCs/>
          <w:sz w:val="24"/>
          <w:szCs w:val="24"/>
        </w:rPr>
        <w:t>carry trade</w:t>
      </w:r>
      <w:r w:rsidRPr="00716136">
        <w:rPr>
          <w:rFonts w:ascii="Arial" w:hAnsi="Arial" w:cs="Arial"/>
          <w:sz w:val="24"/>
          <w:szCs w:val="24"/>
        </w:rPr>
        <w:t xml:space="preserve">, </w:t>
      </w:r>
      <w:r>
        <w:rPr>
          <w:rFonts w:ascii="Arial" w:hAnsi="Arial" w:cs="Arial"/>
          <w:sz w:val="24"/>
          <w:szCs w:val="24"/>
        </w:rPr>
        <w:t xml:space="preserve">attesa </w:t>
      </w:r>
      <w:r w:rsidRPr="00716136">
        <w:rPr>
          <w:rFonts w:ascii="Arial" w:hAnsi="Arial" w:cs="Arial"/>
          <w:sz w:val="24"/>
          <w:szCs w:val="24"/>
        </w:rPr>
        <w:t>l’assenza di una relazione statisticamente significativa con i pay-off.</w:t>
      </w:r>
      <w:r>
        <w:rPr>
          <w:rFonts w:ascii="Arial" w:hAnsi="Arial" w:cs="Arial"/>
          <w:sz w:val="24"/>
          <w:szCs w:val="24"/>
        </w:rPr>
        <w:t xml:space="preserve"> </w:t>
      </w:r>
      <w:r w:rsidRPr="00716136">
        <w:rPr>
          <w:rFonts w:ascii="Arial" w:hAnsi="Arial" w:cs="Arial"/>
          <w:sz w:val="24"/>
          <w:szCs w:val="24"/>
        </w:rPr>
        <w:t xml:space="preserve">Il </w:t>
      </w:r>
      <w:r w:rsidRPr="00F430BE">
        <w:rPr>
          <w:rFonts w:ascii="Arial" w:hAnsi="Arial" w:cs="Arial"/>
          <w:i/>
          <w:iCs/>
          <w:sz w:val="24"/>
          <w:szCs w:val="24"/>
        </w:rPr>
        <w:t>carry trade</w:t>
      </w:r>
      <w:r w:rsidRPr="00716136">
        <w:rPr>
          <w:rFonts w:ascii="Arial" w:hAnsi="Arial" w:cs="Arial"/>
          <w:sz w:val="24"/>
          <w:szCs w:val="24"/>
        </w:rPr>
        <w:t>, in quanto attività di arbitraggio, poggia sulla negazione del principio della parità coperta dei tassi di interesse, secondo cui ogni investitore può scegliere se investire nel mercato domestico o in mercati esteri</w:t>
      </w:r>
      <w:r>
        <w:rPr>
          <w:rFonts w:ascii="Arial" w:hAnsi="Arial" w:cs="Arial"/>
          <w:sz w:val="24"/>
          <w:szCs w:val="24"/>
        </w:rPr>
        <w:t xml:space="preserve">; in </w:t>
      </w:r>
      <w:r w:rsidRPr="00716136">
        <w:rPr>
          <w:rFonts w:ascii="Arial" w:hAnsi="Arial" w:cs="Arial"/>
          <w:sz w:val="24"/>
          <w:szCs w:val="24"/>
        </w:rPr>
        <w:t>base a tale principio, infatti, se il tasso di interesse interno è diverso dal tasso di interesse sui mercati esteri, il tasso di cambio si aggiusterà in modo che il rendimento dell’investimento interno e il rendimento dell’investimento estero siano uguali per entrambe le valute.</w:t>
      </w:r>
    </w:p>
    <w:p w14:paraId="1BBAD7D9" w14:textId="77777777" w:rsidR="00222F2D" w:rsidRDefault="00222F2D" w:rsidP="00222F2D">
      <w:pPr>
        <w:pStyle w:val="Paragrafoelenco"/>
        <w:spacing w:after="0" w:line="360" w:lineRule="auto"/>
        <w:ind w:left="0"/>
        <w:jc w:val="both"/>
        <w:rPr>
          <w:rFonts w:ascii="Arial" w:hAnsi="Arial" w:cs="Arial"/>
          <w:sz w:val="24"/>
          <w:szCs w:val="24"/>
        </w:rPr>
      </w:pPr>
    </w:p>
    <w:p w14:paraId="69F75182" w14:textId="77777777" w:rsidR="00222F2D" w:rsidRPr="00716136" w:rsidRDefault="00222F2D" w:rsidP="00222F2D">
      <w:pPr>
        <w:spacing w:line="360" w:lineRule="auto"/>
        <w:jc w:val="both"/>
        <w:rPr>
          <w:rFonts w:ascii="Arial" w:hAnsi="Arial" w:cs="Arial"/>
          <w:sz w:val="24"/>
          <w:szCs w:val="24"/>
        </w:rPr>
      </w:pPr>
      <w:r w:rsidRPr="00716136">
        <w:rPr>
          <w:rFonts w:ascii="Arial" w:hAnsi="Arial" w:cs="Arial"/>
          <w:sz w:val="24"/>
          <w:szCs w:val="24"/>
        </w:rPr>
        <w:t>Diversi autori hanno evidenziato</w:t>
      </w:r>
      <w:r>
        <w:rPr>
          <w:rFonts w:ascii="Arial" w:hAnsi="Arial" w:cs="Arial"/>
          <w:sz w:val="24"/>
          <w:szCs w:val="24"/>
        </w:rPr>
        <w:t xml:space="preserve"> </w:t>
      </w:r>
      <w:r w:rsidRPr="00716136">
        <w:rPr>
          <w:rFonts w:ascii="Arial" w:hAnsi="Arial" w:cs="Arial"/>
          <w:sz w:val="24"/>
          <w:szCs w:val="24"/>
        </w:rPr>
        <w:t xml:space="preserve">la criticità della parità dei tassi di interesse (Hansen e Hodrick 1980), Fama (1984) Lustig and Verdelhan (2007, 2008) dimostrando che gli investitori realizzano extra rendimenti semplicemente detenendo obbligazioni in valuta con tassi di interesse più elevati dei tassi delle altre valute. Anzuini e Fornari (2011) forniscono prova della convenienza del </w:t>
      </w:r>
      <w:r w:rsidRPr="00146028">
        <w:rPr>
          <w:rFonts w:ascii="Arial" w:hAnsi="Arial" w:cs="Arial"/>
          <w:i/>
          <w:iCs/>
          <w:sz w:val="24"/>
          <w:szCs w:val="24"/>
        </w:rPr>
        <w:t>carry trade</w:t>
      </w:r>
      <w:r w:rsidRPr="00716136">
        <w:rPr>
          <w:rFonts w:ascii="Arial" w:hAnsi="Arial" w:cs="Arial"/>
          <w:sz w:val="24"/>
          <w:szCs w:val="24"/>
        </w:rPr>
        <w:t xml:space="preserve"> nel breve periodo dovuta per lo più agli shock valutari che influenzano il livello dei differenziali dei tassi di interesse e il livello dei tassi di cambio.</w:t>
      </w:r>
    </w:p>
    <w:p w14:paraId="4FFED279" w14:textId="77777777" w:rsidR="00222F2D" w:rsidRPr="00716136" w:rsidRDefault="00222F2D" w:rsidP="00222F2D">
      <w:pPr>
        <w:spacing w:line="360" w:lineRule="auto"/>
        <w:jc w:val="both"/>
        <w:rPr>
          <w:rFonts w:ascii="Arial" w:hAnsi="Arial" w:cs="Arial"/>
          <w:sz w:val="24"/>
          <w:szCs w:val="24"/>
        </w:rPr>
      </w:pPr>
      <w:r w:rsidRPr="00716136">
        <w:rPr>
          <w:rFonts w:ascii="Arial" w:hAnsi="Arial" w:cs="Arial"/>
          <w:sz w:val="24"/>
          <w:szCs w:val="24"/>
        </w:rPr>
        <w:t xml:space="preserve">Nell’ipotesi assunta nel presente lavoro, ossia che l’analisi è finalizzata alle strategie di investimento di un investitore che raccoglie risorse finanziarie sui mercati internazionali in euro, per impiegarle su operatori del microcredito dell’America Latina, è necessario accertare se le condizioni di </w:t>
      </w:r>
      <w:r w:rsidRPr="007D3639">
        <w:rPr>
          <w:rFonts w:ascii="Arial" w:hAnsi="Arial" w:cs="Arial"/>
          <w:i/>
          <w:iCs/>
          <w:sz w:val="24"/>
          <w:szCs w:val="24"/>
        </w:rPr>
        <w:t>carry trade</w:t>
      </w:r>
      <w:r w:rsidRPr="00716136">
        <w:rPr>
          <w:rFonts w:ascii="Arial" w:hAnsi="Arial" w:cs="Arial"/>
          <w:sz w:val="24"/>
          <w:szCs w:val="24"/>
        </w:rPr>
        <w:t xml:space="preserve"> giustificano un’operatività di questo genere. In altri termini occorre verificare che le perdite attese sul cambio siano più che compensate dagli utili attesi sul differenziale di tasso. Coerentemente con la gran parte delle evidenze empiriche in ambito finanziario, consideriamo i risultati medi come proxi dei risultati attesi.</w:t>
      </w:r>
    </w:p>
    <w:p w14:paraId="7DDD5B86" w14:textId="77777777" w:rsidR="00222F2D" w:rsidRPr="00716136" w:rsidRDefault="00222F2D" w:rsidP="00222F2D">
      <w:pPr>
        <w:spacing w:line="360" w:lineRule="auto"/>
        <w:jc w:val="both"/>
        <w:rPr>
          <w:rFonts w:ascii="Arial" w:hAnsi="Arial" w:cs="Arial"/>
          <w:sz w:val="24"/>
          <w:szCs w:val="24"/>
        </w:rPr>
      </w:pPr>
      <w:r w:rsidRPr="00716136">
        <w:rPr>
          <w:rFonts w:ascii="Arial" w:hAnsi="Arial" w:cs="Arial"/>
          <w:sz w:val="24"/>
          <w:szCs w:val="24"/>
        </w:rPr>
        <w:t>Sotto il profilo metodologico, come tasso del microcredito è stata utilizzata la media dei tassi stimati sulla base delle informazioni acquisite per le singole società</w:t>
      </w:r>
      <w:r>
        <w:rPr>
          <w:rFonts w:ascii="Arial" w:hAnsi="Arial" w:cs="Arial"/>
          <w:sz w:val="24"/>
          <w:szCs w:val="24"/>
        </w:rPr>
        <w:t>; p</w:t>
      </w:r>
      <w:r w:rsidRPr="00716136">
        <w:rPr>
          <w:rFonts w:ascii="Arial" w:hAnsi="Arial" w:cs="Arial"/>
          <w:sz w:val="24"/>
          <w:szCs w:val="24"/>
        </w:rPr>
        <w:t xml:space="preserve">er la Costa Rica e Panama, a causa dell’impossibilità nel reperire tali informazioni, si è fatto riferimento al tasso indicato nel Rapporto </w:t>
      </w:r>
      <w:r>
        <w:rPr>
          <w:rFonts w:ascii="Arial" w:hAnsi="Arial" w:cs="Arial"/>
          <w:sz w:val="24"/>
          <w:szCs w:val="24"/>
        </w:rPr>
        <w:t>“</w:t>
      </w:r>
      <w:r w:rsidRPr="00716136">
        <w:rPr>
          <w:rFonts w:ascii="Arial" w:hAnsi="Arial" w:cs="Arial"/>
          <w:sz w:val="24"/>
          <w:szCs w:val="24"/>
        </w:rPr>
        <w:t>Microfinanzas En América Latina Y El Caribe: El Sector En Cifras, FOMIN</w:t>
      </w:r>
      <w:r>
        <w:rPr>
          <w:rFonts w:ascii="Arial" w:hAnsi="Arial" w:cs="Arial"/>
          <w:sz w:val="24"/>
          <w:szCs w:val="24"/>
        </w:rPr>
        <w:t>”</w:t>
      </w:r>
      <w:r w:rsidRPr="00716136">
        <w:rPr>
          <w:rFonts w:ascii="Arial" w:hAnsi="Arial" w:cs="Arial"/>
          <w:sz w:val="24"/>
          <w:szCs w:val="24"/>
        </w:rPr>
        <w:t xml:space="preserve"> (2013).</w:t>
      </w:r>
    </w:p>
    <w:p w14:paraId="300D0F47" w14:textId="77777777" w:rsidR="00222F2D" w:rsidRDefault="00222F2D" w:rsidP="00222F2D">
      <w:pPr>
        <w:pStyle w:val="Paragrafoelenco"/>
        <w:spacing w:after="0" w:line="360" w:lineRule="auto"/>
        <w:ind w:left="0"/>
        <w:jc w:val="both"/>
        <w:rPr>
          <w:rFonts w:ascii="Arial" w:hAnsi="Arial" w:cs="Arial"/>
          <w:sz w:val="24"/>
          <w:szCs w:val="24"/>
        </w:rPr>
      </w:pPr>
      <w:r w:rsidRPr="00716136">
        <w:rPr>
          <w:rFonts w:ascii="Arial" w:hAnsi="Arial" w:cs="Arial"/>
          <w:sz w:val="24"/>
          <w:szCs w:val="24"/>
        </w:rPr>
        <w:t>I pay-off attesi vengono determinati distinguendo la parte ottenuta dall’effetto cambio e la parte riconducibile all’effetto del differenziale di tasso di interesse, ossia:</w:t>
      </w:r>
    </w:p>
    <w:p w14:paraId="000FEA58" w14:textId="77777777" w:rsidR="00222F2D" w:rsidRPr="002B6204" w:rsidRDefault="00222F2D" w:rsidP="00222F2D">
      <w:pPr>
        <w:pStyle w:val="Paragrafoelenco"/>
        <w:spacing w:line="360" w:lineRule="auto"/>
        <w:ind w:left="0"/>
        <w:jc w:val="both"/>
        <w:rPr>
          <w:rFonts w:ascii="Arial" w:hAnsi="Arial" w:cs="Arial"/>
          <w:sz w:val="20"/>
          <w:szCs w:val="20"/>
        </w:rPr>
      </w:pPr>
    </w:p>
    <w:p w14:paraId="7D9DD362" w14:textId="77777777" w:rsidR="00222F2D" w:rsidRDefault="00222F2D" w:rsidP="00222F2D">
      <w:pPr>
        <w:pStyle w:val="Paragrafoelenco"/>
        <w:spacing w:after="0"/>
        <w:ind w:left="0"/>
        <w:jc w:val="center"/>
        <w:rPr>
          <w:rFonts w:ascii="Arial" w:hAnsi="Arial" w:cs="Arial"/>
          <w:sz w:val="24"/>
          <w:szCs w:val="24"/>
        </w:rPr>
      </w:pPr>
      <w:r w:rsidRPr="00716136">
        <w:rPr>
          <w:rFonts w:ascii="Arial" w:hAnsi="Arial" w:cs="Arial"/>
          <w:noProof/>
          <w:sz w:val="24"/>
          <w:szCs w:val="24"/>
        </w:rPr>
        <w:drawing>
          <wp:inline distT="0" distB="0" distL="0" distR="0" wp14:anchorId="1B358990" wp14:editId="6FEB14A7">
            <wp:extent cx="3834000" cy="568800"/>
            <wp:effectExtent l="0" t="0" r="0" b="3175"/>
            <wp:docPr id="1271030455" name="Immagine 1" descr="Immagine che contiene Carattere, testo, bianco, tip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030455" name="Immagine 1" descr="Immagine che contiene Carattere, testo, bianco, tipografia&#10;&#10;Descrizione generata automaticamente"/>
                    <pic:cNvPicPr/>
                  </pic:nvPicPr>
                  <pic:blipFill rotWithShape="1">
                    <a:blip r:embed="rId46"/>
                    <a:srcRect t="15896" b="13304"/>
                    <a:stretch/>
                  </pic:blipFill>
                  <pic:spPr bwMode="auto">
                    <a:xfrm>
                      <a:off x="0" y="0"/>
                      <a:ext cx="3834000" cy="568800"/>
                    </a:xfrm>
                    <a:prstGeom prst="rect">
                      <a:avLst/>
                    </a:prstGeom>
                    <a:ln>
                      <a:noFill/>
                    </a:ln>
                    <a:extLst>
                      <a:ext uri="{53640926-AAD7-44D8-BBD7-CCE9431645EC}">
                        <a14:shadowObscured xmlns:a14="http://schemas.microsoft.com/office/drawing/2010/main"/>
                      </a:ext>
                    </a:extLst>
                  </pic:spPr>
                </pic:pic>
              </a:graphicData>
            </a:graphic>
          </wp:inline>
        </w:drawing>
      </w:r>
    </w:p>
    <w:p w14:paraId="2AC35742" w14:textId="77777777" w:rsidR="00222F2D" w:rsidRPr="002B6204" w:rsidRDefault="00222F2D" w:rsidP="00222F2D">
      <w:pPr>
        <w:pStyle w:val="Paragrafoelenco"/>
        <w:spacing w:after="0" w:line="360" w:lineRule="auto"/>
        <w:ind w:left="0"/>
        <w:jc w:val="both"/>
        <w:rPr>
          <w:rFonts w:ascii="Arial" w:hAnsi="Arial" w:cs="Arial"/>
          <w:sz w:val="20"/>
          <w:szCs w:val="20"/>
        </w:rPr>
      </w:pPr>
    </w:p>
    <w:p w14:paraId="22F73B72" w14:textId="77777777" w:rsidR="00222F2D" w:rsidRPr="000357B2" w:rsidRDefault="00222F2D" w:rsidP="00222F2D">
      <w:pPr>
        <w:pStyle w:val="Paragrafoelenco"/>
        <w:spacing w:after="0" w:line="360" w:lineRule="auto"/>
        <w:jc w:val="both"/>
        <w:rPr>
          <w:rFonts w:ascii="Arial" w:hAnsi="Arial" w:cs="Arial"/>
          <w:sz w:val="20"/>
          <w:szCs w:val="20"/>
        </w:rPr>
      </w:pPr>
      <w:r w:rsidRPr="000357B2">
        <w:rPr>
          <w:rFonts w:ascii="Arial" w:hAnsi="Arial" w:cs="Arial"/>
          <w:sz w:val="20"/>
          <w:szCs w:val="20"/>
        </w:rPr>
        <w:t>indicando con:</w:t>
      </w:r>
    </w:p>
    <w:p w14:paraId="01B04E4C" w14:textId="77777777" w:rsidR="00222F2D" w:rsidRPr="000357B2" w:rsidRDefault="00222F2D" w:rsidP="00222F2D">
      <w:pPr>
        <w:pStyle w:val="Paragrafoelenco"/>
        <w:spacing w:after="0" w:line="360" w:lineRule="auto"/>
        <w:jc w:val="both"/>
        <w:rPr>
          <w:rFonts w:ascii="Arial" w:hAnsi="Arial" w:cs="Arial"/>
          <w:sz w:val="16"/>
          <w:szCs w:val="16"/>
        </w:rPr>
      </w:pPr>
    </w:p>
    <w:p w14:paraId="63B870D4" w14:textId="77777777" w:rsidR="00222F2D" w:rsidRPr="000357B2" w:rsidRDefault="00222F2D" w:rsidP="00222F2D">
      <w:pPr>
        <w:pStyle w:val="Paragrafoelenco"/>
        <w:spacing w:after="0" w:line="360" w:lineRule="auto"/>
        <w:jc w:val="both"/>
        <w:rPr>
          <w:rFonts w:ascii="Arial" w:hAnsi="Arial" w:cs="Arial"/>
          <w:sz w:val="20"/>
          <w:szCs w:val="20"/>
        </w:rPr>
      </w:pPr>
      <w:r w:rsidRPr="00165346">
        <w:rPr>
          <w:rFonts w:ascii="Arial" w:hAnsi="Arial" w:cs="Arial"/>
          <w:sz w:val="24"/>
          <w:szCs w:val="24"/>
        </w:rPr>
        <w:t>r</w:t>
      </w:r>
      <w:r w:rsidRPr="00165346">
        <w:rPr>
          <w:rFonts w:ascii="Arial" w:hAnsi="Arial" w:cs="Arial"/>
          <w:sz w:val="24"/>
          <w:szCs w:val="24"/>
          <w:vertAlign w:val="subscript"/>
        </w:rPr>
        <w:t>t</w:t>
      </w:r>
      <w:r w:rsidRPr="00165346">
        <w:rPr>
          <w:rFonts w:ascii="Arial" w:hAnsi="Arial" w:cs="Arial"/>
          <w:sz w:val="24"/>
          <w:szCs w:val="24"/>
        </w:rPr>
        <w:t>; r</w:t>
      </w:r>
      <w:r w:rsidRPr="00165346">
        <w:rPr>
          <w:rFonts w:ascii="Arial" w:hAnsi="Arial" w:cs="Arial"/>
          <w:sz w:val="24"/>
          <w:szCs w:val="24"/>
          <w:vertAlign w:val="subscript"/>
        </w:rPr>
        <w:t xml:space="preserve">t+1 </w:t>
      </w:r>
      <w:r w:rsidRPr="000357B2">
        <w:rPr>
          <w:rFonts w:ascii="Arial" w:hAnsi="Arial" w:cs="Arial"/>
          <w:sz w:val="20"/>
          <w:szCs w:val="20"/>
        </w:rPr>
        <w:t>i cambi al tempo t e t+1</w:t>
      </w:r>
    </w:p>
    <w:p w14:paraId="35CD7033" w14:textId="77777777" w:rsidR="00222F2D" w:rsidRPr="000357B2" w:rsidRDefault="00222F2D" w:rsidP="00222F2D">
      <w:pPr>
        <w:pStyle w:val="Paragrafoelenco"/>
        <w:spacing w:after="0" w:line="360" w:lineRule="auto"/>
        <w:jc w:val="both"/>
        <w:rPr>
          <w:rFonts w:ascii="Arial" w:hAnsi="Arial" w:cs="Arial"/>
          <w:sz w:val="16"/>
          <w:szCs w:val="16"/>
        </w:rPr>
      </w:pPr>
    </w:p>
    <w:p w14:paraId="255636AF" w14:textId="77777777" w:rsidR="00222F2D" w:rsidRPr="000357B2" w:rsidRDefault="00222F2D" w:rsidP="00222F2D">
      <w:pPr>
        <w:pStyle w:val="Paragrafoelenco"/>
        <w:spacing w:after="0" w:line="360" w:lineRule="auto"/>
        <w:jc w:val="both"/>
        <w:rPr>
          <w:rFonts w:ascii="Arial" w:hAnsi="Arial" w:cs="Arial"/>
          <w:sz w:val="20"/>
          <w:szCs w:val="20"/>
        </w:rPr>
      </w:pPr>
      <w:r w:rsidRPr="00165346">
        <w:rPr>
          <w:rFonts w:ascii="Arial" w:hAnsi="Arial" w:cs="Arial"/>
          <w:sz w:val="24"/>
          <w:szCs w:val="24"/>
        </w:rPr>
        <w:t>i</w:t>
      </w:r>
      <w:r w:rsidRPr="00165346">
        <w:rPr>
          <w:rFonts w:ascii="Arial" w:hAnsi="Arial" w:cs="Arial"/>
          <w:sz w:val="24"/>
          <w:szCs w:val="24"/>
          <w:vertAlign w:val="subscript"/>
        </w:rPr>
        <w:t>m</w:t>
      </w:r>
      <w:r w:rsidRPr="000357B2">
        <w:rPr>
          <w:rFonts w:ascii="Arial" w:hAnsi="Arial" w:cs="Arial"/>
          <w:sz w:val="20"/>
          <w:szCs w:val="20"/>
        </w:rPr>
        <w:t xml:space="preserve"> il tasso del microcredito</w:t>
      </w:r>
    </w:p>
    <w:p w14:paraId="777CAF76" w14:textId="77777777" w:rsidR="00222F2D" w:rsidRPr="000357B2" w:rsidRDefault="00222F2D" w:rsidP="00222F2D">
      <w:pPr>
        <w:pStyle w:val="Paragrafoelenco"/>
        <w:spacing w:after="0" w:line="360" w:lineRule="auto"/>
        <w:jc w:val="both"/>
        <w:rPr>
          <w:rFonts w:ascii="Arial" w:hAnsi="Arial" w:cs="Arial"/>
          <w:sz w:val="16"/>
          <w:szCs w:val="16"/>
        </w:rPr>
      </w:pPr>
    </w:p>
    <w:p w14:paraId="0564448C" w14:textId="77777777" w:rsidR="00222F2D" w:rsidRPr="000357B2" w:rsidRDefault="00222F2D" w:rsidP="00222F2D">
      <w:pPr>
        <w:pStyle w:val="Paragrafoelenco"/>
        <w:spacing w:after="0" w:line="360" w:lineRule="auto"/>
        <w:ind w:left="0" w:firstLine="708"/>
        <w:jc w:val="both"/>
        <w:rPr>
          <w:rFonts w:ascii="Arial" w:hAnsi="Arial" w:cs="Arial"/>
          <w:sz w:val="20"/>
          <w:szCs w:val="20"/>
        </w:rPr>
      </w:pPr>
      <w:r w:rsidRPr="00165346">
        <w:rPr>
          <w:rFonts w:ascii="Arial" w:hAnsi="Arial" w:cs="Arial"/>
          <w:sz w:val="24"/>
          <w:szCs w:val="24"/>
        </w:rPr>
        <w:t>i</w:t>
      </w:r>
      <w:r w:rsidRPr="000357B2">
        <w:rPr>
          <w:rFonts w:ascii="Arial" w:hAnsi="Arial" w:cs="Arial"/>
          <w:sz w:val="20"/>
          <w:szCs w:val="20"/>
        </w:rPr>
        <w:t xml:space="preserve"> il tasso di raccolta fissato al 9,5%</w:t>
      </w:r>
    </w:p>
    <w:p w14:paraId="72D55D65" w14:textId="77777777" w:rsidR="00222F2D" w:rsidRPr="00716136" w:rsidRDefault="00222F2D" w:rsidP="00222F2D">
      <w:pPr>
        <w:spacing w:line="360" w:lineRule="auto"/>
        <w:jc w:val="both"/>
        <w:rPr>
          <w:rFonts w:ascii="Arial" w:hAnsi="Arial" w:cs="Arial"/>
          <w:sz w:val="24"/>
          <w:szCs w:val="24"/>
        </w:rPr>
      </w:pPr>
      <w:r w:rsidRPr="00716136">
        <w:rPr>
          <w:rFonts w:ascii="Arial" w:hAnsi="Arial" w:cs="Arial"/>
          <w:sz w:val="24"/>
          <w:szCs w:val="24"/>
        </w:rPr>
        <w:t>In particolare, il cambio genera sul pay-off finale un effetto diretto</w:t>
      </w:r>
      <w:r>
        <w:rPr>
          <w:rFonts w:ascii="Arial" w:hAnsi="Arial" w:cs="Arial"/>
          <w:sz w:val="24"/>
          <w:szCs w:val="24"/>
        </w:rPr>
        <w:t xml:space="preserve"> (</w:t>
      </w:r>
      <w:r w:rsidRPr="00716136">
        <w:rPr>
          <w:rFonts w:ascii="Arial" w:hAnsi="Arial" w:cs="Arial"/>
          <w:sz w:val="24"/>
          <w:szCs w:val="24"/>
        </w:rPr>
        <w:t>r</w:t>
      </w:r>
      <w:r w:rsidRPr="00F11770">
        <w:rPr>
          <w:rFonts w:ascii="Arial" w:hAnsi="Arial" w:cs="Arial"/>
          <w:sz w:val="24"/>
          <w:szCs w:val="24"/>
          <w:vertAlign w:val="subscript"/>
        </w:rPr>
        <w:t>t</w:t>
      </w:r>
      <w:r w:rsidRPr="00716136">
        <w:rPr>
          <w:rFonts w:ascii="Arial" w:hAnsi="Arial" w:cs="Arial"/>
          <w:sz w:val="24"/>
          <w:szCs w:val="24"/>
        </w:rPr>
        <w:t>-r</w:t>
      </w:r>
      <w:r w:rsidRPr="00F11770">
        <w:rPr>
          <w:rFonts w:ascii="Arial" w:hAnsi="Arial" w:cs="Arial"/>
          <w:sz w:val="24"/>
          <w:szCs w:val="24"/>
          <w:vertAlign w:val="subscript"/>
        </w:rPr>
        <w:t>t+1</w:t>
      </w:r>
      <w:r>
        <w:rPr>
          <w:rFonts w:ascii="Arial" w:hAnsi="Arial" w:cs="Arial"/>
          <w:sz w:val="24"/>
          <w:szCs w:val="24"/>
        </w:rPr>
        <w:t xml:space="preserve"> / </w:t>
      </w:r>
      <w:r w:rsidRPr="00716136">
        <w:rPr>
          <w:rFonts w:ascii="Arial" w:hAnsi="Arial" w:cs="Arial"/>
          <w:sz w:val="24"/>
          <w:szCs w:val="24"/>
        </w:rPr>
        <w:t>r</w:t>
      </w:r>
      <w:r w:rsidRPr="00955D93">
        <w:rPr>
          <w:rFonts w:ascii="Arial" w:hAnsi="Arial" w:cs="Arial"/>
          <w:sz w:val="24"/>
          <w:szCs w:val="24"/>
          <w:vertAlign w:val="subscript"/>
        </w:rPr>
        <w:t>t+1</w:t>
      </w:r>
      <w:r>
        <w:rPr>
          <w:rFonts w:ascii="Arial" w:hAnsi="Arial" w:cs="Arial"/>
          <w:sz w:val="24"/>
          <w:szCs w:val="24"/>
        </w:rPr>
        <w:t xml:space="preserve">) </w:t>
      </w:r>
      <w:r w:rsidRPr="00716136">
        <w:rPr>
          <w:rFonts w:ascii="Arial" w:hAnsi="Arial" w:cs="Arial"/>
          <w:sz w:val="24"/>
          <w:szCs w:val="24"/>
        </w:rPr>
        <w:t>e un effetto indiretto</w:t>
      </w:r>
      <w:r>
        <w:rPr>
          <w:rFonts w:ascii="Arial" w:hAnsi="Arial" w:cs="Arial"/>
          <w:sz w:val="24"/>
          <w:szCs w:val="24"/>
        </w:rPr>
        <w:t xml:space="preserve"> (</w:t>
      </w:r>
      <w:r w:rsidRPr="00716136">
        <w:rPr>
          <w:rFonts w:ascii="Arial" w:hAnsi="Arial" w:cs="Arial"/>
          <w:sz w:val="24"/>
          <w:szCs w:val="24"/>
        </w:rPr>
        <w:t>r</w:t>
      </w:r>
      <w:r w:rsidRPr="00F11770">
        <w:rPr>
          <w:rFonts w:ascii="Arial" w:hAnsi="Arial" w:cs="Arial"/>
          <w:sz w:val="24"/>
          <w:szCs w:val="24"/>
          <w:vertAlign w:val="subscript"/>
        </w:rPr>
        <w:t>t</w:t>
      </w:r>
      <w:r w:rsidRPr="00716136">
        <w:rPr>
          <w:rFonts w:ascii="Arial" w:hAnsi="Arial" w:cs="Arial"/>
          <w:sz w:val="24"/>
          <w:szCs w:val="24"/>
        </w:rPr>
        <w:t>-r</w:t>
      </w:r>
      <w:r w:rsidRPr="00F11770">
        <w:rPr>
          <w:rFonts w:ascii="Arial" w:hAnsi="Arial" w:cs="Arial"/>
          <w:sz w:val="24"/>
          <w:szCs w:val="24"/>
          <w:vertAlign w:val="subscript"/>
        </w:rPr>
        <w:t>t+1</w:t>
      </w:r>
      <w:r>
        <w:rPr>
          <w:rFonts w:ascii="Arial" w:hAnsi="Arial" w:cs="Arial"/>
          <w:sz w:val="24"/>
          <w:szCs w:val="24"/>
        </w:rPr>
        <w:t xml:space="preserve"> / </w:t>
      </w:r>
      <w:r w:rsidRPr="00716136">
        <w:rPr>
          <w:rFonts w:ascii="Arial" w:hAnsi="Arial" w:cs="Arial"/>
          <w:sz w:val="24"/>
          <w:szCs w:val="24"/>
        </w:rPr>
        <w:t>r</w:t>
      </w:r>
      <w:r w:rsidRPr="00955D93">
        <w:rPr>
          <w:rFonts w:ascii="Arial" w:hAnsi="Arial" w:cs="Arial"/>
          <w:sz w:val="24"/>
          <w:szCs w:val="24"/>
          <w:vertAlign w:val="subscript"/>
        </w:rPr>
        <w:t>t+1</w:t>
      </w:r>
      <w:r w:rsidRPr="008118C8">
        <w:rPr>
          <w:rFonts w:ascii="Arial" w:hAnsi="Arial" w:cs="Arial"/>
          <w:sz w:val="24"/>
          <w:szCs w:val="24"/>
        </w:rPr>
        <w:t>)</w:t>
      </w:r>
      <w:r>
        <w:rPr>
          <w:rFonts w:ascii="Arial" w:hAnsi="Arial" w:cs="Arial"/>
          <w:sz w:val="24"/>
          <w:szCs w:val="24"/>
        </w:rPr>
        <w:t xml:space="preserve"> i</w:t>
      </w:r>
      <w:r w:rsidRPr="00136A15">
        <w:rPr>
          <w:rFonts w:ascii="Arial" w:hAnsi="Arial" w:cs="Arial"/>
          <w:sz w:val="24"/>
          <w:szCs w:val="24"/>
          <w:vertAlign w:val="subscript"/>
        </w:rPr>
        <w:t>m</w:t>
      </w:r>
      <w:r w:rsidRPr="00716136">
        <w:rPr>
          <w:rFonts w:ascii="Arial" w:hAnsi="Arial" w:cs="Arial"/>
          <w:sz w:val="24"/>
          <w:szCs w:val="24"/>
        </w:rPr>
        <w:t xml:space="preserve"> attraverso il tasso di interesse</w:t>
      </w:r>
      <w:r>
        <w:rPr>
          <w:rFonts w:ascii="Arial" w:hAnsi="Arial" w:cs="Arial"/>
          <w:sz w:val="24"/>
          <w:szCs w:val="24"/>
        </w:rPr>
        <w:t xml:space="preserve"> </w:t>
      </w:r>
      <w:r w:rsidRPr="00716136">
        <w:rPr>
          <w:rFonts w:ascii="Arial" w:hAnsi="Arial" w:cs="Arial"/>
          <w:sz w:val="24"/>
          <w:szCs w:val="24"/>
        </w:rPr>
        <w:t>sul microcredito. Al contrario il differenziale di tasso determina soltanto l’effetto</w:t>
      </w:r>
      <w:r>
        <w:rPr>
          <w:rFonts w:ascii="Arial" w:hAnsi="Arial" w:cs="Arial"/>
          <w:sz w:val="24"/>
          <w:szCs w:val="24"/>
        </w:rPr>
        <w:t xml:space="preserve"> (</w:t>
      </w:r>
      <w:r w:rsidRPr="00716136">
        <w:rPr>
          <w:rFonts w:ascii="Arial" w:hAnsi="Arial" w:cs="Arial"/>
          <w:sz w:val="24"/>
          <w:szCs w:val="24"/>
        </w:rPr>
        <w:t xml:space="preserve">i </w:t>
      </w:r>
      <w:r>
        <w:rPr>
          <w:rFonts w:ascii="Arial" w:hAnsi="Arial" w:cs="Arial"/>
          <w:sz w:val="24"/>
          <w:szCs w:val="24"/>
        </w:rPr>
        <w:t>–</w:t>
      </w:r>
      <w:r w:rsidRPr="00716136">
        <w:rPr>
          <w:rFonts w:ascii="Arial" w:hAnsi="Arial" w:cs="Arial"/>
          <w:sz w:val="24"/>
          <w:szCs w:val="24"/>
        </w:rPr>
        <w:t xml:space="preserve"> i</w:t>
      </w:r>
      <w:r w:rsidRPr="00A4636E">
        <w:rPr>
          <w:rFonts w:ascii="Arial" w:hAnsi="Arial" w:cs="Arial"/>
          <w:sz w:val="24"/>
          <w:szCs w:val="24"/>
          <w:vertAlign w:val="subscript"/>
        </w:rPr>
        <w:t>m</w:t>
      </w:r>
      <w:r>
        <w:rPr>
          <w:rFonts w:ascii="Arial" w:hAnsi="Arial" w:cs="Arial"/>
          <w:sz w:val="24"/>
          <w:szCs w:val="24"/>
        </w:rPr>
        <w:t>).</w:t>
      </w:r>
    </w:p>
    <w:p w14:paraId="7E6CECCA" w14:textId="77777777" w:rsidR="00222F2D" w:rsidRDefault="00222F2D" w:rsidP="00222F2D">
      <w:pPr>
        <w:pStyle w:val="Paragrafoelenco"/>
        <w:spacing w:line="360" w:lineRule="auto"/>
        <w:ind w:left="0"/>
        <w:jc w:val="both"/>
        <w:rPr>
          <w:rFonts w:ascii="Arial" w:hAnsi="Arial" w:cs="Arial"/>
          <w:sz w:val="24"/>
          <w:szCs w:val="24"/>
        </w:rPr>
      </w:pPr>
      <w:r w:rsidRPr="00716136">
        <w:rPr>
          <w:rFonts w:ascii="Arial" w:hAnsi="Arial" w:cs="Arial"/>
          <w:sz w:val="24"/>
          <w:szCs w:val="24"/>
        </w:rPr>
        <w:lastRenderedPageBreak/>
        <w:t>La misura ipotizzata per il tasso di raccolta è straordinaria rispetto ai normali rendimenti obbligazionari del periodo, poiché deve scontare il livello di rischio connesso con il microcredito. Quale periodo di indagine è stato considerato l’intervallo</w:t>
      </w:r>
      <w:r>
        <w:rPr>
          <w:rFonts w:ascii="Arial" w:hAnsi="Arial" w:cs="Arial"/>
          <w:sz w:val="24"/>
          <w:szCs w:val="24"/>
        </w:rPr>
        <w:t xml:space="preserve"> 2013-2014</w:t>
      </w:r>
      <w:r w:rsidRPr="00716136">
        <w:rPr>
          <w:rFonts w:ascii="Arial" w:hAnsi="Arial" w:cs="Arial"/>
          <w:sz w:val="24"/>
          <w:szCs w:val="24"/>
        </w:rPr>
        <w:t xml:space="preserve"> e una serie di rilevazioni composta mediamente da cinquantadue operazioni di investimento con </w:t>
      </w:r>
      <w:r w:rsidRPr="00716136">
        <w:rPr>
          <w:rFonts w:ascii="Arial" w:hAnsi="Arial" w:cs="Arial"/>
          <w:i/>
          <w:iCs/>
          <w:sz w:val="24"/>
          <w:szCs w:val="24"/>
        </w:rPr>
        <w:t>closing</w:t>
      </w:r>
      <w:r w:rsidRPr="00716136">
        <w:rPr>
          <w:rFonts w:ascii="Arial" w:hAnsi="Arial" w:cs="Arial"/>
          <w:sz w:val="24"/>
          <w:szCs w:val="24"/>
        </w:rPr>
        <w:t xml:space="preserve"> dopo un anno.</w:t>
      </w:r>
    </w:p>
    <w:p w14:paraId="33C50063" w14:textId="77777777" w:rsidR="00222F2D" w:rsidRDefault="00222F2D" w:rsidP="00222F2D">
      <w:pPr>
        <w:pStyle w:val="Paragrafoelenco"/>
        <w:spacing w:line="360" w:lineRule="auto"/>
        <w:ind w:left="0"/>
        <w:jc w:val="both"/>
        <w:rPr>
          <w:rFonts w:ascii="Arial" w:hAnsi="Arial" w:cs="Arial"/>
          <w:sz w:val="24"/>
          <w:szCs w:val="24"/>
        </w:rPr>
      </w:pPr>
    </w:p>
    <w:p w14:paraId="27ACAB4F" w14:textId="77777777" w:rsidR="00222F2D" w:rsidRPr="00716136" w:rsidRDefault="00222F2D" w:rsidP="00222F2D">
      <w:pPr>
        <w:pStyle w:val="Paragrafoelenco"/>
        <w:spacing w:line="360" w:lineRule="auto"/>
        <w:jc w:val="both"/>
        <w:rPr>
          <w:rFonts w:ascii="Arial" w:hAnsi="Arial" w:cs="Arial"/>
          <w:sz w:val="24"/>
          <w:szCs w:val="24"/>
        </w:rPr>
      </w:pPr>
      <w:r>
        <w:rPr>
          <w:rFonts w:ascii="Arial" w:hAnsi="Arial" w:cs="Arial"/>
          <w:sz w:val="24"/>
          <w:szCs w:val="24"/>
        </w:rPr>
        <w:t>I.2</w:t>
      </w:r>
      <w:r w:rsidRPr="00716136">
        <w:rPr>
          <w:rFonts w:ascii="Arial" w:hAnsi="Arial" w:cs="Arial"/>
          <w:sz w:val="24"/>
          <w:szCs w:val="24"/>
        </w:rPr>
        <w:t>.</w:t>
      </w:r>
      <w:r w:rsidRPr="00716136">
        <w:rPr>
          <w:rFonts w:ascii="Arial" w:hAnsi="Arial" w:cs="Arial"/>
          <w:sz w:val="24"/>
          <w:szCs w:val="24"/>
        </w:rPr>
        <w:tab/>
        <w:t>Argentina</w:t>
      </w:r>
    </w:p>
    <w:p w14:paraId="2634CB45" w14:textId="77777777" w:rsidR="00222F2D" w:rsidRPr="00716136" w:rsidRDefault="00222F2D" w:rsidP="00222F2D">
      <w:pPr>
        <w:pStyle w:val="Paragrafoelenco"/>
        <w:spacing w:line="360" w:lineRule="auto"/>
        <w:jc w:val="both"/>
        <w:rPr>
          <w:rFonts w:ascii="Arial" w:hAnsi="Arial" w:cs="Arial"/>
          <w:sz w:val="24"/>
          <w:szCs w:val="24"/>
        </w:rPr>
      </w:pPr>
    </w:p>
    <w:p w14:paraId="5266DA2D" w14:textId="77777777" w:rsidR="00222F2D" w:rsidRDefault="00222F2D" w:rsidP="00222F2D">
      <w:pPr>
        <w:pStyle w:val="Paragrafoelenco"/>
        <w:spacing w:line="360" w:lineRule="auto"/>
        <w:ind w:left="0"/>
        <w:jc w:val="both"/>
        <w:rPr>
          <w:rFonts w:ascii="Arial" w:hAnsi="Arial" w:cs="Arial"/>
          <w:sz w:val="24"/>
          <w:szCs w:val="24"/>
        </w:rPr>
      </w:pPr>
      <w:r w:rsidRPr="00716136">
        <w:rPr>
          <w:rFonts w:ascii="Arial" w:hAnsi="Arial" w:cs="Arial"/>
          <w:sz w:val="24"/>
          <w:szCs w:val="24"/>
        </w:rPr>
        <w:t>L’analisi comparativa tra i dati storici del differenziale di tasso d’interesse e quelli del cambio, per il biennio 2013-2014, evidenzia un pay-off positivo medio del 6,27% prodotto dall’operatività con raccolta in euro ed impiego in peso argentino. Il risultato è da ascrivere a un effetto medio negativo del 55,50% generato dal cambio e, per la restante parte, ad un effetto medio del 61,77% determinato dal differenziale dei tassi</w:t>
      </w:r>
      <w:r>
        <w:rPr>
          <w:rFonts w:ascii="Arial" w:hAnsi="Arial" w:cs="Arial"/>
          <w:sz w:val="24"/>
          <w:szCs w:val="24"/>
        </w:rPr>
        <w:t>; a</w:t>
      </w:r>
      <w:r w:rsidRPr="00716136">
        <w:rPr>
          <w:rFonts w:ascii="Arial" w:hAnsi="Arial" w:cs="Arial"/>
          <w:sz w:val="24"/>
          <w:szCs w:val="24"/>
        </w:rPr>
        <w:t xml:space="preserve"> sua volta quest’ultimo è da ricondurre al tasso medio del 71,27% rilevato sul microcredito, superiore al tasso di raccolta, ipotizzato nella misura del 9,50%.</w:t>
      </w:r>
    </w:p>
    <w:p w14:paraId="4ECCCE75" w14:textId="77777777" w:rsidR="00222F2D" w:rsidRDefault="00222F2D" w:rsidP="00222F2D">
      <w:pPr>
        <w:pStyle w:val="Paragrafoelenco"/>
        <w:spacing w:line="360" w:lineRule="auto"/>
        <w:ind w:left="0"/>
        <w:jc w:val="both"/>
        <w:rPr>
          <w:rFonts w:ascii="Arial" w:hAnsi="Arial" w:cs="Arial"/>
          <w:sz w:val="24"/>
          <w:szCs w:val="24"/>
        </w:rPr>
      </w:pPr>
      <w:r w:rsidRPr="00716136">
        <w:rPr>
          <w:rFonts w:ascii="Arial" w:hAnsi="Arial" w:cs="Arial"/>
          <w:sz w:val="24"/>
          <w:szCs w:val="24"/>
        </w:rPr>
        <w:t>In sintesi, il pay-off mostra una tendenza crescente ad eccezione dei primi periodi oggetto di osservazione</w:t>
      </w:r>
      <w:r>
        <w:rPr>
          <w:rFonts w:ascii="Arial" w:hAnsi="Arial" w:cs="Arial"/>
          <w:sz w:val="24"/>
          <w:szCs w:val="24"/>
        </w:rPr>
        <w:t>; p</w:t>
      </w:r>
      <w:r w:rsidRPr="00716136">
        <w:rPr>
          <w:rFonts w:ascii="Arial" w:hAnsi="Arial" w:cs="Arial"/>
          <w:sz w:val="24"/>
          <w:szCs w:val="24"/>
        </w:rPr>
        <w:t xml:space="preserve">eraltro, lo stesso tasso sul microcredito è di circa 29 punti percentuali maggiore del tasso stimato sul lending ordinario. Sono stati rilevati anche picchi di tassi di interesse sul microcredito fino a 100 punti percentuali, mentre tassi più agevolati sono stati riscontrati, ad esempio, nell’istituzione finanziaria </w:t>
      </w:r>
      <w:r w:rsidRPr="008C08B7">
        <w:rPr>
          <w:rFonts w:ascii="Arial" w:hAnsi="Arial" w:cs="Arial"/>
          <w:i/>
          <w:iCs/>
          <w:sz w:val="24"/>
          <w:szCs w:val="24"/>
        </w:rPr>
        <w:t>Fundación Pro Mujer Argentina</w:t>
      </w:r>
      <w:r w:rsidRPr="00716136">
        <w:rPr>
          <w:rFonts w:ascii="Arial" w:hAnsi="Arial" w:cs="Arial"/>
          <w:sz w:val="24"/>
          <w:szCs w:val="24"/>
        </w:rPr>
        <w:t xml:space="preserve"> che si occupa di prestiti alle sole donne. Infine, per quanto riguarda il cambio, come confermato dalla deviazione standard, il peso argentino risulta essere fra le più instabili, con una tendenza in ogni caso negativ</w:t>
      </w:r>
      <w:r>
        <w:rPr>
          <w:rFonts w:ascii="Arial" w:hAnsi="Arial" w:cs="Arial"/>
          <w:sz w:val="24"/>
          <w:szCs w:val="24"/>
        </w:rPr>
        <w:t>a</w:t>
      </w:r>
      <w:r w:rsidRPr="00716136">
        <w:rPr>
          <w:rFonts w:ascii="Arial" w:hAnsi="Arial" w:cs="Arial"/>
          <w:sz w:val="24"/>
          <w:szCs w:val="24"/>
        </w:rPr>
        <w:t>, dovuto al continuo deprezzamento rispetto all’euro.</w:t>
      </w:r>
    </w:p>
    <w:p w14:paraId="22193DBD" w14:textId="77777777" w:rsidR="00222F2D" w:rsidRDefault="00222F2D" w:rsidP="00222F2D">
      <w:pPr>
        <w:pStyle w:val="Paragrafoelenco"/>
        <w:spacing w:line="360" w:lineRule="auto"/>
        <w:ind w:left="0"/>
        <w:jc w:val="both"/>
        <w:rPr>
          <w:rFonts w:ascii="Arial" w:hAnsi="Arial" w:cs="Arial"/>
          <w:sz w:val="24"/>
          <w:szCs w:val="24"/>
        </w:rPr>
      </w:pPr>
    </w:p>
    <w:p w14:paraId="3D625054" w14:textId="77777777" w:rsidR="00222F2D" w:rsidRDefault="00222F2D" w:rsidP="00222F2D">
      <w:pPr>
        <w:pStyle w:val="Paragrafoelenco"/>
        <w:ind w:left="0"/>
        <w:jc w:val="center"/>
        <w:rPr>
          <w:rFonts w:ascii="Arial" w:hAnsi="Arial" w:cs="Arial"/>
          <w:sz w:val="24"/>
          <w:szCs w:val="24"/>
        </w:rPr>
      </w:pPr>
      <w:r w:rsidRPr="00716136">
        <w:rPr>
          <w:rFonts w:ascii="Arial" w:hAnsi="Arial" w:cs="Arial"/>
          <w:noProof/>
          <w:sz w:val="24"/>
          <w:szCs w:val="24"/>
        </w:rPr>
        <w:lastRenderedPageBreak/>
        <w:drawing>
          <wp:inline distT="0" distB="0" distL="0" distR="0" wp14:anchorId="2884457A" wp14:editId="756A2811">
            <wp:extent cx="5040000" cy="7200000"/>
            <wp:effectExtent l="0" t="0" r="8255" b="1270"/>
            <wp:docPr id="1978982777" name="Immagine 1" descr="Immagine che contiene testo, schermata, documento, menu&#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78982777" name="Immagine 1" descr="Immagine che contiene testo, schermata, documento, menu&#10;&#10;Descrizione generata automaticamente"/>
                    <pic:cNvPicPr preferRelativeResize="0"/>
                  </pic:nvPicPr>
                  <pic:blipFill rotWithShape="1">
                    <a:blip r:embed="rId47"/>
                    <a:srcRect l="1523" t="688" r="2007" b="1863"/>
                    <a:stretch/>
                  </pic:blipFill>
                  <pic:spPr bwMode="auto">
                    <a:xfrm>
                      <a:off x="0" y="0"/>
                      <a:ext cx="5040000" cy="7200000"/>
                    </a:xfrm>
                    <a:prstGeom prst="rect">
                      <a:avLst/>
                    </a:prstGeom>
                    <a:ln>
                      <a:noFill/>
                    </a:ln>
                    <a:extLst>
                      <a:ext uri="{53640926-AAD7-44D8-BBD7-CCE9431645EC}">
                        <a14:shadowObscured xmlns:a14="http://schemas.microsoft.com/office/drawing/2010/main"/>
                      </a:ext>
                    </a:extLst>
                  </pic:spPr>
                </pic:pic>
              </a:graphicData>
            </a:graphic>
          </wp:inline>
        </w:drawing>
      </w:r>
    </w:p>
    <w:p w14:paraId="7FB08A17" w14:textId="77777777" w:rsidR="00222F2D" w:rsidRDefault="00222F2D" w:rsidP="00222F2D">
      <w:pPr>
        <w:pStyle w:val="Paragrafoelenco"/>
        <w:ind w:left="0"/>
        <w:jc w:val="both"/>
        <w:rPr>
          <w:rFonts w:ascii="Arial" w:hAnsi="Arial" w:cs="Arial"/>
          <w:sz w:val="24"/>
          <w:szCs w:val="24"/>
        </w:rPr>
      </w:pPr>
    </w:p>
    <w:p w14:paraId="32AEA3EB" w14:textId="77777777" w:rsidR="00222F2D" w:rsidRDefault="00222F2D" w:rsidP="00222F2D">
      <w:pPr>
        <w:pStyle w:val="Paragrafoelenco"/>
        <w:ind w:left="0"/>
        <w:jc w:val="center"/>
        <w:rPr>
          <w:rFonts w:ascii="Arial" w:hAnsi="Arial" w:cs="Arial"/>
          <w:sz w:val="24"/>
          <w:szCs w:val="24"/>
        </w:rPr>
      </w:pPr>
      <w:r w:rsidRPr="006C1431">
        <w:rPr>
          <w:rFonts w:ascii="Arial" w:hAnsi="Arial" w:cs="Arial"/>
          <w:noProof/>
          <w:sz w:val="24"/>
          <w:szCs w:val="24"/>
        </w:rPr>
        <w:lastRenderedPageBreak/>
        <w:drawing>
          <wp:inline distT="0" distB="0" distL="0" distR="0" wp14:anchorId="049010B6" wp14:editId="25DDC566">
            <wp:extent cx="4320000" cy="2880000"/>
            <wp:effectExtent l="0" t="0" r="4445" b="0"/>
            <wp:docPr id="579044882" name="Immagine 1" descr="Immagine che contiene testo, schermata, numero, menu&#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9044882" name="Immagine 1" descr="Immagine che contiene testo, schermata, numero, menu&#10;&#10;Descrizione generata automaticamente"/>
                    <pic:cNvPicPr preferRelativeResize="0"/>
                  </pic:nvPicPr>
                  <pic:blipFill rotWithShape="1">
                    <a:blip r:embed="rId48"/>
                    <a:srcRect l="1814" t="2102" r="8367" b="1226"/>
                    <a:stretch/>
                  </pic:blipFill>
                  <pic:spPr bwMode="auto">
                    <a:xfrm>
                      <a:off x="0" y="0"/>
                      <a:ext cx="4320000" cy="2880000"/>
                    </a:xfrm>
                    <a:prstGeom prst="rect">
                      <a:avLst/>
                    </a:prstGeom>
                    <a:ln>
                      <a:noFill/>
                    </a:ln>
                    <a:extLst>
                      <a:ext uri="{53640926-AAD7-44D8-BBD7-CCE9431645EC}">
                        <a14:shadowObscured xmlns:a14="http://schemas.microsoft.com/office/drawing/2010/main"/>
                      </a:ext>
                    </a:extLst>
                  </pic:spPr>
                </pic:pic>
              </a:graphicData>
            </a:graphic>
          </wp:inline>
        </w:drawing>
      </w:r>
    </w:p>
    <w:p w14:paraId="70D3491B" w14:textId="77777777" w:rsidR="00222F2D" w:rsidRDefault="00222F2D" w:rsidP="00222F2D">
      <w:pPr>
        <w:pStyle w:val="Paragrafoelenco"/>
        <w:ind w:left="0"/>
        <w:jc w:val="both"/>
        <w:rPr>
          <w:rFonts w:ascii="Arial" w:hAnsi="Arial" w:cs="Arial"/>
          <w:sz w:val="24"/>
          <w:szCs w:val="24"/>
        </w:rPr>
      </w:pPr>
    </w:p>
    <w:p w14:paraId="74A88FBC" w14:textId="77777777" w:rsidR="00222F2D" w:rsidRDefault="00222F2D" w:rsidP="00222F2D">
      <w:pPr>
        <w:pStyle w:val="Paragrafoelenco"/>
        <w:ind w:left="0"/>
        <w:jc w:val="both"/>
        <w:rPr>
          <w:rFonts w:ascii="Arial" w:hAnsi="Arial" w:cs="Arial"/>
          <w:sz w:val="24"/>
          <w:szCs w:val="24"/>
        </w:rPr>
      </w:pPr>
    </w:p>
    <w:p w14:paraId="019F141D" w14:textId="77777777" w:rsidR="00222F2D" w:rsidRDefault="00222F2D" w:rsidP="00222F2D">
      <w:pPr>
        <w:pStyle w:val="Paragrafoelenco"/>
        <w:ind w:left="0"/>
        <w:jc w:val="center"/>
        <w:rPr>
          <w:rFonts w:ascii="Arial" w:hAnsi="Arial" w:cs="Arial"/>
          <w:sz w:val="24"/>
          <w:szCs w:val="24"/>
        </w:rPr>
      </w:pPr>
      <w:r>
        <w:rPr>
          <w:rFonts w:ascii="Arial" w:hAnsi="Arial" w:cs="Arial"/>
          <w:noProof/>
          <w:sz w:val="24"/>
          <w:szCs w:val="24"/>
        </w:rPr>
        <w:drawing>
          <wp:inline distT="0" distB="0" distL="0" distR="0" wp14:anchorId="47EAA522" wp14:editId="0FCDE358">
            <wp:extent cx="4320000" cy="2880000"/>
            <wp:effectExtent l="0" t="0" r="4445" b="0"/>
            <wp:docPr id="1753234145" name="Immagine 2" descr="Immagine che contiene testo, Diagramma, linea, diagramm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53234145" name="Immagine 2" descr="Immagine che contiene testo, Diagramma, linea, diagramma&#10;&#10;Descrizione generata automaticamente"/>
                    <pic:cNvPicPr preferRelativeResize="0">
                      <a:picLocks noChangeAspect="1" noChangeArrowheads="1"/>
                    </pic:cNvPicPr>
                  </pic:nvPicPr>
                  <pic:blipFill rotWithShape="1">
                    <a:blip r:embed="rId49">
                      <a:extLst>
                        <a:ext uri="{28A0092B-C50C-407E-A947-70E740481C1C}">
                          <a14:useLocalDpi xmlns:a14="http://schemas.microsoft.com/office/drawing/2010/main" val="0"/>
                        </a:ext>
                      </a:extLst>
                    </a:blip>
                    <a:srcRect l="5273" t="2581" r="7525" b="6666"/>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ED356E7" w14:textId="77777777" w:rsidR="00222F2D" w:rsidRDefault="00222F2D" w:rsidP="00222F2D">
      <w:pPr>
        <w:pStyle w:val="Paragrafoelenco"/>
        <w:spacing w:after="0" w:line="360" w:lineRule="auto"/>
        <w:ind w:left="0"/>
        <w:jc w:val="both"/>
        <w:rPr>
          <w:rFonts w:ascii="Arial" w:hAnsi="Arial" w:cs="Arial"/>
          <w:sz w:val="24"/>
          <w:szCs w:val="24"/>
        </w:rPr>
      </w:pPr>
    </w:p>
    <w:p w14:paraId="1CB9C8DE" w14:textId="77777777" w:rsidR="00222F2D" w:rsidRDefault="00222F2D" w:rsidP="00222F2D">
      <w:pPr>
        <w:pStyle w:val="Paragrafoelenco"/>
        <w:spacing w:after="0" w:line="360" w:lineRule="auto"/>
        <w:ind w:left="0"/>
        <w:jc w:val="both"/>
        <w:rPr>
          <w:rFonts w:ascii="Arial" w:hAnsi="Arial" w:cs="Arial"/>
          <w:sz w:val="24"/>
          <w:szCs w:val="24"/>
        </w:rPr>
      </w:pPr>
    </w:p>
    <w:p w14:paraId="1E5BAFA3" w14:textId="77777777" w:rsidR="00222F2D" w:rsidRPr="00CD0190" w:rsidRDefault="00222F2D" w:rsidP="00222F2D">
      <w:pPr>
        <w:tabs>
          <w:tab w:val="left" w:pos="709"/>
        </w:tabs>
        <w:spacing w:after="0" w:line="360" w:lineRule="auto"/>
        <w:jc w:val="both"/>
        <w:rPr>
          <w:rFonts w:ascii="Arial" w:hAnsi="Arial" w:cs="Arial"/>
          <w:bCs/>
          <w:sz w:val="24"/>
          <w:szCs w:val="24"/>
        </w:rPr>
      </w:pPr>
      <w:r w:rsidRPr="00CD0190">
        <w:rPr>
          <w:rFonts w:ascii="Arial" w:hAnsi="Arial" w:cs="Arial"/>
          <w:bCs/>
          <w:sz w:val="24"/>
          <w:szCs w:val="24"/>
        </w:rPr>
        <w:t>I.</w:t>
      </w:r>
      <w:r>
        <w:rPr>
          <w:rFonts w:ascii="Arial" w:hAnsi="Arial" w:cs="Arial"/>
          <w:bCs/>
          <w:sz w:val="24"/>
          <w:szCs w:val="24"/>
        </w:rPr>
        <w:t>3</w:t>
      </w:r>
      <w:r w:rsidRPr="00CD0190">
        <w:rPr>
          <w:rFonts w:ascii="Arial" w:hAnsi="Arial" w:cs="Arial"/>
          <w:bCs/>
          <w:sz w:val="24"/>
          <w:szCs w:val="24"/>
        </w:rPr>
        <w:t>.</w:t>
      </w:r>
      <w:r w:rsidRPr="00CD0190">
        <w:rPr>
          <w:rFonts w:ascii="Arial" w:hAnsi="Arial" w:cs="Arial"/>
          <w:bCs/>
          <w:sz w:val="24"/>
          <w:szCs w:val="24"/>
        </w:rPr>
        <w:tab/>
        <w:t>Bolivia</w:t>
      </w:r>
    </w:p>
    <w:p w14:paraId="3E6DC287" w14:textId="77777777" w:rsidR="00222F2D" w:rsidRPr="00CD0190" w:rsidRDefault="00222F2D" w:rsidP="00222F2D">
      <w:pPr>
        <w:tabs>
          <w:tab w:val="left" w:pos="709"/>
        </w:tabs>
        <w:spacing w:after="0" w:line="360" w:lineRule="auto"/>
        <w:jc w:val="both"/>
        <w:rPr>
          <w:rFonts w:ascii="Arial" w:hAnsi="Arial" w:cs="Arial"/>
          <w:bCs/>
          <w:sz w:val="24"/>
          <w:szCs w:val="24"/>
        </w:rPr>
      </w:pPr>
    </w:p>
    <w:p w14:paraId="13CC855E" w14:textId="77777777" w:rsidR="00222F2D" w:rsidRDefault="00222F2D" w:rsidP="00222F2D">
      <w:pPr>
        <w:tabs>
          <w:tab w:val="left" w:pos="709"/>
        </w:tabs>
        <w:spacing w:line="360" w:lineRule="auto"/>
        <w:jc w:val="both"/>
        <w:rPr>
          <w:rFonts w:ascii="Arial" w:hAnsi="Arial" w:cs="Arial"/>
          <w:bCs/>
          <w:sz w:val="24"/>
          <w:szCs w:val="24"/>
        </w:rPr>
      </w:pPr>
      <w:r w:rsidRPr="00CD0190">
        <w:rPr>
          <w:rFonts w:ascii="Arial" w:hAnsi="Arial" w:cs="Arial"/>
          <w:bCs/>
          <w:sz w:val="24"/>
          <w:szCs w:val="24"/>
        </w:rPr>
        <w:t>L’analisi comparativa tra i dati storici del differenziale di tasso d’interesse e quelli del cambio, per il biennio 2013-2014, evidenzia un pay-off positivo medio del 11,17% prodotto dall’operatività con raccolta in euro ed impiego in boliviano. Il risultato è da ascrivere ad un effetto medio del 0,76% generato dal cambio e, per la restante parte, ad un effetto medio del 10,41% determinato dal differenziale dei tassi. A sua volta quest’ultimo è da ricondurre al tasso medio del 19,91% rilevato sul microcredito, superiore al tasso di raccolta, ipotizzato nella misura del 9,50%.</w:t>
      </w:r>
    </w:p>
    <w:p w14:paraId="28253633" w14:textId="77777777" w:rsidR="00222F2D" w:rsidRPr="00CD0190" w:rsidRDefault="00222F2D" w:rsidP="00222F2D">
      <w:pPr>
        <w:tabs>
          <w:tab w:val="left" w:pos="709"/>
        </w:tabs>
        <w:spacing w:line="360" w:lineRule="auto"/>
        <w:jc w:val="both"/>
        <w:rPr>
          <w:rFonts w:ascii="Arial" w:hAnsi="Arial" w:cs="Arial"/>
          <w:bCs/>
          <w:sz w:val="24"/>
          <w:szCs w:val="24"/>
        </w:rPr>
      </w:pPr>
      <w:r w:rsidRPr="00CD0190">
        <w:rPr>
          <w:rFonts w:ascii="Arial" w:hAnsi="Arial" w:cs="Arial"/>
          <w:bCs/>
          <w:sz w:val="24"/>
          <w:szCs w:val="24"/>
        </w:rPr>
        <w:lastRenderedPageBreak/>
        <w:t>Peraltro, lo stesso tasso sul microcredito è di circa 7 punti percentuali maggiore del tasso stimato sul lending ordinario. Infine, per quanto riguarda il cambio, si evince durante il periodo di osservazione un’inversione di tendenza: fino ad agosto 2014</w:t>
      </w:r>
      <w:r>
        <w:rPr>
          <w:rFonts w:ascii="Arial" w:hAnsi="Arial" w:cs="Arial"/>
          <w:bCs/>
          <w:sz w:val="24"/>
          <w:szCs w:val="24"/>
        </w:rPr>
        <w:t>,</w:t>
      </w:r>
      <w:r w:rsidRPr="00CD0190">
        <w:rPr>
          <w:rFonts w:ascii="Arial" w:hAnsi="Arial" w:cs="Arial"/>
          <w:bCs/>
          <w:sz w:val="24"/>
          <w:szCs w:val="24"/>
        </w:rPr>
        <w:t xml:space="preserve"> la valuta boliviana rispetto all’euro si deprezza per poi invertire il segno nel periodo successivo.</w:t>
      </w:r>
    </w:p>
    <w:p w14:paraId="369D0E35"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68976036" wp14:editId="1252EF22">
            <wp:extent cx="5040000" cy="7200000"/>
            <wp:effectExtent l="0" t="0" r="8255" b="1270"/>
            <wp:docPr id="273365387" name="Immagine 8" descr="Immagine che contiene testo, schermata, documento,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3365387" name="Immagine 8" descr="Immagine che contiene testo, schermata, documento, numero&#10;&#10;Descrizione generata automaticamente"/>
                    <pic:cNvPicPr preferRelativeResize="0">
                      <a:picLocks noChangeAspect="1" noChangeArrowheads="1"/>
                    </pic:cNvPicPr>
                  </pic:nvPicPr>
                  <pic:blipFill rotWithShape="1">
                    <a:blip r:embed="rId50">
                      <a:extLst>
                        <a:ext uri="{28A0092B-C50C-407E-A947-70E740481C1C}">
                          <a14:useLocalDpi xmlns:a14="http://schemas.microsoft.com/office/drawing/2010/main" val="0"/>
                        </a:ext>
                      </a:extLst>
                    </a:blip>
                    <a:srcRect l="3836" t="588" r="5698" b="4762"/>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4236CC43" w14:textId="77777777" w:rsidR="00222F2D" w:rsidRDefault="00222F2D" w:rsidP="00222F2D">
      <w:pPr>
        <w:tabs>
          <w:tab w:val="left" w:pos="709"/>
        </w:tabs>
        <w:spacing w:line="360" w:lineRule="auto"/>
        <w:jc w:val="both"/>
        <w:rPr>
          <w:rFonts w:ascii="Arial" w:hAnsi="Arial" w:cs="Arial"/>
          <w:bCs/>
          <w:sz w:val="24"/>
          <w:szCs w:val="24"/>
        </w:rPr>
      </w:pPr>
    </w:p>
    <w:p w14:paraId="4B470B58" w14:textId="77777777" w:rsidR="00222F2D" w:rsidRDefault="00222F2D" w:rsidP="00222F2D">
      <w:pPr>
        <w:tabs>
          <w:tab w:val="left" w:pos="709"/>
        </w:tabs>
        <w:spacing w:line="360" w:lineRule="auto"/>
        <w:jc w:val="both"/>
        <w:rPr>
          <w:rFonts w:ascii="Arial" w:hAnsi="Arial" w:cs="Arial"/>
          <w:bCs/>
          <w:sz w:val="24"/>
          <w:szCs w:val="24"/>
        </w:rPr>
      </w:pPr>
    </w:p>
    <w:p w14:paraId="7F8B031C"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12AC93F7" wp14:editId="01B52F72">
            <wp:extent cx="4320000" cy="2880000"/>
            <wp:effectExtent l="0" t="0" r="4445" b="0"/>
            <wp:docPr id="342090450" name="Immagin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rotWithShape="1">
                    <a:blip r:embed="rId51">
                      <a:extLst>
                        <a:ext uri="{28A0092B-C50C-407E-A947-70E740481C1C}">
                          <a14:useLocalDpi xmlns:a14="http://schemas.microsoft.com/office/drawing/2010/main" val="0"/>
                        </a:ext>
                      </a:extLst>
                    </a:blip>
                    <a:srcRect l="2955" t="2673" r="4715" b="4609"/>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130348B4"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EE9CB2F" wp14:editId="0A248858">
            <wp:extent cx="4320000" cy="2880000"/>
            <wp:effectExtent l="0" t="0" r="4445" b="0"/>
            <wp:docPr id="1878054749" name="Immagin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rotWithShape="1">
                    <a:blip r:embed="rId52">
                      <a:extLst>
                        <a:ext uri="{28A0092B-C50C-407E-A947-70E740481C1C}">
                          <a14:useLocalDpi xmlns:a14="http://schemas.microsoft.com/office/drawing/2010/main" val="0"/>
                        </a:ext>
                      </a:extLst>
                    </a:blip>
                    <a:srcRect l="4952" r="5252" b="9748"/>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0008DADD" w14:textId="77777777" w:rsidR="00222F2D" w:rsidRDefault="00222F2D" w:rsidP="00222F2D">
      <w:pPr>
        <w:tabs>
          <w:tab w:val="left" w:pos="709"/>
        </w:tabs>
        <w:spacing w:after="0" w:line="360" w:lineRule="auto"/>
        <w:jc w:val="both"/>
        <w:rPr>
          <w:rFonts w:ascii="Arial" w:hAnsi="Arial" w:cs="Arial"/>
          <w:bCs/>
          <w:sz w:val="24"/>
          <w:szCs w:val="24"/>
        </w:rPr>
      </w:pPr>
    </w:p>
    <w:p w14:paraId="7F8EAC6E" w14:textId="77777777" w:rsidR="00222F2D" w:rsidRPr="00CD0190" w:rsidRDefault="00222F2D" w:rsidP="00222F2D">
      <w:pPr>
        <w:tabs>
          <w:tab w:val="left" w:pos="709"/>
        </w:tabs>
        <w:spacing w:after="0" w:line="360" w:lineRule="auto"/>
        <w:jc w:val="both"/>
        <w:rPr>
          <w:rFonts w:ascii="Arial" w:hAnsi="Arial" w:cs="Arial"/>
          <w:bCs/>
          <w:sz w:val="24"/>
          <w:szCs w:val="24"/>
        </w:rPr>
      </w:pPr>
      <w:r w:rsidRPr="00CD0190">
        <w:rPr>
          <w:rFonts w:ascii="Arial" w:hAnsi="Arial" w:cs="Arial"/>
          <w:bCs/>
          <w:sz w:val="24"/>
          <w:szCs w:val="24"/>
        </w:rPr>
        <w:t>I.</w:t>
      </w:r>
      <w:r>
        <w:rPr>
          <w:rFonts w:ascii="Arial" w:hAnsi="Arial" w:cs="Arial"/>
          <w:bCs/>
          <w:sz w:val="24"/>
          <w:szCs w:val="24"/>
        </w:rPr>
        <w:t>4</w:t>
      </w:r>
      <w:r w:rsidRPr="00CD0190">
        <w:rPr>
          <w:rFonts w:ascii="Arial" w:hAnsi="Arial" w:cs="Arial"/>
          <w:bCs/>
          <w:sz w:val="24"/>
          <w:szCs w:val="24"/>
        </w:rPr>
        <w:t>.</w:t>
      </w:r>
      <w:r w:rsidRPr="00CD0190">
        <w:rPr>
          <w:rFonts w:ascii="Arial" w:hAnsi="Arial" w:cs="Arial"/>
          <w:bCs/>
          <w:sz w:val="24"/>
          <w:szCs w:val="24"/>
        </w:rPr>
        <w:tab/>
        <w:t>Brasile</w:t>
      </w:r>
    </w:p>
    <w:p w14:paraId="1F79F1DF" w14:textId="77777777" w:rsidR="00222F2D" w:rsidRPr="00CD0190" w:rsidRDefault="00222F2D" w:rsidP="00222F2D">
      <w:pPr>
        <w:tabs>
          <w:tab w:val="left" w:pos="709"/>
        </w:tabs>
        <w:spacing w:after="0" w:line="360" w:lineRule="auto"/>
        <w:jc w:val="both"/>
        <w:rPr>
          <w:rFonts w:ascii="Arial" w:hAnsi="Arial" w:cs="Arial"/>
          <w:bCs/>
          <w:sz w:val="24"/>
          <w:szCs w:val="24"/>
        </w:rPr>
      </w:pPr>
    </w:p>
    <w:p w14:paraId="2440BFDF" w14:textId="77777777" w:rsidR="00222F2D" w:rsidRPr="00CD0190" w:rsidRDefault="00222F2D" w:rsidP="00222F2D">
      <w:pPr>
        <w:tabs>
          <w:tab w:val="left" w:pos="709"/>
        </w:tabs>
        <w:spacing w:after="0" w:line="360" w:lineRule="auto"/>
        <w:jc w:val="both"/>
        <w:rPr>
          <w:rFonts w:ascii="Arial" w:hAnsi="Arial" w:cs="Arial"/>
          <w:bCs/>
          <w:sz w:val="24"/>
          <w:szCs w:val="24"/>
        </w:rPr>
      </w:pPr>
      <w:r w:rsidRPr="00CD0190">
        <w:rPr>
          <w:rFonts w:ascii="Arial" w:hAnsi="Arial" w:cs="Arial"/>
          <w:bCs/>
          <w:sz w:val="24"/>
          <w:szCs w:val="24"/>
        </w:rPr>
        <w:t>Il microcredito del Brasile è condizionato dalla presenza di numerose banche pubbliche che applicano tassi di interessi agevolati intorno al 4-5%. Allo stesso tempo, non si rilevano tassi sul microcredito significativamente differenti dal credito ordinario</w:t>
      </w:r>
      <w:r>
        <w:rPr>
          <w:rFonts w:ascii="Arial" w:hAnsi="Arial" w:cs="Arial"/>
          <w:bCs/>
          <w:sz w:val="24"/>
          <w:szCs w:val="24"/>
        </w:rPr>
        <w:t>; q</w:t>
      </w:r>
      <w:r w:rsidRPr="00CD0190">
        <w:rPr>
          <w:rFonts w:ascii="Arial" w:hAnsi="Arial" w:cs="Arial"/>
          <w:bCs/>
          <w:sz w:val="24"/>
          <w:szCs w:val="24"/>
        </w:rPr>
        <w:t>uesti ultimi risultano comunque particolarmente alti e tali da giustificare un’operatività come quella prospettata, ancorché non propriamente qualificabile come finanziamento ad operatori del microcredito.</w:t>
      </w:r>
    </w:p>
    <w:p w14:paraId="630D88E7" w14:textId="77777777" w:rsidR="00222F2D" w:rsidRDefault="00222F2D" w:rsidP="00222F2D">
      <w:pPr>
        <w:tabs>
          <w:tab w:val="left" w:pos="709"/>
        </w:tabs>
        <w:spacing w:line="360" w:lineRule="auto"/>
        <w:jc w:val="both"/>
        <w:rPr>
          <w:rFonts w:ascii="Arial" w:hAnsi="Arial" w:cs="Arial"/>
          <w:bCs/>
          <w:sz w:val="24"/>
          <w:szCs w:val="24"/>
        </w:rPr>
      </w:pPr>
      <w:r w:rsidRPr="00CD0190">
        <w:rPr>
          <w:rFonts w:ascii="Arial" w:hAnsi="Arial" w:cs="Arial"/>
          <w:bCs/>
          <w:sz w:val="24"/>
          <w:szCs w:val="24"/>
        </w:rPr>
        <w:t xml:space="preserve">Su tali basi, l’analisi comparativa tra i dati storici del differenziale di tasso d’interesse e quelli del cambio, per il biennio </w:t>
      </w:r>
      <w:r>
        <w:rPr>
          <w:rFonts w:ascii="Arial" w:hAnsi="Arial" w:cs="Arial"/>
          <w:bCs/>
          <w:sz w:val="24"/>
          <w:szCs w:val="24"/>
        </w:rPr>
        <w:t>2013-2014</w:t>
      </w:r>
      <w:r w:rsidRPr="00CD0190">
        <w:rPr>
          <w:rFonts w:ascii="Arial" w:hAnsi="Arial" w:cs="Arial"/>
          <w:bCs/>
          <w:sz w:val="24"/>
          <w:szCs w:val="24"/>
        </w:rPr>
        <w:t xml:space="preserve">, evidenzia un pay-off positivo medio del 7,84% prodotto dall’operatività con raccolta in euro ed impiego in </w:t>
      </w:r>
      <w:r w:rsidRPr="002474BC">
        <w:rPr>
          <w:rFonts w:ascii="Arial" w:hAnsi="Arial" w:cs="Arial"/>
          <w:bCs/>
          <w:i/>
          <w:iCs/>
          <w:sz w:val="24"/>
          <w:szCs w:val="24"/>
        </w:rPr>
        <w:t>real</w:t>
      </w:r>
      <w:r w:rsidRPr="00CD0190">
        <w:rPr>
          <w:rFonts w:ascii="Arial" w:hAnsi="Arial" w:cs="Arial"/>
          <w:bCs/>
          <w:sz w:val="24"/>
          <w:szCs w:val="24"/>
        </w:rPr>
        <w:t>.</w:t>
      </w:r>
    </w:p>
    <w:p w14:paraId="1949FD48" w14:textId="77777777" w:rsidR="00222F2D" w:rsidRDefault="00222F2D" w:rsidP="00222F2D">
      <w:pPr>
        <w:tabs>
          <w:tab w:val="left" w:pos="709"/>
        </w:tabs>
        <w:spacing w:line="360" w:lineRule="auto"/>
        <w:jc w:val="both"/>
        <w:rPr>
          <w:rFonts w:ascii="Arial" w:hAnsi="Arial" w:cs="Arial"/>
          <w:bCs/>
          <w:sz w:val="24"/>
          <w:szCs w:val="24"/>
        </w:rPr>
      </w:pPr>
      <w:r w:rsidRPr="00CD0190">
        <w:rPr>
          <w:rFonts w:ascii="Arial" w:hAnsi="Arial" w:cs="Arial"/>
          <w:bCs/>
          <w:sz w:val="24"/>
          <w:szCs w:val="24"/>
        </w:rPr>
        <w:lastRenderedPageBreak/>
        <w:t>Il risultato è da ascrivere ad un effetto medio del 17,91% determinato dal differenziale di tasso d’interesse, solo in parte assorbito dall’effetto negativo medio del 10,07% generato dal cambio. A sua volta, il differenziale di tasso è da ricondurre al tasso medio del 27,41% rilevato sulla valuta domestica, superiore al tasso di raccolta, ipotizzato nella misura del 9,50%. Infine, il cambio, come confermato dalla deviazione standard risulta instabile, considerato che fino a luglio 2014 si è deprezzato su base annua per poi invertire il segno rispetto all’euro e mantenere questa tendenza per il resto del periodo.</w:t>
      </w:r>
    </w:p>
    <w:p w14:paraId="46867432"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368F6047" wp14:editId="356D4222">
            <wp:extent cx="5040000" cy="7200000"/>
            <wp:effectExtent l="0" t="0" r="8255" b="1270"/>
            <wp:docPr id="1698239380" name="Immagine 11" descr="Immagine che contiene testo, schermata, menu, document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98239380" name="Immagine 11" descr="Immagine che contiene testo, schermata, menu, documento&#10;&#10;Descrizione generata automaticamente"/>
                    <pic:cNvPicPr preferRelativeResize="0">
                      <a:picLocks noChangeAspect="1" noChangeArrowheads="1"/>
                    </pic:cNvPicPr>
                  </pic:nvPicPr>
                  <pic:blipFill rotWithShape="1">
                    <a:blip r:embed="rId53">
                      <a:extLst>
                        <a:ext uri="{28A0092B-C50C-407E-A947-70E740481C1C}">
                          <a14:useLocalDpi xmlns:a14="http://schemas.microsoft.com/office/drawing/2010/main" val="0"/>
                        </a:ext>
                      </a:extLst>
                    </a:blip>
                    <a:srcRect l="5164" t="821" r="3608" b="8886"/>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23C79A48"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3B8EF0FD" wp14:editId="75BFDD31">
            <wp:extent cx="4320000" cy="2880000"/>
            <wp:effectExtent l="0" t="0" r="4445" b="0"/>
            <wp:docPr id="228820983" name="Immagin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rotWithShape="1">
                    <a:blip r:embed="rId54">
                      <a:extLst>
                        <a:ext uri="{28A0092B-C50C-407E-A947-70E740481C1C}">
                          <a14:useLocalDpi xmlns:a14="http://schemas.microsoft.com/office/drawing/2010/main" val="0"/>
                        </a:ext>
                      </a:extLst>
                    </a:blip>
                    <a:srcRect l="2735" r="3863" b="2128"/>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B768177"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5C95A559" wp14:editId="73F52D9B">
            <wp:extent cx="4320000" cy="2880000"/>
            <wp:effectExtent l="0" t="0" r="4445" b="0"/>
            <wp:docPr id="902331256" name="Immagine 14"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02331256" name="Immagine 14" descr="Immagine che contiene testo, diagramma, Diagramma, linea&#10;&#10;Descrizione generata automaticamente"/>
                    <pic:cNvPicPr preferRelativeResize="0">
                      <a:picLocks noChangeAspect="1" noChangeArrowheads="1"/>
                    </pic:cNvPicPr>
                  </pic:nvPicPr>
                  <pic:blipFill rotWithShape="1">
                    <a:blip r:embed="rId55">
                      <a:extLst>
                        <a:ext uri="{28A0092B-C50C-407E-A947-70E740481C1C}">
                          <a14:useLocalDpi xmlns:a14="http://schemas.microsoft.com/office/drawing/2010/main" val="0"/>
                        </a:ext>
                      </a:extLst>
                    </a:blip>
                    <a:srcRect l="3619" t="1574" r="3271" b="3335"/>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6F913F0B" w14:textId="77777777" w:rsidR="00222F2D" w:rsidRDefault="00222F2D" w:rsidP="00222F2D">
      <w:pPr>
        <w:tabs>
          <w:tab w:val="left" w:pos="709"/>
        </w:tabs>
        <w:spacing w:after="0" w:line="360" w:lineRule="auto"/>
        <w:jc w:val="both"/>
        <w:rPr>
          <w:rFonts w:ascii="Arial" w:hAnsi="Arial" w:cs="Arial"/>
          <w:bCs/>
          <w:sz w:val="24"/>
          <w:szCs w:val="24"/>
        </w:rPr>
      </w:pPr>
    </w:p>
    <w:p w14:paraId="322C8A06" w14:textId="77777777" w:rsidR="00222F2D" w:rsidRPr="00CD0190" w:rsidRDefault="00222F2D" w:rsidP="00222F2D">
      <w:pPr>
        <w:tabs>
          <w:tab w:val="left" w:pos="709"/>
        </w:tabs>
        <w:spacing w:after="0" w:line="360" w:lineRule="auto"/>
        <w:jc w:val="both"/>
        <w:rPr>
          <w:rFonts w:ascii="Arial" w:hAnsi="Arial" w:cs="Arial"/>
          <w:bCs/>
          <w:sz w:val="24"/>
          <w:szCs w:val="24"/>
        </w:rPr>
      </w:pPr>
      <w:r w:rsidRPr="00CD0190">
        <w:rPr>
          <w:rFonts w:ascii="Arial" w:hAnsi="Arial" w:cs="Arial"/>
          <w:bCs/>
          <w:sz w:val="24"/>
          <w:szCs w:val="24"/>
        </w:rPr>
        <w:t>I.</w:t>
      </w:r>
      <w:r>
        <w:rPr>
          <w:rFonts w:ascii="Arial" w:hAnsi="Arial" w:cs="Arial"/>
          <w:bCs/>
          <w:sz w:val="24"/>
          <w:szCs w:val="24"/>
        </w:rPr>
        <w:t>5</w:t>
      </w:r>
      <w:r w:rsidRPr="00CD0190">
        <w:rPr>
          <w:rFonts w:ascii="Arial" w:hAnsi="Arial" w:cs="Arial"/>
          <w:bCs/>
          <w:sz w:val="24"/>
          <w:szCs w:val="24"/>
        </w:rPr>
        <w:t>.</w:t>
      </w:r>
      <w:r w:rsidRPr="00CD0190">
        <w:rPr>
          <w:rFonts w:ascii="Arial" w:hAnsi="Arial" w:cs="Arial"/>
          <w:bCs/>
          <w:sz w:val="24"/>
          <w:szCs w:val="24"/>
        </w:rPr>
        <w:tab/>
        <w:t>Cile</w:t>
      </w:r>
    </w:p>
    <w:p w14:paraId="71B7D9EC" w14:textId="77777777" w:rsidR="00222F2D" w:rsidRPr="00CD0190" w:rsidRDefault="00222F2D" w:rsidP="00222F2D">
      <w:pPr>
        <w:tabs>
          <w:tab w:val="left" w:pos="709"/>
        </w:tabs>
        <w:spacing w:after="0" w:line="360" w:lineRule="auto"/>
        <w:jc w:val="both"/>
        <w:rPr>
          <w:rFonts w:ascii="Arial" w:hAnsi="Arial" w:cs="Arial"/>
          <w:bCs/>
          <w:sz w:val="24"/>
          <w:szCs w:val="24"/>
        </w:rPr>
      </w:pPr>
    </w:p>
    <w:p w14:paraId="35303975" w14:textId="77777777" w:rsidR="00222F2D" w:rsidRDefault="00222F2D" w:rsidP="00222F2D">
      <w:pPr>
        <w:tabs>
          <w:tab w:val="left" w:pos="709"/>
        </w:tabs>
        <w:spacing w:line="360" w:lineRule="auto"/>
        <w:jc w:val="both"/>
        <w:rPr>
          <w:rFonts w:ascii="Arial" w:hAnsi="Arial" w:cs="Arial"/>
          <w:bCs/>
          <w:sz w:val="24"/>
          <w:szCs w:val="24"/>
        </w:rPr>
      </w:pPr>
      <w:r w:rsidRPr="00CD0190">
        <w:rPr>
          <w:rFonts w:ascii="Arial" w:hAnsi="Arial" w:cs="Arial"/>
          <w:bCs/>
          <w:sz w:val="24"/>
          <w:szCs w:val="24"/>
        </w:rPr>
        <w:t>L’analisi comparativa tra i dati storici del differenziale di tasso d’interesse e quelli del cambio, per il biennio 2013-2014, evidenzia un pay-off positivo medio del 0,05% derivante dall’operatività con raccolta in euro ed impiego in peso cileno. Il risultato è determinato dal differenziale del 16,50% di tasso d’interesse, assorbito interamente dall’effetto negativo medio del 16,45% generato dal cambio. A sua volta il differenziale di tasso è da ricondurre al tasso medio del 26% rilevato sul microcredito, superiore al tasso di raccolta, ipotizzato nella misura del 9,50%.</w:t>
      </w:r>
    </w:p>
    <w:p w14:paraId="161907C3" w14:textId="77777777" w:rsidR="00222F2D" w:rsidRPr="00CD0190" w:rsidRDefault="00222F2D" w:rsidP="00222F2D">
      <w:pPr>
        <w:tabs>
          <w:tab w:val="left" w:pos="709"/>
        </w:tabs>
        <w:spacing w:line="360" w:lineRule="auto"/>
        <w:jc w:val="both"/>
        <w:rPr>
          <w:rFonts w:ascii="Arial" w:hAnsi="Arial" w:cs="Arial"/>
          <w:bCs/>
          <w:sz w:val="24"/>
          <w:szCs w:val="24"/>
        </w:rPr>
      </w:pPr>
      <w:r w:rsidRPr="00CD0190">
        <w:rPr>
          <w:rFonts w:ascii="Arial" w:hAnsi="Arial" w:cs="Arial"/>
          <w:bCs/>
          <w:sz w:val="24"/>
          <w:szCs w:val="24"/>
        </w:rPr>
        <w:lastRenderedPageBreak/>
        <w:t>Peraltro, lo stesso tasso sul microcredito è di circa 7 punti percentuali maggiore del tasso stimato sul lending ordinario. Infine, per quanto riguarda il cambio, come confermato dalla deviazione standard, occorre sottolinearne la stabilità, considerato che, in ragione della sottovalutazione continua del peso cileno è sempre negativo e con scostamenti contenuti tra i diversi sottoperiodi.</w:t>
      </w:r>
    </w:p>
    <w:p w14:paraId="594B778A"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FE39131" wp14:editId="7845BE45">
            <wp:extent cx="5040000" cy="7200000"/>
            <wp:effectExtent l="0" t="0" r="8255" b="1270"/>
            <wp:docPr id="1010299285" name="Immagin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rotWithShape="1">
                    <a:blip r:embed="rId56">
                      <a:extLst>
                        <a:ext uri="{28A0092B-C50C-407E-A947-70E740481C1C}">
                          <a14:useLocalDpi xmlns:a14="http://schemas.microsoft.com/office/drawing/2010/main" val="0"/>
                        </a:ext>
                      </a:extLst>
                    </a:blip>
                    <a:srcRect l="2686" t="599" r="5213" b="1247"/>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3F35CFB6"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26A1431F" wp14:editId="1398BF07">
            <wp:extent cx="4320000" cy="2660400"/>
            <wp:effectExtent l="0" t="0" r="4445" b="6985"/>
            <wp:docPr id="1287973263" name="Immagin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rotWithShape="1">
                    <a:blip r:embed="rId57">
                      <a:extLst>
                        <a:ext uri="{28A0092B-C50C-407E-A947-70E740481C1C}">
                          <a14:useLocalDpi xmlns:a14="http://schemas.microsoft.com/office/drawing/2010/main" val="0"/>
                        </a:ext>
                      </a:extLst>
                    </a:blip>
                    <a:srcRect l="2228" t="2688" r="2157" b="2557"/>
                    <a:stretch/>
                  </pic:blipFill>
                  <pic:spPr bwMode="auto">
                    <a:xfrm>
                      <a:off x="0" y="0"/>
                      <a:ext cx="4320000" cy="2660400"/>
                    </a:xfrm>
                    <a:prstGeom prst="rect">
                      <a:avLst/>
                    </a:prstGeom>
                    <a:noFill/>
                    <a:ln>
                      <a:noFill/>
                    </a:ln>
                    <a:extLst>
                      <a:ext uri="{53640926-AAD7-44D8-BBD7-CCE9431645EC}">
                        <a14:shadowObscured xmlns:a14="http://schemas.microsoft.com/office/drawing/2010/main"/>
                      </a:ext>
                    </a:extLst>
                  </pic:spPr>
                </pic:pic>
              </a:graphicData>
            </a:graphic>
          </wp:inline>
        </w:drawing>
      </w:r>
    </w:p>
    <w:p w14:paraId="0E6E4626"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65E51CF3" wp14:editId="219472F7">
            <wp:extent cx="4320000" cy="2880000"/>
            <wp:effectExtent l="0" t="0" r="4445" b="0"/>
            <wp:docPr id="1762054076" name="Immagine 17"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2054076" name="Immagine 17" descr="Immagine che contiene testo, diagramma, Diagramma, linea&#10;&#10;Descrizione generata automaticamente"/>
                    <pic:cNvPicPr preferRelativeResize="0">
                      <a:picLocks noChangeAspect="1" noChangeArrowheads="1"/>
                    </pic:cNvPicPr>
                  </pic:nvPicPr>
                  <pic:blipFill rotWithShape="1">
                    <a:blip r:embed="rId58">
                      <a:extLst>
                        <a:ext uri="{28A0092B-C50C-407E-A947-70E740481C1C}">
                          <a14:useLocalDpi xmlns:a14="http://schemas.microsoft.com/office/drawing/2010/main" val="0"/>
                        </a:ext>
                      </a:extLst>
                    </a:blip>
                    <a:srcRect l="4044" r="6327" b="15951"/>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274D4F0" w14:textId="77777777" w:rsidR="00222F2D" w:rsidRDefault="00222F2D" w:rsidP="00222F2D">
      <w:pPr>
        <w:tabs>
          <w:tab w:val="left" w:pos="709"/>
        </w:tabs>
        <w:spacing w:after="0" w:line="360" w:lineRule="auto"/>
        <w:jc w:val="both"/>
        <w:rPr>
          <w:rFonts w:ascii="Arial" w:hAnsi="Arial" w:cs="Arial"/>
          <w:bCs/>
          <w:sz w:val="24"/>
          <w:szCs w:val="24"/>
        </w:rPr>
      </w:pPr>
    </w:p>
    <w:p w14:paraId="7719AFB6" w14:textId="77777777" w:rsidR="00222F2D" w:rsidRPr="00A05A69" w:rsidRDefault="00222F2D" w:rsidP="00222F2D">
      <w:pPr>
        <w:tabs>
          <w:tab w:val="left" w:pos="709"/>
        </w:tabs>
        <w:spacing w:after="0" w:line="360" w:lineRule="auto"/>
        <w:jc w:val="both"/>
        <w:rPr>
          <w:rFonts w:ascii="Arial" w:hAnsi="Arial" w:cs="Arial"/>
          <w:bCs/>
          <w:sz w:val="24"/>
          <w:szCs w:val="24"/>
        </w:rPr>
      </w:pPr>
      <w:r>
        <w:rPr>
          <w:rFonts w:ascii="Arial" w:hAnsi="Arial" w:cs="Arial"/>
          <w:bCs/>
          <w:sz w:val="24"/>
          <w:szCs w:val="24"/>
        </w:rPr>
        <w:t>I</w:t>
      </w:r>
      <w:r w:rsidRPr="00A05A69">
        <w:rPr>
          <w:rFonts w:ascii="Arial" w:hAnsi="Arial" w:cs="Arial"/>
          <w:bCs/>
          <w:sz w:val="24"/>
          <w:szCs w:val="24"/>
        </w:rPr>
        <w:t>.</w:t>
      </w:r>
      <w:r>
        <w:rPr>
          <w:rFonts w:ascii="Arial" w:hAnsi="Arial" w:cs="Arial"/>
          <w:bCs/>
          <w:sz w:val="24"/>
          <w:szCs w:val="24"/>
        </w:rPr>
        <w:t>6</w:t>
      </w:r>
      <w:r w:rsidRPr="00A05A69">
        <w:rPr>
          <w:rFonts w:ascii="Arial" w:hAnsi="Arial" w:cs="Arial"/>
          <w:bCs/>
          <w:sz w:val="24"/>
          <w:szCs w:val="24"/>
        </w:rPr>
        <w:t>.</w:t>
      </w:r>
      <w:r w:rsidRPr="00A05A69">
        <w:rPr>
          <w:rFonts w:ascii="Arial" w:hAnsi="Arial" w:cs="Arial"/>
          <w:bCs/>
          <w:sz w:val="24"/>
          <w:szCs w:val="24"/>
        </w:rPr>
        <w:tab/>
        <w:t>Colombia</w:t>
      </w:r>
    </w:p>
    <w:p w14:paraId="2F76BF9F" w14:textId="77777777" w:rsidR="00222F2D" w:rsidRPr="00A05A69" w:rsidRDefault="00222F2D" w:rsidP="00222F2D">
      <w:pPr>
        <w:tabs>
          <w:tab w:val="left" w:pos="709"/>
        </w:tabs>
        <w:spacing w:after="0" w:line="360" w:lineRule="auto"/>
        <w:jc w:val="both"/>
        <w:rPr>
          <w:rFonts w:ascii="Arial" w:hAnsi="Arial" w:cs="Arial"/>
          <w:bCs/>
          <w:sz w:val="24"/>
          <w:szCs w:val="24"/>
        </w:rPr>
      </w:pPr>
    </w:p>
    <w:p w14:paraId="79A1FCD1" w14:textId="77777777" w:rsidR="00222F2D" w:rsidRPr="00A05A69"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t xml:space="preserve">In Colombia circa la metà della popolazione vive sotto la soglia di povertà. </w:t>
      </w:r>
      <w:r>
        <w:rPr>
          <w:rFonts w:ascii="Arial" w:hAnsi="Arial" w:cs="Arial"/>
          <w:bCs/>
          <w:sz w:val="24"/>
          <w:szCs w:val="24"/>
        </w:rPr>
        <w:t xml:space="preserve">Il complesso delle </w:t>
      </w:r>
      <w:r w:rsidRPr="00A05A69">
        <w:rPr>
          <w:rFonts w:ascii="Arial" w:hAnsi="Arial" w:cs="Arial"/>
          <w:bCs/>
          <w:sz w:val="24"/>
          <w:szCs w:val="24"/>
        </w:rPr>
        <w:t xml:space="preserve">organizzazioni di microfinanza </w:t>
      </w:r>
      <w:r>
        <w:rPr>
          <w:rFonts w:ascii="Arial" w:hAnsi="Arial" w:cs="Arial"/>
          <w:bCs/>
          <w:sz w:val="24"/>
          <w:szCs w:val="24"/>
        </w:rPr>
        <w:t>è cresciuto esponenzialmente ne</w:t>
      </w:r>
      <w:r w:rsidRPr="00A05A69">
        <w:rPr>
          <w:rFonts w:ascii="Arial" w:hAnsi="Arial" w:cs="Arial"/>
          <w:bCs/>
          <w:sz w:val="24"/>
          <w:szCs w:val="24"/>
        </w:rPr>
        <w:t>gli ultimi anni</w:t>
      </w:r>
      <w:r>
        <w:rPr>
          <w:rFonts w:ascii="Arial" w:hAnsi="Arial" w:cs="Arial"/>
          <w:bCs/>
          <w:sz w:val="24"/>
          <w:szCs w:val="24"/>
        </w:rPr>
        <w:t xml:space="preserve">, le quali erogano </w:t>
      </w:r>
      <w:r w:rsidRPr="00A05A69">
        <w:rPr>
          <w:rFonts w:ascii="Arial" w:hAnsi="Arial" w:cs="Arial"/>
          <w:bCs/>
          <w:sz w:val="24"/>
          <w:szCs w:val="24"/>
        </w:rPr>
        <w:t>microprestiti e servizi che le banche tradizionali non offrono.</w:t>
      </w:r>
    </w:p>
    <w:p w14:paraId="566CD7C2" w14:textId="77777777" w:rsidR="00222F2D"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t>L’analisi comparativa tra i dati storici del differenziale di tasso d’interesse e quelli del cambio, per il biennio 2013-2014, evidenzia un pay-off positivo medio del 21,41% derivante dall’operatività con raccolta in euro ed impiego in peso colombiano. Il risultato è determinato dal differenziale del 29,25% di tasso d’interesse, soltanto in parte assorbito dall’effetto negativo medio pari -7,83% generato dal cambio.</w:t>
      </w:r>
    </w:p>
    <w:p w14:paraId="289E14CE" w14:textId="77777777" w:rsidR="00222F2D" w:rsidRPr="00A05A69"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lastRenderedPageBreak/>
        <w:t>A sua volta il differenziale di tasso è da ricondurre al tasso medio del 38,75% rilevato sul microcredito, superiore al tasso di raccolta, ipotizzato nella misura del 9,50%. Peraltro, lo stesso tasso sul microcredito è di circa 27 punti percentuali maggiore del tasso stimato sul lending ordinario. Infine, per quanto riguarda il cambio, come confermato dalla deviazione standard (0,09), occorre sottolinearne la stabilità, con scostamenti contenuti tra i diversi sottoperiodi. Nello specifico tale effetto è negativo per le operazioni con closing fino alla data 27/07/2014, mentre successivamente si alternano effetti positivi e negativi.</w:t>
      </w:r>
    </w:p>
    <w:p w14:paraId="5390E8D1" w14:textId="77777777" w:rsidR="00222F2D" w:rsidRPr="00A05A69"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570B3BA8" wp14:editId="64FC7246">
            <wp:extent cx="5040000" cy="7200000"/>
            <wp:effectExtent l="0" t="0" r="8255" b="1270"/>
            <wp:docPr id="917648481" name="Immagin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rotWithShape="1">
                    <a:blip r:embed="rId59">
                      <a:extLst>
                        <a:ext uri="{28A0092B-C50C-407E-A947-70E740481C1C}">
                          <a14:useLocalDpi xmlns:a14="http://schemas.microsoft.com/office/drawing/2010/main" val="0"/>
                        </a:ext>
                      </a:extLst>
                    </a:blip>
                    <a:srcRect l="8709" t="1181" r="8371" b="2961"/>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79408CCA"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43B8C3E4" wp14:editId="223FE137">
            <wp:extent cx="4320000" cy="2880000"/>
            <wp:effectExtent l="0" t="0" r="4445" b="0"/>
            <wp:docPr id="1212235892" name="Immagin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rotWithShape="1">
                    <a:blip r:embed="rId60">
                      <a:extLst>
                        <a:ext uri="{28A0092B-C50C-407E-A947-70E740481C1C}">
                          <a14:useLocalDpi xmlns:a14="http://schemas.microsoft.com/office/drawing/2010/main" val="0"/>
                        </a:ext>
                      </a:extLst>
                    </a:blip>
                    <a:srcRect l="1496" r="6835" b="4516"/>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C660CAE"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07AFB73A" wp14:editId="7B14E10B">
            <wp:extent cx="4320000" cy="2880000"/>
            <wp:effectExtent l="0" t="0" r="4445" b="0"/>
            <wp:docPr id="1034587060" name="Immagine 20"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4587060" name="Immagine 20" descr="Immagine che contiene testo, diagramma, Diagramma, linea&#10;&#10;Descrizione generata automaticamente"/>
                    <pic:cNvPicPr preferRelativeResize="0">
                      <a:picLocks noChangeAspect="1" noChangeArrowheads="1"/>
                    </pic:cNvPicPr>
                  </pic:nvPicPr>
                  <pic:blipFill rotWithShape="1">
                    <a:blip r:embed="rId61">
                      <a:extLst>
                        <a:ext uri="{28A0092B-C50C-407E-A947-70E740481C1C}">
                          <a14:useLocalDpi xmlns:a14="http://schemas.microsoft.com/office/drawing/2010/main" val="0"/>
                        </a:ext>
                      </a:extLst>
                    </a:blip>
                    <a:srcRect l="3378" t="954" r="6632" b="17379"/>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2014D3F" w14:textId="77777777" w:rsidR="00222F2D" w:rsidRDefault="00222F2D" w:rsidP="00222F2D">
      <w:pPr>
        <w:tabs>
          <w:tab w:val="left" w:pos="709"/>
        </w:tabs>
        <w:spacing w:after="0" w:line="360" w:lineRule="auto"/>
        <w:jc w:val="both"/>
        <w:rPr>
          <w:rFonts w:ascii="Arial" w:hAnsi="Arial" w:cs="Arial"/>
          <w:bCs/>
          <w:sz w:val="24"/>
          <w:szCs w:val="24"/>
        </w:rPr>
      </w:pPr>
    </w:p>
    <w:p w14:paraId="76FD4226" w14:textId="77777777" w:rsidR="00222F2D" w:rsidRDefault="00222F2D" w:rsidP="00222F2D">
      <w:pPr>
        <w:tabs>
          <w:tab w:val="left" w:pos="709"/>
        </w:tabs>
        <w:spacing w:after="0" w:line="360" w:lineRule="auto"/>
        <w:jc w:val="both"/>
        <w:rPr>
          <w:rFonts w:ascii="Arial" w:hAnsi="Arial" w:cs="Arial"/>
          <w:bCs/>
          <w:sz w:val="24"/>
          <w:szCs w:val="24"/>
        </w:rPr>
      </w:pPr>
    </w:p>
    <w:p w14:paraId="6CDFAAF5" w14:textId="77777777" w:rsidR="00222F2D" w:rsidRPr="00A05A69" w:rsidRDefault="00222F2D" w:rsidP="00222F2D">
      <w:pPr>
        <w:tabs>
          <w:tab w:val="left" w:pos="709"/>
        </w:tabs>
        <w:spacing w:after="0" w:line="360" w:lineRule="auto"/>
        <w:jc w:val="both"/>
        <w:rPr>
          <w:rFonts w:ascii="Arial" w:hAnsi="Arial" w:cs="Arial"/>
          <w:bCs/>
          <w:sz w:val="24"/>
          <w:szCs w:val="24"/>
        </w:rPr>
      </w:pPr>
      <w:r w:rsidRPr="00A05A69">
        <w:rPr>
          <w:rFonts w:ascii="Arial" w:hAnsi="Arial" w:cs="Arial"/>
          <w:bCs/>
          <w:sz w:val="24"/>
          <w:szCs w:val="24"/>
        </w:rPr>
        <w:t>I.</w:t>
      </w:r>
      <w:r>
        <w:rPr>
          <w:rFonts w:ascii="Arial" w:hAnsi="Arial" w:cs="Arial"/>
          <w:bCs/>
          <w:sz w:val="24"/>
          <w:szCs w:val="24"/>
        </w:rPr>
        <w:t>7</w:t>
      </w:r>
      <w:r w:rsidRPr="00A05A69">
        <w:rPr>
          <w:rFonts w:ascii="Arial" w:hAnsi="Arial" w:cs="Arial"/>
          <w:bCs/>
          <w:sz w:val="24"/>
          <w:szCs w:val="24"/>
        </w:rPr>
        <w:t>.</w:t>
      </w:r>
      <w:r w:rsidRPr="00A05A69">
        <w:rPr>
          <w:rFonts w:ascii="Arial" w:hAnsi="Arial" w:cs="Arial"/>
          <w:bCs/>
          <w:sz w:val="24"/>
          <w:szCs w:val="24"/>
        </w:rPr>
        <w:tab/>
        <w:t>Costa Rica</w:t>
      </w:r>
    </w:p>
    <w:p w14:paraId="5BAE5C48" w14:textId="77777777" w:rsidR="00222F2D" w:rsidRPr="00A05A69" w:rsidRDefault="00222F2D" w:rsidP="00222F2D">
      <w:pPr>
        <w:tabs>
          <w:tab w:val="left" w:pos="709"/>
        </w:tabs>
        <w:spacing w:after="0" w:line="360" w:lineRule="auto"/>
        <w:jc w:val="both"/>
        <w:rPr>
          <w:rFonts w:ascii="Arial" w:hAnsi="Arial" w:cs="Arial"/>
          <w:bCs/>
          <w:sz w:val="24"/>
          <w:szCs w:val="24"/>
        </w:rPr>
      </w:pPr>
    </w:p>
    <w:p w14:paraId="4B1729EC" w14:textId="77777777" w:rsidR="00222F2D"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t xml:space="preserve">L’analisi comparativa tra i dati storici del differenziale di tasso d’interesse e quelli del cambio, per il biennio 2013-2014, evidenzia un pay-off positivo medio del 4,97% derivante dall’operatività con raccolta in euro ed impiego in </w:t>
      </w:r>
      <w:r w:rsidRPr="00255B6B">
        <w:rPr>
          <w:rFonts w:ascii="Arial" w:hAnsi="Arial" w:cs="Arial"/>
          <w:bCs/>
          <w:i/>
          <w:iCs/>
          <w:sz w:val="24"/>
          <w:szCs w:val="24"/>
        </w:rPr>
        <w:t>colón costaricano</w:t>
      </w:r>
      <w:r w:rsidRPr="00A05A69">
        <w:rPr>
          <w:rFonts w:ascii="Arial" w:hAnsi="Arial" w:cs="Arial"/>
          <w:bCs/>
          <w:sz w:val="24"/>
          <w:szCs w:val="24"/>
        </w:rPr>
        <w:t>. Il risultato è determinato dal differenziale del 12,70% di tasso d’interesse, soltanto in parte assorbito dall’effetto negativo pari ad un valore medio di 7,73% generato dal cambio. A sua volta il differenziale di tasso è da ricondurre al tasso medio del 22,20% rilevato sul microcredito, superiore al tasso di raccolta, ipotizzato nella misura del 9,50%.</w:t>
      </w:r>
    </w:p>
    <w:p w14:paraId="52B00E90" w14:textId="77777777" w:rsidR="00222F2D"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lastRenderedPageBreak/>
        <w:t>Peraltro, lo stesso tasso sul microcredito è di circa 5 punti percentuali maggiore del tasso stimato sul lending ordinario. Infine, per quanto riguarda il cambio, come confermato dalla deviazione standard (0,08), occorre sottolinearne la stabilità, con scostamenti contenuti tra i diversi sottoperiodi. La tendenza dell’effetto cambio è generalmente negativa per operazioni con chiusura fino ad ottobre 2014.</w:t>
      </w:r>
    </w:p>
    <w:p w14:paraId="472B7D42"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6B0A4CF1" wp14:editId="0536B3C3">
            <wp:extent cx="5040000" cy="7200000"/>
            <wp:effectExtent l="0" t="0" r="8255" b="1270"/>
            <wp:docPr id="320504198" name="Immagin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rotWithShape="1">
                    <a:blip r:embed="rId62">
                      <a:extLst>
                        <a:ext uri="{28A0092B-C50C-407E-A947-70E740481C1C}">
                          <a14:useLocalDpi xmlns:a14="http://schemas.microsoft.com/office/drawing/2010/main" val="0"/>
                        </a:ext>
                      </a:extLst>
                    </a:blip>
                    <a:srcRect l="2763" t="873" r="7246" b="2933"/>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6A7129BC" w14:textId="77777777" w:rsidR="00222F2D" w:rsidRDefault="00222F2D" w:rsidP="00222F2D">
      <w:pPr>
        <w:tabs>
          <w:tab w:val="left" w:pos="709"/>
        </w:tabs>
        <w:spacing w:line="360" w:lineRule="auto"/>
        <w:jc w:val="both"/>
        <w:rPr>
          <w:rFonts w:ascii="Arial" w:hAnsi="Arial" w:cs="Arial"/>
          <w:bCs/>
          <w:sz w:val="24"/>
          <w:szCs w:val="24"/>
        </w:rPr>
      </w:pPr>
    </w:p>
    <w:p w14:paraId="125B0C8F"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1E9AFD35" wp14:editId="3AF0AB07">
            <wp:extent cx="4320000" cy="2880000"/>
            <wp:effectExtent l="0" t="0" r="4445" b="0"/>
            <wp:docPr id="551303702" name="Immagin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rotWithShape="1">
                    <a:blip r:embed="rId63">
                      <a:extLst>
                        <a:ext uri="{28A0092B-C50C-407E-A947-70E740481C1C}">
                          <a14:useLocalDpi xmlns:a14="http://schemas.microsoft.com/office/drawing/2010/main" val="0"/>
                        </a:ext>
                      </a:extLst>
                    </a:blip>
                    <a:srcRect l="2969" t="2024" r="1167" b="1986"/>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9FD75B5"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3DDDFE0A" wp14:editId="08679EF3">
            <wp:extent cx="4320000" cy="2880000"/>
            <wp:effectExtent l="0" t="0" r="4445" b="0"/>
            <wp:docPr id="495946753" name="Immagin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rotWithShape="1">
                    <a:blip r:embed="rId64">
                      <a:extLst>
                        <a:ext uri="{28A0092B-C50C-407E-A947-70E740481C1C}">
                          <a14:useLocalDpi xmlns:a14="http://schemas.microsoft.com/office/drawing/2010/main" val="0"/>
                        </a:ext>
                      </a:extLst>
                    </a:blip>
                    <a:srcRect l="2973" t="3199" r="6632" b="12615"/>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1B997D98" w14:textId="77777777" w:rsidR="00222F2D" w:rsidRDefault="00222F2D" w:rsidP="00222F2D">
      <w:pPr>
        <w:tabs>
          <w:tab w:val="left" w:pos="709"/>
        </w:tabs>
        <w:spacing w:after="0" w:line="360" w:lineRule="auto"/>
        <w:jc w:val="both"/>
        <w:rPr>
          <w:rFonts w:ascii="Arial" w:hAnsi="Arial" w:cs="Arial"/>
          <w:bCs/>
          <w:sz w:val="24"/>
          <w:szCs w:val="24"/>
        </w:rPr>
      </w:pPr>
    </w:p>
    <w:p w14:paraId="6A73E5B7" w14:textId="77777777" w:rsidR="00222F2D" w:rsidRDefault="00222F2D" w:rsidP="00222F2D">
      <w:pPr>
        <w:tabs>
          <w:tab w:val="left" w:pos="709"/>
        </w:tabs>
        <w:spacing w:after="0" w:line="360" w:lineRule="auto"/>
        <w:jc w:val="both"/>
        <w:rPr>
          <w:rFonts w:ascii="Arial" w:hAnsi="Arial" w:cs="Arial"/>
          <w:bCs/>
          <w:sz w:val="24"/>
          <w:szCs w:val="24"/>
        </w:rPr>
      </w:pPr>
    </w:p>
    <w:p w14:paraId="7B4091D7" w14:textId="77777777" w:rsidR="00222F2D" w:rsidRPr="00A05A69" w:rsidRDefault="00222F2D" w:rsidP="00222F2D">
      <w:pPr>
        <w:tabs>
          <w:tab w:val="left" w:pos="709"/>
        </w:tabs>
        <w:spacing w:after="0" w:line="360" w:lineRule="auto"/>
        <w:jc w:val="both"/>
        <w:rPr>
          <w:rFonts w:ascii="Arial" w:hAnsi="Arial" w:cs="Arial"/>
          <w:bCs/>
          <w:sz w:val="24"/>
          <w:szCs w:val="24"/>
        </w:rPr>
      </w:pPr>
      <w:r w:rsidRPr="00A05A69">
        <w:rPr>
          <w:rFonts w:ascii="Arial" w:hAnsi="Arial" w:cs="Arial"/>
          <w:bCs/>
          <w:sz w:val="24"/>
          <w:szCs w:val="24"/>
        </w:rPr>
        <w:t>I.</w:t>
      </w:r>
      <w:r>
        <w:rPr>
          <w:rFonts w:ascii="Arial" w:hAnsi="Arial" w:cs="Arial"/>
          <w:bCs/>
          <w:sz w:val="24"/>
          <w:szCs w:val="24"/>
        </w:rPr>
        <w:t>8</w:t>
      </w:r>
      <w:r w:rsidRPr="00A05A69">
        <w:rPr>
          <w:rFonts w:ascii="Arial" w:hAnsi="Arial" w:cs="Arial"/>
          <w:bCs/>
          <w:sz w:val="24"/>
          <w:szCs w:val="24"/>
        </w:rPr>
        <w:t>.</w:t>
      </w:r>
      <w:r w:rsidRPr="00A05A69">
        <w:rPr>
          <w:rFonts w:ascii="Arial" w:hAnsi="Arial" w:cs="Arial"/>
          <w:bCs/>
          <w:sz w:val="24"/>
          <w:szCs w:val="24"/>
        </w:rPr>
        <w:tab/>
        <w:t>Cuba</w:t>
      </w:r>
    </w:p>
    <w:p w14:paraId="7727E8AD" w14:textId="77777777" w:rsidR="00222F2D" w:rsidRPr="00A05A69" w:rsidRDefault="00222F2D" w:rsidP="00222F2D">
      <w:pPr>
        <w:tabs>
          <w:tab w:val="left" w:pos="709"/>
        </w:tabs>
        <w:spacing w:after="0" w:line="360" w:lineRule="auto"/>
        <w:jc w:val="both"/>
        <w:rPr>
          <w:rFonts w:ascii="Arial" w:hAnsi="Arial" w:cs="Arial"/>
          <w:bCs/>
          <w:sz w:val="24"/>
          <w:szCs w:val="24"/>
        </w:rPr>
      </w:pPr>
    </w:p>
    <w:p w14:paraId="5116338D" w14:textId="77777777" w:rsidR="00222F2D"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t xml:space="preserve">In relazione alla microfinanza, il caso di Cuba è emblematico e differente rispetto a tutti gli altri Stati dell’America Latina, soprattutto per la regolamentazione stringente da parte del Banco Central de Cuba, in base alla quale i tassi di interesse sul microcredito sono fissi e non differiscono da quelli del lending ordinario. Sull’isola di Cuba mancano istituzioni di microfinanza specializzate e, pertanto, le attività di microcredito sono curate solo da parte della Banca Centrale di Cuba attraverso due società finanziarie ad essa subordinate, il </w:t>
      </w:r>
      <w:r w:rsidRPr="00C9463B">
        <w:rPr>
          <w:rFonts w:ascii="Arial" w:hAnsi="Arial" w:cs="Arial"/>
          <w:bCs/>
          <w:i/>
          <w:iCs/>
          <w:sz w:val="24"/>
          <w:szCs w:val="24"/>
        </w:rPr>
        <w:t>Banco Metropolitano</w:t>
      </w:r>
      <w:r w:rsidRPr="00A05A69">
        <w:rPr>
          <w:rFonts w:ascii="Arial" w:hAnsi="Arial" w:cs="Arial"/>
          <w:bCs/>
          <w:sz w:val="24"/>
          <w:szCs w:val="24"/>
        </w:rPr>
        <w:t xml:space="preserve"> e il </w:t>
      </w:r>
      <w:r w:rsidRPr="00C9463B">
        <w:rPr>
          <w:rFonts w:ascii="Arial" w:hAnsi="Arial" w:cs="Arial"/>
          <w:bCs/>
          <w:i/>
          <w:iCs/>
          <w:sz w:val="24"/>
          <w:szCs w:val="24"/>
        </w:rPr>
        <w:t>Banco de Desarrollo</w:t>
      </w:r>
      <w:r w:rsidRPr="00A05A69">
        <w:rPr>
          <w:rFonts w:ascii="Arial" w:hAnsi="Arial" w:cs="Arial"/>
          <w:bCs/>
          <w:sz w:val="24"/>
          <w:szCs w:val="24"/>
        </w:rPr>
        <w:t>.</w:t>
      </w:r>
    </w:p>
    <w:p w14:paraId="5BC4880E" w14:textId="77777777" w:rsidR="00222F2D" w:rsidRPr="00A05A69" w:rsidRDefault="00222F2D" w:rsidP="00222F2D">
      <w:pPr>
        <w:tabs>
          <w:tab w:val="left" w:pos="709"/>
        </w:tabs>
        <w:spacing w:line="360" w:lineRule="auto"/>
        <w:jc w:val="both"/>
        <w:rPr>
          <w:rFonts w:ascii="Arial" w:hAnsi="Arial" w:cs="Arial"/>
          <w:bCs/>
          <w:sz w:val="24"/>
          <w:szCs w:val="24"/>
        </w:rPr>
      </w:pPr>
      <w:r>
        <w:rPr>
          <w:rFonts w:ascii="Arial" w:hAnsi="Arial" w:cs="Arial"/>
          <w:bCs/>
          <w:sz w:val="24"/>
          <w:szCs w:val="24"/>
        </w:rPr>
        <w:lastRenderedPageBreak/>
        <w:t xml:space="preserve">Ad ogni modo, </w:t>
      </w:r>
      <w:r w:rsidRPr="00A05A69">
        <w:rPr>
          <w:rFonts w:ascii="Arial" w:hAnsi="Arial" w:cs="Arial"/>
          <w:bCs/>
          <w:sz w:val="24"/>
          <w:szCs w:val="24"/>
        </w:rPr>
        <w:t xml:space="preserve">eventuali iniziative legate alla microfinanza potrebbero costituire un’occasione di cambiamento nel sistema credito, anche alla luce del mutato atteggiamento del governo nei confronti delle iniziative private, come confermato dal decreto legislativo 289/2011 volto ad agevolare coloro che decidono di intraprendere attività economiche private, nell’ambito del microcredito, ancorché con caratteristiche diverse dal resto dell’America Latina. Infatti, i tassi di interesse sul microcredito sono stabiliti dal </w:t>
      </w:r>
      <w:r w:rsidRPr="00C4503B">
        <w:rPr>
          <w:rFonts w:ascii="Arial" w:hAnsi="Arial" w:cs="Arial"/>
          <w:bCs/>
          <w:i/>
          <w:iCs/>
          <w:sz w:val="24"/>
          <w:szCs w:val="24"/>
        </w:rPr>
        <w:t>Banco Central de Cuba</w:t>
      </w:r>
      <w:r w:rsidRPr="00A05A69">
        <w:rPr>
          <w:rFonts w:ascii="Arial" w:hAnsi="Arial" w:cs="Arial"/>
          <w:bCs/>
          <w:sz w:val="24"/>
          <w:szCs w:val="24"/>
        </w:rPr>
        <w:t xml:space="preserve"> e sono fissi, tra il 4,25% ed il 9%, contro i valori degli altri paesi dell’America che raggiungono tassi anche del 195% (è il caso del Messico).</w:t>
      </w:r>
    </w:p>
    <w:p w14:paraId="1DA46724" w14:textId="77777777" w:rsidR="00222F2D" w:rsidRPr="00A05A69"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t>Nonostante ciò</w:t>
      </w:r>
      <w:r>
        <w:rPr>
          <w:rFonts w:ascii="Arial" w:hAnsi="Arial" w:cs="Arial"/>
          <w:bCs/>
          <w:sz w:val="24"/>
          <w:szCs w:val="24"/>
        </w:rPr>
        <w:t>,</w:t>
      </w:r>
      <w:r w:rsidRPr="00A05A69">
        <w:rPr>
          <w:rFonts w:ascii="Arial" w:hAnsi="Arial" w:cs="Arial"/>
          <w:bCs/>
          <w:sz w:val="24"/>
          <w:szCs w:val="24"/>
        </w:rPr>
        <w:t xml:space="preserve"> l’economia cubana attuale non mostra sufficiente volontà e interesse per lo sviluppo di servizi finanziari e, allo stesso tempo, il modo di attuare politiche finanziarie, le regolamentazioni e la struttura istituzionale non sono idonee per dar vita ad attività finanziarie private, oltre il fatto che le caratteristiche del mercato costituiscono oggettivamente una sorta di freno per la diffusione della microfinanza.</w:t>
      </w:r>
    </w:p>
    <w:p w14:paraId="471592B0" w14:textId="77777777" w:rsidR="00222F2D" w:rsidRPr="00A05A69"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t xml:space="preserve">Del resto, anche l’analisi comparativa tra i dati storici del differenziale di tasso d’interesse e quelli del cambio, per il biennio 2013-2014, evidenzia un pay-off negativo medio del 3,54% derivante dall’operatività con raccolta in euro ed impiego in </w:t>
      </w:r>
      <w:r w:rsidRPr="00CF5DDF">
        <w:rPr>
          <w:rFonts w:ascii="Arial" w:hAnsi="Arial" w:cs="Arial"/>
          <w:bCs/>
          <w:i/>
          <w:iCs/>
          <w:sz w:val="24"/>
          <w:szCs w:val="24"/>
        </w:rPr>
        <w:t>peso cubano</w:t>
      </w:r>
      <w:r w:rsidRPr="00A05A69">
        <w:rPr>
          <w:rFonts w:ascii="Arial" w:hAnsi="Arial" w:cs="Arial"/>
          <w:bCs/>
          <w:sz w:val="24"/>
          <w:szCs w:val="24"/>
        </w:rPr>
        <w:t>. Il risultato è determinato per lo più dal differenziale di tasso addirittura negativo, dovuto ai tassi di interesse sul microcredito, per un valore medio di 5,92%, notevolmente inferiori rispetto al tasso di raccolta del 9,50%.</w:t>
      </w:r>
    </w:p>
    <w:p w14:paraId="21A95623"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0A49978A" wp14:editId="444732A5">
            <wp:extent cx="5040000" cy="7200000"/>
            <wp:effectExtent l="0" t="0" r="8255" b="1270"/>
            <wp:docPr id="1571239791" name="Immagin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rotWithShape="1">
                    <a:blip r:embed="rId65">
                      <a:extLst>
                        <a:ext uri="{28A0092B-C50C-407E-A947-70E740481C1C}">
                          <a14:useLocalDpi xmlns:a14="http://schemas.microsoft.com/office/drawing/2010/main" val="0"/>
                        </a:ext>
                      </a:extLst>
                    </a:blip>
                    <a:srcRect l="2663" t="773" r="6822" b="4031"/>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785A3B47"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A6EAF8A" wp14:editId="03514BE7">
            <wp:extent cx="4320000" cy="2880000"/>
            <wp:effectExtent l="0" t="0" r="4445" b="0"/>
            <wp:docPr id="641624508" name="Immagin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rotWithShape="1">
                    <a:blip r:embed="rId66">
                      <a:extLst>
                        <a:ext uri="{28A0092B-C50C-407E-A947-70E740481C1C}">
                          <a14:useLocalDpi xmlns:a14="http://schemas.microsoft.com/office/drawing/2010/main" val="0"/>
                        </a:ext>
                      </a:extLst>
                    </a:blip>
                    <a:srcRect l="3478" t="2573" r="4985" b="4378"/>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8A10655"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60D99FAD" wp14:editId="17CFA9FC">
            <wp:extent cx="4320000" cy="2880000"/>
            <wp:effectExtent l="0" t="0" r="4445" b="0"/>
            <wp:docPr id="1217763586" name="Immagine 26" descr="Immagine che contiene diagramma, testo,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17763586" name="Immagine 26" descr="Immagine che contiene diagramma, testo, Diagramma, linea&#10;&#10;Descrizione generata automaticamente"/>
                    <pic:cNvPicPr preferRelativeResize="0">
                      <a:picLocks noChangeAspect="1" noChangeArrowheads="1"/>
                    </pic:cNvPicPr>
                  </pic:nvPicPr>
                  <pic:blipFill rotWithShape="1">
                    <a:blip r:embed="rId67">
                      <a:extLst>
                        <a:ext uri="{28A0092B-C50C-407E-A947-70E740481C1C}">
                          <a14:useLocalDpi xmlns:a14="http://schemas.microsoft.com/office/drawing/2010/main" val="0"/>
                        </a:ext>
                      </a:extLst>
                    </a:blip>
                    <a:srcRect l="3360" t="3402" r="6059" b="5403"/>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147CC851" w14:textId="77777777" w:rsidR="00222F2D" w:rsidRDefault="00222F2D" w:rsidP="00222F2D">
      <w:pPr>
        <w:tabs>
          <w:tab w:val="left" w:pos="709"/>
        </w:tabs>
        <w:spacing w:after="0" w:line="360" w:lineRule="auto"/>
        <w:jc w:val="both"/>
        <w:rPr>
          <w:rFonts w:ascii="Arial" w:hAnsi="Arial" w:cs="Arial"/>
          <w:bCs/>
          <w:sz w:val="24"/>
          <w:szCs w:val="24"/>
        </w:rPr>
      </w:pPr>
    </w:p>
    <w:p w14:paraId="121D9250" w14:textId="77777777" w:rsidR="00222F2D" w:rsidRDefault="00222F2D" w:rsidP="00222F2D">
      <w:pPr>
        <w:tabs>
          <w:tab w:val="left" w:pos="709"/>
        </w:tabs>
        <w:spacing w:after="0" w:line="360" w:lineRule="auto"/>
        <w:jc w:val="both"/>
        <w:rPr>
          <w:rFonts w:ascii="Arial" w:hAnsi="Arial" w:cs="Arial"/>
          <w:bCs/>
          <w:sz w:val="24"/>
          <w:szCs w:val="24"/>
        </w:rPr>
      </w:pPr>
    </w:p>
    <w:p w14:paraId="1382B419" w14:textId="77777777" w:rsidR="00222F2D" w:rsidRPr="00A05A69" w:rsidRDefault="00222F2D" w:rsidP="00222F2D">
      <w:pPr>
        <w:tabs>
          <w:tab w:val="left" w:pos="709"/>
        </w:tabs>
        <w:spacing w:after="0" w:line="360" w:lineRule="auto"/>
        <w:jc w:val="both"/>
        <w:rPr>
          <w:rFonts w:ascii="Arial" w:hAnsi="Arial" w:cs="Arial"/>
          <w:bCs/>
          <w:sz w:val="24"/>
          <w:szCs w:val="24"/>
        </w:rPr>
      </w:pPr>
      <w:r>
        <w:rPr>
          <w:rFonts w:ascii="Arial" w:hAnsi="Arial" w:cs="Arial"/>
          <w:bCs/>
          <w:sz w:val="24"/>
          <w:szCs w:val="24"/>
        </w:rPr>
        <w:t>I.9</w:t>
      </w:r>
      <w:r w:rsidRPr="00A05A69">
        <w:rPr>
          <w:rFonts w:ascii="Arial" w:hAnsi="Arial" w:cs="Arial"/>
          <w:bCs/>
          <w:sz w:val="24"/>
          <w:szCs w:val="24"/>
        </w:rPr>
        <w:t>.</w:t>
      </w:r>
      <w:r w:rsidRPr="00A05A69">
        <w:rPr>
          <w:rFonts w:ascii="Arial" w:hAnsi="Arial" w:cs="Arial"/>
          <w:bCs/>
          <w:sz w:val="24"/>
          <w:szCs w:val="24"/>
        </w:rPr>
        <w:tab/>
        <w:t>Ecuador</w:t>
      </w:r>
    </w:p>
    <w:p w14:paraId="1843DCEE" w14:textId="77777777" w:rsidR="00222F2D" w:rsidRPr="00A05A69" w:rsidRDefault="00222F2D" w:rsidP="00222F2D">
      <w:pPr>
        <w:tabs>
          <w:tab w:val="left" w:pos="709"/>
        </w:tabs>
        <w:spacing w:after="0" w:line="360" w:lineRule="auto"/>
        <w:jc w:val="both"/>
        <w:rPr>
          <w:rFonts w:ascii="Arial" w:hAnsi="Arial" w:cs="Arial"/>
          <w:bCs/>
          <w:sz w:val="24"/>
          <w:szCs w:val="24"/>
        </w:rPr>
      </w:pPr>
    </w:p>
    <w:p w14:paraId="7E7F52A0" w14:textId="77777777" w:rsidR="00222F2D"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t>L’analisi comparativa tra i dati storici del differenziale di tasso d’interesse e quelli del cambio, per il biennio 2013-2014, evidenzia un pay-off positivo medio del 18,05% derivante dall’operatività con raccolta in euro ed impiego in dollari statunitensi. Il risultato è determinato dal differenziale del 17,50% di tasso d’interesse, cui si aggiunge l’effetto pari ad un valore medio di 0,55% generato dal cambio. A sua volta il differenziale di tasso è da ricondurre al tasso medio del 27,00% rilevato sul microcredito, superiore al tasso di raccolta, ipotizzato nella misura del 9,50%.</w:t>
      </w:r>
    </w:p>
    <w:p w14:paraId="7591BEDB" w14:textId="77777777" w:rsidR="00222F2D"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lastRenderedPageBreak/>
        <w:t>Peraltro</w:t>
      </w:r>
      <w:r>
        <w:rPr>
          <w:rFonts w:ascii="Arial" w:hAnsi="Arial" w:cs="Arial"/>
          <w:bCs/>
          <w:sz w:val="24"/>
          <w:szCs w:val="24"/>
        </w:rPr>
        <w:t>,</w:t>
      </w:r>
      <w:r w:rsidRPr="00A05A69">
        <w:rPr>
          <w:rFonts w:ascii="Arial" w:hAnsi="Arial" w:cs="Arial"/>
          <w:bCs/>
          <w:sz w:val="24"/>
          <w:szCs w:val="24"/>
        </w:rPr>
        <w:t xml:space="preserve"> lo stesso tasso sul microcredito è di circa 9 punti percentuali maggiore del tasso stimato sul lending ordinario. Infine, per quanto riguarda il cambio, come confermato dalla deviazione standard (0,08), occorre sottolinearne la stabilità, con scostamenti contenuti tra i diversi sottoperiodi. Nel suo insieme, la tendenza dell’effetto tasso di cambio è negativ</w:t>
      </w:r>
      <w:r>
        <w:rPr>
          <w:rFonts w:ascii="Arial" w:hAnsi="Arial" w:cs="Arial"/>
          <w:bCs/>
          <w:sz w:val="24"/>
          <w:szCs w:val="24"/>
        </w:rPr>
        <w:t>a</w:t>
      </w:r>
      <w:r w:rsidRPr="00A05A69">
        <w:rPr>
          <w:rFonts w:ascii="Arial" w:hAnsi="Arial" w:cs="Arial"/>
          <w:bCs/>
          <w:sz w:val="24"/>
          <w:szCs w:val="24"/>
        </w:rPr>
        <w:t xml:space="preserve"> per le operazioni con chiusura fino ad agosto 2014 e diventa positiv</w:t>
      </w:r>
      <w:r>
        <w:rPr>
          <w:rFonts w:ascii="Arial" w:hAnsi="Arial" w:cs="Arial"/>
          <w:bCs/>
          <w:sz w:val="24"/>
          <w:szCs w:val="24"/>
        </w:rPr>
        <w:t>a</w:t>
      </w:r>
      <w:r w:rsidRPr="00A05A69">
        <w:rPr>
          <w:rFonts w:ascii="Arial" w:hAnsi="Arial" w:cs="Arial"/>
          <w:bCs/>
          <w:sz w:val="24"/>
          <w:szCs w:val="24"/>
        </w:rPr>
        <w:t xml:space="preserve"> per tutto il restante periodo.</w:t>
      </w:r>
    </w:p>
    <w:p w14:paraId="7353C5C6"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4B8F5E0" wp14:editId="16BD573D">
            <wp:extent cx="5040000" cy="7200000"/>
            <wp:effectExtent l="0" t="0" r="8255" b="1270"/>
            <wp:docPr id="1945066895" name="Immagin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preferRelativeResize="0">
                      <a:picLocks noChangeAspect="1" noChangeArrowheads="1"/>
                    </pic:cNvPicPr>
                  </pic:nvPicPr>
                  <pic:blipFill rotWithShape="1">
                    <a:blip r:embed="rId68">
                      <a:extLst>
                        <a:ext uri="{28A0092B-C50C-407E-A947-70E740481C1C}">
                          <a14:useLocalDpi xmlns:a14="http://schemas.microsoft.com/office/drawing/2010/main" val="0"/>
                        </a:ext>
                      </a:extLst>
                    </a:blip>
                    <a:srcRect l="4590" t="626" r="5312" b="10707"/>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6FD7449F"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8C86FDC" wp14:editId="3C784DAC">
            <wp:extent cx="4320000" cy="2160000"/>
            <wp:effectExtent l="0" t="0" r="4445" b="0"/>
            <wp:docPr id="1712245428" name="Immagin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rotWithShape="1">
                    <a:blip r:embed="rId69">
                      <a:extLst>
                        <a:ext uri="{28A0092B-C50C-407E-A947-70E740481C1C}">
                          <a14:useLocalDpi xmlns:a14="http://schemas.microsoft.com/office/drawing/2010/main" val="0"/>
                        </a:ext>
                      </a:extLst>
                    </a:blip>
                    <a:srcRect l="1271" r="3570" b="9129"/>
                    <a:stretch/>
                  </pic:blipFill>
                  <pic:spPr bwMode="auto">
                    <a:xfrm>
                      <a:off x="0" y="0"/>
                      <a:ext cx="4320000" cy="2160000"/>
                    </a:xfrm>
                    <a:prstGeom prst="rect">
                      <a:avLst/>
                    </a:prstGeom>
                    <a:noFill/>
                    <a:ln>
                      <a:noFill/>
                    </a:ln>
                    <a:extLst>
                      <a:ext uri="{53640926-AAD7-44D8-BBD7-CCE9431645EC}">
                        <a14:shadowObscured xmlns:a14="http://schemas.microsoft.com/office/drawing/2010/main"/>
                      </a:ext>
                    </a:extLst>
                  </pic:spPr>
                </pic:pic>
              </a:graphicData>
            </a:graphic>
          </wp:inline>
        </w:drawing>
      </w:r>
    </w:p>
    <w:p w14:paraId="3070862B" w14:textId="77777777" w:rsidR="00222F2D" w:rsidRDefault="00222F2D" w:rsidP="00222F2D">
      <w:pPr>
        <w:tabs>
          <w:tab w:val="left" w:pos="709"/>
        </w:tabs>
        <w:spacing w:line="360" w:lineRule="auto"/>
        <w:jc w:val="center"/>
        <w:rPr>
          <w:rFonts w:ascii="Arial" w:hAnsi="Arial" w:cs="Arial"/>
          <w:bCs/>
          <w:sz w:val="24"/>
          <w:szCs w:val="24"/>
        </w:rPr>
      </w:pPr>
    </w:p>
    <w:p w14:paraId="67D7E394"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6E4897F9" wp14:editId="71FB1926">
            <wp:extent cx="4320000" cy="2880000"/>
            <wp:effectExtent l="0" t="0" r="4445" b="0"/>
            <wp:docPr id="1848527800" name="Immagin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preferRelativeResize="0">
                      <a:picLocks noChangeAspect="1" noChangeArrowheads="1"/>
                    </pic:cNvPicPr>
                  </pic:nvPicPr>
                  <pic:blipFill rotWithShape="1">
                    <a:blip r:embed="rId70">
                      <a:extLst>
                        <a:ext uri="{28A0092B-C50C-407E-A947-70E740481C1C}">
                          <a14:useLocalDpi xmlns:a14="http://schemas.microsoft.com/office/drawing/2010/main" val="0"/>
                        </a:ext>
                      </a:extLst>
                    </a:blip>
                    <a:srcRect l="4558" t="2094" r="2774" b="7675"/>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60429B4D" w14:textId="77777777" w:rsidR="00222F2D" w:rsidRDefault="00222F2D" w:rsidP="00222F2D">
      <w:pPr>
        <w:tabs>
          <w:tab w:val="left" w:pos="709"/>
        </w:tabs>
        <w:spacing w:after="0" w:line="360" w:lineRule="auto"/>
        <w:jc w:val="both"/>
        <w:rPr>
          <w:rFonts w:ascii="Arial" w:hAnsi="Arial" w:cs="Arial"/>
          <w:bCs/>
          <w:sz w:val="24"/>
          <w:szCs w:val="24"/>
        </w:rPr>
      </w:pPr>
    </w:p>
    <w:p w14:paraId="797FCFB2" w14:textId="77777777" w:rsidR="00222F2D" w:rsidRPr="00A05A69" w:rsidRDefault="00222F2D" w:rsidP="00222F2D">
      <w:pPr>
        <w:tabs>
          <w:tab w:val="left" w:pos="709"/>
        </w:tabs>
        <w:spacing w:after="0" w:line="360" w:lineRule="auto"/>
        <w:jc w:val="both"/>
        <w:rPr>
          <w:rFonts w:ascii="Arial" w:hAnsi="Arial" w:cs="Arial"/>
          <w:bCs/>
          <w:sz w:val="24"/>
          <w:szCs w:val="24"/>
        </w:rPr>
      </w:pPr>
      <w:r w:rsidRPr="00A05A69">
        <w:rPr>
          <w:rFonts w:ascii="Arial" w:hAnsi="Arial" w:cs="Arial"/>
          <w:bCs/>
          <w:sz w:val="24"/>
          <w:szCs w:val="24"/>
        </w:rPr>
        <w:t>I.1</w:t>
      </w:r>
      <w:r>
        <w:rPr>
          <w:rFonts w:ascii="Arial" w:hAnsi="Arial" w:cs="Arial"/>
          <w:bCs/>
          <w:sz w:val="24"/>
          <w:szCs w:val="24"/>
        </w:rPr>
        <w:t>0</w:t>
      </w:r>
      <w:r w:rsidRPr="00A05A69">
        <w:rPr>
          <w:rFonts w:ascii="Arial" w:hAnsi="Arial" w:cs="Arial"/>
          <w:bCs/>
          <w:sz w:val="24"/>
          <w:szCs w:val="24"/>
        </w:rPr>
        <w:t>.</w:t>
      </w:r>
      <w:r w:rsidRPr="00A05A69">
        <w:rPr>
          <w:rFonts w:ascii="Arial" w:hAnsi="Arial" w:cs="Arial"/>
          <w:bCs/>
          <w:sz w:val="24"/>
          <w:szCs w:val="24"/>
        </w:rPr>
        <w:tab/>
        <w:t>El Salvador</w:t>
      </w:r>
    </w:p>
    <w:p w14:paraId="374FCA4A" w14:textId="77777777" w:rsidR="00222F2D" w:rsidRPr="00A05A69" w:rsidRDefault="00222F2D" w:rsidP="00222F2D">
      <w:pPr>
        <w:tabs>
          <w:tab w:val="left" w:pos="709"/>
        </w:tabs>
        <w:spacing w:after="0" w:line="360" w:lineRule="auto"/>
        <w:jc w:val="both"/>
        <w:rPr>
          <w:rFonts w:ascii="Arial" w:hAnsi="Arial" w:cs="Arial"/>
          <w:bCs/>
          <w:sz w:val="24"/>
          <w:szCs w:val="24"/>
        </w:rPr>
      </w:pPr>
    </w:p>
    <w:p w14:paraId="0B103EA5" w14:textId="77777777" w:rsidR="00222F2D" w:rsidRPr="00A05A69" w:rsidRDefault="00222F2D" w:rsidP="00222F2D">
      <w:pPr>
        <w:tabs>
          <w:tab w:val="left" w:pos="709"/>
        </w:tabs>
        <w:spacing w:after="0" w:line="360" w:lineRule="auto"/>
        <w:jc w:val="both"/>
        <w:rPr>
          <w:rFonts w:ascii="Arial" w:hAnsi="Arial" w:cs="Arial"/>
          <w:bCs/>
          <w:sz w:val="24"/>
          <w:szCs w:val="24"/>
        </w:rPr>
      </w:pPr>
      <w:r w:rsidRPr="00A05A69">
        <w:rPr>
          <w:rFonts w:ascii="Arial" w:hAnsi="Arial" w:cs="Arial"/>
          <w:bCs/>
          <w:sz w:val="24"/>
          <w:szCs w:val="24"/>
        </w:rPr>
        <w:t xml:space="preserve">Il </w:t>
      </w:r>
      <w:r w:rsidRPr="00D64C15">
        <w:rPr>
          <w:rFonts w:ascii="Arial" w:hAnsi="Arial" w:cs="Arial"/>
          <w:bCs/>
          <w:i/>
          <w:iCs/>
          <w:sz w:val="24"/>
          <w:szCs w:val="24"/>
        </w:rPr>
        <w:t>Banco Central de Reserva de El Salvador</w:t>
      </w:r>
      <w:r w:rsidRPr="00A05A69">
        <w:rPr>
          <w:rFonts w:ascii="Arial" w:hAnsi="Arial" w:cs="Arial"/>
          <w:bCs/>
          <w:sz w:val="24"/>
          <w:szCs w:val="24"/>
        </w:rPr>
        <w:t xml:space="preserve"> pubblica mensilmente i tassi di interesse applicati dai vari istituti finanziari del paese. Da tali prospetti si è dedotto che nel </w:t>
      </w:r>
      <w:r>
        <w:rPr>
          <w:rFonts w:ascii="Arial" w:hAnsi="Arial" w:cs="Arial"/>
          <w:bCs/>
          <w:sz w:val="24"/>
          <w:szCs w:val="24"/>
        </w:rPr>
        <w:t>P</w:t>
      </w:r>
      <w:r w:rsidRPr="00A05A69">
        <w:rPr>
          <w:rFonts w:ascii="Arial" w:hAnsi="Arial" w:cs="Arial"/>
          <w:bCs/>
          <w:sz w:val="24"/>
          <w:szCs w:val="24"/>
        </w:rPr>
        <w:t>aese non esiste una legislazione specifica sui tassi di interesse che istituti bancari ed istituti di microfinanza possono applicare</w:t>
      </w:r>
      <w:r>
        <w:rPr>
          <w:rFonts w:ascii="Arial" w:hAnsi="Arial" w:cs="Arial"/>
          <w:bCs/>
          <w:sz w:val="24"/>
          <w:szCs w:val="24"/>
        </w:rPr>
        <w:t>; n</w:t>
      </w:r>
      <w:r w:rsidRPr="00A05A69">
        <w:rPr>
          <w:rFonts w:ascii="Arial" w:hAnsi="Arial" w:cs="Arial"/>
          <w:bCs/>
          <w:sz w:val="24"/>
          <w:szCs w:val="24"/>
        </w:rPr>
        <w:t>e sono prova i tassi di interesse totalmente differenti tra i vari istituti che svolgono attività di microcredito, che oscillano tra il 21% ed oltre il 180%.</w:t>
      </w:r>
    </w:p>
    <w:p w14:paraId="093FF78B" w14:textId="77777777" w:rsidR="00222F2D" w:rsidRDefault="00222F2D" w:rsidP="00222F2D">
      <w:pPr>
        <w:tabs>
          <w:tab w:val="left" w:pos="709"/>
        </w:tabs>
        <w:spacing w:after="0" w:line="360" w:lineRule="auto"/>
        <w:jc w:val="both"/>
        <w:rPr>
          <w:rFonts w:ascii="Arial" w:hAnsi="Arial" w:cs="Arial"/>
          <w:bCs/>
          <w:sz w:val="24"/>
          <w:szCs w:val="24"/>
        </w:rPr>
      </w:pPr>
      <w:r w:rsidRPr="00A05A69">
        <w:rPr>
          <w:rFonts w:ascii="Arial" w:hAnsi="Arial" w:cs="Arial"/>
          <w:bCs/>
          <w:sz w:val="24"/>
          <w:szCs w:val="24"/>
        </w:rPr>
        <w:t>Il pay-off medio del 53,65% è determinato dal differenziale del 52,94% di tasso d’interesse, cui si aggiunge l’effetto pari ad un valore medio di 0,71% generato dal cambio. A sua volta il differenziale di tasso è da ricondurre al tasso medio del 62,44% rilevato sul microcredito, superiore al tasso di raccolta, ipotizzato nella misura del 9,50%.</w:t>
      </w:r>
    </w:p>
    <w:p w14:paraId="76083A6D" w14:textId="77777777" w:rsidR="00222F2D" w:rsidRPr="00A05A69" w:rsidRDefault="00222F2D" w:rsidP="00222F2D">
      <w:pPr>
        <w:tabs>
          <w:tab w:val="left" w:pos="709"/>
        </w:tabs>
        <w:spacing w:line="360" w:lineRule="auto"/>
        <w:jc w:val="both"/>
        <w:rPr>
          <w:rFonts w:ascii="Arial" w:hAnsi="Arial" w:cs="Arial"/>
          <w:bCs/>
          <w:sz w:val="24"/>
          <w:szCs w:val="24"/>
        </w:rPr>
      </w:pPr>
      <w:r w:rsidRPr="00A05A69">
        <w:rPr>
          <w:rFonts w:ascii="Arial" w:hAnsi="Arial" w:cs="Arial"/>
          <w:bCs/>
          <w:sz w:val="24"/>
          <w:szCs w:val="24"/>
        </w:rPr>
        <w:lastRenderedPageBreak/>
        <w:t>Peraltro, lo stesso tasso sul microcredito è di circa 28 punti percentuali maggiore del tasso stimato sul lending ordinario. Infine, per quanto riguarda il cambio, come confermato dalla deviazione standard (0,19), la più alta tra le nazioni analizzate, occorre sottolinearne l’instabilità. Nel suo insieme, la tendenza dell’effetto cambio è negativ</w:t>
      </w:r>
      <w:r>
        <w:rPr>
          <w:rFonts w:ascii="Arial" w:hAnsi="Arial" w:cs="Arial"/>
          <w:bCs/>
          <w:sz w:val="24"/>
          <w:szCs w:val="24"/>
        </w:rPr>
        <w:t>a</w:t>
      </w:r>
      <w:r w:rsidRPr="00A05A69">
        <w:rPr>
          <w:rFonts w:ascii="Arial" w:hAnsi="Arial" w:cs="Arial"/>
          <w:bCs/>
          <w:sz w:val="24"/>
          <w:szCs w:val="24"/>
        </w:rPr>
        <w:t xml:space="preserve"> per le operazioni con chiusura fino ad agosto 2014 e diventa positiv</w:t>
      </w:r>
      <w:r>
        <w:rPr>
          <w:rFonts w:ascii="Arial" w:hAnsi="Arial" w:cs="Arial"/>
          <w:bCs/>
          <w:sz w:val="24"/>
          <w:szCs w:val="24"/>
        </w:rPr>
        <w:t>a</w:t>
      </w:r>
      <w:r w:rsidRPr="00A05A69">
        <w:rPr>
          <w:rFonts w:ascii="Arial" w:hAnsi="Arial" w:cs="Arial"/>
          <w:bCs/>
          <w:sz w:val="24"/>
          <w:szCs w:val="24"/>
        </w:rPr>
        <w:t xml:space="preserve"> per </w:t>
      </w:r>
      <w:r>
        <w:rPr>
          <w:rFonts w:ascii="Arial" w:hAnsi="Arial" w:cs="Arial"/>
          <w:bCs/>
          <w:sz w:val="24"/>
          <w:szCs w:val="24"/>
        </w:rPr>
        <w:t>i</w:t>
      </w:r>
      <w:r w:rsidRPr="00A05A69">
        <w:rPr>
          <w:rFonts w:ascii="Arial" w:hAnsi="Arial" w:cs="Arial"/>
          <w:bCs/>
          <w:sz w:val="24"/>
          <w:szCs w:val="24"/>
        </w:rPr>
        <w:t>l restante periodo.</w:t>
      </w:r>
    </w:p>
    <w:p w14:paraId="34B66ADF"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4900C402" wp14:editId="3D6C6EA6">
            <wp:extent cx="5040000" cy="7200000"/>
            <wp:effectExtent l="0" t="0" r="8255" b="1270"/>
            <wp:docPr id="1393473056" name="Immagin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rotWithShape="1">
                    <a:blip r:embed="rId71">
                      <a:extLst>
                        <a:ext uri="{28A0092B-C50C-407E-A947-70E740481C1C}">
                          <a14:useLocalDpi xmlns:a14="http://schemas.microsoft.com/office/drawing/2010/main" val="0"/>
                        </a:ext>
                      </a:extLst>
                    </a:blip>
                    <a:srcRect l="3807" t="889" r="5995" b="1472"/>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552ECFD7"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03DD9BB1" wp14:editId="67AA906B">
            <wp:extent cx="4320000" cy="2160000"/>
            <wp:effectExtent l="0" t="0" r="4445" b="0"/>
            <wp:docPr id="108673533" name="Immagin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preferRelativeResize="0">
                      <a:picLocks noChangeAspect="1" noChangeArrowheads="1"/>
                    </pic:cNvPicPr>
                  </pic:nvPicPr>
                  <pic:blipFill rotWithShape="1">
                    <a:blip r:embed="rId72">
                      <a:extLst>
                        <a:ext uri="{28A0092B-C50C-407E-A947-70E740481C1C}">
                          <a14:useLocalDpi xmlns:a14="http://schemas.microsoft.com/office/drawing/2010/main" val="0"/>
                        </a:ext>
                      </a:extLst>
                    </a:blip>
                    <a:srcRect l="4487" t="3354" r="8215" b="10812"/>
                    <a:stretch/>
                  </pic:blipFill>
                  <pic:spPr bwMode="auto">
                    <a:xfrm>
                      <a:off x="0" y="0"/>
                      <a:ext cx="4320000" cy="2160000"/>
                    </a:xfrm>
                    <a:prstGeom prst="rect">
                      <a:avLst/>
                    </a:prstGeom>
                    <a:noFill/>
                    <a:ln>
                      <a:noFill/>
                    </a:ln>
                    <a:extLst>
                      <a:ext uri="{53640926-AAD7-44D8-BBD7-CCE9431645EC}">
                        <a14:shadowObscured xmlns:a14="http://schemas.microsoft.com/office/drawing/2010/main"/>
                      </a:ext>
                    </a:extLst>
                  </pic:spPr>
                </pic:pic>
              </a:graphicData>
            </a:graphic>
          </wp:inline>
        </w:drawing>
      </w:r>
    </w:p>
    <w:p w14:paraId="7FE85B58"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5733EC7" wp14:editId="013C0CF9">
            <wp:extent cx="4320000" cy="2880000"/>
            <wp:effectExtent l="0" t="0" r="4445" b="0"/>
            <wp:docPr id="951182464" name="Immagin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preferRelativeResize="0">
                      <a:picLocks noChangeAspect="1" noChangeArrowheads="1"/>
                    </pic:cNvPicPr>
                  </pic:nvPicPr>
                  <pic:blipFill rotWithShape="1">
                    <a:blip r:embed="rId73">
                      <a:extLst>
                        <a:ext uri="{28A0092B-C50C-407E-A947-70E740481C1C}">
                          <a14:useLocalDpi xmlns:a14="http://schemas.microsoft.com/office/drawing/2010/main" val="0"/>
                        </a:ext>
                      </a:extLst>
                    </a:blip>
                    <a:srcRect l="2978" t="3257" r="5349" b="10433"/>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100542EC" w14:textId="77777777" w:rsidR="00222F2D" w:rsidRDefault="00222F2D" w:rsidP="00222F2D">
      <w:pPr>
        <w:tabs>
          <w:tab w:val="left" w:pos="709"/>
        </w:tabs>
        <w:spacing w:after="0" w:line="360" w:lineRule="auto"/>
        <w:rPr>
          <w:rFonts w:ascii="Arial" w:hAnsi="Arial" w:cs="Arial"/>
          <w:bCs/>
          <w:sz w:val="24"/>
          <w:szCs w:val="24"/>
        </w:rPr>
      </w:pPr>
    </w:p>
    <w:p w14:paraId="34E50644" w14:textId="77777777" w:rsidR="00222F2D" w:rsidRPr="00CE0F59" w:rsidRDefault="00222F2D" w:rsidP="00222F2D">
      <w:pPr>
        <w:tabs>
          <w:tab w:val="left" w:pos="709"/>
        </w:tabs>
        <w:spacing w:after="0" w:line="360" w:lineRule="auto"/>
        <w:jc w:val="both"/>
        <w:rPr>
          <w:rFonts w:ascii="Arial" w:hAnsi="Arial" w:cs="Arial"/>
          <w:bCs/>
          <w:sz w:val="24"/>
          <w:szCs w:val="24"/>
        </w:rPr>
      </w:pPr>
    </w:p>
    <w:p w14:paraId="512E30D3" w14:textId="77777777" w:rsidR="00222F2D" w:rsidRPr="00CE0F59"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t>I.</w:t>
      </w:r>
      <w:r>
        <w:rPr>
          <w:rFonts w:ascii="Arial" w:hAnsi="Arial" w:cs="Arial"/>
          <w:bCs/>
          <w:sz w:val="24"/>
          <w:szCs w:val="24"/>
        </w:rPr>
        <w:t>11</w:t>
      </w:r>
      <w:r w:rsidRPr="00CE0F59">
        <w:rPr>
          <w:rFonts w:ascii="Arial" w:hAnsi="Arial" w:cs="Arial"/>
          <w:bCs/>
          <w:sz w:val="24"/>
          <w:szCs w:val="24"/>
        </w:rPr>
        <w:t>.</w:t>
      </w:r>
      <w:r w:rsidRPr="00CE0F59">
        <w:rPr>
          <w:rFonts w:ascii="Arial" w:hAnsi="Arial" w:cs="Arial"/>
          <w:bCs/>
          <w:sz w:val="24"/>
          <w:szCs w:val="24"/>
        </w:rPr>
        <w:tab/>
        <w:t>Guatemala</w:t>
      </w:r>
    </w:p>
    <w:p w14:paraId="7413EB7C" w14:textId="77777777" w:rsidR="00222F2D" w:rsidRPr="00CE0F59" w:rsidRDefault="00222F2D" w:rsidP="00222F2D">
      <w:pPr>
        <w:tabs>
          <w:tab w:val="left" w:pos="709"/>
        </w:tabs>
        <w:spacing w:after="0" w:line="360" w:lineRule="auto"/>
        <w:jc w:val="both"/>
        <w:rPr>
          <w:rFonts w:ascii="Arial" w:hAnsi="Arial" w:cs="Arial"/>
          <w:bCs/>
          <w:sz w:val="24"/>
          <w:szCs w:val="24"/>
        </w:rPr>
      </w:pPr>
    </w:p>
    <w:p w14:paraId="3B3DF646" w14:textId="77777777" w:rsidR="00222F2D" w:rsidRPr="00CE0F59"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t xml:space="preserve">Il Guatemala è un Paese dell’America Centrale in cui circa il 75% della popolazione vive in condizioni di povertà e più del 70% in aree rurali. Proprio </w:t>
      </w:r>
      <w:r>
        <w:rPr>
          <w:rFonts w:ascii="Arial" w:hAnsi="Arial" w:cs="Arial"/>
          <w:bCs/>
          <w:sz w:val="24"/>
          <w:szCs w:val="24"/>
        </w:rPr>
        <w:t xml:space="preserve">per </w:t>
      </w:r>
      <w:r w:rsidRPr="00CE0F59">
        <w:rPr>
          <w:rFonts w:ascii="Arial" w:hAnsi="Arial" w:cs="Arial"/>
          <w:bCs/>
          <w:sz w:val="24"/>
          <w:szCs w:val="24"/>
        </w:rPr>
        <w:t>la configurazione della popolazione, il settore bancario è concentrato nell’area metropolitana del Guatemala con un sistema del microcredito rivolto principalmente alla popolazione povera che vive nelle aree rurali al fine di agevolare la nascita di microimprese e lo svolgimento di attività agricole da parte di singoli individui o di piccoli gruppi. In virtù di ciò il microcredito riguarda spesso importi ridotti.</w:t>
      </w:r>
      <w:r>
        <w:rPr>
          <w:rFonts w:ascii="Arial" w:hAnsi="Arial" w:cs="Arial"/>
          <w:bCs/>
          <w:sz w:val="24"/>
          <w:szCs w:val="24"/>
        </w:rPr>
        <w:t xml:space="preserve"> </w:t>
      </w:r>
      <w:r w:rsidRPr="00CE0F59">
        <w:rPr>
          <w:rFonts w:ascii="Arial" w:hAnsi="Arial" w:cs="Arial"/>
          <w:bCs/>
          <w:sz w:val="24"/>
          <w:szCs w:val="24"/>
        </w:rPr>
        <w:t xml:space="preserve">L’analisi comparativa tra i dati storici del differenziale di tasso d’interesse e quelli del cambio, per il biennio 2013-2014, evidenzia un pay-off positivo medio del 20,18% derivante dall’operatività con raccolta in euro ed impiego in </w:t>
      </w:r>
      <w:r w:rsidRPr="00F10325">
        <w:rPr>
          <w:rFonts w:ascii="Arial" w:hAnsi="Arial" w:cs="Arial"/>
          <w:bCs/>
          <w:i/>
          <w:iCs/>
          <w:sz w:val="24"/>
          <w:szCs w:val="24"/>
        </w:rPr>
        <w:t>quetzal</w:t>
      </w:r>
      <w:r w:rsidRPr="00CE0F59">
        <w:rPr>
          <w:rFonts w:ascii="Arial" w:hAnsi="Arial" w:cs="Arial"/>
          <w:bCs/>
          <w:sz w:val="24"/>
          <w:szCs w:val="24"/>
        </w:rPr>
        <w:t>.</w:t>
      </w:r>
    </w:p>
    <w:p w14:paraId="531DA994" w14:textId="77777777" w:rsidR="00222F2D"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lastRenderedPageBreak/>
        <w:t>Il pay-off medio è determinato dal differenziale del 18,09% di tasso d’interesse, cui si aggiunge l’effetto pari ad un valore medio di 2,09% generato dal cambio. A sua volta il differenziale di tasso è da ricondurre al tasso medio del 27,59% rilevato sul microcredito, superiore al tasso di raccolta, ipotizzato nella misura del 9,50%.</w:t>
      </w:r>
    </w:p>
    <w:p w14:paraId="33FF7DEA" w14:textId="77777777" w:rsidR="00222F2D" w:rsidRDefault="00222F2D" w:rsidP="00125A42">
      <w:pPr>
        <w:tabs>
          <w:tab w:val="left" w:pos="709"/>
        </w:tabs>
        <w:spacing w:line="360" w:lineRule="auto"/>
        <w:jc w:val="both"/>
        <w:rPr>
          <w:rFonts w:ascii="Arial" w:hAnsi="Arial" w:cs="Arial"/>
          <w:bCs/>
          <w:sz w:val="24"/>
          <w:szCs w:val="24"/>
        </w:rPr>
      </w:pPr>
      <w:r w:rsidRPr="00CE0F59">
        <w:rPr>
          <w:rFonts w:ascii="Arial" w:hAnsi="Arial" w:cs="Arial"/>
          <w:bCs/>
          <w:sz w:val="24"/>
          <w:szCs w:val="24"/>
        </w:rPr>
        <w:t>Peraltro, lo stesso tasso sul microcredito è di circa 14 punti percentuali maggiore del tasso stimato sul lending ordinario. Infine, per quanto riguarda il cambio, come confermato dalla deviazione standard (0,09), occorre sottolinearne la stabilità, con scostamenti contenuti tra i diversi sottoperiodi. L’effetto cambio è negativo per le operazioni con chiusura fino ad agosto 2014 e diventa positivo per tutto il restante periodo, ottenendo in tal modo un pay-off ancor più positivo.</w:t>
      </w:r>
    </w:p>
    <w:p w14:paraId="6B8E4A1B" w14:textId="77777777" w:rsidR="00222F2D" w:rsidRPr="00CE0F59"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77CA542A" wp14:editId="280BD9CE">
            <wp:extent cx="5040000" cy="6480000"/>
            <wp:effectExtent l="0" t="0" r="8255" b="0"/>
            <wp:docPr id="663280005" name="Immagin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preferRelativeResize="0">
                      <a:picLocks noChangeAspect="1" noChangeArrowheads="1"/>
                    </pic:cNvPicPr>
                  </pic:nvPicPr>
                  <pic:blipFill rotWithShape="1">
                    <a:blip r:embed="rId74">
                      <a:extLst>
                        <a:ext uri="{28A0092B-C50C-407E-A947-70E740481C1C}">
                          <a14:useLocalDpi xmlns:a14="http://schemas.microsoft.com/office/drawing/2010/main" val="0"/>
                        </a:ext>
                      </a:extLst>
                    </a:blip>
                    <a:srcRect l="1389" t="780" r="3205" b="1997"/>
                    <a:stretch/>
                  </pic:blipFill>
                  <pic:spPr bwMode="auto">
                    <a:xfrm>
                      <a:off x="0" y="0"/>
                      <a:ext cx="5040000" cy="6480000"/>
                    </a:xfrm>
                    <a:prstGeom prst="rect">
                      <a:avLst/>
                    </a:prstGeom>
                    <a:noFill/>
                    <a:ln>
                      <a:noFill/>
                    </a:ln>
                    <a:extLst>
                      <a:ext uri="{53640926-AAD7-44D8-BBD7-CCE9431645EC}">
                        <a14:shadowObscured xmlns:a14="http://schemas.microsoft.com/office/drawing/2010/main"/>
                      </a:ext>
                    </a:extLst>
                  </pic:spPr>
                </pic:pic>
              </a:graphicData>
            </a:graphic>
          </wp:inline>
        </w:drawing>
      </w:r>
    </w:p>
    <w:p w14:paraId="4CBDCE51"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69AF6D4E" wp14:editId="0A012F64">
            <wp:extent cx="4320000" cy="2880000"/>
            <wp:effectExtent l="0" t="0" r="4445" b="0"/>
            <wp:docPr id="480283019" name="Immagin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preferRelativeResize="0">
                      <a:picLocks noChangeAspect="1" noChangeArrowheads="1"/>
                    </pic:cNvPicPr>
                  </pic:nvPicPr>
                  <pic:blipFill rotWithShape="1">
                    <a:blip r:embed="rId75">
                      <a:extLst>
                        <a:ext uri="{28A0092B-C50C-407E-A947-70E740481C1C}">
                          <a14:useLocalDpi xmlns:a14="http://schemas.microsoft.com/office/drawing/2010/main" val="0"/>
                        </a:ext>
                      </a:extLst>
                    </a:blip>
                    <a:srcRect l="3750" t="1742" r="706" b="2143"/>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8A0D178" w14:textId="77777777" w:rsidR="00222F2D" w:rsidRDefault="00222F2D" w:rsidP="00222F2D">
      <w:pPr>
        <w:tabs>
          <w:tab w:val="left" w:pos="709"/>
        </w:tabs>
        <w:spacing w:after="0" w:line="360" w:lineRule="auto"/>
        <w:jc w:val="center"/>
        <w:rPr>
          <w:rFonts w:ascii="Arial" w:hAnsi="Arial" w:cs="Arial"/>
          <w:bCs/>
          <w:sz w:val="24"/>
          <w:szCs w:val="24"/>
        </w:rPr>
      </w:pPr>
      <w:r w:rsidRPr="00D1717C">
        <w:rPr>
          <w:rFonts w:ascii="Arial" w:hAnsi="Arial" w:cs="Arial"/>
          <w:bCs/>
          <w:noProof/>
          <w:sz w:val="24"/>
          <w:szCs w:val="24"/>
        </w:rPr>
        <w:drawing>
          <wp:inline distT="0" distB="0" distL="0" distR="0" wp14:anchorId="6A83D1F0" wp14:editId="5E19D062">
            <wp:extent cx="4320000" cy="2880000"/>
            <wp:effectExtent l="0" t="0" r="4445" b="0"/>
            <wp:docPr id="549877676" name="Immagine 1"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9877676" name="Immagine 1" descr="Immagine che contiene testo, diagramma, Diagramma, linea&#10;&#10;Descrizione generata automaticamente"/>
                    <pic:cNvPicPr preferRelativeResize="0"/>
                  </pic:nvPicPr>
                  <pic:blipFill rotWithShape="1">
                    <a:blip r:embed="rId76"/>
                    <a:srcRect l="4909" t="5208" r="10306" b="3958"/>
                    <a:stretch/>
                  </pic:blipFill>
                  <pic:spPr bwMode="auto">
                    <a:xfrm>
                      <a:off x="0" y="0"/>
                      <a:ext cx="4320000" cy="2880000"/>
                    </a:xfrm>
                    <a:prstGeom prst="rect">
                      <a:avLst/>
                    </a:prstGeom>
                    <a:ln>
                      <a:noFill/>
                    </a:ln>
                    <a:extLst>
                      <a:ext uri="{53640926-AAD7-44D8-BBD7-CCE9431645EC}">
                        <a14:shadowObscured xmlns:a14="http://schemas.microsoft.com/office/drawing/2010/main"/>
                      </a:ext>
                    </a:extLst>
                  </pic:spPr>
                </pic:pic>
              </a:graphicData>
            </a:graphic>
          </wp:inline>
        </w:drawing>
      </w:r>
    </w:p>
    <w:p w14:paraId="3C90AC7B" w14:textId="77777777" w:rsidR="00222F2D" w:rsidRDefault="00222F2D" w:rsidP="00222F2D">
      <w:pPr>
        <w:tabs>
          <w:tab w:val="left" w:pos="709"/>
        </w:tabs>
        <w:spacing w:after="0" w:line="360" w:lineRule="auto"/>
        <w:rPr>
          <w:rFonts w:ascii="Arial" w:hAnsi="Arial" w:cs="Arial"/>
          <w:bCs/>
          <w:sz w:val="24"/>
          <w:szCs w:val="24"/>
        </w:rPr>
      </w:pPr>
    </w:p>
    <w:p w14:paraId="1535B3E4" w14:textId="77777777" w:rsidR="00222F2D" w:rsidRDefault="00222F2D" w:rsidP="00222F2D">
      <w:pPr>
        <w:tabs>
          <w:tab w:val="left" w:pos="709"/>
        </w:tabs>
        <w:spacing w:after="0" w:line="360" w:lineRule="auto"/>
        <w:rPr>
          <w:rFonts w:ascii="Arial" w:hAnsi="Arial" w:cs="Arial"/>
          <w:bCs/>
          <w:sz w:val="24"/>
          <w:szCs w:val="24"/>
        </w:rPr>
      </w:pPr>
    </w:p>
    <w:p w14:paraId="4842F710" w14:textId="77777777" w:rsidR="00222F2D" w:rsidRPr="00CE0F59" w:rsidRDefault="00222F2D" w:rsidP="00222F2D">
      <w:pPr>
        <w:tabs>
          <w:tab w:val="left" w:pos="709"/>
        </w:tabs>
        <w:spacing w:after="0" w:line="360" w:lineRule="auto"/>
        <w:rPr>
          <w:rFonts w:ascii="Arial" w:hAnsi="Arial" w:cs="Arial"/>
          <w:bCs/>
          <w:sz w:val="24"/>
          <w:szCs w:val="24"/>
        </w:rPr>
      </w:pPr>
      <w:r w:rsidRPr="00CE0F59">
        <w:rPr>
          <w:rFonts w:ascii="Arial" w:hAnsi="Arial" w:cs="Arial"/>
          <w:bCs/>
          <w:sz w:val="24"/>
          <w:szCs w:val="24"/>
        </w:rPr>
        <w:t>I.1</w:t>
      </w:r>
      <w:r>
        <w:rPr>
          <w:rFonts w:ascii="Arial" w:hAnsi="Arial" w:cs="Arial"/>
          <w:bCs/>
          <w:sz w:val="24"/>
          <w:szCs w:val="24"/>
        </w:rPr>
        <w:t>2</w:t>
      </w:r>
      <w:r w:rsidRPr="00CE0F59">
        <w:rPr>
          <w:rFonts w:ascii="Arial" w:hAnsi="Arial" w:cs="Arial"/>
          <w:bCs/>
          <w:sz w:val="24"/>
          <w:szCs w:val="24"/>
        </w:rPr>
        <w:t>.</w:t>
      </w:r>
      <w:r w:rsidRPr="00CE0F59">
        <w:rPr>
          <w:rFonts w:ascii="Arial" w:hAnsi="Arial" w:cs="Arial"/>
          <w:bCs/>
          <w:sz w:val="24"/>
          <w:szCs w:val="24"/>
        </w:rPr>
        <w:tab/>
        <w:t>Haiti</w:t>
      </w:r>
    </w:p>
    <w:p w14:paraId="4C0CF45B" w14:textId="77777777" w:rsidR="00222F2D" w:rsidRPr="00CE0F59" w:rsidRDefault="00222F2D" w:rsidP="00222F2D">
      <w:pPr>
        <w:tabs>
          <w:tab w:val="left" w:pos="709"/>
        </w:tabs>
        <w:spacing w:after="0" w:line="360" w:lineRule="auto"/>
        <w:rPr>
          <w:rFonts w:ascii="Arial" w:hAnsi="Arial" w:cs="Arial"/>
          <w:bCs/>
          <w:sz w:val="24"/>
          <w:szCs w:val="24"/>
        </w:rPr>
      </w:pPr>
    </w:p>
    <w:p w14:paraId="28073534" w14:textId="77777777" w:rsidR="00222F2D" w:rsidRPr="00CE0F59"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t xml:space="preserve">L’analisi comparativa tra i dati storici del differenziale di tasso d’interesse e quelli del cambio, per il biennio 2013-2014, evidenzia un pay-off positivo medio del 42,23% derivante dall’operatività con raccolta in euro ed impiego in </w:t>
      </w:r>
      <w:r w:rsidRPr="00322836">
        <w:rPr>
          <w:rFonts w:ascii="Arial" w:hAnsi="Arial" w:cs="Arial"/>
          <w:bCs/>
          <w:i/>
          <w:iCs/>
          <w:sz w:val="24"/>
          <w:szCs w:val="24"/>
        </w:rPr>
        <w:t>gourde</w:t>
      </w:r>
      <w:r w:rsidRPr="00CE0F59">
        <w:rPr>
          <w:rFonts w:ascii="Arial" w:hAnsi="Arial" w:cs="Arial"/>
          <w:bCs/>
          <w:sz w:val="24"/>
          <w:szCs w:val="24"/>
        </w:rPr>
        <w:t>.</w:t>
      </w:r>
    </w:p>
    <w:p w14:paraId="3790E62E" w14:textId="77777777" w:rsidR="00222F2D"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t>Il pay-off medio è determinato dal differenziale del 48,10% di tasso d’interesse, solo in parte assorbito dall’effetto medio di -5,87% generato dal cambio. A sua volta il differenziale di tasso è da ricondurre al tasso medio del 57,60% rilevato sul microcredito, superiore al tasso di raccolta, ipotizzato nella misura del 9,50%.</w:t>
      </w:r>
    </w:p>
    <w:p w14:paraId="4CDB47D4" w14:textId="77777777" w:rsidR="00222F2D" w:rsidRPr="00CE0F59"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lastRenderedPageBreak/>
        <w:t>Peraltro, lo stesso tasso sul microcredito è di circa 39 punti percentuali maggiore del tasso stimato sul lending ordinario. Infine, per quanto riguarda il cambio, come confermato dalla deviazione standard, occorre sottolinearne la stabilità, con scostamenti contenuti tra i diversi sottoperiodi.</w:t>
      </w:r>
      <w:r>
        <w:rPr>
          <w:rFonts w:ascii="Arial" w:hAnsi="Arial" w:cs="Arial"/>
          <w:bCs/>
          <w:sz w:val="24"/>
          <w:szCs w:val="24"/>
        </w:rPr>
        <w:t xml:space="preserve"> </w:t>
      </w:r>
      <w:r w:rsidRPr="00CE0F59">
        <w:rPr>
          <w:rFonts w:ascii="Arial" w:hAnsi="Arial" w:cs="Arial"/>
          <w:bCs/>
          <w:sz w:val="24"/>
          <w:szCs w:val="24"/>
        </w:rPr>
        <w:t>L’effetto cambio, pur essendo in media negativo, in alcuni sottoperiodi è positivo.</w:t>
      </w:r>
    </w:p>
    <w:p w14:paraId="135F770C"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F5C2488" wp14:editId="2CF24295">
            <wp:extent cx="5040000" cy="7200000"/>
            <wp:effectExtent l="0" t="0" r="8255" b="1270"/>
            <wp:docPr id="372329381" name="Immagin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preferRelativeResize="0">
                      <a:picLocks noChangeAspect="1" noChangeArrowheads="1"/>
                    </pic:cNvPicPr>
                  </pic:nvPicPr>
                  <pic:blipFill rotWithShape="1">
                    <a:blip r:embed="rId77">
                      <a:extLst>
                        <a:ext uri="{28A0092B-C50C-407E-A947-70E740481C1C}">
                          <a14:useLocalDpi xmlns:a14="http://schemas.microsoft.com/office/drawing/2010/main" val="0"/>
                        </a:ext>
                      </a:extLst>
                    </a:blip>
                    <a:srcRect l="6235" t="556" r="2260" b="5703"/>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5066B178"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64F12B6A" wp14:editId="131B60D2">
            <wp:extent cx="5040000" cy="2880000"/>
            <wp:effectExtent l="0" t="0" r="8255" b="0"/>
            <wp:docPr id="1028074780" name="Immagine 40"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8074780" name="Immagine 40" descr="Immagine che contiene testo, schermata, numero, Carattere&#10;&#10;Descrizione generata automaticamente"/>
                    <pic:cNvPicPr preferRelativeResize="0">
                      <a:picLocks noChangeAspect="1" noChangeArrowheads="1"/>
                    </pic:cNvPicPr>
                  </pic:nvPicPr>
                  <pic:blipFill rotWithShape="1">
                    <a:blip r:embed="rId78">
                      <a:extLst>
                        <a:ext uri="{28A0092B-C50C-407E-A947-70E740481C1C}">
                          <a14:useLocalDpi xmlns:a14="http://schemas.microsoft.com/office/drawing/2010/main" val="0"/>
                        </a:ext>
                      </a:extLst>
                    </a:blip>
                    <a:srcRect l="2820" t="596" r="5617" b="4182"/>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0EB32595"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1C5E0D91" wp14:editId="5F3B2CC5">
            <wp:extent cx="5040000" cy="2880000"/>
            <wp:effectExtent l="0" t="0" r="8255" b="0"/>
            <wp:docPr id="1433788470" name="Immagine 42" descr="Immagine che contiene testo, diagramma, linea, Diagramm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33788470" name="Immagine 42" descr="Immagine che contiene testo, diagramma, linea, Diagramma&#10;&#10;Descrizione generata automaticamente"/>
                    <pic:cNvPicPr preferRelativeResize="0">
                      <a:picLocks noChangeAspect="1" noChangeArrowheads="1"/>
                    </pic:cNvPicPr>
                  </pic:nvPicPr>
                  <pic:blipFill rotWithShape="1">
                    <a:blip r:embed="rId79">
                      <a:extLst>
                        <a:ext uri="{28A0092B-C50C-407E-A947-70E740481C1C}">
                          <a14:useLocalDpi xmlns:a14="http://schemas.microsoft.com/office/drawing/2010/main" val="0"/>
                        </a:ext>
                      </a:extLst>
                    </a:blip>
                    <a:srcRect l="2679" t="1" r="7703" b="2272"/>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09B58891" w14:textId="77777777" w:rsidR="00222F2D" w:rsidRDefault="00222F2D" w:rsidP="00222F2D">
      <w:pPr>
        <w:tabs>
          <w:tab w:val="left" w:pos="709"/>
        </w:tabs>
        <w:spacing w:after="0" w:line="360" w:lineRule="auto"/>
        <w:rPr>
          <w:rFonts w:ascii="Arial" w:hAnsi="Arial" w:cs="Arial"/>
          <w:bCs/>
          <w:sz w:val="24"/>
          <w:szCs w:val="24"/>
        </w:rPr>
      </w:pPr>
    </w:p>
    <w:p w14:paraId="1444E870" w14:textId="77777777" w:rsidR="00222F2D" w:rsidRDefault="00222F2D" w:rsidP="00222F2D">
      <w:pPr>
        <w:tabs>
          <w:tab w:val="left" w:pos="709"/>
        </w:tabs>
        <w:spacing w:after="0" w:line="360" w:lineRule="auto"/>
        <w:rPr>
          <w:rFonts w:ascii="Arial" w:hAnsi="Arial" w:cs="Arial"/>
          <w:bCs/>
          <w:sz w:val="24"/>
          <w:szCs w:val="24"/>
        </w:rPr>
      </w:pPr>
    </w:p>
    <w:p w14:paraId="3295C849" w14:textId="77777777" w:rsidR="00222F2D" w:rsidRPr="00CE0F59" w:rsidRDefault="00222F2D" w:rsidP="00222F2D">
      <w:pPr>
        <w:tabs>
          <w:tab w:val="left" w:pos="709"/>
        </w:tabs>
        <w:spacing w:after="0" w:line="360" w:lineRule="auto"/>
        <w:rPr>
          <w:rFonts w:ascii="Arial" w:hAnsi="Arial" w:cs="Arial"/>
          <w:bCs/>
          <w:sz w:val="24"/>
          <w:szCs w:val="24"/>
        </w:rPr>
      </w:pPr>
      <w:r w:rsidRPr="00CE0F59">
        <w:rPr>
          <w:rFonts w:ascii="Arial" w:hAnsi="Arial" w:cs="Arial"/>
          <w:bCs/>
          <w:sz w:val="24"/>
          <w:szCs w:val="24"/>
        </w:rPr>
        <w:t>I.1</w:t>
      </w:r>
      <w:r>
        <w:rPr>
          <w:rFonts w:ascii="Arial" w:hAnsi="Arial" w:cs="Arial"/>
          <w:bCs/>
          <w:sz w:val="24"/>
          <w:szCs w:val="24"/>
        </w:rPr>
        <w:t>3</w:t>
      </w:r>
      <w:r w:rsidRPr="00CE0F59">
        <w:rPr>
          <w:rFonts w:ascii="Arial" w:hAnsi="Arial" w:cs="Arial"/>
          <w:bCs/>
          <w:sz w:val="24"/>
          <w:szCs w:val="24"/>
        </w:rPr>
        <w:t>.</w:t>
      </w:r>
      <w:r w:rsidRPr="00CE0F59">
        <w:rPr>
          <w:rFonts w:ascii="Arial" w:hAnsi="Arial" w:cs="Arial"/>
          <w:bCs/>
          <w:sz w:val="24"/>
          <w:szCs w:val="24"/>
        </w:rPr>
        <w:tab/>
        <w:t>Honduras</w:t>
      </w:r>
    </w:p>
    <w:p w14:paraId="373169D1" w14:textId="77777777" w:rsidR="00222F2D" w:rsidRPr="00CE0F59" w:rsidRDefault="00222F2D" w:rsidP="00222F2D">
      <w:pPr>
        <w:tabs>
          <w:tab w:val="left" w:pos="709"/>
        </w:tabs>
        <w:spacing w:after="0" w:line="360" w:lineRule="auto"/>
        <w:rPr>
          <w:rFonts w:ascii="Arial" w:hAnsi="Arial" w:cs="Arial"/>
          <w:bCs/>
          <w:sz w:val="24"/>
          <w:szCs w:val="24"/>
        </w:rPr>
      </w:pPr>
    </w:p>
    <w:p w14:paraId="7DB553D5" w14:textId="77777777" w:rsidR="00222F2D"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t xml:space="preserve">L’analisi comparativa tra i dati storici del differenziale di tasso d’interesse e quelli del cambio, per il biennio 2013-2014, evidenzia un pay-off positivo medio del 17,50% prodotto dall’operatività con raccolta in euro ed impiego in </w:t>
      </w:r>
      <w:r w:rsidRPr="003F47E0">
        <w:rPr>
          <w:rFonts w:ascii="Arial" w:hAnsi="Arial" w:cs="Arial"/>
          <w:bCs/>
          <w:i/>
          <w:iCs/>
          <w:sz w:val="24"/>
          <w:szCs w:val="24"/>
        </w:rPr>
        <w:t>lempira honduregna</w:t>
      </w:r>
      <w:r w:rsidRPr="00CE0F59">
        <w:rPr>
          <w:rFonts w:ascii="Arial" w:hAnsi="Arial" w:cs="Arial"/>
          <w:bCs/>
          <w:sz w:val="24"/>
          <w:szCs w:val="24"/>
        </w:rPr>
        <w:t>.</w:t>
      </w:r>
    </w:p>
    <w:p w14:paraId="305E1B93" w14:textId="77777777" w:rsidR="00222F2D"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t>Il risultato è da ascrivere ad un effetto medio negativo del 2,25% generato dal cambio e, per la restante parte, ad un effetto medio del 19,75% determinato dal differenziale dei tassi. A sua volta quest’ultimo è da ricondurre al tasso medio del 29,25% rilevato sul microcredito, superiore al tasso di raccolta, ipotizzato nella misura del 9,50%.</w:t>
      </w:r>
    </w:p>
    <w:p w14:paraId="2554A05C" w14:textId="77777777" w:rsidR="00222F2D" w:rsidRPr="00CE0F59"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lastRenderedPageBreak/>
        <w:t xml:space="preserve">Il tasso di interesse sul lending ordinario è in media del 20,08%, per cui sono stati osservati tassi di interesse sul Microcredito superiori mediamente di 9 punti rispetto ai tassi sul lending ordinario. L’effetto cambio risulta essere fra i meno volatili, e influenza negativamente il pay-off per tutte le operazioni con </w:t>
      </w:r>
      <w:r>
        <w:rPr>
          <w:rFonts w:ascii="Arial" w:hAnsi="Arial" w:cs="Arial"/>
          <w:bCs/>
          <w:sz w:val="24"/>
          <w:szCs w:val="24"/>
        </w:rPr>
        <w:t xml:space="preserve">chiusura </w:t>
      </w:r>
      <w:r w:rsidRPr="00CE0F59">
        <w:rPr>
          <w:rFonts w:ascii="Arial" w:hAnsi="Arial" w:cs="Arial"/>
          <w:bCs/>
          <w:sz w:val="24"/>
          <w:szCs w:val="24"/>
        </w:rPr>
        <w:t>al 21/09/2014.</w:t>
      </w:r>
    </w:p>
    <w:p w14:paraId="3A98A79D"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7C316B23" wp14:editId="0EE81B4C">
            <wp:extent cx="5040000" cy="7200000"/>
            <wp:effectExtent l="0" t="0" r="8255" b="1270"/>
            <wp:docPr id="767718309" name="Immagine 43" descr="Immagine che contiene testo, schermata, documento, menu&#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7718309" name="Immagine 43" descr="Immagine che contiene testo, schermata, documento, menu&#10;&#10;Descrizione generata automaticamente"/>
                    <pic:cNvPicPr preferRelativeResize="0">
                      <a:picLocks noChangeAspect="1" noChangeArrowheads="1"/>
                    </pic:cNvPicPr>
                  </pic:nvPicPr>
                  <pic:blipFill rotWithShape="1">
                    <a:blip r:embed="rId80">
                      <a:extLst>
                        <a:ext uri="{28A0092B-C50C-407E-A947-70E740481C1C}">
                          <a14:useLocalDpi xmlns:a14="http://schemas.microsoft.com/office/drawing/2010/main" val="0"/>
                        </a:ext>
                      </a:extLst>
                    </a:blip>
                    <a:srcRect l="1533" t="753" r="2462" b="4188"/>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0D6302BD"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96BF691" wp14:editId="3DDF0F36">
            <wp:extent cx="4320000" cy="2880000"/>
            <wp:effectExtent l="0" t="0" r="4445" b="0"/>
            <wp:docPr id="1472514762" name="Immagine 44"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72514762" name="Immagine 44" descr="Immagine che contiene testo, schermata, numero, Carattere&#10;&#10;Descrizione generata automaticamente"/>
                    <pic:cNvPicPr preferRelativeResize="0">
                      <a:picLocks noChangeAspect="1" noChangeArrowheads="1"/>
                    </pic:cNvPicPr>
                  </pic:nvPicPr>
                  <pic:blipFill rotWithShape="1">
                    <a:blip r:embed="rId81">
                      <a:extLst>
                        <a:ext uri="{28A0092B-C50C-407E-A947-70E740481C1C}">
                          <a14:useLocalDpi xmlns:a14="http://schemas.microsoft.com/office/drawing/2010/main" val="0"/>
                        </a:ext>
                      </a:extLst>
                    </a:blip>
                    <a:srcRect l="2862" t="2075" r="3498" b="2690"/>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A6CB1D4"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3157723F" wp14:editId="02C69662">
            <wp:extent cx="4320000" cy="2880000"/>
            <wp:effectExtent l="0" t="0" r="4445" b="0"/>
            <wp:docPr id="128590547" name="Immagine 45" descr="Immagine che contiene diagramma, Diagramma, linea, test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8590547" name="Immagine 45" descr="Immagine che contiene diagramma, Diagramma, linea, testo&#10;&#10;Descrizione generata automaticamente"/>
                    <pic:cNvPicPr preferRelativeResize="0">
                      <a:picLocks noChangeAspect="1" noChangeArrowheads="1"/>
                    </pic:cNvPicPr>
                  </pic:nvPicPr>
                  <pic:blipFill rotWithShape="1">
                    <a:blip r:embed="rId82">
                      <a:extLst>
                        <a:ext uri="{28A0092B-C50C-407E-A947-70E740481C1C}">
                          <a14:useLocalDpi xmlns:a14="http://schemas.microsoft.com/office/drawing/2010/main" val="0"/>
                        </a:ext>
                      </a:extLst>
                    </a:blip>
                    <a:srcRect l="6210" r="6189" b="4350"/>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6EEC917" w14:textId="77777777" w:rsidR="00222F2D" w:rsidRDefault="00222F2D" w:rsidP="00222F2D">
      <w:pPr>
        <w:tabs>
          <w:tab w:val="left" w:pos="709"/>
        </w:tabs>
        <w:spacing w:after="0" w:line="360" w:lineRule="auto"/>
        <w:rPr>
          <w:rFonts w:ascii="Arial" w:hAnsi="Arial" w:cs="Arial"/>
          <w:bCs/>
          <w:sz w:val="24"/>
          <w:szCs w:val="24"/>
        </w:rPr>
      </w:pPr>
    </w:p>
    <w:p w14:paraId="31A53E3D" w14:textId="77777777" w:rsidR="00222F2D" w:rsidRDefault="00222F2D" w:rsidP="00222F2D">
      <w:pPr>
        <w:tabs>
          <w:tab w:val="left" w:pos="709"/>
        </w:tabs>
        <w:spacing w:after="0" w:line="360" w:lineRule="auto"/>
        <w:rPr>
          <w:rFonts w:ascii="Arial" w:hAnsi="Arial" w:cs="Arial"/>
          <w:bCs/>
          <w:sz w:val="24"/>
          <w:szCs w:val="24"/>
        </w:rPr>
      </w:pPr>
    </w:p>
    <w:p w14:paraId="2B517D8F" w14:textId="77777777" w:rsidR="00222F2D" w:rsidRPr="00CE0F59" w:rsidRDefault="00222F2D" w:rsidP="00222F2D">
      <w:pPr>
        <w:tabs>
          <w:tab w:val="left" w:pos="709"/>
        </w:tabs>
        <w:spacing w:after="0" w:line="360" w:lineRule="auto"/>
        <w:rPr>
          <w:rFonts w:ascii="Arial" w:hAnsi="Arial" w:cs="Arial"/>
          <w:bCs/>
          <w:sz w:val="24"/>
          <w:szCs w:val="24"/>
        </w:rPr>
      </w:pPr>
      <w:r w:rsidRPr="00CE0F59">
        <w:rPr>
          <w:rFonts w:ascii="Arial" w:hAnsi="Arial" w:cs="Arial"/>
          <w:bCs/>
          <w:sz w:val="24"/>
          <w:szCs w:val="24"/>
        </w:rPr>
        <w:t>I.1</w:t>
      </w:r>
      <w:r>
        <w:rPr>
          <w:rFonts w:ascii="Arial" w:hAnsi="Arial" w:cs="Arial"/>
          <w:bCs/>
          <w:sz w:val="24"/>
          <w:szCs w:val="24"/>
        </w:rPr>
        <w:t>4</w:t>
      </w:r>
      <w:r w:rsidRPr="00CE0F59">
        <w:rPr>
          <w:rFonts w:ascii="Arial" w:hAnsi="Arial" w:cs="Arial"/>
          <w:bCs/>
          <w:sz w:val="24"/>
          <w:szCs w:val="24"/>
        </w:rPr>
        <w:t>.</w:t>
      </w:r>
      <w:r w:rsidRPr="00CE0F59">
        <w:rPr>
          <w:rFonts w:ascii="Arial" w:hAnsi="Arial" w:cs="Arial"/>
          <w:bCs/>
          <w:sz w:val="24"/>
          <w:szCs w:val="24"/>
        </w:rPr>
        <w:tab/>
        <w:t>Messico</w:t>
      </w:r>
    </w:p>
    <w:p w14:paraId="704A90CB" w14:textId="77777777" w:rsidR="00222F2D" w:rsidRPr="00CE0F59" w:rsidRDefault="00222F2D" w:rsidP="00222F2D">
      <w:pPr>
        <w:tabs>
          <w:tab w:val="left" w:pos="709"/>
        </w:tabs>
        <w:spacing w:after="0" w:line="360" w:lineRule="auto"/>
        <w:rPr>
          <w:rFonts w:ascii="Arial" w:hAnsi="Arial" w:cs="Arial"/>
          <w:bCs/>
          <w:sz w:val="24"/>
          <w:szCs w:val="24"/>
        </w:rPr>
      </w:pPr>
    </w:p>
    <w:p w14:paraId="77A19E46" w14:textId="77777777" w:rsidR="00222F2D"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t xml:space="preserve">L’analisi comparativa tra i dati storici del differenziale di tasso d’interesse e quelli del cambio, per il biennio 2013-2014, evidenzia un pay-off positivo medio del 63,34% prodotto dall’operatività con raccolta in euro ed impiego in </w:t>
      </w:r>
      <w:r w:rsidRPr="00962F4F">
        <w:rPr>
          <w:rFonts w:ascii="Arial" w:hAnsi="Arial" w:cs="Arial"/>
          <w:bCs/>
          <w:i/>
          <w:iCs/>
          <w:sz w:val="24"/>
          <w:szCs w:val="24"/>
        </w:rPr>
        <w:t>peso messicano</w:t>
      </w:r>
      <w:r w:rsidRPr="00CE0F59">
        <w:rPr>
          <w:rFonts w:ascii="Arial" w:hAnsi="Arial" w:cs="Arial"/>
          <w:bCs/>
          <w:sz w:val="24"/>
          <w:szCs w:val="24"/>
        </w:rPr>
        <w:t>. Il risultato è da ascrivere ad un effetto medio negativo del 7,16% generato dal cambio e, per la restante parte, ad un effetto medio del 70,50% determinato dal differenziale dei tassi. A sua volta quest’ultimo è da ricondurre al tasso medio del 80% rilevato sul microcredito, superiore al tasso di raccolta, ipotizzato nella misura del 9,50%.</w:t>
      </w:r>
    </w:p>
    <w:p w14:paraId="0E41DE3E" w14:textId="77777777" w:rsidR="00222F2D" w:rsidRPr="00CE0F59"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lastRenderedPageBreak/>
        <w:t>Peraltro, lo stesso tasso sul microcredito è di circa 49 punti percentuali maggiore del tasso stimato sul lending ordinario, pari in media al 27,41%, con picchi di circa il 30%.</w:t>
      </w:r>
    </w:p>
    <w:p w14:paraId="0FF798EA"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783E99F" wp14:editId="3AA63F33">
            <wp:extent cx="5040000" cy="7200000"/>
            <wp:effectExtent l="0" t="0" r="8255" b="1270"/>
            <wp:docPr id="1566870732" name="Immagine 46" descr="Immagine che contiene testo, schermata, menu, document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6870732" name="Immagine 46" descr="Immagine che contiene testo, schermata, menu, documento&#10;&#10;Descrizione generata automaticamente"/>
                    <pic:cNvPicPr preferRelativeResize="0">
                      <a:picLocks noChangeAspect="1" noChangeArrowheads="1"/>
                    </pic:cNvPicPr>
                  </pic:nvPicPr>
                  <pic:blipFill rotWithShape="1">
                    <a:blip r:embed="rId83">
                      <a:extLst>
                        <a:ext uri="{28A0092B-C50C-407E-A947-70E740481C1C}">
                          <a14:useLocalDpi xmlns:a14="http://schemas.microsoft.com/office/drawing/2010/main" val="0"/>
                        </a:ext>
                      </a:extLst>
                    </a:blip>
                    <a:srcRect l="2847" t="786" b="1540"/>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28B1F8D0"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16D3481E" wp14:editId="42827067">
            <wp:extent cx="5040000" cy="2880000"/>
            <wp:effectExtent l="0" t="0" r="8255" b="0"/>
            <wp:docPr id="946667945" name="Immagine 47"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6667945" name="Immagine 47" descr="Immagine che contiene testo, schermata, numero, Carattere&#10;&#10;Descrizione generata automaticamente"/>
                    <pic:cNvPicPr preferRelativeResize="0">
                      <a:picLocks noChangeAspect="1" noChangeArrowheads="1"/>
                    </pic:cNvPicPr>
                  </pic:nvPicPr>
                  <pic:blipFill rotWithShape="1">
                    <a:blip r:embed="rId84">
                      <a:extLst>
                        <a:ext uri="{28A0092B-C50C-407E-A947-70E740481C1C}">
                          <a14:useLocalDpi xmlns:a14="http://schemas.microsoft.com/office/drawing/2010/main" val="0"/>
                        </a:ext>
                      </a:extLst>
                    </a:blip>
                    <a:srcRect l="3997" t="1701" r="4464" b="5190"/>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EA3190E"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211F0087" wp14:editId="3D63FE1B">
            <wp:extent cx="5040000" cy="2880000"/>
            <wp:effectExtent l="0" t="0" r="8255" b="0"/>
            <wp:docPr id="521957780" name="Immagine 48"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1957780" name="Immagine 48" descr="Immagine che contiene testo, diagramma, Diagramma, linea&#10;&#10;Descrizione generata automaticamente"/>
                    <pic:cNvPicPr preferRelativeResize="0">
                      <a:picLocks noChangeAspect="1" noChangeArrowheads="1"/>
                    </pic:cNvPicPr>
                  </pic:nvPicPr>
                  <pic:blipFill rotWithShape="1">
                    <a:blip r:embed="rId85">
                      <a:extLst>
                        <a:ext uri="{28A0092B-C50C-407E-A947-70E740481C1C}">
                          <a14:useLocalDpi xmlns:a14="http://schemas.microsoft.com/office/drawing/2010/main" val="0"/>
                        </a:ext>
                      </a:extLst>
                    </a:blip>
                    <a:srcRect l="4233" r="6359" b="9693"/>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62051197" w14:textId="77777777" w:rsidR="00222F2D" w:rsidRDefault="00222F2D" w:rsidP="00222F2D">
      <w:pPr>
        <w:tabs>
          <w:tab w:val="left" w:pos="709"/>
        </w:tabs>
        <w:spacing w:after="0" w:line="360" w:lineRule="auto"/>
        <w:rPr>
          <w:rFonts w:ascii="Arial" w:hAnsi="Arial" w:cs="Arial"/>
          <w:bCs/>
          <w:sz w:val="24"/>
          <w:szCs w:val="24"/>
        </w:rPr>
      </w:pPr>
    </w:p>
    <w:p w14:paraId="1EF01ADB" w14:textId="77777777" w:rsidR="00222F2D" w:rsidRPr="00CE0F59" w:rsidRDefault="00222F2D" w:rsidP="00222F2D">
      <w:pPr>
        <w:tabs>
          <w:tab w:val="left" w:pos="709"/>
        </w:tabs>
        <w:spacing w:after="0" w:line="360" w:lineRule="auto"/>
        <w:rPr>
          <w:rFonts w:ascii="Arial" w:hAnsi="Arial" w:cs="Arial"/>
          <w:bCs/>
          <w:sz w:val="24"/>
          <w:szCs w:val="24"/>
        </w:rPr>
      </w:pPr>
      <w:r w:rsidRPr="00CE0F59">
        <w:rPr>
          <w:rFonts w:ascii="Arial" w:hAnsi="Arial" w:cs="Arial"/>
          <w:bCs/>
          <w:sz w:val="24"/>
          <w:szCs w:val="24"/>
        </w:rPr>
        <w:t>I.1</w:t>
      </w:r>
      <w:r>
        <w:rPr>
          <w:rFonts w:ascii="Arial" w:hAnsi="Arial" w:cs="Arial"/>
          <w:bCs/>
          <w:sz w:val="24"/>
          <w:szCs w:val="24"/>
        </w:rPr>
        <w:t>5</w:t>
      </w:r>
      <w:r w:rsidRPr="00CE0F59">
        <w:rPr>
          <w:rFonts w:ascii="Arial" w:hAnsi="Arial" w:cs="Arial"/>
          <w:bCs/>
          <w:sz w:val="24"/>
          <w:szCs w:val="24"/>
        </w:rPr>
        <w:t>.</w:t>
      </w:r>
      <w:r w:rsidRPr="00CE0F59">
        <w:rPr>
          <w:rFonts w:ascii="Arial" w:hAnsi="Arial" w:cs="Arial"/>
          <w:bCs/>
          <w:sz w:val="24"/>
          <w:szCs w:val="24"/>
        </w:rPr>
        <w:tab/>
        <w:t>Nicaragua</w:t>
      </w:r>
    </w:p>
    <w:p w14:paraId="7C42F588" w14:textId="77777777" w:rsidR="00222F2D" w:rsidRPr="00CE0F59" w:rsidRDefault="00222F2D" w:rsidP="00222F2D">
      <w:pPr>
        <w:tabs>
          <w:tab w:val="left" w:pos="709"/>
        </w:tabs>
        <w:spacing w:after="0" w:line="360" w:lineRule="auto"/>
        <w:rPr>
          <w:rFonts w:ascii="Arial" w:hAnsi="Arial" w:cs="Arial"/>
          <w:bCs/>
          <w:sz w:val="24"/>
          <w:szCs w:val="24"/>
        </w:rPr>
      </w:pPr>
    </w:p>
    <w:p w14:paraId="2FD26887" w14:textId="77777777" w:rsidR="00222F2D"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t xml:space="preserve">L’analisi comparativa tra i dati storici del differenziale di tasso d’interesse e quelli del cambio, per il biennio 2013-2014, evidenzia un pay-off positivo medio del 9,56% prodotto dall’operatività con raccolta in euro ed impiego in </w:t>
      </w:r>
      <w:r w:rsidRPr="000E41C8">
        <w:rPr>
          <w:rFonts w:ascii="Arial" w:hAnsi="Arial" w:cs="Arial"/>
          <w:bCs/>
          <w:i/>
          <w:iCs/>
          <w:sz w:val="24"/>
          <w:szCs w:val="24"/>
        </w:rPr>
        <w:t>cordoba nicaraguense</w:t>
      </w:r>
      <w:r w:rsidRPr="00CE0F59">
        <w:rPr>
          <w:rFonts w:ascii="Arial" w:hAnsi="Arial" w:cs="Arial"/>
          <w:bCs/>
          <w:sz w:val="24"/>
          <w:szCs w:val="24"/>
        </w:rPr>
        <w:t>. Il risultato è da ascrivere ad un effetto medio negativo del 6,43% generato dal cambio e, per la restante parte, ad un effetto medio del 15,90% determinato dal differenziale dei tassi. A sua volta quest’ultimo è da ricondurre al tasso medio del 25,40% rilevato sul microcredito, superiore al tasso di raccolta, ipotizzato nella misura del 9,50%.</w:t>
      </w:r>
    </w:p>
    <w:p w14:paraId="3600E247" w14:textId="77777777" w:rsidR="00222F2D"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lastRenderedPageBreak/>
        <w:t>Peraltro, lo stesso tasso sul microcredito è di circa 10 punti percentuali maggiore del tasso stimato sul lending ordinario. Nello specifico</w:t>
      </w:r>
      <w:r>
        <w:rPr>
          <w:rFonts w:ascii="Arial" w:hAnsi="Arial" w:cs="Arial"/>
          <w:bCs/>
          <w:sz w:val="24"/>
          <w:szCs w:val="24"/>
        </w:rPr>
        <w:t>,</w:t>
      </w:r>
      <w:r w:rsidRPr="00CE0F59">
        <w:rPr>
          <w:rFonts w:ascii="Arial" w:hAnsi="Arial" w:cs="Arial"/>
          <w:bCs/>
          <w:sz w:val="24"/>
          <w:szCs w:val="24"/>
        </w:rPr>
        <w:t xml:space="preserve"> l’effetto tasso di cambio appare abbastanza stabile, stante una deviazione standard pari a 0,06.</w:t>
      </w:r>
    </w:p>
    <w:p w14:paraId="5AF59276"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40181B17" wp14:editId="77D40D8E">
            <wp:extent cx="5040000" cy="7200000"/>
            <wp:effectExtent l="0" t="0" r="8255" b="1270"/>
            <wp:docPr id="581036201" name="Immagine 49" descr="Immagine che contiene testo, schermata, numero, document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1036201" name="Immagine 49" descr="Immagine che contiene testo, schermata, numero, documento&#10;&#10;Descrizione generata automaticamente"/>
                    <pic:cNvPicPr preferRelativeResize="0">
                      <a:picLocks noChangeAspect="1" noChangeArrowheads="1"/>
                    </pic:cNvPicPr>
                  </pic:nvPicPr>
                  <pic:blipFill rotWithShape="1">
                    <a:blip r:embed="rId86">
                      <a:extLst>
                        <a:ext uri="{28A0092B-C50C-407E-A947-70E740481C1C}">
                          <a14:useLocalDpi xmlns:a14="http://schemas.microsoft.com/office/drawing/2010/main" val="0"/>
                        </a:ext>
                      </a:extLst>
                    </a:blip>
                    <a:srcRect l="4362" t="493" r="2817" b="1534"/>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1A009C73"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1D18F660" wp14:editId="61B08907">
            <wp:extent cx="4320000" cy="2880000"/>
            <wp:effectExtent l="0" t="0" r="4445" b="0"/>
            <wp:docPr id="377903110" name="Immagine 50"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7903110" name="Immagine 50" descr="Immagine che contiene testo, schermata, numero, Carattere&#10;&#10;Descrizione generata automaticamente"/>
                    <pic:cNvPicPr preferRelativeResize="0">
                      <a:picLocks noChangeAspect="1" noChangeArrowheads="1"/>
                    </pic:cNvPicPr>
                  </pic:nvPicPr>
                  <pic:blipFill rotWithShape="1">
                    <a:blip r:embed="rId87">
                      <a:extLst>
                        <a:ext uri="{28A0092B-C50C-407E-A947-70E740481C1C}">
                          <a14:useLocalDpi xmlns:a14="http://schemas.microsoft.com/office/drawing/2010/main" val="0"/>
                        </a:ext>
                      </a:extLst>
                    </a:blip>
                    <a:srcRect l="4753" r="7257" b="4997"/>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47EAA9E"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4C85CEAC" wp14:editId="4456835C">
            <wp:extent cx="4320000" cy="2880000"/>
            <wp:effectExtent l="0" t="0" r="4445" b="0"/>
            <wp:docPr id="601081823" name="Immagine 51" descr="Immagine che contiene testo, diagramma, linea, Diagramm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1081823" name="Immagine 51" descr="Immagine che contiene testo, diagramma, linea, Diagramma&#10;&#10;Descrizione generata automaticamente"/>
                    <pic:cNvPicPr preferRelativeResize="0">
                      <a:picLocks noChangeAspect="1" noChangeArrowheads="1"/>
                    </pic:cNvPicPr>
                  </pic:nvPicPr>
                  <pic:blipFill rotWithShape="1">
                    <a:blip r:embed="rId88">
                      <a:extLst>
                        <a:ext uri="{28A0092B-C50C-407E-A947-70E740481C1C}">
                          <a14:useLocalDpi xmlns:a14="http://schemas.microsoft.com/office/drawing/2010/main" val="0"/>
                        </a:ext>
                      </a:extLst>
                    </a:blip>
                    <a:srcRect l="5970" t="1096" r="5905" b="5044"/>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A6423C6" w14:textId="77777777" w:rsidR="00222F2D" w:rsidRPr="00CE0F59" w:rsidRDefault="00222F2D" w:rsidP="00222F2D">
      <w:pPr>
        <w:tabs>
          <w:tab w:val="left" w:pos="709"/>
        </w:tabs>
        <w:spacing w:after="0" w:line="360" w:lineRule="auto"/>
        <w:rPr>
          <w:rFonts w:ascii="Arial" w:hAnsi="Arial" w:cs="Arial"/>
          <w:bCs/>
          <w:sz w:val="24"/>
          <w:szCs w:val="24"/>
        </w:rPr>
      </w:pPr>
    </w:p>
    <w:p w14:paraId="5EBD3B7E" w14:textId="77777777" w:rsidR="00222F2D" w:rsidRPr="00CE0F59" w:rsidRDefault="00222F2D" w:rsidP="00222F2D">
      <w:pPr>
        <w:tabs>
          <w:tab w:val="left" w:pos="709"/>
        </w:tabs>
        <w:spacing w:after="0" w:line="360" w:lineRule="auto"/>
        <w:rPr>
          <w:rFonts w:ascii="Arial" w:hAnsi="Arial" w:cs="Arial"/>
          <w:bCs/>
          <w:sz w:val="24"/>
          <w:szCs w:val="24"/>
        </w:rPr>
      </w:pPr>
      <w:r w:rsidRPr="00CE0F59">
        <w:rPr>
          <w:rFonts w:ascii="Arial" w:hAnsi="Arial" w:cs="Arial"/>
          <w:bCs/>
          <w:sz w:val="24"/>
          <w:szCs w:val="24"/>
        </w:rPr>
        <w:t>I.1</w:t>
      </w:r>
      <w:r>
        <w:rPr>
          <w:rFonts w:ascii="Arial" w:hAnsi="Arial" w:cs="Arial"/>
          <w:bCs/>
          <w:sz w:val="24"/>
          <w:szCs w:val="24"/>
        </w:rPr>
        <w:t>6</w:t>
      </w:r>
      <w:r w:rsidRPr="00CE0F59">
        <w:rPr>
          <w:rFonts w:ascii="Arial" w:hAnsi="Arial" w:cs="Arial"/>
          <w:bCs/>
          <w:sz w:val="24"/>
          <w:szCs w:val="24"/>
        </w:rPr>
        <w:t>.</w:t>
      </w:r>
      <w:r w:rsidRPr="00CE0F59">
        <w:rPr>
          <w:rFonts w:ascii="Arial" w:hAnsi="Arial" w:cs="Arial"/>
          <w:bCs/>
          <w:sz w:val="24"/>
          <w:szCs w:val="24"/>
        </w:rPr>
        <w:tab/>
        <w:t>Paraguay</w:t>
      </w:r>
    </w:p>
    <w:p w14:paraId="1CA04570" w14:textId="77777777" w:rsidR="00222F2D" w:rsidRPr="00CE0F59" w:rsidRDefault="00222F2D" w:rsidP="00222F2D">
      <w:pPr>
        <w:tabs>
          <w:tab w:val="left" w:pos="709"/>
        </w:tabs>
        <w:spacing w:after="0" w:line="360" w:lineRule="auto"/>
        <w:rPr>
          <w:rFonts w:ascii="Arial" w:hAnsi="Arial" w:cs="Arial"/>
          <w:bCs/>
          <w:sz w:val="24"/>
          <w:szCs w:val="24"/>
        </w:rPr>
      </w:pPr>
    </w:p>
    <w:p w14:paraId="4B94AC68" w14:textId="77777777" w:rsidR="00222F2D"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t xml:space="preserve">L’analisi comparativa tra i dati storici del differenziale di tasso d’interesse e quelli del cambio, per il biennio 2013-2014, evidenzia un pay-off positivo medio del 19,12% prodotto dall’operatività con raccolta in euro ed impiego in </w:t>
      </w:r>
      <w:r w:rsidRPr="007344DA">
        <w:rPr>
          <w:rFonts w:ascii="Arial" w:hAnsi="Arial" w:cs="Arial"/>
          <w:bCs/>
          <w:i/>
          <w:iCs/>
          <w:sz w:val="24"/>
          <w:szCs w:val="24"/>
        </w:rPr>
        <w:t>guaranì paraguaiano</w:t>
      </w:r>
      <w:r w:rsidRPr="00CE0F59">
        <w:rPr>
          <w:rFonts w:ascii="Arial" w:hAnsi="Arial" w:cs="Arial"/>
          <w:bCs/>
          <w:sz w:val="24"/>
          <w:szCs w:val="24"/>
        </w:rPr>
        <w:t>. Il risultato è da ascrivere ad un effetto medio negativo del 4,11% generato dal cambio e, per la restante parte, ad un effetto medio del 23,23% determinato dal differenziale dei tassi. A sua volta quest’ultimo è da ricondurre al tasso medio del 32,73% rilevato sul microcredito, superiore al tasso di raccolta, ipotizzato nella misura del 9,50%. I tassi di interesse sul microcredito sono superiori mediamente di 13 punti rispetto ai tassi sul lending ordinario, che si attestano in media sul 19,27%.</w:t>
      </w:r>
    </w:p>
    <w:p w14:paraId="21A70001" w14:textId="77777777" w:rsidR="00222F2D"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lastRenderedPageBreak/>
        <w:t xml:space="preserve">Per ciò che riguarda l’effetto cambio, notiamo come esso sia molto volatile, avendo una deviazione standard più alta rispetto alle altre nazioni analizzate. Per le operazioni con </w:t>
      </w:r>
      <w:r w:rsidRPr="00562548">
        <w:rPr>
          <w:rFonts w:ascii="Arial" w:hAnsi="Arial" w:cs="Arial"/>
          <w:bCs/>
          <w:i/>
          <w:iCs/>
          <w:sz w:val="24"/>
          <w:szCs w:val="24"/>
        </w:rPr>
        <w:t>closing</w:t>
      </w:r>
      <w:r w:rsidRPr="00CE0F59">
        <w:rPr>
          <w:rFonts w:ascii="Arial" w:hAnsi="Arial" w:cs="Arial"/>
          <w:bCs/>
          <w:sz w:val="24"/>
          <w:szCs w:val="24"/>
        </w:rPr>
        <w:t xml:space="preserve"> fino al 29/06/2014 abbiamo un effetto cambio negativo che deprime il pay-off.</w:t>
      </w:r>
    </w:p>
    <w:p w14:paraId="1EB7E142" w14:textId="77777777" w:rsidR="00222F2D" w:rsidRDefault="00222F2D" w:rsidP="00222F2D">
      <w:pPr>
        <w:tabs>
          <w:tab w:val="left" w:pos="709"/>
        </w:tabs>
        <w:spacing w:line="360" w:lineRule="auto"/>
        <w:jc w:val="both"/>
        <w:rPr>
          <w:rFonts w:ascii="Arial" w:hAnsi="Arial" w:cs="Arial"/>
          <w:bCs/>
          <w:sz w:val="24"/>
          <w:szCs w:val="24"/>
        </w:rPr>
      </w:pPr>
      <w:r w:rsidRPr="00CE0F59">
        <w:rPr>
          <w:rFonts w:ascii="Arial" w:hAnsi="Arial" w:cs="Arial"/>
          <w:bCs/>
          <w:sz w:val="24"/>
          <w:szCs w:val="24"/>
        </w:rPr>
        <w:t>Nel periodo successivo</w:t>
      </w:r>
      <w:r>
        <w:rPr>
          <w:rFonts w:ascii="Arial" w:hAnsi="Arial" w:cs="Arial"/>
          <w:bCs/>
          <w:sz w:val="24"/>
          <w:szCs w:val="24"/>
        </w:rPr>
        <w:t>,</w:t>
      </w:r>
      <w:r w:rsidRPr="00CE0F59">
        <w:rPr>
          <w:rFonts w:ascii="Arial" w:hAnsi="Arial" w:cs="Arial"/>
          <w:bCs/>
          <w:sz w:val="24"/>
          <w:szCs w:val="24"/>
        </w:rPr>
        <w:t xml:space="preserve"> detto effetto cambia segno grazie alla rivalutazione della valuta paraguaiana.</w:t>
      </w:r>
    </w:p>
    <w:p w14:paraId="0F4971FA" w14:textId="77777777" w:rsidR="00222F2D" w:rsidRPr="00CE0F59"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45FA4952" wp14:editId="2DDBB405">
            <wp:extent cx="5040000" cy="7200000"/>
            <wp:effectExtent l="0" t="0" r="8255" b="1270"/>
            <wp:docPr id="1722829573" name="Immagine 52" descr="Immagine che contiene testo, schermata, documento,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22829573" name="Immagine 52" descr="Immagine che contiene testo, schermata, documento, numero&#10;&#10;Descrizione generata automaticamente"/>
                    <pic:cNvPicPr preferRelativeResize="0">
                      <a:picLocks noChangeAspect="1" noChangeArrowheads="1"/>
                    </pic:cNvPicPr>
                  </pic:nvPicPr>
                  <pic:blipFill rotWithShape="1">
                    <a:blip r:embed="rId89">
                      <a:extLst>
                        <a:ext uri="{28A0092B-C50C-407E-A947-70E740481C1C}">
                          <a14:useLocalDpi xmlns:a14="http://schemas.microsoft.com/office/drawing/2010/main" val="0"/>
                        </a:ext>
                      </a:extLst>
                    </a:blip>
                    <a:srcRect l="2063" t="567" r="4160" b="6093"/>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0FA644DD"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6095E680" wp14:editId="71B8AFA9">
            <wp:extent cx="4320000" cy="2880000"/>
            <wp:effectExtent l="0" t="0" r="4445" b="0"/>
            <wp:docPr id="1765609813" name="Immagine 53"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5609813" name="Immagine 53" descr="Immagine che contiene testo, schermata, numero, Carattere&#10;&#10;Descrizione generata automaticamente"/>
                    <pic:cNvPicPr preferRelativeResize="0">
                      <a:picLocks noChangeAspect="1" noChangeArrowheads="1"/>
                    </pic:cNvPicPr>
                  </pic:nvPicPr>
                  <pic:blipFill rotWithShape="1">
                    <a:blip r:embed="rId90">
                      <a:extLst>
                        <a:ext uri="{28A0092B-C50C-407E-A947-70E740481C1C}">
                          <a14:useLocalDpi xmlns:a14="http://schemas.microsoft.com/office/drawing/2010/main" val="0"/>
                        </a:ext>
                      </a:extLst>
                    </a:blip>
                    <a:srcRect l="2508" t="2383" r="2184" b="4476"/>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78AC78DF"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5537ED90" wp14:editId="5DA1A13A">
            <wp:extent cx="4320000" cy="2880000"/>
            <wp:effectExtent l="0" t="0" r="4445" b="0"/>
            <wp:docPr id="98555919" name="Immagine 54"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555919" name="Immagine 54" descr="Immagine che contiene testo, diagramma, Diagramma, linea&#10;&#10;Descrizione generata automaticamente"/>
                    <pic:cNvPicPr preferRelativeResize="0">
                      <a:picLocks noChangeAspect="1" noChangeArrowheads="1"/>
                    </pic:cNvPicPr>
                  </pic:nvPicPr>
                  <pic:blipFill rotWithShape="1">
                    <a:blip r:embed="rId91">
                      <a:extLst>
                        <a:ext uri="{28A0092B-C50C-407E-A947-70E740481C1C}">
                          <a14:useLocalDpi xmlns:a14="http://schemas.microsoft.com/office/drawing/2010/main" val="0"/>
                        </a:ext>
                      </a:extLst>
                    </a:blip>
                    <a:srcRect l="710" t="1200" r="4232" b="14014"/>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0BA5F1C2" w14:textId="77777777" w:rsidR="00222F2D" w:rsidRDefault="00222F2D" w:rsidP="00222F2D">
      <w:pPr>
        <w:tabs>
          <w:tab w:val="left" w:pos="709"/>
        </w:tabs>
        <w:spacing w:after="0" w:line="360" w:lineRule="auto"/>
        <w:jc w:val="both"/>
        <w:rPr>
          <w:rFonts w:ascii="Arial" w:hAnsi="Arial" w:cs="Arial"/>
          <w:bCs/>
          <w:sz w:val="24"/>
          <w:szCs w:val="24"/>
        </w:rPr>
      </w:pPr>
    </w:p>
    <w:p w14:paraId="26850D47" w14:textId="77777777" w:rsidR="00222F2D" w:rsidRPr="00CE0F59"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t>I.1</w:t>
      </w:r>
      <w:r>
        <w:rPr>
          <w:rFonts w:ascii="Arial" w:hAnsi="Arial" w:cs="Arial"/>
          <w:bCs/>
          <w:sz w:val="24"/>
          <w:szCs w:val="24"/>
        </w:rPr>
        <w:t>7</w:t>
      </w:r>
      <w:r w:rsidRPr="00CE0F59">
        <w:rPr>
          <w:rFonts w:ascii="Arial" w:hAnsi="Arial" w:cs="Arial"/>
          <w:bCs/>
          <w:sz w:val="24"/>
          <w:szCs w:val="24"/>
        </w:rPr>
        <w:t>.</w:t>
      </w:r>
      <w:r w:rsidRPr="00CE0F59">
        <w:rPr>
          <w:rFonts w:ascii="Arial" w:hAnsi="Arial" w:cs="Arial"/>
          <w:bCs/>
          <w:sz w:val="24"/>
          <w:szCs w:val="24"/>
        </w:rPr>
        <w:tab/>
        <w:t>P</w:t>
      </w:r>
      <w:r>
        <w:rPr>
          <w:rFonts w:ascii="Arial" w:hAnsi="Arial" w:cs="Arial"/>
          <w:bCs/>
          <w:sz w:val="24"/>
          <w:szCs w:val="24"/>
        </w:rPr>
        <w:t>erù.</w:t>
      </w:r>
    </w:p>
    <w:p w14:paraId="595B185C" w14:textId="77777777" w:rsidR="00222F2D" w:rsidRPr="00A62F00" w:rsidRDefault="00222F2D" w:rsidP="00222F2D">
      <w:pPr>
        <w:tabs>
          <w:tab w:val="left" w:pos="709"/>
        </w:tabs>
        <w:spacing w:after="0" w:line="360" w:lineRule="auto"/>
        <w:jc w:val="both"/>
        <w:rPr>
          <w:rFonts w:ascii="Arial" w:hAnsi="Arial" w:cs="Arial"/>
          <w:bCs/>
          <w:sz w:val="28"/>
          <w:szCs w:val="28"/>
        </w:rPr>
      </w:pPr>
    </w:p>
    <w:p w14:paraId="16C26AC6" w14:textId="77777777" w:rsidR="00222F2D" w:rsidRDefault="00222F2D" w:rsidP="00222F2D">
      <w:pPr>
        <w:tabs>
          <w:tab w:val="left" w:pos="709"/>
        </w:tabs>
        <w:spacing w:line="360" w:lineRule="auto"/>
        <w:jc w:val="both"/>
        <w:rPr>
          <w:rFonts w:ascii="Arial" w:hAnsi="Arial" w:cs="Arial"/>
          <w:sz w:val="24"/>
          <w:szCs w:val="24"/>
        </w:rPr>
      </w:pPr>
      <w:r w:rsidRPr="00A62F00">
        <w:rPr>
          <w:rFonts w:ascii="Arial" w:hAnsi="Arial" w:cs="Arial"/>
          <w:sz w:val="24"/>
          <w:szCs w:val="24"/>
        </w:rPr>
        <w:t xml:space="preserve">L’analisi comparativa tra i dati storici del differenziale di tasso d’interesse e quelli del cambio, per il biennio 2013-2014, evidenzia un pay-off positivo medio del 33,37% prodotto dall’operatività con raccolta in euro ed impiego in </w:t>
      </w:r>
      <w:r w:rsidRPr="008F5737">
        <w:rPr>
          <w:rFonts w:ascii="Arial" w:hAnsi="Arial" w:cs="Arial"/>
          <w:i/>
          <w:iCs/>
          <w:sz w:val="24"/>
          <w:szCs w:val="24"/>
        </w:rPr>
        <w:t>nuevo sol peruviano</w:t>
      </w:r>
      <w:r w:rsidRPr="00A62F00">
        <w:rPr>
          <w:rFonts w:ascii="Arial" w:hAnsi="Arial" w:cs="Arial"/>
          <w:sz w:val="24"/>
          <w:szCs w:val="24"/>
        </w:rPr>
        <w:t>. Il risultato è da ascrivere ad un effetto medio negativo del 7,26% generato dal cambio e, per la restante parte, ad un effetto medio del 40,63% determinato dal differenziale dei tassi. A sua volta quest’ultimo è da ricondurre al tasso medio del 50,13% rilevato sul microcredito, superiore al tasso di raccolta, ipotizzato nella misura del 9,50%.</w:t>
      </w:r>
    </w:p>
    <w:p w14:paraId="3B86F03E" w14:textId="77777777" w:rsidR="00222F2D" w:rsidRPr="00A62F00" w:rsidRDefault="00222F2D" w:rsidP="00222F2D">
      <w:pPr>
        <w:tabs>
          <w:tab w:val="left" w:pos="709"/>
        </w:tabs>
        <w:spacing w:line="360" w:lineRule="auto"/>
        <w:jc w:val="both"/>
        <w:rPr>
          <w:rFonts w:ascii="Arial" w:hAnsi="Arial" w:cs="Arial"/>
          <w:bCs/>
          <w:sz w:val="28"/>
          <w:szCs w:val="28"/>
        </w:rPr>
      </w:pPr>
      <w:r w:rsidRPr="00A62F00">
        <w:rPr>
          <w:rFonts w:ascii="Arial" w:hAnsi="Arial" w:cs="Arial"/>
          <w:sz w:val="24"/>
          <w:szCs w:val="24"/>
        </w:rPr>
        <w:lastRenderedPageBreak/>
        <w:t>Invece i tassi applicati sul lending ordinario sono stimati in misura pari al 14,50%, per cui lo stesso tasso sul microcredito è di circa 29 punti percentuali maggiore del tasso stimato sul lending ordinario.</w:t>
      </w:r>
    </w:p>
    <w:p w14:paraId="42BB4AD9"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CB307D6" wp14:editId="1B406773">
            <wp:extent cx="5040000" cy="7200000"/>
            <wp:effectExtent l="0" t="0" r="8255" b="1270"/>
            <wp:docPr id="978628537" name="Immagine 58" descr="Immagine che contiene testo, schermata, documento, modell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8628537" name="Immagine 58" descr="Immagine che contiene testo, schermata, documento, modello&#10;&#10;Descrizione generata automaticamente"/>
                    <pic:cNvPicPr preferRelativeResize="0">
                      <a:picLocks noChangeAspect="1" noChangeArrowheads="1"/>
                    </pic:cNvPicPr>
                  </pic:nvPicPr>
                  <pic:blipFill rotWithShape="1">
                    <a:blip r:embed="rId92">
                      <a:extLst>
                        <a:ext uri="{28A0092B-C50C-407E-A947-70E740481C1C}">
                          <a14:useLocalDpi xmlns:a14="http://schemas.microsoft.com/office/drawing/2010/main" val="0"/>
                        </a:ext>
                      </a:extLst>
                    </a:blip>
                    <a:srcRect l="3449" t="1051" r="1357" b="11947"/>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263335E2"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10CD5DEE" wp14:editId="31991AF3">
            <wp:extent cx="4320000" cy="2880000"/>
            <wp:effectExtent l="0" t="0" r="4445" b="0"/>
            <wp:docPr id="930649712" name="Immagine 59" descr="Immagine che contiene testo, schermata, numero, menu&#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0649712" name="Immagine 59" descr="Immagine che contiene testo, schermata, numero, menu&#10;&#10;Descrizione generata automaticamente"/>
                    <pic:cNvPicPr preferRelativeResize="0">
                      <a:picLocks noChangeAspect="1" noChangeArrowheads="1"/>
                    </pic:cNvPicPr>
                  </pic:nvPicPr>
                  <pic:blipFill rotWithShape="1">
                    <a:blip r:embed="rId93">
                      <a:extLst>
                        <a:ext uri="{28A0092B-C50C-407E-A947-70E740481C1C}">
                          <a14:useLocalDpi xmlns:a14="http://schemas.microsoft.com/office/drawing/2010/main" val="0"/>
                        </a:ext>
                      </a:extLst>
                    </a:blip>
                    <a:srcRect l="3188" t="1546" r="6354" b="3939"/>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15A6EAC8"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59ABAB8D" wp14:editId="29E120CF">
            <wp:extent cx="4320000" cy="2880000"/>
            <wp:effectExtent l="0" t="0" r="4445" b="0"/>
            <wp:docPr id="2081809181" name="Immagine 60" descr="Immagine che contiene testo, Diagramma, linea, diagramm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81809181" name="Immagine 60" descr="Immagine che contiene testo, Diagramma, linea, diagramma&#10;&#10;Descrizione generata automaticamente"/>
                    <pic:cNvPicPr preferRelativeResize="0">
                      <a:picLocks noChangeAspect="1" noChangeArrowheads="1"/>
                    </pic:cNvPicPr>
                  </pic:nvPicPr>
                  <pic:blipFill rotWithShape="1">
                    <a:blip r:embed="rId94">
                      <a:extLst>
                        <a:ext uri="{28A0092B-C50C-407E-A947-70E740481C1C}">
                          <a14:useLocalDpi xmlns:a14="http://schemas.microsoft.com/office/drawing/2010/main" val="0"/>
                        </a:ext>
                      </a:extLst>
                    </a:blip>
                    <a:srcRect l="4785" t="2029" r="1618" b="11938"/>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F89BFAA" w14:textId="77777777" w:rsidR="00222F2D" w:rsidRDefault="00222F2D" w:rsidP="00163993">
      <w:pPr>
        <w:tabs>
          <w:tab w:val="left" w:pos="709"/>
        </w:tabs>
        <w:spacing w:after="0" w:line="360" w:lineRule="auto"/>
        <w:jc w:val="both"/>
        <w:rPr>
          <w:rFonts w:ascii="Arial" w:hAnsi="Arial" w:cs="Arial"/>
          <w:bCs/>
          <w:sz w:val="24"/>
          <w:szCs w:val="24"/>
        </w:rPr>
      </w:pPr>
    </w:p>
    <w:p w14:paraId="228AC1C3" w14:textId="77777777" w:rsidR="00222F2D" w:rsidRDefault="00222F2D" w:rsidP="00163993">
      <w:pPr>
        <w:tabs>
          <w:tab w:val="left" w:pos="709"/>
        </w:tabs>
        <w:spacing w:after="0" w:line="360" w:lineRule="auto"/>
        <w:jc w:val="both"/>
        <w:rPr>
          <w:rFonts w:ascii="Arial" w:hAnsi="Arial" w:cs="Arial"/>
          <w:bCs/>
          <w:sz w:val="24"/>
          <w:szCs w:val="24"/>
        </w:rPr>
      </w:pPr>
    </w:p>
    <w:p w14:paraId="403829FC" w14:textId="77777777" w:rsidR="00222F2D" w:rsidRPr="00CE0F59"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t>I.1</w:t>
      </w:r>
      <w:r>
        <w:rPr>
          <w:rFonts w:ascii="Arial" w:hAnsi="Arial" w:cs="Arial"/>
          <w:bCs/>
          <w:sz w:val="24"/>
          <w:szCs w:val="24"/>
        </w:rPr>
        <w:t>8</w:t>
      </w:r>
      <w:r w:rsidRPr="00CE0F59">
        <w:rPr>
          <w:rFonts w:ascii="Arial" w:hAnsi="Arial" w:cs="Arial"/>
          <w:bCs/>
          <w:sz w:val="24"/>
          <w:szCs w:val="24"/>
        </w:rPr>
        <w:t>.</w:t>
      </w:r>
      <w:r w:rsidRPr="00CE0F59">
        <w:rPr>
          <w:rFonts w:ascii="Arial" w:hAnsi="Arial" w:cs="Arial"/>
          <w:bCs/>
          <w:sz w:val="24"/>
          <w:szCs w:val="24"/>
        </w:rPr>
        <w:tab/>
        <w:t>Repubblica Dominicana</w:t>
      </w:r>
    </w:p>
    <w:p w14:paraId="45AF81B6" w14:textId="77777777" w:rsidR="00222F2D" w:rsidRPr="00CE0F59" w:rsidRDefault="00222F2D" w:rsidP="00222F2D">
      <w:pPr>
        <w:tabs>
          <w:tab w:val="left" w:pos="709"/>
        </w:tabs>
        <w:spacing w:after="0" w:line="360" w:lineRule="auto"/>
        <w:jc w:val="both"/>
        <w:rPr>
          <w:rFonts w:ascii="Arial" w:hAnsi="Arial" w:cs="Arial"/>
          <w:bCs/>
          <w:sz w:val="24"/>
          <w:szCs w:val="24"/>
        </w:rPr>
      </w:pPr>
    </w:p>
    <w:p w14:paraId="791002CC" w14:textId="77777777" w:rsidR="00222F2D" w:rsidRDefault="00222F2D" w:rsidP="00222F2D">
      <w:pPr>
        <w:tabs>
          <w:tab w:val="left" w:pos="709"/>
        </w:tabs>
        <w:spacing w:after="0" w:line="360" w:lineRule="auto"/>
        <w:jc w:val="both"/>
        <w:rPr>
          <w:rFonts w:ascii="Arial" w:hAnsi="Arial" w:cs="Arial"/>
          <w:bCs/>
          <w:sz w:val="24"/>
          <w:szCs w:val="24"/>
        </w:rPr>
      </w:pPr>
      <w:r w:rsidRPr="00CE0F59">
        <w:rPr>
          <w:rFonts w:ascii="Arial" w:hAnsi="Arial" w:cs="Arial"/>
          <w:bCs/>
          <w:sz w:val="24"/>
          <w:szCs w:val="24"/>
        </w:rPr>
        <w:t xml:space="preserve">L’analisi comparativa tra i dati storici del differenziale di tasso d’interesse e quelli del cambio, per il biennio 2013-2014, evidenzia un pay-off positivo medio del 20,41% prodotto dall’operatività con raccolta in euro ed impiego in </w:t>
      </w:r>
      <w:r w:rsidRPr="00222C13">
        <w:rPr>
          <w:rFonts w:ascii="Arial" w:hAnsi="Arial" w:cs="Arial"/>
          <w:bCs/>
          <w:i/>
          <w:iCs/>
          <w:sz w:val="24"/>
          <w:szCs w:val="24"/>
        </w:rPr>
        <w:t>peso dominicano</w:t>
      </w:r>
      <w:r w:rsidRPr="00CE0F59">
        <w:rPr>
          <w:rFonts w:ascii="Arial" w:hAnsi="Arial" w:cs="Arial"/>
          <w:bCs/>
          <w:sz w:val="24"/>
          <w:szCs w:val="24"/>
        </w:rPr>
        <w:t>. Il risultato è da ascrivere ad un effetto medio negativo del 5,52% generato dal cambio e, per la restante parte, ad un effetto medio del 25,93% determinato dal differenziale dei tassi. A sua volta quest’ultimo è da ricondurre al tasso medio del 35,43% rilevato sul microcredito, superiore al tasso di raccolta, ipotizzato nella misura del 9,50%.</w:t>
      </w:r>
    </w:p>
    <w:p w14:paraId="76484A96" w14:textId="77777777" w:rsidR="00222F2D" w:rsidRPr="00CE0F59" w:rsidRDefault="00222F2D" w:rsidP="00163993">
      <w:pPr>
        <w:tabs>
          <w:tab w:val="left" w:pos="709"/>
        </w:tabs>
        <w:spacing w:line="360" w:lineRule="auto"/>
        <w:jc w:val="both"/>
        <w:rPr>
          <w:rFonts w:ascii="Arial" w:hAnsi="Arial" w:cs="Arial"/>
          <w:bCs/>
          <w:sz w:val="24"/>
          <w:szCs w:val="24"/>
        </w:rPr>
      </w:pPr>
      <w:r w:rsidRPr="00CE0F59">
        <w:rPr>
          <w:rFonts w:ascii="Arial" w:hAnsi="Arial" w:cs="Arial"/>
          <w:bCs/>
          <w:sz w:val="24"/>
          <w:szCs w:val="24"/>
        </w:rPr>
        <w:lastRenderedPageBreak/>
        <w:t>I tassi di interesse medi sul microcredito superano di 20 punti percentuali il tasso ordinario di lending. Questi ultimi sono infatti in media pari al 13,59%, ricompresi in un range caratterizzato da un minimo di 12,32% ed un massimo di 14,73%</w:t>
      </w:r>
      <w:r>
        <w:rPr>
          <w:rFonts w:ascii="Arial" w:hAnsi="Arial" w:cs="Arial"/>
          <w:bCs/>
          <w:sz w:val="24"/>
          <w:szCs w:val="24"/>
        </w:rPr>
        <w:t>; i</w:t>
      </w:r>
      <w:r w:rsidRPr="00CE0F59">
        <w:rPr>
          <w:rFonts w:ascii="Arial" w:hAnsi="Arial" w:cs="Arial"/>
          <w:bCs/>
          <w:sz w:val="24"/>
          <w:szCs w:val="24"/>
        </w:rPr>
        <w:t>nvece</w:t>
      </w:r>
      <w:r>
        <w:rPr>
          <w:rFonts w:ascii="Arial" w:hAnsi="Arial" w:cs="Arial"/>
          <w:bCs/>
          <w:sz w:val="24"/>
          <w:szCs w:val="24"/>
        </w:rPr>
        <w:t>,</w:t>
      </w:r>
      <w:r w:rsidRPr="00CE0F59">
        <w:rPr>
          <w:rFonts w:ascii="Arial" w:hAnsi="Arial" w:cs="Arial"/>
          <w:bCs/>
          <w:sz w:val="24"/>
          <w:szCs w:val="24"/>
        </w:rPr>
        <w:t xml:space="preserve"> l’effetto tasso di cambio risulta negativo per le operazioni con chiusura fino al 07/09/2014 e positivo per le restanti, grazie all’apprezzamento del </w:t>
      </w:r>
      <w:r w:rsidRPr="00222C13">
        <w:rPr>
          <w:rFonts w:ascii="Arial" w:hAnsi="Arial" w:cs="Arial"/>
          <w:bCs/>
          <w:i/>
          <w:iCs/>
          <w:sz w:val="24"/>
          <w:szCs w:val="24"/>
        </w:rPr>
        <w:t>peso dominicano</w:t>
      </w:r>
      <w:r w:rsidRPr="00CE0F59">
        <w:rPr>
          <w:rFonts w:ascii="Arial" w:hAnsi="Arial" w:cs="Arial"/>
          <w:bCs/>
          <w:sz w:val="24"/>
          <w:szCs w:val="24"/>
        </w:rPr>
        <w:t>.</w:t>
      </w:r>
    </w:p>
    <w:p w14:paraId="4E624DB5"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3CB45DD8" wp14:editId="6E810D98">
            <wp:extent cx="5040000" cy="7200000"/>
            <wp:effectExtent l="0" t="0" r="8255" b="1270"/>
            <wp:docPr id="1784836211" name="Immagine 61" descr="Immagine che contiene testo, schermata, documento, menu&#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84836211" name="Immagine 61" descr="Immagine che contiene testo, schermata, documento, menu&#10;&#10;Descrizione generata automaticamente"/>
                    <pic:cNvPicPr preferRelativeResize="0">
                      <a:picLocks noChangeAspect="1" noChangeArrowheads="1"/>
                    </pic:cNvPicPr>
                  </pic:nvPicPr>
                  <pic:blipFill rotWithShape="1">
                    <a:blip r:embed="rId95">
                      <a:extLst>
                        <a:ext uri="{28A0092B-C50C-407E-A947-70E740481C1C}">
                          <a14:useLocalDpi xmlns:a14="http://schemas.microsoft.com/office/drawing/2010/main" val="0"/>
                        </a:ext>
                      </a:extLst>
                    </a:blip>
                    <a:srcRect l="2075" t="957" r="3391" b="4872"/>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2C4C0447"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67F37029" wp14:editId="0122BD20">
            <wp:extent cx="4320000" cy="2880000"/>
            <wp:effectExtent l="0" t="0" r="4445" b="0"/>
            <wp:docPr id="1949997646" name="Immagine 62"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49997646" name="Immagine 62" descr="Immagine che contiene testo, schermata, numero, Carattere&#10;&#10;Descrizione generata automaticamente"/>
                    <pic:cNvPicPr preferRelativeResize="0">
                      <a:picLocks noChangeAspect="1" noChangeArrowheads="1"/>
                    </pic:cNvPicPr>
                  </pic:nvPicPr>
                  <pic:blipFill rotWithShape="1">
                    <a:blip r:embed="rId96">
                      <a:extLst>
                        <a:ext uri="{28A0092B-C50C-407E-A947-70E740481C1C}">
                          <a14:useLocalDpi xmlns:a14="http://schemas.microsoft.com/office/drawing/2010/main" val="0"/>
                        </a:ext>
                      </a:extLst>
                    </a:blip>
                    <a:srcRect l="3378" t="1350" r="5113" b="1311"/>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7B4CE45E"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2CBE1B24" wp14:editId="1423F57F">
            <wp:extent cx="4320000" cy="2880000"/>
            <wp:effectExtent l="0" t="0" r="4445" b="0"/>
            <wp:docPr id="1211880423" name="Immagine 63"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11880423" name="Immagine 63" descr="Immagine che contiene testo, diagramma, Diagramma, linea&#10;&#10;Descrizione generata automaticamente"/>
                    <pic:cNvPicPr preferRelativeResize="0">
                      <a:picLocks noChangeAspect="1" noChangeArrowheads="1"/>
                    </pic:cNvPicPr>
                  </pic:nvPicPr>
                  <pic:blipFill rotWithShape="1">
                    <a:blip r:embed="rId97">
                      <a:extLst>
                        <a:ext uri="{28A0092B-C50C-407E-A947-70E740481C1C}">
                          <a14:useLocalDpi xmlns:a14="http://schemas.microsoft.com/office/drawing/2010/main" val="0"/>
                        </a:ext>
                      </a:extLst>
                    </a:blip>
                    <a:srcRect l="3850" t="1957" r="3472" b="5217"/>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FE1DC6A" w14:textId="77777777" w:rsidR="00222F2D" w:rsidRDefault="00222F2D" w:rsidP="00222F2D">
      <w:pPr>
        <w:tabs>
          <w:tab w:val="left" w:pos="709"/>
        </w:tabs>
        <w:spacing w:after="0" w:line="360" w:lineRule="auto"/>
        <w:rPr>
          <w:rFonts w:ascii="Arial" w:hAnsi="Arial" w:cs="Arial"/>
          <w:bCs/>
          <w:sz w:val="24"/>
          <w:szCs w:val="24"/>
        </w:rPr>
      </w:pPr>
    </w:p>
    <w:p w14:paraId="26D1A880" w14:textId="77777777" w:rsidR="00222F2D" w:rsidRPr="00B0756B" w:rsidRDefault="00222F2D" w:rsidP="00222F2D">
      <w:pPr>
        <w:tabs>
          <w:tab w:val="left" w:pos="709"/>
        </w:tabs>
        <w:spacing w:after="0" w:line="360" w:lineRule="auto"/>
        <w:rPr>
          <w:rFonts w:ascii="Arial" w:hAnsi="Arial" w:cs="Arial"/>
          <w:bCs/>
          <w:sz w:val="24"/>
          <w:szCs w:val="24"/>
        </w:rPr>
      </w:pPr>
      <w:r w:rsidRPr="00B0756B">
        <w:rPr>
          <w:rFonts w:ascii="Arial" w:hAnsi="Arial" w:cs="Arial"/>
          <w:bCs/>
          <w:sz w:val="24"/>
          <w:szCs w:val="24"/>
        </w:rPr>
        <w:t>I.1</w:t>
      </w:r>
      <w:r>
        <w:rPr>
          <w:rFonts w:ascii="Arial" w:hAnsi="Arial" w:cs="Arial"/>
          <w:bCs/>
          <w:sz w:val="24"/>
          <w:szCs w:val="24"/>
        </w:rPr>
        <w:t>9</w:t>
      </w:r>
      <w:r w:rsidRPr="00B0756B">
        <w:rPr>
          <w:rFonts w:ascii="Arial" w:hAnsi="Arial" w:cs="Arial"/>
          <w:bCs/>
          <w:sz w:val="24"/>
          <w:szCs w:val="24"/>
        </w:rPr>
        <w:t>.</w:t>
      </w:r>
      <w:r w:rsidRPr="00B0756B">
        <w:rPr>
          <w:rFonts w:ascii="Arial" w:hAnsi="Arial" w:cs="Arial"/>
          <w:bCs/>
          <w:sz w:val="24"/>
          <w:szCs w:val="24"/>
        </w:rPr>
        <w:tab/>
        <w:t>Repubblica di Panama</w:t>
      </w:r>
    </w:p>
    <w:p w14:paraId="5439EFBF" w14:textId="77777777" w:rsidR="00222F2D" w:rsidRPr="00B0756B" w:rsidRDefault="00222F2D" w:rsidP="00222F2D">
      <w:pPr>
        <w:tabs>
          <w:tab w:val="left" w:pos="709"/>
        </w:tabs>
        <w:spacing w:after="0" w:line="360" w:lineRule="auto"/>
        <w:rPr>
          <w:rFonts w:ascii="Arial" w:hAnsi="Arial" w:cs="Arial"/>
          <w:bCs/>
          <w:sz w:val="24"/>
          <w:szCs w:val="24"/>
        </w:rPr>
      </w:pPr>
    </w:p>
    <w:p w14:paraId="4DAF4389"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Il Governo della Repubblica di Panamá ha attuato un programma volto al sostegno nei confronti di coloro che non possono rivolgersi agli istituti finanziari del paese per chiedere prestiti per lo svolgimento di attività economiche, perché in condizioni di povertà. Per attuare tale programma, il governo panamense, attraverso il </w:t>
      </w:r>
      <w:r w:rsidRPr="00EF0400">
        <w:rPr>
          <w:rFonts w:ascii="Arial" w:hAnsi="Arial" w:cs="Arial"/>
          <w:bCs/>
          <w:i/>
          <w:iCs/>
          <w:sz w:val="24"/>
          <w:szCs w:val="24"/>
        </w:rPr>
        <w:t>Banco de Desarrollo Agropecuniario</w:t>
      </w:r>
      <w:r w:rsidRPr="00B0756B">
        <w:rPr>
          <w:rFonts w:ascii="Arial" w:hAnsi="Arial" w:cs="Arial"/>
          <w:bCs/>
          <w:sz w:val="24"/>
          <w:szCs w:val="24"/>
        </w:rPr>
        <w:t>, sostiene le attività produttive del settore primario attuate dalla popolazione rurale. Il sostegno è attuato attraverso l’attivazione di prestiti agevolati nei confronti di tale parte della popolazione panamense ad un tasso di interesse pari al 2%, cui va ad aggiungersi un ulteriore 1,5% nel caso in cui il prestito sia attivato nei confronti di piccoli imprenditori regolarmente iscritti al registro delle piccole e medie imprese.</w:t>
      </w:r>
    </w:p>
    <w:p w14:paraId="57BEADBE"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lastRenderedPageBreak/>
        <w:t>Tuttavia, il tasso di interesse medio per prestiti alla microfinanza risulta del 36,4%, tasso molto più elevato sul tasso di interesse per il lending ordinario, pari in media al 6%.</w:t>
      </w:r>
    </w:p>
    <w:p w14:paraId="491C3D19" w14:textId="77777777" w:rsidR="00222F2D"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 xml:space="preserve">L’analisi comparativa tra i dati storici del differenziale di tasso d’interesse e quelli del cambio, per il biennio 2013-2014, evidenzia un pay-off positivo medio del 26,95% prodotto dall’operatività con raccolta in euro ed impiego in </w:t>
      </w:r>
      <w:r w:rsidRPr="00EF0400">
        <w:rPr>
          <w:rFonts w:ascii="Arial" w:hAnsi="Arial" w:cs="Arial"/>
          <w:bCs/>
          <w:i/>
          <w:iCs/>
          <w:sz w:val="24"/>
          <w:szCs w:val="24"/>
        </w:rPr>
        <w:t>dollaro USA</w:t>
      </w:r>
      <w:r w:rsidRPr="00B0756B">
        <w:rPr>
          <w:rFonts w:ascii="Arial" w:hAnsi="Arial" w:cs="Arial"/>
          <w:bCs/>
          <w:sz w:val="24"/>
          <w:szCs w:val="24"/>
        </w:rPr>
        <w:t>, attuale valuta del Panama. Il risultato è da ascrivere ad un effetto medio positivo dello 0,05% generato dal cambio e, per la restante parte, ad un effetto medio del 26,90% determinato dal differenziale dei tassi. A sua volta quest’ultimo è da ricondurre al tasso medio del 36,40% rilevato sul microcredito, superiore al tasso di raccolta, ipotizzato nella misura del 9,50%.</w:t>
      </w:r>
    </w:p>
    <w:p w14:paraId="5B60B136"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 xml:space="preserve">Peraltro, il tasso di interesse medio per prestiti al microcredito risulta molto più elevato rispetto al tasso di interesse per il lending ordinario, in media del 6%. Invece l’effetto tasso di cambio risulta negativo per le operazioni con chiusura fino al 17/08/2014 e positivo a seguito dell’apprezzamento del </w:t>
      </w:r>
      <w:r w:rsidRPr="00EF0400">
        <w:rPr>
          <w:rFonts w:ascii="Arial" w:hAnsi="Arial" w:cs="Arial"/>
          <w:bCs/>
          <w:i/>
          <w:iCs/>
          <w:sz w:val="24"/>
          <w:szCs w:val="24"/>
        </w:rPr>
        <w:t>dollaro USA</w:t>
      </w:r>
      <w:r w:rsidRPr="00B0756B">
        <w:rPr>
          <w:rFonts w:ascii="Arial" w:hAnsi="Arial" w:cs="Arial"/>
          <w:bCs/>
          <w:sz w:val="24"/>
          <w:szCs w:val="24"/>
        </w:rPr>
        <w:t>.</w:t>
      </w:r>
    </w:p>
    <w:p w14:paraId="277B493F"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428DB7B4" wp14:editId="51CD5D2D">
            <wp:extent cx="5040000" cy="7200000"/>
            <wp:effectExtent l="0" t="0" r="8255" b="1270"/>
            <wp:docPr id="1351689645" name="Immagine 64" descr="Immagine che contiene testo, schermata, menu,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1689645" name="Immagine 64" descr="Immagine che contiene testo, schermata, menu, numero&#10;&#10;Descrizione generata automaticamente"/>
                    <pic:cNvPicPr preferRelativeResize="0">
                      <a:picLocks noChangeAspect="1" noChangeArrowheads="1"/>
                    </pic:cNvPicPr>
                  </pic:nvPicPr>
                  <pic:blipFill rotWithShape="1">
                    <a:blip r:embed="rId98">
                      <a:extLst>
                        <a:ext uri="{28A0092B-C50C-407E-A947-70E740481C1C}">
                          <a14:useLocalDpi xmlns:a14="http://schemas.microsoft.com/office/drawing/2010/main" val="0"/>
                        </a:ext>
                      </a:extLst>
                    </a:blip>
                    <a:srcRect l="3579" t="1300" r="8882" b="2008"/>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3FB5CD8E" w14:textId="77777777" w:rsidR="00222F2D" w:rsidRDefault="00222F2D" w:rsidP="00222F2D">
      <w:pPr>
        <w:tabs>
          <w:tab w:val="left" w:pos="709"/>
        </w:tabs>
        <w:spacing w:line="360" w:lineRule="auto"/>
        <w:jc w:val="both"/>
        <w:rPr>
          <w:rFonts w:ascii="Arial" w:hAnsi="Arial" w:cs="Arial"/>
          <w:bCs/>
          <w:sz w:val="24"/>
          <w:szCs w:val="24"/>
        </w:rPr>
      </w:pPr>
    </w:p>
    <w:p w14:paraId="3C9B87FE"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4E7C7558" wp14:editId="17AE7D53">
            <wp:extent cx="4320000" cy="2880000"/>
            <wp:effectExtent l="0" t="0" r="4445" b="0"/>
            <wp:docPr id="578899313" name="Immagine 65"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8899313" name="Immagine 65" descr="Immagine che contiene testo, schermata, numero, Carattere&#10;&#10;Descrizione generata automaticamente"/>
                    <pic:cNvPicPr preferRelativeResize="0">
                      <a:picLocks noChangeAspect="1" noChangeArrowheads="1"/>
                    </pic:cNvPicPr>
                  </pic:nvPicPr>
                  <pic:blipFill rotWithShape="1">
                    <a:blip r:embed="rId99">
                      <a:extLst>
                        <a:ext uri="{28A0092B-C50C-407E-A947-70E740481C1C}">
                          <a14:useLocalDpi xmlns:a14="http://schemas.microsoft.com/office/drawing/2010/main" val="0"/>
                        </a:ext>
                      </a:extLst>
                    </a:blip>
                    <a:srcRect l="1809" t="996" r="3966" b="7509"/>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5BCF916"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1C0A9027" wp14:editId="5C48E815">
            <wp:extent cx="4258628" cy="2879725"/>
            <wp:effectExtent l="0" t="0" r="8890" b="0"/>
            <wp:docPr id="778310831" name="Immagine 67"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8310831" name="Immagine 67" descr="Immagine che contiene testo, Diagramma, diagramma, linea&#10;&#10;Descrizione generata automaticamente"/>
                    <pic:cNvPicPr preferRelativeResize="0">
                      <a:picLocks noChangeAspect="1" noChangeArrowheads="1"/>
                    </pic:cNvPicPr>
                  </pic:nvPicPr>
                  <pic:blipFill rotWithShape="1">
                    <a:blip r:embed="rId100">
                      <a:extLst>
                        <a:ext uri="{28A0092B-C50C-407E-A947-70E740481C1C}">
                          <a14:useLocalDpi xmlns:a14="http://schemas.microsoft.com/office/drawing/2010/main" val="0"/>
                        </a:ext>
                      </a:extLst>
                    </a:blip>
                    <a:srcRect l="6119" t="3232" r="5443" b="3664"/>
                    <a:stretch/>
                  </pic:blipFill>
                  <pic:spPr bwMode="auto">
                    <a:xfrm>
                      <a:off x="0" y="0"/>
                      <a:ext cx="4259035"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DAC845B" w14:textId="77777777" w:rsidR="00222F2D" w:rsidRDefault="00222F2D" w:rsidP="00222F2D">
      <w:pPr>
        <w:tabs>
          <w:tab w:val="left" w:pos="709"/>
        </w:tabs>
        <w:spacing w:after="0" w:line="360" w:lineRule="auto"/>
        <w:jc w:val="both"/>
        <w:rPr>
          <w:rFonts w:ascii="Arial" w:hAnsi="Arial" w:cs="Arial"/>
          <w:bCs/>
          <w:sz w:val="24"/>
          <w:szCs w:val="24"/>
        </w:rPr>
      </w:pPr>
    </w:p>
    <w:p w14:paraId="141047EB"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I.</w:t>
      </w:r>
      <w:r>
        <w:rPr>
          <w:rFonts w:ascii="Arial" w:hAnsi="Arial" w:cs="Arial"/>
          <w:bCs/>
          <w:sz w:val="24"/>
          <w:szCs w:val="24"/>
        </w:rPr>
        <w:t>20</w:t>
      </w:r>
      <w:r w:rsidRPr="00B0756B">
        <w:rPr>
          <w:rFonts w:ascii="Arial" w:hAnsi="Arial" w:cs="Arial"/>
          <w:bCs/>
          <w:sz w:val="24"/>
          <w:szCs w:val="24"/>
        </w:rPr>
        <w:t>.</w:t>
      </w:r>
      <w:r w:rsidRPr="00B0756B">
        <w:rPr>
          <w:rFonts w:ascii="Arial" w:hAnsi="Arial" w:cs="Arial"/>
          <w:bCs/>
          <w:sz w:val="24"/>
          <w:szCs w:val="24"/>
        </w:rPr>
        <w:tab/>
        <w:t>Uruguay</w:t>
      </w:r>
    </w:p>
    <w:p w14:paraId="4FA3ACEE" w14:textId="77777777" w:rsidR="00222F2D" w:rsidRPr="00B0756B" w:rsidRDefault="00222F2D" w:rsidP="00222F2D">
      <w:pPr>
        <w:tabs>
          <w:tab w:val="left" w:pos="709"/>
        </w:tabs>
        <w:spacing w:after="0" w:line="360" w:lineRule="auto"/>
        <w:jc w:val="both"/>
        <w:rPr>
          <w:rFonts w:ascii="Arial" w:hAnsi="Arial" w:cs="Arial"/>
          <w:bCs/>
          <w:sz w:val="24"/>
          <w:szCs w:val="24"/>
        </w:rPr>
      </w:pPr>
    </w:p>
    <w:p w14:paraId="552E06E5" w14:textId="77777777" w:rsidR="00222F2D"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L’analisi comparativa tra i dati storici del differenziale di tasso d’interesse e quelli del cambio, per il biennio 2013-2014, evidenzia un pay-off negativo medio dello 0,61% prodotto dall’operatività con raccolta in euro ed impiego in </w:t>
      </w:r>
      <w:r w:rsidRPr="000062B2">
        <w:rPr>
          <w:rFonts w:ascii="Arial" w:hAnsi="Arial" w:cs="Arial"/>
          <w:bCs/>
          <w:i/>
          <w:iCs/>
          <w:sz w:val="24"/>
          <w:szCs w:val="24"/>
        </w:rPr>
        <w:t>peso uruguaiano</w:t>
      </w:r>
      <w:r w:rsidRPr="00B0756B">
        <w:rPr>
          <w:rFonts w:ascii="Arial" w:hAnsi="Arial" w:cs="Arial"/>
          <w:bCs/>
          <w:sz w:val="24"/>
          <w:szCs w:val="24"/>
        </w:rPr>
        <w:t>. Il risultato è da ascrivere ad un effetto medio negativo del 15,11% generato dal cambio e, per la restante parte, ad un effetto medio del 14,50% determinato dal differenziale dei tassi. A sua volta quest’ultimo è da ricondurre al tasso medio del 24% rilevato sul microcredito, superiore al tasso di raccolta, ipotizzato nella misura del 9,50%.</w:t>
      </w:r>
    </w:p>
    <w:p w14:paraId="61CB5043"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lastRenderedPageBreak/>
        <w:t>Sono stati inoltre osservati tassi di interesse sul microcredito superiori mediamente di 12 punti rispetto ai tassi sul lending ordinario che risultano essere pari al 12,43%. Nell’intero periodo di analisi notiamo un continuo apprezzamento dell’euro rispetto alla valuta uruguaiana.</w:t>
      </w:r>
    </w:p>
    <w:p w14:paraId="4FD308B5"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73FC4524" wp14:editId="2FF57C47">
            <wp:extent cx="5040000" cy="7200000"/>
            <wp:effectExtent l="0" t="0" r="8255" b="1270"/>
            <wp:docPr id="1395307648" name="Immagine 68" descr="Immagine che contiene testo, schermata, numero, document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95307648" name="Immagine 68" descr="Immagine che contiene testo, schermata, numero, documento&#10;&#10;Descrizione generata automaticamente"/>
                    <pic:cNvPicPr preferRelativeResize="0">
                      <a:picLocks noChangeAspect="1" noChangeArrowheads="1"/>
                    </pic:cNvPicPr>
                  </pic:nvPicPr>
                  <pic:blipFill rotWithShape="1">
                    <a:blip r:embed="rId101">
                      <a:extLst>
                        <a:ext uri="{28A0092B-C50C-407E-A947-70E740481C1C}">
                          <a14:useLocalDpi xmlns:a14="http://schemas.microsoft.com/office/drawing/2010/main" val="0"/>
                        </a:ext>
                      </a:extLst>
                    </a:blip>
                    <a:srcRect t="-94" r="12028" b="6302"/>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6E01F6F2"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7AD6F8E" wp14:editId="539D8A87">
            <wp:extent cx="4320000" cy="2880000"/>
            <wp:effectExtent l="0" t="0" r="4445" b="0"/>
            <wp:docPr id="751968533" name="Immagine 69" descr="Immagine che contiene testo, schermata, numero, scherm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1968533" name="Immagine 69" descr="Immagine che contiene testo, schermata, numero, schermo&#10;&#10;Descrizione generata automaticamente"/>
                    <pic:cNvPicPr preferRelativeResize="0">
                      <a:picLocks noChangeAspect="1" noChangeArrowheads="1"/>
                    </pic:cNvPicPr>
                  </pic:nvPicPr>
                  <pic:blipFill rotWithShape="1">
                    <a:blip r:embed="rId102">
                      <a:extLst>
                        <a:ext uri="{28A0092B-C50C-407E-A947-70E740481C1C}">
                          <a14:useLocalDpi xmlns:a14="http://schemas.microsoft.com/office/drawing/2010/main" val="0"/>
                        </a:ext>
                      </a:extLst>
                    </a:blip>
                    <a:srcRect l="1975" r="2234" b="7645"/>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5C6B9108"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5DD84544" wp14:editId="4CE634F1">
            <wp:extent cx="4320000" cy="2880000"/>
            <wp:effectExtent l="0" t="0" r="4445" b="0"/>
            <wp:docPr id="523354827" name="Immagine 70"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3354827" name="Immagine 70" descr="Immagine che contiene testo, diagramma, Diagramma, linea&#10;&#10;Descrizione generata automaticamente"/>
                    <pic:cNvPicPr preferRelativeResize="0">
                      <a:picLocks noChangeAspect="1" noChangeArrowheads="1"/>
                    </pic:cNvPicPr>
                  </pic:nvPicPr>
                  <pic:blipFill rotWithShape="1">
                    <a:blip r:embed="rId103">
                      <a:extLst>
                        <a:ext uri="{28A0092B-C50C-407E-A947-70E740481C1C}">
                          <a14:useLocalDpi xmlns:a14="http://schemas.microsoft.com/office/drawing/2010/main" val="0"/>
                        </a:ext>
                      </a:extLst>
                    </a:blip>
                    <a:srcRect l="5405" t="2122" r="6262" b="6207"/>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5A7C822" w14:textId="77777777" w:rsidR="00222F2D" w:rsidRDefault="00222F2D" w:rsidP="00222F2D">
      <w:pPr>
        <w:tabs>
          <w:tab w:val="left" w:pos="709"/>
        </w:tabs>
        <w:spacing w:after="0" w:line="360" w:lineRule="auto"/>
        <w:rPr>
          <w:rFonts w:ascii="Arial" w:hAnsi="Arial" w:cs="Arial"/>
          <w:bCs/>
          <w:sz w:val="24"/>
          <w:szCs w:val="24"/>
        </w:rPr>
      </w:pPr>
    </w:p>
    <w:p w14:paraId="30B58D3B" w14:textId="77777777" w:rsidR="00222F2D" w:rsidRDefault="00222F2D" w:rsidP="00222F2D">
      <w:pPr>
        <w:tabs>
          <w:tab w:val="left" w:pos="709"/>
        </w:tabs>
        <w:spacing w:after="0" w:line="360" w:lineRule="auto"/>
        <w:rPr>
          <w:rFonts w:ascii="Arial" w:hAnsi="Arial" w:cs="Arial"/>
          <w:bCs/>
          <w:sz w:val="24"/>
          <w:szCs w:val="24"/>
        </w:rPr>
      </w:pPr>
    </w:p>
    <w:p w14:paraId="3FF7D1D9" w14:textId="77777777" w:rsidR="00222F2D" w:rsidRPr="00B0756B" w:rsidRDefault="00222F2D" w:rsidP="00222F2D">
      <w:pPr>
        <w:tabs>
          <w:tab w:val="left" w:pos="709"/>
        </w:tabs>
        <w:spacing w:after="0" w:line="360" w:lineRule="auto"/>
        <w:rPr>
          <w:rFonts w:ascii="Arial" w:hAnsi="Arial" w:cs="Arial"/>
          <w:bCs/>
          <w:sz w:val="24"/>
          <w:szCs w:val="24"/>
        </w:rPr>
      </w:pPr>
      <w:r w:rsidRPr="00B0756B">
        <w:rPr>
          <w:rFonts w:ascii="Arial" w:hAnsi="Arial" w:cs="Arial"/>
          <w:bCs/>
          <w:sz w:val="24"/>
          <w:szCs w:val="24"/>
        </w:rPr>
        <w:t>I.</w:t>
      </w:r>
      <w:r>
        <w:rPr>
          <w:rFonts w:ascii="Arial" w:hAnsi="Arial" w:cs="Arial"/>
          <w:bCs/>
          <w:sz w:val="24"/>
          <w:szCs w:val="24"/>
        </w:rPr>
        <w:t>21</w:t>
      </w:r>
      <w:r w:rsidRPr="00B0756B">
        <w:rPr>
          <w:rFonts w:ascii="Arial" w:hAnsi="Arial" w:cs="Arial"/>
          <w:bCs/>
          <w:sz w:val="24"/>
          <w:szCs w:val="24"/>
        </w:rPr>
        <w:t>.</w:t>
      </w:r>
      <w:r w:rsidRPr="00B0756B">
        <w:rPr>
          <w:rFonts w:ascii="Arial" w:hAnsi="Arial" w:cs="Arial"/>
          <w:bCs/>
          <w:sz w:val="24"/>
          <w:szCs w:val="24"/>
        </w:rPr>
        <w:tab/>
        <w:t>Venezuela</w:t>
      </w:r>
    </w:p>
    <w:p w14:paraId="213A3B44" w14:textId="77777777" w:rsidR="00222F2D" w:rsidRPr="00B0756B" w:rsidRDefault="00222F2D" w:rsidP="00222F2D">
      <w:pPr>
        <w:tabs>
          <w:tab w:val="left" w:pos="709"/>
        </w:tabs>
        <w:spacing w:after="0" w:line="360" w:lineRule="auto"/>
        <w:rPr>
          <w:rFonts w:ascii="Arial" w:hAnsi="Arial" w:cs="Arial"/>
          <w:bCs/>
          <w:sz w:val="24"/>
          <w:szCs w:val="24"/>
        </w:rPr>
      </w:pPr>
    </w:p>
    <w:p w14:paraId="5200537A" w14:textId="77777777" w:rsidR="00222F2D"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L’analisi comparativa tra i dati storici del differenziale di tasso d’interesse e quelli del cambio, per il biennio 2013-2014, evidenzia un pay-off positivo medio del 9,96% prodotto dall’operatività con raccolta in euro ed impiego in </w:t>
      </w:r>
      <w:r w:rsidRPr="00C67916">
        <w:rPr>
          <w:rFonts w:ascii="Arial" w:hAnsi="Arial" w:cs="Arial"/>
          <w:bCs/>
          <w:i/>
          <w:iCs/>
          <w:sz w:val="24"/>
          <w:szCs w:val="24"/>
        </w:rPr>
        <w:t>bolivar venezuelano</w:t>
      </w:r>
      <w:r w:rsidRPr="00B0756B">
        <w:rPr>
          <w:rFonts w:ascii="Arial" w:hAnsi="Arial" w:cs="Arial"/>
          <w:bCs/>
          <w:sz w:val="24"/>
          <w:szCs w:val="24"/>
        </w:rPr>
        <w:t>. Il risultato è da ascrivere ad un effetto medio negativo del 4,54% generato dal cambio e, per la restante parte, ad un effetto medio del 9,96% determinato dal differenziale dei tassi. A sua volta quest’ultimo è da ricondurre al tasso medio del 24% rilevato sul microcredito, superiore al tasso di raccolta, ipotizzato nella misura del 9,50%.</w:t>
      </w:r>
    </w:p>
    <w:p w14:paraId="718F5CDD" w14:textId="77777777" w:rsidR="00222F2D"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lastRenderedPageBreak/>
        <w:t>Inoltre, si registra un’eccedenza, in media, di circa 8 punti percentuali dei tassi di interesse sul microcredito rispetto ai tassi sul lending ordinario, in media del 15,59%.</w:t>
      </w:r>
    </w:p>
    <w:p w14:paraId="23EA798E"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3689E954" wp14:editId="63C904F2">
            <wp:extent cx="5040000" cy="7200000"/>
            <wp:effectExtent l="0" t="0" r="8255" b="1270"/>
            <wp:docPr id="1559346887" name="Immagine 71" descr="Immagine che contiene testo, schermata, documento,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9346887" name="Immagine 71" descr="Immagine che contiene testo, schermata, documento, numero&#10;&#10;Descrizione generata automaticamente"/>
                    <pic:cNvPicPr preferRelativeResize="0">
                      <a:picLocks noChangeAspect="1" noChangeArrowheads="1"/>
                    </pic:cNvPicPr>
                  </pic:nvPicPr>
                  <pic:blipFill rotWithShape="1">
                    <a:blip r:embed="rId104">
                      <a:extLst>
                        <a:ext uri="{28A0092B-C50C-407E-A947-70E740481C1C}">
                          <a14:useLocalDpi xmlns:a14="http://schemas.microsoft.com/office/drawing/2010/main" val="0"/>
                        </a:ext>
                      </a:extLst>
                    </a:blip>
                    <a:srcRect l="4153" t="676" r="4220" b="4178"/>
                    <a:stretch/>
                  </pic:blipFill>
                  <pic:spPr bwMode="auto">
                    <a:xfrm>
                      <a:off x="0" y="0"/>
                      <a:ext cx="5040000" cy="7200000"/>
                    </a:xfrm>
                    <a:prstGeom prst="rect">
                      <a:avLst/>
                    </a:prstGeom>
                    <a:noFill/>
                    <a:ln>
                      <a:noFill/>
                    </a:ln>
                    <a:extLst>
                      <a:ext uri="{53640926-AAD7-44D8-BBD7-CCE9431645EC}">
                        <a14:shadowObscured xmlns:a14="http://schemas.microsoft.com/office/drawing/2010/main"/>
                      </a:ext>
                    </a:extLst>
                  </pic:spPr>
                </pic:pic>
              </a:graphicData>
            </a:graphic>
          </wp:inline>
        </w:drawing>
      </w:r>
    </w:p>
    <w:p w14:paraId="75460C62"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31CF920E" wp14:editId="0322EA46">
            <wp:extent cx="4320000" cy="2880000"/>
            <wp:effectExtent l="0" t="0" r="4445" b="0"/>
            <wp:docPr id="2111055840" name="Immagine 72"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1055840" name="Immagine 72" descr="Immagine che contiene testo, schermata, numero, Carattere&#10;&#10;Descrizione generata automaticamente"/>
                    <pic:cNvPicPr preferRelativeResize="0">
                      <a:picLocks noChangeAspect="1" noChangeArrowheads="1"/>
                    </pic:cNvPicPr>
                  </pic:nvPicPr>
                  <pic:blipFill rotWithShape="1">
                    <a:blip r:embed="rId105">
                      <a:extLst>
                        <a:ext uri="{28A0092B-C50C-407E-A947-70E740481C1C}">
                          <a14:useLocalDpi xmlns:a14="http://schemas.microsoft.com/office/drawing/2010/main" val="0"/>
                        </a:ext>
                      </a:extLst>
                    </a:blip>
                    <a:srcRect l="3712" r="1960" b="1843"/>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1B55F69A"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6D8221F8" wp14:editId="345E1D2F">
            <wp:extent cx="4320000" cy="2880000"/>
            <wp:effectExtent l="0" t="0" r="4445" b="0"/>
            <wp:docPr id="966430002" name="Immagine 73" descr="Immagine che contiene testo, diagramma, Diagramma,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66430002" name="Immagine 73" descr="Immagine che contiene testo, diagramma, Diagramma, linea&#10;&#10;Descrizione generata automaticamente"/>
                    <pic:cNvPicPr preferRelativeResize="0">
                      <a:picLocks noChangeAspect="1" noChangeArrowheads="1"/>
                    </pic:cNvPicPr>
                  </pic:nvPicPr>
                  <pic:blipFill rotWithShape="1">
                    <a:blip r:embed="rId106">
                      <a:extLst>
                        <a:ext uri="{28A0092B-C50C-407E-A947-70E740481C1C}">
                          <a14:useLocalDpi xmlns:a14="http://schemas.microsoft.com/office/drawing/2010/main" val="0"/>
                        </a:ext>
                      </a:extLst>
                    </a:blip>
                    <a:srcRect l="685" r="5544" b="12319"/>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BE2341B" w14:textId="77777777" w:rsidR="00222F2D" w:rsidRDefault="00222F2D" w:rsidP="00222F2D">
      <w:pPr>
        <w:tabs>
          <w:tab w:val="left" w:pos="709"/>
        </w:tabs>
        <w:spacing w:after="0" w:line="360" w:lineRule="auto"/>
        <w:rPr>
          <w:rFonts w:ascii="Arial" w:hAnsi="Arial" w:cs="Arial"/>
          <w:bCs/>
          <w:sz w:val="24"/>
          <w:szCs w:val="24"/>
        </w:rPr>
      </w:pPr>
    </w:p>
    <w:p w14:paraId="5581BD3D" w14:textId="77777777" w:rsidR="00222F2D" w:rsidRPr="00B0756B" w:rsidRDefault="00222F2D" w:rsidP="00222F2D">
      <w:pPr>
        <w:tabs>
          <w:tab w:val="left" w:pos="709"/>
        </w:tabs>
        <w:spacing w:after="0" w:line="360" w:lineRule="auto"/>
        <w:rPr>
          <w:rFonts w:ascii="Arial" w:hAnsi="Arial" w:cs="Arial"/>
          <w:bCs/>
          <w:sz w:val="24"/>
          <w:szCs w:val="24"/>
        </w:rPr>
      </w:pPr>
      <w:r w:rsidRPr="00B0756B">
        <w:rPr>
          <w:rFonts w:ascii="Arial" w:hAnsi="Arial" w:cs="Arial"/>
          <w:bCs/>
          <w:sz w:val="24"/>
          <w:szCs w:val="24"/>
        </w:rPr>
        <w:t>I.</w:t>
      </w:r>
      <w:r>
        <w:rPr>
          <w:rFonts w:ascii="Arial" w:hAnsi="Arial" w:cs="Arial"/>
          <w:bCs/>
          <w:sz w:val="24"/>
          <w:szCs w:val="24"/>
        </w:rPr>
        <w:t>22</w:t>
      </w:r>
      <w:r w:rsidRPr="00B0756B">
        <w:rPr>
          <w:rFonts w:ascii="Arial" w:hAnsi="Arial" w:cs="Arial"/>
          <w:bCs/>
          <w:sz w:val="24"/>
          <w:szCs w:val="24"/>
        </w:rPr>
        <w:t>.</w:t>
      </w:r>
      <w:r w:rsidRPr="00B0756B">
        <w:rPr>
          <w:rFonts w:ascii="Arial" w:hAnsi="Arial" w:cs="Arial"/>
          <w:bCs/>
          <w:sz w:val="24"/>
          <w:szCs w:val="24"/>
        </w:rPr>
        <w:tab/>
        <w:t>La selezione del paese in cui investire</w:t>
      </w:r>
    </w:p>
    <w:p w14:paraId="6D45BE73" w14:textId="77777777" w:rsidR="00222F2D" w:rsidRPr="00B0756B" w:rsidRDefault="00222F2D" w:rsidP="00222F2D">
      <w:pPr>
        <w:tabs>
          <w:tab w:val="left" w:pos="709"/>
        </w:tabs>
        <w:spacing w:after="0" w:line="360" w:lineRule="auto"/>
        <w:rPr>
          <w:rFonts w:ascii="Arial" w:hAnsi="Arial" w:cs="Arial"/>
          <w:bCs/>
          <w:sz w:val="24"/>
          <w:szCs w:val="24"/>
        </w:rPr>
      </w:pPr>
    </w:p>
    <w:p w14:paraId="27A83432"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Nell’America latina, il Messico con il suo 63,34% di pay-off rappresenta il paese più profittevole per una strategia di investimento nel microcredito. Al Messico seguono El Salvador, Haiti e Perù. D’altra parte, detto valore medio è abbastanza rappresentativo sotto il profilo statistico stante la sua ridotta variabilità, come testimoniato dalla deviazione standard. A ragion del vero la stabilità dei pay-off costituisce una caratteristica comune a tutti i paesi dell’America latina, considerato che la deviazione standard non va oltre il massimo di 0,15 rilevato per il Venezuela. Ciò nonostante, riteniamo che il paese più coerente con gli obiettivi del nostro investitore sia il Perù.</w:t>
      </w:r>
    </w:p>
    <w:p w14:paraId="7AE723B9" w14:textId="77777777" w:rsidR="00222F2D"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lastRenderedPageBreak/>
        <w:t>In effetti, il criterio di selezione adottato nel presente processo decisionale è più orientato al valore piuttosto alla semplice profittabilità dell’investimento. In altri termini il soggetto cui abbiamo fatto ricorso è un investitore razionale che di fronte alle diverse alternative offerte dai mercati internazionali sceglie l’opzione che gli consente di ottimizzare la relazione rischio/rendimento, anche nell’ottica delle prospettive future dell’investimento.</w:t>
      </w:r>
    </w:p>
    <w:p w14:paraId="10526DF1"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A tal riguardo il microcredito del Messico mostra una forte dipendenza dal mercato azionario statunitense, come testimoniato dalla presenza di grandi compagnie nordamericane nel business del microcredito. La stessa dipendenza</w:t>
      </w:r>
      <w:r>
        <w:rPr>
          <w:rFonts w:ascii="Arial" w:hAnsi="Arial" w:cs="Arial"/>
          <w:bCs/>
          <w:sz w:val="24"/>
          <w:szCs w:val="24"/>
        </w:rPr>
        <w:t xml:space="preserve"> è</w:t>
      </w:r>
      <w:r w:rsidRPr="00B0756B">
        <w:rPr>
          <w:rFonts w:ascii="Arial" w:hAnsi="Arial" w:cs="Arial"/>
          <w:bCs/>
          <w:sz w:val="24"/>
          <w:szCs w:val="24"/>
        </w:rPr>
        <w:t>, peraltro, un connotato dell’intera economia messicana. Sotto questo profilo, quindi, si può concludere che il microcredito messicano, mostrando scarsa autonomia e forte correlazione con l’andamento del mercato, sottende un rischio maggiore rispetto ad altri paesi latinoamericani. Inoltre, le possibilità operative di investimento nel microcredito sono pregiudicate da un alto livello di concentrazione dell’offerta, in cui pochi intermediari, come detto, oltreconfine, riescono a soddisfare gran parte della domanda, anche grazie alle ingenti risorse finanziarie raccolte sul mercato azionario statunitense.</w:t>
      </w:r>
    </w:p>
    <w:p w14:paraId="4550623C" w14:textId="77777777" w:rsidR="00222F2D"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Il microcredito del Perù, al contrario, non presenta questi elementi di criticità, potendo contare su un numero maggiore di MFIs con fabbisogni finanziari spesso inadeguati rispetto alla domanda e su un’economia più diversificata e maggiormente dotata di propria capacità di crescita. Il paese andino, infatti, è uno tra i paesi a maggiore tasso di crescita del PIL nell’America latina.</w:t>
      </w:r>
    </w:p>
    <w:p w14:paraId="37D56DAA"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199268D2" wp14:editId="20CC047A">
            <wp:extent cx="4320000" cy="5040000"/>
            <wp:effectExtent l="0" t="0" r="4445" b="8255"/>
            <wp:docPr id="1350319289" name="Immagine 74" descr="Immagine che contiene testo, schermata,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0319289" name="Immagine 74" descr="Immagine che contiene testo, schermata, numero&#10;&#10;Descrizione generata automaticamente"/>
                    <pic:cNvPicPr preferRelativeResize="0">
                      <a:picLocks noChangeAspect="1" noChangeArrowheads="1"/>
                    </pic:cNvPicPr>
                  </pic:nvPicPr>
                  <pic:blipFill rotWithShape="1">
                    <a:blip r:embed="rId107">
                      <a:extLst>
                        <a:ext uri="{28A0092B-C50C-407E-A947-70E740481C1C}">
                          <a14:useLocalDpi xmlns:a14="http://schemas.microsoft.com/office/drawing/2010/main" val="0"/>
                        </a:ext>
                      </a:extLst>
                    </a:blip>
                    <a:srcRect l="2639" t="1046" r="3067" b="1171"/>
                    <a:stretch/>
                  </pic:blipFill>
                  <pic:spPr bwMode="auto">
                    <a:xfrm>
                      <a:off x="0" y="0"/>
                      <a:ext cx="4320000" cy="5040000"/>
                    </a:xfrm>
                    <a:prstGeom prst="rect">
                      <a:avLst/>
                    </a:prstGeom>
                    <a:noFill/>
                    <a:ln>
                      <a:noFill/>
                    </a:ln>
                    <a:extLst>
                      <a:ext uri="{53640926-AAD7-44D8-BBD7-CCE9431645EC}">
                        <a14:shadowObscured xmlns:a14="http://schemas.microsoft.com/office/drawing/2010/main"/>
                      </a:ext>
                    </a:extLst>
                  </pic:spPr>
                </pic:pic>
              </a:graphicData>
            </a:graphic>
          </wp:inline>
        </w:drawing>
      </w:r>
    </w:p>
    <w:p w14:paraId="11DCF2BE" w14:textId="77777777" w:rsidR="00222F2D" w:rsidRDefault="00222F2D" w:rsidP="00222F2D">
      <w:pPr>
        <w:tabs>
          <w:tab w:val="left" w:pos="709"/>
        </w:tabs>
        <w:spacing w:after="0" w:line="360" w:lineRule="auto"/>
        <w:rPr>
          <w:rFonts w:ascii="Arial" w:hAnsi="Arial" w:cs="Arial"/>
          <w:bCs/>
          <w:sz w:val="24"/>
          <w:szCs w:val="24"/>
        </w:rPr>
      </w:pPr>
    </w:p>
    <w:p w14:paraId="645930A6" w14:textId="77777777" w:rsidR="00222F2D" w:rsidRPr="00B0756B" w:rsidRDefault="00222F2D" w:rsidP="00222F2D">
      <w:pPr>
        <w:spacing w:line="360" w:lineRule="auto"/>
        <w:jc w:val="both"/>
        <w:rPr>
          <w:rFonts w:ascii="Arial" w:hAnsi="Arial" w:cs="Arial"/>
          <w:bCs/>
          <w:sz w:val="24"/>
          <w:szCs w:val="24"/>
        </w:rPr>
      </w:pPr>
      <w:r w:rsidRPr="00B0756B">
        <w:rPr>
          <w:rFonts w:ascii="Arial" w:hAnsi="Arial" w:cs="Arial"/>
          <w:bCs/>
          <w:sz w:val="24"/>
          <w:szCs w:val="24"/>
        </w:rPr>
        <w:t>Da qui il motivo della scelta operata in questo lavoro che, dopo avere scartato El Salvador e Haiti, a causa del numero eccessivamente esiguo di operatori, è ricaduta sul Perù quale paese in cui indirizzare la strategia operativa del nostro investitore.</w:t>
      </w:r>
    </w:p>
    <w:p w14:paraId="4CAC3109" w14:textId="77777777" w:rsidR="00222F2D" w:rsidRPr="00B0756B"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4DD47B09" wp14:editId="6B80E361">
            <wp:extent cx="4320000" cy="2880000"/>
            <wp:effectExtent l="0" t="0" r="4445" b="0"/>
            <wp:docPr id="1818956405" name="Immagine 75" descr="Immagine che contiene testo, linea, Parallelo, ricevut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18956405" name="Immagine 75" descr="Immagine che contiene testo, linea, Parallelo, ricevuta&#10;&#10;Descrizione generata automaticamente"/>
                    <pic:cNvPicPr preferRelativeResize="0">
                      <a:picLocks noChangeAspect="1" noChangeArrowheads="1"/>
                    </pic:cNvPicPr>
                  </pic:nvPicPr>
                  <pic:blipFill rotWithShape="1">
                    <a:blip r:embed="rId108">
                      <a:extLst>
                        <a:ext uri="{28A0092B-C50C-407E-A947-70E740481C1C}">
                          <a14:useLocalDpi xmlns:a14="http://schemas.microsoft.com/office/drawing/2010/main" val="0"/>
                        </a:ext>
                      </a:extLst>
                    </a:blip>
                    <a:srcRect l="4849" t="1680" r="4242" b="9874"/>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04E21338"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lastRenderedPageBreak/>
        <w:t>Analisi di contesto per l’investimento nelle MFIs</w:t>
      </w:r>
    </w:p>
    <w:p w14:paraId="700802DD" w14:textId="77777777" w:rsidR="00222F2D" w:rsidRPr="00B0756B" w:rsidRDefault="00222F2D" w:rsidP="00222F2D">
      <w:pPr>
        <w:tabs>
          <w:tab w:val="left" w:pos="709"/>
        </w:tabs>
        <w:spacing w:after="0" w:line="360" w:lineRule="auto"/>
        <w:jc w:val="both"/>
        <w:rPr>
          <w:rFonts w:ascii="Arial" w:hAnsi="Arial" w:cs="Arial"/>
          <w:bCs/>
          <w:sz w:val="24"/>
          <w:szCs w:val="24"/>
        </w:rPr>
      </w:pPr>
    </w:p>
    <w:p w14:paraId="7E62C8F9"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II.1.</w:t>
      </w:r>
      <w:r w:rsidRPr="00B0756B">
        <w:rPr>
          <w:rFonts w:ascii="Arial" w:hAnsi="Arial" w:cs="Arial"/>
          <w:bCs/>
          <w:sz w:val="24"/>
          <w:szCs w:val="24"/>
        </w:rPr>
        <w:tab/>
        <w:t>Le MFIs e il microcredito dell’America Latina</w:t>
      </w:r>
    </w:p>
    <w:p w14:paraId="2EC4FFDB" w14:textId="77777777" w:rsidR="00222F2D" w:rsidRPr="00B0756B" w:rsidRDefault="00222F2D" w:rsidP="00222F2D">
      <w:pPr>
        <w:tabs>
          <w:tab w:val="left" w:pos="709"/>
        </w:tabs>
        <w:spacing w:after="0" w:line="360" w:lineRule="auto"/>
        <w:jc w:val="both"/>
        <w:rPr>
          <w:rFonts w:ascii="Arial" w:hAnsi="Arial" w:cs="Arial"/>
          <w:bCs/>
          <w:sz w:val="24"/>
          <w:szCs w:val="24"/>
        </w:rPr>
      </w:pPr>
    </w:p>
    <w:p w14:paraId="569830BA"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La microfinanza viene generalmente studiata con riferimento agli effetti che è in grado di produrre sul sistema economico e sociale, data l’erogazione di servizi finanziari a favore dei poveri e dei lavoratori a basso reddito (Otero, 1994). La letteratura approccia il tema soprattutto con riferimento al suo impatto sulla crescita e sviluppo, in quanto aiuta le famiglie povere a soddisfare le esigenze di base, concorre al miglioramento del benessere economico e sostiene la partecipazione economica delle donne promuovendo l’equità di genere.</w:t>
      </w:r>
    </w:p>
    <w:p w14:paraId="279223F1"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La microfinanza costituisce una macroarea all’interno della quale si colloca il microcredito, ossia l’erogazione di prestiti di piccole entità rivolti a quei soggetti svantaggiati che per le loro caratteristiche non riescono ad ottenere prestiti attraverso i canali tradizionali.</w:t>
      </w:r>
    </w:p>
    <w:p w14:paraId="2C799C42"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In America Latina e nei Caraibi si è assistito, in anni recenti, all’espansione del raggio d’azione del settore della microfinanza, attuata grazie all’operatività delle </w:t>
      </w:r>
      <w:r w:rsidRPr="00DF0A4F">
        <w:rPr>
          <w:rFonts w:ascii="Arial" w:hAnsi="Arial" w:cs="Arial"/>
          <w:bCs/>
          <w:i/>
          <w:iCs/>
          <w:sz w:val="24"/>
          <w:szCs w:val="24"/>
        </w:rPr>
        <w:t>Micro Finance Institutions</w:t>
      </w:r>
      <w:r w:rsidRPr="00B0756B">
        <w:rPr>
          <w:rFonts w:ascii="Arial" w:hAnsi="Arial" w:cs="Arial"/>
          <w:bCs/>
          <w:sz w:val="24"/>
          <w:szCs w:val="24"/>
        </w:rPr>
        <w:t xml:space="preserve"> (MFIs) che con i loro servizi riescono a raggiungere una quantità sempre più crescente di famiglie a basso reddito. Sulla scia del successo sperimentato da queste istituzioni, anche i fornitori tradizionali di servizi finanziari, quali le banche commerciali hanno iniziato a prestare maggiore attenzione a questa nuova opzione di business. Così la letteratura rivede il contesto e l'aumento dei prodotti di microfinanza affermando la necessità di allargare l’attività delle MFI al risparmio e servizi assicurativi per i poveri che siano complementari ai semplici servizi creditizi. In quest’ottica Nourse (2001), Eyiah (2001) sviluppano un modello di piccole imprese di gestione e di MFIs che forniscono nei paesi in via di sviluppo prestiti su misura per le microimprese. Allo stesso modo, Woller (2002), Cohen (2002), e Dunn (2002) ritengono che MFI debbano essere più orientate al cliente, al quale offrire un mix di prodotti finanziari su misura per le diverse esigenze.</w:t>
      </w:r>
    </w:p>
    <w:p w14:paraId="506C634C" w14:textId="77777777" w:rsidR="00222F2D"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Alcuni autori hanno analizzato, tra l’altro, la sostenibilità delle istituzioni di microfinanza visto che queste istituzioni, infatti, essendo non regolate non possono raccogliere depositi (Hartarska e Nadolnyak, 2007; De Sousa-Shieldse Frankiewicz, 2004). Gran parte delle risorse, infatti, affluiscono alle MFIs dalle donazioni. Hermes e Lensink (2009) affermano che il 70% dei programmi di microfinanza è basato, appunto, sulle donazioni.</w:t>
      </w:r>
      <w:r>
        <w:rPr>
          <w:rFonts w:ascii="Arial" w:hAnsi="Arial" w:cs="Arial"/>
          <w:bCs/>
          <w:sz w:val="24"/>
          <w:szCs w:val="24"/>
        </w:rPr>
        <w:t xml:space="preserve"> </w:t>
      </w:r>
      <w:r w:rsidRPr="00B0756B">
        <w:rPr>
          <w:rFonts w:ascii="Arial" w:hAnsi="Arial" w:cs="Arial"/>
          <w:bCs/>
          <w:sz w:val="24"/>
          <w:szCs w:val="24"/>
        </w:rPr>
        <w:t>A riguardo altri ricercatori si sono interrogati sul fatto se le donazioni siano sufficienti a sopperire la mancanza di depositi.</w:t>
      </w:r>
    </w:p>
    <w:p w14:paraId="692A33D9"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lastRenderedPageBreak/>
        <w:t>D’Espallier et al. (2011) analizzano empiricamente le istituzioni sovvenzionate e non e scoprono che in Africa ed Asia le MFI fanno pagare ai loro clienti tassi di interesse più elevati. Secondo Bogan (2012) le MFIs che ricevono donazioni sono soggette alle pressioni dei donatori al fine di mantenere la sostenibilità. In ogni caso l’assenza di depositi non giustifica gli elevati tassi di interesse che le MFI caricano sui propri clienti. Gonzalez (2006) afferma che gli elevati costi operativi necessari per l’erogazione dei prestiti costituiscono la principale spiegazione dei tassi di interesse così alti. Rosenberg et al. (2009) confrontano i tassi di interesse che le MFIs applicano per il microcredito con i tassi praticati per i prestiti al consumo giungendo alla conclusione che il risultato dell’analisi varia a seconda del contesto di riferimento.</w:t>
      </w:r>
    </w:p>
    <w:p w14:paraId="1313F27D"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Sembrerebbe che lo status legale delle MFIs non produca effetti significativi sulla loro redditività (Hermes and Lensink, 2011; Tchakoute-Tchuigoua, 2010; Mersland and Strom, 2009). Normalmente, le MFIs non dovrebbero seguire la logica delle imprese commerciali il cui obiettivo principale si sostanzia nell’ottenimento di un profitto (Yunus, 2007). Tuttavia, vi sono numerosi casi in cui le istituzioni hanno applicato tassi di interesse sul microcredito straordinariamente elevati come </w:t>
      </w:r>
      <w:r w:rsidRPr="00B55A87">
        <w:rPr>
          <w:rFonts w:ascii="Arial" w:hAnsi="Arial" w:cs="Arial"/>
          <w:bCs/>
          <w:i/>
          <w:iCs/>
          <w:sz w:val="24"/>
          <w:szCs w:val="24"/>
        </w:rPr>
        <w:t>Compartamos</w:t>
      </w:r>
      <w:r w:rsidRPr="00B0756B">
        <w:rPr>
          <w:rFonts w:ascii="Arial" w:hAnsi="Arial" w:cs="Arial"/>
          <w:bCs/>
          <w:sz w:val="24"/>
          <w:szCs w:val="24"/>
        </w:rPr>
        <w:t xml:space="preserve"> che ha applicato un tasso dell’85% consentendo un utile per i suoi azionisti pari al 55% (Rosenberg et al.,2009). González (2006) lo ritiene comunque un caso eccezionale e afferma che la ragione degli alti tassi di interesse non risiede nel voler ottenere un elevato profitto, ma piuttosto nei costi operativi connessi.</w:t>
      </w:r>
    </w:p>
    <w:p w14:paraId="7F4A530A"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Tra i Paesi dell’America Latina, il Perù presenta un sistema diffuso di MFIs, ciascuna con proprie caratteristiche in termini di business, status legale e struttura finanziaria:</w:t>
      </w:r>
    </w:p>
    <w:p w14:paraId="61609839"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Lo studio conferma che i tassi applicati sul microcredito sono più elevati dei tassi di interesse sul lending ordinario, verosimilmente per il rischio implicito nei clienti da finanziare, alle elevate spese finanziarie e agli alti costi operativi associati al microcredito nonché alla necessità, nella generalità delle MFIs, di sopperire alla mancanza di fonti di finanziamento a basso costo, quali sono i depositi.</w:t>
      </w:r>
    </w:p>
    <w:p w14:paraId="51BCAAA2"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Allo stesso tempo, l’analisi SLEPT evidenzia come il Perù ha un profilo di rischio più contenuto degli altri paesi dell’America Latina, ma anzi presenta fondamentali economici di crescita economica.</w:t>
      </w:r>
    </w:p>
    <w:p w14:paraId="4DEAE038"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Considerato ciò, dal punto di vista metodologico il presente lavoro intende facilitare ed ottimizzare il processo decisionale di un investitore che sia interessato ad indirizzare il proprio carry trade verso il microcredito del Perù. In questa prospettiva, l’analisi è estesa a tutte le variabili che si ritiene possano influenzare i risultati conseguibili investendo nel microcredito </w:t>
      </w:r>
      <w:r w:rsidRPr="00B0756B">
        <w:rPr>
          <w:rFonts w:ascii="Arial" w:hAnsi="Arial" w:cs="Arial"/>
          <w:bCs/>
          <w:sz w:val="24"/>
          <w:szCs w:val="24"/>
        </w:rPr>
        <w:lastRenderedPageBreak/>
        <w:t>del Paese. In particolare, trattasi di variabili attinenti al macroambiente e di variabili esplicative del mercato finanziario e del microcredito.</w:t>
      </w:r>
    </w:p>
    <w:p w14:paraId="46A8963E"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L’indagine così articolata porta alla individuazione di operatori del microcredito che, per le loro caratteristiche, vengono assunti come potenziali target dell’investitore.</w:t>
      </w:r>
    </w:p>
    <w:p w14:paraId="4C989074" w14:textId="77777777" w:rsidR="00222F2D" w:rsidRPr="00B0756B" w:rsidRDefault="00222F2D" w:rsidP="00222F2D">
      <w:pPr>
        <w:tabs>
          <w:tab w:val="left" w:pos="709"/>
        </w:tabs>
        <w:spacing w:after="0" w:line="360" w:lineRule="auto"/>
        <w:jc w:val="both"/>
        <w:rPr>
          <w:rFonts w:ascii="Arial" w:hAnsi="Arial" w:cs="Arial"/>
          <w:bCs/>
          <w:sz w:val="24"/>
          <w:szCs w:val="24"/>
        </w:rPr>
      </w:pPr>
    </w:p>
    <w:p w14:paraId="13EA9A5E"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II.</w:t>
      </w:r>
      <w:r>
        <w:rPr>
          <w:rFonts w:ascii="Arial" w:hAnsi="Arial" w:cs="Arial"/>
          <w:bCs/>
          <w:sz w:val="24"/>
          <w:szCs w:val="24"/>
        </w:rPr>
        <w:t>2</w:t>
      </w:r>
      <w:r w:rsidRPr="00B0756B">
        <w:rPr>
          <w:rFonts w:ascii="Arial" w:hAnsi="Arial" w:cs="Arial"/>
          <w:bCs/>
          <w:sz w:val="24"/>
          <w:szCs w:val="24"/>
        </w:rPr>
        <w:t>.</w:t>
      </w:r>
      <w:r w:rsidRPr="00B0756B">
        <w:rPr>
          <w:rFonts w:ascii="Arial" w:hAnsi="Arial" w:cs="Arial"/>
          <w:bCs/>
          <w:sz w:val="24"/>
          <w:szCs w:val="24"/>
        </w:rPr>
        <w:tab/>
        <w:t>Analisi SLEPT</w:t>
      </w:r>
    </w:p>
    <w:p w14:paraId="2A30D507" w14:textId="77777777" w:rsidR="00222F2D" w:rsidRPr="00B0756B" w:rsidRDefault="00222F2D" w:rsidP="00222F2D">
      <w:pPr>
        <w:tabs>
          <w:tab w:val="left" w:pos="709"/>
        </w:tabs>
        <w:spacing w:after="0" w:line="360" w:lineRule="auto"/>
        <w:jc w:val="both"/>
        <w:rPr>
          <w:rFonts w:ascii="Arial" w:hAnsi="Arial" w:cs="Arial"/>
          <w:bCs/>
          <w:sz w:val="24"/>
          <w:szCs w:val="24"/>
        </w:rPr>
      </w:pPr>
    </w:p>
    <w:p w14:paraId="2E692EF5"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Sotto il profilo sociale il perdurare delle proteste contro l'industria estrattiva potrebbe portare a possibili conseguenze sulla fiducia degli investitori. L'opposizione da parte di comunità locali ai grandi investimenti minerari si sono trasformate talvolta in vere e proprie proteste che hanno portato (ad esempio a Cajamarca) anche alla paralisi dei progetti, nonostante i tentativi di risoluzione favoriti dal Governo. Alcuni analisti ritengono che il perdurare di tali conflitti potrebbe portare ad un riesame di alcuni investimenti nel settore minerario e di riflesso anche su altri comparti, inclusi quelli interessati dal microcredito.</w:t>
      </w:r>
    </w:p>
    <w:p w14:paraId="143B3670"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Altre incertezze emergono nel sistema legale, nonostante la giustizia peruviana sia stata oggetto negli ultimi anni di significative riforme, i cui effetti positivi, tuttavia, sono ancora controversi. Ne è prova che gli operatori economici preferiscono spesso utilizzare l'arbitrato come alternativa più rapida e meno costosa rispetto all'azione legale per la risoluzione di controversie di natura economico-commerciale. È altresì verso che i partner finanziari oltre confine possono contare comunque sul trattato di libero commercio UE-Perù, recentemente entrato in vigore, che ha una sezione interamente dedicata a questo tema e consente procedure di risoluzione delle controversie rapide ed efficaci.</w:t>
      </w:r>
    </w:p>
    <w:p w14:paraId="3EA41A77"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Per quanto riguarda il diritto societario, la legge peruviana riconosce come forme societarie la società anonima, la società commerciale a responsabilità limitata, la società collettiva, la società civile a responsabilità limitata e la società in accomandita per azioni.</w:t>
      </w:r>
    </w:p>
    <w:p w14:paraId="38980E6A"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Con riferimento, poi, al sistema fiscale, sono previste tre distinte aliquote del 15%, 21% e 30% per l’imposta sul reddito sulle persone fisiche e una sola aliquota del 30% per l’imposta sul reddito sulle persone giuridiche.</w:t>
      </w:r>
    </w:p>
    <w:p w14:paraId="3C6DC16A"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Il quadro economico di riferimento è positivo visto che, nonostante l’incertezza del contesto economico internazionale, il Perù ha registrato cinque anni di crescita sostenuta.</w:t>
      </w:r>
    </w:p>
    <w:p w14:paraId="59A1CF3B" w14:textId="77777777" w:rsidR="00222F2D"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Così nel 2013 il tasso di crescita annua del PIL peruviano (5,8%) ha superato di circa 3,5 punti percentuali quello del mondo (2,2%) e dell’America Latina (2,5%) e di quasi 6 punti il tasso dell’Europa (0,1%).</w:t>
      </w:r>
    </w:p>
    <w:p w14:paraId="2F97EE77" w14:textId="77777777" w:rsidR="00222F2D"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lastRenderedPageBreak/>
        <w:t xml:space="preserve">Detto andamento, verosimilmente, tenderà a confermarsi nel prossimo futuro. Basti pensare che la Farnesina ha previsto fino al 2017 un </w:t>
      </w:r>
      <w:r w:rsidRPr="00363FE8">
        <w:rPr>
          <w:rFonts w:ascii="Arial" w:hAnsi="Arial" w:cs="Arial"/>
          <w:bCs/>
          <w:i/>
          <w:iCs/>
          <w:sz w:val="24"/>
          <w:szCs w:val="24"/>
        </w:rPr>
        <w:t>outlook</w:t>
      </w:r>
      <w:r w:rsidRPr="00B0756B">
        <w:rPr>
          <w:rFonts w:ascii="Arial" w:hAnsi="Arial" w:cs="Arial"/>
          <w:bCs/>
          <w:sz w:val="24"/>
          <w:szCs w:val="24"/>
        </w:rPr>
        <w:t xml:space="preserve"> di crescita pari a circa il 5.7%, sostenuto dagli investimenti nei progetti minerari e infrastrutturali.</w:t>
      </w:r>
    </w:p>
    <w:p w14:paraId="72A41183"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Nonostante ciò, nel 2013 il paese ha registrato ancora un PIL pro capite di 6.661,59 di dollari, collocandosi al di sotto dei Paesi europei (35.438,49 USD), del Mondo (10.610,21 USD) e dell’America Latina (10.008,05 USD).</w:t>
      </w:r>
    </w:p>
    <w:p w14:paraId="1B40B6F8"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Il Perù, inoltre, si attesta tra i Paesi dell’America Latina con più bassa inflazione, con un tasso di poco superiore alla media del Mondo (2,6%) e di 1,4 punti percentuali superiore al tasso di inflazione europeo.</w:t>
      </w:r>
    </w:p>
    <w:p w14:paraId="1CB7FC9F"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4A9FFBA5" wp14:editId="7685C912">
            <wp:extent cx="4320000" cy="5040000"/>
            <wp:effectExtent l="0" t="0" r="4445" b="8255"/>
            <wp:docPr id="1409947055" name="Immagine 76" descr="Immagine che contiene testo, numero, ricevuta, menu&#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09947055" name="Immagine 76" descr="Immagine che contiene testo, numero, ricevuta, menu&#10;&#10;Descrizione generata automaticamente"/>
                    <pic:cNvPicPr preferRelativeResize="0">
                      <a:picLocks noChangeAspect="1" noChangeArrowheads="1"/>
                    </pic:cNvPicPr>
                  </pic:nvPicPr>
                  <pic:blipFill rotWithShape="1">
                    <a:blip r:embed="rId109">
                      <a:extLst>
                        <a:ext uri="{28A0092B-C50C-407E-A947-70E740481C1C}">
                          <a14:useLocalDpi xmlns:a14="http://schemas.microsoft.com/office/drawing/2010/main" val="0"/>
                        </a:ext>
                      </a:extLst>
                    </a:blip>
                    <a:srcRect l="1483" t="1096" r="6022" b="1162"/>
                    <a:stretch/>
                  </pic:blipFill>
                  <pic:spPr bwMode="auto">
                    <a:xfrm>
                      <a:off x="0" y="0"/>
                      <a:ext cx="4320000" cy="5040000"/>
                    </a:xfrm>
                    <a:prstGeom prst="rect">
                      <a:avLst/>
                    </a:prstGeom>
                    <a:noFill/>
                    <a:ln>
                      <a:noFill/>
                    </a:ln>
                    <a:extLst>
                      <a:ext uri="{53640926-AAD7-44D8-BBD7-CCE9431645EC}">
                        <a14:shadowObscured xmlns:a14="http://schemas.microsoft.com/office/drawing/2010/main"/>
                      </a:ext>
                    </a:extLst>
                  </pic:spPr>
                </pic:pic>
              </a:graphicData>
            </a:graphic>
          </wp:inline>
        </w:drawing>
      </w:r>
    </w:p>
    <w:p w14:paraId="59631FE6" w14:textId="77777777" w:rsidR="00222F2D" w:rsidRDefault="00222F2D" w:rsidP="00222F2D">
      <w:pPr>
        <w:tabs>
          <w:tab w:val="left" w:pos="709"/>
        </w:tabs>
        <w:spacing w:after="0" w:line="360" w:lineRule="auto"/>
        <w:rPr>
          <w:rFonts w:ascii="Arial" w:hAnsi="Arial" w:cs="Arial"/>
          <w:bCs/>
          <w:sz w:val="24"/>
          <w:szCs w:val="24"/>
        </w:rPr>
      </w:pPr>
    </w:p>
    <w:p w14:paraId="4ACBA6FA"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La buona condizione economica del Perù è altresì testimoniata dal livello di occupazione del Paese. Infatti, a fronte di tassi di disoccupazione pari a 10,9% per l’Europa, 6,2% per l’America Latina nel suo insieme e 6% per il Mondo, il paese ha registrato nel 2013 una disoccupazione </w:t>
      </w:r>
      <w:r>
        <w:rPr>
          <w:rFonts w:ascii="Arial" w:hAnsi="Arial" w:cs="Arial"/>
          <w:bCs/>
          <w:sz w:val="24"/>
          <w:szCs w:val="24"/>
        </w:rPr>
        <w:t xml:space="preserve">pari al </w:t>
      </w:r>
      <w:r w:rsidRPr="00B0756B">
        <w:rPr>
          <w:rFonts w:ascii="Arial" w:hAnsi="Arial" w:cs="Arial"/>
          <w:bCs/>
          <w:sz w:val="24"/>
          <w:szCs w:val="24"/>
        </w:rPr>
        <w:t>3,9%.</w:t>
      </w:r>
    </w:p>
    <w:p w14:paraId="01D1984B" w14:textId="77777777" w:rsidR="00222F2D"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lastRenderedPageBreak/>
        <w:t>La situazione economica dei prossimi anni potrà beneficiare anche del già citato trattato sottoscritto il 26 giugno del 2012 a Bruxelles che si prefigge di eliminare le tariffe elevate, affrontare gli ostacoli tecnici al commercio e liberalizzare i mercati dei servizi. Grazie a questo accordo, infatti, avranno ingresso libero nei paesi della UE il 100% delle esportazioni peruviane di manifattura e il 76% delle esportazioni agricole peruviane.</w:t>
      </w:r>
    </w:p>
    <w:p w14:paraId="60CC360F"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Secondo le stime della Commissione europea l'intesa tra la Ue e Perù dovrebbe favorire un incremento del Pil peruviano dello 0,7% annuo. La politica di libero commercio perseguita dal Perù, inoltre, ha portato il Paese a firmare accordi commerciali bilaterali con Usa, Canada, Singapore e Cina.</w:t>
      </w:r>
    </w:p>
    <w:p w14:paraId="1542BBDD"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Per il sistema imprenditoriale interno, il Perù favorisce, con apposite leggi, la competitività, la formalizzazione e lo sviluppo delle microimprese che rappresentano il 94,2% (1.270.009 unità) dell</w:t>
      </w:r>
      <w:r>
        <w:rPr>
          <w:rFonts w:ascii="Arial" w:hAnsi="Arial" w:cs="Arial"/>
          <w:bCs/>
          <w:sz w:val="24"/>
          <w:szCs w:val="24"/>
        </w:rPr>
        <w:t>’</w:t>
      </w:r>
      <w:r w:rsidRPr="00B0756B">
        <w:rPr>
          <w:rFonts w:ascii="Arial" w:hAnsi="Arial" w:cs="Arial"/>
          <w:bCs/>
          <w:sz w:val="24"/>
          <w:szCs w:val="24"/>
        </w:rPr>
        <w:t>imprenditoria nazionale.</w:t>
      </w:r>
    </w:p>
    <w:p w14:paraId="3C2DD2AB"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057FB978" wp14:editId="0FFAE2E0">
            <wp:extent cx="4320000" cy="5040000"/>
            <wp:effectExtent l="0" t="0" r="4445" b="8255"/>
            <wp:docPr id="570750232" name="Immagine 77" descr="Immagine che contiene testo, numero, Carattere, ricevut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0750232" name="Immagine 77" descr="Immagine che contiene testo, numero, Carattere, ricevuta&#10;&#10;Descrizione generata automaticamente"/>
                    <pic:cNvPicPr preferRelativeResize="0">
                      <a:picLocks noChangeAspect="1" noChangeArrowheads="1"/>
                    </pic:cNvPicPr>
                  </pic:nvPicPr>
                  <pic:blipFill rotWithShape="1">
                    <a:blip r:embed="rId110">
                      <a:extLst>
                        <a:ext uri="{28A0092B-C50C-407E-A947-70E740481C1C}">
                          <a14:useLocalDpi xmlns:a14="http://schemas.microsoft.com/office/drawing/2010/main" val="0"/>
                        </a:ext>
                      </a:extLst>
                    </a:blip>
                    <a:srcRect l="4538" t="1712" r="7164" b="4979"/>
                    <a:stretch/>
                  </pic:blipFill>
                  <pic:spPr bwMode="auto">
                    <a:xfrm>
                      <a:off x="0" y="0"/>
                      <a:ext cx="4320000" cy="5040000"/>
                    </a:xfrm>
                    <a:prstGeom prst="rect">
                      <a:avLst/>
                    </a:prstGeom>
                    <a:noFill/>
                    <a:ln>
                      <a:noFill/>
                    </a:ln>
                    <a:extLst>
                      <a:ext uri="{53640926-AAD7-44D8-BBD7-CCE9431645EC}">
                        <a14:shadowObscured xmlns:a14="http://schemas.microsoft.com/office/drawing/2010/main"/>
                      </a:ext>
                    </a:extLst>
                  </pic:spPr>
                </pic:pic>
              </a:graphicData>
            </a:graphic>
          </wp:inline>
        </w:drawing>
      </w:r>
    </w:p>
    <w:p w14:paraId="44F7CB9A" w14:textId="77777777" w:rsidR="00222F2D" w:rsidRDefault="00222F2D" w:rsidP="00222F2D">
      <w:pPr>
        <w:tabs>
          <w:tab w:val="left" w:pos="709"/>
        </w:tabs>
        <w:spacing w:after="0" w:line="360" w:lineRule="auto"/>
        <w:rPr>
          <w:rFonts w:ascii="Arial" w:hAnsi="Arial" w:cs="Arial"/>
          <w:bCs/>
          <w:sz w:val="24"/>
          <w:szCs w:val="24"/>
        </w:rPr>
      </w:pPr>
    </w:p>
    <w:p w14:paraId="714AB8D8" w14:textId="77777777" w:rsidR="00222F2D" w:rsidRDefault="00222F2D" w:rsidP="00222F2D">
      <w:pPr>
        <w:tabs>
          <w:tab w:val="left" w:pos="709"/>
        </w:tabs>
        <w:spacing w:line="360" w:lineRule="auto"/>
        <w:jc w:val="both"/>
        <w:rPr>
          <w:rFonts w:ascii="Arial" w:hAnsi="Arial" w:cs="Arial"/>
          <w:bCs/>
          <w:sz w:val="24"/>
          <w:szCs w:val="24"/>
        </w:rPr>
      </w:pPr>
    </w:p>
    <w:p w14:paraId="5AA237DE"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lastRenderedPageBreak/>
        <w:t>Nel suo complesso, infatti, la politica economica è stata fortemente orientata agli investimenti e all’inclusione sociale.</w:t>
      </w:r>
      <w:r>
        <w:rPr>
          <w:rFonts w:ascii="Arial" w:hAnsi="Arial" w:cs="Arial"/>
          <w:bCs/>
          <w:sz w:val="24"/>
          <w:szCs w:val="24"/>
        </w:rPr>
        <w:t xml:space="preserve"> </w:t>
      </w:r>
      <w:r w:rsidRPr="00B0756B">
        <w:rPr>
          <w:rFonts w:ascii="Arial" w:hAnsi="Arial" w:cs="Arial"/>
          <w:bCs/>
          <w:sz w:val="24"/>
          <w:szCs w:val="24"/>
        </w:rPr>
        <w:t xml:space="preserve">Grazie alla tenuta dei conti pubblici, inoltre, il governo ha potuto implementare una politica fiscale espansiva. D’altra parte, le solide e crescenti riserve internazionali hanno consentito alla Banca Centrale di poter continuare ad intervenire nei mercati valutari per contenere l'eccessivo apprezzamento del </w:t>
      </w:r>
      <w:r w:rsidRPr="00E06F05">
        <w:rPr>
          <w:rFonts w:ascii="Arial" w:hAnsi="Arial" w:cs="Arial"/>
          <w:bCs/>
          <w:i/>
          <w:iCs/>
          <w:sz w:val="24"/>
          <w:szCs w:val="24"/>
        </w:rPr>
        <w:t>Nuevo Sol</w:t>
      </w:r>
      <w:r w:rsidRPr="00B0756B">
        <w:rPr>
          <w:rFonts w:ascii="Arial" w:hAnsi="Arial" w:cs="Arial"/>
          <w:bCs/>
          <w:sz w:val="24"/>
          <w:szCs w:val="24"/>
        </w:rPr>
        <w:t>.</w:t>
      </w:r>
    </w:p>
    <w:p w14:paraId="1C46342A"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Per quanto attiene al profilo tecnologico, il Perù occupa il 105º posto nel ranking mondiale, stante l’</w:t>
      </w:r>
      <w:r w:rsidRPr="00E06F05">
        <w:rPr>
          <w:rFonts w:ascii="Arial" w:hAnsi="Arial" w:cs="Arial"/>
          <w:bCs/>
          <w:i/>
          <w:iCs/>
          <w:sz w:val="24"/>
          <w:szCs w:val="24"/>
        </w:rPr>
        <w:t xml:space="preserve">ICT Development Index </w:t>
      </w:r>
      <w:r w:rsidRPr="00A50637">
        <w:rPr>
          <w:rFonts w:ascii="Arial" w:hAnsi="Arial" w:cs="Arial"/>
          <w:bCs/>
          <w:sz w:val="24"/>
          <w:szCs w:val="24"/>
        </w:rPr>
        <w:t>(IDI)</w:t>
      </w:r>
      <w:r w:rsidRPr="00B0756B">
        <w:rPr>
          <w:rFonts w:ascii="Arial" w:hAnsi="Arial" w:cs="Arial"/>
          <w:bCs/>
          <w:sz w:val="24"/>
          <w:szCs w:val="24"/>
        </w:rPr>
        <w:t xml:space="preserve"> 2013 pari a 4,00. Trattasi di un livello di sviluppo tecnologico modesto, inferiore non solo a quello Europeo di 7,14, ma più basso anche del 4,77 medio a livello mondiale e del 4,66 medio per l’America Latina (</w:t>
      </w:r>
      <w:r>
        <w:rPr>
          <w:rFonts w:ascii="Arial" w:hAnsi="Arial" w:cs="Arial"/>
          <w:bCs/>
          <w:sz w:val="24"/>
          <w:szCs w:val="24"/>
        </w:rPr>
        <w:t>f</w:t>
      </w:r>
      <w:r w:rsidRPr="00B0756B">
        <w:rPr>
          <w:rFonts w:ascii="Arial" w:hAnsi="Arial" w:cs="Arial"/>
          <w:bCs/>
          <w:sz w:val="24"/>
          <w:szCs w:val="24"/>
        </w:rPr>
        <w:t xml:space="preserve">onte: </w:t>
      </w:r>
      <w:r w:rsidRPr="00E06F05">
        <w:rPr>
          <w:rFonts w:ascii="Arial" w:hAnsi="Arial" w:cs="Arial"/>
          <w:bCs/>
          <w:i/>
          <w:iCs/>
          <w:sz w:val="24"/>
          <w:szCs w:val="24"/>
        </w:rPr>
        <w:t>International Telecommunication Union</w:t>
      </w:r>
      <w:r w:rsidRPr="00B0756B">
        <w:rPr>
          <w:rFonts w:ascii="Arial" w:hAnsi="Arial" w:cs="Arial"/>
          <w:bCs/>
          <w:sz w:val="24"/>
          <w:szCs w:val="24"/>
        </w:rPr>
        <w:t>). Lo sviluppo tecnologico, se rimarrà a tale livello, potrebbe condizionare le prospettive di crescita del Paese e finanche la competitività del sistema imprenditoriale. Numerose evidenze empiriche, infatti, dimostrano come i paesi che hanno compiuto sforzi significativi sugli investimenti nel campo della scienza, tecnologia e innovazione, presentano una migliore performance in termini di superiori capacità di nuove occupazioni e</w:t>
      </w:r>
      <w:r>
        <w:rPr>
          <w:rFonts w:ascii="Arial" w:hAnsi="Arial" w:cs="Arial"/>
          <w:bCs/>
          <w:sz w:val="24"/>
          <w:szCs w:val="24"/>
        </w:rPr>
        <w:t>d</w:t>
      </w:r>
      <w:r w:rsidRPr="00B0756B">
        <w:rPr>
          <w:rFonts w:ascii="Arial" w:hAnsi="Arial" w:cs="Arial"/>
          <w:bCs/>
          <w:sz w:val="24"/>
          <w:szCs w:val="24"/>
        </w:rPr>
        <w:t xml:space="preserve"> entrate. Al contrario, i paesi che spendono solo una piccola frazione del loro gli investimenti di prodotto nel campo della scienza, tecnologia e innovazione sono in ritardo, scontano una bassa competitività e presentano poche opportunità in termini di occupazione e generazione di reddito.</w:t>
      </w:r>
    </w:p>
    <w:p w14:paraId="4C4BF40B"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Dato il modesto livello di sviluppo tecnologico del paese, il Ministero dell’Economia e delle Finanze ha varato nel 2012 un insieme organico di azioni e misure volte a migliorare l’efficienza nel processo di generazione, trasferimento e adozione di conoscenza, anche aumentando la spesa per investimenti pubblici destinati a facilitare l’accesso e l’uso di nuove tecnologie. In conclusione, il quadro economico di riferimento, nei suoi aspetti legati al sociale, al legale all’economia, alla politica e allo sviluppo tecnologico, porta ad esprimere un giudizio sicuramente positivo, soprattutto rispetto agli altri paesi dell’America latina.</w:t>
      </w:r>
    </w:p>
    <w:p w14:paraId="18DE1A19" w14:textId="77777777" w:rsidR="00222F2D" w:rsidRPr="00B0756B" w:rsidRDefault="00222F2D" w:rsidP="00222F2D">
      <w:pPr>
        <w:tabs>
          <w:tab w:val="left" w:pos="709"/>
        </w:tabs>
        <w:spacing w:after="0" w:line="360" w:lineRule="auto"/>
        <w:jc w:val="both"/>
        <w:rPr>
          <w:rFonts w:ascii="Arial" w:hAnsi="Arial" w:cs="Arial"/>
          <w:bCs/>
          <w:sz w:val="24"/>
          <w:szCs w:val="24"/>
        </w:rPr>
      </w:pPr>
    </w:p>
    <w:p w14:paraId="1B9BEB3B" w14:textId="77777777" w:rsidR="00222F2D" w:rsidRPr="00B0756B"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II.</w:t>
      </w:r>
      <w:r>
        <w:rPr>
          <w:rFonts w:ascii="Arial" w:hAnsi="Arial" w:cs="Arial"/>
          <w:bCs/>
          <w:sz w:val="24"/>
          <w:szCs w:val="24"/>
        </w:rPr>
        <w:t>3</w:t>
      </w:r>
      <w:r w:rsidRPr="00B0756B">
        <w:rPr>
          <w:rFonts w:ascii="Arial" w:hAnsi="Arial" w:cs="Arial"/>
          <w:bCs/>
          <w:sz w:val="24"/>
          <w:szCs w:val="24"/>
        </w:rPr>
        <w:t>.</w:t>
      </w:r>
      <w:r w:rsidRPr="00B0756B">
        <w:rPr>
          <w:rFonts w:ascii="Arial" w:hAnsi="Arial" w:cs="Arial"/>
          <w:bCs/>
          <w:sz w:val="24"/>
          <w:szCs w:val="24"/>
        </w:rPr>
        <w:tab/>
        <w:t>Analisi del sistema finanziario del Perù</w:t>
      </w:r>
    </w:p>
    <w:p w14:paraId="479BE81C" w14:textId="77777777" w:rsidR="00222F2D" w:rsidRPr="00B0756B" w:rsidRDefault="00222F2D" w:rsidP="00222F2D">
      <w:pPr>
        <w:tabs>
          <w:tab w:val="left" w:pos="709"/>
        </w:tabs>
        <w:spacing w:after="0" w:line="360" w:lineRule="auto"/>
        <w:jc w:val="both"/>
        <w:rPr>
          <w:rFonts w:ascii="Arial" w:hAnsi="Arial" w:cs="Arial"/>
          <w:bCs/>
          <w:sz w:val="24"/>
          <w:szCs w:val="24"/>
        </w:rPr>
      </w:pPr>
    </w:p>
    <w:p w14:paraId="4324646C" w14:textId="77777777" w:rsidR="00222F2D" w:rsidRDefault="00222F2D" w:rsidP="00222F2D">
      <w:pPr>
        <w:tabs>
          <w:tab w:val="left" w:pos="709"/>
        </w:tabs>
        <w:spacing w:after="0" w:line="360" w:lineRule="auto"/>
        <w:jc w:val="both"/>
        <w:rPr>
          <w:rFonts w:ascii="Arial" w:hAnsi="Arial" w:cs="Arial"/>
          <w:bCs/>
          <w:sz w:val="24"/>
          <w:szCs w:val="24"/>
        </w:rPr>
      </w:pPr>
      <w:r w:rsidRPr="00B0756B">
        <w:rPr>
          <w:rFonts w:ascii="Arial" w:hAnsi="Arial" w:cs="Arial"/>
          <w:bCs/>
          <w:sz w:val="24"/>
          <w:szCs w:val="24"/>
        </w:rPr>
        <w:t>Il sistema finanziario del Perù presenta ampie opportunità atteso che la domanda di credito e di servizi finanziari risulta notevolmente superiore all’offerta.</w:t>
      </w:r>
    </w:p>
    <w:p w14:paraId="662D4C70" w14:textId="77777777" w:rsidR="00222F2D" w:rsidRPr="00B0756B" w:rsidRDefault="00222F2D" w:rsidP="00222F2D">
      <w:pPr>
        <w:tabs>
          <w:tab w:val="left" w:pos="709"/>
        </w:tabs>
        <w:spacing w:before="160" w:line="360" w:lineRule="auto"/>
        <w:jc w:val="both"/>
        <w:rPr>
          <w:rFonts w:ascii="Arial" w:hAnsi="Arial" w:cs="Arial"/>
          <w:bCs/>
          <w:sz w:val="24"/>
          <w:szCs w:val="24"/>
        </w:rPr>
      </w:pPr>
      <w:r w:rsidRPr="00B0756B">
        <w:rPr>
          <w:rFonts w:ascii="Arial" w:hAnsi="Arial" w:cs="Arial"/>
          <w:bCs/>
          <w:sz w:val="24"/>
          <w:szCs w:val="24"/>
        </w:rPr>
        <w:t>La tabella 24 riporta il saldo di fine periodo, in migliaia di Nuevo Sol, a dicembre 2013 e a ottobre 2014, del credito diretto al settore privato, distinto per dipartimento.</w:t>
      </w:r>
    </w:p>
    <w:p w14:paraId="72DA5048" w14:textId="40E12958"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lastRenderedPageBreak/>
        <w:t>Le norme relative alle banche e alle società finanziarie trovano la loro fonte nella Legge n. 26702 (</w:t>
      </w:r>
      <w:r w:rsidRPr="00E51352">
        <w:rPr>
          <w:rFonts w:ascii="Arial" w:hAnsi="Arial" w:cs="Arial"/>
          <w:bCs/>
          <w:i/>
          <w:iCs/>
          <w:sz w:val="24"/>
          <w:szCs w:val="24"/>
        </w:rPr>
        <w:t>Ley General del sistema financiero y del sistema de seguo organica de la Superintendencia del Banca y Seguros</w:t>
      </w:r>
      <w:r w:rsidRPr="00B0756B">
        <w:rPr>
          <w:rFonts w:ascii="Arial" w:hAnsi="Arial" w:cs="Arial"/>
          <w:bCs/>
          <w:sz w:val="24"/>
          <w:szCs w:val="24"/>
        </w:rPr>
        <w:t>).</w:t>
      </w:r>
      <w:r>
        <w:rPr>
          <w:rFonts w:ascii="Arial" w:hAnsi="Arial" w:cs="Arial"/>
          <w:bCs/>
          <w:sz w:val="24"/>
          <w:szCs w:val="24"/>
        </w:rPr>
        <w:t xml:space="preserve"> </w:t>
      </w:r>
      <w:r w:rsidR="004166D9" w:rsidRPr="00B0756B">
        <w:rPr>
          <w:rFonts w:ascii="Arial" w:hAnsi="Arial" w:cs="Arial"/>
          <w:bCs/>
          <w:sz w:val="24"/>
          <w:szCs w:val="24"/>
        </w:rPr>
        <w:t>In particolare,</w:t>
      </w:r>
      <w:r w:rsidRPr="00B0756B">
        <w:rPr>
          <w:rFonts w:ascii="Arial" w:hAnsi="Arial" w:cs="Arial"/>
          <w:bCs/>
          <w:sz w:val="24"/>
          <w:szCs w:val="24"/>
        </w:rPr>
        <w:t xml:space="preserve"> la </w:t>
      </w:r>
      <w:r w:rsidRPr="00E51352">
        <w:rPr>
          <w:rFonts w:ascii="Arial" w:hAnsi="Arial" w:cs="Arial"/>
          <w:bCs/>
          <w:i/>
          <w:iCs/>
          <w:sz w:val="24"/>
          <w:szCs w:val="24"/>
        </w:rPr>
        <w:t>“Superintendencia de Banca, Seguros y Administradoras Privadas de Fondos de Pensiones</w:t>
      </w:r>
      <w:r w:rsidRPr="00B0756B">
        <w:rPr>
          <w:rFonts w:ascii="Arial" w:hAnsi="Arial" w:cs="Arial"/>
          <w:bCs/>
          <w:sz w:val="24"/>
          <w:szCs w:val="24"/>
        </w:rPr>
        <w:t>” (SBS) è l’entità autonoma, creata dalla Costituzione peruviana, con la funzione di vigilare sull’intero sistema finanziario ed autorizzare le attività che comportano la raccolta di denaro da parte del pubblico.</w:t>
      </w:r>
    </w:p>
    <w:p w14:paraId="3C46D411"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26DE5A48" wp14:editId="3B3A4AC2">
            <wp:extent cx="4320000" cy="5040000"/>
            <wp:effectExtent l="0" t="0" r="4445" b="8255"/>
            <wp:docPr id="813117972" name="Immagine 78" descr="Immagine che contiene testo, schermata, menu,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3117972" name="Immagine 78" descr="Immagine che contiene testo, schermata, menu, numero&#10;&#10;Descrizione generata automaticamente"/>
                    <pic:cNvPicPr preferRelativeResize="0">
                      <a:picLocks noChangeAspect="1" noChangeArrowheads="1"/>
                    </pic:cNvPicPr>
                  </pic:nvPicPr>
                  <pic:blipFill rotWithShape="1">
                    <a:blip r:embed="rId111">
                      <a:extLst>
                        <a:ext uri="{28A0092B-C50C-407E-A947-70E740481C1C}">
                          <a14:useLocalDpi xmlns:a14="http://schemas.microsoft.com/office/drawing/2010/main" val="0"/>
                        </a:ext>
                      </a:extLst>
                    </a:blip>
                    <a:srcRect l="4328" t="1084" r="5836" b="1264"/>
                    <a:stretch/>
                  </pic:blipFill>
                  <pic:spPr bwMode="auto">
                    <a:xfrm>
                      <a:off x="0" y="0"/>
                      <a:ext cx="4320000" cy="5040000"/>
                    </a:xfrm>
                    <a:prstGeom prst="rect">
                      <a:avLst/>
                    </a:prstGeom>
                    <a:noFill/>
                    <a:ln>
                      <a:noFill/>
                    </a:ln>
                    <a:extLst>
                      <a:ext uri="{53640926-AAD7-44D8-BBD7-CCE9431645EC}">
                        <a14:shadowObscured xmlns:a14="http://schemas.microsoft.com/office/drawing/2010/main"/>
                      </a:ext>
                    </a:extLst>
                  </pic:spPr>
                </pic:pic>
              </a:graphicData>
            </a:graphic>
          </wp:inline>
        </w:drawing>
      </w:r>
    </w:p>
    <w:p w14:paraId="04425809" w14:textId="77777777" w:rsidR="00222F2D" w:rsidRDefault="00222F2D" w:rsidP="00222F2D">
      <w:pPr>
        <w:tabs>
          <w:tab w:val="left" w:pos="709"/>
        </w:tabs>
        <w:spacing w:after="0" w:line="360" w:lineRule="auto"/>
        <w:rPr>
          <w:rFonts w:ascii="Arial" w:hAnsi="Arial" w:cs="Arial"/>
          <w:bCs/>
          <w:sz w:val="24"/>
          <w:szCs w:val="24"/>
        </w:rPr>
      </w:pPr>
    </w:p>
    <w:p w14:paraId="00380C2B"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Sulla base </w:t>
      </w:r>
      <w:r w:rsidRPr="00133603">
        <w:rPr>
          <w:rFonts w:ascii="Arial" w:hAnsi="Arial" w:cs="Arial"/>
          <w:bCs/>
          <w:sz w:val="24"/>
          <w:szCs w:val="24"/>
        </w:rPr>
        <w:t>dell’</w:t>
      </w:r>
      <w:r w:rsidRPr="00133603">
        <w:rPr>
          <w:rFonts w:ascii="Arial" w:hAnsi="Arial" w:cs="Arial"/>
          <w:bCs/>
          <w:i/>
          <w:iCs/>
          <w:sz w:val="24"/>
          <w:szCs w:val="24"/>
        </w:rPr>
        <w:t>Annual Report 2013</w:t>
      </w:r>
      <w:r w:rsidRPr="00B0756B">
        <w:rPr>
          <w:rFonts w:ascii="Arial" w:hAnsi="Arial" w:cs="Arial"/>
          <w:bCs/>
          <w:sz w:val="24"/>
          <w:szCs w:val="24"/>
        </w:rPr>
        <w:t xml:space="preserve">, pubblicato dalla </w:t>
      </w:r>
      <w:r w:rsidRPr="001F4969">
        <w:rPr>
          <w:rFonts w:ascii="Arial" w:hAnsi="Arial" w:cs="Arial"/>
          <w:bCs/>
          <w:i/>
          <w:iCs/>
          <w:sz w:val="24"/>
          <w:szCs w:val="24"/>
        </w:rPr>
        <w:t>Central Reserve Bank of Peru</w:t>
      </w:r>
      <w:r w:rsidRPr="00B0756B">
        <w:rPr>
          <w:rFonts w:ascii="Arial" w:hAnsi="Arial" w:cs="Arial"/>
          <w:bCs/>
          <w:sz w:val="24"/>
          <w:szCs w:val="24"/>
        </w:rPr>
        <w:t xml:space="preserve">, deduciamo le seguenti indicazioni circa la liquidità, il credito, i depositi, il cambio di insolvenza, gli indicatori di redditività del sistema finanziario peruviano. La liquidità nel settore privato nel 2013 ha continuato a crescere, ma a un tasso inferiore rispetto a quello dell’anno precedente a causa di una crescita dell’attività economica </w:t>
      </w:r>
      <w:r w:rsidRPr="004902D5">
        <w:rPr>
          <w:rFonts w:ascii="Arial" w:hAnsi="Arial" w:cs="Arial"/>
          <w:bCs/>
          <w:i/>
          <w:iCs/>
          <w:sz w:val="24"/>
          <w:szCs w:val="24"/>
        </w:rPr>
        <w:t>no-growth</w:t>
      </w:r>
      <w:r w:rsidRPr="00B0756B">
        <w:rPr>
          <w:rFonts w:ascii="Arial" w:hAnsi="Arial" w:cs="Arial"/>
          <w:bCs/>
          <w:sz w:val="24"/>
          <w:szCs w:val="24"/>
        </w:rPr>
        <w:t>. Si evince infatti un tasso di crescita nel 2013 di 11,3 per cento contro il 14,1 per cento nel 2012. Di contro si registra una riduzione del tasso di crescita dei depositi, che passa dal 13,0 per cento nel 2012 al 11,4 per cento nel 2013.</w:t>
      </w:r>
    </w:p>
    <w:p w14:paraId="01377842" w14:textId="77777777" w:rsidR="00222F2D" w:rsidRDefault="00222F2D" w:rsidP="00222F2D">
      <w:pPr>
        <w:tabs>
          <w:tab w:val="left" w:pos="709"/>
        </w:tabs>
        <w:spacing w:after="0" w:line="360" w:lineRule="auto"/>
        <w:jc w:val="center"/>
        <w:rPr>
          <w:rFonts w:ascii="Arial" w:hAnsi="Arial" w:cs="Arial"/>
          <w:bCs/>
          <w:sz w:val="24"/>
          <w:szCs w:val="24"/>
        </w:rPr>
      </w:pPr>
      <w:r w:rsidRPr="004902D5">
        <w:rPr>
          <w:rFonts w:ascii="Arial" w:hAnsi="Arial" w:cs="Arial"/>
          <w:bCs/>
          <w:noProof/>
          <w:sz w:val="24"/>
          <w:szCs w:val="24"/>
        </w:rPr>
        <w:lastRenderedPageBreak/>
        <w:drawing>
          <wp:inline distT="0" distB="0" distL="0" distR="0" wp14:anchorId="4652BCB5" wp14:editId="6F1E497D">
            <wp:extent cx="4320000" cy="1080000"/>
            <wp:effectExtent l="0" t="0" r="4445" b="6350"/>
            <wp:docPr id="579410630" name="Immagine 1" descr="Immagine che contiene testo, schermat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9410630" name="Immagine 1" descr="Immagine che contiene testo, schermata, Carattere, numero&#10;&#10;Descrizione generata automaticamente"/>
                    <pic:cNvPicPr preferRelativeResize="0"/>
                  </pic:nvPicPr>
                  <pic:blipFill rotWithShape="1">
                    <a:blip r:embed="rId112"/>
                    <a:srcRect l="2209" t="5156" r="2699" b="2500"/>
                    <a:stretch/>
                  </pic:blipFill>
                  <pic:spPr bwMode="auto">
                    <a:xfrm>
                      <a:off x="0" y="0"/>
                      <a:ext cx="4320000" cy="1080000"/>
                    </a:xfrm>
                    <a:prstGeom prst="rect">
                      <a:avLst/>
                    </a:prstGeom>
                    <a:ln>
                      <a:noFill/>
                    </a:ln>
                    <a:extLst>
                      <a:ext uri="{53640926-AAD7-44D8-BBD7-CCE9431645EC}">
                        <a14:shadowObscured xmlns:a14="http://schemas.microsoft.com/office/drawing/2010/main"/>
                      </a:ext>
                    </a:extLst>
                  </pic:spPr>
                </pic:pic>
              </a:graphicData>
            </a:graphic>
          </wp:inline>
        </w:drawing>
      </w:r>
    </w:p>
    <w:p w14:paraId="480D3D04" w14:textId="77777777" w:rsidR="00222F2D" w:rsidRDefault="00222F2D" w:rsidP="00222F2D">
      <w:pPr>
        <w:tabs>
          <w:tab w:val="left" w:pos="709"/>
        </w:tabs>
        <w:spacing w:after="0" w:line="360" w:lineRule="auto"/>
        <w:rPr>
          <w:rFonts w:ascii="Arial" w:hAnsi="Arial" w:cs="Arial"/>
          <w:bCs/>
          <w:sz w:val="24"/>
          <w:szCs w:val="24"/>
        </w:rPr>
      </w:pPr>
    </w:p>
    <w:p w14:paraId="3EEA9DC7"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In particolare, nel 2013 i depositi delle persone fisiche sono cresciute a un tasso più elevato (16,9 per cento) rispetto ai depositi delle persone giuridiche (2,3 per cento). In termini di valute, le persone fisiche hanno mostrato una maggiore preferenza per le </w:t>
      </w:r>
      <w:r w:rsidRPr="00895770">
        <w:rPr>
          <w:rFonts w:ascii="Arial" w:hAnsi="Arial" w:cs="Arial"/>
          <w:bCs/>
          <w:sz w:val="24"/>
          <w:szCs w:val="24"/>
        </w:rPr>
        <w:t>attività in</w:t>
      </w:r>
      <w:r w:rsidRPr="004902D5">
        <w:rPr>
          <w:rFonts w:ascii="Arial" w:hAnsi="Arial" w:cs="Arial"/>
          <w:bCs/>
          <w:i/>
          <w:iCs/>
          <w:sz w:val="24"/>
          <w:szCs w:val="24"/>
        </w:rPr>
        <w:t xml:space="preserve"> Nuevo S</w:t>
      </w:r>
      <w:r>
        <w:rPr>
          <w:rFonts w:ascii="Arial" w:hAnsi="Arial" w:cs="Arial"/>
          <w:bCs/>
          <w:i/>
          <w:iCs/>
          <w:sz w:val="24"/>
          <w:szCs w:val="24"/>
        </w:rPr>
        <w:t>ol</w:t>
      </w:r>
      <w:r w:rsidRPr="00B0756B">
        <w:rPr>
          <w:rFonts w:ascii="Arial" w:hAnsi="Arial" w:cs="Arial"/>
          <w:bCs/>
          <w:sz w:val="24"/>
          <w:szCs w:val="24"/>
        </w:rPr>
        <w:t>, mentre le persone giuridiche hanno mostrato una maggiore propensione per le attività in dollari americani.</w:t>
      </w:r>
    </w:p>
    <w:p w14:paraId="49B3B9DA"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Per la liquidità, il settore più colpito è stato il segmento della liquidità in valuta nazionale, il cui tasso di crescita annuo è sceso da 23,1 per cento nel 2012 al 10,8 per cento nel 2013. Questo rallentamento è stato influenzato dalle aspettative circa un deprezzamento del </w:t>
      </w:r>
      <w:r w:rsidRPr="00895770">
        <w:rPr>
          <w:rFonts w:ascii="Arial" w:hAnsi="Arial" w:cs="Arial"/>
          <w:bCs/>
          <w:i/>
          <w:iCs/>
          <w:sz w:val="24"/>
          <w:szCs w:val="24"/>
        </w:rPr>
        <w:t>Nuevo Sol</w:t>
      </w:r>
      <w:r w:rsidRPr="00B0756B">
        <w:rPr>
          <w:rFonts w:ascii="Arial" w:hAnsi="Arial" w:cs="Arial"/>
          <w:bCs/>
          <w:sz w:val="24"/>
          <w:szCs w:val="24"/>
        </w:rPr>
        <w:t xml:space="preserve"> nei confronti del dollaro, che ha generato una ricomposizione delle valute nei depositi del settore privato. Inoltre, una maggiore riduzione è stata osservata nel segmento dei depositi a termine (da 34.3 per cento nel 2012 al 11,6 per cento nel 2013).</w:t>
      </w:r>
    </w:p>
    <w:p w14:paraId="0EEDC2E1" w14:textId="77777777" w:rsidR="00222F2D" w:rsidRPr="00B0756B" w:rsidRDefault="00222F2D" w:rsidP="00222F2D">
      <w:pPr>
        <w:tabs>
          <w:tab w:val="left" w:pos="709"/>
        </w:tabs>
        <w:spacing w:line="360" w:lineRule="auto"/>
        <w:jc w:val="both"/>
        <w:rPr>
          <w:rFonts w:ascii="Arial" w:hAnsi="Arial" w:cs="Arial"/>
          <w:bCs/>
          <w:sz w:val="24"/>
          <w:szCs w:val="24"/>
        </w:rPr>
      </w:pPr>
      <w:r w:rsidRPr="00B0756B">
        <w:rPr>
          <w:rFonts w:ascii="Arial" w:hAnsi="Arial" w:cs="Arial"/>
          <w:bCs/>
          <w:sz w:val="24"/>
          <w:szCs w:val="24"/>
        </w:rPr>
        <w:t xml:space="preserve">Di converso la liquidità in valuta estera ha mostrato un ritmo di crescita più veloce rispetto all’anno precedente, passando da -0,9 per cento al 12,4 per cento. Gran parte di questo aumento è avvenuto nel secondo semestre dell'anno a causa delle aspettative circa un deprezzamento del </w:t>
      </w:r>
      <w:r w:rsidRPr="00895770">
        <w:rPr>
          <w:rFonts w:ascii="Arial" w:hAnsi="Arial" w:cs="Arial"/>
          <w:bCs/>
          <w:i/>
          <w:iCs/>
          <w:sz w:val="24"/>
          <w:szCs w:val="24"/>
        </w:rPr>
        <w:t>Nuevo Sol</w:t>
      </w:r>
      <w:r w:rsidRPr="00B0756B">
        <w:rPr>
          <w:rFonts w:ascii="Arial" w:hAnsi="Arial" w:cs="Arial"/>
          <w:bCs/>
          <w:sz w:val="24"/>
          <w:szCs w:val="24"/>
        </w:rPr>
        <w:t>. Una maggiore dinamicità dei tassi di crescita rispetto al 2012 si è evidenziata per il risparmio e i depositi a termine</w:t>
      </w:r>
      <w:r>
        <w:rPr>
          <w:rFonts w:ascii="Arial" w:hAnsi="Arial" w:cs="Arial"/>
          <w:bCs/>
          <w:sz w:val="24"/>
          <w:szCs w:val="24"/>
        </w:rPr>
        <w:t>; i</w:t>
      </w:r>
      <w:r w:rsidRPr="00B0756B">
        <w:rPr>
          <w:rFonts w:ascii="Arial" w:hAnsi="Arial" w:cs="Arial"/>
          <w:bCs/>
          <w:sz w:val="24"/>
          <w:szCs w:val="24"/>
        </w:rPr>
        <w:t>nfatti, il tasso annuo di depositi a termine è cresciuto da -7,9 per cento in 2012al 13,9 per cento nel 2013.</w:t>
      </w:r>
    </w:p>
    <w:p w14:paraId="5259EDAE" w14:textId="77777777" w:rsidR="00222F2D" w:rsidRPr="00B0756B"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77F6232A" wp14:editId="38AFEBAF">
            <wp:extent cx="4320000" cy="2880000"/>
            <wp:effectExtent l="0" t="0" r="4445" b="0"/>
            <wp:docPr id="1978751025" name="Immagine 80"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78751025" name="Immagine 80" descr="Immagine che contiene testo, schermata, numero, Carattere&#10;&#10;Descrizione generata automaticamente"/>
                    <pic:cNvPicPr preferRelativeResize="0">
                      <a:picLocks noChangeAspect="1" noChangeArrowheads="1"/>
                    </pic:cNvPicPr>
                  </pic:nvPicPr>
                  <pic:blipFill rotWithShape="1">
                    <a:blip r:embed="rId113">
                      <a:extLst>
                        <a:ext uri="{28A0092B-C50C-407E-A947-70E740481C1C}">
                          <a14:useLocalDpi xmlns:a14="http://schemas.microsoft.com/office/drawing/2010/main" val="0"/>
                        </a:ext>
                      </a:extLst>
                    </a:blip>
                    <a:srcRect l="6338" t="6133" r="1977" b="2291"/>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5F001209"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4FF161EE" wp14:editId="7A46BAA1">
            <wp:extent cx="4320000" cy="1260000"/>
            <wp:effectExtent l="0" t="0" r="4445" b="0"/>
            <wp:docPr id="1926897013" name="Immagine 81" descr="Immagine che contiene testo, schermat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26897013" name="Immagine 81" descr="Immagine che contiene testo, schermata, Carattere, numero&#10;&#10;Descrizione generata automaticamente"/>
                    <pic:cNvPicPr preferRelativeResize="0">
                      <a:picLocks noChangeAspect="1" noChangeArrowheads="1"/>
                    </pic:cNvPicPr>
                  </pic:nvPicPr>
                  <pic:blipFill rotWithShape="1">
                    <a:blip r:embed="rId114">
                      <a:extLst>
                        <a:ext uri="{28A0092B-C50C-407E-A947-70E740481C1C}">
                          <a14:useLocalDpi xmlns:a14="http://schemas.microsoft.com/office/drawing/2010/main" val="0"/>
                        </a:ext>
                      </a:extLst>
                    </a:blip>
                    <a:srcRect l="3206" t="2908" r="5662" b="8774"/>
                    <a:stretch/>
                  </pic:blipFill>
                  <pic:spPr bwMode="auto">
                    <a:xfrm>
                      <a:off x="0" y="0"/>
                      <a:ext cx="432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20C0DDB4" w14:textId="77777777" w:rsidR="00222F2D" w:rsidRDefault="00222F2D" w:rsidP="00222F2D">
      <w:pPr>
        <w:tabs>
          <w:tab w:val="left" w:pos="709"/>
        </w:tabs>
        <w:spacing w:after="0" w:line="360" w:lineRule="auto"/>
        <w:jc w:val="center"/>
        <w:rPr>
          <w:rFonts w:ascii="Arial" w:hAnsi="Arial" w:cs="Arial"/>
          <w:bCs/>
          <w:sz w:val="24"/>
          <w:szCs w:val="24"/>
        </w:rPr>
      </w:pPr>
      <w:r w:rsidRPr="00F80A27">
        <w:rPr>
          <w:rFonts w:ascii="Arial" w:hAnsi="Arial" w:cs="Arial"/>
          <w:bCs/>
          <w:noProof/>
          <w:sz w:val="24"/>
          <w:szCs w:val="24"/>
        </w:rPr>
        <w:drawing>
          <wp:inline distT="0" distB="0" distL="0" distR="0" wp14:anchorId="0672A429" wp14:editId="77105B22">
            <wp:extent cx="4320000" cy="1260000"/>
            <wp:effectExtent l="0" t="0" r="4445" b="0"/>
            <wp:docPr id="752855340" name="Immagine 1" descr="Immagine che contiene testo, schermat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2855340" name="Immagine 1" descr="Immagine che contiene testo, schermata, Carattere, numero&#10;&#10;Descrizione generata automaticamente"/>
                    <pic:cNvPicPr preferRelativeResize="0"/>
                  </pic:nvPicPr>
                  <pic:blipFill>
                    <a:blip r:embed="rId115"/>
                    <a:stretch>
                      <a:fillRect/>
                    </a:stretch>
                  </pic:blipFill>
                  <pic:spPr>
                    <a:xfrm>
                      <a:off x="0" y="0"/>
                      <a:ext cx="4320000" cy="1260000"/>
                    </a:xfrm>
                    <a:prstGeom prst="rect">
                      <a:avLst/>
                    </a:prstGeom>
                  </pic:spPr>
                </pic:pic>
              </a:graphicData>
            </a:graphic>
          </wp:inline>
        </w:drawing>
      </w:r>
    </w:p>
    <w:p w14:paraId="22061497" w14:textId="77777777" w:rsidR="00222F2D" w:rsidRDefault="00222F2D" w:rsidP="00222F2D">
      <w:pPr>
        <w:tabs>
          <w:tab w:val="left" w:pos="709"/>
        </w:tabs>
        <w:spacing w:after="0" w:line="360" w:lineRule="auto"/>
        <w:rPr>
          <w:rFonts w:ascii="Arial" w:hAnsi="Arial" w:cs="Arial"/>
          <w:bCs/>
          <w:sz w:val="24"/>
          <w:szCs w:val="24"/>
        </w:rPr>
      </w:pPr>
    </w:p>
    <w:p w14:paraId="5E50A24C" w14:textId="77777777" w:rsidR="00222F2D" w:rsidRPr="009C621E" w:rsidRDefault="00222F2D" w:rsidP="00222F2D">
      <w:pPr>
        <w:tabs>
          <w:tab w:val="left" w:pos="709"/>
        </w:tabs>
        <w:spacing w:after="0" w:line="360" w:lineRule="auto"/>
        <w:jc w:val="both"/>
        <w:rPr>
          <w:rFonts w:ascii="Arial" w:hAnsi="Arial" w:cs="Arial"/>
          <w:bCs/>
          <w:sz w:val="24"/>
          <w:szCs w:val="24"/>
        </w:rPr>
      </w:pPr>
      <w:r w:rsidRPr="009C621E">
        <w:rPr>
          <w:rFonts w:ascii="Arial" w:hAnsi="Arial" w:cs="Arial"/>
          <w:bCs/>
          <w:sz w:val="24"/>
          <w:szCs w:val="24"/>
        </w:rPr>
        <w:t>Il tasso di crescita del credito totale al settore privato si è ridotto per il terzo anno consecutivo, passando dal 15,4 per cento nel 2012 al 13,2 per cento nel 2013.</w:t>
      </w:r>
    </w:p>
    <w:p w14:paraId="566F1559" w14:textId="77777777" w:rsidR="00222F2D" w:rsidRPr="009C621E" w:rsidRDefault="00222F2D" w:rsidP="00222F2D">
      <w:pPr>
        <w:tabs>
          <w:tab w:val="left" w:pos="709"/>
        </w:tabs>
        <w:spacing w:after="0" w:line="360" w:lineRule="auto"/>
        <w:jc w:val="both"/>
        <w:rPr>
          <w:rFonts w:ascii="Arial" w:hAnsi="Arial" w:cs="Arial"/>
          <w:bCs/>
          <w:sz w:val="24"/>
          <w:szCs w:val="24"/>
        </w:rPr>
      </w:pPr>
    </w:p>
    <w:p w14:paraId="7E92EC11"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498527EE" wp14:editId="1459A39D">
            <wp:extent cx="4320000" cy="2880000"/>
            <wp:effectExtent l="0" t="0" r="4445" b="0"/>
            <wp:docPr id="1910271448" name="Immagine 83"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10271448" name="Immagine 83" descr="Immagine che contiene testo, schermata, numero, Carattere&#10;&#10;Descrizione generata automaticamente"/>
                    <pic:cNvPicPr preferRelativeResize="0">
                      <a:picLocks noChangeAspect="1" noChangeArrowheads="1"/>
                    </pic:cNvPicPr>
                  </pic:nvPicPr>
                  <pic:blipFill rotWithShape="1">
                    <a:blip r:embed="rId116">
                      <a:extLst>
                        <a:ext uri="{28A0092B-C50C-407E-A947-70E740481C1C}">
                          <a14:useLocalDpi xmlns:a14="http://schemas.microsoft.com/office/drawing/2010/main" val="0"/>
                        </a:ext>
                      </a:extLst>
                    </a:blip>
                    <a:srcRect t="2122" r="6020" b="1888"/>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6577483A" w14:textId="77777777" w:rsidR="00222F2D" w:rsidRDefault="00222F2D" w:rsidP="00222F2D">
      <w:pPr>
        <w:tabs>
          <w:tab w:val="left" w:pos="709"/>
        </w:tabs>
        <w:spacing w:after="0" w:line="360" w:lineRule="auto"/>
        <w:rPr>
          <w:rFonts w:ascii="Arial" w:hAnsi="Arial" w:cs="Arial"/>
          <w:bCs/>
          <w:sz w:val="24"/>
          <w:szCs w:val="24"/>
        </w:rPr>
      </w:pPr>
    </w:p>
    <w:p w14:paraId="2C1AC33F" w14:textId="77777777" w:rsidR="00222F2D" w:rsidRPr="00B10222"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t>Più specificamente, il tasso di crescita credito alle imprese è sceso dal 13,3 per cento del 2012 al 13,2 per cento nel 2013. Parimenti il tasso di crescita dei prestiti personali è diminuito dal 19,4 per cento al 13,4 per cento.</w:t>
      </w:r>
    </w:p>
    <w:p w14:paraId="19C10A20" w14:textId="77777777" w:rsidR="00222F2D"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t>Nel credito alle imprese il maggior incremento nella domanda di prestiti si è registrato nel settore minerario, dove la domanda è passata dal -7,6% al 43,2%; seguono il settore manifatturiero con un tasso di crescita pari a circa 8 punti percentuali ed il settore della pesca dove la domanda di credito passa da -7,6% a 7,5%.</w:t>
      </w:r>
    </w:p>
    <w:p w14:paraId="1DAE36FB"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4DE682D2" wp14:editId="1F358264">
            <wp:extent cx="4320000" cy="2880000"/>
            <wp:effectExtent l="0" t="0" r="4445" b="0"/>
            <wp:docPr id="1836988739" name="Immagine 85"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36988739" name="Immagine 85" descr="Immagine che contiene testo, schermata, numero, Carattere&#10;&#10;Descrizione generata automaticamente"/>
                    <pic:cNvPicPr preferRelativeResize="0">
                      <a:picLocks noChangeAspect="1" noChangeArrowheads="1"/>
                    </pic:cNvPicPr>
                  </pic:nvPicPr>
                  <pic:blipFill rotWithShape="1">
                    <a:blip r:embed="rId117">
                      <a:extLst>
                        <a:ext uri="{28A0092B-C50C-407E-A947-70E740481C1C}">
                          <a14:useLocalDpi xmlns:a14="http://schemas.microsoft.com/office/drawing/2010/main" val="0"/>
                        </a:ext>
                      </a:extLst>
                    </a:blip>
                    <a:srcRect l="2763" t="3084" r="6720" b="1936"/>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F800E5B" w14:textId="77777777" w:rsidR="00222F2D" w:rsidRDefault="00222F2D" w:rsidP="00222F2D">
      <w:pPr>
        <w:tabs>
          <w:tab w:val="left" w:pos="709"/>
        </w:tabs>
        <w:spacing w:line="360" w:lineRule="auto"/>
        <w:jc w:val="both"/>
        <w:rPr>
          <w:rFonts w:ascii="Arial" w:hAnsi="Arial" w:cs="Arial"/>
          <w:bCs/>
          <w:sz w:val="24"/>
          <w:szCs w:val="24"/>
        </w:rPr>
      </w:pPr>
      <w:r w:rsidRPr="009C621E">
        <w:rPr>
          <w:rFonts w:ascii="Arial" w:hAnsi="Arial" w:cs="Arial"/>
          <w:bCs/>
          <w:sz w:val="24"/>
          <w:szCs w:val="24"/>
        </w:rPr>
        <w:t>Gli indicatori finanziari delle banche sono peggiorati nel 2013 nelle misure indicate in tabella.</w:t>
      </w:r>
    </w:p>
    <w:p w14:paraId="2EB3845D"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62D7F078" wp14:editId="11312A00">
            <wp:extent cx="4320000" cy="1260000"/>
            <wp:effectExtent l="0" t="0" r="4445" b="0"/>
            <wp:docPr id="1065002580" name="Immagine 1" descr="Immagine che contiene testo, schermat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65002580" name="Immagine 1" descr="Immagine che contiene testo, schermata, Carattere, numero&#10;&#10;Descrizione generata automaticamente"/>
                    <pic:cNvPicPr preferRelativeResize="0">
                      <a:picLocks noChangeAspect="1" noChangeArrowheads="1"/>
                    </pic:cNvPicPr>
                  </pic:nvPicPr>
                  <pic:blipFill rotWithShape="1">
                    <a:blip r:embed="rId118">
                      <a:extLst>
                        <a:ext uri="{28A0092B-C50C-407E-A947-70E740481C1C}">
                          <a14:useLocalDpi xmlns:a14="http://schemas.microsoft.com/office/drawing/2010/main" val="0"/>
                        </a:ext>
                      </a:extLst>
                    </a:blip>
                    <a:srcRect l="2366" r="3270"/>
                    <a:stretch/>
                  </pic:blipFill>
                  <pic:spPr bwMode="auto">
                    <a:xfrm>
                      <a:off x="0" y="0"/>
                      <a:ext cx="432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37E9AC51" w14:textId="77777777" w:rsidR="00222F2D" w:rsidRDefault="00222F2D" w:rsidP="00222F2D">
      <w:pPr>
        <w:tabs>
          <w:tab w:val="left" w:pos="709"/>
        </w:tabs>
        <w:spacing w:after="0" w:line="360" w:lineRule="auto"/>
        <w:rPr>
          <w:rFonts w:ascii="Arial" w:hAnsi="Arial" w:cs="Arial"/>
          <w:bCs/>
          <w:sz w:val="24"/>
          <w:szCs w:val="24"/>
        </w:rPr>
      </w:pPr>
    </w:p>
    <w:p w14:paraId="1A8472AC" w14:textId="77777777" w:rsidR="00222F2D"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t>Il tasso di insolvenza delle grandi imprese è rimasto stabile e su livelli bassi, mentre è aumentato quello delle medie, piccole e microimprese.</w:t>
      </w:r>
    </w:p>
    <w:p w14:paraId="663002C1"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262505E3" wp14:editId="755F9EAB">
            <wp:extent cx="4320000" cy="1260000"/>
            <wp:effectExtent l="0" t="0" r="4445" b="0"/>
            <wp:docPr id="403522825" name="Immagine 2" descr="Immagine che contiene testo, line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3522825" name="Immagine 2" descr="Immagine che contiene testo, linea, Carattere, numero&#10;&#10;Descrizione generata automaticamente"/>
                    <pic:cNvPicPr preferRelativeResize="0">
                      <a:picLocks noChangeAspect="1" noChangeArrowheads="1"/>
                    </pic:cNvPicPr>
                  </pic:nvPicPr>
                  <pic:blipFill rotWithShape="1">
                    <a:blip r:embed="rId119">
                      <a:extLst>
                        <a:ext uri="{28A0092B-C50C-407E-A947-70E740481C1C}">
                          <a14:useLocalDpi xmlns:a14="http://schemas.microsoft.com/office/drawing/2010/main" val="0"/>
                        </a:ext>
                      </a:extLst>
                    </a:blip>
                    <a:srcRect l="1008" t="5622" r="1905" b="8756"/>
                    <a:stretch/>
                  </pic:blipFill>
                  <pic:spPr bwMode="auto">
                    <a:xfrm>
                      <a:off x="0" y="0"/>
                      <a:ext cx="432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5AE690E3" w14:textId="77777777" w:rsidR="00222F2D" w:rsidRDefault="00222F2D" w:rsidP="00222F2D">
      <w:pPr>
        <w:tabs>
          <w:tab w:val="left" w:pos="709"/>
        </w:tabs>
        <w:spacing w:after="0" w:line="360" w:lineRule="auto"/>
        <w:jc w:val="both"/>
        <w:rPr>
          <w:rFonts w:ascii="Arial" w:hAnsi="Arial" w:cs="Arial"/>
          <w:bCs/>
          <w:sz w:val="24"/>
          <w:szCs w:val="24"/>
        </w:rPr>
      </w:pPr>
    </w:p>
    <w:p w14:paraId="5A512815" w14:textId="77777777" w:rsidR="00222F2D" w:rsidRPr="00B10222" w:rsidRDefault="00222F2D" w:rsidP="00222F2D">
      <w:pPr>
        <w:tabs>
          <w:tab w:val="left" w:pos="709"/>
        </w:tabs>
        <w:spacing w:after="0" w:line="360" w:lineRule="auto"/>
        <w:jc w:val="both"/>
        <w:rPr>
          <w:rFonts w:ascii="Arial" w:hAnsi="Arial" w:cs="Arial"/>
          <w:bCs/>
          <w:sz w:val="24"/>
          <w:szCs w:val="24"/>
        </w:rPr>
      </w:pPr>
      <w:r w:rsidRPr="00B10222">
        <w:rPr>
          <w:rFonts w:ascii="Arial" w:hAnsi="Arial" w:cs="Arial"/>
          <w:bCs/>
          <w:sz w:val="24"/>
          <w:szCs w:val="24"/>
        </w:rPr>
        <w:t>Anche gli indicatori delle società finanziarie non bancarie hanno mostrato un deterioramento, un aumento dei tassi di insolvenza e una riduzione dei tassi di copertura del portafoglio ad alto rischio. Nello specifico le Casse rurali di Risparmio hanno presentato il più alto tasso di insolvenza (7,0 per cento nel 2013) e il più basso rapporto di copertura del portafoglio ad alto rischio (84,7 per cento nel 2013).</w:t>
      </w:r>
    </w:p>
    <w:p w14:paraId="767BA2BD" w14:textId="77777777" w:rsidR="00222F2D"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t>Infine, tutte le istituzioni non bancarie hanno ridotto la loro redditività nel 2013.</w:t>
      </w:r>
    </w:p>
    <w:p w14:paraId="001F2932"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056F1B7" wp14:editId="5283F363">
            <wp:extent cx="4320000" cy="2880000"/>
            <wp:effectExtent l="0" t="0" r="4445" b="0"/>
            <wp:docPr id="841339304" name="Immagine 3" descr="Immagine che contiene testo, schermata, numero, scherm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1339304" name="Immagine 3" descr="Immagine che contiene testo, schermata, numero, schermo&#10;&#10;Descrizione generata automaticamente"/>
                    <pic:cNvPicPr preferRelativeResize="0">
                      <a:picLocks noChangeAspect="1" noChangeArrowheads="1"/>
                    </pic:cNvPicPr>
                  </pic:nvPicPr>
                  <pic:blipFill rotWithShape="1">
                    <a:blip r:embed="rId120">
                      <a:extLst>
                        <a:ext uri="{28A0092B-C50C-407E-A947-70E740481C1C}">
                          <a14:useLocalDpi xmlns:a14="http://schemas.microsoft.com/office/drawing/2010/main" val="0"/>
                        </a:ext>
                      </a:extLst>
                    </a:blip>
                    <a:srcRect l="1429" t="1725" r="1297" b="2811"/>
                    <a:stretch/>
                  </pic:blipFill>
                  <pic:spPr bwMode="auto">
                    <a:xfrm>
                      <a:off x="0" y="0"/>
                      <a:ext cx="432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67C1272" w14:textId="77777777" w:rsidR="00222F2D" w:rsidRDefault="00222F2D" w:rsidP="00222F2D">
      <w:pPr>
        <w:tabs>
          <w:tab w:val="left" w:pos="709"/>
        </w:tabs>
        <w:spacing w:after="0" w:line="360" w:lineRule="auto"/>
        <w:jc w:val="center"/>
        <w:rPr>
          <w:rFonts w:ascii="Arial" w:hAnsi="Arial" w:cs="Arial"/>
          <w:bCs/>
          <w:sz w:val="24"/>
          <w:szCs w:val="24"/>
        </w:rPr>
      </w:pPr>
    </w:p>
    <w:p w14:paraId="20DC6A7F" w14:textId="77777777" w:rsidR="00222F2D" w:rsidRDefault="00222F2D" w:rsidP="00222F2D">
      <w:pPr>
        <w:tabs>
          <w:tab w:val="left" w:pos="709"/>
        </w:tabs>
        <w:spacing w:after="0" w:line="360" w:lineRule="auto"/>
        <w:jc w:val="both"/>
        <w:rPr>
          <w:rFonts w:ascii="Arial" w:hAnsi="Arial" w:cs="Arial"/>
          <w:bCs/>
          <w:sz w:val="24"/>
          <w:szCs w:val="24"/>
        </w:rPr>
      </w:pPr>
      <w:r w:rsidRPr="00B10222">
        <w:rPr>
          <w:rFonts w:ascii="Arial" w:hAnsi="Arial" w:cs="Arial"/>
          <w:bCs/>
          <w:sz w:val="24"/>
          <w:szCs w:val="24"/>
        </w:rPr>
        <w:t xml:space="preserve">In particolare, secondo il </w:t>
      </w:r>
      <w:r w:rsidRPr="00FC3DC9">
        <w:rPr>
          <w:rFonts w:ascii="Arial" w:hAnsi="Arial" w:cs="Arial"/>
          <w:bCs/>
          <w:i/>
          <w:iCs/>
          <w:sz w:val="24"/>
          <w:szCs w:val="24"/>
        </w:rPr>
        <w:t>Reporte de Estabilidad Financiera</w:t>
      </w:r>
      <w:r w:rsidRPr="00B10222">
        <w:rPr>
          <w:rFonts w:ascii="Arial" w:hAnsi="Arial" w:cs="Arial"/>
          <w:bCs/>
          <w:sz w:val="24"/>
          <w:szCs w:val="24"/>
        </w:rPr>
        <w:t xml:space="preserve">, pubblicato a novembre 2014 dal </w:t>
      </w:r>
      <w:r w:rsidRPr="00FC3DC9">
        <w:rPr>
          <w:rFonts w:ascii="Arial" w:hAnsi="Arial" w:cs="Arial"/>
          <w:bCs/>
          <w:i/>
          <w:iCs/>
          <w:sz w:val="24"/>
          <w:szCs w:val="24"/>
        </w:rPr>
        <w:t>Banco Central de Reserva del Perù</w:t>
      </w:r>
      <w:r w:rsidRPr="00B10222">
        <w:rPr>
          <w:rFonts w:ascii="Arial" w:hAnsi="Arial" w:cs="Arial"/>
          <w:bCs/>
          <w:sz w:val="24"/>
          <w:szCs w:val="24"/>
        </w:rPr>
        <w:t>, il tasso di insolvenza si attesta a livelli più alti per il settore non bancario rispetto alle banche, in quanto riflette il rischio associato ai segmenti in cui operano principalmente le micro e piccole imprese.</w:t>
      </w:r>
    </w:p>
    <w:p w14:paraId="42EE4C26" w14:textId="77777777" w:rsidR="00222F2D" w:rsidRDefault="00222F2D" w:rsidP="00222F2D">
      <w:pPr>
        <w:tabs>
          <w:tab w:val="left" w:pos="709"/>
        </w:tabs>
        <w:spacing w:after="0" w:line="360" w:lineRule="auto"/>
        <w:jc w:val="both"/>
        <w:rPr>
          <w:rFonts w:ascii="Arial" w:hAnsi="Arial" w:cs="Arial"/>
          <w:bCs/>
          <w:sz w:val="24"/>
          <w:szCs w:val="24"/>
        </w:rPr>
      </w:pPr>
    </w:p>
    <w:p w14:paraId="4AEC289E"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2B1D0B30" wp14:editId="1442EB56">
            <wp:extent cx="4320000" cy="1260000"/>
            <wp:effectExtent l="0" t="0" r="4445" b="0"/>
            <wp:docPr id="879774638" name="Immagine 4" descr="Immagine che contiene testo, schermata, numer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9774638" name="Immagine 4" descr="Immagine che contiene testo, schermata, numero, Carattere&#10;&#10;Descrizione generata automaticamente"/>
                    <pic:cNvPicPr preferRelativeResize="0">
                      <a:picLocks noChangeAspect="1" noChangeArrowheads="1"/>
                    </pic:cNvPicPr>
                  </pic:nvPicPr>
                  <pic:blipFill rotWithShape="1">
                    <a:blip r:embed="rId121">
                      <a:extLst>
                        <a:ext uri="{28A0092B-C50C-407E-A947-70E740481C1C}">
                          <a14:useLocalDpi xmlns:a14="http://schemas.microsoft.com/office/drawing/2010/main" val="0"/>
                        </a:ext>
                      </a:extLst>
                    </a:blip>
                    <a:srcRect l="1219" t="4121" r="7244" b="7640"/>
                    <a:stretch/>
                  </pic:blipFill>
                  <pic:spPr bwMode="auto">
                    <a:xfrm>
                      <a:off x="0" y="0"/>
                      <a:ext cx="432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60DF14EE" w14:textId="77777777" w:rsidR="00222F2D" w:rsidRDefault="00222F2D" w:rsidP="00222F2D">
      <w:pPr>
        <w:tabs>
          <w:tab w:val="left" w:pos="709"/>
        </w:tabs>
        <w:spacing w:after="0" w:line="360" w:lineRule="auto"/>
        <w:rPr>
          <w:rFonts w:ascii="Arial" w:hAnsi="Arial" w:cs="Arial"/>
          <w:bCs/>
          <w:sz w:val="24"/>
          <w:szCs w:val="24"/>
        </w:rPr>
      </w:pPr>
    </w:p>
    <w:p w14:paraId="6932DF00" w14:textId="77777777" w:rsidR="00222F2D" w:rsidRDefault="00222F2D" w:rsidP="00222F2D">
      <w:pPr>
        <w:tabs>
          <w:tab w:val="left" w:pos="709"/>
        </w:tabs>
        <w:spacing w:after="0" w:line="360" w:lineRule="auto"/>
        <w:rPr>
          <w:rFonts w:ascii="Arial" w:hAnsi="Arial" w:cs="Arial"/>
          <w:bCs/>
          <w:sz w:val="24"/>
          <w:szCs w:val="24"/>
        </w:rPr>
      </w:pPr>
    </w:p>
    <w:p w14:paraId="5FA1FC75" w14:textId="77777777" w:rsidR="00222F2D" w:rsidRPr="00B10222" w:rsidRDefault="00222F2D" w:rsidP="00222F2D">
      <w:pPr>
        <w:tabs>
          <w:tab w:val="left" w:pos="709"/>
        </w:tabs>
        <w:spacing w:after="0" w:line="360" w:lineRule="auto"/>
        <w:jc w:val="both"/>
        <w:rPr>
          <w:rFonts w:ascii="Arial" w:hAnsi="Arial" w:cs="Arial"/>
          <w:bCs/>
          <w:sz w:val="24"/>
          <w:szCs w:val="24"/>
        </w:rPr>
      </w:pPr>
      <w:r w:rsidRPr="00B10222">
        <w:rPr>
          <w:rFonts w:ascii="Arial" w:hAnsi="Arial" w:cs="Arial"/>
          <w:bCs/>
          <w:sz w:val="24"/>
          <w:szCs w:val="24"/>
        </w:rPr>
        <w:t>II.</w:t>
      </w:r>
      <w:r>
        <w:rPr>
          <w:rFonts w:ascii="Arial" w:hAnsi="Arial" w:cs="Arial"/>
          <w:bCs/>
          <w:sz w:val="24"/>
          <w:szCs w:val="24"/>
        </w:rPr>
        <w:t>4</w:t>
      </w:r>
      <w:r w:rsidRPr="00B10222">
        <w:rPr>
          <w:rFonts w:ascii="Arial" w:hAnsi="Arial" w:cs="Arial"/>
          <w:bCs/>
          <w:sz w:val="24"/>
          <w:szCs w:val="24"/>
        </w:rPr>
        <w:t>.</w:t>
      </w:r>
      <w:r w:rsidRPr="00B10222">
        <w:rPr>
          <w:rFonts w:ascii="Arial" w:hAnsi="Arial" w:cs="Arial"/>
          <w:bCs/>
          <w:sz w:val="24"/>
          <w:szCs w:val="24"/>
        </w:rPr>
        <w:tab/>
        <w:t>Il sistema della microfinanza</w:t>
      </w:r>
    </w:p>
    <w:p w14:paraId="645EFF33" w14:textId="77777777" w:rsidR="00222F2D" w:rsidRPr="00B10222" w:rsidRDefault="00222F2D" w:rsidP="00222F2D">
      <w:pPr>
        <w:tabs>
          <w:tab w:val="left" w:pos="709"/>
        </w:tabs>
        <w:spacing w:after="0" w:line="360" w:lineRule="auto"/>
        <w:jc w:val="both"/>
        <w:rPr>
          <w:rFonts w:ascii="Arial" w:hAnsi="Arial" w:cs="Arial"/>
          <w:bCs/>
          <w:sz w:val="24"/>
          <w:szCs w:val="24"/>
        </w:rPr>
      </w:pPr>
    </w:p>
    <w:p w14:paraId="2B713A8B" w14:textId="77777777" w:rsidR="00222F2D" w:rsidRPr="00B10222"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t>Il Perù ospita numerose società di microfinanza (67 censite nel presente lavoro).</w:t>
      </w:r>
    </w:p>
    <w:p w14:paraId="31DFB95E" w14:textId="77777777" w:rsidR="00222F2D" w:rsidRPr="00B10222"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t>Tra tali istituzioni, che offrono servizi finanziari alle piccole e microimprese e a chi si trova in condizioni prevalentemente di povertà, sono incluse le Banche, le Società finanziarie (</w:t>
      </w:r>
      <w:r w:rsidRPr="00D55B50">
        <w:rPr>
          <w:rFonts w:ascii="Arial" w:hAnsi="Arial" w:cs="Arial"/>
          <w:bCs/>
          <w:i/>
          <w:iCs/>
          <w:sz w:val="24"/>
          <w:szCs w:val="24"/>
        </w:rPr>
        <w:t>Empresas Financieras</w:t>
      </w:r>
      <w:r w:rsidRPr="00B10222">
        <w:rPr>
          <w:rFonts w:ascii="Arial" w:hAnsi="Arial" w:cs="Arial"/>
          <w:bCs/>
          <w:sz w:val="24"/>
          <w:szCs w:val="24"/>
        </w:rPr>
        <w:t>), le CMACs (</w:t>
      </w:r>
      <w:r w:rsidRPr="00D55B50">
        <w:rPr>
          <w:rFonts w:ascii="Arial" w:hAnsi="Arial" w:cs="Arial"/>
          <w:bCs/>
          <w:i/>
          <w:iCs/>
          <w:sz w:val="24"/>
          <w:szCs w:val="24"/>
        </w:rPr>
        <w:t>Cajas Municipales de Ahorro y Crédito</w:t>
      </w:r>
      <w:r w:rsidRPr="00B10222">
        <w:rPr>
          <w:rFonts w:ascii="Arial" w:hAnsi="Arial" w:cs="Arial"/>
          <w:bCs/>
          <w:sz w:val="24"/>
          <w:szCs w:val="24"/>
        </w:rPr>
        <w:t>), le CRACs (</w:t>
      </w:r>
      <w:r w:rsidRPr="00D55B50">
        <w:rPr>
          <w:rFonts w:ascii="Arial" w:hAnsi="Arial" w:cs="Arial"/>
          <w:bCs/>
          <w:i/>
          <w:iCs/>
          <w:sz w:val="24"/>
          <w:szCs w:val="24"/>
        </w:rPr>
        <w:t>Cajas Rurales de Ahorro y Crédito</w:t>
      </w:r>
      <w:r w:rsidRPr="00B10222">
        <w:rPr>
          <w:rFonts w:ascii="Arial" w:hAnsi="Arial" w:cs="Arial"/>
          <w:bCs/>
          <w:sz w:val="24"/>
          <w:szCs w:val="24"/>
        </w:rPr>
        <w:t>), le Edpyme</w:t>
      </w:r>
      <w:r>
        <w:rPr>
          <w:rFonts w:ascii="Arial" w:hAnsi="Arial" w:cs="Arial"/>
          <w:bCs/>
          <w:sz w:val="24"/>
          <w:szCs w:val="24"/>
        </w:rPr>
        <w:t xml:space="preserve"> </w:t>
      </w:r>
      <w:r w:rsidRPr="00B10222">
        <w:rPr>
          <w:rFonts w:ascii="Arial" w:hAnsi="Arial" w:cs="Arial"/>
          <w:bCs/>
          <w:sz w:val="24"/>
          <w:szCs w:val="24"/>
        </w:rPr>
        <w:t>(</w:t>
      </w:r>
      <w:r w:rsidRPr="00D55B50">
        <w:rPr>
          <w:rFonts w:ascii="Arial" w:hAnsi="Arial" w:cs="Arial"/>
          <w:bCs/>
          <w:i/>
          <w:iCs/>
          <w:sz w:val="24"/>
          <w:szCs w:val="24"/>
        </w:rPr>
        <w:t>Entidad de Desarrollo para la Pequeña y Microempresa</w:t>
      </w:r>
      <w:r w:rsidRPr="00B10222">
        <w:rPr>
          <w:rFonts w:ascii="Arial" w:hAnsi="Arial" w:cs="Arial"/>
          <w:bCs/>
          <w:sz w:val="24"/>
          <w:szCs w:val="24"/>
        </w:rPr>
        <w:t xml:space="preserve">), le </w:t>
      </w:r>
      <w:r w:rsidRPr="00D55B50">
        <w:rPr>
          <w:rFonts w:ascii="Arial" w:hAnsi="Arial" w:cs="Arial"/>
          <w:bCs/>
          <w:i/>
          <w:iCs/>
          <w:sz w:val="24"/>
          <w:szCs w:val="24"/>
        </w:rPr>
        <w:t>Cooperativas de ahorro y crédito</w:t>
      </w:r>
      <w:r w:rsidRPr="00B10222">
        <w:rPr>
          <w:rFonts w:ascii="Arial" w:hAnsi="Arial" w:cs="Arial"/>
          <w:bCs/>
          <w:sz w:val="24"/>
          <w:szCs w:val="24"/>
        </w:rPr>
        <w:t>, le ONG (Organizzazioni Non Governative).</w:t>
      </w:r>
    </w:p>
    <w:p w14:paraId="6ED720F0" w14:textId="77777777" w:rsidR="00222F2D" w:rsidRPr="00B10222"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lastRenderedPageBreak/>
        <w:t xml:space="preserve">Le banche in Perù sono istituzioni regolate che offrono diversi servizi finanziari. Oltre ai servizi di deposito, le banche hanno cominciato ad erogare prestiti alle piccole e microimprese a partire dagli anni '80. In particolare, </w:t>
      </w:r>
      <w:r w:rsidRPr="000A428D">
        <w:rPr>
          <w:rFonts w:ascii="Arial" w:hAnsi="Arial" w:cs="Arial"/>
          <w:bCs/>
          <w:i/>
          <w:iCs/>
          <w:sz w:val="24"/>
          <w:szCs w:val="24"/>
        </w:rPr>
        <w:t>Mibanco</w:t>
      </w:r>
      <w:r w:rsidRPr="00B10222">
        <w:rPr>
          <w:rFonts w:ascii="Arial" w:hAnsi="Arial" w:cs="Arial"/>
          <w:bCs/>
          <w:sz w:val="24"/>
          <w:szCs w:val="24"/>
        </w:rPr>
        <w:t>, fondata nel 1998, è stata la prima banca peruviana specializzata nel microcredito.</w:t>
      </w:r>
    </w:p>
    <w:p w14:paraId="4E179691" w14:textId="77777777" w:rsidR="00222F2D" w:rsidRPr="00B10222"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t>Le Società finanziarie sono istituzioni regolamentate che offrono servizi bancari generali e servizi specializzati per le microimprese.</w:t>
      </w:r>
    </w:p>
    <w:p w14:paraId="79F80A6B" w14:textId="77777777" w:rsidR="00222F2D" w:rsidRDefault="00222F2D" w:rsidP="00222F2D">
      <w:pPr>
        <w:tabs>
          <w:tab w:val="left" w:pos="709"/>
        </w:tabs>
        <w:spacing w:line="360" w:lineRule="auto"/>
        <w:jc w:val="both"/>
        <w:rPr>
          <w:rFonts w:ascii="Arial" w:hAnsi="Arial" w:cs="Arial"/>
          <w:bCs/>
          <w:sz w:val="24"/>
          <w:szCs w:val="24"/>
        </w:rPr>
      </w:pPr>
      <w:r w:rsidRPr="00B10222">
        <w:rPr>
          <w:rFonts w:ascii="Arial" w:hAnsi="Arial" w:cs="Arial"/>
          <w:bCs/>
          <w:sz w:val="24"/>
          <w:szCs w:val="24"/>
        </w:rPr>
        <w:t>Le CMACs sono istituzioni comunali non bancarie regolamentate di proprietà del governo, che ricevono depositi ed erogano prevalentemente prestiti alle piccole e microimprese. Dal 2002, esse sono autorizzate a operare ovunque e ad offrire diversi servizi bancari. Le CRACs sono istituzioni regolate ed autorizzate a ricevere depositi nonché ad offrire tutti tipi di prestiti, pur non potendo gestire conti correnti. Create nel 1992 come istituzioni specializzate a servire il settore dell’agricoltura, negli anni la loro operatività è stata estesa ai servizi finanziari per il commercio.</w:t>
      </w:r>
    </w:p>
    <w:p w14:paraId="3BB4B198"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Le EDYPME sono istituzioni non bancarie, regolamentate e specializzate in prestiti rivolti alla piccola e microimpresa. Detti istituti, non potendo raccogliere risorse mediante depositi,utilizzano il proprio capitale e i fondi che provengono da donazioni.</w:t>
      </w:r>
    </w:p>
    <w:p w14:paraId="1E0DDE7A"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 xml:space="preserve">Le </w:t>
      </w:r>
      <w:r w:rsidRPr="000A428D">
        <w:rPr>
          <w:rFonts w:ascii="Arial" w:hAnsi="Arial" w:cs="Arial"/>
          <w:bCs/>
          <w:i/>
          <w:iCs/>
          <w:sz w:val="24"/>
          <w:szCs w:val="24"/>
        </w:rPr>
        <w:t>Cooperativas de ahorro y crédito</w:t>
      </w:r>
      <w:r w:rsidRPr="002069DD">
        <w:rPr>
          <w:rFonts w:ascii="Arial" w:hAnsi="Arial" w:cs="Arial"/>
          <w:bCs/>
          <w:sz w:val="24"/>
          <w:szCs w:val="24"/>
        </w:rPr>
        <w:t xml:space="preserve"> sono organizzazioni non profit volte a fornire, tra i vari servizi finanziari, depositi e prestiti a prezzi contenuti.</w:t>
      </w:r>
    </w:p>
    <w:p w14:paraId="151CA206"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Le ONG svolgono principalmente programmi di microfinanza. In Perù le maggiori ONG specializzate in microfinanza sono membri di COPEME, ossia l’associazione di categoria che promuove le piccole e microimprese. Tali ONG sono auto-regolate con l'assistenza di COPEME, che fornisce loro consigli sugli standard internazionali e sul buon governo per il settore della microfinanza.</w:t>
      </w:r>
    </w:p>
    <w:p w14:paraId="06808066"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 xml:space="preserve">Nel suo insieme il microcredito in Perù ha avuto un forte sviluppo con la risoluzione n. 572 del 1997 della SBS che ha aggiunto una nuova categoria di prestiti per la microfinanza, definiti </w:t>
      </w:r>
      <w:r w:rsidRPr="000A428D">
        <w:rPr>
          <w:rFonts w:ascii="Arial" w:hAnsi="Arial" w:cs="Arial"/>
          <w:bCs/>
          <w:i/>
          <w:iCs/>
          <w:sz w:val="24"/>
          <w:szCs w:val="24"/>
        </w:rPr>
        <w:t>crediti alla microimpresa</w:t>
      </w:r>
      <w:r w:rsidRPr="002069DD">
        <w:rPr>
          <w:rFonts w:ascii="Arial" w:hAnsi="Arial" w:cs="Arial"/>
          <w:bCs/>
          <w:sz w:val="24"/>
          <w:szCs w:val="24"/>
        </w:rPr>
        <w:t>. Questa risoluzione ha aperto una porta significativa all’espansione del credito alle piccole e micro-imprese attraverso la definizione dei prestiti ammissibili alle microimprese, vale a dire quei prestiti diretti o indiretti concessi a persone fisiche e giuridiche, per il finanziamento delle attività di produzione, commercio e servizi e che possiedono un totale attivo non superiore a 20.000 dollari, esclusi i beni immobili, ed un debito nel sistema finanziario non superiore a 20.000</w:t>
      </w:r>
      <w:r>
        <w:rPr>
          <w:rFonts w:ascii="Arial" w:hAnsi="Arial" w:cs="Arial"/>
          <w:bCs/>
          <w:sz w:val="24"/>
          <w:szCs w:val="24"/>
        </w:rPr>
        <w:t xml:space="preserve"> </w:t>
      </w:r>
      <w:r w:rsidRPr="002069DD">
        <w:rPr>
          <w:rFonts w:ascii="Arial" w:hAnsi="Arial" w:cs="Arial"/>
          <w:bCs/>
          <w:sz w:val="24"/>
          <w:szCs w:val="24"/>
        </w:rPr>
        <w:t>dollari o l'equivalente in valuta nazionale.</w:t>
      </w:r>
    </w:p>
    <w:p w14:paraId="0ACA6FB9"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lastRenderedPageBreak/>
        <w:t>Successivamente la risoluzione n. 808 del 2003 della SBS ha modificato la definizione dei crediti alle microimprese (risoluzione n. 572-97 della SBS), aumentando a 30.000 dollari il limite del debito complessivo.</w:t>
      </w:r>
    </w:p>
    <w:p w14:paraId="132CB532"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 xml:space="preserve">Alla luce di quanto detto, le MFIs (Istituzioni di microfinanza) si suddividono in regolate e non regolate dalla </w:t>
      </w:r>
      <w:r w:rsidRPr="000A428D">
        <w:rPr>
          <w:rFonts w:ascii="Arial" w:hAnsi="Arial" w:cs="Arial"/>
          <w:bCs/>
          <w:i/>
          <w:iCs/>
          <w:sz w:val="24"/>
          <w:szCs w:val="24"/>
        </w:rPr>
        <w:t>Superintendencia de Banca</w:t>
      </w:r>
      <w:r w:rsidRPr="002069DD">
        <w:rPr>
          <w:rFonts w:ascii="Arial" w:hAnsi="Arial" w:cs="Arial"/>
          <w:bCs/>
          <w:sz w:val="24"/>
          <w:szCs w:val="24"/>
        </w:rPr>
        <w:t xml:space="preserve">, </w:t>
      </w:r>
      <w:r w:rsidRPr="000A428D">
        <w:rPr>
          <w:rFonts w:ascii="Arial" w:hAnsi="Arial" w:cs="Arial"/>
          <w:bCs/>
          <w:i/>
          <w:iCs/>
          <w:sz w:val="24"/>
          <w:szCs w:val="24"/>
        </w:rPr>
        <w:t>Seguros y Administradoras Privadas de Fondos de Pensiones</w:t>
      </w:r>
      <w:r w:rsidRPr="002069DD">
        <w:rPr>
          <w:rFonts w:ascii="Arial" w:hAnsi="Arial" w:cs="Arial"/>
          <w:bCs/>
          <w:sz w:val="24"/>
          <w:szCs w:val="24"/>
        </w:rPr>
        <w:t xml:space="preserve"> (SBS).</w:t>
      </w:r>
    </w:p>
    <w:p w14:paraId="3530005A"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 xml:space="preserve">La SBS, a sua volta, è un ente pubblico autonomo, che regola e supervisiona tutte le istituzioni del sistema finanziario, assicurativo e dei fondi pensione privati. Il suo scopo è proteggere il risparmio, le assicurazioni e le pensioni del pubblico in generale. La SBS autorizza l'organizzazione e le funzioni di tutte le istituzioni finanziarie regolamentate. Come ente governatore ha giocato un ruolo chiave nello sviluppo di regolamentazioni per la microfinanza in Perù. È un istituto di vigilanza e di regolamentazione riconosciuto a livello mondiale, la cui </w:t>
      </w:r>
      <w:r w:rsidRPr="000A428D">
        <w:rPr>
          <w:rFonts w:ascii="Arial" w:hAnsi="Arial" w:cs="Arial"/>
          <w:bCs/>
          <w:i/>
          <w:iCs/>
          <w:sz w:val="24"/>
          <w:szCs w:val="24"/>
        </w:rPr>
        <w:t>mission</w:t>
      </w:r>
      <w:r w:rsidRPr="002069DD">
        <w:rPr>
          <w:rFonts w:ascii="Arial" w:hAnsi="Arial" w:cs="Arial"/>
          <w:bCs/>
          <w:sz w:val="24"/>
          <w:szCs w:val="24"/>
        </w:rPr>
        <w:t xml:space="preserve"> è tutelare l'interesse pubblico, salvaguardando la stabilità, la solvibilità e la trasparenza dei sistemi monitorati, promuovere una maggiore inclusione finanziaria e contribuire al sistema di prevenzione e individuazione di riciclaggio di denaro e del finanziamento del terrorismo.</w:t>
      </w:r>
    </w:p>
    <w:p w14:paraId="0D8A5796"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Le MFIs non regolate sono Organizzazioni Non Governative (ONG) senza fine di lucro.</w:t>
      </w:r>
    </w:p>
    <w:p w14:paraId="0F4ED5A2"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Le MFIs regolate, invece sono assoggettate alla Legge n. 26702 della SBS.</w:t>
      </w:r>
    </w:p>
    <w:p w14:paraId="5E666DE8"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Ai sensi dell’art</w:t>
      </w:r>
      <w:r>
        <w:rPr>
          <w:rFonts w:ascii="Arial" w:hAnsi="Arial" w:cs="Arial"/>
          <w:bCs/>
          <w:sz w:val="24"/>
          <w:szCs w:val="24"/>
        </w:rPr>
        <w:t>.</w:t>
      </w:r>
      <w:r w:rsidRPr="002069DD">
        <w:rPr>
          <w:rFonts w:ascii="Arial" w:hAnsi="Arial" w:cs="Arial"/>
          <w:bCs/>
          <w:sz w:val="24"/>
          <w:szCs w:val="24"/>
        </w:rPr>
        <w:t xml:space="preserve"> 9 di tale legge, le società finanziarie sono libere di indicare i tassi di interesse, le commissioni e le spese per le proprie operazioni e servizi. La fissazione dei tassi di interesse da parte della società deve rispettare i limiti previsti dalla Banca Centrale e, in via eccezionale, le disposizioni del proprio statuto. I tassi di interesse, le commissioni e le altre spese devono essere portati a conoscenza del pubblico, secondo le regole stabilite dalla SBS.</w:t>
      </w:r>
    </w:p>
    <w:p w14:paraId="1A93571E" w14:textId="77777777" w:rsidR="00222F2D" w:rsidRDefault="00222F2D" w:rsidP="00222F2D">
      <w:pPr>
        <w:tabs>
          <w:tab w:val="left" w:pos="709"/>
        </w:tabs>
        <w:spacing w:after="0" w:line="360" w:lineRule="auto"/>
        <w:jc w:val="both"/>
        <w:rPr>
          <w:rFonts w:ascii="Arial" w:hAnsi="Arial" w:cs="Arial"/>
          <w:bCs/>
          <w:sz w:val="24"/>
          <w:szCs w:val="24"/>
        </w:rPr>
      </w:pPr>
      <w:r w:rsidRPr="002069DD">
        <w:rPr>
          <w:rFonts w:ascii="Arial" w:hAnsi="Arial" w:cs="Arial"/>
          <w:bCs/>
          <w:sz w:val="24"/>
          <w:szCs w:val="24"/>
        </w:rPr>
        <w:t xml:space="preserve">Sempre sotto il profilo normativo occorre ricordare che le </w:t>
      </w:r>
      <w:r w:rsidRPr="006F17F9">
        <w:rPr>
          <w:rFonts w:ascii="Arial" w:hAnsi="Arial" w:cs="Arial"/>
          <w:bCs/>
          <w:i/>
          <w:iCs/>
          <w:sz w:val="24"/>
          <w:szCs w:val="24"/>
        </w:rPr>
        <w:t>Cajas Municipales de Ahorro y Crédito e le Cajas Municipales de Crédito Popular</w:t>
      </w:r>
      <w:r w:rsidRPr="002069DD">
        <w:rPr>
          <w:rFonts w:ascii="Arial" w:hAnsi="Arial" w:cs="Arial"/>
          <w:bCs/>
          <w:sz w:val="24"/>
          <w:szCs w:val="24"/>
        </w:rPr>
        <w:t xml:space="preserve"> sono disciplinate anche da proprie leggi.</w:t>
      </w:r>
    </w:p>
    <w:p w14:paraId="2181DAB7"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664AECE0" wp14:editId="636E34C6">
            <wp:extent cx="4320000" cy="2160000"/>
            <wp:effectExtent l="0" t="0" r="4445" b="0"/>
            <wp:docPr id="1511355544" name="Immagine 5" descr="Immagine che contiene testo, schermat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11355544" name="Immagine 5" descr="Immagine che contiene testo, schermata, Carattere, numero&#10;&#10;Descrizione generata automaticamente"/>
                    <pic:cNvPicPr preferRelativeResize="0">
                      <a:picLocks noChangeAspect="1" noChangeArrowheads="1"/>
                    </pic:cNvPicPr>
                  </pic:nvPicPr>
                  <pic:blipFill rotWithShape="1">
                    <a:blip r:embed="rId122">
                      <a:extLst>
                        <a:ext uri="{28A0092B-C50C-407E-A947-70E740481C1C}">
                          <a14:useLocalDpi xmlns:a14="http://schemas.microsoft.com/office/drawing/2010/main" val="0"/>
                        </a:ext>
                      </a:extLst>
                    </a:blip>
                    <a:srcRect l="2686" t="2680" r="5884" b="6437"/>
                    <a:stretch/>
                  </pic:blipFill>
                  <pic:spPr bwMode="auto">
                    <a:xfrm>
                      <a:off x="0" y="0"/>
                      <a:ext cx="4320000" cy="2160000"/>
                    </a:xfrm>
                    <a:prstGeom prst="rect">
                      <a:avLst/>
                    </a:prstGeom>
                    <a:noFill/>
                    <a:ln>
                      <a:noFill/>
                    </a:ln>
                    <a:extLst>
                      <a:ext uri="{53640926-AAD7-44D8-BBD7-CCE9431645EC}">
                        <a14:shadowObscured xmlns:a14="http://schemas.microsoft.com/office/drawing/2010/main"/>
                      </a:ext>
                    </a:extLst>
                  </pic:spPr>
                </pic:pic>
              </a:graphicData>
            </a:graphic>
          </wp:inline>
        </w:drawing>
      </w:r>
    </w:p>
    <w:p w14:paraId="0DB05688" w14:textId="77777777" w:rsidR="00222F2D" w:rsidRDefault="00222F2D" w:rsidP="00222F2D">
      <w:pPr>
        <w:tabs>
          <w:tab w:val="left" w:pos="709"/>
        </w:tabs>
        <w:spacing w:after="0" w:line="360" w:lineRule="auto"/>
        <w:rPr>
          <w:rFonts w:ascii="Arial" w:hAnsi="Arial" w:cs="Arial"/>
          <w:bCs/>
          <w:sz w:val="24"/>
          <w:szCs w:val="24"/>
        </w:rPr>
      </w:pPr>
    </w:p>
    <w:p w14:paraId="40F44DCA" w14:textId="77777777" w:rsidR="00222F2D" w:rsidRPr="002069DD" w:rsidRDefault="00222F2D" w:rsidP="00222F2D">
      <w:pPr>
        <w:tabs>
          <w:tab w:val="left" w:pos="709"/>
        </w:tabs>
        <w:spacing w:after="0" w:line="360" w:lineRule="auto"/>
        <w:rPr>
          <w:rFonts w:ascii="Arial" w:hAnsi="Arial" w:cs="Arial"/>
          <w:bCs/>
          <w:sz w:val="24"/>
          <w:szCs w:val="24"/>
        </w:rPr>
      </w:pPr>
      <w:r w:rsidRPr="002069DD">
        <w:rPr>
          <w:rFonts w:ascii="Arial" w:hAnsi="Arial" w:cs="Arial"/>
          <w:bCs/>
          <w:sz w:val="24"/>
          <w:szCs w:val="24"/>
        </w:rPr>
        <w:t>II.</w:t>
      </w:r>
      <w:r>
        <w:rPr>
          <w:rFonts w:ascii="Arial" w:hAnsi="Arial" w:cs="Arial"/>
          <w:bCs/>
          <w:sz w:val="24"/>
          <w:szCs w:val="24"/>
        </w:rPr>
        <w:t>5</w:t>
      </w:r>
      <w:r w:rsidRPr="002069DD">
        <w:rPr>
          <w:rFonts w:ascii="Arial" w:hAnsi="Arial" w:cs="Arial"/>
          <w:bCs/>
          <w:sz w:val="24"/>
          <w:szCs w:val="24"/>
        </w:rPr>
        <w:t>.</w:t>
      </w:r>
      <w:r w:rsidRPr="002069DD">
        <w:rPr>
          <w:rFonts w:ascii="Arial" w:hAnsi="Arial" w:cs="Arial"/>
          <w:bCs/>
          <w:sz w:val="24"/>
          <w:szCs w:val="24"/>
        </w:rPr>
        <w:tab/>
        <w:t>Analisi delle MFIs</w:t>
      </w:r>
    </w:p>
    <w:p w14:paraId="77590291" w14:textId="77777777" w:rsidR="00222F2D" w:rsidRPr="002069DD" w:rsidRDefault="00222F2D" w:rsidP="00222F2D">
      <w:pPr>
        <w:tabs>
          <w:tab w:val="left" w:pos="709"/>
        </w:tabs>
        <w:spacing w:after="0" w:line="360" w:lineRule="auto"/>
        <w:rPr>
          <w:rFonts w:ascii="Arial" w:hAnsi="Arial" w:cs="Arial"/>
          <w:bCs/>
          <w:sz w:val="24"/>
          <w:szCs w:val="24"/>
        </w:rPr>
      </w:pPr>
      <w:r w:rsidRPr="002069DD">
        <w:rPr>
          <w:rFonts w:ascii="Arial" w:hAnsi="Arial" w:cs="Arial"/>
          <w:bCs/>
          <w:sz w:val="24"/>
          <w:szCs w:val="24"/>
        </w:rPr>
        <w:t>II.</w:t>
      </w:r>
      <w:r>
        <w:rPr>
          <w:rFonts w:ascii="Arial" w:hAnsi="Arial" w:cs="Arial"/>
          <w:bCs/>
          <w:sz w:val="24"/>
          <w:szCs w:val="24"/>
        </w:rPr>
        <w:t>5</w:t>
      </w:r>
      <w:r w:rsidRPr="002069DD">
        <w:rPr>
          <w:rFonts w:ascii="Arial" w:hAnsi="Arial" w:cs="Arial"/>
          <w:bCs/>
          <w:sz w:val="24"/>
          <w:szCs w:val="24"/>
        </w:rPr>
        <w:t>.1.</w:t>
      </w:r>
      <w:r w:rsidRPr="002069DD">
        <w:rPr>
          <w:rFonts w:ascii="Arial" w:hAnsi="Arial" w:cs="Arial"/>
          <w:bCs/>
          <w:sz w:val="24"/>
          <w:szCs w:val="24"/>
        </w:rPr>
        <w:tab/>
        <w:t>La selezione delle società</w:t>
      </w:r>
    </w:p>
    <w:p w14:paraId="2CC459C1" w14:textId="77777777" w:rsidR="00222F2D" w:rsidRPr="002069DD" w:rsidRDefault="00222F2D" w:rsidP="00222F2D">
      <w:pPr>
        <w:tabs>
          <w:tab w:val="left" w:pos="709"/>
        </w:tabs>
        <w:spacing w:after="0" w:line="360" w:lineRule="auto"/>
        <w:rPr>
          <w:rFonts w:ascii="Arial" w:hAnsi="Arial" w:cs="Arial"/>
          <w:bCs/>
          <w:sz w:val="24"/>
          <w:szCs w:val="24"/>
        </w:rPr>
      </w:pPr>
    </w:p>
    <w:p w14:paraId="03B41C4E"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Ai fini della presente valutazione, per ogni società si è provveduto ad effettuare un’analisi sulla struttura finanziaria, ricostruendo i valori dei prestiti, dei depositi, del capitale proprio e calcolando i seguenti indicatori:</w:t>
      </w:r>
    </w:p>
    <w:p w14:paraId="2FAE91FC" w14:textId="77777777" w:rsidR="00222F2D" w:rsidRDefault="00222F2D" w:rsidP="00222F2D">
      <w:pPr>
        <w:tabs>
          <w:tab w:val="left" w:pos="709"/>
        </w:tabs>
        <w:spacing w:before="240"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15EB833F" wp14:editId="0716D045">
            <wp:extent cx="4320000" cy="1080000"/>
            <wp:effectExtent l="0" t="0" r="4445" b="6350"/>
            <wp:docPr id="920828418" name="Immagine 6" descr="Immagine che contiene testo, Carattere, schermata, algebr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0828418" name="Immagine 6" descr="Immagine che contiene testo, Carattere, schermata, algebra&#10;&#10;Descrizione generata automaticamente"/>
                    <pic:cNvPicPr preferRelativeResize="0">
                      <a:picLocks noChangeAspect="1" noChangeArrowheads="1"/>
                    </pic:cNvPicPr>
                  </pic:nvPicPr>
                  <pic:blipFill rotWithShape="1">
                    <a:blip r:embed="rId123">
                      <a:extLst>
                        <a:ext uri="{28A0092B-C50C-407E-A947-70E740481C1C}">
                          <a14:useLocalDpi xmlns:a14="http://schemas.microsoft.com/office/drawing/2010/main" val="0"/>
                        </a:ext>
                      </a:extLst>
                    </a:blip>
                    <a:srcRect l="8644" t="15121" r="9982"/>
                    <a:stretch/>
                  </pic:blipFill>
                  <pic:spPr bwMode="auto">
                    <a:xfrm>
                      <a:off x="0" y="0"/>
                      <a:ext cx="4320000" cy="1080000"/>
                    </a:xfrm>
                    <a:prstGeom prst="rect">
                      <a:avLst/>
                    </a:prstGeom>
                    <a:noFill/>
                    <a:ln>
                      <a:noFill/>
                    </a:ln>
                    <a:extLst>
                      <a:ext uri="{53640926-AAD7-44D8-BBD7-CCE9431645EC}">
                        <a14:shadowObscured xmlns:a14="http://schemas.microsoft.com/office/drawing/2010/main"/>
                      </a:ext>
                    </a:extLst>
                  </pic:spPr>
                </pic:pic>
              </a:graphicData>
            </a:graphic>
          </wp:inline>
        </w:drawing>
      </w:r>
    </w:p>
    <w:p w14:paraId="3C904571" w14:textId="77777777" w:rsidR="004B5E6D" w:rsidRPr="002069DD" w:rsidRDefault="004B5E6D" w:rsidP="00222F2D">
      <w:pPr>
        <w:tabs>
          <w:tab w:val="left" w:pos="709"/>
        </w:tabs>
        <w:spacing w:before="240" w:after="0" w:line="360" w:lineRule="auto"/>
        <w:jc w:val="center"/>
        <w:rPr>
          <w:rFonts w:ascii="Arial" w:hAnsi="Arial" w:cs="Arial"/>
          <w:bCs/>
          <w:sz w:val="24"/>
          <w:szCs w:val="24"/>
        </w:rPr>
      </w:pPr>
    </w:p>
    <w:p w14:paraId="57234C7C"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Infatti, il fabbisogno finanziario lordo delle MFIs è rappresentato dal portafoglio e la loro struttura finanziaria è costituita dagli eventuali depositi raccolti, dalla dotazione di capitale proprio e, per la parte residuale del fabbisogno finanziario, dal capitale acquisito da terzi finanziatori. In sostanza il fabbisogno che non risulta coperto dai depositi e dall’equity deve essere coperto da finanziamenti acquisiti dalla MFI. Tutto ciò sulla base dell’ultimo bilancio disponibile.</w:t>
      </w:r>
    </w:p>
    <w:p w14:paraId="003A0605"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In quanto tale, questo fabbisogno rappresenta la possibilità che si prospetta al nostro investitore in termini di finanziamenti concedibili alla MFI. È bene precisare che trattasi soltanto di una potenzialità visto che, ad esempio, il fabbisogno netto potrebbe essere coperto da più o da altri finanziatori in ragione di condizioni di finanziamento più favorevoli.</w:t>
      </w:r>
    </w:p>
    <w:p w14:paraId="4D05A08B"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 xml:space="preserve">I due indicatori assunti, quindi, ci hanno consentito di individuare quelle società potenziali verso cui l’investitore internazionale, da noi ipotizzato, potrà indirizzare la sua operatività, sul </w:t>
      </w:r>
      <w:r w:rsidRPr="002069DD">
        <w:rPr>
          <w:rFonts w:ascii="Arial" w:hAnsi="Arial" w:cs="Arial"/>
          <w:bCs/>
          <w:sz w:val="24"/>
          <w:szCs w:val="24"/>
        </w:rPr>
        <w:lastRenderedPageBreak/>
        <w:t>presupposto, come detto, che il fabbisogno della MFI non coperto dal capitale proprio e dagli eventuali depositi raccolti rappresenta anche il finanziamento potenziale che l’investitore internazionale potrà erogare.</w:t>
      </w:r>
    </w:p>
    <w:p w14:paraId="6BECCD36" w14:textId="77777777" w:rsidR="00222F2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Dalle MFI rimanenti, inoltre, non sono state considerate quelle con portafoglio inferiore a 2 milioni di dollari, fissata quale massa critica operativa fissata dal nostro investitore internazionale.</w:t>
      </w:r>
    </w:p>
    <w:p w14:paraId="76897B3D" w14:textId="77777777" w:rsidR="00222F2D" w:rsidRDefault="00222F2D" w:rsidP="00222F2D">
      <w:pPr>
        <w:tabs>
          <w:tab w:val="left" w:pos="709"/>
        </w:tabs>
        <w:spacing w:line="360" w:lineRule="auto"/>
        <w:jc w:val="center"/>
        <w:rPr>
          <w:rFonts w:ascii="Arial" w:hAnsi="Arial" w:cs="Arial"/>
          <w:bCs/>
          <w:sz w:val="24"/>
          <w:szCs w:val="24"/>
        </w:rPr>
      </w:pPr>
    </w:p>
    <w:p w14:paraId="1349BF49"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140AC61" wp14:editId="7921B963">
            <wp:extent cx="5040000" cy="6480000"/>
            <wp:effectExtent l="0" t="0" r="8255" b="0"/>
            <wp:docPr id="1900854311" name="Immagine 7" descr="Immagine che contiene testo, menu, documento, schermat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0854311" name="Immagine 7" descr="Immagine che contiene testo, menu, documento, schermata&#10;&#10;Descrizione generata automaticamente"/>
                    <pic:cNvPicPr preferRelativeResize="0">
                      <a:picLocks noChangeAspect="1" noChangeArrowheads="1"/>
                    </pic:cNvPicPr>
                  </pic:nvPicPr>
                  <pic:blipFill rotWithShape="1">
                    <a:blip r:embed="rId124">
                      <a:extLst>
                        <a:ext uri="{28A0092B-C50C-407E-A947-70E740481C1C}">
                          <a14:useLocalDpi xmlns:a14="http://schemas.microsoft.com/office/drawing/2010/main" val="0"/>
                        </a:ext>
                      </a:extLst>
                    </a:blip>
                    <a:srcRect l="4666" t="1212" r="2439" b="1034"/>
                    <a:stretch/>
                  </pic:blipFill>
                  <pic:spPr bwMode="auto">
                    <a:xfrm>
                      <a:off x="0" y="0"/>
                      <a:ext cx="5040000" cy="6480000"/>
                    </a:xfrm>
                    <a:prstGeom prst="rect">
                      <a:avLst/>
                    </a:prstGeom>
                    <a:noFill/>
                    <a:ln>
                      <a:noFill/>
                    </a:ln>
                    <a:extLst>
                      <a:ext uri="{53640926-AAD7-44D8-BBD7-CCE9431645EC}">
                        <a14:shadowObscured xmlns:a14="http://schemas.microsoft.com/office/drawing/2010/main"/>
                      </a:ext>
                    </a:extLst>
                  </pic:spPr>
                </pic:pic>
              </a:graphicData>
            </a:graphic>
          </wp:inline>
        </w:drawing>
      </w:r>
    </w:p>
    <w:p w14:paraId="0F3C0B32"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1DD1F4FE" wp14:editId="1AB068A7">
            <wp:extent cx="5040000" cy="6480000"/>
            <wp:effectExtent l="0" t="0" r="8255" b="0"/>
            <wp:docPr id="868331065" name="Immagine 8" descr="Immagine che contiene testo, schermata, menu, document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8331065" name="Immagine 8" descr="Immagine che contiene testo, schermata, menu, documento&#10;&#10;Descrizione generata automaticamente"/>
                    <pic:cNvPicPr preferRelativeResize="0">
                      <a:picLocks noChangeAspect="1" noChangeArrowheads="1"/>
                    </pic:cNvPicPr>
                  </pic:nvPicPr>
                  <pic:blipFill rotWithShape="1">
                    <a:blip r:embed="rId125">
                      <a:extLst>
                        <a:ext uri="{28A0092B-C50C-407E-A947-70E740481C1C}">
                          <a14:useLocalDpi xmlns:a14="http://schemas.microsoft.com/office/drawing/2010/main" val="0"/>
                        </a:ext>
                      </a:extLst>
                    </a:blip>
                    <a:srcRect l="6629" t="2382" r="3188" b="2896"/>
                    <a:stretch/>
                  </pic:blipFill>
                  <pic:spPr bwMode="auto">
                    <a:xfrm>
                      <a:off x="0" y="0"/>
                      <a:ext cx="5040000" cy="6480000"/>
                    </a:xfrm>
                    <a:prstGeom prst="rect">
                      <a:avLst/>
                    </a:prstGeom>
                    <a:noFill/>
                    <a:ln>
                      <a:noFill/>
                    </a:ln>
                    <a:extLst>
                      <a:ext uri="{53640926-AAD7-44D8-BBD7-CCE9431645EC}">
                        <a14:shadowObscured xmlns:a14="http://schemas.microsoft.com/office/drawing/2010/main"/>
                      </a:ext>
                    </a:extLst>
                  </pic:spPr>
                </pic:pic>
              </a:graphicData>
            </a:graphic>
          </wp:inline>
        </w:drawing>
      </w:r>
    </w:p>
    <w:p w14:paraId="0D862F12" w14:textId="77777777" w:rsidR="00222F2D" w:rsidRDefault="00222F2D" w:rsidP="00222F2D">
      <w:pPr>
        <w:tabs>
          <w:tab w:val="left" w:pos="709"/>
        </w:tabs>
        <w:spacing w:after="0" w:line="360" w:lineRule="auto"/>
        <w:rPr>
          <w:rFonts w:ascii="Arial" w:hAnsi="Arial" w:cs="Arial"/>
          <w:bCs/>
          <w:sz w:val="24"/>
          <w:szCs w:val="24"/>
        </w:rPr>
      </w:pPr>
    </w:p>
    <w:p w14:paraId="6FC877F7" w14:textId="77777777" w:rsidR="00222F2D" w:rsidRDefault="00222F2D" w:rsidP="00222F2D">
      <w:pPr>
        <w:tabs>
          <w:tab w:val="left" w:pos="709"/>
        </w:tabs>
        <w:spacing w:after="0" w:line="360" w:lineRule="auto"/>
        <w:jc w:val="both"/>
        <w:rPr>
          <w:rFonts w:ascii="Arial" w:hAnsi="Arial" w:cs="Arial"/>
          <w:bCs/>
          <w:sz w:val="24"/>
          <w:szCs w:val="24"/>
        </w:rPr>
      </w:pPr>
      <w:r w:rsidRPr="002069DD">
        <w:rPr>
          <w:rFonts w:ascii="Arial" w:hAnsi="Arial" w:cs="Arial"/>
          <w:bCs/>
          <w:sz w:val="24"/>
          <w:szCs w:val="24"/>
        </w:rPr>
        <w:t xml:space="preserve">Su tali basi, su 67 MFIs analizzate la presente indagine ha portato all’individuazione di 20 MFIs potenzialmente target della strategia di </w:t>
      </w:r>
      <w:r w:rsidRPr="00407E8D">
        <w:rPr>
          <w:rFonts w:ascii="Arial" w:hAnsi="Arial" w:cs="Arial"/>
          <w:bCs/>
          <w:i/>
          <w:iCs/>
          <w:sz w:val="24"/>
          <w:szCs w:val="24"/>
        </w:rPr>
        <w:t>carry trade</w:t>
      </w:r>
      <w:r w:rsidRPr="002069DD">
        <w:rPr>
          <w:rFonts w:ascii="Arial" w:hAnsi="Arial" w:cs="Arial"/>
          <w:bCs/>
          <w:sz w:val="24"/>
          <w:szCs w:val="24"/>
        </w:rPr>
        <w:t xml:space="preserve">, così specificate </w:t>
      </w:r>
      <w:r>
        <w:rPr>
          <w:rFonts w:ascii="Arial" w:hAnsi="Arial" w:cs="Arial"/>
          <w:bCs/>
          <w:sz w:val="24"/>
          <w:szCs w:val="24"/>
        </w:rPr>
        <w:t>nella t</w:t>
      </w:r>
      <w:r w:rsidRPr="002069DD">
        <w:rPr>
          <w:rFonts w:ascii="Arial" w:hAnsi="Arial" w:cs="Arial"/>
          <w:bCs/>
          <w:sz w:val="24"/>
          <w:szCs w:val="24"/>
        </w:rPr>
        <w:t>abella</w:t>
      </w:r>
      <w:r>
        <w:rPr>
          <w:rFonts w:ascii="Arial" w:hAnsi="Arial" w:cs="Arial"/>
          <w:bCs/>
          <w:sz w:val="24"/>
          <w:szCs w:val="24"/>
        </w:rPr>
        <w:t xml:space="preserve"> seguente</w:t>
      </w:r>
      <w:r w:rsidRPr="002069DD">
        <w:rPr>
          <w:rFonts w:ascii="Arial" w:hAnsi="Arial" w:cs="Arial"/>
          <w:bCs/>
          <w:sz w:val="24"/>
          <w:szCs w:val="24"/>
        </w:rPr>
        <w:t>.</w:t>
      </w:r>
    </w:p>
    <w:p w14:paraId="78AF21EF"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CAB80DE" wp14:editId="5A7BB94F">
            <wp:extent cx="5040000" cy="6480000"/>
            <wp:effectExtent l="0" t="0" r="8255" b="0"/>
            <wp:docPr id="2085002353" name="Immagine 9" descr="Immagine che contiene testo, schermata, numero, menu&#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85002353" name="Immagine 9" descr="Immagine che contiene testo, schermata, numero, menu&#10;&#10;Descrizione generata automaticamente"/>
                    <pic:cNvPicPr preferRelativeResize="0">
                      <a:picLocks noChangeAspect="1" noChangeArrowheads="1"/>
                    </pic:cNvPicPr>
                  </pic:nvPicPr>
                  <pic:blipFill rotWithShape="1">
                    <a:blip r:embed="rId126">
                      <a:extLst>
                        <a:ext uri="{28A0092B-C50C-407E-A947-70E740481C1C}">
                          <a14:useLocalDpi xmlns:a14="http://schemas.microsoft.com/office/drawing/2010/main" val="0"/>
                        </a:ext>
                      </a:extLst>
                    </a:blip>
                    <a:srcRect l="5575" t="1376" r="5608" b="3234"/>
                    <a:stretch/>
                  </pic:blipFill>
                  <pic:spPr bwMode="auto">
                    <a:xfrm>
                      <a:off x="0" y="0"/>
                      <a:ext cx="5040000" cy="6480000"/>
                    </a:xfrm>
                    <a:prstGeom prst="rect">
                      <a:avLst/>
                    </a:prstGeom>
                    <a:noFill/>
                    <a:ln>
                      <a:noFill/>
                    </a:ln>
                    <a:extLst>
                      <a:ext uri="{53640926-AAD7-44D8-BBD7-CCE9431645EC}">
                        <a14:shadowObscured xmlns:a14="http://schemas.microsoft.com/office/drawing/2010/main"/>
                      </a:ext>
                    </a:extLst>
                  </pic:spPr>
                </pic:pic>
              </a:graphicData>
            </a:graphic>
          </wp:inline>
        </w:drawing>
      </w:r>
    </w:p>
    <w:p w14:paraId="71B5BA8B" w14:textId="77777777" w:rsidR="00222F2D" w:rsidRDefault="00222F2D" w:rsidP="00222F2D">
      <w:pPr>
        <w:tabs>
          <w:tab w:val="left" w:pos="709"/>
        </w:tabs>
        <w:spacing w:after="0" w:line="360" w:lineRule="auto"/>
        <w:rPr>
          <w:rFonts w:ascii="Arial" w:hAnsi="Arial" w:cs="Arial"/>
          <w:bCs/>
          <w:sz w:val="24"/>
          <w:szCs w:val="24"/>
        </w:rPr>
      </w:pPr>
    </w:p>
    <w:p w14:paraId="63C255EA" w14:textId="77777777" w:rsidR="00222F2D" w:rsidRPr="002069DD" w:rsidRDefault="00222F2D" w:rsidP="00222F2D">
      <w:pPr>
        <w:tabs>
          <w:tab w:val="left" w:pos="709"/>
        </w:tabs>
        <w:spacing w:after="0" w:line="360" w:lineRule="auto"/>
        <w:jc w:val="both"/>
        <w:rPr>
          <w:rFonts w:ascii="Arial" w:hAnsi="Arial" w:cs="Arial"/>
          <w:bCs/>
          <w:sz w:val="24"/>
          <w:szCs w:val="24"/>
        </w:rPr>
      </w:pPr>
      <w:r w:rsidRPr="002069DD">
        <w:rPr>
          <w:rFonts w:ascii="Arial" w:hAnsi="Arial" w:cs="Arial"/>
          <w:bCs/>
          <w:sz w:val="24"/>
          <w:szCs w:val="24"/>
        </w:rPr>
        <w:t xml:space="preserve">Per ciascuna di tali società sono state di seguito dettagliate le caratteristiche ritenute più rilevanti per la qualificazione della struttura finanziaria nonché gli aspetti di </w:t>
      </w:r>
      <w:r w:rsidRPr="00E136F3">
        <w:rPr>
          <w:rFonts w:ascii="Arial" w:hAnsi="Arial" w:cs="Arial"/>
          <w:bCs/>
          <w:i/>
          <w:iCs/>
          <w:sz w:val="24"/>
          <w:szCs w:val="24"/>
        </w:rPr>
        <w:t>business</w:t>
      </w:r>
      <w:r w:rsidRPr="002069DD">
        <w:rPr>
          <w:rFonts w:ascii="Arial" w:hAnsi="Arial" w:cs="Arial"/>
          <w:bCs/>
          <w:sz w:val="24"/>
          <w:szCs w:val="24"/>
        </w:rPr>
        <w:t xml:space="preserve"> maggiormente significativi per l’investitore internazionale.</w:t>
      </w:r>
    </w:p>
    <w:p w14:paraId="3166CFBF" w14:textId="77777777" w:rsidR="00222F2D" w:rsidRPr="002069DD" w:rsidRDefault="00222F2D" w:rsidP="00222F2D">
      <w:pPr>
        <w:tabs>
          <w:tab w:val="left" w:pos="709"/>
        </w:tabs>
        <w:spacing w:after="0" w:line="360" w:lineRule="auto"/>
        <w:jc w:val="both"/>
        <w:rPr>
          <w:rFonts w:ascii="Arial" w:hAnsi="Arial" w:cs="Arial"/>
          <w:bCs/>
          <w:sz w:val="24"/>
          <w:szCs w:val="24"/>
        </w:rPr>
      </w:pPr>
    </w:p>
    <w:p w14:paraId="503C8EC7" w14:textId="77777777" w:rsidR="00222F2D" w:rsidRDefault="00222F2D" w:rsidP="00222F2D">
      <w:pPr>
        <w:tabs>
          <w:tab w:val="left" w:pos="709"/>
        </w:tabs>
        <w:spacing w:after="0" w:line="360" w:lineRule="auto"/>
        <w:jc w:val="both"/>
        <w:rPr>
          <w:rFonts w:ascii="Arial" w:hAnsi="Arial" w:cs="Arial"/>
          <w:bCs/>
          <w:sz w:val="24"/>
          <w:szCs w:val="24"/>
        </w:rPr>
      </w:pPr>
      <w:r w:rsidRPr="002069DD">
        <w:rPr>
          <w:rFonts w:ascii="Arial" w:hAnsi="Arial" w:cs="Arial"/>
          <w:bCs/>
          <w:sz w:val="24"/>
          <w:szCs w:val="24"/>
        </w:rPr>
        <w:t>II.</w:t>
      </w:r>
      <w:r>
        <w:rPr>
          <w:rFonts w:ascii="Arial" w:hAnsi="Arial" w:cs="Arial"/>
          <w:bCs/>
          <w:sz w:val="24"/>
          <w:szCs w:val="24"/>
        </w:rPr>
        <w:t>5.2</w:t>
      </w:r>
      <w:r w:rsidRPr="002069DD">
        <w:rPr>
          <w:rFonts w:ascii="Arial" w:hAnsi="Arial" w:cs="Arial"/>
          <w:bCs/>
          <w:sz w:val="24"/>
          <w:szCs w:val="24"/>
        </w:rPr>
        <w:t>.</w:t>
      </w:r>
      <w:r w:rsidRPr="002069DD">
        <w:rPr>
          <w:rFonts w:ascii="Arial" w:hAnsi="Arial" w:cs="Arial"/>
          <w:bCs/>
          <w:sz w:val="24"/>
          <w:szCs w:val="24"/>
        </w:rPr>
        <w:tab/>
      </w:r>
      <w:r w:rsidRPr="00981E12">
        <w:rPr>
          <w:rFonts w:ascii="Arial" w:hAnsi="Arial" w:cs="Arial"/>
          <w:bCs/>
          <w:i/>
          <w:iCs/>
          <w:sz w:val="24"/>
          <w:szCs w:val="24"/>
        </w:rPr>
        <w:t>Prisma</w:t>
      </w:r>
    </w:p>
    <w:p w14:paraId="3E3E5191" w14:textId="77777777" w:rsidR="00222F2D" w:rsidRPr="002069DD" w:rsidRDefault="00222F2D" w:rsidP="00222F2D">
      <w:pPr>
        <w:tabs>
          <w:tab w:val="left" w:pos="709"/>
        </w:tabs>
        <w:spacing w:after="0" w:line="360" w:lineRule="auto"/>
        <w:jc w:val="both"/>
        <w:rPr>
          <w:rFonts w:ascii="Arial" w:hAnsi="Arial" w:cs="Arial"/>
          <w:bCs/>
          <w:sz w:val="24"/>
          <w:szCs w:val="24"/>
        </w:rPr>
      </w:pPr>
    </w:p>
    <w:p w14:paraId="77CC0961" w14:textId="77777777" w:rsidR="00222F2D" w:rsidRDefault="00222F2D" w:rsidP="00222F2D">
      <w:pPr>
        <w:tabs>
          <w:tab w:val="left" w:pos="709"/>
        </w:tabs>
        <w:spacing w:line="360" w:lineRule="auto"/>
        <w:jc w:val="both"/>
        <w:rPr>
          <w:rFonts w:ascii="Arial" w:hAnsi="Arial" w:cs="Arial"/>
          <w:bCs/>
          <w:sz w:val="24"/>
          <w:szCs w:val="24"/>
        </w:rPr>
      </w:pPr>
      <w:r w:rsidRPr="00A5363F">
        <w:rPr>
          <w:rFonts w:ascii="Arial" w:hAnsi="Arial" w:cs="Arial"/>
          <w:bCs/>
          <w:i/>
          <w:iCs/>
          <w:sz w:val="24"/>
          <w:szCs w:val="24"/>
        </w:rPr>
        <w:t>Prisma Cooperativa de Ahorro y Crédito</w:t>
      </w:r>
      <w:r w:rsidRPr="002069DD">
        <w:rPr>
          <w:rFonts w:ascii="Arial" w:hAnsi="Arial" w:cs="Arial"/>
          <w:bCs/>
          <w:sz w:val="24"/>
          <w:szCs w:val="24"/>
        </w:rPr>
        <w:t xml:space="preserve">, supervisionata dalla </w:t>
      </w:r>
      <w:r w:rsidRPr="00A5363F">
        <w:rPr>
          <w:rFonts w:ascii="Arial" w:hAnsi="Arial" w:cs="Arial"/>
          <w:bCs/>
          <w:i/>
          <w:iCs/>
          <w:sz w:val="24"/>
          <w:szCs w:val="24"/>
        </w:rPr>
        <w:t>Federación Nacional de Cooperativas de Ahorro y Crédito del Perù</w:t>
      </w:r>
      <w:r w:rsidRPr="002069DD">
        <w:rPr>
          <w:rFonts w:ascii="Arial" w:hAnsi="Arial" w:cs="Arial"/>
          <w:bCs/>
          <w:sz w:val="24"/>
          <w:szCs w:val="24"/>
        </w:rPr>
        <w:t>, è senza fine di lucro e offre prodotti di microfinanza.</w:t>
      </w:r>
      <w:r>
        <w:rPr>
          <w:rFonts w:ascii="Arial" w:hAnsi="Arial" w:cs="Arial"/>
          <w:bCs/>
          <w:sz w:val="24"/>
          <w:szCs w:val="24"/>
        </w:rPr>
        <w:t xml:space="preserve"> </w:t>
      </w:r>
      <w:r w:rsidRPr="002069DD">
        <w:rPr>
          <w:rFonts w:ascii="Arial" w:hAnsi="Arial" w:cs="Arial"/>
          <w:bCs/>
          <w:sz w:val="24"/>
          <w:szCs w:val="24"/>
        </w:rPr>
        <w:t xml:space="preserve">Opera principalmente in zone rurali, ha una dimensione limitata potendo </w:t>
      </w:r>
      <w:r w:rsidRPr="002069DD">
        <w:rPr>
          <w:rFonts w:ascii="Arial" w:hAnsi="Arial" w:cs="Arial"/>
          <w:bCs/>
          <w:sz w:val="24"/>
          <w:szCs w:val="24"/>
        </w:rPr>
        <w:lastRenderedPageBreak/>
        <w:t>contare soltanto su cinque agenzie. Il suo business è rappresentato da crediti individuali o a gruppi per finanziare attività produttive, commerciali o di servizi.</w:t>
      </w:r>
      <w:r>
        <w:rPr>
          <w:rFonts w:ascii="Arial" w:hAnsi="Arial" w:cs="Arial"/>
          <w:bCs/>
          <w:sz w:val="24"/>
          <w:szCs w:val="24"/>
        </w:rPr>
        <w:t xml:space="preserve"> </w:t>
      </w:r>
      <w:r w:rsidRPr="002069DD">
        <w:rPr>
          <w:rFonts w:ascii="Arial" w:hAnsi="Arial" w:cs="Arial"/>
          <w:bCs/>
          <w:sz w:val="24"/>
          <w:szCs w:val="24"/>
        </w:rPr>
        <w:t>Nel 2012 la cooperativa registra un’incidenza del 17,26% del portafoglio rischi sul portafoglio complessivo per crediti con scadenza superiore a 30 giorni</w:t>
      </w:r>
      <w:r>
        <w:rPr>
          <w:rStyle w:val="Rimandonotaapidipagina"/>
          <w:rFonts w:ascii="Arial" w:hAnsi="Arial" w:cs="Arial"/>
          <w:sz w:val="24"/>
          <w:szCs w:val="24"/>
        </w:rPr>
        <w:footnoteReference w:id="109"/>
      </w:r>
      <w:r w:rsidRPr="001C79AF">
        <w:rPr>
          <w:rFonts w:ascii="Arial" w:hAnsi="Arial" w:cs="Arial"/>
          <w:sz w:val="24"/>
          <w:szCs w:val="24"/>
        </w:rPr>
        <w:t xml:space="preserve"> </w:t>
      </w:r>
      <w:r w:rsidRPr="002069DD">
        <w:rPr>
          <w:rFonts w:ascii="Arial" w:hAnsi="Arial" w:cs="Arial"/>
          <w:bCs/>
          <w:sz w:val="24"/>
          <w:szCs w:val="24"/>
        </w:rPr>
        <w:t>e del 15,60% per crediti con scadenza superiore ai 90</w:t>
      </w:r>
      <w:r>
        <w:rPr>
          <w:rStyle w:val="Rimandonotaapidipagina"/>
          <w:rFonts w:ascii="Arial" w:hAnsi="Arial" w:cs="Arial"/>
          <w:sz w:val="24"/>
          <w:szCs w:val="24"/>
        </w:rPr>
        <w:footnoteReference w:id="110"/>
      </w:r>
      <w:r w:rsidRPr="002069DD">
        <w:rPr>
          <w:rFonts w:ascii="Arial" w:hAnsi="Arial" w:cs="Arial"/>
          <w:bCs/>
          <w:sz w:val="24"/>
          <w:szCs w:val="24"/>
        </w:rPr>
        <w:t xml:space="preserve"> giorni</w:t>
      </w:r>
      <w:r>
        <w:rPr>
          <w:rFonts w:ascii="Arial" w:hAnsi="Arial" w:cs="Arial"/>
          <w:bCs/>
          <w:sz w:val="24"/>
          <w:szCs w:val="24"/>
        </w:rPr>
        <w:t xml:space="preserve"> il</w:t>
      </w:r>
      <w:r w:rsidRPr="002069DD">
        <w:rPr>
          <w:rFonts w:ascii="Arial" w:hAnsi="Arial" w:cs="Arial"/>
          <w:bCs/>
          <w:sz w:val="24"/>
          <w:szCs w:val="24"/>
        </w:rPr>
        <w:t xml:space="preserve"> tasso di perdita del portafoglio crediti</w:t>
      </w:r>
      <w:r>
        <w:rPr>
          <w:rStyle w:val="Rimandonotaapidipagina"/>
          <w:rFonts w:ascii="Arial" w:hAnsi="Arial" w:cs="Arial"/>
          <w:sz w:val="24"/>
          <w:szCs w:val="24"/>
        </w:rPr>
        <w:footnoteReference w:id="111"/>
      </w:r>
      <w:r w:rsidRPr="001C79AF">
        <w:rPr>
          <w:rFonts w:ascii="Arial" w:hAnsi="Arial" w:cs="Arial"/>
          <w:sz w:val="24"/>
          <w:szCs w:val="24"/>
        </w:rPr>
        <w:t xml:space="preserve"> </w:t>
      </w:r>
      <w:r w:rsidRPr="002069DD">
        <w:rPr>
          <w:rFonts w:ascii="Arial" w:hAnsi="Arial" w:cs="Arial"/>
          <w:bCs/>
          <w:sz w:val="24"/>
          <w:szCs w:val="24"/>
        </w:rPr>
        <w:t>è del -2,56%.</w:t>
      </w:r>
    </w:p>
    <w:p w14:paraId="6990C90B"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Il fabbisogno finanziario netto derivante dal portafoglio prestiti è stimato in 4.988.933 dollari.</w:t>
      </w:r>
    </w:p>
    <w:p w14:paraId="727DA01B"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578104DB" wp14:editId="0BA43AC0">
            <wp:extent cx="5040000" cy="1260000"/>
            <wp:effectExtent l="0" t="0" r="8255" b="0"/>
            <wp:docPr id="1250193452" name="Immagine 10" descr="Immagine che contiene testo, schermata, linea,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0193452" name="Immagine 10" descr="Immagine che contiene testo, schermata, linea, Carattere&#10;&#10;Descrizione generata automaticamente"/>
                    <pic:cNvPicPr preferRelativeResize="0">
                      <a:picLocks noChangeAspect="1" noChangeArrowheads="1"/>
                    </pic:cNvPicPr>
                  </pic:nvPicPr>
                  <pic:blipFill rotWithShape="1">
                    <a:blip r:embed="rId127">
                      <a:extLst>
                        <a:ext uri="{28A0092B-C50C-407E-A947-70E740481C1C}">
                          <a14:useLocalDpi xmlns:a14="http://schemas.microsoft.com/office/drawing/2010/main" val="0"/>
                        </a:ext>
                      </a:extLst>
                    </a:blip>
                    <a:srcRect l="2769" t="9674" r="8504" b="12931"/>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58742857" w14:textId="77777777" w:rsidR="00222F2D" w:rsidRDefault="00222F2D" w:rsidP="00222F2D">
      <w:pPr>
        <w:tabs>
          <w:tab w:val="left" w:pos="709"/>
        </w:tabs>
        <w:spacing w:after="0" w:line="360" w:lineRule="auto"/>
        <w:rPr>
          <w:rFonts w:ascii="Arial" w:hAnsi="Arial" w:cs="Arial"/>
          <w:bCs/>
          <w:sz w:val="24"/>
          <w:szCs w:val="24"/>
        </w:rPr>
      </w:pPr>
    </w:p>
    <w:p w14:paraId="7B3C673F" w14:textId="77777777" w:rsidR="00222F2D" w:rsidRPr="002069DD" w:rsidRDefault="00222F2D" w:rsidP="00222F2D">
      <w:pPr>
        <w:tabs>
          <w:tab w:val="left" w:pos="709"/>
        </w:tabs>
        <w:spacing w:after="0" w:line="360" w:lineRule="auto"/>
        <w:jc w:val="both"/>
        <w:rPr>
          <w:rFonts w:ascii="Arial" w:hAnsi="Arial" w:cs="Arial"/>
          <w:bCs/>
          <w:sz w:val="24"/>
          <w:szCs w:val="24"/>
        </w:rPr>
      </w:pPr>
      <w:r w:rsidRPr="002069DD">
        <w:rPr>
          <w:rFonts w:ascii="Arial" w:hAnsi="Arial" w:cs="Arial"/>
          <w:bCs/>
          <w:sz w:val="24"/>
          <w:szCs w:val="24"/>
        </w:rPr>
        <w:t>II.</w:t>
      </w:r>
      <w:r>
        <w:rPr>
          <w:rFonts w:ascii="Arial" w:hAnsi="Arial" w:cs="Arial"/>
          <w:bCs/>
          <w:sz w:val="24"/>
          <w:szCs w:val="24"/>
        </w:rPr>
        <w:t>5</w:t>
      </w:r>
      <w:r w:rsidRPr="002069DD">
        <w:rPr>
          <w:rFonts w:ascii="Arial" w:hAnsi="Arial" w:cs="Arial"/>
          <w:bCs/>
          <w:sz w:val="24"/>
          <w:szCs w:val="24"/>
        </w:rPr>
        <w:t>.</w:t>
      </w:r>
      <w:r>
        <w:rPr>
          <w:rFonts w:ascii="Arial" w:hAnsi="Arial" w:cs="Arial"/>
          <w:bCs/>
          <w:sz w:val="24"/>
          <w:szCs w:val="24"/>
        </w:rPr>
        <w:t>3</w:t>
      </w:r>
      <w:r w:rsidRPr="002069DD">
        <w:rPr>
          <w:rFonts w:ascii="Arial" w:hAnsi="Arial" w:cs="Arial"/>
          <w:bCs/>
          <w:sz w:val="24"/>
          <w:szCs w:val="24"/>
        </w:rPr>
        <w:t>.</w:t>
      </w:r>
      <w:r w:rsidRPr="002069DD">
        <w:rPr>
          <w:rFonts w:ascii="Arial" w:hAnsi="Arial" w:cs="Arial"/>
          <w:bCs/>
          <w:sz w:val="24"/>
          <w:szCs w:val="24"/>
        </w:rPr>
        <w:tab/>
      </w:r>
      <w:r w:rsidRPr="0062140D">
        <w:rPr>
          <w:rFonts w:ascii="Arial" w:hAnsi="Arial" w:cs="Arial"/>
          <w:bCs/>
          <w:i/>
          <w:iCs/>
          <w:sz w:val="24"/>
          <w:szCs w:val="24"/>
        </w:rPr>
        <w:t>Edpyme Acceso Crediticio</w:t>
      </w:r>
    </w:p>
    <w:p w14:paraId="5751CD54" w14:textId="77777777" w:rsidR="00222F2D" w:rsidRPr="002069DD" w:rsidRDefault="00222F2D" w:rsidP="00222F2D">
      <w:pPr>
        <w:tabs>
          <w:tab w:val="left" w:pos="709"/>
        </w:tabs>
        <w:spacing w:after="0" w:line="360" w:lineRule="auto"/>
        <w:jc w:val="both"/>
        <w:rPr>
          <w:rFonts w:ascii="Arial" w:hAnsi="Arial" w:cs="Arial"/>
          <w:bCs/>
          <w:sz w:val="24"/>
          <w:szCs w:val="24"/>
        </w:rPr>
      </w:pPr>
    </w:p>
    <w:p w14:paraId="783EE9A7" w14:textId="77777777" w:rsidR="00222F2D" w:rsidRDefault="00222F2D" w:rsidP="00222F2D">
      <w:pPr>
        <w:tabs>
          <w:tab w:val="left" w:pos="709"/>
        </w:tabs>
        <w:spacing w:after="0" w:line="360" w:lineRule="auto"/>
        <w:jc w:val="both"/>
        <w:rPr>
          <w:rFonts w:ascii="Arial" w:hAnsi="Arial" w:cs="Arial"/>
          <w:bCs/>
          <w:sz w:val="24"/>
          <w:szCs w:val="24"/>
        </w:rPr>
      </w:pPr>
      <w:r w:rsidRPr="00A5363F">
        <w:rPr>
          <w:rFonts w:ascii="Arial" w:hAnsi="Arial" w:cs="Arial"/>
          <w:bCs/>
          <w:i/>
          <w:iCs/>
          <w:sz w:val="24"/>
          <w:szCs w:val="24"/>
        </w:rPr>
        <w:t xml:space="preserve">Edpyme Acceso Crediticio </w:t>
      </w:r>
      <w:r w:rsidRPr="002069DD">
        <w:rPr>
          <w:rFonts w:ascii="Arial" w:hAnsi="Arial" w:cs="Arial"/>
          <w:bCs/>
          <w:sz w:val="24"/>
          <w:szCs w:val="24"/>
        </w:rPr>
        <w:t>è un’istituzione finanziaria non bancaria, sotto la regolamentazione della SBS. Applica sui prestiti un tasso di interesse medio annuo del 40,26%, con il 100% del lending riguardante il settore dei servizi e così distribuito per tipologia di cliente, considerando i dati a marzo 2014.</w:t>
      </w:r>
      <w:r>
        <w:rPr>
          <w:rFonts w:ascii="Arial" w:hAnsi="Arial" w:cs="Arial"/>
          <w:bCs/>
          <w:sz w:val="24"/>
          <w:szCs w:val="24"/>
        </w:rPr>
        <w:t xml:space="preserve"> </w:t>
      </w:r>
      <w:r w:rsidRPr="002069DD">
        <w:rPr>
          <w:rFonts w:ascii="Arial" w:hAnsi="Arial" w:cs="Arial"/>
          <w:bCs/>
          <w:sz w:val="24"/>
          <w:szCs w:val="24"/>
        </w:rPr>
        <w:t>Al 31/12/2014 registra un’incidenza del 4,24% del portafoglio rischi sul portafoglio complessivo per crediti con scadenza superiore a 30 giorni e del 0,51% per crediti con scadenza superiore ai 90 giorni. Il tasso di perdita del portafoglio prestiti è del 0,10%.</w:t>
      </w:r>
    </w:p>
    <w:p w14:paraId="20969937" w14:textId="77777777" w:rsidR="00222F2D" w:rsidRPr="002069DD" w:rsidRDefault="00222F2D" w:rsidP="00222F2D">
      <w:pPr>
        <w:tabs>
          <w:tab w:val="left" w:pos="709"/>
        </w:tabs>
        <w:spacing w:line="360" w:lineRule="auto"/>
        <w:jc w:val="both"/>
        <w:rPr>
          <w:rFonts w:ascii="Arial" w:hAnsi="Arial" w:cs="Arial"/>
          <w:bCs/>
          <w:sz w:val="24"/>
          <w:szCs w:val="24"/>
        </w:rPr>
      </w:pPr>
      <w:r w:rsidRPr="002069DD">
        <w:rPr>
          <w:rFonts w:ascii="Arial" w:hAnsi="Arial" w:cs="Arial"/>
          <w:bCs/>
          <w:sz w:val="24"/>
          <w:szCs w:val="24"/>
        </w:rPr>
        <w:t>Il suo fabbisogno finanziario netto è stimato in 34.739.781 dollari.</w:t>
      </w:r>
    </w:p>
    <w:p w14:paraId="4C809C09"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366E8E86" wp14:editId="4A5E7C0D">
            <wp:extent cx="5040000" cy="1260000"/>
            <wp:effectExtent l="0" t="0" r="8255" b="0"/>
            <wp:docPr id="71807019" name="Immagine 11" descr="Immagine che contiene testo, schermata, Carattere,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807019" name="Immagine 11" descr="Immagine che contiene testo, schermata, Carattere, linea&#10;&#10;Descrizione generata automaticamente"/>
                    <pic:cNvPicPr preferRelativeResize="0">
                      <a:picLocks noChangeAspect="1" noChangeArrowheads="1"/>
                    </pic:cNvPicPr>
                  </pic:nvPicPr>
                  <pic:blipFill rotWithShape="1">
                    <a:blip r:embed="rId128">
                      <a:extLst>
                        <a:ext uri="{28A0092B-C50C-407E-A947-70E740481C1C}">
                          <a14:useLocalDpi xmlns:a14="http://schemas.microsoft.com/office/drawing/2010/main" val="0"/>
                        </a:ext>
                      </a:extLst>
                    </a:blip>
                    <a:srcRect l="4377" t="8457" r="7480"/>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7CEEE2ED"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25C9E29B" wp14:editId="4D070CA7">
            <wp:extent cx="5040000" cy="2880000"/>
            <wp:effectExtent l="0" t="0" r="8255" b="0"/>
            <wp:docPr id="1318597653" name="Immagine 12"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8597653" name="Immagine 12" descr="Immagine che contiene testo, schermata, diagramma, cerchio&#10;&#10;Descrizione generata automaticamente"/>
                    <pic:cNvPicPr preferRelativeResize="0">
                      <a:picLocks noChangeAspect="1" noChangeArrowheads="1"/>
                    </pic:cNvPicPr>
                  </pic:nvPicPr>
                  <pic:blipFill rotWithShape="1">
                    <a:blip r:embed="rId129">
                      <a:extLst>
                        <a:ext uri="{28A0092B-C50C-407E-A947-70E740481C1C}">
                          <a14:useLocalDpi xmlns:a14="http://schemas.microsoft.com/office/drawing/2010/main" val="0"/>
                        </a:ext>
                      </a:extLst>
                    </a:blip>
                    <a:srcRect l="6145" t="2437" r="8346" b="8873"/>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7384A03F" w14:textId="77777777" w:rsidR="00222F2D" w:rsidRDefault="00222F2D" w:rsidP="00222F2D">
      <w:pPr>
        <w:tabs>
          <w:tab w:val="left" w:pos="709"/>
        </w:tabs>
        <w:spacing w:after="0" w:line="360" w:lineRule="auto"/>
        <w:jc w:val="both"/>
        <w:rPr>
          <w:rFonts w:ascii="Arial" w:hAnsi="Arial" w:cs="Arial"/>
          <w:bCs/>
          <w:sz w:val="24"/>
          <w:szCs w:val="24"/>
        </w:rPr>
      </w:pPr>
    </w:p>
    <w:p w14:paraId="42047E5B" w14:textId="77777777" w:rsidR="00222F2D" w:rsidRPr="00AF27BD" w:rsidRDefault="00222F2D" w:rsidP="00222F2D">
      <w:pPr>
        <w:tabs>
          <w:tab w:val="left" w:pos="709"/>
        </w:tabs>
        <w:spacing w:after="0" w:line="360" w:lineRule="auto"/>
        <w:jc w:val="both"/>
        <w:rPr>
          <w:rFonts w:ascii="Arial" w:hAnsi="Arial" w:cs="Arial"/>
          <w:bCs/>
          <w:i/>
          <w:iCs/>
          <w:sz w:val="24"/>
          <w:szCs w:val="24"/>
        </w:rPr>
      </w:pPr>
      <w:r w:rsidRPr="00371FE4">
        <w:rPr>
          <w:rFonts w:ascii="Arial" w:hAnsi="Arial" w:cs="Arial"/>
          <w:bCs/>
          <w:sz w:val="24"/>
          <w:szCs w:val="24"/>
        </w:rPr>
        <w:t>II.1.1.</w:t>
      </w:r>
      <w:r w:rsidRPr="00371FE4">
        <w:rPr>
          <w:rFonts w:ascii="Arial" w:hAnsi="Arial" w:cs="Arial"/>
          <w:bCs/>
          <w:sz w:val="24"/>
          <w:szCs w:val="24"/>
        </w:rPr>
        <w:tab/>
      </w:r>
      <w:r w:rsidRPr="00AF27BD">
        <w:rPr>
          <w:rFonts w:ascii="Arial" w:hAnsi="Arial" w:cs="Arial"/>
          <w:bCs/>
          <w:i/>
          <w:iCs/>
          <w:sz w:val="24"/>
          <w:szCs w:val="24"/>
        </w:rPr>
        <w:t>Fondesurco</w:t>
      </w:r>
    </w:p>
    <w:p w14:paraId="4170516F" w14:textId="77777777" w:rsidR="00222F2D" w:rsidRPr="00371FE4" w:rsidRDefault="00222F2D" w:rsidP="00222F2D">
      <w:pPr>
        <w:tabs>
          <w:tab w:val="left" w:pos="709"/>
        </w:tabs>
        <w:spacing w:after="0" w:line="360" w:lineRule="auto"/>
        <w:jc w:val="both"/>
        <w:rPr>
          <w:rFonts w:ascii="Arial" w:hAnsi="Arial" w:cs="Arial"/>
          <w:bCs/>
          <w:sz w:val="24"/>
          <w:szCs w:val="24"/>
        </w:rPr>
      </w:pPr>
    </w:p>
    <w:p w14:paraId="0CF0EA24" w14:textId="77777777" w:rsidR="00222F2D" w:rsidRPr="00371FE4" w:rsidRDefault="00222F2D" w:rsidP="00222F2D">
      <w:pPr>
        <w:tabs>
          <w:tab w:val="left" w:pos="709"/>
        </w:tabs>
        <w:spacing w:line="360" w:lineRule="auto"/>
        <w:jc w:val="both"/>
        <w:rPr>
          <w:rFonts w:ascii="Arial" w:hAnsi="Arial" w:cs="Arial"/>
          <w:bCs/>
          <w:sz w:val="24"/>
          <w:szCs w:val="24"/>
        </w:rPr>
      </w:pPr>
      <w:r w:rsidRPr="00AF27BD">
        <w:rPr>
          <w:rFonts w:ascii="Arial" w:hAnsi="Arial" w:cs="Arial"/>
          <w:bCs/>
          <w:i/>
          <w:iCs/>
          <w:sz w:val="24"/>
          <w:szCs w:val="24"/>
        </w:rPr>
        <w:t>Fondesurco</w:t>
      </w:r>
      <w:r w:rsidRPr="00371FE4">
        <w:rPr>
          <w:rFonts w:ascii="Arial" w:hAnsi="Arial" w:cs="Arial"/>
          <w:bCs/>
          <w:sz w:val="24"/>
          <w:szCs w:val="24"/>
        </w:rPr>
        <w:t xml:space="preserve"> è un’organizzazione non governativa, leader in Perù e punto di riferimento mondiale nel settore dei servizi finanziari per lo sviluppo rurale. </w:t>
      </w:r>
      <w:r w:rsidRPr="002B2F3D">
        <w:rPr>
          <w:rFonts w:ascii="Arial" w:hAnsi="Arial" w:cs="Arial"/>
          <w:bCs/>
          <w:i/>
          <w:iCs/>
          <w:sz w:val="24"/>
          <w:szCs w:val="24"/>
        </w:rPr>
        <w:t>Fondesurco</w:t>
      </w:r>
      <w:r w:rsidRPr="00371FE4">
        <w:rPr>
          <w:rFonts w:ascii="Arial" w:hAnsi="Arial" w:cs="Arial"/>
          <w:bCs/>
          <w:sz w:val="24"/>
          <w:szCs w:val="24"/>
        </w:rPr>
        <w:t xml:space="preserve"> interviene principalmente nelle zone rurali carenti di un</w:t>
      </w:r>
      <w:r>
        <w:rPr>
          <w:rFonts w:ascii="Arial" w:hAnsi="Arial" w:cs="Arial"/>
          <w:bCs/>
          <w:sz w:val="24"/>
          <w:szCs w:val="24"/>
        </w:rPr>
        <w:t>’</w:t>
      </w:r>
      <w:r w:rsidRPr="00371FE4">
        <w:rPr>
          <w:rFonts w:ascii="Arial" w:hAnsi="Arial" w:cs="Arial"/>
          <w:bCs/>
          <w:sz w:val="24"/>
          <w:szCs w:val="24"/>
        </w:rPr>
        <w:t>adeguata fornitura di servizi finanziari e la sua operatività è finalizzata al raggiungimento di un equilibrio tra risultati finanziari e sociali, favorendo l</w:t>
      </w:r>
      <w:r>
        <w:rPr>
          <w:rFonts w:ascii="Arial" w:hAnsi="Arial" w:cs="Arial"/>
          <w:bCs/>
          <w:sz w:val="24"/>
          <w:szCs w:val="24"/>
        </w:rPr>
        <w:t>’</w:t>
      </w:r>
      <w:r w:rsidRPr="00371FE4">
        <w:rPr>
          <w:rFonts w:ascii="Arial" w:hAnsi="Arial" w:cs="Arial"/>
          <w:bCs/>
          <w:sz w:val="24"/>
          <w:szCs w:val="24"/>
        </w:rPr>
        <w:t>inclusione sociale di chi vive in condizione di povertà. Pratica un tasso di interesse medio annuo del 43,41% sul portafoglio prestiti così distribuito tra i settori economici, considerando i dati a marzo 2014.</w:t>
      </w:r>
    </w:p>
    <w:p w14:paraId="11532040"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227D534A" wp14:editId="3CF0F195">
            <wp:extent cx="5040000" cy="2880000"/>
            <wp:effectExtent l="0" t="0" r="8255" b="0"/>
            <wp:docPr id="1255378601" name="Immagine 13" descr="Immagine che contiene testo, diagramma, schermata,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5378601" name="Immagine 13" descr="Immagine che contiene testo, diagramma, schermata, Carattere&#10;&#10;Descrizione generata automaticamente"/>
                    <pic:cNvPicPr preferRelativeResize="0">
                      <a:picLocks noChangeAspect="1" noChangeArrowheads="1"/>
                    </pic:cNvPicPr>
                  </pic:nvPicPr>
                  <pic:blipFill rotWithShape="1">
                    <a:blip r:embed="rId130">
                      <a:extLst>
                        <a:ext uri="{28A0092B-C50C-407E-A947-70E740481C1C}">
                          <a14:useLocalDpi xmlns:a14="http://schemas.microsoft.com/office/drawing/2010/main" val="0"/>
                        </a:ext>
                      </a:extLst>
                    </a:blip>
                    <a:srcRect l="7062" t="9840" r="9927"/>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D09016E" w14:textId="77777777" w:rsidR="00222F2D" w:rsidRDefault="00222F2D" w:rsidP="00222F2D">
      <w:pPr>
        <w:tabs>
          <w:tab w:val="left" w:pos="709"/>
        </w:tabs>
        <w:spacing w:line="360" w:lineRule="auto"/>
        <w:jc w:val="both"/>
        <w:rPr>
          <w:rFonts w:ascii="Arial" w:hAnsi="Arial" w:cs="Arial"/>
          <w:bCs/>
          <w:sz w:val="24"/>
          <w:szCs w:val="24"/>
        </w:rPr>
      </w:pPr>
    </w:p>
    <w:p w14:paraId="1D88AC0F" w14:textId="77777777" w:rsidR="00222F2D" w:rsidRDefault="00222F2D" w:rsidP="00222F2D">
      <w:pPr>
        <w:tabs>
          <w:tab w:val="left" w:pos="709"/>
        </w:tabs>
        <w:spacing w:line="360" w:lineRule="auto"/>
        <w:jc w:val="both"/>
        <w:rPr>
          <w:rFonts w:ascii="Arial" w:hAnsi="Arial" w:cs="Arial"/>
          <w:bCs/>
          <w:sz w:val="24"/>
          <w:szCs w:val="24"/>
        </w:rPr>
      </w:pPr>
      <w:r w:rsidRPr="00371FE4">
        <w:rPr>
          <w:rFonts w:ascii="Arial" w:hAnsi="Arial" w:cs="Arial"/>
          <w:bCs/>
          <w:sz w:val="24"/>
          <w:szCs w:val="24"/>
        </w:rPr>
        <w:lastRenderedPageBreak/>
        <w:t>Al 31/12/2013</w:t>
      </w:r>
      <w:r>
        <w:rPr>
          <w:rFonts w:ascii="Arial" w:hAnsi="Arial" w:cs="Arial"/>
          <w:bCs/>
          <w:sz w:val="24"/>
          <w:szCs w:val="24"/>
        </w:rPr>
        <w:t>,</w:t>
      </w:r>
      <w:r w:rsidRPr="00371FE4">
        <w:rPr>
          <w:rFonts w:ascii="Arial" w:hAnsi="Arial" w:cs="Arial"/>
          <w:bCs/>
          <w:sz w:val="24"/>
          <w:szCs w:val="24"/>
        </w:rPr>
        <w:t xml:space="preserve"> </w:t>
      </w:r>
      <w:r w:rsidRPr="002B2F3D">
        <w:rPr>
          <w:rFonts w:ascii="Arial" w:hAnsi="Arial" w:cs="Arial"/>
          <w:bCs/>
          <w:i/>
          <w:iCs/>
          <w:sz w:val="24"/>
          <w:szCs w:val="24"/>
        </w:rPr>
        <w:t>Fondesurco</w:t>
      </w:r>
      <w:r w:rsidRPr="00371FE4">
        <w:rPr>
          <w:rFonts w:ascii="Arial" w:hAnsi="Arial" w:cs="Arial"/>
          <w:bCs/>
          <w:sz w:val="24"/>
          <w:szCs w:val="24"/>
        </w:rPr>
        <w:t xml:space="preserve"> registra un’incidenza del 4,21% del portafoglio rischi sul portafoglio complessivo per crediti con scadenza superiore a 30 giorni e del 3,64% per crediti con scadenza superiore ai 90 giorni. Il tasso di perdita del portafoglio prestiti è del 2,61%. Il suo fabbisogno finanziario netto viene stimato i</w:t>
      </w:r>
      <w:r>
        <w:rPr>
          <w:rFonts w:ascii="Arial" w:hAnsi="Arial" w:cs="Arial"/>
          <w:bCs/>
          <w:sz w:val="24"/>
          <w:szCs w:val="24"/>
        </w:rPr>
        <w:t>n</w:t>
      </w:r>
      <w:r w:rsidRPr="00371FE4">
        <w:rPr>
          <w:rFonts w:ascii="Arial" w:hAnsi="Arial" w:cs="Arial"/>
          <w:bCs/>
          <w:sz w:val="24"/>
          <w:szCs w:val="24"/>
        </w:rPr>
        <w:t xml:space="preserve"> 16.620.692</w:t>
      </w:r>
      <w:r>
        <w:rPr>
          <w:rFonts w:ascii="Arial" w:hAnsi="Arial" w:cs="Arial"/>
          <w:bCs/>
          <w:sz w:val="24"/>
          <w:szCs w:val="24"/>
        </w:rPr>
        <w:t xml:space="preserve"> dollari.</w:t>
      </w:r>
    </w:p>
    <w:p w14:paraId="1F3D7FC9"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0270C7B6" wp14:editId="3BAA37C8">
            <wp:extent cx="5040000" cy="1260000"/>
            <wp:effectExtent l="0" t="0" r="8255" b="0"/>
            <wp:docPr id="1789649160" name="Immagine 14" descr="Immagine che contiene testo, schermata, Carattere,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89649160" name="Immagine 14" descr="Immagine che contiene testo, schermata, Carattere, linea&#10;&#10;Descrizione generata automaticamente"/>
                    <pic:cNvPicPr preferRelativeResize="0">
                      <a:picLocks noChangeAspect="1" noChangeArrowheads="1"/>
                    </pic:cNvPicPr>
                  </pic:nvPicPr>
                  <pic:blipFill rotWithShape="1">
                    <a:blip r:embed="rId131">
                      <a:extLst>
                        <a:ext uri="{28A0092B-C50C-407E-A947-70E740481C1C}">
                          <a14:useLocalDpi xmlns:a14="http://schemas.microsoft.com/office/drawing/2010/main" val="0"/>
                        </a:ext>
                      </a:extLst>
                    </a:blip>
                    <a:srcRect l="5451" r="8421" b="13720"/>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155C0EAD" w14:textId="77777777" w:rsidR="00222F2D" w:rsidRDefault="00222F2D" w:rsidP="00222F2D">
      <w:pPr>
        <w:tabs>
          <w:tab w:val="left" w:pos="709"/>
        </w:tabs>
        <w:spacing w:after="0" w:line="360" w:lineRule="auto"/>
        <w:rPr>
          <w:rFonts w:ascii="Arial" w:hAnsi="Arial" w:cs="Arial"/>
          <w:bCs/>
          <w:sz w:val="24"/>
          <w:szCs w:val="24"/>
        </w:rPr>
      </w:pPr>
    </w:p>
    <w:p w14:paraId="07ABAF5C" w14:textId="77777777" w:rsidR="00222F2D" w:rsidRPr="008623DB" w:rsidRDefault="00222F2D" w:rsidP="00222F2D">
      <w:pPr>
        <w:tabs>
          <w:tab w:val="left" w:pos="709"/>
        </w:tabs>
        <w:spacing w:after="0" w:line="360" w:lineRule="auto"/>
        <w:jc w:val="both"/>
        <w:rPr>
          <w:rFonts w:ascii="Arial" w:hAnsi="Arial" w:cs="Arial"/>
          <w:bCs/>
          <w:sz w:val="24"/>
          <w:szCs w:val="24"/>
        </w:rPr>
      </w:pPr>
      <w:r w:rsidRPr="008623DB">
        <w:rPr>
          <w:rFonts w:ascii="Arial" w:hAnsi="Arial" w:cs="Arial"/>
          <w:bCs/>
          <w:sz w:val="24"/>
          <w:szCs w:val="24"/>
        </w:rPr>
        <w:t>II.</w:t>
      </w:r>
      <w:r>
        <w:rPr>
          <w:rFonts w:ascii="Arial" w:hAnsi="Arial" w:cs="Arial"/>
          <w:bCs/>
          <w:sz w:val="24"/>
          <w:szCs w:val="24"/>
        </w:rPr>
        <w:t>5.5</w:t>
      </w:r>
      <w:r w:rsidRPr="008623DB">
        <w:rPr>
          <w:rFonts w:ascii="Arial" w:hAnsi="Arial" w:cs="Arial"/>
          <w:bCs/>
          <w:sz w:val="24"/>
          <w:szCs w:val="24"/>
        </w:rPr>
        <w:t>.</w:t>
      </w:r>
      <w:r w:rsidRPr="008623DB">
        <w:rPr>
          <w:rFonts w:ascii="Arial" w:hAnsi="Arial" w:cs="Arial"/>
          <w:bCs/>
          <w:sz w:val="24"/>
          <w:szCs w:val="24"/>
        </w:rPr>
        <w:tab/>
      </w:r>
      <w:r w:rsidRPr="004B4F9B">
        <w:rPr>
          <w:rFonts w:ascii="Arial" w:hAnsi="Arial" w:cs="Arial"/>
          <w:bCs/>
          <w:i/>
          <w:iCs/>
          <w:sz w:val="24"/>
          <w:szCs w:val="24"/>
        </w:rPr>
        <w:t>Edpyme Alternativa</w:t>
      </w:r>
    </w:p>
    <w:p w14:paraId="60730BDA" w14:textId="77777777" w:rsidR="00222F2D" w:rsidRPr="008623DB" w:rsidRDefault="00222F2D" w:rsidP="00222F2D">
      <w:pPr>
        <w:tabs>
          <w:tab w:val="left" w:pos="709"/>
        </w:tabs>
        <w:spacing w:after="0" w:line="360" w:lineRule="auto"/>
        <w:jc w:val="both"/>
        <w:rPr>
          <w:rFonts w:ascii="Arial" w:hAnsi="Arial" w:cs="Arial"/>
          <w:bCs/>
          <w:sz w:val="24"/>
          <w:szCs w:val="24"/>
        </w:rPr>
      </w:pPr>
    </w:p>
    <w:p w14:paraId="389A8336" w14:textId="77777777" w:rsidR="00222F2D" w:rsidRDefault="00222F2D" w:rsidP="00222F2D">
      <w:pPr>
        <w:tabs>
          <w:tab w:val="left" w:pos="709"/>
        </w:tabs>
        <w:spacing w:line="360" w:lineRule="auto"/>
        <w:jc w:val="both"/>
        <w:rPr>
          <w:rFonts w:ascii="Arial" w:hAnsi="Arial" w:cs="Arial"/>
          <w:bCs/>
          <w:sz w:val="24"/>
          <w:szCs w:val="24"/>
        </w:rPr>
      </w:pPr>
      <w:r w:rsidRPr="004B4F9B">
        <w:rPr>
          <w:rFonts w:ascii="Arial" w:hAnsi="Arial" w:cs="Arial"/>
          <w:bCs/>
          <w:i/>
          <w:iCs/>
          <w:sz w:val="24"/>
          <w:szCs w:val="24"/>
        </w:rPr>
        <w:t>Edpyme Alternativa</w:t>
      </w:r>
      <w:r w:rsidRPr="008623DB">
        <w:rPr>
          <w:rFonts w:ascii="Arial" w:hAnsi="Arial" w:cs="Arial"/>
          <w:bCs/>
          <w:sz w:val="24"/>
          <w:szCs w:val="24"/>
        </w:rPr>
        <w:t xml:space="preserve"> è regolata dalla SBS e offre servizi finanziari alle microimprese rurali e urbane, praticando mediamente un tasso di interesse annuo del 47,97%. Il suo portafoglio prestiti è così distribuito tra i diversi settori.</w:t>
      </w:r>
    </w:p>
    <w:p w14:paraId="1AA8805E" w14:textId="77777777" w:rsidR="00222F2D" w:rsidRDefault="00222F2D" w:rsidP="00222F2D">
      <w:pPr>
        <w:tabs>
          <w:tab w:val="left" w:pos="709"/>
        </w:tabs>
        <w:spacing w:line="360" w:lineRule="auto"/>
        <w:jc w:val="both"/>
        <w:rPr>
          <w:rFonts w:ascii="Arial" w:hAnsi="Arial" w:cs="Arial"/>
          <w:bCs/>
          <w:sz w:val="24"/>
          <w:szCs w:val="24"/>
        </w:rPr>
      </w:pPr>
    </w:p>
    <w:p w14:paraId="4D515024"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0C2AC303" wp14:editId="5F87FBEA">
            <wp:extent cx="5040000" cy="2880000"/>
            <wp:effectExtent l="0" t="0" r="8255" b="0"/>
            <wp:docPr id="1451861060" name="Immagine 15"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1861060" name="Immagine 15" descr="Immagine che contiene testo, schermata, diagramma, cerchio&#10;&#10;Descrizione generata automaticamente"/>
                    <pic:cNvPicPr preferRelativeResize="0">
                      <a:picLocks noChangeAspect="1" noChangeArrowheads="1"/>
                    </pic:cNvPicPr>
                  </pic:nvPicPr>
                  <pic:blipFill rotWithShape="1">
                    <a:blip r:embed="rId132">
                      <a:extLst>
                        <a:ext uri="{28A0092B-C50C-407E-A947-70E740481C1C}">
                          <a14:useLocalDpi xmlns:a14="http://schemas.microsoft.com/office/drawing/2010/main" val="0"/>
                        </a:ext>
                      </a:extLst>
                    </a:blip>
                    <a:srcRect l="5277" r="10562" b="10606"/>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37C658C"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ED83830" wp14:editId="47F09720">
            <wp:extent cx="5040000" cy="2880000"/>
            <wp:effectExtent l="0" t="0" r="8255" b="0"/>
            <wp:docPr id="1895599099" name="Immagine 1"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5599099" name="Immagine 1" descr="Immagine che contiene testo, schermata, diagramma, cerchio&#10;&#10;Descrizione generata automaticamente"/>
                    <pic:cNvPicPr preferRelativeResize="0">
                      <a:picLocks noChangeAspect="1" noChangeArrowheads="1"/>
                    </pic:cNvPicPr>
                  </pic:nvPicPr>
                  <pic:blipFill rotWithShape="1">
                    <a:blip r:embed="rId133">
                      <a:extLst>
                        <a:ext uri="{28A0092B-C50C-407E-A947-70E740481C1C}">
                          <a14:useLocalDpi xmlns:a14="http://schemas.microsoft.com/office/drawing/2010/main" val="0"/>
                        </a:ext>
                      </a:extLst>
                    </a:blip>
                    <a:srcRect l="5696" t="13659" r="5190" b="2006"/>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165077FD" w14:textId="77777777" w:rsidR="00222F2D" w:rsidRDefault="00222F2D" w:rsidP="00222F2D">
      <w:pPr>
        <w:tabs>
          <w:tab w:val="left" w:pos="709"/>
        </w:tabs>
        <w:spacing w:after="0" w:line="360" w:lineRule="auto"/>
        <w:rPr>
          <w:rFonts w:ascii="Arial" w:hAnsi="Arial" w:cs="Arial"/>
          <w:bCs/>
          <w:sz w:val="24"/>
          <w:szCs w:val="24"/>
        </w:rPr>
      </w:pPr>
    </w:p>
    <w:p w14:paraId="2817ED5E" w14:textId="77777777" w:rsidR="00222F2D" w:rsidRDefault="00222F2D" w:rsidP="00222F2D">
      <w:pPr>
        <w:tabs>
          <w:tab w:val="left" w:pos="709"/>
        </w:tabs>
        <w:spacing w:line="360" w:lineRule="auto"/>
        <w:jc w:val="both"/>
        <w:rPr>
          <w:rFonts w:ascii="Arial" w:hAnsi="Arial" w:cs="Arial"/>
          <w:bCs/>
          <w:sz w:val="24"/>
          <w:szCs w:val="24"/>
        </w:rPr>
      </w:pPr>
      <w:r w:rsidRPr="008623DB">
        <w:rPr>
          <w:rFonts w:ascii="Arial" w:hAnsi="Arial" w:cs="Arial"/>
          <w:bCs/>
          <w:sz w:val="24"/>
          <w:szCs w:val="24"/>
        </w:rPr>
        <w:t>Al 31 dicembre 2014</w:t>
      </w:r>
      <w:r>
        <w:rPr>
          <w:rFonts w:ascii="Arial" w:hAnsi="Arial" w:cs="Arial"/>
          <w:bCs/>
          <w:sz w:val="24"/>
          <w:szCs w:val="24"/>
        </w:rPr>
        <w:t>,</w:t>
      </w:r>
      <w:r w:rsidRPr="008623DB">
        <w:rPr>
          <w:rFonts w:ascii="Arial" w:hAnsi="Arial" w:cs="Arial"/>
          <w:bCs/>
          <w:sz w:val="24"/>
          <w:szCs w:val="24"/>
        </w:rPr>
        <w:t xml:space="preserve"> l’Istituzione registra un’incidenza del 4,65% del portafoglio rischi sul portafoglio complessivo per crediti con scadenza superiore a 30 giorni e del 4,06% per crediti con scadenza superiore ai 90 giorni. Il tasso di </w:t>
      </w:r>
      <w:r>
        <w:rPr>
          <w:rFonts w:ascii="Arial" w:hAnsi="Arial" w:cs="Arial"/>
          <w:bCs/>
          <w:sz w:val="24"/>
          <w:szCs w:val="24"/>
        </w:rPr>
        <w:t>p</w:t>
      </w:r>
      <w:r w:rsidRPr="008623DB">
        <w:rPr>
          <w:rFonts w:ascii="Arial" w:hAnsi="Arial" w:cs="Arial"/>
          <w:bCs/>
          <w:sz w:val="24"/>
          <w:szCs w:val="24"/>
        </w:rPr>
        <w:t>erdita del portafoglio crediti è del 2,17%. Il suo fabbisogno finanziario netto viene stimato in 21.837.497</w:t>
      </w:r>
      <w:r>
        <w:rPr>
          <w:rFonts w:ascii="Arial" w:hAnsi="Arial" w:cs="Arial"/>
          <w:bCs/>
          <w:sz w:val="24"/>
          <w:szCs w:val="24"/>
        </w:rPr>
        <w:t xml:space="preserve"> dollari.</w:t>
      </w:r>
    </w:p>
    <w:p w14:paraId="38F9FB6D"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73E2930B" wp14:editId="563006D4">
            <wp:extent cx="5040000" cy="1260000"/>
            <wp:effectExtent l="0" t="0" r="8255" b="0"/>
            <wp:docPr id="1054680979" name="Immagine 17" descr="Immagine che contiene testo, schermata, Carattere,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54680979" name="Immagine 17" descr="Immagine che contiene testo, schermata, Carattere, linea&#10;&#10;Descrizione generata automaticamente"/>
                    <pic:cNvPicPr preferRelativeResize="0">
                      <a:picLocks noChangeAspect="1" noChangeArrowheads="1"/>
                    </pic:cNvPicPr>
                  </pic:nvPicPr>
                  <pic:blipFill rotWithShape="1">
                    <a:blip r:embed="rId134">
                      <a:extLst>
                        <a:ext uri="{28A0092B-C50C-407E-A947-70E740481C1C}">
                          <a14:useLocalDpi xmlns:a14="http://schemas.microsoft.com/office/drawing/2010/main" val="0"/>
                        </a:ext>
                      </a:extLst>
                    </a:blip>
                    <a:srcRect l="1915" t="2459" r="4547" b="11475"/>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692F5AFD" w14:textId="77777777" w:rsidR="00222F2D" w:rsidRDefault="00222F2D" w:rsidP="00222F2D">
      <w:pPr>
        <w:tabs>
          <w:tab w:val="left" w:pos="709"/>
        </w:tabs>
        <w:spacing w:after="0" w:line="360" w:lineRule="auto"/>
        <w:rPr>
          <w:rFonts w:ascii="Arial" w:hAnsi="Arial" w:cs="Arial"/>
          <w:bCs/>
          <w:sz w:val="24"/>
          <w:szCs w:val="24"/>
        </w:rPr>
      </w:pPr>
    </w:p>
    <w:p w14:paraId="58C2864F" w14:textId="77777777" w:rsidR="00222F2D" w:rsidRPr="00676328" w:rsidRDefault="00222F2D" w:rsidP="00222F2D">
      <w:pPr>
        <w:tabs>
          <w:tab w:val="left" w:pos="709"/>
        </w:tabs>
        <w:spacing w:after="0" w:line="360" w:lineRule="auto"/>
        <w:jc w:val="both"/>
        <w:rPr>
          <w:rFonts w:ascii="Arial" w:hAnsi="Arial" w:cs="Arial"/>
          <w:bCs/>
          <w:i/>
          <w:iCs/>
          <w:sz w:val="24"/>
          <w:szCs w:val="24"/>
        </w:rPr>
      </w:pPr>
      <w:r w:rsidRPr="008623DB">
        <w:rPr>
          <w:rFonts w:ascii="Arial" w:hAnsi="Arial" w:cs="Arial"/>
          <w:bCs/>
          <w:sz w:val="24"/>
          <w:szCs w:val="24"/>
        </w:rPr>
        <w:t>II.</w:t>
      </w:r>
      <w:r>
        <w:rPr>
          <w:rFonts w:ascii="Arial" w:hAnsi="Arial" w:cs="Arial"/>
          <w:bCs/>
          <w:sz w:val="24"/>
          <w:szCs w:val="24"/>
        </w:rPr>
        <w:t>5.6</w:t>
      </w:r>
      <w:r w:rsidRPr="008623DB">
        <w:rPr>
          <w:rFonts w:ascii="Arial" w:hAnsi="Arial" w:cs="Arial"/>
          <w:bCs/>
          <w:sz w:val="24"/>
          <w:szCs w:val="24"/>
        </w:rPr>
        <w:t>.</w:t>
      </w:r>
      <w:r w:rsidRPr="008623DB">
        <w:rPr>
          <w:rFonts w:ascii="Arial" w:hAnsi="Arial" w:cs="Arial"/>
          <w:bCs/>
          <w:sz w:val="24"/>
          <w:szCs w:val="24"/>
        </w:rPr>
        <w:tab/>
      </w:r>
      <w:r w:rsidRPr="00676328">
        <w:rPr>
          <w:rFonts w:ascii="Arial" w:hAnsi="Arial" w:cs="Arial"/>
          <w:bCs/>
          <w:i/>
          <w:iCs/>
          <w:sz w:val="24"/>
          <w:szCs w:val="24"/>
        </w:rPr>
        <w:t>Edpyme Raìz</w:t>
      </w:r>
    </w:p>
    <w:p w14:paraId="39A75BD7" w14:textId="77777777" w:rsidR="00222F2D" w:rsidRDefault="00222F2D" w:rsidP="00222F2D">
      <w:pPr>
        <w:tabs>
          <w:tab w:val="left" w:pos="709"/>
        </w:tabs>
        <w:spacing w:after="0" w:line="360" w:lineRule="auto"/>
        <w:jc w:val="both"/>
        <w:rPr>
          <w:rFonts w:ascii="Arial" w:hAnsi="Arial" w:cs="Arial"/>
          <w:bCs/>
          <w:sz w:val="24"/>
          <w:szCs w:val="24"/>
        </w:rPr>
      </w:pPr>
    </w:p>
    <w:p w14:paraId="647B2A75" w14:textId="77777777" w:rsidR="00222F2D" w:rsidRDefault="00222F2D" w:rsidP="00222F2D">
      <w:pPr>
        <w:tabs>
          <w:tab w:val="left" w:pos="709"/>
        </w:tabs>
        <w:spacing w:line="360" w:lineRule="auto"/>
        <w:jc w:val="both"/>
        <w:rPr>
          <w:rFonts w:ascii="Arial" w:hAnsi="Arial" w:cs="Arial"/>
          <w:bCs/>
          <w:sz w:val="24"/>
          <w:szCs w:val="24"/>
        </w:rPr>
      </w:pPr>
      <w:r w:rsidRPr="00676328">
        <w:rPr>
          <w:rFonts w:ascii="Arial" w:hAnsi="Arial" w:cs="Arial"/>
          <w:bCs/>
          <w:i/>
          <w:iCs/>
          <w:sz w:val="24"/>
          <w:szCs w:val="24"/>
        </w:rPr>
        <w:t>Edpyme Raiz</w:t>
      </w:r>
      <w:r w:rsidRPr="008623DB">
        <w:rPr>
          <w:rFonts w:ascii="Arial" w:hAnsi="Arial" w:cs="Arial"/>
          <w:bCs/>
          <w:sz w:val="24"/>
          <w:szCs w:val="24"/>
        </w:rPr>
        <w:t xml:space="preserve"> è regolata dalla SBS ed è un’istituzione finanziaria non bancaria. Il suo portafoglio prestiti, su cui applica mediamente un tasso del 38,05%,</w:t>
      </w:r>
      <w:r>
        <w:rPr>
          <w:rFonts w:ascii="Arial" w:hAnsi="Arial" w:cs="Arial"/>
          <w:bCs/>
          <w:sz w:val="24"/>
          <w:szCs w:val="24"/>
        </w:rPr>
        <w:t xml:space="preserve"> </w:t>
      </w:r>
      <w:r w:rsidRPr="008623DB">
        <w:rPr>
          <w:rFonts w:ascii="Arial" w:hAnsi="Arial" w:cs="Arial"/>
          <w:bCs/>
          <w:sz w:val="24"/>
          <w:szCs w:val="24"/>
        </w:rPr>
        <w:t>è così distribuito per tipologia di cliente e per settore</w:t>
      </w:r>
      <w:r>
        <w:rPr>
          <w:rFonts w:ascii="Arial" w:hAnsi="Arial" w:cs="Arial"/>
          <w:bCs/>
          <w:sz w:val="24"/>
          <w:szCs w:val="24"/>
        </w:rPr>
        <w:t>:</w:t>
      </w:r>
    </w:p>
    <w:p w14:paraId="6418C529" w14:textId="77777777" w:rsidR="00222F2D" w:rsidRDefault="00222F2D" w:rsidP="00222F2D">
      <w:pPr>
        <w:tabs>
          <w:tab w:val="left" w:pos="709"/>
        </w:tabs>
        <w:spacing w:after="0" w:line="360" w:lineRule="auto"/>
        <w:jc w:val="center"/>
        <w:rPr>
          <w:rFonts w:ascii="Arial" w:hAnsi="Arial" w:cs="Arial"/>
          <w:bCs/>
          <w:sz w:val="24"/>
          <w:szCs w:val="24"/>
        </w:rPr>
      </w:pPr>
      <w:r w:rsidRPr="00DE69F6">
        <w:rPr>
          <w:rFonts w:ascii="Arial" w:hAnsi="Arial" w:cs="Arial"/>
          <w:bCs/>
          <w:noProof/>
          <w:sz w:val="24"/>
          <w:szCs w:val="24"/>
        </w:rPr>
        <w:lastRenderedPageBreak/>
        <w:drawing>
          <wp:inline distT="0" distB="0" distL="0" distR="0" wp14:anchorId="0B82DA58" wp14:editId="121FD20D">
            <wp:extent cx="5158740" cy="2878455"/>
            <wp:effectExtent l="0" t="0" r="3810" b="0"/>
            <wp:docPr id="1627774368" name="Immagine 1"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27774368" name="Immagine 1" descr="Immagine che contiene testo, schermata, diagramma, cerchio&#10;&#10;Descrizione generata automaticamente"/>
                    <pic:cNvPicPr preferRelativeResize="0"/>
                  </pic:nvPicPr>
                  <pic:blipFill rotWithShape="1">
                    <a:blip r:embed="rId135"/>
                    <a:srcRect l="9295" t="5493" r="11791" b="7086"/>
                    <a:stretch/>
                  </pic:blipFill>
                  <pic:spPr bwMode="auto">
                    <a:xfrm>
                      <a:off x="0" y="0"/>
                      <a:ext cx="5161509" cy="2880000"/>
                    </a:xfrm>
                    <a:prstGeom prst="rect">
                      <a:avLst/>
                    </a:prstGeom>
                    <a:ln>
                      <a:noFill/>
                    </a:ln>
                    <a:extLst>
                      <a:ext uri="{53640926-AAD7-44D8-BBD7-CCE9431645EC}">
                        <a14:shadowObscured xmlns:a14="http://schemas.microsoft.com/office/drawing/2010/main"/>
                      </a:ext>
                    </a:extLst>
                  </pic:spPr>
                </pic:pic>
              </a:graphicData>
            </a:graphic>
          </wp:inline>
        </w:drawing>
      </w:r>
    </w:p>
    <w:p w14:paraId="25509CFF" w14:textId="77777777" w:rsidR="00222F2D" w:rsidRDefault="00222F2D" w:rsidP="00222F2D">
      <w:pPr>
        <w:tabs>
          <w:tab w:val="left" w:pos="709"/>
        </w:tabs>
        <w:spacing w:after="0" w:line="360" w:lineRule="auto"/>
        <w:jc w:val="center"/>
        <w:rPr>
          <w:rFonts w:ascii="Arial" w:hAnsi="Arial" w:cs="Arial"/>
          <w:bCs/>
          <w:sz w:val="24"/>
          <w:szCs w:val="24"/>
        </w:rPr>
      </w:pPr>
    </w:p>
    <w:p w14:paraId="20A3BA15"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18AC8825" wp14:editId="2DEFB860">
            <wp:extent cx="4930140" cy="2879725"/>
            <wp:effectExtent l="0" t="0" r="3810" b="0"/>
            <wp:docPr id="664920371" name="Immagine 19" descr="Immagine che contiene testo, schermata, diagramma,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4920371" name="Immagine 19" descr="Immagine che contiene testo, schermata, diagramma, Carattere&#10;&#10;Descrizione generata automaticamente"/>
                    <pic:cNvPicPr preferRelativeResize="0">
                      <a:picLocks noChangeAspect="1" noChangeArrowheads="1"/>
                    </pic:cNvPicPr>
                  </pic:nvPicPr>
                  <pic:blipFill rotWithShape="1">
                    <a:blip r:embed="rId136">
                      <a:extLst>
                        <a:ext uri="{28A0092B-C50C-407E-A947-70E740481C1C}">
                          <a14:useLocalDpi xmlns:a14="http://schemas.microsoft.com/office/drawing/2010/main" val="0"/>
                        </a:ext>
                      </a:extLst>
                    </a:blip>
                    <a:srcRect l="10767" t="9044" r="11902" b="3536"/>
                    <a:stretch/>
                  </pic:blipFill>
                  <pic:spPr bwMode="auto">
                    <a:xfrm>
                      <a:off x="0" y="0"/>
                      <a:ext cx="4930611"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4266A21" w14:textId="77777777" w:rsidR="00222F2D" w:rsidRDefault="00222F2D" w:rsidP="00222F2D">
      <w:pPr>
        <w:tabs>
          <w:tab w:val="left" w:pos="709"/>
        </w:tabs>
        <w:spacing w:after="0" w:line="360" w:lineRule="auto"/>
        <w:rPr>
          <w:rFonts w:ascii="Arial" w:hAnsi="Arial" w:cs="Arial"/>
          <w:bCs/>
          <w:sz w:val="24"/>
          <w:szCs w:val="24"/>
        </w:rPr>
      </w:pPr>
    </w:p>
    <w:p w14:paraId="10C25E2A" w14:textId="77777777" w:rsidR="00222F2D" w:rsidRDefault="00222F2D" w:rsidP="00222F2D">
      <w:pPr>
        <w:tabs>
          <w:tab w:val="left" w:pos="709"/>
        </w:tabs>
        <w:spacing w:line="360" w:lineRule="auto"/>
        <w:jc w:val="both"/>
        <w:rPr>
          <w:rFonts w:ascii="Arial" w:hAnsi="Arial" w:cs="Arial"/>
          <w:bCs/>
          <w:sz w:val="24"/>
          <w:szCs w:val="24"/>
        </w:rPr>
      </w:pPr>
      <w:r w:rsidRPr="008623DB">
        <w:rPr>
          <w:rFonts w:ascii="Arial" w:hAnsi="Arial" w:cs="Arial"/>
          <w:bCs/>
          <w:sz w:val="24"/>
          <w:szCs w:val="24"/>
        </w:rPr>
        <w:t>Per il 2014 l’Istituzione registra un’incidenza del 5,31% del portafoglio rischi sul portafoglio complessivo per crediti con scadenza superiore a 30 giorni e di 4,43% per crediti con scadenza superiore ai 90 giorni. Il tasso di perdita del portafoglio crediti è di 2,96%. Il suo fabbisogno finanziario netto viene stimato in 128.168.300 dollari.</w:t>
      </w:r>
    </w:p>
    <w:p w14:paraId="0BA3337F"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608118E9" wp14:editId="53A57AE9">
            <wp:extent cx="5040000" cy="1260000"/>
            <wp:effectExtent l="0" t="0" r="8255" b="0"/>
            <wp:docPr id="1510729886" name="Immagine 20" descr="Immagine che contiene testo, Carattere, linea,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10729886" name="Immagine 20" descr="Immagine che contiene testo, Carattere, linea, numero&#10;&#10;Descrizione generata automaticamente"/>
                    <pic:cNvPicPr preferRelativeResize="0">
                      <a:picLocks noChangeAspect="1" noChangeArrowheads="1"/>
                    </pic:cNvPicPr>
                  </pic:nvPicPr>
                  <pic:blipFill rotWithShape="1">
                    <a:blip r:embed="rId137">
                      <a:extLst>
                        <a:ext uri="{28A0092B-C50C-407E-A947-70E740481C1C}">
                          <a14:useLocalDpi xmlns:a14="http://schemas.microsoft.com/office/drawing/2010/main" val="0"/>
                        </a:ext>
                      </a:extLst>
                    </a:blip>
                    <a:srcRect l="3732" t="6796" r="4997" b="7489"/>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0EFB587F" w14:textId="77777777" w:rsidR="00222F2D" w:rsidRDefault="00222F2D" w:rsidP="00222F2D">
      <w:pPr>
        <w:tabs>
          <w:tab w:val="left" w:pos="709"/>
        </w:tabs>
        <w:spacing w:after="0" w:line="360" w:lineRule="auto"/>
        <w:rPr>
          <w:rFonts w:ascii="Arial" w:hAnsi="Arial" w:cs="Arial"/>
          <w:bCs/>
          <w:sz w:val="24"/>
          <w:szCs w:val="24"/>
        </w:rPr>
      </w:pPr>
    </w:p>
    <w:p w14:paraId="5B7EACF1" w14:textId="77777777" w:rsidR="00222F2D" w:rsidRPr="000D60D3" w:rsidRDefault="00222F2D" w:rsidP="00222F2D">
      <w:pPr>
        <w:tabs>
          <w:tab w:val="left" w:pos="709"/>
        </w:tabs>
        <w:spacing w:after="0" w:line="360" w:lineRule="auto"/>
        <w:jc w:val="both"/>
        <w:rPr>
          <w:rFonts w:ascii="Arial" w:hAnsi="Arial" w:cs="Arial"/>
          <w:bCs/>
          <w:sz w:val="24"/>
          <w:szCs w:val="24"/>
        </w:rPr>
      </w:pPr>
      <w:r w:rsidRPr="000D60D3">
        <w:rPr>
          <w:rFonts w:ascii="Arial" w:hAnsi="Arial" w:cs="Arial"/>
          <w:bCs/>
          <w:sz w:val="24"/>
          <w:szCs w:val="24"/>
        </w:rPr>
        <w:lastRenderedPageBreak/>
        <w:t>II.</w:t>
      </w:r>
      <w:r>
        <w:rPr>
          <w:rFonts w:ascii="Arial" w:hAnsi="Arial" w:cs="Arial"/>
          <w:bCs/>
          <w:sz w:val="24"/>
          <w:szCs w:val="24"/>
        </w:rPr>
        <w:t>5.7</w:t>
      </w:r>
      <w:r w:rsidRPr="000D60D3">
        <w:rPr>
          <w:rFonts w:ascii="Arial" w:hAnsi="Arial" w:cs="Arial"/>
          <w:bCs/>
          <w:sz w:val="24"/>
          <w:szCs w:val="24"/>
        </w:rPr>
        <w:t>.</w:t>
      </w:r>
      <w:r w:rsidRPr="000D60D3">
        <w:rPr>
          <w:rFonts w:ascii="Arial" w:hAnsi="Arial" w:cs="Arial"/>
          <w:bCs/>
          <w:sz w:val="24"/>
          <w:szCs w:val="24"/>
        </w:rPr>
        <w:tab/>
      </w:r>
      <w:r w:rsidRPr="00E32C34">
        <w:rPr>
          <w:rFonts w:ascii="Arial" w:hAnsi="Arial" w:cs="Arial"/>
          <w:bCs/>
          <w:i/>
          <w:iCs/>
          <w:sz w:val="24"/>
          <w:szCs w:val="24"/>
        </w:rPr>
        <w:t>Edpyme Credivision</w:t>
      </w:r>
    </w:p>
    <w:p w14:paraId="25BD8B38" w14:textId="77777777" w:rsidR="00222F2D" w:rsidRPr="000D60D3" w:rsidRDefault="00222F2D" w:rsidP="00222F2D">
      <w:pPr>
        <w:tabs>
          <w:tab w:val="left" w:pos="709"/>
        </w:tabs>
        <w:spacing w:after="0" w:line="360" w:lineRule="auto"/>
        <w:jc w:val="both"/>
        <w:rPr>
          <w:rFonts w:ascii="Arial" w:hAnsi="Arial" w:cs="Arial"/>
          <w:bCs/>
          <w:sz w:val="24"/>
          <w:szCs w:val="24"/>
        </w:rPr>
      </w:pPr>
    </w:p>
    <w:p w14:paraId="7392ABDF" w14:textId="77777777" w:rsidR="00222F2D" w:rsidRDefault="00222F2D" w:rsidP="00222F2D">
      <w:pPr>
        <w:tabs>
          <w:tab w:val="left" w:pos="709"/>
        </w:tabs>
        <w:spacing w:line="360" w:lineRule="auto"/>
        <w:jc w:val="both"/>
        <w:rPr>
          <w:rFonts w:ascii="Arial" w:hAnsi="Arial" w:cs="Arial"/>
          <w:bCs/>
          <w:sz w:val="24"/>
          <w:szCs w:val="24"/>
        </w:rPr>
      </w:pPr>
      <w:r w:rsidRPr="003960CB">
        <w:rPr>
          <w:rFonts w:ascii="Arial" w:hAnsi="Arial" w:cs="Arial"/>
          <w:bCs/>
          <w:i/>
          <w:iCs/>
          <w:sz w:val="24"/>
          <w:szCs w:val="24"/>
        </w:rPr>
        <w:t>Edpyme Credivision</w:t>
      </w:r>
      <w:r w:rsidRPr="000D60D3">
        <w:rPr>
          <w:rFonts w:ascii="Arial" w:hAnsi="Arial" w:cs="Arial"/>
          <w:bCs/>
          <w:sz w:val="24"/>
          <w:szCs w:val="24"/>
        </w:rPr>
        <w:t xml:space="preserve"> è un’istituzione finanziaria non bancaria, controllata dalla SBS.</w:t>
      </w:r>
    </w:p>
    <w:p w14:paraId="5CD8839E" w14:textId="77777777" w:rsidR="00222F2D" w:rsidRPr="000D60D3" w:rsidRDefault="00222F2D" w:rsidP="00222F2D">
      <w:pPr>
        <w:tabs>
          <w:tab w:val="left" w:pos="709"/>
        </w:tabs>
        <w:spacing w:line="360" w:lineRule="auto"/>
        <w:jc w:val="both"/>
        <w:rPr>
          <w:rFonts w:ascii="Arial" w:hAnsi="Arial" w:cs="Arial"/>
          <w:bCs/>
          <w:sz w:val="24"/>
          <w:szCs w:val="24"/>
        </w:rPr>
      </w:pPr>
      <w:r w:rsidRPr="000D60D3">
        <w:rPr>
          <w:rFonts w:ascii="Arial" w:hAnsi="Arial" w:cs="Arial"/>
          <w:bCs/>
          <w:sz w:val="24"/>
          <w:szCs w:val="24"/>
        </w:rPr>
        <w:t>La società pratica un tasso di interesse medio annuo del 54,07% sul portafoglio prestiti così distribuito per tipologia di cliente e per settore.</w:t>
      </w:r>
    </w:p>
    <w:p w14:paraId="793E3D1B" w14:textId="77777777" w:rsidR="00222F2D" w:rsidRPr="000D60D3" w:rsidRDefault="00222F2D" w:rsidP="00222F2D">
      <w:pPr>
        <w:tabs>
          <w:tab w:val="left" w:pos="709"/>
        </w:tabs>
        <w:spacing w:after="0" w:line="360" w:lineRule="auto"/>
        <w:jc w:val="both"/>
        <w:rPr>
          <w:rFonts w:ascii="Arial" w:hAnsi="Arial" w:cs="Arial"/>
          <w:bCs/>
          <w:sz w:val="24"/>
          <w:szCs w:val="24"/>
        </w:rPr>
      </w:pPr>
      <w:r w:rsidRPr="000D60D3">
        <w:rPr>
          <w:rFonts w:ascii="Arial" w:hAnsi="Arial" w:cs="Arial"/>
          <w:bCs/>
          <w:sz w:val="24"/>
          <w:szCs w:val="24"/>
        </w:rPr>
        <w:t>Nel 2013 la MFI registra un’incidenza del 7,45% del portafoglio rischi sul portafoglio complessivo per crediti con scadenza superiore a 30 giorni e del 6,39% per crediti con scadenza superiore ai 90 giorni. Il suo fabbisogno finanziario netto viene stimato in 5.484.294 dollari.</w:t>
      </w:r>
    </w:p>
    <w:p w14:paraId="63BB268C"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0E691570" wp14:editId="50D68D64">
            <wp:extent cx="5577840" cy="2818130"/>
            <wp:effectExtent l="0" t="0" r="3810" b="1270"/>
            <wp:docPr id="1304096023" name="Immagine 21" descr="Immagine che contiene schermata, testo,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04096023" name="Immagine 21" descr="Immagine che contiene schermata, testo, diagramma, cerchio&#10;&#10;Descrizione generata automaticamente"/>
                    <pic:cNvPicPr preferRelativeResize="0">
                      <a:picLocks noChangeAspect="1" noChangeArrowheads="1"/>
                    </pic:cNvPicPr>
                  </pic:nvPicPr>
                  <pic:blipFill rotWithShape="1">
                    <a:blip r:embed="rId138">
                      <a:extLst>
                        <a:ext uri="{28A0092B-C50C-407E-A947-70E740481C1C}">
                          <a14:useLocalDpi xmlns:a14="http://schemas.microsoft.com/office/drawing/2010/main" val="0"/>
                        </a:ext>
                      </a:extLst>
                    </a:blip>
                    <a:srcRect l="7089" t="7893" r="14158"/>
                    <a:stretch/>
                  </pic:blipFill>
                  <pic:spPr bwMode="auto">
                    <a:xfrm>
                      <a:off x="0" y="0"/>
                      <a:ext cx="5577840" cy="2818130"/>
                    </a:xfrm>
                    <a:prstGeom prst="rect">
                      <a:avLst/>
                    </a:prstGeom>
                    <a:noFill/>
                    <a:ln>
                      <a:noFill/>
                    </a:ln>
                    <a:extLst>
                      <a:ext uri="{53640926-AAD7-44D8-BBD7-CCE9431645EC}">
                        <a14:shadowObscured xmlns:a14="http://schemas.microsoft.com/office/drawing/2010/main"/>
                      </a:ext>
                    </a:extLst>
                  </pic:spPr>
                </pic:pic>
              </a:graphicData>
            </a:graphic>
          </wp:inline>
        </w:drawing>
      </w:r>
    </w:p>
    <w:p w14:paraId="1DC2BEE0" w14:textId="77777777" w:rsidR="00222F2D" w:rsidRDefault="00222F2D" w:rsidP="00222F2D">
      <w:pPr>
        <w:tabs>
          <w:tab w:val="left" w:pos="709"/>
        </w:tabs>
        <w:spacing w:after="0" w:line="360" w:lineRule="auto"/>
        <w:jc w:val="both"/>
        <w:rPr>
          <w:rFonts w:ascii="Arial" w:hAnsi="Arial" w:cs="Arial"/>
          <w:bCs/>
          <w:sz w:val="24"/>
          <w:szCs w:val="24"/>
        </w:rPr>
      </w:pPr>
    </w:p>
    <w:p w14:paraId="53214E12"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669AF5C3" wp14:editId="6CF1BCFD">
            <wp:extent cx="5040000" cy="2880000"/>
            <wp:effectExtent l="0" t="0" r="8255" b="0"/>
            <wp:docPr id="1358083944" name="Immagine 22" descr="Immagine che contiene schermata, testo,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8083944" name="Immagine 22" descr="Immagine che contiene schermata, testo, diagramma, cerchio&#10;&#10;Descrizione generata automaticamente"/>
                    <pic:cNvPicPr preferRelativeResize="0">
                      <a:picLocks noChangeAspect="1" noChangeArrowheads="1"/>
                    </pic:cNvPicPr>
                  </pic:nvPicPr>
                  <pic:blipFill rotWithShape="1">
                    <a:blip r:embed="rId139">
                      <a:extLst>
                        <a:ext uri="{28A0092B-C50C-407E-A947-70E740481C1C}">
                          <a14:useLocalDpi xmlns:a14="http://schemas.microsoft.com/office/drawing/2010/main" val="0"/>
                        </a:ext>
                      </a:extLst>
                    </a:blip>
                    <a:srcRect l="7865" t="9075" r="14337" b="17085"/>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FBCF94E"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CE2A6A2" wp14:editId="1E1F9701">
            <wp:extent cx="5040000" cy="1260000"/>
            <wp:effectExtent l="0" t="0" r="8255" b="0"/>
            <wp:docPr id="60402372" name="Immagine 24" descr="Immagine che contiene testo, Carattere, linea,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402372" name="Immagine 24" descr="Immagine che contiene testo, Carattere, linea, numero&#10;&#10;Descrizione generata automaticamente"/>
                    <pic:cNvPicPr preferRelativeResize="0">
                      <a:picLocks noChangeAspect="1" noChangeArrowheads="1"/>
                    </pic:cNvPicPr>
                  </pic:nvPicPr>
                  <pic:blipFill rotWithShape="1">
                    <a:blip r:embed="rId140">
                      <a:extLst>
                        <a:ext uri="{28A0092B-C50C-407E-A947-70E740481C1C}">
                          <a14:useLocalDpi xmlns:a14="http://schemas.microsoft.com/office/drawing/2010/main" val="0"/>
                        </a:ext>
                      </a:extLst>
                    </a:blip>
                    <a:srcRect l="4006" t="5056" r="4785" b="4863"/>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4FB50D56" w14:textId="77777777" w:rsidR="00222F2D" w:rsidRDefault="00222F2D" w:rsidP="00222F2D">
      <w:pPr>
        <w:tabs>
          <w:tab w:val="left" w:pos="709"/>
        </w:tabs>
        <w:spacing w:after="0" w:line="360" w:lineRule="auto"/>
        <w:rPr>
          <w:rFonts w:ascii="Arial" w:hAnsi="Arial" w:cs="Arial"/>
          <w:bCs/>
          <w:sz w:val="24"/>
          <w:szCs w:val="24"/>
        </w:rPr>
      </w:pPr>
    </w:p>
    <w:p w14:paraId="6FCD7A93" w14:textId="77777777" w:rsidR="00222F2D" w:rsidRPr="000D60D3" w:rsidRDefault="00222F2D" w:rsidP="00222F2D">
      <w:pPr>
        <w:tabs>
          <w:tab w:val="left" w:pos="709"/>
        </w:tabs>
        <w:spacing w:after="0" w:line="360" w:lineRule="auto"/>
        <w:jc w:val="both"/>
        <w:rPr>
          <w:rFonts w:ascii="Arial" w:hAnsi="Arial" w:cs="Arial"/>
          <w:bCs/>
          <w:sz w:val="24"/>
          <w:szCs w:val="24"/>
        </w:rPr>
      </w:pPr>
      <w:r w:rsidRPr="000D60D3">
        <w:rPr>
          <w:rFonts w:ascii="Arial" w:hAnsi="Arial" w:cs="Arial"/>
          <w:bCs/>
          <w:sz w:val="24"/>
          <w:szCs w:val="24"/>
        </w:rPr>
        <w:t>II.1.1.</w:t>
      </w:r>
      <w:r w:rsidRPr="000D60D3">
        <w:rPr>
          <w:rFonts w:ascii="Arial" w:hAnsi="Arial" w:cs="Arial"/>
          <w:bCs/>
          <w:sz w:val="24"/>
          <w:szCs w:val="24"/>
        </w:rPr>
        <w:tab/>
      </w:r>
      <w:r w:rsidRPr="005E4869">
        <w:rPr>
          <w:rFonts w:ascii="Arial" w:hAnsi="Arial" w:cs="Arial"/>
          <w:bCs/>
          <w:i/>
          <w:iCs/>
          <w:sz w:val="24"/>
          <w:szCs w:val="24"/>
        </w:rPr>
        <w:t>Edaprospo</w:t>
      </w:r>
    </w:p>
    <w:p w14:paraId="38E44D8B" w14:textId="77777777" w:rsidR="00222F2D" w:rsidRPr="000D60D3" w:rsidRDefault="00222F2D" w:rsidP="00222F2D">
      <w:pPr>
        <w:tabs>
          <w:tab w:val="left" w:pos="709"/>
        </w:tabs>
        <w:spacing w:after="0" w:line="360" w:lineRule="auto"/>
        <w:jc w:val="both"/>
        <w:rPr>
          <w:rFonts w:ascii="Arial" w:hAnsi="Arial" w:cs="Arial"/>
          <w:bCs/>
          <w:sz w:val="24"/>
          <w:szCs w:val="24"/>
        </w:rPr>
      </w:pPr>
    </w:p>
    <w:p w14:paraId="297F95F4" w14:textId="77777777" w:rsidR="00222F2D" w:rsidRDefault="00222F2D" w:rsidP="00222F2D">
      <w:pPr>
        <w:tabs>
          <w:tab w:val="left" w:pos="709"/>
        </w:tabs>
        <w:spacing w:after="0" w:line="360" w:lineRule="auto"/>
        <w:jc w:val="both"/>
        <w:rPr>
          <w:rFonts w:ascii="Arial" w:hAnsi="Arial" w:cs="Arial"/>
          <w:bCs/>
          <w:sz w:val="24"/>
          <w:szCs w:val="24"/>
        </w:rPr>
      </w:pPr>
      <w:r w:rsidRPr="005E4869">
        <w:rPr>
          <w:rFonts w:ascii="Arial" w:hAnsi="Arial" w:cs="Arial"/>
          <w:bCs/>
          <w:i/>
          <w:iCs/>
          <w:sz w:val="24"/>
          <w:szCs w:val="24"/>
        </w:rPr>
        <w:t>Edaprospo</w:t>
      </w:r>
      <w:r w:rsidRPr="000D60D3">
        <w:rPr>
          <w:rFonts w:ascii="Arial" w:hAnsi="Arial" w:cs="Arial"/>
          <w:bCs/>
          <w:sz w:val="24"/>
          <w:szCs w:val="24"/>
        </w:rPr>
        <w:t xml:space="preserve"> è un’organizzazione non governativa senza scopo di lucro che promuove lo sviluppo umano sostenibile, rivolgendosi principalmente a donne. Il suo portafoglio prestiti, su cui applica mediamente un tasso del 35,33%, è così distribuito per tipologia di cliente e per settore, sulla base dei dati a marzo 2014.</w:t>
      </w:r>
    </w:p>
    <w:p w14:paraId="1EA87DEC"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3CF0C879" wp14:editId="7C478BE4">
            <wp:extent cx="5040000" cy="2880000"/>
            <wp:effectExtent l="0" t="0" r="8255" b="0"/>
            <wp:docPr id="1861572547" name="Immagine 25"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1572547" name="Immagine 25" descr="Immagine che contiene testo, schermata, diagramma, cerchio&#10;&#10;Descrizione generata automaticamente"/>
                    <pic:cNvPicPr preferRelativeResize="0">
                      <a:picLocks noChangeAspect="1" noChangeArrowheads="1"/>
                    </pic:cNvPicPr>
                  </pic:nvPicPr>
                  <pic:blipFill rotWithShape="1">
                    <a:blip r:embed="rId141">
                      <a:extLst>
                        <a:ext uri="{28A0092B-C50C-407E-A947-70E740481C1C}">
                          <a14:useLocalDpi xmlns:a14="http://schemas.microsoft.com/office/drawing/2010/main" val="0"/>
                        </a:ext>
                      </a:extLst>
                    </a:blip>
                    <a:srcRect l="7951" t="11252" r="5637" b="1672"/>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0F376C4" w14:textId="77777777" w:rsidR="00222F2D" w:rsidRDefault="00222F2D" w:rsidP="00222F2D">
      <w:pPr>
        <w:tabs>
          <w:tab w:val="left" w:pos="709"/>
        </w:tabs>
        <w:spacing w:after="0" w:line="360" w:lineRule="auto"/>
        <w:rPr>
          <w:rFonts w:ascii="Arial" w:hAnsi="Arial" w:cs="Arial"/>
          <w:bCs/>
          <w:sz w:val="24"/>
          <w:szCs w:val="24"/>
        </w:rPr>
      </w:pPr>
    </w:p>
    <w:p w14:paraId="5720013D" w14:textId="77777777" w:rsidR="00222F2D" w:rsidRPr="000D60D3" w:rsidRDefault="00222F2D" w:rsidP="00222F2D">
      <w:pPr>
        <w:spacing w:line="360" w:lineRule="auto"/>
        <w:rPr>
          <w:rFonts w:ascii="Arial" w:hAnsi="Arial" w:cs="Arial"/>
          <w:sz w:val="24"/>
          <w:szCs w:val="24"/>
        </w:rPr>
      </w:pPr>
      <w:r w:rsidRPr="000D60D3">
        <w:rPr>
          <w:rFonts w:ascii="Arial" w:hAnsi="Arial" w:cs="Arial"/>
          <w:sz w:val="24"/>
          <w:szCs w:val="24"/>
        </w:rPr>
        <w:t>La MFI registra un’incidenza del 1,40% del portafoglio rischi sul portafoglio complessivo per crediti con scadenza superiore a 30 giorni e del 1,27% per crediti con scadenza superiore ai 90 giorni. Il tasso di perdita del portafoglio crediti è del 0,44%. Il suo fabbisogno finanziario netto viene stimato in 1.840.125</w:t>
      </w:r>
      <w:r>
        <w:rPr>
          <w:rFonts w:ascii="Arial" w:hAnsi="Arial" w:cs="Arial"/>
          <w:sz w:val="24"/>
          <w:szCs w:val="24"/>
        </w:rPr>
        <w:t xml:space="preserve"> dollari.</w:t>
      </w:r>
    </w:p>
    <w:p w14:paraId="01DC584E"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5FCEA409" wp14:editId="1577D101">
            <wp:extent cx="5040000" cy="1260000"/>
            <wp:effectExtent l="0" t="0" r="8255" b="0"/>
            <wp:docPr id="1026905495" name="Immagine 26" descr="Immagine che contiene testo, line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6905495" name="Immagine 26" descr="Immagine che contiene testo, linea, Carattere, numero&#10;&#10;Descrizione generata automaticamente"/>
                    <pic:cNvPicPr preferRelativeResize="0">
                      <a:picLocks noChangeAspect="1" noChangeArrowheads="1"/>
                    </pic:cNvPicPr>
                  </pic:nvPicPr>
                  <pic:blipFill rotWithShape="1">
                    <a:blip r:embed="rId142">
                      <a:extLst>
                        <a:ext uri="{28A0092B-C50C-407E-A947-70E740481C1C}">
                          <a14:useLocalDpi xmlns:a14="http://schemas.microsoft.com/office/drawing/2010/main" val="0"/>
                        </a:ext>
                      </a:extLst>
                    </a:blip>
                    <a:srcRect l="5946" t="2049" r="8665" b="18033"/>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7D346553" w14:textId="77777777" w:rsidR="00222F2D" w:rsidRDefault="00222F2D" w:rsidP="00222F2D">
      <w:pPr>
        <w:tabs>
          <w:tab w:val="left" w:pos="709"/>
        </w:tabs>
        <w:spacing w:after="0" w:line="360" w:lineRule="auto"/>
        <w:jc w:val="both"/>
        <w:rPr>
          <w:rFonts w:ascii="Arial" w:hAnsi="Arial" w:cs="Arial"/>
          <w:bCs/>
          <w:sz w:val="24"/>
          <w:szCs w:val="24"/>
        </w:rPr>
      </w:pPr>
    </w:p>
    <w:p w14:paraId="5E201BD0" w14:textId="77777777" w:rsidR="00222F2D" w:rsidRPr="000D60D3" w:rsidRDefault="00222F2D" w:rsidP="00222F2D">
      <w:pPr>
        <w:tabs>
          <w:tab w:val="left" w:pos="709"/>
        </w:tabs>
        <w:spacing w:after="0" w:line="360" w:lineRule="auto"/>
        <w:jc w:val="both"/>
        <w:rPr>
          <w:rFonts w:ascii="Arial" w:hAnsi="Arial" w:cs="Arial"/>
          <w:bCs/>
          <w:sz w:val="24"/>
          <w:szCs w:val="24"/>
        </w:rPr>
      </w:pPr>
      <w:r w:rsidRPr="000D60D3">
        <w:rPr>
          <w:rFonts w:ascii="Arial" w:hAnsi="Arial" w:cs="Arial"/>
          <w:bCs/>
          <w:sz w:val="24"/>
          <w:szCs w:val="24"/>
        </w:rPr>
        <w:lastRenderedPageBreak/>
        <w:t>II.</w:t>
      </w:r>
      <w:r>
        <w:rPr>
          <w:rFonts w:ascii="Arial" w:hAnsi="Arial" w:cs="Arial"/>
          <w:bCs/>
          <w:sz w:val="24"/>
          <w:szCs w:val="24"/>
        </w:rPr>
        <w:t>5.9</w:t>
      </w:r>
      <w:r w:rsidRPr="000D60D3">
        <w:rPr>
          <w:rFonts w:ascii="Arial" w:hAnsi="Arial" w:cs="Arial"/>
          <w:bCs/>
          <w:sz w:val="24"/>
          <w:szCs w:val="24"/>
        </w:rPr>
        <w:t>.</w:t>
      </w:r>
      <w:r w:rsidRPr="000D60D3">
        <w:rPr>
          <w:rFonts w:ascii="Arial" w:hAnsi="Arial" w:cs="Arial"/>
          <w:bCs/>
          <w:sz w:val="24"/>
          <w:szCs w:val="24"/>
        </w:rPr>
        <w:tab/>
      </w:r>
      <w:r w:rsidRPr="00073FAF">
        <w:rPr>
          <w:rFonts w:ascii="Arial" w:hAnsi="Arial" w:cs="Arial"/>
          <w:bCs/>
          <w:i/>
          <w:iCs/>
          <w:sz w:val="24"/>
          <w:szCs w:val="24"/>
        </w:rPr>
        <w:t>Edpyme Marcimex</w:t>
      </w:r>
    </w:p>
    <w:p w14:paraId="10D7D24F" w14:textId="77777777" w:rsidR="00222F2D" w:rsidRPr="000D60D3" w:rsidRDefault="00222F2D" w:rsidP="00222F2D">
      <w:pPr>
        <w:tabs>
          <w:tab w:val="left" w:pos="709"/>
        </w:tabs>
        <w:spacing w:after="0" w:line="360" w:lineRule="auto"/>
        <w:jc w:val="both"/>
        <w:rPr>
          <w:rFonts w:ascii="Arial" w:hAnsi="Arial" w:cs="Arial"/>
          <w:bCs/>
          <w:sz w:val="24"/>
          <w:szCs w:val="24"/>
        </w:rPr>
      </w:pPr>
    </w:p>
    <w:p w14:paraId="42ABC8B6" w14:textId="77777777" w:rsidR="00222F2D" w:rsidRPr="000D60D3" w:rsidRDefault="00222F2D" w:rsidP="00222F2D">
      <w:pPr>
        <w:tabs>
          <w:tab w:val="left" w:pos="709"/>
        </w:tabs>
        <w:spacing w:line="360" w:lineRule="auto"/>
        <w:jc w:val="both"/>
        <w:rPr>
          <w:rFonts w:ascii="Arial" w:hAnsi="Arial" w:cs="Arial"/>
          <w:bCs/>
          <w:sz w:val="24"/>
          <w:szCs w:val="24"/>
        </w:rPr>
      </w:pPr>
      <w:r w:rsidRPr="00073FAF">
        <w:rPr>
          <w:rFonts w:ascii="Arial" w:hAnsi="Arial" w:cs="Arial"/>
          <w:bCs/>
          <w:i/>
          <w:iCs/>
          <w:sz w:val="24"/>
          <w:szCs w:val="24"/>
        </w:rPr>
        <w:t>Edpyme Marcimex</w:t>
      </w:r>
      <w:r w:rsidRPr="000D60D3">
        <w:rPr>
          <w:rFonts w:ascii="Arial" w:hAnsi="Arial" w:cs="Arial"/>
          <w:bCs/>
          <w:sz w:val="24"/>
          <w:szCs w:val="24"/>
        </w:rPr>
        <w:t xml:space="preserve"> è un’istituzione finanziaria non bancaria controllata dalla SBS. Il suo portafoglio rappresentato sostanzialmente da prestiti al consumo è così distribuito per settore di destinazione</w:t>
      </w:r>
      <w:r>
        <w:rPr>
          <w:rFonts w:ascii="Arial" w:hAnsi="Arial" w:cs="Arial"/>
          <w:bCs/>
          <w:sz w:val="24"/>
          <w:szCs w:val="24"/>
        </w:rPr>
        <w:t>:</w:t>
      </w:r>
    </w:p>
    <w:p w14:paraId="533FC7CE" w14:textId="77777777" w:rsidR="00222F2D" w:rsidRDefault="00222F2D" w:rsidP="00222F2D">
      <w:pPr>
        <w:tabs>
          <w:tab w:val="left" w:pos="709"/>
        </w:tabs>
        <w:spacing w:line="360" w:lineRule="auto"/>
        <w:jc w:val="center"/>
        <w:rPr>
          <w:noProof/>
        </w:rPr>
      </w:pPr>
      <w:r>
        <w:rPr>
          <w:rFonts w:ascii="Arial" w:hAnsi="Arial" w:cs="Arial"/>
          <w:bCs/>
          <w:noProof/>
          <w:sz w:val="24"/>
          <w:szCs w:val="24"/>
        </w:rPr>
        <w:drawing>
          <wp:inline distT="0" distB="0" distL="0" distR="0" wp14:anchorId="3099BDC6" wp14:editId="1512276E">
            <wp:extent cx="5040000" cy="2880000"/>
            <wp:effectExtent l="0" t="0" r="8255" b="0"/>
            <wp:docPr id="650179183" name="Immagine 27" descr="Immagine che contiene testo, diagramma, schermat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0179183" name="Immagine 27" descr="Immagine che contiene testo, diagramma, schermata, cerchio&#10;&#10;Descrizione generata automaticamente"/>
                    <pic:cNvPicPr preferRelativeResize="0">
                      <a:picLocks noChangeAspect="1" noChangeArrowheads="1"/>
                    </pic:cNvPicPr>
                  </pic:nvPicPr>
                  <pic:blipFill rotWithShape="1">
                    <a:blip r:embed="rId143">
                      <a:extLst>
                        <a:ext uri="{28A0092B-C50C-407E-A947-70E740481C1C}">
                          <a14:useLocalDpi xmlns:a14="http://schemas.microsoft.com/office/drawing/2010/main" val="0"/>
                        </a:ext>
                      </a:extLst>
                    </a:blip>
                    <a:srcRect l="6133" t="3259" r="12665" b="11559"/>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50E113EF" w14:textId="77777777" w:rsidR="00222F2D" w:rsidRDefault="00222F2D" w:rsidP="00222F2D">
      <w:pPr>
        <w:tabs>
          <w:tab w:val="left" w:pos="709"/>
        </w:tabs>
        <w:spacing w:after="0" w:line="360" w:lineRule="auto"/>
        <w:jc w:val="both"/>
        <w:rPr>
          <w:rFonts w:ascii="Arial" w:hAnsi="Arial" w:cs="Arial"/>
          <w:noProof/>
          <w:sz w:val="24"/>
          <w:szCs w:val="24"/>
        </w:rPr>
      </w:pPr>
      <w:r w:rsidRPr="00D77D51">
        <w:rPr>
          <w:rFonts w:ascii="Arial" w:hAnsi="Arial" w:cs="Arial"/>
          <w:noProof/>
          <w:sz w:val="24"/>
          <w:szCs w:val="24"/>
        </w:rPr>
        <w:t>Al 31/12/2014 la MFI registra un’incidenza del 17,93% del portafoglio rischi sul portafoglio complessivo per crediti con scadenza superiore a 30 giorni e del 7,86% per crediti con scadenza superiore ai 90 giorni. Il tasso di perdita del portafoglio crediti è del 33,64%.</w:t>
      </w:r>
    </w:p>
    <w:p w14:paraId="65C69974" w14:textId="77777777" w:rsidR="00222F2D" w:rsidRPr="00D77D51" w:rsidRDefault="00222F2D" w:rsidP="00222F2D">
      <w:pPr>
        <w:tabs>
          <w:tab w:val="left" w:pos="709"/>
        </w:tabs>
        <w:spacing w:line="360" w:lineRule="auto"/>
        <w:jc w:val="both"/>
        <w:rPr>
          <w:rFonts w:ascii="Arial" w:hAnsi="Arial" w:cs="Arial"/>
          <w:noProof/>
          <w:sz w:val="24"/>
          <w:szCs w:val="24"/>
        </w:rPr>
      </w:pPr>
      <w:r w:rsidRPr="00D77D51">
        <w:rPr>
          <w:rFonts w:ascii="Arial" w:hAnsi="Arial" w:cs="Arial"/>
          <w:noProof/>
          <w:sz w:val="24"/>
          <w:szCs w:val="24"/>
        </w:rPr>
        <w:t>Il suo fabbisogno finanziario netto è stimato in 7.531.792 dollari.</w:t>
      </w:r>
    </w:p>
    <w:p w14:paraId="0EF9EAFC" w14:textId="77777777" w:rsidR="00222F2D" w:rsidRDefault="00222F2D" w:rsidP="00222F2D">
      <w:pPr>
        <w:tabs>
          <w:tab w:val="left" w:pos="709"/>
        </w:tabs>
        <w:spacing w:after="0" w:line="360" w:lineRule="auto"/>
        <w:jc w:val="center"/>
        <w:rPr>
          <w:noProof/>
        </w:rPr>
      </w:pPr>
      <w:r>
        <w:rPr>
          <w:rFonts w:ascii="Arial" w:hAnsi="Arial" w:cs="Arial"/>
          <w:bCs/>
          <w:noProof/>
          <w:sz w:val="24"/>
          <w:szCs w:val="24"/>
        </w:rPr>
        <w:drawing>
          <wp:inline distT="0" distB="0" distL="0" distR="0" wp14:anchorId="747F59E9" wp14:editId="54A92D44">
            <wp:extent cx="5040000" cy="1260000"/>
            <wp:effectExtent l="0" t="0" r="8255" b="0"/>
            <wp:docPr id="2055678415" name="Immagine 29" descr="Immagine che contiene testo, line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55678415" name="Immagine 29" descr="Immagine che contiene testo, linea, Carattere, numero&#10;&#10;Descrizione generata automaticamente"/>
                    <pic:cNvPicPr preferRelativeResize="0">
                      <a:picLocks noChangeAspect="1" noChangeArrowheads="1"/>
                    </pic:cNvPicPr>
                  </pic:nvPicPr>
                  <pic:blipFill rotWithShape="1">
                    <a:blip r:embed="rId144">
                      <a:extLst>
                        <a:ext uri="{28A0092B-C50C-407E-A947-70E740481C1C}">
                          <a14:useLocalDpi xmlns:a14="http://schemas.microsoft.com/office/drawing/2010/main" val="0"/>
                        </a:ext>
                      </a:extLst>
                    </a:blip>
                    <a:srcRect l="5698" r="9445" b="16410"/>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24B871FB" w14:textId="77777777" w:rsidR="00222F2D" w:rsidRPr="006D5678" w:rsidRDefault="00222F2D" w:rsidP="00222F2D">
      <w:pPr>
        <w:tabs>
          <w:tab w:val="left" w:pos="709"/>
        </w:tabs>
        <w:spacing w:after="0" w:line="360" w:lineRule="auto"/>
        <w:jc w:val="both"/>
        <w:rPr>
          <w:rFonts w:ascii="Arial" w:hAnsi="Arial" w:cs="Arial"/>
          <w:noProof/>
          <w:sz w:val="24"/>
          <w:szCs w:val="24"/>
        </w:rPr>
      </w:pPr>
    </w:p>
    <w:p w14:paraId="52F97902" w14:textId="77777777" w:rsidR="00222F2D" w:rsidRPr="00310452" w:rsidRDefault="00222F2D" w:rsidP="00222F2D">
      <w:pPr>
        <w:tabs>
          <w:tab w:val="left" w:pos="851"/>
        </w:tabs>
        <w:spacing w:after="0" w:line="360" w:lineRule="auto"/>
        <w:jc w:val="both"/>
        <w:rPr>
          <w:rFonts w:ascii="Arial" w:hAnsi="Arial" w:cs="Arial"/>
          <w:bCs/>
          <w:sz w:val="24"/>
          <w:szCs w:val="24"/>
        </w:rPr>
      </w:pPr>
      <w:r w:rsidRPr="00310452">
        <w:rPr>
          <w:rFonts w:ascii="Arial" w:hAnsi="Arial" w:cs="Arial"/>
          <w:bCs/>
          <w:sz w:val="24"/>
          <w:szCs w:val="24"/>
        </w:rPr>
        <w:t>II.</w:t>
      </w:r>
      <w:r>
        <w:rPr>
          <w:rFonts w:ascii="Arial" w:hAnsi="Arial" w:cs="Arial"/>
          <w:bCs/>
          <w:sz w:val="24"/>
          <w:szCs w:val="24"/>
        </w:rPr>
        <w:t>5.10</w:t>
      </w:r>
      <w:r w:rsidRPr="00310452">
        <w:rPr>
          <w:rFonts w:ascii="Arial" w:hAnsi="Arial" w:cs="Arial"/>
          <w:bCs/>
          <w:sz w:val="24"/>
          <w:szCs w:val="24"/>
        </w:rPr>
        <w:t>.</w:t>
      </w:r>
      <w:r w:rsidRPr="00310452">
        <w:rPr>
          <w:rFonts w:ascii="Arial" w:hAnsi="Arial" w:cs="Arial"/>
          <w:bCs/>
          <w:sz w:val="24"/>
          <w:szCs w:val="24"/>
        </w:rPr>
        <w:tab/>
      </w:r>
      <w:r w:rsidRPr="00B10F65">
        <w:rPr>
          <w:rFonts w:ascii="Arial" w:hAnsi="Arial" w:cs="Arial"/>
          <w:bCs/>
          <w:i/>
          <w:iCs/>
          <w:sz w:val="24"/>
          <w:szCs w:val="24"/>
        </w:rPr>
        <w:t>Compartamos Financiera</w:t>
      </w:r>
    </w:p>
    <w:p w14:paraId="47A41EDD" w14:textId="77777777" w:rsidR="00222F2D" w:rsidRPr="00310452" w:rsidRDefault="00222F2D" w:rsidP="00222F2D">
      <w:pPr>
        <w:tabs>
          <w:tab w:val="left" w:pos="709"/>
        </w:tabs>
        <w:spacing w:after="0" w:line="360" w:lineRule="auto"/>
        <w:jc w:val="both"/>
        <w:rPr>
          <w:rFonts w:ascii="Arial" w:hAnsi="Arial" w:cs="Arial"/>
          <w:bCs/>
          <w:sz w:val="24"/>
          <w:szCs w:val="24"/>
        </w:rPr>
      </w:pPr>
    </w:p>
    <w:p w14:paraId="7E40D5A7" w14:textId="77777777" w:rsidR="00222F2D" w:rsidRDefault="00222F2D" w:rsidP="00222F2D">
      <w:pPr>
        <w:tabs>
          <w:tab w:val="left" w:pos="709"/>
        </w:tabs>
        <w:spacing w:after="0" w:line="360" w:lineRule="auto"/>
        <w:jc w:val="both"/>
        <w:rPr>
          <w:rFonts w:ascii="Arial" w:hAnsi="Arial" w:cs="Arial"/>
          <w:bCs/>
          <w:sz w:val="24"/>
          <w:szCs w:val="24"/>
        </w:rPr>
      </w:pPr>
      <w:r w:rsidRPr="00430CA9">
        <w:rPr>
          <w:rFonts w:ascii="Arial" w:hAnsi="Arial" w:cs="Arial"/>
          <w:bCs/>
          <w:i/>
          <w:iCs/>
          <w:sz w:val="24"/>
          <w:szCs w:val="24"/>
        </w:rPr>
        <w:t>Comportamos Financiera</w:t>
      </w:r>
      <w:r w:rsidRPr="00310452">
        <w:rPr>
          <w:rFonts w:ascii="Arial" w:hAnsi="Arial" w:cs="Arial"/>
          <w:bCs/>
          <w:sz w:val="24"/>
          <w:szCs w:val="24"/>
        </w:rPr>
        <w:t xml:space="preserve"> è un’istituzione finanziaria non bancaria controllata dalla SBS, con portafoglio, su cui applica mediamente un tasso del 67,70%, così distribuito per tipologia di cliente e settore.</w:t>
      </w:r>
    </w:p>
    <w:p w14:paraId="185171EA" w14:textId="77777777" w:rsidR="00222F2D" w:rsidRPr="00310452" w:rsidRDefault="00222F2D" w:rsidP="00222F2D">
      <w:pPr>
        <w:tabs>
          <w:tab w:val="left" w:pos="709"/>
        </w:tabs>
        <w:spacing w:after="0" w:line="360" w:lineRule="auto"/>
        <w:jc w:val="both"/>
        <w:rPr>
          <w:rFonts w:ascii="Arial" w:hAnsi="Arial" w:cs="Arial"/>
          <w:bCs/>
          <w:sz w:val="24"/>
          <w:szCs w:val="24"/>
        </w:rPr>
      </w:pPr>
    </w:p>
    <w:p w14:paraId="078BD66F" w14:textId="77777777" w:rsidR="00222F2D" w:rsidRPr="00310452" w:rsidRDefault="00222F2D" w:rsidP="00222F2D">
      <w:pPr>
        <w:tabs>
          <w:tab w:val="left" w:pos="709"/>
        </w:tabs>
        <w:spacing w:line="360" w:lineRule="auto"/>
        <w:jc w:val="both"/>
        <w:rPr>
          <w:rFonts w:ascii="Arial" w:hAnsi="Arial" w:cs="Arial"/>
          <w:bCs/>
          <w:sz w:val="24"/>
          <w:szCs w:val="24"/>
        </w:rPr>
      </w:pPr>
      <w:r w:rsidRPr="00310452">
        <w:rPr>
          <w:rFonts w:ascii="Arial" w:hAnsi="Arial" w:cs="Arial"/>
          <w:bCs/>
          <w:sz w:val="24"/>
          <w:szCs w:val="24"/>
        </w:rPr>
        <w:lastRenderedPageBreak/>
        <w:t>Nel 2014 registra un’incidenza del 7,94% del portafoglio rischi sul portafoglio complessivo per crediti con scadenza superiore a 30 giorni e del 6,16% per crediti con scadenza superiore ai 90 giorni. Il tasso di perdita del portafoglio crediti è del 4,52%. Il suo fabbisogno finanziario netto viene stimato in 208.723.985 dollari.</w:t>
      </w:r>
    </w:p>
    <w:p w14:paraId="1AAE0B30"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793A59A6" wp14:editId="4E8E2E3D">
            <wp:extent cx="5040000" cy="1260000"/>
            <wp:effectExtent l="0" t="0" r="8255" b="0"/>
            <wp:docPr id="1745421896" name="Immagine 30" descr="Immagine che contiene testo, Carattere, linea,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45421896" name="Immagine 30" descr="Immagine che contiene testo, Carattere, linea, numero&#10;&#10;Descrizione generata automaticamente"/>
                    <pic:cNvPicPr preferRelativeResize="0">
                      <a:picLocks noChangeAspect="1" noChangeArrowheads="1"/>
                    </pic:cNvPicPr>
                  </pic:nvPicPr>
                  <pic:blipFill rotWithShape="1">
                    <a:blip r:embed="rId145">
                      <a:extLst>
                        <a:ext uri="{28A0092B-C50C-407E-A947-70E740481C1C}">
                          <a14:useLocalDpi xmlns:a14="http://schemas.microsoft.com/office/drawing/2010/main" val="0"/>
                        </a:ext>
                      </a:extLst>
                    </a:blip>
                    <a:srcRect l="5060" t="5381" r="8792" b="13902"/>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21EFE005"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3F90BA98" wp14:editId="2E532A4B">
            <wp:extent cx="5040000" cy="2880000"/>
            <wp:effectExtent l="0" t="0" r="8255" b="0"/>
            <wp:docPr id="26092371" name="Immagine 31" descr="Immagine che contiene testo, diagramma, schermata,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092371" name="Immagine 31" descr="Immagine che contiene testo, diagramma, schermata, Carattere&#10;&#10;Descrizione generata automaticamente"/>
                    <pic:cNvPicPr preferRelativeResize="0">
                      <a:picLocks noChangeAspect="1" noChangeArrowheads="1"/>
                    </pic:cNvPicPr>
                  </pic:nvPicPr>
                  <pic:blipFill rotWithShape="1">
                    <a:blip r:embed="rId146">
                      <a:extLst>
                        <a:ext uri="{28A0092B-C50C-407E-A947-70E740481C1C}">
                          <a14:useLocalDpi xmlns:a14="http://schemas.microsoft.com/office/drawing/2010/main" val="0"/>
                        </a:ext>
                      </a:extLst>
                    </a:blip>
                    <a:srcRect l="5901" t="5077" r="3544" b="8139"/>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0A71E068" w14:textId="77777777" w:rsidR="00222F2D" w:rsidRDefault="00222F2D" w:rsidP="00222F2D">
      <w:pPr>
        <w:tabs>
          <w:tab w:val="left" w:pos="709"/>
        </w:tabs>
        <w:spacing w:line="360" w:lineRule="auto"/>
        <w:jc w:val="center"/>
        <w:rPr>
          <w:rFonts w:ascii="Arial" w:hAnsi="Arial" w:cs="Arial"/>
          <w:bCs/>
          <w:sz w:val="24"/>
          <w:szCs w:val="24"/>
        </w:rPr>
      </w:pPr>
      <w:r w:rsidRPr="00B10F65">
        <w:rPr>
          <w:rFonts w:ascii="Arial" w:hAnsi="Arial" w:cs="Arial"/>
          <w:bCs/>
          <w:noProof/>
          <w:sz w:val="24"/>
          <w:szCs w:val="24"/>
        </w:rPr>
        <w:drawing>
          <wp:inline distT="0" distB="0" distL="0" distR="0" wp14:anchorId="478A4741" wp14:editId="1EDC5172">
            <wp:extent cx="5040000" cy="2880000"/>
            <wp:effectExtent l="0" t="0" r="8255" b="0"/>
            <wp:docPr id="1805015336" name="Immagine 1"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05015336" name="Immagine 1" descr="Immagine che contiene testo, schermata, diagramma, cerchio&#10;&#10;Descrizione generata automaticamente"/>
                    <pic:cNvPicPr preferRelativeResize="0"/>
                  </pic:nvPicPr>
                  <pic:blipFill rotWithShape="1">
                    <a:blip r:embed="rId147"/>
                    <a:srcRect l="7239" t="4196" r="2700" b="9091"/>
                    <a:stretch/>
                  </pic:blipFill>
                  <pic:spPr bwMode="auto">
                    <a:xfrm>
                      <a:off x="0" y="0"/>
                      <a:ext cx="5040000" cy="2880000"/>
                    </a:xfrm>
                    <a:prstGeom prst="rect">
                      <a:avLst/>
                    </a:prstGeom>
                    <a:ln>
                      <a:noFill/>
                    </a:ln>
                    <a:extLst>
                      <a:ext uri="{53640926-AAD7-44D8-BBD7-CCE9431645EC}">
                        <a14:shadowObscured xmlns:a14="http://schemas.microsoft.com/office/drawing/2010/main"/>
                      </a:ext>
                    </a:extLst>
                  </pic:spPr>
                </pic:pic>
              </a:graphicData>
            </a:graphic>
          </wp:inline>
        </w:drawing>
      </w:r>
    </w:p>
    <w:p w14:paraId="4DBABF49" w14:textId="77777777" w:rsidR="00222F2D" w:rsidRPr="009F1A3C" w:rsidRDefault="00222F2D" w:rsidP="00222F2D">
      <w:pPr>
        <w:tabs>
          <w:tab w:val="left" w:pos="709"/>
        </w:tabs>
        <w:spacing w:line="360" w:lineRule="auto"/>
        <w:jc w:val="both"/>
        <w:rPr>
          <w:rFonts w:ascii="Arial" w:hAnsi="Arial" w:cs="Arial"/>
          <w:bCs/>
          <w:sz w:val="28"/>
          <w:szCs w:val="28"/>
        </w:rPr>
      </w:pPr>
    </w:p>
    <w:p w14:paraId="104934A1" w14:textId="77777777" w:rsidR="00222F2D" w:rsidRDefault="00222F2D" w:rsidP="00222F2D">
      <w:pPr>
        <w:tabs>
          <w:tab w:val="left" w:pos="851"/>
        </w:tabs>
        <w:spacing w:line="360" w:lineRule="auto"/>
        <w:jc w:val="both"/>
        <w:rPr>
          <w:rFonts w:ascii="Arial" w:hAnsi="Arial" w:cs="Arial"/>
          <w:sz w:val="24"/>
          <w:szCs w:val="24"/>
        </w:rPr>
      </w:pPr>
      <w:r w:rsidRPr="009F1A3C">
        <w:rPr>
          <w:rFonts w:ascii="Arial" w:hAnsi="Arial" w:cs="Arial"/>
          <w:sz w:val="24"/>
          <w:szCs w:val="24"/>
        </w:rPr>
        <w:lastRenderedPageBreak/>
        <w:t>II.5.11.</w:t>
      </w:r>
      <w:r>
        <w:rPr>
          <w:rFonts w:ascii="Arial" w:hAnsi="Arial" w:cs="Arial"/>
          <w:sz w:val="24"/>
          <w:szCs w:val="24"/>
        </w:rPr>
        <w:tab/>
      </w:r>
      <w:r w:rsidRPr="009C665B">
        <w:rPr>
          <w:rFonts w:ascii="Arial" w:hAnsi="Arial" w:cs="Arial"/>
          <w:i/>
          <w:iCs/>
          <w:sz w:val="24"/>
          <w:szCs w:val="24"/>
        </w:rPr>
        <w:t>Edpyme Solidaridad</w:t>
      </w:r>
    </w:p>
    <w:p w14:paraId="6374C78C" w14:textId="77777777" w:rsidR="00222F2D" w:rsidRPr="009F1A3C" w:rsidRDefault="00222F2D" w:rsidP="00222F2D">
      <w:pPr>
        <w:tabs>
          <w:tab w:val="left" w:pos="709"/>
        </w:tabs>
        <w:spacing w:line="360" w:lineRule="auto"/>
        <w:jc w:val="both"/>
        <w:rPr>
          <w:rFonts w:ascii="Arial" w:hAnsi="Arial" w:cs="Arial"/>
          <w:bCs/>
          <w:sz w:val="28"/>
          <w:szCs w:val="28"/>
        </w:rPr>
      </w:pPr>
      <w:r w:rsidRPr="009C665B">
        <w:rPr>
          <w:rFonts w:ascii="Arial" w:hAnsi="Arial" w:cs="Arial"/>
          <w:i/>
          <w:iCs/>
          <w:sz w:val="24"/>
          <w:szCs w:val="24"/>
        </w:rPr>
        <w:t>Edpyme Solaridad</w:t>
      </w:r>
      <w:r w:rsidRPr="009F1A3C">
        <w:rPr>
          <w:rFonts w:ascii="Arial" w:hAnsi="Arial" w:cs="Arial"/>
          <w:sz w:val="24"/>
          <w:szCs w:val="24"/>
        </w:rPr>
        <w:t>, supervisionata dalla SBS, è un’istituzione finanziaria non bancaria. Il suo portafoglio, su cui applica un tasso di interesse medio annuo del 48,53% è così distribuito per tipologia di cliente e settore.</w:t>
      </w:r>
    </w:p>
    <w:p w14:paraId="12183581"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052D4B2C" wp14:editId="35A998C6">
            <wp:extent cx="5040000" cy="2880000"/>
            <wp:effectExtent l="0" t="0" r="8255" b="0"/>
            <wp:docPr id="2085482284" name="Immagine 33" descr="Immagine che contiene diagramma, schermata, testo,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85482284" name="Immagine 33" descr="Immagine che contiene diagramma, schermata, testo, cerchio&#10;&#10;Descrizione generata automaticamente"/>
                    <pic:cNvPicPr preferRelativeResize="0">
                      <a:picLocks noChangeAspect="1" noChangeArrowheads="1"/>
                    </pic:cNvPicPr>
                  </pic:nvPicPr>
                  <pic:blipFill rotWithShape="1">
                    <a:blip r:embed="rId148">
                      <a:extLst>
                        <a:ext uri="{28A0092B-C50C-407E-A947-70E740481C1C}">
                          <a14:useLocalDpi xmlns:a14="http://schemas.microsoft.com/office/drawing/2010/main" val="0"/>
                        </a:ext>
                      </a:extLst>
                    </a:blip>
                    <a:srcRect l="8390" r="12523" b="5130"/>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5C96211" w14:textId="77777777" w:rsidR="00222F2D" w:rsidRDefault="00222F2D" w:rsidP="00222F2D">
      <w:pPr>
        <w:tabs>
          <w:tab w:val="left" w:pos="709"/>
        </w:tabs>
        <w:spacing w:after="0" w:line="360" w:lineRule="auto"/>
        <w:jc w:val="center"/>
        <w:rPr>
          <w:rFonts w:ascii="Arial" w:hAnsi="Arial" w:cs="Arial"/>
          <w:bCs/>
          <w:sz w:val="24"/>
          <w:szCs w:val="24"/>
        </w:rPr>
      </w:pPr>
    </w:p>
    <w:p w14:paraId="59C3F599"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4656A9D6" wp14:editId="05BE62A5">
            <wp:extent cx="5040000" cy="2880000"/>
            <wp:effectExtent l="0" t="0" r="8255" b="0"/>
            <wp:docPr id="749447979" name="Immagine 35"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49447979" name="Immagine 35" descr="Immagine che contiene testo, schermata, diagramma, cerchio&#10;&#10;Descrizione generata automaticamente"/>
                    <pic:cNvPicPr preferRelativeResize="0">
                      <a:picLocks noChangeAspect="1" noChangeArrowheads="1"/>
                    </pic:cNvPicPr>
                  </pic:nvPicPr>
                  <pic:blipFill rotWithShape="1">
                    <a:blip r:embed="rId149">
                      <a:extLst>
                        <a:ext uri="{28A0092B-C50C-407E-A947-70E740481C1C}">
                          <a14:useLocalDpi xmlns:a14="http://schemas.microsoft.com/office/drawing/2010/main" val="0"/>
                        </a:ext>
                      </a:extLst>
                    </a:blip>
                    <a:srcRect l="8474" r="9005" b="16180"/>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4DB1DD1A" w14:textId="77777777" w:rsidR="00222F2D" w:rsidRDefault="00222F2D" w:rsidP="00222F2D">
      <w:pPr>
        <w:tabs>
          <w:tab w:val="left" w:pos="709"/>
        </w:tabs>
        <w:spacing w:after="0" w:line="360" w:lineRule="auto"/>
        <w:rPr>
          <w:rFonts w:ascii="Arial" w:hAnsi="Arial" w:cs="Arial"/>
          <w:bCs/>
          <w:sz w:val="24"/>
          <w:szCs w:val="24"/>
        </w:rPr>
      </w:pPr>
    </w:p>
    <w:p w14:paraId="3B7C0536" w14:textId="77777777" w:rsidR="00222F2D" w:rsidRPr="00310452" w:rsidRDefault="00222F2D" w:rsidP="00222F2D">
      <w:pPr>
        <w:spacing w:line="360" w:lineRule="auto"/>
        <w:jc w:val="both"/>
        <w:rPr>
          <w:rFonts w:ascii="Arial" w:hAnsi="Arial" w:cs="Arial"/>
          <w:bCs/>
          <w:sz w:val="24"/>
          <w:szCs w:val="24"/>
        </w:rPr>
      </w:pPr>
      <w:r w:rsidRPr="00310452">
        <w:rPr>
          <w:rFonts w:ascii="Arial" w:hAnsi="Arial" w:cs="Arial"/>
          <w:bCs/>
          <w:sz w:val="24"/>
          <w:szCs w:val="24"/>
        </w:rPr>
        <w:t>Per il 2014 l’MFI registra un’incidenza del 5,50% del portafoglio rischi sul portafoglio complessivo per crediti con scadenza superiore a 30 giorni e del 4,38% per crediti con scadenza superiore ai 90 giorni. Il tasso di perdita del portafoglio crediti è del 4,19%. Il suo fabbisogno finanziario netto v</w:t>
      </w:r>
      <w:r>
        <w:rPr>
          <w:rFonts w:ascii="Arial" w:hAnsi="Arial" w:cs="Arial"/>
          <w:bCs/>
          <w:sz w:val="24"/>
          <w:szCs w:val="24"/>
        </w:rPr>
        <w:t>iene</w:t>
      </w:r>
      <w:r w:rsidRPr="00310452">
        <w:rPr>
          <w:rFonts w:ascii="Arial" w:hAnsi="Arial" w:cs="Arial"/>
          <w:bCs/>
          <w:sz w:val="24"/>
          <w:szCs w:val="24"/>
        </w:rPr>
        <w:t xml:space="preserve"> stimato in 20.277.494 dollari.</w:t>
      </w:r>
    </w:p>
    <w:p w14:paraId="1FE0CF7F"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73DAF6A1" wp14:editId="32348283">
            <wp:extent cx="5305425" cy="1501140"/>
            <wp:effectExtent l="0" t="0" r="9525" b="3810"/>
            <wp:docPr id="1043852780" name="Immagine 36" descr="Immagine che contiene testo, schermata,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852780" name="Immagine 36" descr="Immagine che contiene testo, schermata, linea, Carattere&#10;&#10;Descrizione generata automaticamente"/>
                    <pic:cNvPicPr>
                      <a:picLocks noChangeAspect="1" noChangeArrowheads="1"/>
                    </pic:cNvPicPr>
                  </pic:nvPicPr>
                  <pic:blipFill rotWithShape="1">
                    <a:blip r:embed="rId150">
                      <a:extLst>
                        <a:ext uri="{28A0092B-C50C-407E-A947-70E740481C1C}">
                          <a14:useLocalDpi xmlns:a14="http://schemas.microsoft.com/office/drawing/2010/main" val="0"/>
                        </a:ext>
                      </a:extLst>
                    </a:blip>
                    <a:srcRect l="2061" t="3612" r="2256" b="7439"/>
                    <a:stretch/>
                  </pic:blipFill>
                  <pic:spPr bwMode="auto">
                    <a:xfrm>
                      <a:off x="0" y="0"/>
                      <a:ext cx="5332278" cy="1508738"/>
                    </a:xfrm>
                    <a:prstGeom prst="rect">
                      <a:avLst/>
                    </a:prstGeom>
                    <a:noFill/>
                    <a:ln>
                      <a:noFill/>
                    </a:ln>
                    <a:extLst>
                      <a:ext uri="{53640926-AAD7-44D8-BBD7-CCE9431645EC}">
                        <a14:shadowObscured xmlns:a14="http://schemas.microsoft.com/office/drawing/2010/main"/>
                      </a:ext>
                    </a:extLst>
                  </pic:spPr>
                </pic:pic>
              </a:graphicData>
            </a:graphic>
          </wp:inline>
        </w:drawing>
      </w:r>
    </w:p>
    <w:p w14:paraId="0E84FDAD" w14:textId="77777777" w:rsidR="00222F2D" w:rsidRDefault="00222F2D" w:rsidP="00222F2D">
      <w:pPr>
        <w:tabs>
          <w:tab w:val="left" w:pos="709"/>
        </w:tabs>
        <w:spacing w:after="0" w:line="360" w:lineRule="auto"/>
        <w:rPr>
          <w:rFonts w:ascii="Arial" w:hAnsi="Arial" w:cs="Arial"/>
          <w:bCs/>
          <w:sz w:val="24"/>
          <w:szCs w:val="24"/>
        </w:rPr>
      </w:pPr>
    </w:p>
    <w:p w14:paraId="1F0494B7" w14:textId="77777777" w:rsidR="00222F2D" w:rsidRPr="0092233C" w:rsidRDefault="00222F2D" w:rsidP="00222F2D">
      <w:pPr>
        <w:tabs>
          <w:tab w:val="left" w:pos="709"/>
        </w:tabs>
        <w:spacing w:after="0" w:line="360" w:lineRule="auto"/>
        <w:jc w:val="both"/>
        <w:rPr>
          <w:rFonts w:ascii="Arial" w:hAnsi="Arial" w:cs="Arial"/>
          <w:bCs/>
          <w:i/>
          <w:iCs/>
          <w:sz w:val="24"/>
          <w:szCs w:val="24"/>
        </w:rPr>
      </w:pPr>
      <w:r w:rsidRPr="00310452">
        <w:rPr>
          <w:rFonts w:ascii="Arial" w:hAnsi="Arial" w:cs="Arial"/>
          <w:bCs/>
          <w:sz w:val="24"/>
          <w:szCs w:val="24"/>
        </w:rPr>
        <w:t>II.1.1.</w:t>
      </w:r>
      <w:r w:rsidRPr="00310452">
        <w:rPr>
          <w:rFonts w:ascii="Arial" w:hAnsi="Arial" w:cs="Arial"/>
          <w:bCs/>
          <w:sz w:val="24"/>
          <w:szCs w:val="24"/>
        </w:rPr>
        <w:tab/>
      </w:r>
      <w:r w:rsidRPr="0092233C">
        <w:rPr>
          <w:rFonts w:ascii="Arial" w:hAnsi="Arial" w:cs="Arial"/>
          <w:bCs/>
          <w:i/>
          <w:iCs/>
          <w:sz w:val="24"/>
          <w:szCs w:val="24"/>
        </w:rPr>
        <w:t>Mide</w:t>
      </w:r>
    </w:p>
    <w:p w14:paraId="0DC9F32C" w14:textId="77777777" w:rsidR="00222F2D" w:rsidRPr="00310452" w:rsidRDefault="00222F2D" w:rsidP="00222F2D">
      <w:pPr>
        <w:tabs>
          <w:tab w:val="left" w:pos="709"/>
        </w:tabs>
        <w:spacing w:after="0" w:line="360" w:lineRule="auto"/>
        <w:jc w:val="both"/>
        <w:rPr>
          <w:rFonts w:ascii="Arial" w:hAnsi="Arial" w:cs="Arial"/>
          <w:bCs/>
          <w:sz w:val="24"/>
          <w:szCs w:val="24"/>
        </w:rPr>
      </w:pPr>
    </w:p>
    <w:p w14:paraId="1782856D" w14:textId="77777777" w:rsidR="00222F2D" w:rsidRPr="00310452" w:rsidRDefault="00222F2D" w:rsidP="00222F2D">
      <w:pPr>
        <w:tabs>
          <w:tab w:val="left" w:pos="709"/>
        </w:tabs>
        <w:spacing w:line="360" w:lineRule="auto"/>
        <w:jc w:val="both"/>
        <w:rPr>
          <w:rFonts w:ascii="Arial" w:hAnsi="Arial" w:cs="Arial"/>
          <w:bCs/>
          <w:sz w:val="24"/>
          <w:szCs w:val="24"/>
        </w:rPr>
      </w:pPr>
      <w:r w:rsidRPr="0092233C">
        <w:rPr>
          <w:rFonts w:ascii="Arial" w:hAnsi="Arial" w:cs="Arial"/>
          <w:bCs/>
          <w:i/>
          <w:iCs/>
          <w:sz w:val="24"/>
          <w:szCs w:val="24"/>
        </w:rPr>
        <w:t>Mide</w:t>
      </w:r>
      <w:r w:rsidRPr="00310452">
        <w:rPr>
          <w:rFonts w:ascii="Arial" w:hAnsi="Arial" w:cs="Arial"/>
          <w:bCs/>
          <w:sz w:val="24"/>
          <w:szCs w:val="24"/>
        </w:rPr>
        <w:t xml:space="preserve"> è un’organizzazione non governativa senza fine di lucro, che fornisce servizi finanziari e non finanziari, prevalentemente a favore delle donne delle zone rurali. Il suo portafoglio, su cui applica mediamente un tasso del 42%, è così distribuito per tipologia di cliente e per settore</w:t>
      </w:r>
      <w:r>
        <w:rPr>
          <w:rFonts w:ascii="Arial" w:hAnsi="Arial" w:cs="Arial"/>
          <w:bCs/>
          <w:sz w:val="24"/>
          <w:szCs w:val="24"/>
        </w:rPr>
        <w:t>:</w:t>
      </w:r>
    </w:p>
    <w:p w14:paraId="0545610C"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237FB787" wp14:editId="75B08B02">
            <wp:extent cx="5040000" cy="2880000"/>
            <wp:effectExtent l="0" t="0" r="8255" b="0"/>
            <wp:docPr id="671810444" name="Immagine 37" descr="Immagine che contiene diagramma, testo, schermat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1810444" name="Immagine 37" descr="Immagine che contiene diagramma, testo, schermata, cerchio&#10;&#10;Descrizione generata automaticamente"/>
                    <pic:cNvPicPr preferRelativeResize="0">
                      <a:picLocks noChangeAspect="1" noChangeArrowheads="1"/>
                    </pic:cNvPicPr>
                  </pic:nvPicPr>
                  <pic:blipFill rotWithShape="1">
                    <a:blip r:embed="rId151">
                      <a:extLst>
                        <a:ext uri="{28A0092B-C50C-407E-A947-70E740481C1C}">
                          <a14:useLocalDpi xmlns:a14="http://schemas.microsoft.com/office/drawing/2010/main" val="0"/>
                        </a:ext>
                      </a:extLst>
                    </a:blip>
                    <a:srcRect l="5887" r="9669" b="15500"/>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51A8B08C" w14:textId="77777777" w:rsidR="00222F2D" w:rsidRDefault="00222F2D" w:rsidP="00222F2D">
      <w:pPr>
        <w:tabs>
          <w:tab w:val="left" w:pos="709"/>
        </w:tabs>
        <w:spacing w:after="0" w:line="360" w:lineRule="auto"/>
        <w:rPr>
          <w:rFonts w:ascii="Arial" w:hAnsi="Arial" w:cs="Arial"/>
          <w:bCs/>
          <w:sz w:val="24"/>
          <w:szCs w:val="24"/>
        </w:rPr>
      </w:pPr>
    </w:p>
    <w:p w14:paraId="4F89C49F" w14:textId="77777777" w:rsidR="00222F2D" w:rsidRDefault="00222F2D" w:rsidP="00222F2D">
      <w:pPr>
        <w:tabs>
          <w:tab w:val="left" w:pos="709"/>
        </w:tabs>
        <w:spacing w:line="360" w:lineRule="auto"/>
        <w:jc w:val="both"/>
        <w:rPr>
          <w:rFonts w:ascii="Arial" w:hAnsi="Arial" w:cs="Arial"/>
          <w:bCs/>
          <w:sz w:val="24"/>
          <w:szCs w:val="24"/>
        </w:rPr>
      </w:pPr>
      <w:r w:rsidRPr="00310452">
        <w:rPr>
          <w:rFonts w:ascii="Arial" w:hAnsi="Arial" w:cs="Arial"/>
          <w:bCs/>
          <w:sz w:val="24"/>
          <w:szCs w:val="24"/>
        </w:rPr>
        <w:t xml:space="preserve">Al 31/12/2013 l’organizzazione registra un’incidenza del 7,98% del portafoglio rischi sul portafoglio complessivo per crediti con scadenza superiore a 30 giorni e del 6,20% per crediti con scadenza superiore ai 90 giorni. Il tasso di </w:t>
      </w:r>
      <w:r>
        <w:rPr>
          <w:rFonts w:ascii="Arial" w:hAnsi="Arial" w:cs="Arial"/>
          <w:bCs/>
          <w:sz w:val="24"/>
          <w:szCs w:val="24"/>
        </w:rPr>
        <w:t>p</w:t>
      </w:r>
      <w:r w:rsidRPr="00310452">
        <w:rPr>
          <w:rFonts w:ascii="Arial" w:hAnsi="Arial" w:cs="Arial"/>
          <w:bCs/>
          <w:sz w:val="24"/>
          <w:szCs w:val="24"/>
        </w:rPr>
        <w:t>erdita del portafoglio crediti è di - 1,68%. Il suo fabbisogno finanziario netto viene stimato in 1.594.479 dollari.</w:t>
      </w:r>
    </w:p>
    <w:p w14:paraId="7348F8D3"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10D1CB2F" wp14:editId="5B6C7C80">
            <wp:extent cx="5040000" cy="1260000"/>
            <wp:effectExtent l="0" t="0" r="8255" b="0"/>
            <wp:docPr id="2009168600" name="Immagine 39" descr="Immagine che contiene testo, line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09168600" name="Immagine 39" descr="Immagine che contiene testo, linea, Carattere, numero&#10;&#10;Descrizione generata automaticamente"/>
                    <pic:cNvPicPr preferRelativeResize="0">
                      <a:picLocks noChangeAspect="1" noChangeArrowheads="1"/>
                    </pic:cNvPicPr>
                  </pic:nvPicPr>
                  <pic:blipFill rotWithShape="1">
                    <a:blip r:embed="rId152">
                      <a:extLst>
                        <a:ext uri="{28A0092B-C50C-407E-A947-70E740481C1C}">
                          <a14:useLocalDpi xmlns:a14="http://schemas.microsoft.com/office/drawing/2010/main" val="0"/>
                        </a:ext>
                      </a:extLst>
                    </a:blip>
                    <a:srcRect l="5140" t="5000" r="8358" b="11667"/>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517EBA87" w14:textId="77777777" w:rsidR="00222F2D" w:rsidRPr="00E27B4B" w:rsidRDefault="00222F2D" w:rsidP="00222F2D">
      <w:pPr>
        <w:tabs>
          <w:tab w:val="left" w:pos="851"/>
        </w:tabs>
        <w:spacing w:after="0" w:line="360" w:lineRule="auto"/>
        <w:jc w:val="both"/>
        <w:rPr>
          <w:rFonts w:ascii="Arial" w:hAnsi="Arial" w:cs="Arial"/>
          <w:bCs/>
          <w:sz w:val="24"/>
          <w:szCs w:val="24"/>
        </w:rPr>
      </w:pPr>
      <w:r w:rsidRPr="00E27B4B">
        <w:rPr>
          <w:rFonts w:ascii="Arial" w:hAnsi="Arial" w:cs="Arial"/>
          <w:bCs/>
          <w:sz w:val="24"/>
          <w:szCs w:val="24"/>
        </w:rPr>
        <w:lastRenderedPageBreak/>
        <w:t>II.</w:t>
      </w:r>
      <w:r>
        <w:rPr>
          <w:rFonts w:ascii="Arial" w:hAnsi="Arial" w:cs="Arial"/>
          <w:bCs/>
          <w:sz w:val="24"/>
          <w:szCs w:val="24"/>
        </w:rPr>
        <w:t>5.13</w:t>
      </w:r>
      <w:r w:rsidRPr="00E27B4B">
        <w:rPr>
          <w:rFonts w:ascii="Arial" w:hAnsi="Arial" w:cs="Arial"/>
          <w:bCs/>
          <w:sz w:val="24"/>
          <w:szCs w:val="24"/>
        </w:rPr>
        <w:t>.</w:t>
      </w:r>
      <w:r w:rsidRPr="00E27B4B">
        <w:rPr>
          <w:rFonts w:ascii="Arial" w:hAnsi="Arial" w:cs="Arial"/>
          <w:bCs/>
          <w:sz w:val="24"/>
          <w:szCs w:val="24"/>
        </w:rPr>
        <w:tab/>
      </w:r>
      <w:r w:rsidRPr="0032605B">
        <w:rPr>
          <w:rFonts w:ascii="Arial" w:hAnsi="Arial" w:cs="Arial"/>
          <w:bCs/>
          <w:i/>
          <w:iCs/>
          <w:sz w:val="24"/>
          <w:szCs w:val="24"/>
        </w:rPr>
        <w:t>Financiera Proempresa</w:t>
      </w:r>
    </w:p>
    <w:p w14:paraId="05C69AE6" w14:textId="77777777" w:rsidR="00222F2D" w:rsidRPr="00E27B4B" w:rsidRDefault="00222F2D" w:rsidP="00222F2D">
      <w:pPr>
        <w:tabs>
          <w:tab w:val="left" w:pos="709"/>
        </w:tabs>
        <w:spacing w:after="0" w:line="360" w:lineRule="auto"/>
        <w:jc w:val="both"/>
        <w:rPr>
          <w:rFonts w:ascii="Arial" w:hAnsi="Arial" w:cs="Arial"/>
          <w:bCs/>
          <w:sz w:val="24"/>
          <w:szCs w:val="24"/>
        </w:rPr>
      </w:pPr>
    </w:p>
    <w:p w14:paraId="2F311278" w14:textId="77777777" w:rsidR="00222F2D" w:rsidRPr="00E27B4B" w:rsidRDefault="00222F2D" w:rsidP="00222F2D">
      <w:pPr>
        <w:tabs>
          <w:tab w:val="left" w:pos="709"/>
        </w:tabs>
        <w:spacing w:line="360" w:lineRule="auto"/>
        <w:jc w:val="both"/>
        <w:rPr>
          <w:rFonts w:ascii="Arial" w:hAnsi="Arial" w:cs="Arial"/>
          <w:bCs/>
          <w:sz w:val="24"/>
          <w:szCs w:val="24"/>
        </w:rPr>
      </w:pPr>
      <w:r w:rsidRPr="0032605B">
        <w:rPr>
          <w:rFonts w:ascii="Arial" w:hAnsi="Arial" w:cs="Arial"/>
          <w:bCs/>
          <w:i/>
          <w:iCs/>
          <w:sz w:val="24"/>
          <w:szCs w:val="24"/>
        </w:rPr>
        <w:t>Financiera Proempresa</w:t>
      </w:r>
      <w:r w:rsidRPr="00E27B4B">
        <w:rPr>
          <w:rFonts w:ascii="Arial" w:hAnsi="Arial" w:cs="Arial"/>
          <w:bCs/>
          <w:sz w:val="24"/>
          <w:szCs w:val="24"/>
        </w:rPr>
        <w:t xml:space="preserve"> è un’istituzione finanziaria non bancaria regolata dalla SBS. Il suo portafoglio, su cui applica mediamente un tasso medio annuo di interesse del 37,37%, è così distribuito per tipologia di cliente e per settore.</w:t>
      </w:r>
    </w:p>
    <w:p w14:paraId="089E3FD1"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6BF11DB4" wp14:editId="1C0D6F1D">
            <wp:extent cx="5040000" cy="2880000"/>
            <wp:effectExtent l="0" t="0" r="8255" b="0"/>
            <wp:docPr id="307371154" name="Immagine 40"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7371154" name="Immagine 40" descr="Immagine che contiene testo, schermata, diagramma, cerchio&#10;&#10;Descrizione generata automaticamente"/>
                    <pic:cNvPicPr preferRelativeResize="0">
                      <a:picLocks noChangeAspect="1" noChangeArrowheads="1"/>
                    </pic:cNvPicPr>
                  </pic:nvPicPr>
                  <pic:blipFill rotWithShape="1">
                    <a:blip r:embed="rId153">
                      <a:extLst>
                        <a:ext uri="{28A0092B-C50C-407E-A947-70E740481C1C}">
                          <a14:useLocalDpi xmlns:a14="http://schemas.microsoft.com/office/drawing/2010/main" val="0"/>
                        </a:ext>
                      </a:extLst>
                    </a:blip>
                    <a:srcRect l="6550" t="2096" r="9665" b="3057"/>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3A02ED92" w14:textId="77777777" w:rsidR="00222F2D" w:rsidRDefault="00222F2D" w:rsidP="00222F2D">
      <w:pPr>
        <w:tabs>
          <w:tab w:val="left" w:pos="709"/>
        </w:tabs>
        <w:spacing w:after="0" w:line="360" w:lineRule="auto"/>
        <w:jc w:val="center"/>
        <w:rPr>
          <w:rFonts w:ascii="Arial" w:hAnsi="Arial" w:cs="Arial"/>
          <w:bCs/>
          <w:sz w:val="24"/>
          <w:szCs w:val="24"/>
        </w:rPr>
      </w:pPr>
    </w:p>
    <w:p w14:paraId="1D60E02B"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4A6C7497" wp14:editId="3DC1A284">
            <wp:extent cx="5040000" cy="2880000"/>
            <wp:effectExtent l="0" t="0" r="8255" b="0"/>
            <wp:docPr id="45886127" name="Immagine 41"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886127" name="Immagine 41" descr="Immagine che contiene testo, schermata, diagramma, cerchio&#10;&#10;Descrizione generata automaticamente"/>
                    <pic:cNvPicPr preferRelativeResize="0">
                      <a:picLocks noChangeAspect="1" noChangeArrowheads="1"/>
                    </pic:cNvPicPr>
                  </pic:nvPicPr>
                  <pic:blipFill rotWithShape="1">
                    <a:blip r:embed="rId154">
                      <a:extLst>
                        <a:ext uri="{28A0092B-C50C-407E-A947-70E740481C1C}">
                          <a14:useLocalDpi xmlns:a14="http://schemas.microsoft.com/office/drawing/2010/main" val="0"/>
                        </a:ext>
                      </a:extLst>
                    </a:blip>
                    <a:srcRect l="6377" t="2001" r="12126" b="6749"/>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8849B34" w14:textId="77777777" w:rsidR="00222F2D" w:rsidRDefault="00222F2D" w:rsidP="00222F2D">
      <w:pPr>
        <w:tabs>
          <w:tab w:val="left" w:pos="709"/>
        </w:tabs>
        <w:spacing w:after="0" w:line="360" w:lineRule="auto"/>
        <w:rPr>
          <w:rFonts w:ascii="Arial" w:hAnsi="Arial" w:cs="Arial"/>
          <w:bCs/>
          <w:sz w:val="24"/>
          <w:szCs w:val="24"/>
        </w:rPr>
      </w:pPr>
    </w:p>
    <w:p w14:paraId="0242DB9B" w14:textId="77777777" w:rsidR="00222F2D" w:rsidRDefault="00222F2D" w:rsidP="00222F2D">
      <w:pPr>
        <w:tabs>
          <w:tab w:val="left" w:pos="709"/>
        </w:tabs>
        <w:spacing w:line="360" w:lineRule="auto"/>
        <w:jc w:val="both"/>
        <w:rPr>
          <w:rFonts w:ascii="Arial" w:hAnsi="Arial" w:cs="Arial"/>
          <w:bCs/>
          <w:sz w:val="24"/>
          <w:szCs w:val="24"/>
        </w:rPr>
      </w:pPr>
      <w:r w:rsidRPr="00E27B4B">
        <w:rPr>
          <w:rFonts w:ascii="Arial" w:hAnsi="Arial" w:cs="Arial"/>
          <w:bCs/>
          <w:sz w:val="24"/>
          <w:szCs w:val="24"/>
        </w:rPr>
        <w:t>Al 31/12/2014 la MFI registra un’incidenza del 5,20% del portafoglio rischi sul portafoglio complessivo per crediti con scadenza superiore a 30 giorni e del 4,05% per crediti con scadenza superiore ai 90 giorni. Il tasso di perdita del portafoglio crediti è del 2,82%. Il suo fabbisogno finanziario netto viene stimato in 58.600.253 dollari.</w:t>
      </w:r>
    </w:p>
    <w:p w14:paraId="59EF883F"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48847DBD" wp14:editId="1DD8A90F">
            <wp:extent cx="5040000" cy="1260000"/>
            <wp:effectExtent l="0" t="0" r="8255" b="0"/>
            <wp:docPr id="861170742" name="Immagine 42" descr="Immagine che contiene testo, Carattere, linea,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1170742" name="Immagine 42" descr="Immagine che contiene testo, Carattere, linea, numero&#10;&#10;Descrizione generata automaticamente"/>
                    <pic:cNvPicPr preferRelativeResize="0">
                      <a:picLocks noChangeAspect="1" noChangeArrowheads="1"/>
                    </pic:cNvPicPr>
                  </pic:nvPicPr>
                  <pic:blipFill rotWithShape="1">
                    <a:blip r:embed="rId155">
                      <a:extLst>
                        <a:ext uri="{28A0092B-C50C-407E-A947-70E740481C1C}">
                          <a14:useLocalDpi xmlns:a14="http://schemas.microsoft.com/office/drawing/2010/main" val="0"/>
                        </a:ext>
                      </a:extLst>
                    </a:blip>
                    <a:srcRect l="3911" t="2697" r="4269" b="8731"/>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554AC8E8" w14:textId="77777777" w:rsidR="00222F2D" w:rsidRDefault="00222F2D" w:rsidP="00222F2D">
      <w:pPr>
        <w:tabs>
          <w:tab w:val="left" w:pos="709"/>
        </w:tabs>
        <w:spacing w:after="0" w:line="360" w:lineRule="auto"/>
        <w:rPr>
          <w:rFonts w:ascii="Arial" w:hAnsi="Arial" w:cs="Arial"/>
          <w:bCs/>
          <w:sz w:val="24"/>
          <w:szCs w:val="24"/>
        </w:rPr>
      </w:pPr>
    </w:p>
    <w:p w14:paraId="310A4BF7" w14:textId="77777777" w:rsidR="00222F2D" w:rsidRPr="00E27B4B" w:rsidRDefault="00222F2D" w:rsidP="00222F2D">
      <w:pPr>
        <w:tabs>
          <w:tab w:val="left" w:pos="851"/>
        </w:tabs>
        <w:spacing w:after="0" w:line="360" w:lineRule="auto"/>
        <w:jc w:val="both"/>
        <w:rPr>
          <w:rFonts w:ascii="Arial" w:hAnsi="Arial" w:cs="Arial"/>
          <w:bCs/>
          <w:sz w:val="24"/>
          <w:szCs w:val="24"/>
        </w:rPr>
      </w:pPr>
      <w:r w:rsidRPr="00E27B4B">
        <w:rPr>
          <w:rFonts w:ascii="Arial" w:hAnsi="Arial" w:cs="Arial"/>
          <w:bCs/>
          <w:sz w:val="24"/>
          <w:szCs w:val="24"/>
        </w:rPr>
        <w:t>II.</w:t>
      </w:r>
      <w:r>
        <w:rPr>
          <w:rFonts w:ascii="Arial" w:hAnsi="Arial" w:cs="Arial"/>
          <w:bCs/>
          <w:sz w:val="24"/>
          <w:szCs w:val="24"/>
        </w:rPr>
        <w:t>5.14</w:t>
      </w:r>
      <w:r w:rsidRPr="00E27B4B">
        <w:rPr>
          <w:rFonts w:ascii="Arial" w:hAnsi="Arial" w:cs="Arial"/>
          <w:bCs/>
          <w:sz w:val="24"/>
          <w:szCs w:val="24"/>
        </w:rPr>
        <w:t>.</w:t>
      </w:r>
      <w:r w:rsidRPr="00E27B4B">
        <w:rPr>
          <w:rFonts w:ascii="Arial" w:hAnsi="Arial" w:cs="Arial"/>
          <w:bCs/>
          <w:sz w:val="24"/>
          <w:szCs w:val="24"/>
        </w:rPr>
        <w:tab/>
      </w:r>
      <w:r w:rsidRPr="00E90DA5">
        <w:rPr>
          <w:rFonts w:ascii="Arial" w:hAnsi="Arial" w:cs="Arial"/>
          <w:bCs/>
          <w:i/>
          <w:iCs/>
          <w:sz w:val="24"/>
          <w:szCs w:val="24"/>
        </w:rPr>
        <w:t>Ama</w:t>
      </w:r>
    </w:p>
    <w:p w14:paraId="73111AD8" w14:textId="77777777" w:rsidR="00222F2D" w:rsidRPr="00E27B4B" w:rsidRDefault="00222F2D" w:rsidP="00222F2D">
      <w:pPr>
        <w:tabs>
          <w:tab w:val="left" w:pos="709"/>
        </w:tabs>
        <w:spacing w:after="0" w:line="360" w:lineRule="auto"/>
        <w:jc w:val="both"/>
        <w:rPr>
          <w:rFonts w:ascii="Arial" w:hAnsi="Arial" w:cs="Arial"/>
          <w:bCs/>
          <w:sz w:val="24"/>
          <w:szCs w:val="24"/>
        </w:rPr>
      </w:pPr>
    </w:p>
    <w:p w14:paraId="723FC1AF" w14:textId="77777777" w:rsidR="00222F2D" w:rsidRPr="00E27B4B" w:rsidRDefault="00222F2D" w:rsidP="00222F2D">
      <w:pPr>
        <w:tabs>
          <w:tab w:val="left" w:pos="709"/>
        </w:tabs>
        <w:spacing w:after="0" w:line="360" w:lineRule="auto"/>
        <w:jc w:val="both"/>
        <w:rPr>
          <w:rFonts w:ascii="Arial" w:hAnsi="Arial" w:cs="Arial"/>
          <w:bCs/>
          <w:sz w:val="24"/>
          <w:szCs w:val="24"/>
        </w:rPr>
      </w:pPr>
      <w:r w:rsidRPr="00E90DA5">
        <w:rPr>
          <w:rFonts w:ascii="Arial" w:hAnsi="Arial" w:cs="Arial"/>
          <w:bCs/>
          <w:i/>
          <w:iCs/>
          <w:sz w:val="24"/>
          <w:szCs w:val="24"/>
        </w:rPr>
        <w:t>Ama</w:t>
      </w:r>
      <w:r w:rsidRPr="00E27B4B">
        <w:rPr>
          <w:rFonts w:ascii="Arial" w:hAnsi="Arial" w:cs="Arial"/>
          <w:bCs/>
          <w:sz w:val="24"/>
          <w:szCs w:val="24"/>
        </w:rPr>
        <w:t xml:space="preserve"> è un’organizzazione non governativa senza scopo di lucro, che eroga piccoli prestiti a donne imprenditrici. Il suo portafoglio è così distribuito per tipologia di cliente e per settore</w:t>
      </w:r>
      <w:r>
        <w:rPr>
          <w:rFonts w:ascii="Arial" w:hAnsi="Arial" w:cs="Arial"/>
          <w:bCs/>
          <w:sz w:val="24"/>
          <w:szCs w:val="24"/>
        </w:rPr>
        <w:t>:</w:t>
      </w:r>
    </w:p>
    <w:p w14:paraId="12F64219"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1BDA5F6C" wp14:editId="238B63D7">
            <wp:extent cx="5040000" cy="2880000"/>
            <wp:effectExtent l="0" t="0" r="8255" b="0"/>
            <wp:docPr id="1768340500" name="Immagine 43" descr="Immagine che contiene diagramma, schermata, cerchio, test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8340500" name="Immagine 43" descr="Immagine che contiene diagramma, schermata, cerchio, testo&#10;&#10;Descrizione generata automaticamente"/>
                    <pic:cNvPicPr preferRelativeResize="0">
                      <a:picLocks noChangeAspect="1" noChangeArrowheads="1"/>
                    </pic:cNvPicPr>
                  </pic:nvPicPr>
                  <pic:blipFill rotWithShape="1">
                    <a:blip r:embed="rId156">
                      <a:extLst>
                        <a:ext uri="{28A0092B-C50C-407E-A947-70E740481C1C}">
                          <a14:useLocalDpi xmlns:a14="http://schemas.microsoft.com/office/drawing/2010/main" val="0"/>
                        </a:ext>
                      </a:extLst>
                    </a:blip>
                    <a:srcRect l="8154" r="10669"/>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0C5285BD" w14:textId="77777777" w:rsidR="00222F2D" w:rsidRDefault="00222F2D" w:rsidP="00222F2D">
      <w:pPr>
        <w:tabs>
          <w:tab w:val="left" w:pos="709"/>
        </w:tabs>
        <w:spacing w:after="0" w:line="360" w:lineRule="auto"/>
        <w:jc w:val="both"/>
        <w:rPr>
          <w:rFonts w:ascii="Arial" w:hAnsi="Arial" w:cs="Arial"/>
          <w:bCs/>
          <w:sz w:val="24"/>
          <w:szCs w:val="24"/>
        </w:rPr>
      </w:pPr>
    </w:p>
    <w:p w14:paraId="54E1502B" w14:textId="77777777" w:rsidR="00222F2D" w:rsidRDefault="00222F2D" w:rsidP="00222F2D">
      <w:pPr>
        <w:tabs>
          <w:tab w:val="left" w:pos="709"/>
        </w:tabs>
        <w:spacing w:after="0" w:line="360" w:lineRule="auto"/>
        <w:jc w:val="both"/>
        <w:rPr>
          <w:rFonts w:ascii="Arial" w:hAnsi="Arial" w:cs="Arial"/>
          <w:bCs/>
          <w:sz w:val="24"/>
          <w:szCs w:val="24"/>
        </w:rPr>
      </w:pPr>
      <w:r w:rsidRPr="00E27B4B">
        <w:rPr>
          <w:rFonts w:ascii="Arial" w:hAnsi="Arial" w:cs="Arial"/>
          <w:bCs/>
          <w:sz w:val="24"/>
          <w:szCs w:val="24"/>
        </w:rPr>
        <w:t>Nel 2013 l’Istituzione registra un’incidenza del 4,59% del portafoglio rischi sul portafoglio complessivo per crediti con scadenza superiore a 30 giorni e del 3,65% per crediti con scadenza superiore ai 90 giorni. Il tasso di perdita del portafoglio crediti è del 6,82%.</w:t>
      </w:r>
    </w:p>
    <w:p w14:paraId="62CD576A" w14:textId="77777777" w:rsidR="00222F2D" w:rsidRDefault="00222F2D" w:rsidP="00222F2D">
      <w:pPr>
        <w:tabs>
          <w:tab w:val="left" w:pos="709"/>
        </w:tabs>
        <w:spacing w:after="0" w:line="360" w:lineRule="auto"/>
        <w:jc w:val="both"/>
        <w:rPr>
          <w:rFonts w:ascii="Arial" w:hAnsi="Arial" w:cs="Arial"/>
          <w:bCs/>
          <w:sz w:val="24"/>
          <w:szCs w:val="24"/>
        </w:rPr>
      </w:pPr>
      <w:r w:rsidRPr="00E27B4B">
        <w:rPr>
          <w:rFonts w:ascii="Arial" w:hAnsi="Arial" w:cs="Arial"/>
          <w:bCs/>
          <w:sz w:val="24"/>
          <w:szCs w:val="24"/>
        </w:rPr>
        <w:t>Il suo fabbisogno finanziario netto viene stimato in 1.397.747 dollari.</w:t>
      </w:r>
    </w:p>
    <w:p w14:paraId="7A9F5685" w14:textId="77777777" w:rsidR="00222F2D" w:rsidRDefault="00222F2D" w:rsidP="00222F2D">
      <w:pPr>
        <w:tabs>
          <w:tab w:val="left" w:pos="709"/>
        </w:tabs>
        <w:spacing w:after="0" w:line="360" w:lineRule="auto"/>
        <w:jc w:val="both"/>
        <w:rPr>
          <w:rFonts w:ascii="Arial" w:hAnsi="Arial" w:cs="Arial"/>
          <w:bCs/>
          <w:sz w:val="24"/>
          <w:szCs w:val="24"/>
        </w:rPr>
      </w:pPr>
    </w:p>
    <w:p w14:paraId="4DC7246D"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3581EC06" wp14:editId="54486F81">
            <wp:extent cx="5040000" cy="1260000"/>
            <wp:effectExtent l="0" t="0" r="8255" b="0"/>
            <wp:docPr id="1570856490" name="Immagine 44" descr="Immagine che contiene testo, Carattere, linea,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0856490" name="Immagine 44" descr="Immagine che contiene testo, Carattere, linea, numero&#10;&#10;Descrizione generata automaticamente"/>
                    <pic:cNvPicPr preferRelativeResize="0">
                      <a:picLocks noChangeAspect="1" noChangeArrowheads="1"/>
                    </pic:cNvPicPr>
                  </pic:nvPicPr>
                  <pic:blipFill rotWithShape="1">
                    <a:blip r:embed="rId157">
                      <a:extLst>
                        <a:ext uri="{28A0092B-C50C-407E-A947-70E740481C1C}">
                          <a14:useLocalDpi xmlns:a14="http://schemas.microsoft.com/office/drawing/2010/main" val="0"/>
                        </a:ext>
                      </a:extLst>
                    </a:blip>
                    <a:srcRect l="4140" t="6364" r="2649" b="3182"/>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6BCD4A07" w14:textId="77777777" w:rsidR="00222F2D" w:rsidRDefault="00222F2D" w:rsidP="00222F2D">
      <w:pPr>
        <w:tabs>
          <w:tab w:val="left" w:pos="709"/>
        </w:tabs>
        <w:spacing w:after="0" w:line="360" w:lineRule="auto"/>
        <w:rPr>
          <w:rFonts w:ascii="Arial" w:hAnsi="Arial" w:cs="Arial"/>
          <w:bCs/>
          <w:sz w:val="24"/>
          <w:szCs w:val="24"/>
        </w:rPr>
      </w:pPr>
    </w:p>
    <w:p w14:paraId="3D9DE5FB" w14:textId="77777777" w:rsidR="00222F2D" w:rsidRDefault="00222F2D" w:rsidP="00222F2D">
      <w:pPr>
        <w:tabs>
          <w:tab w:val="left" w:pos="709"/>
        </w:tabs>
        <w:spacing w:after="0" w:line="360" w:lineRule="auto"/>
        <w:rPr>
          <w:rFonts w:ascii="Arial" w:hAnsi="Arial" w:cs="Arial"/>
          <w:bCs/>
          <w:sz w:val="24"/>
          <w:szCs w:val="24"/>
        </w:rPr>
      </w:pPr>
    </w:p>
    <w:p w14:paraId="6D8C9656" w14:textId="77777777" w:rsidR="00222F2D" w:rsidRPr="00E27B4B" w:rsidRDefault="00222F2D" w:rsidP="00222F2D">
      <w:pPr>
        <w:tabs>
          <w:tab w:val="left" w:pos="851"/>
        </w:tabs>
        <w:spacing w:after="0" w:line="360" w:lineRule="auto"/>
        <w:jc w:val="both"/>
        <w:rPr>
          <w:rFonts w:ascii="Arial" w:hAnsi="Arial" w:cs="Arial"/>
          <w:bCs/>
          <w:sz w:val="24"/>
          <w:szCs w:val="24"/>
        </w:rPr>
      </w:pPr>
      <w:r w:rsidRPr="00E27B4B">
        <w:rPr>
          <w:rFonts w:ascii="Arial" w:hAnsi="Arial" w:cs="Arial"/>
          <w:bCs/>
          <w:sz w:val="24"/>
          <w:szCs w:val="24"/>
        </w:rPr>
        <w:lastRenderedPageBreak/>
        <w:t>II.</w:t>
      </w:r>
      <w:r>
        <w:rPr>
          <w:rFonts w:ascii="Arial" w:hAnsi="Arial" w:cs="Arial"/>
          <w:bCs/>
          <w:sz w:val="24"/>
          <w:szCs w:val="24"/>
        </w:rPr>
        <w:t>5.15</w:t>
      </w:r>
      <w:r w:rsidRPr="00E27B4B">
        <w:rPr>
          <w:rFonts w:ascii="Arial" w:hAnsi="Arial" w:cs="Arial"/>
          <w:bCs/>
          <w:sz w:val="24"/>
          <w:szCs w:val="24"/>
        </w:rPr>
        <w:t>.</w:t>
      </w:r>
      <w:r w:rsidRPr="00E27B4B">
        <w:rPr>
          <w:rFonts w:ascii="Arial" w:hAnsi="Arial" w:cs="Arial"/>
          <w:bCs/>
          <w:sz w:val="24"/>
          <w:szCs w:val="24"/>
        </w:rPr>
        <w:tab/>
      </w:r>
      <w:r w:rsidRPr="00F1643D">
        <w:rPr>
          <w:rFonts w:ascii="Arial" w:hAnsi="Arial" w:cs="Arial"/>
          <w:bCs/>
          <w:i/>
          <w:iCs/>
          <w:sz w:val="24"/>
          <w:szCs w:val="24"/>
        </w:rPr>
        <w:t>Asociation Arariwa</w:t>
      </w:r>
    </w:p>
    <w:p w14:paraId="45705E5F" w14:textId="77777777" w:rsidR="00222F2D" w:rsidRPr="00E27B4B" w:rsidRDefault="00222F2D" w:rsidP="00222F2D">
      <w:pPr>
        <w:tabs>
          <w:tab w:val="left" w:pos="709"/>
        </w:tabs>
        <w:spacing w:after="0" w:line="360" w:lineRule="auto"/>
        <w:jc w:val="both"/>
        <w:rPr>
          <w:rFonts w:ascii="Arial" w:hAnsi="Arial" w:cs="Arial"/>
          <w:bCs/>
          <w:sz w:val="24"/>
          <w:szCs w:val="24"/>
        </w:rPr>
      </w:pPr>
    </w:p>
    <w:p w14:paraId="02E1498B" w14:textId="77777777" w:rsidR="00222F2D" w:rsidRDefault="00222F2D" w:rsidP="00222F2D">
      <w:pPr>
        <w:tabs>
          <w:tab w:val="left" w:pos="709"/>
        </w:tabs>
        <w:spacing w:after="0" w:line="360" w:lineRule="auto"/>
        <w:jc w:val="both"/>
        <w:rPr>
          <w:rFonts w:ascii="Arial" w:hAnsi="Arial" w:cs="Arial"/>
          <w:bCs/>
          <w:sz w:val="24"/>
          <w:szCs w:val="24"/>
        </w:rPr>
      </w:pPr>
      <w:r w:rsidRPr="00F20880">
        <w:rPr>
          <w:rFonts w:ascii="Arial" w:hAnsi="Arial" w:cs="Arial"/>
          <w:bCs/>
          <w:i/>
          <w:iCs/>
          <w:sz w:val="24"/>
          <w:szCs w:val="24"/>
        </w:rPr>
        <w:t>Asociation Arariwa</w:t>
      </w:r>
      <w:r w:rsidRPr="00E27B4B">
        <w:rPr>
          <w:rFonts w:ascii="Arial" w:hAnsi="Arial" w:cs="Arial"/>
          <w:bCs/>
          <w:sz w:val="24"/>
          <w:szCs w:val="24"/>
        </w:rPr>
        <w:t xml:space="preserve"> è un’organizzazione non governativa e no-profit volta alla promozione dello sviluppo rurale sostenibile. Il suo portafoglio, su cui applica un tasso di interesse medio del 45,15%, è così distribuito per tipologia di cliente e per settore:</w:t>
      </w:r>
    </w:p>
    <w:p w14:paraId="17CF039C" w14:textId="77777777" w:rsidR="00222F2D" w:rsidRDefault="00222F2D" w:rsidP="00222F2D">
      <w:pPr>
        <w:tabs>
          <w:tab w:val="left" w:pos="709"/>
        </w:tabs>
        <w:spacing w:line="360" w:lineRule="auto"/>
        <w:jc w:val="center"/>
        <w:rPr>
          <w:rFonts w:ascii="Arial" w:hAnsi="Arial" w:cs="Arial"/>
          <w:bCs/>
          <w:sz w:val="24"/>
          <w:szCs w:val="24"/>
        </w:rPr>
      </w:pPr>
      <w:r>
        <w:rPr>
          <w:rFonts w:ascii="Arial" w:hAnsi="Arial" w:cs="Arial"/>
          <w:bCs/>
          <w:noProof/>
          <w:sz w:val="24"/>
          <w:szCs w:val="24"/>
        </w:rPr>
        <w:drawing>
          <wp:inline distT="0" distB="0" distL="0" distR="0" wp14:anchorId="79EA9315" wp14:editId="37198A0F">
            <wp:extent cx="5040000" cy="2880000"/>
            <wp:effectExtent l="0" t="0" r="8255" b="0"/>
            <wp:docPr id="1644512702" name="Immagine 45" descr="Immagine che contiene diagramma, testo, schermat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4512702" name="Immagine 45" descr="Immagine che contiene diagramma, testo, schermata, cerchio&#10;&#10;Descrizione generata automaticamente"/>
                    <pic:cNvPicPr preferRelativeResize="0">
                      <a:picLocks noChangeAspect="1" noChangeArrowheads="1"/>
                    </pic:cNvPicPr>
                  </pic:nvPicPr>
                  <pic:blipFill rotWithShape="1">
                    <a:blip r:embed="rId158">
                      <a:extLst>
                        <a:ext uri="{28A0092B-C50C-407E-A947-70E740481C1C}">
                          <a14:useLocalDpi xmlns:a14="http://schemas.microsoft.com/office/drawing/2010/main" val="0"/>
                        </a:ext>
                      </a:extLst>
                    </a:blip>
                    <a:srcRect l="4388" r="11366" b="9777"/>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7BCA2E4B" w14:textId="77777777" w:rsidR="00222F2D" w:rsidRDefault="00222F2D" w:rsidP="00222F2D">
      <w:pPr>
        <w:tabs>
          <w:tab w:val="left" w:pos="709"/>
        </w:tabs>
        <w:spacing w:after="0" w:line="360" w:lineRule="auto"/>
        <w:rPr>
          <w:rFonts w:ascii="Arial" w:hAnsi="Arial" w:cs="Arial"/>
          <w:bCs/>
          <w:sz w:val="24"/>
          <w:szCs w:val="24"/>
        </w:rPr>
      </w:pPr>
    </w:p>
    <w:p w14:paraId="165EF40D" w14:textId="77777777" w:rsidR="00222F2D" w:rsidRDefault="00222F2D" w:rsidP="00222F2D">
      <w:pPr>
        <w:tabs>
          <w:tab w:val="left" w:pos="709"/>
        </w:tabs>
        <w:spacing w:after="0" w:line="360" w:lineRule="auto"/>
        <w:jc w:val="both"/>
        <w:rPr>
          <w:rFonts w:ascii="Arial" w:hAnsi="Arial" w:cs="Arial"/>
          <w:bCs/>
          <w:sz w:val="24"/>
          <w:szCs w:val="24"/>
        </w:rPr>
      </w:pPr>
      <w:r w:rsidRPr="00E27B4B">
        <w:rPr>
          <w:rFonts w:ascii="Arial" w:hAnsi="Arial" w:cs="Arial"/>
          <w:bCs/>
          <w:sz w:val="24"/>
          <w:szCs w:val="24"/>
        </w:rPr>
        <w:t>Nel 2013 l’Associazione registra un’incidenza del 1,71% del portafoglio rischi sul portafoglio complessivo per crediti con scadenza superiore a 30 giorni e del 0,26% per crediti con scadenza superiore ai 90 giorni. Il tasso di perdita del portafoglio crediti è del 5,76%.</w:t>
      </w:r>
    </w:p>
    <w:p w14:paraId="53C5537D" w14:textId="77777777" w:rsidR="00222F2D" w:rsidRDefault="00222F2D" w:rsidP="00222F2D">
      <w:pPr>
        <w:tabs>
          <w:tab w:val="left" w:pos="709"/>
        </w:tabs>
        <w:spacing w:after="0" w:line="360" w:lineRule="auto"/>
        <w:jc w:val="both"/>
        <w:rPr>
          <w:rFonts w:ascii="Arial" w:hAnsi="Arial" w:cs="Arial"/>
          <w:bCs/>
          <w:sz w:val="24"/>
          <w:szCs w:val="24"/>
        </w:rPr>
      </w:pPr>
      <w:r w:rsidRPr="00E27B4B">
        <w:rPr>
          <w:rFonts w:ascii="Arial" w:hAnsi="Arial" w:cs="Arial"/>
          <w:bCs/>
          <w:sz w:val="24"/>
          <w:szCs w:val="24"/>
        </w:rPr>
        <w:t>Il suo fabbisogno finanziario netto è stimato in 3.375.715 dollari.</w:t>
      </w:r>
    </w:p>
    <w:p w14:paraId="5420C829" w14:textId="77777777" w:rsidR="00222F2D" w:rsidRDefault="00222F2D" w:rsidP="00222F2D">
      <w:pPr>
        <w:tabs>
          <w:tab w:val="left" w:pos="709"/>
        </w:tabs>
        <w:spacing w:after="0" w:line="360" w:lineRule="auto"/>
        <w:jc w:val="both"/>
        <w:rPr>
          <w:rFonts w:ascii="Arial" w:hAnsi="Arial" w:cs="Arial"/>
          <w:bCs/>
          <w:sz w:val="24"/>
          <w:szCs w:val="24"/>
        </w:rPr>
      </w:pPr>
    </w:p>
    <w:p w14:paraId="08ABC05D"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69D23DFC" wp14:editId="41A0D2E6">
            <wp:extent cx="5040000" cy="1260000"/>
            <wp:effectExtent l="0" t="0" r="8255" b="0"/>
            <wp:docPr id="390246227" name="Immagine 47" descr="Immagine che contiene testo, line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0246227" name="Immagine 47" descr="Immagine che contiene testo, linea, Carattere, numero&#10;&#10;Descrizione generata automaticamente"/>
                    <pic:cNvPicPr preferRelativeResize="0">
                      <a:picLocks noChangeAspect="1" noChangeArrowheads="1"/>
                    </pic:cNvPicPr>
                  </pic:nvPicPr>
                  <pic:blipFill rotWithShape="1">
                    <a:blip r:embed="rId159">
                      <a:extLst>
                        <a:ext uri="{28A0092B-C50C-407E-A947-70E740481C1C}">
                          <a14:useLocalDpi xmlns:a14="http://schemas.microsoft.com/office/drawing/2010/main" val="0"/>
                        </a:ext>
                      </a:extLst>
                    </a:blip>
                    <a:srcRect l="6662" t="10230" r="1666"/>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3FFF5FBD" w14:textId="77777777" w:rsidR="00222F2D" w:rsidRDefault="00222F2D" w:rsidP="00222F2D">
      <w:pPr>
        <w:tabs>
          <w:tab w:val="left" w:pos="709"/>
        </w:tabs>
        <w:spacing w:after="0" w:line="360" w:lineRule="auto"/>
        <w:rPr>
          <w:rFonts w:ascii="Arial" w:hAnsi="Arial" w:cs="Arial"/>
          <w:bCs/>
          <w:sz w:val="24"/>
          <w:szCs w:val="24"/>
        </w:rPr>
      </w:pPr>
    </w:p>
    <w:p w14:paraId="4308B917" w14:textId="77777777" w:rsidR="00222F2D" w:rsidRPr="00E27B4B" w:rsidRDefault="00222F2D" w:rsidP="00222F2D">
      <w:pPr>
        <w:tabs>
          <w:tab w:val="left" w:pos="851"/>
        </w:tabs>
        <w:spacing w:after="0" w:line="360" w:lineRule="auto"/>
        <w:jc w:val="both"/>
        <w:rPr>
          <w:rFonts w:ascii="Arial" w:hAnsi="Arial" w:cs="Arial"/>
          <w:bCs/>
          <w:sz w:val="24"/>
          <w:szCs w:val="24"/>
        </w:rPr>
      </w:pPr>
      <w:r w:rsidRPr="00E27B4B">
        <w:rPr>
          <w:rFonts w:ascii="Arial" w:hAnsi="Arial" w:cs="Arial"/>
          <w:bCs/>
          <w:sz w:val="24"/>
          <w:szCs w:val="24"/>
        </w:rPr>
        <w:t>II.</w:t>
      </w:r>
      <w:r>
        <w:rPr>
          <w:rFonts w:ascii="Arial" w:hAnsi="Arial" w:cs="Arial"/>
          <w:bCs/>
          <w:sz w:val="24"/>
          <w:szCs w:val="24"/>
        </w:rPr>
        <w:t>5.16</w:t>
      </w:r>
      <w:r w:rsidRPr="00E27B4B">
        <w:rPr>
          <w:rFonts w:ascii="Arial" w:hAnsi="Arial" w:cs="Arial"/>
          <w:bCs/>
          <w:sz w:val="24"/>
          <w:szCs w:val="24"/>
        </w:rPr>
        <w:t>.</w:t>
      </w:r>
      <w:r w:rsidRPr="00E27B4B">
        <w:rPr>
          <w:rFonts w:ascii="Arial" w:hAnsi="Arial" w:cs="Arial"/>
          <w:bCs/>
          <w:sz w:val="24"/>
          <w:szCs w:val="24"/>
        </w:rPr>
        <w:tab/>
      </w:r>
      <w:r w:rsidRPr="00BF3E74">
        <w:rPr>
          <w:rFonts w:ascii="Arial" w:hAnsi="Arial" w:cs="Arial"/>
          <w:bCs/>
          <w:i/>
          <w:iCs/>
          <w:sz w:val="24"/>
          <w:szCs w:val="24"/>
        </w:rPr>
        <w:t>Pro Mujer</w:t>
      </w:r>
    </w:p>
    <w:p w14:paraId="40B1829E" w14:textId="77777777" w:rsidR="00222F2D" w:rsidRPr="00E27B4B" w:rsidRDefault="00222F2D" w:rsidP="00222F2D">
      <w:pPr>
        <w:tabs>
          <w:tab w:val="left" w:pos="709"/>
        </w:tabs>
        <w:spacing w:after="0" w:line="360" w:lineRule="auto"/>
        <w:jc w:val="both"/>
        <w:rPr>
          <w:rFonts w:ascii="Arial" w:hAnsi="Arial" w:cs="Arial"/>
          <w:bCs/>
          <w:sz w:val="24"/>
          <w:szCs w:val="24"/>
        </w:rPr>
      </w:pPr>
    </w:p>
    <w:p w14:paraId="74ECCA60" w14:textId="77777777" w:rsidR="00222F2D" w:rsidRDefault="00222F2D" w:rsidP="00222F2D">
      <w:pPr>
        <w:tabs>
          <w:tab w:val="left" w:pos="709"/>
        </w:tabs>
        <w:spacing w:line="360" w:lineRule="auto"/>
        <w:jc w:val="both"/>
        <w:rPr>
          <w:rFonts w:ascii="Arial" w:hAnsi="Arial" w:cs="Arial"/>
          <w:bCs/>
          <w:sz w:val="24"/>
          <w:szCs w:val="24"/>
        </w:rPr>
      </w:pPr>
      <w:r w:rsidRPr="00BE597F">
        <w:rPr>
          <w:rFonts w:ascii="Arial" w:hAnsi="Arial" w:cs="Arial"/>
          <w:bCs/>
          <w:i/>
          <w:iCs/>
          <w:sz w:val="24"/>
          <w:szCs w:val="24"/>
        </w:rPr>
        <w:t>Pro Mujer</w:t>
      </w:r>
      <w:r w:rsidRPr="00E27B4B">
        <w:rPr>
          <w:rFonts w:ascii="Arial" w:hAnsi="Arial" w:cs="Arial"/>
          <w:bCs/>
          <w:sz w:val="24"/>
          <w:szCs w:val="24"/>
        </w:rPr>
        <w:t xml:space="preserve"> è un’organizzazione non governativa senza scopo li lucro, finalizzata a favorire lo sviluppo delle donne, fornendo loro servizi finanziari, formazione aziendale, supporto sanitario.</w:t>
      </w:r>
    </w:p>
    <w:p w14:paraId="3B1CC30E" w14:textId="77777777" w:rsidR="00222F2D" w:rsidRDefault="00222F2D" w:rsidP="00222F2D">
      <w:pPr>
        <w:tabs>
          <w:tab w:val="left" w:pos="709"/>
        </w:tabs>
        <w:spacing w:line="360" w:lineRule="auto"/>
        <w:jc w:val="both"/>
        <w:rPr>
          <w:rFonts w:ascii="Arial" w:hAnsi="Arial" w:cs="Arial"/>
          <w:bCs/>
          <w:sz w:val="24"/>
          <w:szCs w:val="24"/>
        </w:rPr>
      </w:pPr>
    </w:p>
    <w:p w14:paraId="5973C56E" w14:textId="77777777" w:rsidR="00222F2D" w:rsidRPr="00E27B4B" w:rsidRDefault="00222F2D" w:rsidP="00222F2D">
      <w:pPr>
        <w:tabs>
          <w:tab w:val="left" w:pos="709"/>
        </w:tabs>
        <w:spacing w:line="360" w:lineRule="auto"/>
        <w:jc w:val="both"/>
        <w:rPr>
          <w:rFonts w:ascii="Arial" w:hAnsi="Arial" w:cs="Arial"/>
          <w:bCs/>
          <w:sz w:val="24"/>
          <w:szCs w:val="24"/>
        </w:rPr>
      </w:pPr>
      <w:r w:rsidRPr="00E27B4B">
        <w:rPr>
          <w:rFonts w:ascii="Arial" w:hAnsi="Arial" w:cs="Arial"/>
          <w:bCs/>
          <w:sz w:val="24"/>
          <w:szCs w:val="24"/>
        </w:rPr>
        <w:lastRenderedPageBreak/>
        <w:t>Il suo portafoglio è così distribuito per tipologia di cliente e per settore</w:t>
      </w:r>
      <w:r>
        <w:rPr>
          <w:rFonts w:ascii="Arial" w:hAnsi="Arial" w:cs="Arial"/>
          <w:bCs/>
          <w:sz w:val="24"/>
          <w:szCs w:val="24"/>
        </w:rPr>
        <w:t>:</w:t>
      </w:r>
    </w:p>
    <w:p w14:paraId="4969E287"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51C7A00A" wp14:editId="72537B58">
            <wp:extent cx="5040000" cy="2880000"/>
            <wp:effectExtent l="0" t="0" r="8255" b="0"/>
            <wp:docPr id="2145031551" name="Immagine 48" descr="Immagine che contiene diagramma, schermata, test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45031551" name="Immagine 48" descr="Immagine che contiene diagramma, schermata, testo, Carattere&#10;&#10;Descrizione generata automaticamente"/>
                    <pic:cNvPicPr preferRelativeResize="0">
                      <a:picLocks noChangeAspect="1" noChangeArrowheads="1"/>
                    </pic:cNvPicPr>
                  </pic:nvPicPr>
                  <pic:blipFill rotWithShape="1">
                    <a:blip r:embed="rId160">
                      <a:extLst>
                        <a:ext uri="{28A0092B-C50C-407E-A947-70E740481C1C}">
                          <a14:useLocalDpi xmlns:a14="http://schemas.microsoft.com/office/drawing/2010/main" val="0"/>
                        </a:ext>
                      </a:extLst>
                    </a:blip>
                    <a:srcRect l="6133" t="1350" r="9598" b="4162"/>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7E243F83" w14:textId="77777777" w:rsidR="00222F2D" w:rsidRDefault="00222F2D" w:rsidP="00222F2D">
      <w:pPr>
        <w:tabs>
          <w:tab w:val="left" w:pos="709"/>
        </w:tabs>
        <w:spacing w:after="0" w:line="360" w:lineRule="auto"/>
        <w:rPr>
          <w:rFonts w:ascii="Arial" w:hAnsi="Arial" w:cs="Arial"/>
          <w:bCs/>
          <w:sz w:val="24"/>
          <w:szCs w:val="24"/>
        </w:rPr>
      </w:pPr>
    </w:p>
    <w:p w14:paraId="4FA58910" w14:textId="77777777" w:rsidR="00222F2D" w:rsidRDefault="00222F2D" w:rsidP="00222F2D">
      <w:pPr>
        <w:tabs>
          <w:tab w:val="left" w:pos="709"/>
        </w:tabs>
        <w:spacing w:after="0" w:line="360" w:lineRule="auto"/>
        <w:jc w:val="both"/>
        <w:rPr>
          <w:rFonts w:ascii="Arial" w:hAnsi="Arial" w:cs="Arial"/>
          <w:bCs/>
          <w:sz w:val="24"/>
          <w:szCs w:val="24"/>
        </w:rPr>
      </w:pPr>
      <w:r w:rsidRPr="004421CE">
        <w:rPr>
          <w:rFonts w:ascii="Arial" w:hAnsi="Arial" w:cs="Arial"/>
          <w:bCs/>
          <w:sz w:val="24"/>
          <w:szCs w:val="24"/>
        </w:rPr>
        <w:t>Al 31/12/2013 l’MFI registra un’incidenza del 6,98% del portafoglio rischi sul portafoglio complessivo per crediti con scadenza superiore a 30 giorni e del 5,48% per crediti con scadenza superiore ai 90 giorni. Il tasso di perdita del portafoglio crediti è del 2,20%.</w:t>
      </w:r>
    </w:p>
    <w:p w14:paraId="1C880A0D" w14:textId="77777777" w:rsidR="00222F2D" w:rsidRDefault="00222F2D" w:rsidP="00222F2D">
      <w:pPr>
        <w:tabs>
          <w:tab w:val="left" w:pos="709"/>
        </w:tabs>
        <w:spacing w:after="0" w:line="360" w:lineRule="auto"/>
        <w:jc w:val="both"/>
        <w:rPr>
          <w:rFonts w:ascii="Arial" w:hAnsi="Arial" w:cs="Arial"/>
          <w:bCs/>
          <w:sz w:val="24"/>
          <w:szCs w:val="24"/>
        </w:rPr>
      </w:pPr>
      <w:r w:rsidRPr="004421CE">
        <w:rPr>
          <w:rFonts w:ascii="Arial" w:hAnsi="Arial" w:cs="Arial"/>
          <w:bCs/>
          <w:sz w:val="24"/>
          <w:szCs w:val="24"/>
        </w:rPr>
        <w:t>l suo fabbisogno finanziario netto viene stimato in 12.319.005 dollari.</w:t>
      </w:r>
    </w:p>
    <w:p w14:paraId="29F64308" w14:textId="77777777" w:rsidR="00222F2D" w:rsidRDefault="00222F2D" w:rsidP="00222F2D">
      <w:pPr>
        <w:tabs>
          <w:tab w:val="left" w:pos="709"/>
        </w:tabs>
        <w:spacing w:after="0" w:line="360" w:lineRule="auto"/>
        <w:jc w:val="both"/>
        <w:rPr>
          <w:rFonts w:ascii="Arial" w:hAnsi="Arial" w:cs="Arial"/>
          <w:bCs/>
          <w:sz w:val="24"/>
          <w:szCs w:val="24"/>
        </w:rPr>
      </w:pPr>
    </w:p>
    <w:p w14:paraId="6776471F"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07AFC566" wp14:editId="7D349937">
            <wp:extent cx="5040000" cy="1260000"/>
            <wp:effectExtent l="0" t="0" r="8255" b="0"/>
            <wp:docPr id="1203832679" name="Immagine 49" descr="Immagine che contiene testo, linea, Carattere,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03832679" name="Immagine 49" descr="Immagine che contiene testo, linea, Carattere, numero&#10;&#10;Descrizione generata automaticamente"/>
                    <pic:cNvPicPr preferRelativeResize="0">
                      <a:picLocks noChangeAspect="1" noChangeArrowheads="1"/>
                    </pic:cNvPicPr>
                  </pic:nvPicPr>
                  <pic:blipFill rotWithShape="1">
                    <a:blip r:embed="rId161">
                      <a:extLst>
                        <a:ext uri="{28A0092B-C50C-407E-A947-70E740481C1C}">
                          <a14:useLocalDpi xmlns:a14="http://schemas.microsoft.com/office/drawing/2010/main" val="0"/>
                        </a:ext>
                      </a:extLst>
                    </a:blip>
                    <a:srcRect l="2318" t="8992" r="4481" b="4684"/>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3F935976" w14:textId="77777777" w:rsidR="00222F2D" w:rsidRDefault="00222F2D" w:rsidP="00222F2D">
      <w:pPr>
        <w:tabs>
          <w:tab w:val="left" w:pos="709"/>
        </w:tabs>
        <w:spacing w:after="0" w:line="360" w:lineRule="auto"/>
        <w:rPr>
          <w:rFonts w:ascii="Arial" w:hAnsi="Arial" w:cs="Arial"/>
          <w:bCs/>
          <w:sz w:val="24"/>
          <w:szCs w:val="24"/>
        </w:rPr>
      </w:pPr>
    </w:p>
    <w:p w14:paraId="12DBDE9C" w14:textId="77777777" w:rsidR="00222F2D" w:rsidRPr="004421CE" w:rsidRDefault="00222F2D" w:rsidP="00222F2D">
      <w:pPr>
        <w:tabs>
          <w:tab w:val="left" w:pos="851"/>
        </w:tabs>
        <w:spacing w:after="0" w:line="360" w:lineRule="auto"/>
        <w:jc w:val="both"/>
        <w:rPr>
          <w:rFonts w:ascii="Arial" w:hAnsi="Arial" w:cs="Arial"/>
          <w:bCs/>
          <w:sz w:val="24"/>
          <w:szCs w:val="24"/>
        </w:rPr>
      </w:pPr>
      <w:bookmarkStart w:id="3" w:name="_Hlk158992559"/>
      <w:r w:rsidRPr="004421CE">
        <w:rPr>
          <w:rFonts w:ascii="Arial" w:hAnsi="Arial" w:cs="Arial"/>
          <w:bCs/>
          <w:sz w:val="24"/>
          <w:szCs w:val="24"/>
        </w:rPr>
        <w:t>II.</w:t>
      </w:r>
      <w:r>
        <w:rPr>
          <w:rFonts w:ascii="Arial" w:hAnsi="Arial" w:cs="Arial"/>
          <w:bCs/>
          <w:sz w:val="24"/>
          <w:szCs w:val="24"/>
        </w:rPr>
        <w:t>5.17.</w:t>
      </w:r>
      <w:r w:rsidRPr="004421CE">
        <w:rPr>
          <w:rFonts w:ascii="Arial" w:hAnsi="Arial" w:cs="Arial"/>
          <w:bCs/>
          <w:sz w:val="24"/>
          <w:szCs w:val="24"/>
        </w:rPr>
        <w:tab/>
      </w:r>
      <w:bookmarkEnd w:id="3"/>
      <w:r w:rsidRPr="00BC767E">
        <w:rPr>
          <w:rFonts w:ascii="Arial" w:hAnsi="Arial" w:cs="Arial"/>
          <w:bCs/>
          <w:i/>
          <w:iCs/>
          <w:sz w:val="24"/>
          <w:szCs w:val="24"/>
        </w:rPr>
        <w:t>Financiera Nueva Visión</w:t>
      </w:r>
    </w:p>
    <w:p w14:paraId="17F7B8E0" w14:textId="77777777" w:rsidR="00222F2D" w:rsidRPr="004421CE" w:rsidRDefault="00222F2D" w:rsidP="00222F2D">
      <w:pPr>
        <w:tabs>
          <w:tab w:val="left" w:pos="709"/>
        </w:tabs>
        <w:spacing w:after="0" w:line="360" w:lineRule="auto"/>
        <w:jc w:val="both"/>
        <w:rPr>
          <w:rFonts w:ascii="Arial" w:hAnsi="Arial" w:cs="Arial"/>
          <w:bCs/>
          <w:sz w:val="24"/>
          <w:szCs w:val="24"/>
        </w:rPr>
      </w:pPr>
    </w:p>
    <w:p w14:paraId="157C37AE" w14:textId="77777777" w:rsidR="00222F2D" w:rsidRPr="004421CE" w:rsidRDefault="00222F2D" w:rsidP="00222F2D">
      <w:pPr>
        <w:tabs>
          <w:tab w:val="left" w:pos="709"/>
        </w:tabs>
        <w:spacing w:line="360" w:lineRule="auto"/>
        <w:jc w:val="both"/>
        <w:rPr>
          <w:rFonts w:ascii="Arial" w:hAnsi="Arial" w:cs="Arial"/>
          <w:bCs/>
          <w:sz w:val="24"/>
          <w:szCs w:val="24"/>
        </w:rPr>
      </w:pPr>
      <w:r w:rsidRPr="00BC767E">
        <w:rPr>
          <w:rFonts w:ascii="Arial" w:hAnsi="Arial" w:cs="Arial"/>
          <w:bCs/>
          <w:i/>
          <w:iCs/>
          <w:sz w:val="24"/>
          <w:szCs w:val="24"/>
        </w:rPr>
        <w:t>Financiera Nueva Visiòn</w:t>
      </w:r>
      <w:r w:rsidRPr="004421CE">
        <w:rPr>
          <w:rFonts w:ascii="Arial" w:hAnsi="Arial" w:cs="Arial"/>
          <w:bCs/>
          <w:sz w:val="24"/>
          <w:szCs w:val="24"/>
        </w:rPr>
        <w:t xml:space="preserve"> è un’istituzione finanziaria non bancaria regolata dalla SBS. Il suo portafoglio, su cui applica un tasso medio di interesse del 42,50%, è così distribuito per tipologia di cliente e per settore</w:t>
      </w:r>
      <w:r>
        <w:rPr>
          <w:rFonts w:ascii="Arial" w:hAnsi="Arial" w:cs="Arial"/>
          <w:bCs/>
          <w:sz w:val="24"/>
          <w:szCs w:val="24"/>
        </w:rPr>
        <w:t>:</w:t>
      </w:r>
    </w:p>
    <w:p w14:paraId="5970BA91" w14:textId="77777777" w:rsidR="00222F2D" w:rsidRDefault="00222F2D" w:rsidP="00222F2D">
      <w:pPr>
        <w:tabs>
          <w:tab w:val="left" w:pos="709"/>
        </w:tabs>
        <w:spacing w:after="0" w:line="360" w:lineRule="auto"/>
        <w:jc w:val="center"/>
        <w:rPr>
          <w:rFonts w:ascii="Arial" w:hAnsi="Arial" w:cs="Arial"/>
          <w:bCs/>
          <w:sz w:val="24"/>
          <w:szCs w:val="24"/>
        </w:rPr>
      </w:pPr>
      <w:r w:rsidRPr="00BC767E">
        <w:rPr>
          <w:rFonts w:ascii="Arial" w:hAnsi="Arial" w:cs="Arial"/>
          <w:bCs/>
          <w:noProof/>
          <w:sz w:val="24"/>
          <w:szCs w:val="24"/>
        </w:rPr>
        <w:lastRenderedPageBreak/>
        <w:drawing>
          <wp:inline distT="0" distB="0" distL="0" distR="0" wp14:anchorId="65E6D7E7" wp14:editId="63F59BBF">
            <wp:extent cx="5040000" cy="2880000"/>
            <wp:effectExtent l="0" t="0" r="8255" b="0"/>
            <wp:docPr id="56162012" name="Immagine 50" descr="Immagine che contiene testo, schermata, diagramma,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162012" name="Immagine 50" descr="Immagine che contiene testo, schermata, diagramma, Carattere&#10;&#10;Descrizione generata automaticamente"/>
                    <pic:cNvPicPr preferRelativeResize="0">
                      <a:picLocks noChangeAspect="1" noChangeArrowheads="1"/>
                    </pic:cNvPicPr>
                  </pic:nvPicPr>
                  <pic:blipFill rotWithShape="1">
                    <a:blip r:embed="rId162">
                      <a:extLst>
                        <a:ext uri="{28A0092B-C50C-407E-A947-70E740481C1C}">
                          <a14:useLocalDpi xmlns:a14="http://schemas.microsoft.com/office/drawing/2010/main" val="0"/>
                        </a:ext>
                      </a:extLst>
                    </a:blip>
                    <a:srcRect l="3312" r="16344" b="13999"/>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54B23AE5"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6064DEA1" wp14:editId="18BDA414">
            <wp:extent cx="5040000" cy="2880000"/>
            <wp:effectExtent l="0" t="0" r="8255" b="0"/>
            <wp:docPr id="11383482" name="Immagine 51" descr="Immagine che contiene schermata, diagramma, testo,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83482" name="Immagine 51" descr="Immagine che contiene schermata, diagramma, testo, cerchio&#10;&#10;Descrizione generata automaticamente"/>
                    <pic:cNvPicPr preferRelativeResize="0">
                      <a:picLocks noChangeAspect="1" noChangeArrowheads="1"/>
                    </pic:cNvPicPr>
                  </pic:nvPicPr>
                  <pic:blipFill rotWithShape="1">
                    <a:blip r:embed="rId163">
                      <a:extLst>
                        <a:ext uri="{28A0092B-C50C-407E-A947-70E740481C1C}">
                          <a14:useLocalDpi xmlns:a14="http://schemas.microsoft.com/office/drawing/2010/main" val="0"/>
                        </a:ext>
                      </a:extLst>
                    </a:blip>
                    <a:srcRect l="6958" t="2582" r="4420"/>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548A4473" w14:textId="77777777" w:rsidR="00222F2D" w:rsidRDefault="00222F2D" w:rsidP="00222F2D">
      <w:pPr>
        <w:tabs>
          <w:tab w:val="left" w:pos="709"/>
        </w:tabs>
        <w:spacing w:after="0" w:line="360" w:lineRule="auto"/>
        <w:jc w:val="both"/>
        <w:rPr>
          <w:rFonts w:ascii="Arial" w:hAnsi="Arial" w:cs="Arial"/>
          <w:bCs/>
          <w:sz w:val="24"/>
          <w:szCs w:val="24"/>
        </w:rPr>
      </w:pPr>
    </w:p>
    <w:p w14:paraId="5770C0C6" w14:textId="77777777" w:rsidR="00222F2D" w:rsidRDefault="00222F2D" w:rsidP="00222F2D">
      <w:pPr>
        <w:tabs>
          <w:tab w:val="left" w:pos="709"/>
        </w:tabs>
        <w:spacing w:after="0" w:line="360" w:lineRule="auto"/>
        <w:jc w:val="both"/>
        <w:rPr>
          <w:rFonts w:ascii="Arial" w:hAnsi="Arial" w:cs="Arial"/>
          <w:bCs/>
          <w:sz w:val="24"/>
          <w:szCs w:val="24"/>
        </w:rPr>
      </w:pPr>
      <w:r w:rsidRPr="00EA0A48">
        <w:rPr>
          <w:rFonts w:ascii="Arial" w:hAnsi="Arial" w:cs="Arial"/>
          <w:bCs/>
          <w:sz w:val="24"/>
          <w:szCs w:val="24"/>
        </w:rPr>
        <w:t>Per il 2014 l’Istituzione registra un’incidenza del 15,50% del portafoglio rischi sul portafoglio complessivo per crediti con scadenza superiore a 30 giorni e del 8,58% per crediti con scadenza superiore ai 90 giorni. Il tasso di perdita del portafoglio crediti è di 2,78%.</w:t>
      </w:r>
    </w:p>
    <w:p w14:paraId="1BA05355" w14:textId="77777777" w:rsidR="00222F2D" w:rsidRDefault="00222F2D" w:rsidP="00222F2D">
      <w:pPr>
        <w:tabs>
          <w:tab w:val="left" w:pos="709"/>
        </w:tabs>
        <w:spacing w:after="0" w:line="360" w:lineRule="auto"/>
        <w:jc w:val="both"/>
        <w:rPr>
          <w:rFonts w:ascii="Arial" w:hAnsi="Arial" w:cs="Arial"/>
          <w:bCs/>
          <w:sz w:val="24"/>
          <w:szCs w:val="24"/>
        </w:rPr>
      </w:pPr>
      <w:r w:rsidRPr="00EA0A48">
        <w:rPr>
          <w:rFonts w:ascii="Arial" w:hAnsi="Arial" w:cs="Arial"/>
          <w:bCs/>
          <w:sz w:val="24"/>
          <w:szCs w:val="24"/>
        </w:rPr>
        <w:t>Il suo fabbisogno finanziario viene stimato in 25.211.728 dollari</w:t>
      </w:r>
      <w:r>
        <w:rPr>
          <w:rFonts w:ascii="Arial" w:hAnsi="Arial" w:cs="Arial"/>
          <w:bCs/>
          <w:sz w:val="24"/>
          <w:szCs w:val="24"/>
        </w:rPr>
        <w:t>.</w:t>
      </w:r>
    </w:p>
    <w:p w14:paraId="70A9B0D4" w14:textId="77777777" w:rsidR="00222F2D" w:rsidRDefault="00222F2D" w:rsidP="00222F2D">
      <w:pPr>
        <w:tabs>
          <w:tab w:val="left" w:pos="709"/>
        </w:tabs>
        <w:spacing w:after="0" w:line="360" w:lineRule="auto"/>
        <w:jc w:val="both"/>
        <w:rPr>
          <w:rFonts w:ascii="Arial" w:hAnsi="Arial" w:cs="Arial"/>
          <w:bCs/>
          <w:sz w:val="24"/>
          <w:szCs w:val="24"/>
        </w:rPr>
      </w:pPr>
    </w:p>
    <w:p w14:paraId="38F1A3C3"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3E4C41B9" wp14:editId="0E82215D">
            <wp:extent cx="5295900" cy="1546860"/>
            <wp:effectExtent l="0" t="0" r="0" b="0"/>
            <wp:docPr id="1200652159" name="Immagine 54" descr="Immagine che contiene testo, Carattere, linea, num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652159" name="Immagine 54" descr="Immagine che contiene testo, Carattere, linea, numero&#10;&#10;Descrizione generata automaticamente"/>
                    <pic:cNvPicPr>
                      <a:picLocks noChangeAspect="1" noChangeArrowheads="1"/>
                    </pic:cNvPicPr>
                  </pic:nvPicPr>
                  <pic:blipFill rotWithShape="1">
                    <a:blip r:embed="rId164">
                      <a:extLst>
                        <a:ext uri="{28A0092B-C50C-407E-A947-70E740481C1C}">
                          <a14:useLocalDpi xmlns:a14="http://schemas.microsoft.com/office/drawing/2010/main" val="0"/>
                        </a:ext>
                      </a:extLst>
                    </a:blip>
                    <a:srcRect l="1199" t="2831" r="6196" b="15066"/>
                    <a:stretch/>
                  </pic:blipFill>
                  <pic:spPr bwMode="auto">
                    <a:xfrm>
                      <a:off x="0" y="0"/>
                      <a:ext cx="5295900" cy="1546860"/>
                    </a:xfrm>
                    <a:prstGeom prst="rect">
                      <a:avLst/>
                    </a:prstGeom>
                    <a:noFill/>
                    <a:ln>
                      <a:noFill/>
                    </a:ln>
                    <a:extLst>
                      <a:ext uri="{53640926-AAD7-44D8-BBD7-CCE9431645EC}">
                        <a14:shadowObscured xmlns:a14="http://schemas.microsoft.com/office/drawing/2010/main"/>
                      </a:ext>
                    </a:extLst>
                  </pic:spPr>
                </pic:pic>
              </a:graphicData>
            </a:graphic>
          </wp:inline>
        </w:drawing>
      </w:r>
    </w:p>
    <w:p w14:paraId="2924354D" w14:textId="77777777" w:rsidR="00222F2D" w:rsidRPr="004421CE" w:rsidRDefault="00222F2D" w:rsidP="00222F2D">
      <w:pPr>
        <w:tabs>
          <w:tab w:val="left" w:pos="851"/>
        </w:tabs>
        <w:spacing w:after="0" w:line="360" w:lineRule="auto"/>
        <w:jc w:val="both"/>
        <w:rPr>
          <w:rFonts w:ascii="Arial" w:hAnsi="Arial" w:cs="Arial"/>
          <w:bCs/>
          <w:sz w:val="24"/>
          <w:szCs w:val="24"/>
        </w:rPr>
      </w:pPr>
      <w:r w:rsidRPr="004421CE">
        <w:rPr>
          <w:rFonts w:ascii="Arial" w:hAnsi="Arial" w:cs="Arial"/>
          <w:bCs/>
          <w:sz w:val="24"/>
          <w:szCs w:val="24"/>
        </w:rPr>
        <w:lastRenderedPageBreak/>
        <w:t>II.</w:t>
      </w:r>
      <w:r>
        <w:rPr>
          <w:rFonts w:ascii="Arial" w:hAnsi="Arial" w:cs="Arial"/>
          <w:bCs/>
          <w:sz w:val="24"/>
          <w:szCs w:val="24"/>
        </w:rPr>
        <w:t>5.18</w:t>
      </w:r>
      <w:r w:rsidRPr="004421CE">
        <w:rPr>
          <w:rFonts w:ascii="Arial" w:hAnsi="Arial" w:cs="Arial"/>
          <w:bCs/>
          <w:sz w:val="24"/>
          <w:szCs w:val="24"/>
        </w:rPr>
        <w:t>.</w:t>
      </w:r>
      <w:r w:rsidRPr="004421CE">
        <w:rPr>
          <w:rFonts w:ascii="Arial" w:hAnsi="Arial" w:cs="Arial"/>
          <w:bCs/>
          <w:sz w:val="24"/>
          <w:szCs w:val="24"/>
        </w:rPr>
        <w:tab/>
      </w:r>
      <w:r w:rsidRPr="00267908">
        <w:rPr>
          <w:rFonts w:ascii="Arial" w:hAnsi="Arial" w:cs="Arial"/>
          <w:bCs/>
          <w:i/>
          <w:iCs/>
          <w:sz w:val="24"/>
          <w:szCs w:val="24"/>
        </w:rPr>
        <w:t>Financiera Edyficar</w:t>
      </w:r>
    </w:p>
    <w:p w14:paraId="6D1D8D0F" w14:textId="77777777" w:rsidR="00222F2D" w:rsidRPr="004421CE" w:rsidRDefault="00222F2D" w:rsidP="00222F2D">
      <w:pPr>
        <w:tabs>
          <w:tab w:val="left" w:pos="709"/>
        </w:tabs>
        <w:spacing w:after="0" w:line="360" w:lineRule="auto"/>
        <w:jc w:val="both"/>
        <w:rPr>
          <w:rFonts w:ascii="Arial" w:hAnsi="Arial" w:cs="Arial"/>
          <w:bCs/>
          <w:sz w:val="24"/>
          <w:szCs w:val="24"/>
        </w:rPr>
      </w:pPr>
    </w:p>
    <w:p w14:paraId="21B95A3C" w14:textId="77777777" w:rsidR="00222F2D" w:rsidRPr="004421CE" w:rsidRDefault="00222F2D" w:rsidP="00222F2D">
      <w:pPr>
        <w:tabs>
          <w:tab w:val="left" w:pos="709"/>
        </w:tabs>
        <w:spacing w:after="0" w:line="360" w:lineRule="auto"/>
        <w:jc w:val="both"/>
        <w:rPr>
          <w:rFonts w:ascii="Arial" w:hAnsi="Arial" w:cs="Arial"/>
          <w:bCs/>
          <w:sz w:val="24"/>
          <w:szCs w:val="24"/>
        </w:rPr>
      </w:pPr>
      <w:r w:rsidRPr="00267908">
        <w:rPr>
          <w:rFonts w:ascii="Arial" w:hAnsi="Arial" w:cs="Arial"/>
          <w:bCs/>
          <w:i/>
          <w:iCs/>
          <w:sz w:val="24"/>
          <w:szCs w:val="24"/>
        </w:rPr>
        <w:t>Financiera Edyficar</w:t>
      </w:r>
      <w:r w:rsidRPr="004421CE">
        <w:rPr>
          <w:rFonts w:ascii="Arial" w:hAnsi="Arial" w:cs="Arial"/>
          <w:bCs/>
          <w:sz w:val="24"/>
          <w:szCs w:val="24"/>
        </w:rPr>
        <w:t xml:space="preserve"> è un’istituzione finanziaria non bancaria sotto la supervisione della SBS. Il suo portafoglio, su cui applica mediamente un tasso di interesse del 39,23%, è così distribuito per tipologia di cliente e per settore.</w:t>
      </w:r>
    </w:p>
    <w:p w14:paraId="5EC764EB"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3146A761" wp14:editId="7E900FB9">
            <wp:extent cx="5040000" cy="2880000"/>
            <wp:effectExtent l="0" t="0" r="8255" b="0"/>
            <wp:docPr id="1388323225" name="Immagine 55" descr="Immagine che contiene testo, schermata, diagramm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8323225" name="Immagine 55" descr="Immagine che contiene testo, schermata, diagramma, cerchio&#10;&#10;Descrizione generata automaticamente"/>
                    <pic:cNvPicPr preferRelativeResize="0">
                      <a:picLocks noChangeAspect="1" noChangeArrowheads="1"/>
                    </pic:cNvPicPr>
                  </pic:nvPicPr>
                  <pic:blipFill rotWithShape="1">
                    <a:blip r:embed="rId165">
                      <a:extLst>
                        <a:ext uri="{28A0092B-C50C-407E-A947-70E740481C1C}">
                          <a14:useLocalDpi xmlns:a14="http://schemas.microsoft.com/office/drawing/2010/main" val="0"/>
                        </a:ext>
                      </a:extLst>
                    </a:blip>
                    <a:srcRect l="7294" r="13332" b="6452"/>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2778342" w14:textId="77777777" w:rsidR="00222F2D" w:rsidRDefault="00222F2D" w:rsidP="00222F2D">
      <w:pPr>
        <w:tabs>
          <w:tab w:val="left" w:pos="709"/>
        </w:tabs>
        <w:spacing w:after="0" w:line="360" w:lineRule="auto"/>
        <w:rPr>
          <w:rFonts w:ascii="Arial" w:hAnsi="Arial" w:cs="Arial"/>
          <w:bCs/>
          <w:sz w:val="24"/>
          <w:szCs w:val="24"/>
        </w:rPr>
      </w:pPr>
    </w:p>
    <w:p w14:paraId="5DF3466E" w14:textId="77777777" w:rsidR="00222F2D" w:rsidRDefault="00222F2D" w:rsidP="00222F2D">
      <w:pPr>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77B82417" wp14:editId="6E4D782B">
            <wp:extent cx="5040000" cy="2880000"/>
            <wp:effectExtent l="0" t="0" r="8255" b="0"/>
            <wp:docPr id="817500561" name="Immagine 57" descr="Immagine che contiene schermata, diagramma, testo,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7500561" name="Immagine 57" descr="Immagine che contiene schermata, diagramma, testo, cerchio&#10;&#10;Descrizione generata automaticamente"/>
                    <pic:cNvPicPr preferRelativeResize="0">
                      <a:picLocks noChangeAspect="1" noChangeArrowheads="1"/>
                    </pic:cNvPicPr>
                  </pic:nvPicPr>
                  <pic:blipFill rotWithShape="1">
                    <a:blip r:embed="rId166">
                      <a:extLst>
                        <a:ext uri="{28A0092B-C50C-407E-A947-70E740481C1C}">
                          <a14:useLocalDpi xmlns:a14="http://schemas.microsoft.com/office/drawing/2010/main" val="0"/>
                        </a:ext>
                      </a:extLst>
                    </a:blip>
                    <a:srcRect l="6585" t="2456" r="12156" b="5026"/>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58E1C06D" w14:textId="77777777" w:rsidR="00222F2D" w:rsidRDefault="00222F2D" w:rsidP="00222F2D">
      <w:pPr>
        <w:spacing w:after="0" w:line="360" w:lineRule="auto"/>
        <w:rPr>
          <w:rFonts w:ascii="Arial" w:hAnsi="Arial" w:cs="Arial"/>
          <w:bCs/>
          <w:sz w:val="24"/>
          <w:szCs w:val="24"/>
        </w:rPr>
      </w:pPr>
    </w:p>
    <w:p w14:paraId="67A006F6" w14:textId="77777777" w:rsidR="00222F2D" w:rsidRDefault="00222F2D" w:rsidP="00222F2D">
      <w:pPr>
        <w:tabs>
          <w:tab w:val="left" w:pos="709"/>
        </w:tabs>
        <w:spacing w:after="0" w:line="360" w:lineRule="auto"/>
        <w:jc w:val="both"/>
        <w:rPr>
          <w:rFonts w:ascii="Arial" w:hAnsi="Arial" w:cs="Arial"/>
          <w:bCs/>
          <w:sz w:val="24"/>
          <w:szCs w:val="24"/>
        </w:rPr>
      </w:pPr>
      <w:r w:rsidRPr="004421CE">
        <w:rPr>
          <w:rFonts w:ascii="Arial" w:hAnsi="Arial" w:cs="Arial"/>
          <w:bCs/>
          <w:sz w:val="24"/>
          <w:szCs w:val="24"/>
        </w:rPr>
        <w:t>Al 31/12/2013 la MFI registra un’incidenza del 4,39% del portafoglio rischi sul portafoglio complessivo per crediti con scadenza superiore a 30 giorni e del 3,21% per crediti con scadenza superiore ai 90 giorni. Il tasso di perdita del portafoglio crediti è di 2,16%.</w:t>
      </w:r>
    </w:p>
    <w:p w14:paraId="013804C1" w14:textId="77777777" w:rsidR="00222F2D" w:rsidRDefault="00222F2D" w:rsidP="00222F2D">
      <w:pPr>
        <w:tabs>
          <w:tab w:val="left" w:pos="709"/>
        </w:tabs>
        <w:spacing w:line="360" w:lineRule="auto"/>
        <w:jc w:val="both"/>
        <w:rPr>
          <w:rFonts w:ascii="Arial" w:hAnsi="Arial" w:cs="Arial"/>
          <w:bCs/>
          <w:sz w:val="24"/>
          <w:szCs w:val="24"/>
        </w:rPr>
      </w:pPr>
      <w:r w:rsidRPr="004421CE">
        <w:rPr>
          <w:rFonts w:ascii="Arial" w:hAnsi="Arial" w:cs="Arial"/>
          <w:bCs/>
          <w:sz w:val="24"/>
          <w:szCs w:val="24"/>
        </w:rPr>
        <w:t>Il suo fabbisogno finanziario netto è stimato in 372.734.992 dollari.</w:t>
      </w:r>
    </w:p>
    <w:p w14:paraId="5D1B1D7A"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2D080687" wp14:editId="27EF3B17">
            <wp:extent cx="5040000" cy="1260000"/>
            <wp:effectExtent l="0" t="0" r="8255" b="0"/>
            <wp:docPr id="1764649878" name="Immagine 58" descr="Immagine che contiene testo, Carattere, linea,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4649878" name="Immagine 58" descr="Immagine che contiene testo, Carattere, linea, numero&#10;&#10;Descrizione generata automaticamente"/>
                    <pic:cNvPicPr preferRelativeResize="0">
                      <a:picLocks noChangeAspect="1" noChangeArrowheads="1"/>
                    </pic:cNvPicPr>
                  </pic:nvPicPr>
                  <pic:blipFill rotWithShape="1">
                    <a:blip r:embed="rId167">
                      <a:extLst>
                        <a:ext uri="{28A0092B-C50C-407E-A947-70E740481C1C}">
                          <a14:useLocalDpi xmlns:a14="http://schemas.microsoft.com/office/drawing/2010/main" val="0"/>
                        </a:ext>
                      </a:extLst>
                    </a:blip>
                    <a:srcRect l="2830" t="9514" r="4809" b="7892"/>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7446C874" w14:textId="77777777" w:rsidR="00222F2D" w:rsidRDefault="00222F2D" w:rsidP="00222F2D">
      <w:pPr>
        <w:tabs>
          <w:tab w:val="left" w:pos="709"/>
        </w:tabs>
        <w:spacing w:after="0" w:line="360" w:lineRule="auto"/>
        <w:jc w:val="both"/>
        <w:rPr>
          <w:rFonts w:ascii="Arial" w:hAnsi="Arial" w:cs="Arial"/>
          <w:bCs/>
          <w:sz w:val="24"/>
          <w:szCs w:val="24"/>
        </w:rPr>
      </w:pPr>
    </w:p>
    <w:p w14:paraId="5A850E76" w14:textId="77777777" w:rsidR="00222F2D" w:rsidRPr="004421CE" w:rsidRDefault="00222F2D" w:rsidP="00222F2D">
      <w:pPr>
        <w:tabs>
          <w:tab w:val="left" w:pos="851"/>
        </w:tabs>
        <w:spacing w:after="0" w:line="360" w:lineRule="auto"/>
        <w:jc w:val="both"/>
        <w:rPr>
          <w:rFonts w:ascii="Arial" w:hAnsi="Arial" w:cs="Arial"/>
          <w:bCs/>
          <w:sz w:val="24"/>
          <w:szCs w:val="24"/>
        </w:rPr>
      </w:pPr>
      <w:r w:rsidRPr="004421CE">
        <w:rPr>
          <w:rFonts w:ascii="Arial" w:hAnsi="Arial" w:cs="Arial"/>
          <w:bCs/>
          <w:sz w:val="24"/>
          <w:szCs w:val="24"/>
        </w:rPr>
        <w:t>II.</w:t>
      </w:r>
      <w:r>
        <w:rPr>
          <w:rFonts w:ascii="Arial" w:hAnsi="Arial" w:cs="Arial"/>
          <w:bCs/>
          <w:sz w:val="24"/>
          <w:szCs w:val="24"/>
        </w:rPr>
        <w:t>5.19</w:t>
      </w:r>
      <w:r w:rsidRPr="004421CE">
        <w:rPr>
          <w:rFonts w:ascii="Arial" w:hAnsi="Arial" w:cs="Arial"/>
          <w:bCs/>
          <w:sz w:val="24"/>
          <w:szCs w:val="24"/>
        </w:rPr>
        <w:t>.</w:t>
      </w:r>
      <w:r w:rsidRPr="004421CE">
        <w:rPr>
          <w:rFonts w:ascii="Arial" w:hAnsi="Arial" w:cs="Arial"/>
          <w:bCs/>
          <w:sz w:val="24"/>
          <w:szCs w:val="24"/>
        </w:rPr>
        <w:tab/>
      </w:r>
      <w:r w:rsidRPr="00D63AFC">
        <w:rPr>
          <w:rFonts w:ascii="Arial" w:hAnsi="Arial" w:cs="Arial"/>
          <w:bCs/>
          <w:i/>
          <w:iCs/>
          <w:sz w:val="24"/>
          <w:szCs w:val="24"/>
        </w:rPr>
        <w:t>Coopac Norandino</w:t>
      </w:r>
    </w:p>
    <w:p w14:paraId="3D88BCAE" w14:textId="77777777" w:rsidR="00222F2D" w:rsidRPr="004421CE" w:rsidRDefault="00222F2D" w:rsidP="00222F2D">
      <w:pPr>
        <w:tabs>
          <w:tab w:val="left" w:pos="709"/>
        </w:tabs>
        <w:spacing w:after="0" w:line="360" w:lineRule="auto"/>
        <w:jc w:val="both"/>
        <w:rPr>
          <w:rFonts w:ascii="Arial" w:hAnsi="Arial" w:cs="Arial"/>
          <w:bCs/>
          <w:sz w:val="24"/>
          <w:szCs w:val="24"/>
        </w:rPr>
      </w:pPr>
    </w:p>
    <w:p w14:paraId="41BB23B2" w14:textId="77777777" w:rsidR="00222F2D" w:rsidRDefault="00222F2D" w:rsidP="00222F2D">
      <w:pPr>
        <w:tabs>
          <w:tab w:val="left" w:pos="709"/>
        </w:tabs>
        <w:spacing w:after="0" w:line="360" w:lineRule="auto"/>
        <w:jc w:val="both"/>
        <w:rPr>
          <w:rFonts w:ascii="Arial" w:hAnsi="Arial" w:cs="Arial"/>
          <w:bCs/>
          <w:sz w:val="24"/>
          <w:szCs w:val="24"/>
        </w:rPr>
      </w:pPr>
      <w:r w:rsidRPr="00D63AFC">
        <w:rPr>
          <w:rFonts w:ascii="Arial" w:hAnsi="Arial" w:cs="Arial"/>
          <w:bCs/>
          <w:i/>
          <w:iCs/>
          <w:sz w:val="24"/>
          <w:szCs w:val="24"/>
        </w:rPr>
        <w:t>Coopac Norandino</w:t>
      </w:r>
      <w:r w:rsidRPr="004421CE">
        <w:rPr>
          <w:rFonts w:ascii="Arial" w:hAnsi="Arial" w:cs="Arial"/>
          <w:bCs/>
          <w:sz w:val="24"/>
          <w:szCs w:val="24"/>
        </w:rPr>
        <w:t xml:space="preserve"> è una cooperativa senza scopo di lucro regolamentata dalla Federación Nacional de Cooperativas de Ahorro y Crédito del Perú (FENACREP). Il suo portafoglio, su cui applica un tasso medio di interesse del 30%</w:t>
      </w:r>
      <w:r>
        <w:rPr>
          <w:rFonts w:ascii="Arial" w:hAnsi="Arial" w:cs="Arial"/>
          <w:bCs/>
          <w:sz w:val="24"/>
          <w:szCs w:val="24"/>
        </w:rPr>
        <w:t>.</w:t>
      </w:r>
      <w:r w:rsidRPr="004421CE">
        <w:rPr>
          <w:rFonts w:ascii="Arial" w:hAnsi="Arial" w:cs="Arial"/>
          <w:bCs/>
          <w:sz w:val="24"/>
          <w:szCs w:val="24"/>
        </w:rPr>
        <w:t xml:space="preserve"> Il tasso di perdita del portafoglio crediti si attesta al 6,76%. Il suo fabbisogno finanziario netto è stimato in 3.098.717 dollari.</w:t>
      </w:r>
    </w:p>
    <w:p w14:paraId="43553E41" w14:textId="77777777" w:rsidR="00222F2D" w:rsidRPr="004421CE" w:rsidRDefault="00222F2D" w:rsidP="00222F2D">
      <w:pPr>
        <w:tabs>
          <w:tab w:val="left" w:pos="709"/>
        </w:tabs>
        <w:spacing w:after="0" w:line="360" w:lineRule="auto"/>
        <w:jc w:val="both"/>
        <w:rPr>
          <w:rFonts w:ascii="Arial" w:hAnsi="Arial" w:cs="Arial"/>
          <w:bCs/>
          <w:sz w:val="24"/>
          <w:szCs w:val="24"/>
        </w:rPr>
      </w:pPr>
    </w:p>
    <w:p w14:paraId="38420E3E"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1FBAB73A" wp14:editId="5913E5B0">
            <wp:extent cx="5040000" cy="1260000"/>
            <wp:effectExtent l="0" t="0" r="8255" b="0"/>
            <wp:docPr id="30413569" name="Immagine 59" descr="Immagine che contiene testo, Carattere, linea, numer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413569" name="Immagine 59" descr="Immagine che contiene testo, Carattere, linea, numero&#10;&#10;Descrizione generata automaticamente"/>
                    <pic:cNvPicPr preferRelativeResize="0">
                      <a:picLocks noChangeAspect="1" noChangeArrowheads="1"/>
                    </pic:cNvPicPr>
                  </pic:nvPicPr>
                  <pic:blipFill rotWithShape="1">
                    <a:blip r:embed="rId168">
                      <a:extLst>
                        <a:ext uri="{28A0092B-C50C-407E-A947-70E740481C1C}">
                          <a14:useLocalDpi xmlns:a14="http://schemas.microsoft.com/office/drawing/2010/main" val="0"/>
                        </a:ext>
                      </a:extLst>
                    </a:blip>
                    <a:srcRect l="4094" t="12339" r="8017" b="4875"/>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59293710" w14:textId="77777777" w:rsidR="00222F2D" w:rsidRDefault="00222F2D" w:rsidP="00222F2D">
      <w:pPr>
        <w:tabs>
          <w:tab w:val="left" w:pos="709"/>
        </w:tabs>
        <w:spacing w:after="0" w:line="360" w:lineRule="auto"/>
        <w:rPr>
          <w:rFonts w:ascii="Arial" w:hAnsi="Arial" w:cs="Arial"/>
          <w:bCs/>
          <w:sz w:val="24"/>
          <w:szCs w:val="24"/>
        </w:rPr>
      </w:pPr>
    </w:p>
    <w:p w14:paraId="1D325926" w14:textId="77777777" w:rsidR="00222F2D" w:rsidRPr="0007503F" w:rsidRDefault="00222F2D" w:rsidP="00222F2D">
      <w:pPr>
        <w:tabs>
          <w:tab w:val="left" w:pos="851"/>
        </w:tabs>
        <w:spacing w:after="0" w:line="360" w:lineRule="auto"/>
        <w:jc w:val="both"/>
        <w:rPr>
          <w:rFonts w:ascii="Arial" w:hAnsi="Arial" w:cs="Arial"/>
          <w:bCs/>
          <w:sz w:val="24"/>
          <w:szCs w:val="24"/>
        </w:rPr>
      </w:pPr>
      <w:r w:rsidRPr="0007503F">
        <w:rPr>
          <w:rFonts w:ascii="Arial" w:hAnsi="Arial" w:cs="Arial"/>
          <w:bCs/>
          <w:sz w:val="24"/>
          <w:szCs w:val="24"/>
        </w:rPr>
        <w:t>II.</w:t>
      </w:r>
      <w:r>
        <w:rPr>
          <w:rFonts w:ascii="Arial" w:hAnsi="Arial" w:cs="Arial"/>
          <w:bCs/>
          <w:sz w:val="24"/>
          <w:szCs w:val="24"/>
        </w:rPr>
        <w:t>5.20</w:t>
      </w:r>
      <w:r w:rsidRPr="0007503F">
        <w:rPr>
          <w:rFonts w:ascii="Arial" w:hAnsi="Arial" w:cs="Arial"/>
          <w:bCs/>
          <w:sz w:val="24"/>
          <w:szCs w:val="24"/>
        </w:rPr>
        <w:t>.</w:t>
      </w:r>
      <w:r w:rsidRPr="0007503F">
        <w:rPr>
          <w:rFonts w:ascii="Arial" w:hAnsi="Arial" w:cs="Arial"/>
          <w:bCs/>
          <w:sz w:val="24"/>
          <w:szCs w:val="24"/>
        </w:rPr>
        <w:tab/>
      </w:r>
      <w:r w:rsidRPr="006C701F">
        <w:rPr>
          <w:rFonts w:ascii="Arial" w:hAnsi="Arial" w:cs="Arial"/>
          <w:bCs/>
          <w:i/>
          <w:iCs/>
          <w:sz w:val="24"/>
          <w:szCs w:val="24"/>
        </w:rPr>
        <w:t>Manuela Ramos</w:t>
      </w:r>
    </w:p>
    <w:p w14:paraId="2F92D5B5" w14:textId="77777777" w:rsidR="00222F2D" w:rsidRPr="0007503F" w:rsidRDefault="00222F2D" w:rsidP="00222F2D">
      <w:pPr>
        <w:tabs>
          <w:tab w:val="left" w:pos="709"/>
        </w:tabs>
        <w:spacing w:after="0" w:line="360" w:lineRule="auto"/>
        <w:jc w:val="both"/>
        <w:rPr>
          <w:rFonts w:ascii="Arial" w:hAnsi="Arial" w:cs="Arial"/>
          <w:bCs/>
          <w:sz w:val="24"/>
          <w:szCs w:val="24"/>
        </w:rPr>
      </w:pPr>
    </w:p>
    <w:p w14:paraId="2F1D3E7F" w14:textId="77777777" w:rsidR="00222F2D" w:rsidRDefault="00222F2D" w:rsidP="00222F2D">
      <w:pPr>
        <w:tabs>
          <w:tab w:val="left" w:pos="709"/>
        </w:tabs>
        <w:spacing w:after="0" w:line="360" w:lineRule="auto"/>
        <w:jc w:val="both"/>
        <w:rPr>
          <w:rFonts w:ascii="Arial" w:hAnsi="Arial" w:cs="Arial"/>
          <w:bCs/>
          <w:sz w:val="24"/>
          <w:szCs w:val="24"/>
        </w:rPr>
      </w:pPr>
      <w:r w:rsidRPr="006C701F">
        <w:rPr>
          <w:rFonts w:ascii="Arial" w:hAnsi="Arial" w:cs="Arial"/>
          <w:bCs/>
          <w:i/>
          <w:iCs/>
          <w:sz w:val="24"/>
          <w:szCs w:val="24"/>
        </w:rPr>
        <w:t>Manuela Ramos</w:t>
      </w:r>
      <w:r w:rsidRPr="0007503F">
        <w:rPr>
          <w:rFonts w:ascii="Arial" w:hAnsi="Arial" w:cs="Arial"/>
          <w:bCs/>
          <w:sz w:val="24"/>
          <w:szCs w:val="24"/>
        </w:rPr>
        <w:t xml:space="preserve"> è un’organizzazione non governativa senza scopo di lucro. Contribuisce all'accesso delle donne ai servizi finanziari e non finanziari, al fine di sviluppare le loro iniziative economiche e i loro progetti di imprenditoria.</w:t>
      </w:r>
    </w:p>
    <w:p w14:paraId="0FF35B64" w14:textId="77777777" w:rsidR="00222F2D" w:rsidRPr="0007503F" w:rsidRDefault="00222F2D" w:rsidP="00222F2D">
      <w:pPr>
        <w:tabs>
          <w:tab w:val="left" w:pos="709"/>
        </w:tabs>
        <w:spacing w:after="0" w:line="360" w:lineRule="auto"/>
        <w:jc w:val="both"/>
        <w:rPr>
          <w:rFonts w:ascii="Arial" w:hAnsi="Arial" w:cs="Arial"/>
          <w:bCs/>
          <w:sz w:val="24"/>
          <w:szCs w:val="24"/>
        </w:rPr>
      </w:pPr>
      <w:r w:rsidRPr="0007503F">
        <w:rPr>
          <w:rFonts w:ascii="Arial" w:hAnsi="Arial" w:cs="Arial"/>
          <w:bCs/>
          <w:sz w:val="24"/>
          <w:szCs w:val="24"/>
        </w:rPr>
        <w:t>Il suo portafoglio è così distribuito per tipologia di cliente e per settore</w:t>
      </w:r>
      <w:r>
        <w:rPr>
          <w:rFonts w:ascii="Arial" w:hAnsi="Arial" w:cs="Arial"/>
          <w:bCs/>
          <w:sz w:val="24"/>
          <w:szCs w:val="24"/>
        </w:rPr>
        <w:t>:</w:t>
      </w:r>
    </w:p>
    <w:p w14:paraId="0605C939"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6B5F84ED" wp14:editId="4A7B58D4">
            <wp:extent cx="5040000" cy="2880000"/>
            <wp:effectExtent l="0" t="0" r="8255" b="0"/>
            <wp:docPr id="2138842567" name="Immagine 60" descr="Immagine che contiene diagramma, schermata, testo,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8842567" name="Immagine 60" descr="Immagine che contiene diagramma, schermata, testo, Carattere&#10;&#10;Descrizione generata automaticamente"/>
                    <pic:cNvPicPr preferRelativeResize="0">
                      <a:picLocks noChangeAspect="1" noChangeArrowheads="1"/>
                    </pic:cNvPicPr>
                  </pic:nvPicPr>
                  <pic:blipFill rotWithShape="1">
                    <a:blip r:embed="rId169">
                      <a:extLst>
                        <a:ext uri="{28A0092B-C50C-407E-A947-70E740481C1C}">
                          <a14:useLocalDpi xmlns:a14="http://schemas.microsoft.com/office/drawing/2010/main" val="0"/>
                        </a:ext>
                      </a:extLst>
                    </a:blip>
                    <a:srcRect l="5932" t="7795" r="5076"/>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27054489" w14:textId="77777777" w:rsidR="00222F2D" w:rsidRDefault="00222F2D" w:rsidP="00222F2D">
      <w:pPr>
        <w:tabs>
          <w:tab w:val="left" w:pos="709"/>
        </w:tabs>
        <w:spacing w:after="0" w:line="360" w:lineRule="auto"/>
        <w:jc w:val="both"/>
        <w:rPr>
          <w:rFonts w:ascii="Arial" w:hAnsi="Arial" w:cs="Arial"/>
          <w:bCs/>
          <w:sz w:val="24"/>
          <w:szCs w:val="24"/>
        </w:rPr>
      </w:pPr>
    </w:p>
    <w:p w14:paraId="1022F16C" w14:textId="77777777" w:rsidR="00222F2D" w:rsidRDefault="00222F2D" w:rsidP="00222F2D">
      <w:pPr>
        <w:spacing w:after="0" w:line="360" w:lineRule="auto"/>
        <w:jc w:val="both"/>
        <w:rPr>
          <w:rFonts w:ascii="Arial" w:hAnsi="Arial" w:cs="Arial"/>
          <w:bCs/>
          <w:sz w:val="24"/>
          <w:szCs w:val="24"/>
        </w:rPr>
      </w:pPr>
      <w:r w:rsidRPr="0007503F">
        <w:rPr>
          <w:rFonts w:ascii="Arial" w:hAnsi="Arial" w:cs="Arial"/>
          <w:bCs/>
          <w:sz w:val="24"/>
          <w:szCs w:val="24"/>
        </w:rPr>
        <w:t>Nel 2013 la MFI registra un’incidenza del 0,11% del portafoglio rischi sul portafoglio complessivo per crediti con scadenza superiore a 30 giorni e del 0,08% per crediti con scadenza superiore ai 90 giorni. Il tasso di perdita del portafoglio crediti è praticamente nullo. Il suo fabbisogno finanziario netto è stimato in 2.704.774 dollari.</w:t>
      </w:r>
    </w:p>
    <w:p w14:paraId="279471CF" w14:textId="77777777" w:rsidR="00222F2D" w:rsidRPr="0007503F" w:rsidRDefault="00222F2D" w:rsidP="00222F2D">
      <w:pPr>
        <w:spacing w:after="0" w:line="360" w:lineRule="auto"/>
        <w:jc w:val="both"/>
        <w:rPr>
          <w:rFonts w:ascii="Arial" w:hAnsi="Arial" w:cs="Arial"/>
          <w:bCs/>
          <w:sz w:val="24"/>
          <w:szCs w:val="24"/>
        </w:rPr>
      </w:pPr>
    </w:p>
    <w:p w14:paraId="04DEE72C"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790BAA08" wp14:editId="4F87001F">
            <wp:extent cx="5040000" cy="1260000"/>
            <wp:effectExtent l="0" t="0" r="8255" b="0"/>
            <wp:docPr id="189109383" name="Immagine 61" descr="Immagine che contiene testo, schermata, linea, Carattere&#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109383" name="Immagine 61" descr="Immagine che contiene testo, schermata, linea, Carattere&#10;&#10;Descrizione generata automaticamente"/>
                    <pic:cNvPicPr preferRelativeResize="0">
                      <a:picLocks noChangeAspect="1" noChangeArrowheads="1"/>
                    </pic:cNvPicPr>
                  </pic:nvPicPr>
                  <pic:blipFill rotWithShape="1">
                    <a:blip r:embed="rId170">
                      <a:extLst>
                        <a:ext uri="{28A0092B-C50C-407E-A947-70E740481C1C}">
                          <a14:useLocalDpi xmlns:a14="http://schemas.microsoft.com/office/drawing/2010/main" val="0"/>
                        </a:ext>
                      </a:extLst>
                    </a:blip>
                    <a:srcRect l="1392" t="7910" r="2296" b="12194"/>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765735B5" w14:textId="77777777" w:rsidR="00222F2D" w:rsidRDefault="00222F2D" w:rsidP="00222F2D">
      <w:pPr>
        <w:tabs>
          <w:tab w:val="left" w:pos="709"/>
        </w:tabs>
        <w:spacing w:after="0" w:line="360" w:lineRule="auto"/>
        <w:rPr>
          <w:rFonts w:ascii="Arial" w:hAnsi="Arial" w:cs="Arial"/>
          <w:bCs/>
          <w:sz w:val="24"/>
          <w:szCs w:val="24"/>
        </w:rPr>
      </w:pPr>
    </w:p>
    <w:p w14:paraId="0AB45FD6" w14:textId="77777777" w:rsidR="00222F2D" w:rsidRDefault="00222F2D" w:rsidP="00222F2D">
      <w:pPr>
        <w:tabs>
          <w:tab w:val="left" w:pos="709"/>
          <w:tab w:val="left" w:pos="851"/>
        </w:tabs>
        <w:spacing w:after="0" w:line="360" w:lineRule="auto"/>
        <w:jc w:val="both"/>
        <w:rPr>
          <w:rFonts w:ascii="Arial" w:hAnsi="Arial" w:cs="Arial"/>
          <w:bCs/>
          <w:i/>
          <w:iCs/>
          <w:sz w:val="24"/>
          <w:szCs w:val="24"/>
        </w:rPr>
      </w:pPr>
      <w:r w:rsidRPr="0007503F">
        <w:rPr>
          <w:rFonts w:ascii="Arial" w:hAnsi="Arial" w:cs="Arial"/>
          <w:bCs/>
          <w:sz w:val="24"/>
          <w:szCs w:val="24"/>
        </w:rPr>
        <w:t>II.</w:t>
      </w:r>
      <w:r>
        <w:rPr>
          <w:rFonts w:ascii="Arial" w:hAnsi="Arial" w:cs="Arial"/>
          <w:bCs/>
          <w:sz w:val="24"/>
          <w:szCs w:val="24"/>
        </w:rPr>
        <w:t>5.21</w:t>
      </w:r>
      <w:r w:rsidRPr="0007503F">
        <w:rPr>
          <w:rFonts w:ascii="Arial" w:hAnsi="Arial" w:cs="Arial"/>
          <w:bCs/>
          <w:sz w:val="24"/>
          <w:szCs w:val="24"/>
        </w:rPr>
        <w:t>.</w:t>
      </w:r>
      <w:r w:rsidRPr="0007503F">
        <w:rPr>
          <w:rFonts w:ascii="Arial" w:hAnsi="Arial" w:cs="Arial"/>
          <w:bCs/>
          <w:sz w:val="24"/>
          <w:szCs w:val="24"/>
        </w:rPr>
        <w:tab/>
      </w:r>
      <w:r w:rsidRPr="007B182E">
        <w:rPr>
          <w:rFonts w:ascii="Arial" w:hAnsi="Arial" w:cs="Arial"/>
          <w:bCs/>
          <w:i/>
          <w:iCs/>
          <w:sz w:val="24"/>
          <w:szCs w:val="24"/>
        </w:rPr>
        <w:t>Adra Perù</w:t>
      </w:r>
    </w:p>
    <w:p w14:paraId="44CD4A9E" w14:textId="77777777" w:rsidR="00222F2D" w:rsidRPr="0007503F" w:rsidRDefault="00222F2D" w:rsidP="00222F2D">
      <w:pPr>
        <w:tabs>
          <w:tab w:val="left" w:pos="709"/>
        </w:tabs>
        <w:spacing w:after="0" w:line="360" w:lineRule="auto"/>
        <w:jc w:val="both"/>
        <w:rPr>
          <w:rFonts w:ascii="Arial" w:hAnsi="Arial" w:cs="Arial"/>
          <w:bCs/>
          <w:sz w:val="24"/>
          <w:szCs w:val="24"/>
        </w:rPr>
      </w:pPr>
    </w:p>
    <w:p w14:paraId="12B459E1" w14:textId="77777777" w:rsidR="00222F2D" w:rsidRPr="0007503F" w:rsidRDefault="00222F2D" w:rsidP="00222F2D">
      <w:pPr>
        <w:tabs>
          <w:tab w:val="left" w:pos="709"/>
        </w:tabs>
        <w:spacing w:after="0" w:line="360" w:lineRule="auto"/>
        <w:jc w:val="both"/>
        <w:rPr>
          <w:rFonts w:ascii="Arial" w:hAnsi="Arial" w:cs="Arial"/>
          <w:bCs/>
          <w:sz w:val="24"/>
          <w:szCs w:val="24"/>
        </w:rPr>
      </w:pPr>
      <w:r w:rsidRPr="007B182E">
        <w:rPr>
          <w:rFonts w:ascii="Arial" w:hAnsi="Arial" w:cs="Arial"/>
          <w:bCs/>
          <w:i/>
          <w:iCs/>
          <w:sz w:val="24"/>
          <w:szCs w:val="24"/>
        </w:rPr>
        <w:t>Adra Perù</w:t>
      </w:r>
      <w:r w:rsidRPr="0007503F">
        <w:rPr>
          <w:rFonts w:ascii="Arial" w:hAnsi="Arial" w:cs="Arial"/>
          <w:bCs/>
          <w:sz w:val="24"/>
          <w:szCs w:val="24"/>
        </w:rPr>
        <w:t xml:space="preserve"> è un’organizzazione non governativa senza fine di lucro impegnata, principalmente, in progetti di sviluppo sostenibile.</w:t>
      </w:r>
    </w:p>
    <w:p w14:paraId="2BE8D558" w14:textId="77777777" w:rsidR="00222F2D" w:rsidRDefault="00222F2D" w:rsidP="00222F2D">
      <w:pPr>
        <w:tabs>
          <w:tab w:val="left" w:pos="709"/>
        </w:tabs>
        <w:spacing w:after="0" w:line="360" w:lineRule="auto"/>
        <w:jc w:val="both"/>
        <w:rPr>
          <w:rFonts w:ascii="Arial" w:hAnsi="Arial" w:cs="Arial"/>
          <w:bCs/>
          <w:sz w:val="24"/>
          <w:szCs w:val="24"/>
        </w:rPr>
      </w:pPr>
      <w:r w:rsidRPr="0007503F">
        <w:rPr>
          <w:rFonts w:ascii="Arial" w:hAnsi="Arial" w:cs="Arial"/>
          <w:bCs/>
          <w:sz w:val="24"/>
          <w:szCs w:val="24"/>
        </w:rPr>
        <w:t>Il suo portafoglio è così distribuito per tipologia di cliente e per settore</w:t>
      </w:r>
      <w:r>
        <w:rPr>
          <w:rFonts w:ascii="Arial" w:hAnsi="Arial" w:cs="Arial"/>
          <w:bCs/>
          <w:sz w:val="24"/>
          <w:szCs w:val="24"/>
        </w:rPr>
        <w:t>:</w:t>
      </w:r>
    </w:p>
    <w:p w14:paraId="1E4D6B2F"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091C91FD" wp14:editId="28193987">
            <wp:extent cx="5040000" cy="2880000"/>
            <wp:effectExtent l="0" t="0" r="8255" b="0"/>
            <wp:docPr id="812644980" name="Immagine 62" descr="Immagine che contiene diagramma, testo, schermata, cerchi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2644980" name="Immagine 62" descr="Immagine che contiene diagramma, testo, schermata, cerchio&#10;&#10;Descrizione generata automaticamente"/>
                    <pic:cNvPicPr preferRelativeResize="0">
                      <a:picLocks noChangeAspect="1" noChangeArrowheads="1"/>
                    </pic:cNvPicPr>
                  </pic:nvPicPr>
                  <pic:blipFill rotWithShape="1">
                    <a:blip r:embed="rId171">
                      <a:extLst>
                        <a:ext uri="{28A0092B-C50C-407E-A947-70E740481C1C}">
                          <a14:useLocalDpi xmlns:a14="http://schemas.microsoft.com/office/drawing/2010/main" val="0"/>
                        </a:ext>
                      </a:extLst>
                    </a:blip>
                    <a:srcRect l="3653" t="1" r="6588" b="3661"/>
                    <a:stretch/>
                  </pic:blipFill>
                  <pic:spPr bwMode="auto">
                    <a:xfrm>
                      <a:off x="0" y="0"/>
                      <a:ext cx="5040000" cy="2880000"/>
                    </a:xfrm>
                    <a:prstGeom prst="rect">
                      <a:avLst/>
                    </a:prstGeom>
                    <a:noFill/>
                    <a:ln>
                      <a:noFill/>
                    </a:ln>
                    <a:extLst>
                      <a:ext uri="{53640926-AAD7-44D8-BBD7-CCE9431645EC}">
                        <a14:shadowObscured xmlns:a14="http://schemas.microsoft.com/office/drawing/2010/main"/>
                      </a:ext>
                    </a:extLst>
                  </pic:spPr>
                </pic:pic>
              </a:graphicData>
            </a:graphic>
          </wp:inline>
        </w:drawing>
      </w:r>
    </w:p>
    <w:p w14:paraId="1B15B83A" w14:textId="77777777" w:rsidR="00222F2D" w:rsidRDefault="00222F2D" w:rsidP="00222F2D">
      <w:pPr>
        <w:tabs>
          <w:tab w:val="left" w:pos="709"/>
        </w:tabs>
        <w:spacing w:after="0" w:line="360" w:lineRule="auto"/>
        <w:jc w:val="both"/>
        <w:rPr>
          <w:rFonts w:ascii="Arial" w:hAnsi="Arial" w:cs="Arial"/>
          <w:bCs/>
          <w:sz w:val="24"/>
          <w:szCs w:val="24"/>
        </w:rPr>
      </w:pPr>
    </w:p>
    <w:p w14:paraId="2B494DDB" w14:textId="77777777" w:rsidR="00222F2D" w:rsidRDefault="00222F2D" w:rsidP="00222F2D">
      <w:pPr>
        <w:spacing w:after="0" w:line="360" w:lineRule="auto"/>
        <w:jc w:val="center"/>
        <w:rPr>
          <w:rFonts w:ascii="Arial" w:hAnsi="Arial" w:cs="Arial"/>
          <w:bCs/>
          <w:sz w:val="24"/>
          <w:szCs w:val="24"/>
        </w:rPr>
      </w:pPr>
      <w:r w:rsidRPr="0007503F">
        <w:rPr>
          <w:rFonts w:ascii="Arial" w:hAnsi="Arial" w:cs="Arial"/>
          <w:bCs/>
          <w:sz w:val="24"/>
          <w:szCs w:val="24"/>
        </w:rPr>
        <w:t>Nel 2013 Adra registra un’incidenza praticamente nulla del portafoglio rischi sul portafoglio complessivo per crediti con scadenza superiore a 30 giorni e per crediti con scadenza superiore ai 90 giorni. Il tasso di perdita del portafoglio crediti è dello 0,22%. Il suo fabbisogno finanziario netto viene stimato in 1,670.815 dollari.</w:t>
      </w:r>
    </w:p>
    <w:p w14:paraId="363C9AA8" w14:textId="77777777" w:rsidR="00222F2D" w:rsidRPr="0007503F" w:rsidRDefault="00222F2D" w:rsidP="00222F2D">
      <w:pPr>
        <w:spacing w:after="0" w:line="360" w:lineRule="auto"/>
        <w:jc w:val="both"/>
        <w:rPr>
          <w:rFonts w:ascii="Arial" w:hAnsi="Arial" w:cs="Arial"/>
          <w:bCs/>
          <w:sz w:val="24"/>
          <w:szCs w:val="24"/>
        </w:rPr>
      </w:pPr>
    </w:p>
    <w:p w14:paraId="4E05FF8A" w14:textId="77777777" w:rsidR="00222F2D" w:rsidRDefault="00222F2D" w:rsidP="00222F2D">
      <w:pPr>
        <w:tabs>
          <w:tab w:val="left" w:pos="709"/>
        </w:tabs>
        <w:spacing w:after="0" w:line="360" w:lineRule="auto"/>
        <w:jc w:val="center"/>
        <w:rPr>
          <w:rFonts w:ascii="Arial" w:hAnsi="Arial" w:cs="Arial"/>
          <w:bCs/>
          <w:sz w:val="24"/>
          <w:szCs w:val="24"/>
        </w:rPr>
      </w:pPr>
      <w:r>
        <w:rPr>
          <w:rFonts w:ascii="Arial" w:hAnsi="Arial" w:cs="Arial"/>
          <w:bCs/>
          <w:noProof/>
          <w:sz w:val="24"/>
          <w:szCs w:val="24"/>
        </w:rPr>
        <w:drawing>
          <wp:inline distT="0" distB="0" distL="0" distR="0" wp14:anchorId="6AC0C6BC" wp14:editId="0094FA36">
            <wp:extent cx="5040000" cy="1260000"/>
            <wp:effectExtent l="0" t="0" r="8255" b="0"/>
            <wp:docPr id="310024128" name="Immagine 63" descr="Immagine che contiene testo, schermata, Carattere, linea&#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0024128" name="Immagine 63" descr="Immagine che contiene testo, schermata, Carattere, linea&#10;&#10;Descrizione generata automaticamente"/>
                    <pic:cNvPicPr preferRelativeResize="0">
                      <a:picLocks noChangeAspect="1" noChangeArrowheads="1"/>
                    </pic:cNvPicPr>
                  </pic:nvPicPr>
                  <pic:blipFill rotWithShape="1">
                    <a:blip r:embed="rId172">
                      <a:extLst>
                        <a:ext uri="{28A0092B-C50C-407E-A947-70E740481C1C}">
                          <a14:useLocalDpi xmlns:a14="http://schemas.microsoft.com/office/drawing/2010/main" val="0"/>
                        </a:ext>
                      </a:extLst>
                    </a:blip>
                    <a:srcRect l="4734" t="6757" r="8412" b="25676"/>
                    <a:stretch/>
                  </pic:blipFill>
                  <pic:spPr bwMode="auto">
                    <a:xfrm>
                      <a:off x="0" y="0"/>
                      <a:ext cx="5040000" cy="1260000"/>
                    </a:xfrm>
                    <a:prstGeom prst="rect">
                      <a:avLst/>
                    </a:prstGeom>
                    <a:noFill/>
                    <a:ln>
                      <a:noFill/>
                    </a:ln>
                    <a:extLst>
                      <a:ext uri="{53640926-AAD7-44D8-BBD7-CCE9431645EC}">
                        <a14:shadowObscured xmlns:a14="http://schemas.microsoft.com/office/drawing/2010/main"/>
                      </a:ext>
                    </a:extLst>
                  </pic:spPr>
                </pic:pic>
              </a:graphicData>
            </a:graphic>
          </wp:inline>
        </w:drawing>
      </w:r>
    </w:p>
    <w:p w14:paraId="5729292C" w14:textId="77777777" w:rsidR="00222F2D" w:rsidRDefault="00222F2D" w:rsidP="00222F2D">
      <w:pPr>
        <w:tabs>
          <w:tab w:val="left" w:pos="709"/>
        </w:tabs>
        <w:spacing w:after="0" w:line="360" w:lineRule="auto"/>
        <w:jc w:val="both"/>
        <w:rPr>
          <w:rFonts w:ascii="Arial" w:hAnsi="Arial" w:cs="Arial"/>
          <w:bCs/>
          <w:sz w:val="24"/>
          <w:szCs w:val="24"/>
        </w:rPr>
      </w:pPr>
    </w:p>
    <w:p w14:paraId="611D673B" w14:textId="77777777" w:rsidR="00222F2D" w:rsidRPr="0007503F" w:rsidRDefault="00222F2D" w:rsidP="00222F2D">
      <w:pPr>
        <w:tabs>
          <w:tab w:val="left" w:pos="851"/>
        </w:tabs>
        <w:spacing w:after="0" w:line="360" w:lineRule="auto"/>
        <w:jc w:val="both"/>
        <w:rPr>
          <w:rFonts w:ascii="Arial" w:hAnsi="Arial" w:cs="Arial"/>
          <w:bCs/>
          <w:sz w:val="24"/>
          <w:szCs w:val="24"/>
        </w:rPr>
      </w:pPr>
      <w:r>
        <w:rPr>
          <w:rFonts w:ascii="Arial" w:hAnsi="Arial" w:cs="Arial"/>
          <w:bCs/>
          <w:sz w:val="24"/>
          <w:szCs w:val="24"/>
        </w:rPr>
        <w:t>II.5.22</w:t>
      </w:r>
      <w:r w:rsidRPr="0007503F">
        <w:rPr>
          <w:rFonts w:ascii="Arial" w:hAnsi="Arial" w:cs="Arial"/>
          <w:bCs/>
          <w:sz w:val="24"/>
          <w:szCs w:val="24"/>
        </w:rPr>
        <w:t>.</w:t>
      </w:r>
      <w:r w:rsidRPr="0007503F">
        <w:rPr>
          <w:rFonts w:ascii="Arial" w:hAnsi="Arial" w:cs="Arial"/>
          <w:bCs/>
          <w:sz w:val="24"/>
          <w:szCs w:val="24"/>
        </w:rPr>
        <w:tab/>
        <w:t>Il quadro di sintesi delle società selezionate</w:t>
      </w:r>
    </w:p>
    <w:p w14:paraId="400E3201" w14:textId="77777777" w:rsidR="00222F2D" w:rsidRPr="0007503F" w:rsidRDefault="00222F2D" w:rsidP="00222F2D">
      <w:pPr>
        <w:tabs>
          <w:tab w:val="left" w:pos="709"/>
        </w:tabs>
        <w:spacing w:after="0" w:line="360" w:lineRule="auto"/>
        <w:jc w:val="both"/>
        <w:rPr>
          <w:rFonts w:ascii="Arial" w:hAnsi="Arial" w:cs="Arial"/>
          <w:bCs/>
          <w:sz w:val="24"/>
          <w:szCs w:val="24"/>
        </w:rPr>
      </w:pPr>
    </w:p>
    <w:p w14:paraId="7BA11598" w14:textId="77777777" w:rsidR="00222F2D" w:rsidRDefault="00222F2D" w:rsidP="00222F2D">
      <w:pPr>
        <w:tabs>
          <w:tab w:val="left" w:pos="709"/>
        </w:tabs>
        <w:spacing w:after="0" w:line="360" w:lineRule="auto"/>
        <w:jc w:val="both"/>
        <w:rPr>
          <w:rFonts w:ascii="Arial" w:hAnsi="Arial" w:cs="Arial"/>
          <w:bCs/>
          <w:sz w:val="24"/>
          <w:szCs w:val="24"/>
        </w:rPr>
      </w:pPr>
      <w:r w:rsidRPr="0007503F">
        <w:rPr>
          <w:rFonts w:ascii="Arial" w:hAnsi="Arial" w:cs="Arial"/>
          <w:bCs/>
          <w:sz w:val="24"/>
          <w:szCs w:val="24"/>
        </w:rPr>
        <w:t>Nel loro insieme, le MFIs selezionate nel presente lavoro potrebbero soddisfare le attese del nostro investitore, ovviamente con modalità diverse, a seconda delle loro strutture finanziare.</w:t>
      </w:r>
    </w:p>
    <w:p w14:paraId="6DC66220" w14:textId="77777777" w:rsidR="00222F2D" w:rsidRDefault="00222F2D" w:rsidP="006453E6">
      <w:pPr>
        <w:tabs>
          <w:tab w:val="left" w:pos="709"/>
        </w:tabs>
        <w:spacing w:after="0" w:line="360" w:lineRule="auto"/>
        <w:jc w:val="center"/>
        <w:rPr>
          <w:rFonts w:ascii="Arial" w:hAnsi="Arial" w:cs="Arial"/>
          <w:bCs/>
          <w:sz w:val="24"/>
          <w:szCs w:val="24"/>
        </w:rPr>
      </w:pPr>
      <w:r>
        <w:rPr>
          <w:rFonts w:ascii="Arial" w:hAnsi="Arial" w:cs="Arial"/>
          <w:bCs/>
          <w:noProof/>
          <w:sz w:val="24"/>
          <w:szCs w:val="24"/>
        </w:rPr>
        <w:lastRenderedPageBreak/>
        <w:drawing>
          <wp:inline distT="0" distB="0" distL="0" distR="0" wp14:anchorId="6E4F89E9" wp14:editId="7C6A947F">
            <wp:extent cx="5040000" cy="5760000"/>
            <wp:effectExtent l="0" t="0" r="8255" b="0"/>
            <wp:docPr id="687891830" name="Immagine 64" descr="Immagine che contiene testo, schermata, numero, document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7891830" name="Immagine 64" descr="Immagine che contiene testo, schermata, numero, documento&#10;&#10;Descrizione generata automaticamente"/>
                    <pic:cNvPicPr preferRelativeResize="0">
                      <a:picLocks noChangeAspect="1" noChangeArrowheads="1"/>
                    </pic:cNvPicPr>
                  </pic:nvPicPr>
                  <pic:blipFill rotWithShape="1">
                    <a:blip r:embed="rId173">
                      <a:extLst>
                        <a:ext uri="{28A0092B-C50C-407E-A947-70E740481C1C}">
                          <a14:useLocalDpi xmlns:a14="http://schemas.microsoft.com/office/drawing/2010/main" val="0"/>
                        </a:ext>
                      </a:extLst>
                    </a:blip>
                    <a:srcRect l="3081" t="1194" r="5023" b="1946"/>
                    <a:stretch/>
                  </pic:blipFill>
                  <pic:spPr bwMode="auto">
                    <a:xfrm>
                      <a:off x="0" y="0"/>
                      <a:ext cx="5040000" cy="5760000"/>
                    </a:xfrm>
                    <a:prstGeom prst="rect">
                      <a:avLst/>
                    </a:prstGeom>
                    <a:noFill/>
                    <a:ln>
                      <a:noFill/>
                    </a:ln>
                    <a:extLst>
                      <a:ext uri="{53640926-AAD7-44D8-BBD7-CCE9431645EC}">
                        <a14:shadowObscured xmlns:a14="http://schemas.microsoft.com/office/drawing/2010/main"/>
                      </a:ext>
                    </a:extLst>
                  </pic:spPr>
                </pic:pic>
              </a:graphicData>
            </a:graphic>
          </wp:inline>
        </w:drawing>
      </w:r>
    </w:p>
    <w:p w14:paraId="65BF63AB" w14:textId="77777777" w:rsidR="006453E6" w:rsidRDefault="006453E6" w:rsidP="006453E6">
      <w:pPr>
        <w:tabs>
          <w:tab w:val="left" w:pos="709"/>
        </w:tabs>
        <w:spacing w:after="0" w:line="360" w:lineRule="auto"/>
        <w:jc w:val="both"/>
        <w:rPr>
          <w:rFonts w:ascii="Arial" w:hAnsi="Arial" w:cs="Arial"/>
          <w:bCs/>
          <w:sz w:val="24"/>
          <w:szCs w:val="24"/>
        </w:rPr>
      </w:pPr>
    </w:p>
    <w:p w14:paraId="6EAF53D8" w14:textId="77777777" w:rsidR="00222F2D" w:rsidRPr="0007503F" w:rsidRDefault="00222F2D" w:rsidP="00222F2D">
      <w:pPr>
        <w:tabs>
          <w:tab w:val="left" w:pos="709"/>
        </w:tabs>
        <w:spacing w:after="0" w:line="360" w:lineRule="auto"/>
        <w:jc w:val="both"/>
        <w:rPr>
          <w:rFonts w:ascii="Arial" w:hAnsi="Arial" w:cs="Arial"/>
          <w:bCs/>
          <w:sz w:val="24"/>
          <w:szCs w:val="24"/>
        </w:rPr>
      </w:pPr>
      <w:r w:rsidRPr="0007503F">
        <w:rPr>
          <w:rFonts w:ascii="Arial" w:hAnsi="Arial" w:cs="Arial"/>
          <w:bCs/>
          <w:sz w:val="24"/>
          <w:szCs w:val="24"/>
        </w:rPr>
        <w:t>Come mostra la tabella, il 25% delle MFIs ha un fabbisogno finanziario netto fino a 3 milioni di dollari, il 25% compreso tra 3 e 9 milioni, il 25% tra 9 e 27 milioni ed il 25 per cento tra 27 e 372 milioni di dollari. Il tasso di perdita sui prestiti risulta abbastanza contenuto e pari al 3,75%. Il quadro di riferimento si presenta quindi come uno scenario dalle grandi potenzialità operative per il nostro investitore, come peraltro evidenziato dall’indice di dipendenza finanziaria che, assumendo un valore medio di 59,14%, indica un fabbisogno di mezzi di terzi delle MFIs particolarmente consistente.</w:t>
      </w:r>
    </w:p>
    <w:p w14:paraId="573066CD" w14:textId="77777777" w:rsidR="00222F2D" w:rsidRPr="0007503F" w:rsidRDefault="00222F2D" w:rsidP="00222F2D">
      <w:pPr>
        <w:tabs>
          <w:tab w:val="left" w:pos="709"/>
        </w:tabs>
        <w:spacing w:line="360" w:lineRule="auto"/>
        <w:jc w:val="both"/>
        <w:rPr>
          <w:rFonts w:ascii="Arial" w:hAnsi="Arial" w:cs="Arial"/>
          <w:bCs/>
          <w:sz w:val="24"/>
          <w:szCs w:val="24"/>
        </w:rPr>
      </w:pPr>
      <w:r w:rsidRPr="0007503F">
        <w:rPr>
          <w:rFonts w:ascii="Arial" w:hAnsi="Arial" w:cs="Arial"/>
          <w:bCs/>
          <w:sz w:val="24"/>
          <w:szCs w:val="24"/>
        </w:rPr>
        <w:t xml:space="preserve">Il tasso applicato sui prestiti, in media del 4,68%, varia tra il 30% di </w:t>
      </w:r>
      <w:r w:rsidRPr="00CA1275">
        <w:rPr>
          <w:rFonts w:ascii="Arial" w:hAnsi="Arial" w:cs="Arial"/>
          <w:bCs/>
          <w:i/>
          <w:iCs/>
          <w:sz w:val="24"/>
          <w:szCs w:val="24"/>
        </w:rPr>
        <w:t>Coopac Norandino</w:t>
      </w:r>
      <w:r w:rsidRPr="0007503F">
        <w:rPr>
          <w:rFonts w:ascii="Arial" w:hAnsi="Arial" w:cs="Arial"/>
          <w:bCs/>
          <w:sz w:val="24"/>
          <w:szCs w:val="24"/>
        </w:rPr>
        <w:t xml:space="preserve"> ed il 67,70% di </w:t>
      </w:r>
      <w:r w:rsidRPr="00CA1275">
        <w:rPr>
          <w:rFonts w:ascii="Arial" w:hAnsi="Arial" w:cs="Arial"/>
          <w:bCs/>
          <w:i/>
          <w:iCs/>
          <w:sz w:val="24"/>
          <w:szCs w:val="24"/>
        </w:rPr>
        <w:t>Compartamos</w:t>
      </w:r>
      <w:r w:rsidRPr="0007503F">
        <w:rPr>
          <w:rFonts w:ascii="Arial" w:hAnsi="Arial" w:cs="Arial"/>
          <w:bCs/>
          <w:sz w:val="24"/>
          <w:szCs w:val="24"/>
        </w:rPr>
        <w:t>. Si tratta di remunerazioni sul microcredito profittevoli, soprattutto se confrontati con i tassi praticati sul lending ordinario</w:t>
      </w:r>
      <w:r>
        <w:rPr>
          <w:rFonts w:ascii="Arial" w:hAnsi="Arial" w:cs="Arial"/>
          <w:bCs/>
          <w:sz w:val="24"/>
          <w:szCs w:val="24"/>
        </w:rPr>
        <w:t xml:space="preserve">; tra </w:t>
      </w:r>
      <w:r w:rsidRPr="0007503F">
        <w:rPr>
          <w:rFonts w:ascii="Arial" w:hAnsi="Arial" w:cs="Arial"/>
          <w:bCs/>
          <w:sz w:val="24"/>
          <w:szCs w:val="24"/>
        </w:rPr>
        <w:t>i fattori che contribuiscono a determinare tassi di interesse nelle misure indicate occorre annoverare i costi operativi elevati legati ai salari, ammortamenti, tasse</w:t>
      </w:r>
      <w:r>
        <w:rPr>
          <w:rFonts w:ascii="Arial" w:hAnsi="Arial" w:cs="Arial"/>
          <w:bCs/>
          <w:sz w:val="24"/>
          <w:szCs w:val="24"/>
        </w:rPr>
        <w:t xml:space="preserve"> e</w:t>
      </w:r>
      <w:r w:rsidRPr="0007503F">
        <w:rPr>
          <w:rFonts w:ascii="Arial" w:hAnsi="Arial" w:cs="Arial"/>
          <w:bCs/>
          <w:sz w:val="24"/>
          <w:szCs w:val="24"/>
        </w:rPr>
        <w:t xml:space="preserve"> spese legali.</w:t>
      </w:r>
    </w:p>
    <w:p w14:paraId="76E49E83" w14:textId="77777777" w:rsidR="00222F2D" w:rsidRDefault="00222F2D" w:rsidP="00222F2D">
      <w:pPr>
        <w:tabs>
          <w:tab w:val="left" w:pos="709"/>
        </w:tabs>
        <w:spacing w:line="360" w:lineRule="auto"/>
        <w:jc w:val="both"/>
        <w:rPr>
          <w:rFonts w:ascii="Arial" w:hAnsi="Arial" w:cs="Arial"/>
          <w:bCs/>
          <w:sz w:val="24"/>
          <w:szCs w:val="24"/>
        </w:rPr>
      </w:pPr>
      <w:r w:rsidRPr="0007503F">
        <w:rPr>
          <w:rFonts w:ascii="Arial" w:hAnsi="Arial" w:cs="Arial"/>
          <w:bCs/>
          <w:sz w:val="24"/>
          <w:szCs w:val="24"/>
        </w:rPr>
        <w:lastRenderedPageBreak/>
        <w:t>Infine, i tassi applicati sono più alti per le MFIs con scopo di lucro, poiché si aspettano un certo livello di redditività.</w:t>
      </w:r>
      <w:r>
        <w:rPr>
          <w:rFonts w:ascii="Arial" w:hAnsi="Arial" w:cs="Arial"/>
          <w:bCs/>
          <w:sz w:val="24"/>
          <w:szCs w:val="24"/>
        </w:rPr>
        <w:t xml:space="preserve"> </w:t>
      </w:r>
      <w:r w:rsidRPr="0007503F">
        <w:rPr>
          <w:rFonts w:ascii="Arial" w:hAnsi="Arial" w:cs="Arial"/>
          <w:bCs/>
          <w:sz w:val="24"/>
          <w:szCs w:val="24"/>
        </w:rPr>
        <w:t>Al contrario</w:t>
      </w:r>
      <w:r>
        <w:rPr>
          <w:rFonts w:ascii="Arial" w:hAnsi="Arial" w:cs="Arial"/>
          <w:bCs/>
          <w:sz w:val="24"/>
          <w:szCs w:val="24"/>
        </w:rPr>
        <w:t>,</w:t>
      </w:r>
      <w:r w:rsidRPr="0007503F">
        <w:rPr>
          <w:rFonts w:ascii="Arial" w:hAnsi="Arial" w:cs="Arial"/>
          <w:bCs/>
          <w:sz w:val="24"/>
          <w:szCs w:val="24"/>
        </w:rPr>
        <w:t xml:space="preserve"> i tassi sono più contenuti per gli organismi senza fine di lucro, che non hanno i vincoli economici delle prime non dovendo realizzare necessariamente un reddito superiore ai costi.</w:t>
      </w:r>
    </w:p>
    <w:p w14:paraId="3BA1F1D7" w14:textId="77777777" w:rsidR="00222F2D" w:rsidRDefault="00222F2D" w:rsidP="00222F2D">
      <w:pPr>
        <w:rPr>
          <w:rFonts w:ascii="Arial" w:hAnsi="Arial" w:cs="Arial"/>
          <w:bCs/>
          <w:sz w:val="24"/>
          <w:szCs w:val="24"/>
        </w:rPr>
      </w:pPr>
      <w:r>
        <w:rPr>
          <w:rFonts w:ascii="Arial" w:hAnsi="Arial" w:cs="Arial"/>
          <w:bCs/>
          <w:sz w:val="24"/>
          <w:szCs w:val="24"/>
        </w:rPr>
        <w:br w:type="page"/>
      </w:r>
    </w:p>
    <w:p w14:paraId="4EC78E76" w14:textId="730F1858" w:rsidR="00222F2D" w:rsidRPr="004F20B0" w:rsidRDefault="00222F2D" w:rsidP="004F20B0">
      <w:pPr>
        <w:pStyle w:val="Paragrafoelenco"/>
        <w:numPr>
          <w:ilvl w:val="0"/>
          <w:numId w:val="33"/>
        </w:numPr>
        <w:spacing w:line="360" w:lineRule="auto"/>
        <w:ind w:left="993" w:hanging="426"/>
        <w:jc w:val="both"/>
        <w:rPr>
          <w:rFonts w:ascii="Arial" w:hAnsi="Arial" w:cs="Arial"/>
          <w:b/>
          <w:sz w:val="24"/>
          <w:szCs w:val="24"/>
        </w:rPr>
      </w:pPr>
      <w:r w:rsidRPr="004F20B0">
        <w:rPr>
          <w:rFonts w:ascii="Arial" w:hAnsi="Arial" w:cs="Arial"/>
          <w:b/>
          <w:sz w:val="24"/>
          <w:szCs w:val="24"/>
        </w:rPr>
        <w:lastRenderedPageBreak/>
        <w:t>CONCLUSIONI</w:t>
      </w:r>
    </w:p>
    <w:p w14:paraId="58B11809" w14:textId="77777777" w:rsidR="00222F2D" w:rsidRDefault="00222F2D" w:rsidP="00222F2D">
      <w:pPr>
        <w:spacing w:line="360" w:lineRule="auto"/>
        <w:jc w:val="both"/>
        <w:rPr>
          <w:rFonts w:ascii="Arial" w:hAnsi="Arial" w:cs="Arial"/>
          <w:b/>
          <w:sz w:val="24"/>
          <w:szCs w:val="24"/>
        </w:rPr>
      </w:pPr>
    </w:p>
    <w:p w14:paraId="397E68C6" w14:textId="77777777" w:rsidR="004F20B0" w:rsidRDefault="004F20B0" w:rsidP="004F20B0">
      <w:pPr>
        <w:spacing w:line="360" w:lineRule="auto"/>
        <w:ind w:firstLine="567"/>
        <w:jc w:val="both"/>
        <w:rPr>
          <w:rFonts w:ascii="Arial" w:hAnsi="Arial" w:cs="Arial"/>
          <w:bCs/>
          <w:sz w:val="24"/>
          <w:szCs w:val="24"/>
        </w:rPr>
      </w:pPr>
      <w:r w:rsidRPr="004F20B0">
        <w:rPr>
          <w:rFonts w:ascii="Arial" w:hAnsi="Arial" w:cs="Arial"/>
          <w:bCs/>
          <w:sz w:val="24"/>
          <w:szCs w:val="24"/>
        </w:rPr>
        <w:t xml:space="preserve">Da quando Yunus </w:t>
      </w:r>
      <w:r>
        <w:rPr>
          <w:rFonts w:ascii="Arial" w:hAnsi="Arial" w:cs="Arial"/>
          <w:bCs/>
          <w:sz w:val="24"/>
          <w:szCs w:val="24"/>
        </w:rPr>
        <w:t>costruì</w:t>
      </w:r>
      <w:r w:rsidRPr="004F20B0">
        <w:rPr>
          <w:rFonts w:ascii="Arial" w:hAnsi="Arial" w:cs="Arial"/>
          <w:bCs/>
          <w:sz w:val="24"/>
          <w:szCs w:val="24"/>
        </w:rPr>
        <w:t xml:space="preserve"> il suo modello di microcredito per liberare i poveri da uno stadio di irrecuperabilità conclamato è trascorso quasi la metà di un secolo. Molti obiettivi per contrastare la povertà sono stati conseguiti, ma ne restano ancora </w:t>
      </w:r>
      <w:r>
        <w:rPr>
          <w:rFonts w:ascii="Arial" w:hAnsi="Arial" w:cs="Arial"/>
          <w:bCs/>
          <w:sz w:val="24"/>
          <w:szCs w:val="24"/>
        </w:rPr>
        <w:t xml:space="preserve">tanti </w:t>
      </w:r>
      <w:r w:rsidRPr="004F20B0">
        <w:rPr>
          <w:rFonts w:ascii="Arial" w:hAnsi="Arial" w:cs="Arial"/>
          <w:bCs/>
          <w:sz w:val="24"/>
          <w:szCs w:val="24"/>
        </w:rPr>
        <w:t xml:space="preserve">da completare. </w:t>
      </w:r>
    </w:p>
    <w:p w14:paraId="6C5D02D2" w14:textId="028575D8" w:rsidR="004F20B0" w:rsidRPr="004F20B0" w:rsidRDefault="004F20B0" w:rsidP="004F20B0">
      <w:pPr>
        <w:spacing w:line="360" w:lineRule="auto"/>
        <w:jc w:val="both"/>
        <w:rPr>
          <w:rFonts w:ascii="Arial" w:hAnsi="Arial" w:cs="Arial"/>
          <w:bCs/>
          <w:sz w:val="24"/>
          <w:szCs w:val="24"/>
        </w:rPr>
      </w:pPr>
      <w:r w:rsidRPr="004F20B0">
        <w:rPr>
          <w:rFonts w:ascii="Arial" w:hAnsi="Arial" w:cs="Arial"/>
          <w:bCs/>
          <w:sz w:val="24"/>
          <w:szCs w:val="24"/>
        </w:rPr>
        <w:t xml:space="preserve">Lo stato dell’arte prevede un “tagliando” ai modelli operativi fino ad oggi attuati, iniziando da quelli adottati dalle MFI. Molte di queste istituzioni potrebbero esaurire la loro vitalità, altre, invece, continuare a perseguire le finalità trasformandosi anch’esse in organizzazioni </w:t>
      </w:r>
      <w:r w:rsidRPr="00D53105">
        <w:rPr>
          <w:rFonts w:ascii="Arial" w:hAnsi="Arial" w:cs="Arial"/>
          <w:bCs/>
          <w:i/>
          <w:iCs/>
          <w:sz w:val="24"/>
          <w:szCs w:val="24"/>
        </w:rPr>
        <w:t>for profit</w:t>
      </w:r>
      <w:r w:rsidRPr="004F20B0">
        <w:rPr>
          <w:rFonts w:ascii="Arial" w:hAnsi="Arial" w:cs="Arial"/>
          <w:bCs/>
          <w:sz w:val="24"/>
          <w:szCs w:val="24"/>
        </w:rPr>
        <w:t xml:space="preserve"> sollevando indignazioni e lamentele per l’abbandono dell’abito sacrale della primitiva identità. Occorre quindi pensare a lavorare per un futuro che è stato già realtà, perché da tempo si stanno sollecitando azioni per far fronte alle diverse criticità che incombono sulla microfinanza</w:t>
      </w:r>
      <w:r w:rsidR="00D53105">
        <w:rPr>
          <w:rFonts w:ascii="Arial" w:hAnsi="Arial" w:cs="Arial"/>
          <w:bCs/>
          <w:sz w:val="24"/>
          <w:szCs w:val="24"/>
        </w:rPr>
        <w:t>.</w:t>
      </w:r>
    </w:p>
    <w:p w14:paraId="474229F3" w14:textId="3E6EC1A2" w:rsidR="004F20B0" w:rsidRPr="004F20B0" w:rsidRDefault="004F20B0" w:rsidP="004F20B0">
      <w:pPr>
        <w:spacing w:line="360" w:lineRule="auto"/>
        <w:jc w:val="both"/>
        <w:rPr>
          <w:rFonts w:ascii="Arial" w:hAnsi="Arial" w:cs="Arial"/>
          <w:bCs/>
          <w:sz w:val="24"/>
          <w:szCs w:val="24"/>
        </w:rPr>
      </w:pPr>
      <w:r w:rsidRPr="004F20B0">
        <w:rPr>
          <w:rFonts w:ascii="Arial" w:hAnsi="Arial" w:cs="Arial"/>
          <w:bCs/>
          <w:sz w:val="24"/>
          <w:szCs w:val="24"/>
        </w:rPr>
        <w:t xml:space="preserve">Non a caso Joanna </w:t>
      </w:r>
      <w:proofErr w:type="spellStart"/>
      <w:r w:rsidRPr="004F20B0">
        <w:rPr>
          <w:rFonts w:ascii="Arial" w:hAnsi="Arial" w:cs="Arial"/>
          <w:bCs/>
          <w:sz w:val="24"/>
          <w:szCs w:val="24"/>
        </w:rPr>
        <w:t>Ledgerwoord</w:t>
      </w:r>
      <w:proofErr w:type="spellEnd"/>
      <w:r w:rsidRPr="004F20B0">
        <w:rPr>
          <w:rFonts w:ascii="Arial" w:hAnsi="Arial" w:cs="Arial"/>
          <w:bCs/>
          <w:sz w:val="24"/>
          <w:szCs w:val="24"/>
        </w:rPr>
        <w:t xml:space="preserve">, in un testo pubblicato per conto della Banca Mondiale (cfr. nota </w:t>
      </w:r>
      <w:r w:rsidR="00D53105">
        <w:rPr>
          <w:rFonts w:ascii="Arial" w:hAnsi="Arial" w:cs="Arial"/>
          <w:bCs/>
          <w:sz w:val="24"/>
          <w:szCs w:val="24"/>
        </w:rPr>
        <w:t>100</w:t>
      </w:r>
      <w:r w:rsidRPr="004F20B0">
        <w:rPr>
          <w:rFonts w:ascii="Arial" w:hAnsi="Arial" w:cs="Arial"/>
          <w:bCs/>
          <w:sz w:val="24"/>
          <w:szCs w:val="24"/>
        </w:rPr>
        <w:t xml:space="preserve">), sosteneva un cambio di rotta per liberare gli ostacoli e le altre oggettive difficoltà che sono chiamate ad affrontare le </w:t>
      </w:r>
      <w:proofErr w:type="spellStart"/>
      <w:r w:rsidRPr="004F20B0">
        <w:rPr>
          <w:rFonts w:ascii="Arial" w:hAnsi="Arial" w:cs="Arial"/>
          <w:bCs/>
          <w:sz w:val="24"/>
          <w:szCs w:val="24"/>
        </w:rPr>
        <w:t>MIFs</w:t>
      </w:r>
      <w:proofErr w:type="spellEnd"/>
      <w:r w:rsidRPr="004F20B0">
        <w:rPr>
          <w:rFonts w:ascii="Arial" w:hAnsi="Arial" w:cs="Arial"/>
          <w:bCs/>
          <w:sz w:val="24"/>
          <w:szCs w:val="24"/>
        </w:rPr>
        <w:t>, i principali attori che consentono la raccolta e la distribuzione dei fondi per sostenere il microcredito a livello globale.</w:t>
      </w:r>
    </w:p>
    <w:p w14:paraId="50502C43" w14:textId="2618F6EC" w:rsidR="004F20B0" w:rsidRPr="004F20B0" w:rsidRDefault="004F20B0" w:rsidP="004F20B0">
      <w:pPr>
        <w:spacing w:line="360" w:lineRule="auto"/>
        <w:jc w:val="both"/>
        <w:rPr>
          <w:rFonts w:ascii="Arial" w:hAnsi="Arial" w:cs="Arial"/>
          <w:bCs/>
          <w:sz w:val="24"/>
          <w:szCs w:val="24"/>
        </w:rPr>
      </w:pPr>
      <w:r w:rsidRPr="004F20B0">
        <w:rPr>
          <w:rFonts w:ascii="Arial" w:hAnsi="Arial" w:cs="Arial"/>
          <w:bCs/>
          <w:sz w:val="24"/>
          <w:szCs w:val="24"/>
        </w:rPr>
        <w:t>Manca ad oggi una regolamentazione internazionale per riconoscimento</w:t>
      </w:r>
      <w:r w:rsidR="00D53105">
        <w:rPr>
          <w:rFonts w:ascii="Arial" w:hAnsi="Arial" w:cs="Arial"/>
          <w:bCs/>
          <w:sz w:val="24"/>
          <w:szCs w:val="24"/>
        </w:rPr>
        <w:t xml:space="preserve"> delle </w:t>
      </w:r>
      <w:proofErr w:type="spellStart"/>
      <w:r w:rsidR="00D53105">
        <w:rPr>
          <w:rFonts w:ascii="Arial" w:hAnsi="Arial" w:cs="Arial"/>
          <w:bCs/>
          <w:sz w:val="24"/>
          <w:szCs w:val="24"/>
        </w:rPr>
        <w:t>MIFs</w:t>
      </w:r>
      <w:proofErr w:type="spellEnd"/>
      <w:r w:rsidR="00D53105">
        <w:rPr>
          <w:rFonts w:ascii="Arial" w:hAnsi="Arial" w:cs="Arial"/>
          <w:bCs/>
          <w:sz w:val="24"/>
          <w:szCs w:val="24"/>
        </w:rPr>
        <w:t>,</w:t>
      </w:r>
      <w:r w:rsidRPr="004F20B0">
        <w:rPr>
          <w:rFonts w:ascii="Arial" w:hAnsi="Arial" w:cs="Arial"/>
          <w:bCs/>
          <w:sz w:val="24"/>
          <w:szCs w:val="24"/>
        </w:rPr>
        <w:t xml:space="preserve"> per la disciplina di funzionamento e la tutela legale della loro autonomia rispetto agli apparati centrali e per l’esercizio dei loro diritti. Non sono previste regole per un’effettiva ed indipendente governance, con la valutazione delle funzioni, nell’ambito delle organizzazioni. La maggior parte delle </w:t>
      </w:r>
      <w:proofErr w:type="spellStart"/>
      <w:r w:rsidRPr="004F20B0">
        <w:rPr>
          <w:rFonts w:ascii="Arial" w:hAnsi="Arial" w:cs="Arial"/>
          <w:bCs/>
          <w:sz w:val="24"/>
          <w:szCs w:val="24"/>
        </w:rPr>
        <w:t>MFis</w:t>
      </w:r>
      <w:proofErr w:type="spellEnd"/>
      <w:r w:rsidRPr="004F20B0">
        <w:rPr>
          <w:rFonts w:ascii="Arial" w:hAnsi="Arial" w:cs="Arial"/>
          <w:bCs/>
          <w:sz w:val="24"/>
          <w:szCs w:val="24"/>
        </w:rPr>
        <w:t xml:space="preserve"> è finanziata da istituzioni pubbliche o Governi, attraverso sovvenzioni pubbliche o prestiti agevolati. Con l’espansione degli impieghi </w:t>
      </w:r>
      <w:proofErr w:type="gramStart"/>
      <w:r w:rsidRPr="004F20B0">
        <w:rPr>
          <w:rFonts w:ascii="Arial" w:hAnsi="Arial" w:cs="Arial"/>
          <w:bCs/>
          <w:sz w:val="24"/>
          <w:szCs w:val="24"/>
        </w:rPr>
        <w:t xml:space="preserve">le </w:t>
      </w:r>
      <w:proofErr w:type="spellStart"/>
      <w:r w:rsidRPr="004F20B0">
        <w:rPr>
          <w:rFonts w:ascii="Arial" w:hAnsi="Arial" w:cs="Arial"/>
          <w:bCs/>
          <w:sz w:val="24"/>
          <w:szCs w:val="24"/>
        </w:rPr>
        <w:t>MFIs</w:t>
      </w:r>
      <w:proofErr w:type="spellEnd"/>
      <w:r w:rsidRPr="004F20B0">
        <w:rPr>
          <w:rFonts w:ascii="Arial" w:hAnsi="Arial" w:cs="Arial"/>
          <w:bCs/>
          <w:sz w:val="24"/>
          <w:szCs w:val="24"/>
        </w:rPr>
        <w:t>,</w:t>
      </w:r>
      <w:proofErr w:type="gramEnd"/>
      <w:r w:rsidRPr="004F20B0">
        <w:rPr>
          <w:rFonts w:ascii="Arial" w:hAnsi="Arial" w:cs="Arial"/>
          <w:bCs/>
          <w:sz w:val="24"/>
          <w:szCs w:val="24"/>
        </w:rPr>
        <w:t xml:space="preserve"> hanno la necessità di sostenere la loro crescita accedano con il ricorso al mercato dei capitali ( accesso al debito con fondi di garanzia, prestiti e mobilitazione dei depositi, mercato equity, fondi di investimento azionario, fondi comuni di investimento socialmente responsabili, cartolarizzazione del portafoglio, altri veicoli di investimento).</w:t>
      </w:r>
    </w:p>
    <w:p w14:paraId="2EBEF024" w14:textId="77777777" w:rsidR="004F20B0" w:rsidRPr="004F20B0" w:rsidRDefault="004F20B0" w:rsidP="004F20B0">
      <w:pPr>
        <w:spacing w:line="360" w:lineRule="auto"/>
        <w:jc w:val="both"/>
        <w:rPr>
          <w:rFonts w:ascii="Arial" w:hAnsi="Arial" w:cs="Arial"/>
          <w:bCs/>
          <w:sz w:val="24"/>
          <w:szCs w:val="24"/>
        </w:rPr>
      </w:pPr>
      <w:r w:rsidRPr="004F20B0">
        <w:rPr>
          <w:rFonts w:ascii="Arial" w:hAnsi="Arial" w:cs="Arial"/>
          <w:bCs/>
          <w:sz w:val="24"/>
          <w:szCs w:val="24"/>
        </w:rPr>
        <w:t xml:space="preserve">Inoltre, </w:t>
      </w:r>
      <w:proofErr w:type="gramStart"/>
      <w:r w:rsidRPr="004F20B0">
        <w:rPr>
          <w:rFonts w:ascii="Arial" w:hAnsi="Arial" w:cs="Arial"/>
          <w:bCs/>
          <w:sz w:val="24"/>
          <w:szCs w:val="24"/>
        </w:rPr>
        <w:t xml:space="preserve">le </w:t>
      </w:r>
      <w:proofErr w:type="spellStart"/>
      <w:r w:rsidRPr="004F20B0">
        <w:rPr>
          <w:rFonts w:ascii="Arial" w:hAnsi="Arial" w:cs="Arial"/>
          <w:bCs/>
          <w:sz w:val="24"/>
          <w:szCs w:val="24"/>
        </w:rPr>
        <w:t>MIFs</w:t>
      </w:r>
      <w:proofErr w:type="spellEnd"/>
      <w:r w:rsidRPr="004F20B0">
        <w:rPr>
          <w:rFonts w:ascii="Arial" w:hAnsi="Arial" w:cs="Arial"/>
          <w:bCs/>
          <w:sz w:val="24"/>
          <w:szCs w:val="24"/>
        </w:rPr>
        <w:t>,</w:t>
      </w:r>
      <w:proofErr w:type="gramEnd"/>
      <w:r w:rsidRPr="004F20B0">
        <w:rPr>
          <w:rFonts w:ascii="Arial" w:hAnsi="Arial" w:cs="Arial"/>
          <w:bCs/>
          <w:sz w:val="24"/>
          <w:szCs w:val="24"/>
        </w:rPr>
        <w:t xml:space="preserve"> devono provvedere anche alla riduzione dei costi di gestione mediante una economia di scala, la gestione oculata per il recupero delle insolvenze, l’ampliamento dei servizi da offrire al pubblico e ad una migliore penetrazione nell’ambito del target di riferimento della clientela e la costante misurazione della performance.</w:t>
      </w:r>
    </w:p>
    <w:p w14:paraId="6E0F5AD5" w14:textId="77777777" w:rsidR="004F20B0" w:rsidRPr="004F20B0" w:rsidRDefault="004F20B0" w:rsidP="004F20B0">
      <w:pPr>
        <w:spacing w:line="360" w:lineRule="auto"/>
        <w:jc w:val="both"/>
        <w:rPr>
          <w:rFonts w:ascii="Arial" w:hAnsi="Arial" w:cs="Arial"/>
          <w:bCs/>
          <w:sz w:val="24"/>
          <w:szCs w:val="24"/>
        </w:rPr>
      </w:pPr>
      <w:r w:rsidRPr="004F20B0">
        <w:rPr>
          <w:rFonts w:ascii="Arial" w:hAnsi="Arial" w:cs="Arial"/>
          <w:bCs/>
          <w:sz w:val="24"/>
          <w:szCs w:val="24"/>
        </w:rPr>
        <w:t xml:space="preserve">Un’altra possibilità è rappresentata dalla possibilità di concedere alle </w:t>
      </w:r>
      <w:proofErr w:type="spellStart"/>
      <w:r w:rsidRPr="004F20B0">
        <w:rPr>
          <w:rFonts w:ascii="Arial" w:hAnsi="Arial" w:cs="Arial"/>
          <w:bCs/>
          <w:sz w:val="24"/>
          <w:szCs w:val="24"/>
        </w:rPr>
        <w:t>MFIs</w:t>
      </w:r>
      <w:proofErr w:type="spellEnd"/>
      <w:r w:rsidRPr="004F20B0">
        <w:rPr>
          <w:rFonts w:ascii="Arial" w:hAnsi="Arial" w:cs="Arial"/>
          <w:bCs/>
          <w:sz w:val="24"/>
          <w:szCs w:val="24"/>
        </w:rPr>
        <w:t xml:space="preserve"> la raccolta del risparmio.</w:t>
      </w:r>
    </w:p>
    <w:p w14:paraId="5E1CA1B3" w14:textId="77777777" w:rsidR="004F20B0" w:rsidRDefault="004F20B0" w:rsidP="004F20B0">
      <w:pPr>
        <w:spacing w:line="360" w:lineRule="auto"/>
        <w:jc w:val="both"/>
        <w:rPr>
          <w:rFonts w:ascii="Arial" w:hAnsi="Arial" w:cs="Arial"/>
          <w:bCs/>
          <w:sz w:val="24"/>
          <w:szCs w:val="24"/>
        </w:rPr>
      </w:pPr>
      <w:r w:rsidRPr="004F20B0">
        <w:rPr>
          <w:rFonts w:ascii="Arial" w:hAnsi="Arial" w:cs="Arial"/>
          <w:bCs/>
          <w:sz w:val="24"/>
          <w:szCs w:val="24"/>
        </w:rPr>
        <w:lastRenderedPageBreak/>
        <w:t>È richiesta, inoltre una maggiore trasparenza della gestione, soprattutto delle iniziative assunte per l’allocazione delle risorse da erogare.</w:t>
      </w:r>
    </w:p>
    <w:p w14:paraId="0A87AE30" w14:textId="43F41B1C" w:rsidR="009476C9" w:rsidRDefault="009476C9" w:rsidP="009476C9">
      <w:pPr>
        <w:spacing w:line="360" w:lineRule="auto"/>
        <w:jc w:val="both"/>
        <w:rPr>
          <w:rFonts w:ascii="Arial" w:hAnsi="Arial" w:cs="Arial"/>
          <w:bCs/>
          <w:sz w:val="24"/>
          <w:szCs w:val="24"/>
        </w:rPr>
      </w:pPr>
      <w:r>
        <w:rPr>
          <w:rFonts w:ascii="Arial" w:hAnsi="Arial" w:cs="Arial"/>
          <w:bCs/>
          <w:sz w:val="24"/>
          <w:szCs w:val="24"/>
        </w:rPr>
        <w:t xml:space="preserve">Per quanto attiene, invece, all’impiego del microcredito occorre una riflessione sulla base della quale si deve ritenere che il microcredito non può essere considerato come uno strumento da utilizzare per un lungo periodo, ma come un mezzo finanziario per </w:t>
      </w:r>
      <w:r w:rsidRPr="009476C9">
        <w:rPr>
          <w:rFonts w:ascii="Arial" w:hAnsi="Arial" w:cs="Arial"/>
          <w:bCs/>
          <w:sz w:val="24"/>
          <w:szCs w:val="24"/>
        </w:rPr>
        <w:t>la promozione dell</w:t>
      </w:r>
      <w:r>
        <w:rPr>
          <w:rFonts w:ascii="Arial" w:hAnsi="Arial" w:cs="Arial"/>
          <w:bCs/>
          <w:sz w:val="24"/>
          <w:szCs w:val="24"/>
        </w:rPr>
        <w:t>’</w:t>
      </w:r>
      <w:r w:rsidRPr="009476C9">
        <w:rPr>
          <w:rFonts w:ascii="Arial" w:hAnsi="Arial" w:cs="Arial"/>
          <w:bCs/>
          <w:sz w:val="24"/>
          <w:szCs w:val="24"/>
        </w:rPr>
        <w:t>inclusione socioeconomica.</w:t>
      </w:r>
    </w:p>
    <w:p w14:paraId="12320CD4" w14:textId="1351D602" w:rsidR="009476C9" w:rsidRDefault="009476C9" w:rsidP="009476C9">
      <w:pPr>
        <w:spacing w:line="360" w:lineRule="auto"/>
        <w:jc w:val="both"/>
        <w:rPr>
          <w:rFonts w:ascii="Arial" w:hAnsi="Arial" w:cs="Arial"/>
          <w:bCs/>
          <w:sz w:val="24"/>
          <w:szCs w:val="24"/>
        </w:rPr>
      </w:pPr>
      <w:r>
        <w:rPr>
          <w:rFonts w:ascii="Arial" w:hAnsi="Arial" w:cs="Arial"/>
          <w:bCs/>
          <w:sz w:val="24"/>
          <w:szCs w:val="24"/>
        </w:rPr>
        <w:t>In definitiva, non si può ritenere che il</w:t>
      </w:r>
      <w:r w:rsidRPr="009476C9">
        <w:rPr>
          <w:rFonts w:ascii="Arial" w:hAnsi="Arial" w:cs="Arial"/>
          <w:bCs/>
          <w:sz w:val="24"/>
          <w:szCs w:val="24"/>
        </w:rPr>
        <w:t xml:space="preserve"> microcredito </w:t>
      </w:r>
      <w:r>
        <w:rPr>
          <w:rFonts w:ascii="Arial" w:hAnsi="Arial" w:cs="Arial"/>
          <w:bCs/>
          <w:sz w:val="24"/>
          <w:szCs w:val="24"/>
        </w:rPr>
        <w:t>possa essere usato come una soluzione di carattere generale.</w:t>
      </w:r>
    </w:p>
    <w:p w14:paraId="1CF5A399" w14:textId="5C1E1D5D" w:rsidR="009476C9" w:rsidRPr="009476C9" w:rsidRDefault="009476C9" w:rsidP="009476C9">
      <w:pPr>
        <w:spacing w:line="360" w:lineRule="auto"/>
        <w:jc w:val="both"/>
        <w:rPr>
          <w:rFonts w:ascii="Arial" w:hAnsi="Arial" w:cs="Arial"/>
          <w:bCs/>
          <w:sz w:val="24"/>
          <w:szCs w:val="24"/>
        </w:rPr>
      </w:pPr>
      <w:r>
        <w:rPr>
          <w:rFonts w:ascii="Arial" w:hAnsi="Arial" w:cs="Arial"/>
          <w:bCs/>
          <w:sz w:val="24"/>
          <w:szCs w:val="24"/>
        </w:rPr>
        <w:t>Occorre, inoltre, una vigilanza sulla corretta applicazione dei tassi di interesse</w:t>
      </w:r>
      <w:r w:rsidR="00A95FA0">
        <w:rPr>
          <w:rFonts w:ascii="Arial" w:hAnsi="Arial" w:cs="Arial"/>
          <w:bCs/>
          <w:sz w:val="24"/>
          <w:szCs w:val="24"/>
        </w:rPr>
        <w:t>, per evitare eventi e situazioni spiacevoli che coinvolgono la vita delle persone e u</w:t>
      </w:r>
      <w:r>
        <w:rPr>
          <w:rFonts w:ascii="Arial" w:hAnsi="Arial" w:cs="Arial"/>
          <w:bCs/>
          <w:sz w:val="24"/>
          <w:szCs w:val="24"/>
        </w:rPr>
        <w:t xml:space="preserve">n </w:t>
      </w:r>
      <w:r w:rsidR="00A95FA0">
        <w:rPr>
          <w:rFonts w:ascii="Arial" w:hAnsi="Arial" w:cs="Arial"/>
          <w:bCs/>
          <w:sz w:val="24"/>
          <w:szCs w:val="24"/>
        </w:rPr>
        <w:t xml:space="preserve">miglior </w:t>
      </w:r>
      <w:r>
        <w:rPr>
          <w:rFonts w:ascii="Arial" w:hAnsi="Arial" w:cs="Arial"/>
          <w:bCs/>
          <w:sz w:val="24"/>
          <w:szCs w:val="24"/>
        </w:rPr>
        <w:t xml:space="preserve">coordinamento </w:t>
      </w:r>
      <w:r w:rsidR="00A95FA0">
        <w:rPr>
          <w:rFonts w:ascii="Arial" w:hAnsi="Arial" w:cs="Arial"/>
          <w:bCs/>
          <w:sz w:val="24"/>
          <w:szCs w:val="24"/>
        </w:rPr>
        <w:t>degli operatori per uniformare le procedure gestionali ed informative.</w:t>
      </w:r>
      <w:r>
        <w:rPr>
          <w:rFonts w:ascii="Arial" w:hAnsi="Arial" w:cs="Arial"/>
          <w:bCs/>
          <w:sz w:val="24"/>
          <w:szCs w:val="24"/>
        </w:rPr>
        <w:t xml:space="preserve"> </w:t>
      </w:r>
    </w:p>
    <w:p w14:paraId="0B7447D7" w14:textId="77777777" w:rsidR="004F20B0" w:rsidRPr="004F20B0" w:rsidRDefault="004F20B0" w:rsidP="004F20B0">
      <w:pPr>
        <w:spacing w:line="360" w:lineRule="auto"/>
        <w:jc w:val="both"/>
        <w:rPr>
          <w:rFonts w:ascii="Arial" w:hAnsi="Arial" w:cs="Arial"/>
          <w:bCs/>
          <w:sz w:val="24"/>
          <w:szCs w:val="24"/>
        </w:rPr>
      </w:pPr>
    </w:p>
    <w:p w14:paraId="06F4C798" w14:textId="77777777" w:rsidR="004F20B0" w:rsidRPr="004F20B0" w:rsidRDefault="004F20B0" w:rsidP="004F20B0">
      <w:pPr>
        <w:spacing w:line="360" w:lineRule="auto"/>
        <w:jc w:val="both"/>
        <w:rPr>
          <w:rFonts w:ascii="Arial" w:hAnsi="Arial" w:cs="Arial"/>
          <w:bCs/>
          <w:sz w:val="24"/>
          <w:szCs w:val="24"/>
        </w:rPr>
      </w:pPr>
    </w:p>
    <w:p w14:paraId="7799C671" w14:textId="77777777" w:rsidR="004F20B0" w:rsidRPr="004F20B0" w:rsidRDefault="004F20B0" w:rsidP="004F20B0">
      <w:pPr>
        <w:spacing w:line="360" w:lineRule="auto"/>
        <w:jc w:val="both"/>
        <w:rPr>
          <w:rFonts w:ascii="Arial" w:hAnsi="Arial" w:cs="Arial"/>
          <w:bCs/>
          <w:sz w:val="24"/>
          <w:szCs w:val="24"/>
        </w:rPr>
      </w:pPr>
    </w:p>
    <w:p w14:paraId="615ECE0A" w14:textId="77777777" w:rsidR="004F20B0" w:rsidRPr="004F20B0" w:rsidRDefault="004F20B0" w:rsidP="004F20B0">
      <w:pPr>
        <w:spacing w:line="360" w:lineRule="auto"/>
        <w:jc w:val="both"/>
        <w:rPr>
          <w:rFonts w:ascii="Arial" w:hAnsi="Arial" w:cs="Arial"/>
          <w:bCs/>
          <w:sz w:val="24"/>
          <w:szCs w:val="24"/>
        </w:rPr>
      </w:pPr>
    </w:p>
    <w:p w14:paraId="0D13528B" w14:textId="77777777" w:rsidR="004F20B0" w:rsidRPr="004F20B0" w:rsidRDefault="004F20B0" w:rsidP="004F20B0">
      <w:pPr>
        <w:spacing w:line="360" w:lineRule="auto"/>
        <w:jc w:val="both"/>
        <w:rPr>
          <w:rFonts w:ascii="Arial" w:hAnsi="Arial" w:cs="Arial"/>
          <w:bCs/>
          <w:sz w:val="24"/>
          <w:szCs w:val="24"/>
        </w:rPr>
      </w:pPr>
    </w:p>
    <w:p w14:paraId="39524A1B" w14:textId="77777777" w:rsidR="004F20B0" w:rsidRPr="004F20B0" w:rsidRDefault="004F20B0" w:rsidP="004F20B0">
      <w:pPr>
        <w:spacing w:line="360" w:lineRule="auto"/>
        <w:jc w:val="both"/>
        <w:rPr>
          <w:rFonts w:ascii="Arial" w:hAnsi="Arial" w:cs="Arial"/>
          <w:bCs/>
          <w:sz w:val="24"/>
          <w:szCs w:val="24"/>
        </w:rPr>
      </w:pPr>
    </w:p>
    <w:p w14:paraId="24F1BCB6" w14:textId="77777777" w:rsidR="004F20B0" w:rsidRPr="004F20B0" w:rsidRDefault="004F20B0" w:rsidP="004F20B0">
      <w:pPr>
        <w:spacing w:line="360" w:lineRule="auto"/>
        <w:jc w:val="both"/>
        <w:rPr>
          <w:rFonts w:ascii="Arial" w:hAnsi="Arial" w:cs="Arial"/>
          <w:bCs/>
          <w:sz w:val="24"/>
          <w:szCs w:val="24"/>
        </w:rPr>
      </w:pPr>
    </w:p>
    <w:p w14:paraId="68E14FDB" w14:textId="77777777" w:rsidR="004F20B0" w:rsidRPr="004F20B0" w:rsidRDefault="004F20B0" w:rsidP="004F20B0">
      <w:pPr>
        <w:spacing w:line="360" w:lineRule="auto"/>
        <w:jc w:val="both"/>
        <w:rPr>
          <w:rFonts w:ascii="Arial" w:hAnsi="Arial" w:cs="Arial"/>
          <w:b/>
          <w:sz w:val="24"/>
          <w:szCs w:val="24"/>
        </w:rPr>
      </w:pPr>
    </w:p>
    <w:p w14:paraId="26C1782D" w14:textId="77777777" w:rsidR="004F20B0" w:rsidRPr="004F20B0" w:rsidRDefault="004F20B0" w:rsidP="004F20B0">
      <w:pPr>
        <w:spacing w:line="360" w:lineRule="auto"/>
        <w:jc w:val="both"/>
        <w:rPr>
          <w:rFonts w:ascii="Arial" w:hAnsi="Arial" w:cs="Arial"/>
          <w:b/>
          <w:sz w:val="24"/>
          <w:szCs w:val="24"/>
        </w:rPr>
      </w:pPr>
    </w:p>
    <w:p w14:paraId="672C143D" w14:textId="77777777" w:rsidR="004F20B0" w:rsidRPr="004F20B0" w:rsidRDefault="004F20B0" w:rsidP="004F20B0">
      <w:pPr>
        <w:spacing w:line="360" w:lineRule="auto"/>
        <w:jc w:val="both"/>
        <w:rPr>
          <w:rFonts w:ascii="Arial" w:hAnsi="Arial" w:cs="Arial"/>
          <w:b/>
          <w:sz w:val="24"/>
          <w:szCs w:val="24"/>
        </w:rPr>
      </w:pPr>
    </w:p>
    <w:p w14:paraId="2111435A" w14:textId="77777777" w:rsidR="004F20B0" w:rsidRPr="004F20B0" w:rsidRDefault="004F20B0" w:rsidP="004F20B0">
      <w:pPr>
        <w:spacing w:line="360" w:lineRule="auto"/>
        <w:jc w:val="both"/>
        <w:rPr>
          <w:rFonts w:ascii="Arial" w:hAnsi="Arial" w:cs="Arial"/>
          <w:b/>
          <w:sz w:val="24"/>
          <w:szCs w:val="24"/>
        </w:rPr>
      </w:pPr>
    </w:p>
    <w:p w14:paraId="2E518958" w14:textId="77777777" w:rsidR="004F20B0" w:rsidRPr="004F20B0" w:rsidRDefault="004F20B0" w:rsidP="004F20B0">
      <w:pPr>
        <w:spacing w:line="360" w:lineRule="auto"/>
        <w:jc w:val="both"/>
        <w:rPr>
          <w:rFonts w:ascii="Arial" w:hAnsi="Arial" w:cs="Arial"/>
          <w:b/>
          <w:sz w:val="24"/>
          <w:szCs w:val="24"/>
        </w:rPr>
      </w:pPr>
    </w:p>
    <w:p w14:paraId="090ED0E9" w14:textId="77777777" w:rsidR="004F20B0" w:rsidRPr="004F20B0" w:rsidRDefault="004F20B0" w:rsidP="004F20B0">
      <w:pPr>
        <w:spacing w:line="360" w:lineRule="auto"/>
        <w:jc w:val="both"/>
        <w:rPr>
          <w:rFonts w:ascii="Arial" w:hAnsi="Arial" w:cs="Arial"/>
          <w:b/>
          <w:sz w:val="24"/>
          <w:szCs w:val="24"/>
        </w:rPr>
      </w:pPr>
    </w:p>
    <w:p w14:paraId="18712941" w14:textId="77777777" w:rsidR="004F20B0" w:rsidRPr="004F20B0" w:rsidRDefault="004F20B0" w:rsidP="004F20B0">
      <w:pPr>
        <w:spacing w:line="360" w:lineRule="auto"/>
        <w:jc w:val="both"/>
        <w:rPr>
          <w:rFonts w:ascii="Arial" w:hAnsi="Arial" w:cs="Arial"/>
          <w:b/>
          <w:sz w:val="24"/>
          <w:szCs w:val="24"/>
        </w:rPr>
      </w:pPr>
    </w:p>
    <w:p w14:paraId="1CF402F0" w14:textId="77777777" w:rsidR="00222F2D" w:rsidRDefault="00222F2D" w:rsidP="00222F2D">
      <w:pPr>
        <w:spacing w:line="360" w:lineRule="auto"/>
        <w:jc w:val="both"/>
        <w:rPr>
          <w:rFonts w:ascii="Arial" w:hAnsi="Arial" w:cs="Arial"/>
          <w:b/>
          <w:sz w:val="24"/>
          <w:szCs w:val="24"/>
        </w:rPr>
      </w:pPr>
    </w:p>
    <w:p w14:paraId="582179B8" w14:textId="77777777" w:rsidR="00222F2D" w:rsidRDefault="00222F2D" w:rsidP="00222F2D">
      <w:pPr>
        <w:spacing w:line="360" w:lineRule="auto"/>
        <w:jc w:val="both"/>
        <w:rPr>
          <w:rFonts w:ascii="Arial" w:hAnsi="Arial" w:cs="Arial"/>
          <w:b/>
          <w:sz w:val="24"/>
          <w:szCs w:val="24"/>
        </w:rPr>
      </w:pPr>
    </w:p>
    <w:p w14:paraId="2575571D" w14:textId="6F8FE2D4" w:rsidR="00222F2D" w:rsidRPr="00077609" w:rsidRDefault="00222F2D" w:rsidP="00077609">
      <w:pPr>
        <w:pStyle w:val="Paragrafoelenco"/>
        <w:numPr>
          <w:ilvl w:val="0"/>
          <w:numId w:val="32"/>
        </w:numPr>
        <w:spacing w:after="0" w:line="360" w:lineRule="auto"/>
        <w:jc w:val="both"/>
        <w:rPr>
          <w:rFonts w:ascii="Arial" w:eastAsia="Calibri" w:hAnsi="Arial" w:cs="Arial"/>
          <w:b/>
          <w:sz w:val="24"/>
          <w:szCs w:val="24"/>
        </w:rPr>
      </w:pPr>
      <w:r w:rsidRPr="00077609">
        <w:rPr>
          <w:rFonts w:ascii="Arial" w:eastAsia="Calibri" w:hAnsi="Arial" w:cs="Arial"/>
          <w:b/>
          <w:sz w:val="24"/>
          <w:szCs w:val="24"/>
        </w:rPr>
        <w:lastRenderedPageBreak/>
        <w:t>BIBLIOGRAFIA</w:t>
      </w:r>
    </w:p>
    <w:p w14:paraId="219BA9B6" w14:textId="77777777" w:rsidR="00222F2D" w:rsidRPr="009B378C" w:rsidRDefault="00222F2D" w:rsidP="00222F2D">
      <w:pPr>
        <w:spacing w:after="0" w:line="276" w:lineRule="auto"/>
        <w:jc w:val="both"/>
        <w:rPr>
          <w:rFonts w:ascii="Arial" w:eastAsia="Calibri" w:hAnsi="Arial" w:cs="Arial"/>
          <w:sz w:val="24"/>
          <w:szCs w:val="24"/>
        </w:rPr>
      </w:pPr>
    </w:p>
    <w:p w14:paraId="6BCA6B1B"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Anderson R. T., “</w:t>
      </w:r>
      <w:r w:rsidRPr="009B378C">
        <w:rPr>
          <w:rFonts w:ascii="Arial" w:eastAsia="Calibri" w:hAnsi="Arial" w:cs="Arial"/>
          <w:i/>
          <w:sz w:val="24"/>
          <w:szCs w:val="24"/>
        </w:rPr>
        <w:t>Associazioni di credito a rotazione in India</w:t>
      </w:r>
      <w:r w:rsidRPr="009B378C">
        <w:rPr>
          <w:rFonts w:ascii="Arial" w:eastAsia="Calibri" w:hAnsi="Arial" w:cs="Arial"/>
          <w:sz w:val="24"/>
          <w:szCs w:val="24"/>
        </w:rPr>
        <w:t>”, Sviluppo economico e cambiamento culturale, n. 14/1966, pp. 334-339.</w:t>
      </w:r>
    </w:p>
    <w:p w14:paraId="4F7BC94B" w14:textId="77777777" w:rsidR="00222F2D" w:rsidRDefault="00222F2D" w:rsidP="00222F2D">
      <w:pPr>
        <w:spacing w:after="0" w:line="276" w:lineRule="auto"/>
        <w:jc w:val="both"/>
        <w:rPr>
          <w:rFonts w:ascii="Arial" w:eastAsia="Calibri" w:hAnsi="Arial" w:cs="Arial"/>
          <w:sz w:val="24"/>
          <w:szCs w:val="24"/>
        </w:rPr>
      </w:pPr>
    </w:p>
    <w:p w14:paraId="5AE61E08" w14:textId="77777777" w:rsidR="00222F2D" w:rsidRPr="009B378C" w:rsidRDefault="00222F2D" w:rsidP="00222F2D">
      <w:pPr>
        <w:spacing w:after="0" w:line="276" w:lineRule="auto"/>
        <w:jc w:val="both"/>
        <w:rPr>
          <w:rFonts w:ascii="Arial" w:eastAsia="Calibri" w:hAnsi="Arial" w:cs="Arial"/>
          <w:sz w:val="24"/>
          <w:szCs w:val="24"/>
          <w:shd w:val="clear" w:color="auto" w:fill="FFFFFF"/>
        </w:rPr>
      </w:pPr>
      <w:r w:rsidRPr="009B378C">
        <w:rPr>
          <w:rFonts w:ascii="Arial" w:eastAsia="Calibri" w:hAnsi="Arial" w:cs="Arial"/>
          <w:sz w:val="24"/>
          <w:szCs w:val="24"/>
        </w:rPr>
        <w:t>Armendariz de Aghion B., Morduch J., “</w:t>
      </w:r>
      <w:r w:rsidRPr="009B378C">
        <w:rPr>
          <w:rFonts w:ascii="Arial" w:eastAsia="Calibri" w:hAnsi="Arial" w:cs="Arial"/>
          <w:i/>
          <w:sz w:val="24"/>
          <w:szCs w:val="24"/>
        </w:rPr>
        <w:t>L'economia della microfinanza”</w:t>
      </w:r>
      <w:r w:rsidRPr="009B378C">
        <w:rPr>
          <w:rFonts w:ascii="Arial" w:eastAsia="Calibri" w:hAnsi="Arial" w:cs="Arial"/>
          <w:sz w:val="24"/>
          <w:szCs w:val="24"/>
        </w:rPr>
        <w:t>,</w:t>
      </w:r>
      <w:r w:rsidRPr="009B378C">
        <w:rPr>
          <w:rFonts w:ascii="Arial" w:eastAsia="Calibri" w:hAnsi="Arial" w:cs="Arial"/>
          <w:sz w:val="24"/>
          <w:szCs w:val="24"/>
          <w:shd w:val="clear" w:color="auto" w:fill="FFFFFF"/>
        </w:rPr>
        <w:t xml:space="preserve"> MIT, MA, 2005.</w:t>
      </w:r>
    </w:p>
    <w:p w14:paraId="491B064D" w14:textId="77777777" w:rsidR="00222F2D" w:rsidRPr="009B378C" w:rsidRDefault="00222F2D" w:rsidP="00222F2D">
      <w:pPr>
        <w:spacing w:after="0" w:line="276" w:lineRule="auto"/>
        <w:jc w:val="both"/>
        <w:rPr>
          <w:rFonts w:ascii="Arial" w:eastAsia="Calibri" w:hAnsi="Arial" w:cs="Arial"/>
          <w:sz w:val="24"/>
          <w:szCs w:val="24"/>
        </w:rPr>
      </w:pPr>
    </w:p>
    <w:p w14:paraId="2CCD994E" w14:textId="77777777" w:rsidR="00222F2D" w:rsidRPr="003636DE"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sz w:val="24"/>
          <w:szCs w:val="24"/>
          <w:lang w:val="en-US"/>
        </w:rPr>
        <w:t>Aronson, R. L., “</w:t>
      </w:r>
      <w:r w:rsidRPr="003636DE">
        <w:rPr>
          <w:rFonts w:ascii="Arial" w:eastAsia="Calibri" w:hAnsi="Arial" w:cs="Arial"/>
          <w:i/>
          <w:iCs/>
          <w:sz w:val="24"/>
          <w:szCs w:val="24"/>
          <w:lang w:val="en-US"/>
        </w:rPr>
        <w:t>Self-Employment: A Labor Market Perspective</w:t>
      </w:r>
      <w:r w:rsidRPr="003636DE">
        <w:rPr>
          <w:rFonts w:ascii="Arial" w:eastAsia="Calibri" w:hAnsi="Arial" w:cs="Arial"/>
          <w:sz w:val="24"/>
          <w:szCs w:val="24"/>
          <w:lang w:val="en-US"/>
        </w:rPr>
        <w:t>”, Cornell University Press, 2019.</w:t>
      </w:r>
    </w:p>
    <w:p w14:paraId="667F1D4D" w14:textId="77777777" w:rsidR="00222F2D" w:rsidRPr="003636DE" w:rsidRDefault="00222F2D" w:rsidP="00222F2D">
      <w:pPr>
        <w:spacing w:after="0" w:line="276" w:lineRule="auto"/>
        <w:jc w:val="both"/>
        <w:rPr>
          <w:rFonts w:ascii="Arial" w:eastAsia="Calibri" w:hAnsi="Arial" w:cs="Arial"/>
          <w:sz w:val="24"/>
          <w:szCs w:val="24"/>
          <w:lang w:val="en-US"/>
        </w:rPr>
      </w:pPr>
    </w:p>
    <w:p w14:paraId="3593F641"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Attinà F., Natalicchi G., “</w:t>
      </w:r>
      <w:r w:rsidRPr="009B378C">
        <w:rPr>
          <w:rFonts w:ascii="Arial" w:eastAsia="Calibri" w:hAnsi="Arial" w:cs="Arial"/>
          <w:i/>
          <w:sz w:val="24"/>
          <w:szCs w:val="24"/>
        </w:rPr>
        <w:t>L’ Unione Europea. Governo, istituzioni, politiche</w:t>
      </w:r>
      <w:r w:rsidRPr="009B378C">
        <w:rPr>
          <w:rFonts w:ascii="Arial" w:eastAsia="Calibri" w:hAnsi="Arial" w:cs="Arial"/>
          <w:sz w:val="24"/>
          <w:szCs w:val="24"/>
        </w:rPr>
        <w:t>”, Il Mulino, 2010.</w:t>
      </w:r>
    </w:p>
    <w:p w14:paraId="085AE8F1" w14:textId="77777777" w:rsidR="00222F2D" w:rsidRPr="009B378C" w:rsidRDefault="00222F2D" w:rsidP="00222F2D">
      <w:pPr>
        <w:spacing w:after="0" w:line="276" w:lineRule="auto"/>
        <w:jc w:val="both"/>
        <w:rPr>
          <w:rFonts w:ascii="Arial" w:eastAsia="Calibri" w:hAnsi="Arial" w:cs="Arial"/>
          <w:sz w:val="24"/>
          <w:szCs w:val="24"/>
        </w:rPr>
      </w:pPr>
    </w:p>
    <w:p w14:paraId="22A72A69" w14:textId="77777777" w:rsidR="00222F2D" w:rsidRPr="009B378C" w:rsidRDefault="00222F2D" w:rsidP="00222F2D">
      <w:pPr>
        <w:tabs>
          <w:tab w:val="left" w:pos="284"/>
        </w:tabs>
        <w:spacing w:after="0" w:line="276" w:lineRule="auto"/>
        <w:jc w:val="both"/>
        <w:rPr>
          <w:rFonts w:ascii="Arial" w:eastAsia="Calibri" w:hAnsi="Arial" w:cs="Arial"/>
          <w:sz w:val="24"/>
          <w:szCs w:val="24"/>
        </w:rPr>
      </w:pPr>
      <w:r w:rsidRPr="009B378C">
        <w:rPr>
          <w:rFonts w:ascii="Arial" w:eastAsia="Calibri" w:hAnsi="Arial" w:cs="Arial"/>
          <w:sz w:val="24"/>
          <w:szCs w:val="24"/>
        </w:rPr>
        <w:t>Avallone P., “</w:t>
      </w:r>
      <w:r w:rsidRPr="009B378C">
        <w:rPr>
          <w:rFonts w:ascii="Arial" w:eastAsia="Calibri" w:hAnsi="Arial" w:cs="Arial"/>
          <w:i/>
          <w:iCs/>
          <w:sz w:val="24"/>
          <w:szCs w:val="24"/>
        </w:rPr>
        <w:t>Alle origini del microcredito nel Mediterraneo: monti di pietà e monti frumentari nel Mezzogiorno preunitario</w:t>
      </w:r>
      <w:r w:rsidRPr="009B378C">
        <w:rPr>
          <w:rFonts w:ascii="Arial" w:eastAsia="Calibri" w:hAnsi="Arial" w:cs="Arial"/>
          <w:sz w:val="24"/>
          <w:szCs w:val="24"/>
        </w:rPr>
        <w:t>”, in “Crocevia mediterranei: società, culture e migrazioni nel Mediterraneo (secoli XIX-XX): studi in onore di Luciana Gatti. – (Europa e Mediterraneo. Storia e immagini di una comunità internazionale) - Cagliari: ISEM - Istituto di Storia dell’Europa Mediterranea, 2010.</w:t>
      </w:r>
    </w:p>
    <w:p w14:paraId="0212D537" w14:textId="77777777" w:rsidR="00222F2D" w:rsidRPr="009B378C" w:rsidRDefault="00222F2D" w:rsidP="00222F2D">
      <w:pPr>
        <w:spacing w:after="0" w:line="276" w:lineRule="auto"/>
        <w:jc w:val="both"/>
        <w:rPr>
          <w:rFonts w:ascii="Arial" w:eastAsia="Calibri" w:hAnsi="Arial" w:cs="Arial"/>
          <w:b/>
          <w:bCs/>
          <w:sz w:val="24"/>
          <w:szCs w:val="24"/>
        </w:rPr>
      </w:pPr>
    </w:p>
    <w:p w14:paraId="278A5501"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Banca Mondiale, “</w:t>
      </w:r>
      <w:r w:rsidRPr="009B378C">
        <w:rPr>
          <w:rFonts w:ascii="Arial" w:eastAsia="Calibri" w:hAnsi="Arial" w:cs="Arial"/>
          <w:i/>
          <w:iCs/>
          <w:sz w:val="24"/>
          <w:szCs w:val="24"/>
        </w:rPr>
        <w:t>Povertà e prosperità condivisa 2022</w:t>
      </w:r>
      <w:r w:rsidRPr="009B378C">
        <w:rPr>
          <w:rFonts w:ascii="Arial" w:eastAsia="Calibri" w:hAnsi="Arial" w:cs="Arial"/>
          <w:sz w:val="24"/>
          <w:szCs w:val="24"/>
        </w:rPr>
        <w:t>”, in https://openknowledge.worldbank.org.</w:t>
      </w:r>
    </w:p>
    <w:p w14:paraId="00EBDFC9" w14:textId="77777777" w:rsidR="00222F2D" w:rsidRPr="003636DE" w:rsidRDefault="00222F2D" w:rsidP="00222F2D">
      <w:pPr>
        <w:spacing w:after="0" w:line="276" w:lineRule="auto"/>
        <w:jc w:val="both"/>
        <w:rPr>
          <w:rFonts w:ascii="Arial" w:eastAsia="Calibri" w:hAnsi="Arial" w:cs="Arial"/>
          <w:sz w:val="24"/>
          <w:szCs w:val="24"/>
        </w:rPr>
      </w:pPr>
    </w:p>
    <w:p w14:paraId="73F4D305" w14:textId="77777777" w:rsidR="00222F2D" w:rsidRPr="009B378C"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sz w:val="24"/>
          <w:szCs w:val="24"/>
          <w:lang w:val="en-US"/>
        </w:rPr>
        <w:t xml:space="preserve">Bhatnagar, D., Dewan, A., Torres, M. M., Kanungo, P., </w:t>
      </w:r>
      <w:r w:rsidRPr="003636DE">
        <w:rPr>
          <w:rFonts w:ascii="Arial" w:eastAsia="Calibri" w:hAnsi="Arial" w:cs="Arial"/>
          <w:i/>
          <w:iCs/>
          <w:sz w:val="24"/>
          <w:szCs w:val="24"/>
          <w:lang w:val="en-US"/>
        </w:rPr>
        <w:t>Consultative Group to Assist the Poorest</w:t>
      </w:r>
      <w:r w:rsidRPr="003636DE">
        <w:rPr>
          <w:rFonts w:ascii="Arial" w:eastAsia="Calibri" w:hAnsi="Arial" w:cs="Arial"/>
          <w:sz w:val="24"/>
          <w:szCs w:val="24"/>
          <w:lang w:val="en-US"/>
        </w:rPr>
        <w:t xml:space="preserve"> (CGAP). </w:t>
      </w:r>
      <w:r w:rsidRPr="009B378C">
        <w:rPr>
          <w:rFonts w:ascii="Arial" w:eastAsia="Calibri" w:hAnsi="Arial" w:cs="Arial"/>
          <w:sz w:val="24"/>
          <w:szCs w:val="24"/>
          <w:lang w:val="en-US"/>
        </w:rPr>
        <w:t>Empowerment case studies Washington, D.C.: World Bank Group, in http://documents.worldbank.org/curated/en/433421468153290801/Consultative-Group-to-Assist-the-Poorest-CGAP.</w:t>
      </w:r>
    </w:p>
    <w:p w14:paraId="12505F15" w14:textId="77777777" w:rsidR="00222F2D" w:rsidRPr="003636DE" w:rsidRDefault="00222F2D" w:rsidP="00222F2D">
      <w:pPr>
        <w:spacing w:after="0" w:line="276" w:lineRule="auto"/>
        <w:jc w:val="both"/>
        <w:rPr>
          <w:rFonts w:ascii="Arial" w:eastAsia="Calibri" w:hAnsi="Arial" w:cs="Arial"/>
          <w:sz w:val="24"/>
          <w:szCs w:val="24"/>
          <w:lang w:val="en-US"/>
        </w:rPr>
      </w:pPr>
    </w:p>
    <w:p w14:paraId="305C55D0" w14:textId="77777777" w:rsidR="00222F2D" w:rsidRPr="003636DE"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sz w:val="24"/>
          <w:szCs w:val="24"/>
          <w:lang w:val="en-US"/>
        </w:rPr>
        <w:t>Boeri T., Giupponi G., Krueger A. B., Machin S., “</w:t>
      </w:r>
      <w:r w:rsidRPr="003636DE">
        <w:rPr>
          <w:rFonts w:ascii="Arial" w:eastAsia="Calibri" w:hAnsi="Arial" w:cs="Arial"/>
          <w:i/>
          <w:iCs/>
          <w:sz w:val="24"/>
          <w:szCs w:val="24"/>
          <w:lang w:val="en-US"/>
        </w:rPr>
        <w:t>Solo Self-Employment and Alternative Work Arrangements: A Cross-Country Perspective on the Changing Composition of Jobs</w:t>
      </w:r>
      <w:r w:rsidRPr="003636DE">
        <w:rPr>
          <w:rFonts w:ascii="Arial" w:eastAsia="Calibri" w:hAnsi="Arial" w:cs="Arial"/>
          <w:sz w:val="24"/>
          <w:szCs w:val="24"/>
          <w:lang w:val="en-US"/>
        </w:rPr>
        <w:t>”, Journal of Economic Perspectives, Vol. 34, No. 01, 2020, pp. 170-95, DOI: 10.1257/jep.34.1.170.</w:t>
      </w:r>
    </w:p>
    <w:p w14:paraId="6154D458" w14:textId="77777777" w:rsidR="00222F2D" w:rsidRPr="003636DE" w:rsidRDefault="00222F2D" w:rsidP="00222F2D">
      <w:pPr>
        <w:spacing w:after="0" w:line="276" w:lineRule="auto"/>
        <w:jc w:val="both"/>
        <w:rPr>
          <w:rFonts w:ascii="Arial" w:eastAsia="Calibri" w:hAnsi="Arial" w:cs="Arial"/>
          <w:sz w:val="24"/>
          <w:szCs w:val="24"/>
          <w:lang w:val="en-US"/>
        </w:rPr>
      </w:pPr>
    </w:p>
    <w:p w14:paraId="0E630E43" w14:textId="77777777" w:rsidR="00222F2D" w:rsidRPr="009B378C" w:rsidRDefault="00222F2D" w:rsidP="00222F2D">
      <w:pPr>
        <w:spacing w:after="0" w:line="276" w:lineRule="auto"/>
        <w:jc w:val="both"/>
        <w:rPr>
          <w:rFonts w:ascii="Arial" w:eastAsia="Calibri" w:hAnsi="Arial" w:cs="Arial"/>
          <w:sz w:val="24"/>
          <w:szCs w:val="24"/>
        </w:rPr>
      </w:pPr>
      <w:proofErr w:type="spellStart"/>
      <w:r w:rsidRPr="009B378C">
        <w:rPr>
          <w:rFonts w:ascii="Arial" w:eastAsia="Calibri" w:hAnsi="Arial" w:cs="Arial"/>
          <w:sz w:val="24"/>
          <w:szCs w:val="24"/>
        </w:rPr>
        <w:t>Bornstein</w:t>
      </w:r>
      <w:proofErr w:type="spellEnd"/>
      <w:r w:rsidRPr="009B378C">
        <w:rPr>
          <w:rFonts w:ascii="Arial" w:eastAsia="Calibri" w:hAnsi="Arial" w:cs="Arial"/>
          <w:sz w:val="24"/>
          <w:szCs w:val="24"/>
        </w:rPr>
        <w:t xml:space="preserve"> D., “</w:t>
      </w:r>
      <w:r w:rsidRPr="009B378C">
        <w:rPr>
          <w:rFonts w:ascii="Arial" w:eastAsia="Calibri" w:hAnsi="Arial" w:cs="Arial"/>
          <w:i/>
          <w:sz w:val="24"/>
          <w:szCs w:val="24"/>
        </w:rPr>
        <w:t>Il prezzo di un sogno: la storia della Grameen Bank”</w:t>
      </w:r>
      <w:r w:rsidRPr="009B378C">
        <w:rPr>
          <w:rFonts w:ascii="Arial" w:eastAsia="Calibri" w:hAnsi="Arial" w:cs="Arial"/>
          <w:sz w:val="24"/>
          <w:szCs w:val="24"/>
        </w:rPr>
        <w:t>, Oxford University Press, 2005.</w:t>
      </w:r>
    </w:p>
    <w:p w14:paraId="0926CF19" w14:textId="77777777" w:rsidR="00222F2D" w:rsidRPr="009B378C" w:rsidRDefault="00222F2D" w:rsidP="00222F2D">
      <w:pPr>
        <w:spacing w:after="0" w:line="276" w:lineRule="auto"/>
        <w:jc w:val="both"/>
        <w:rPr>
          <w:rFonts w:ascii="Arial" w:eastAsia="Calibri" w:hAnsi="Arial" w:cs="Arial"/>
          <w:sz w:val="24"/>
          <w:szCs w:val="24"/>
        </w:rPr>
      </w:pPr>
    </w:p>
    <w:p w14:paraId="30E3B2BF" w14:textId="77777777" w:rsidR="00222F2D" w:rsidRPr="009B378C" w:rsidRDefault="00222F2D" w:rsidP="00222F2D">
      <w:pPr>
        <w:tabs>
          <w:tab w:val="left" w:pos="284"/>
        </w:tabs>
        <w:spacing w:after="0" w:line="276" w:lineRule="auto"/>
        <w:jc w:val="both"/>
        <w:rPr>
          <w:rFonts w:ascii="Arial" w:eastAsia="Calibri" w:hAnsi="Arial" w:cs="Arial"/>
          <w:sz w:val="24"/>
          <w:szCs w:val="24"/>
        </w:rPr>
      </w:pPr>
      <w:r w:rsidRPr="009B378C">
        <w:rPr>
          <w:rFonts w:ascii="Arial" w:eastAsia="Calibri" w:hAnsi="Arial" w:cs="Arial"/>
          <w:sz w:val="24"/>
          <w:szCs w:val="24"/>
        </w:rPr>
        <w:t>Bromberg B., “"</w:t>
      </w:r>
      <w:r w:rsidRPr="009B378C">
        <w:rPr>
          <w:rFonts w:ascii="Arial" w:eastAsia="Calibri" w:hAnsi="Arial" w:cs="Arial"/>
          <w:i/>
          <w:sz w:val="24"/>
          <w:szCs w:val="24"/>
        </w:rPr>
        <w:t>L'origine del settore bancario: la finanza religiosa in Babilonia</w:t>
      </w:r>
      <w:r w:rsidRPr="009B378C">
        <w:rPr>
          <w:rFonts w:ascii="Arial" w:eastAsia="Calibri" w:hAnsi="Arial" w:cs="Arial"/>
          <w:sz w:val="24"/>
          <w:szCs w:val="24"/>
        </w:rPr>
        <w:t xml:space="preserve">”, in </w:t>
      </w:r>
      <w:r w:rsidRPr="009B378C">
        <w:rPr>
          <w:rFonts w:ascii="Arial" w:eastAsia="Calibri" w:hAnsi="Arial" w:cs="Arial"/>
          <w:i/>
          <w:iCs/>
          <w:sz w:val="24"/>
          <w:szCs w:val="24"/>
        </w:rPr>
        <w:t>The Journal of Economic History</w:t>
      </w:r>
      <w:r w:rsidRPr="009B378C">
        <w:rPr>
          <w:rFonts w:ascii="Arial" w:eastAsia="Calibri" w:hAnsi="Arial" w:cs="Arial"/>
          <w:sz w:val="24"/>
          <w:szCs w:val="24"/>
        </w:rPr>
        <w:t>, Cambridge University Press, Vol. 2, No. 01, 1942, pp. 77- 88.</w:t>
      </w:r>
    </w:p>
    <w:p w14:paraId="2A4D19DD" w14:textId="77777777" w:rsidR="00222F2D" w:rsidRPr="009B378C" w:rsidRDefault="00222F2D" w:rsidP="00222F2D">
      <w:pPr>
        <w:tabs>
          <w:tab w:val="left" w:pos="284"/>
        </w:tabs>
        <w:spacing w:after="0" w:line="276" w:lineRule="auto"/>
        <w:jc w:val="both"/>
        <w:rPr>
          <w:rFonts w:ascii="Arial" w:eastAsia="Calibri" w:hAnsi="Arial" w:cs="Arial"/>
          <w:sz w:val="24"/>
          <w:szCs w:val="24"/>
        </w:rPr>
      </w:pPr>
    </w:p>
    <w:p w14:paraId="6AE5E9E8" w14:textId="77777777" w:rsidR="00222F2D"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Brunori L. (a cura di), “</w:t>
      </w:r>
      <w:r w:rsidRPr="009B378C">
        <w:rPr>
          <w:rFonts w:ascii="Arial" w:eastAsia="Calibri" w:hAnsi="Arial" w:cs="Arial"/>
          <w:i/>
          <w:iCs/>
          <w:sz w:val="24"/>
          <w:szCs w:val="24"/>
        </w:rPr>
        <w:t>La complessa identità del credito. Una ricerca multidisciplinare</w:t>
      </w:r>
      <w:r w:rsidRPr="009B378C">
        <w:rPr>
          <w:rFonts w:ascii="Arial" w:eastAsia="Calibri" w:hAnsi="Arial" w:cs="Arial"/>
          <w:sz w:val="24"/>
          <w:szCs w:val="24"/>
        </w:rPr>
        <w:t>”, Il Mulino, Bologna, 2014.</w:t>
      </w:r>
    </w:p>
    <w:p w14:paraId="76B61E9E" w14:textId="77777777" w:rsidR="00205466" w:rsidRDefault="00205466" w:rsidP="00222F2D">
      <w:pPr>
        <w:spacing w:after="0" w:line="276" w:lineRule="auto"/>
        <w:jc w:val="both"/>
        <w:rPr>
          <w:rFonts w:ascii="Arial" w:eastAsia="Calibri" w:hAnsi="Arial" w:cs="Arial"/>
          <w:sz w:val="24"/>
          <w:szCs w:val="24"/>
        </w:rPr>
      </w:pPr>
    </w:p>
    <w:p w14:paraId="1D257ECB" w14:textId="77777777" w:rsidR="00205466" w:rsidRPr="00216EA7" w:rsidRDefault="00205466" w:rsidP="00205466">
      <w:pPr>
        <w:spacing w:after="0" w:line="276" w:lineRule="auto"/>
        <w:jc w:val="both"/>
        <w:rPr>
          <w:rFonts w:ascii="Arial" w:eastAsia="Calibri" w:hAnsi="Arial" w:cs="Arial"/>
          <w:sz w:val="24"/>
          <w:szCs w:val="24"/>
        </w:rPr>
      </w:pPr>
      <w:r w:rsidRPr="00216EA7">
        <w:rPr>
          <w:rFonts w:ascii="Arial" w:hAnsi="Arial" w:cs="Arial"/>
          <w:sz w:val="24"/>
          <w:szCs w:val="24"/>
        </w:rPr>
        <w:t>Bruschi F., “</w:t>
      </w:r>
      <w:r w:rsidRPr="00216EA7">
        <w:rPr>
          <w:rFonts w:ascii="Arial" w:hAnsi="Arial" w:cs="Arial"/>
          <w:i/>
          <w:iCs/>
          <w:sz w:val="24"/>
          <w:szCs w:val="24"/>
        </w:rPr>
        <w:t>L‘informalizzazione: pericolo o risorsa per l’Africa</w:t>
      </w:r>
      <w:r w:rsidRPr="00216EA7">
        <w:rPr>
          <w:rFonts w:ascii="Arial" w:hAnsi="Arial" w:cs="Arial"/>
          <w:sz w:val="24"/>
          <w:szCs w:val="24"/>
        </w:rPr>
        <w:t>?”, Rivista trimestrale di studi e documentazione dell’Istituto italiano per l’Africa e l’Oriente, Vol. 56, n. 02, 2001, pp. 210-239, 2001.</w:t>
      </w:r>
    </w:p>
    <w:p w14:paraId="427DFEB3" w14:textId="77777777" w:rsidR="00205466" w:rsidRDefault="00205466" w:rsidP="00205466">
      <w:pPr>
        <w:spacing w:after="0" w:line="276" w:lineRule="auto"/>
        <w:jc w:val="both"/>
        <w:rPr>
          <w:rFonts w:ascii="Arial" w:eastAsia="Calibri" w:hAnsi="Arial" w:cs="Arial"/>
          <w:sz w:val="24"/>
          <w:szCs w:val="24"/>
        </w:rPr>
      </w:pPr>
    </w:p>
    <w:p w14:paraId="11BF1264" w14:textId="77777777" w:rsidR="00222F2D" w:rsidRPr="009B378C" w:rsidRDefault="00222F2D" w:rsidP="00222F2D">
      <w:pPr>
        <w:tabs>
          <w:tab w:val="left" w:pos="142"/>
        </w:tabs>
        <w:spacing w:after="0" w:line="276" w:lineRule="auto"/>
        <w:jc w:val="both"/>
        <w:rPr>
          <w:rFonts w:ascii="Arial" w:eastAsia="Calibri" w:hAnsi="Arial" w:cs="Arial"/>
          <w:sz w:val="24"/>
          <w:szCs w:val="24"/>
        </w:rPr>
      </w:pPr>
      <w:r w:rsidRPr="009B378C">
        <w:rPr>
          <w:rFonts w:ascii="Arial" w:eastAsia="Calibri" w:hAnsi="Arial" w:cs="Arial"/>
          <w:sz w:val="24"/>
          <w:szCs w:val="24"/>
        </w:rPr>
        <w:t>Bruzzo A., “</w:t>
      </w:r>
      <w:r w:rsidRPr="009B378C">
        <w:rPr>
          <w:rFonts w:ascii="Arial" w:eastAsia="Calibri" w:hAnsi="Arial" w:cs="Arial"/>
          <w:i/>
          <w:sz w:val="24"/>
          <w:szCs w:val="24"/>
        </w:rPr>
        <w:t>Le politiche strutturali della comunità europea per la coesione economica e sociale</w:t>
      </w:r>
      <w:r w:rsidRPr="009B378C">
        <w:rPr>
          <w:rFonts w:ascii="Arial" w:eastAsia="Calibri" w:hAnsi="Arial" w:cs="Arial"/>
          <w:sz w:val="24"/>
          <w:szCs w:val="24"/>
        </w:rPr>
        <w:t>”, Cedam, 2020.</w:t>
      </w:r>
    </w:p>
    <w:p w14:paraId="7E217E64" w14:textId="77777777" w:rsidR="00222F2D" w:rsidRPr="003636DE"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lastRenderedPageBreak/>
        <w:t>Campbell N. D., Rogers T.M., “</w:t>
      </w:r>
      <w:r w:rsidRPr="009B378C">
        <w:rPr>
          <w:rFonts w:ascii="Arial" w:eastAsia="Calibri" w:hAnsi="Arial" w:cs="Arial"/>
          <w:i/>
          <w:iCs/>
          <w:sz w:val="24"/>
          <w:szCs w:val="24"/>
          <w:lang w:val="en-US"/>
        </w:rPr>
        <w:t>Microfinance institutions: a profitable investment alternative</w:t>
      </w:r>
      <w:r w:rsidRPr="009B378C">
        <w:rPr>
          <w:rFonts w:ascii="Arial" w:eastAsia="Calibri" w:hAnsi="Arial" w:cs="Arial"/>
          <w:sz w:val="24"/>
          <w:szCs w:val="24"/>
          <w:lang w:val="en-US"/>
        </w:rPr>
        <w:t xml:space="preserve">?”, Journal of Developmental Entrepreneurship, Vol. </w:t>
      </w:r>
      <w:r w:rsidRPr="003636DE">
        <w:rPr>
          <w:rFonts w:ascii="Arial" w:eastAsia="Calibri" w:hAnsi="Arial" w:cs="Arial"/>
          <w:sz w:val="24"/>
          <w:szCs w:val="24"/>
          <w:lang w:val="en-US"/>
        </w:rPr>
        <w:t>17, No. 04, 2012.</w:t>
      </w:r>
    </w:p>
    <w:p w14:paraId="65FAC59A" w14:textId="77777777" w:rsidR="00222F2D" w:rsidRPr="003636DE" w:rsidRDefault="00222F2D" w:rsidP="00222F2D">
      <w:pPr>
        <w:spacing w:after="0" w:line="276" w:lineRule="auto"/>
        <w:jc w:val="both"/>
        <w:rPr>
          <w:rFonts w:ascii="Arial" w:eastAsia="Calibri" w:hAnsi="Arial" w:cs="Arial"/>
          <w:sz w:val="24"/>
          <w:szCs w:val="24"/>
          <w:lang w:val="en-US"/>
        </w:rPr>
      </w:pPr>
    </w:p>
    <w:p w14:paraId="607B87C6"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Casale R. R., “</w:t>
      </w:r>
      <w:r w:rsidRPr="009B378C">
        <w:rPr>
          <w:rFonts w:ascii="Arial" w:eastAsia="Calibri" w:hAnsi="Arial" w:cs="Arial"/>
          <w:i/>
          <w:sz w:val="24"/>
          <w:szCs w:val="24"/>
        </w:rPr>
        <w:t>I limiti del microcredito</w:t>
      </w:r>
      <w:r w:rsidRPr="009B378C">
        <w:rPr>
          <w:rFonts w:ascii="Arial" w:eastAsia="Calibri" w:hAnsi="Arial" w:cs="Arial"/>
          <w:sz w:val="24"/>
          <w:szCs w:val="24"/>
        </w:rPr>
        <w:t>”, Economia e Politica, Rivista online, 21.12.2009, in https://www.economiaepolitica.it/primo-piano/i-limiti-del-microcredito.</w:t>
      </w:r>
    </w:p>
    <w:p w14:paraId="7E14A72B" w14:textId="77777777" w:rsidR="00222F2D" w:rsidRPr="009B378C" w:rsidRDefault="00222F2D" w:rsidP="00222F2D">
      <w:pPr>
        <w:spacing w:after="0" w:line="276" w:lineRule="auto"/>
        <w:jc w:val="both"/>
        <w:rPr>
          <w:rFonts w:ascii="Arial" w:eastAsia="Calibri" w:hAnsi="Arial" w:cs="Arial"/>
          <w:sz w:val="24"/>
          <w:szCs w:val="24"/>
        </w:rPr>
      </w:pPr>
    </w:p>
    <w:p w14:paraId="795E2091" w14:textId="77777777" w:rsidR="00222F2D"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Caselli D., Rucco F., “</w:t>
      </w:r>
      <w:r w:rsidRPr="009B378C">
        <w:rPr>
          <w:rFonts w:ascii="Arial" w:eastAsia="Calibri" w:hAnsi="Arial" w:cs="Arial"/>
          <w:i/>
          <w:iCs/>
          <w:sz w:val="24"/>
          <w:szCs w:val="24"/>
        </w:rPr>
        <w:t>La finanziarizzazione del welfare. Social impact investing, fondazioni filantropiche e nuove frontiere di accumulazione capitalistica</w:t>
      </w:r>
      <w:r w:rsidRPr="009B378C">
        <w:rPr>
          <w:rFonts w:ascii="Arial" w:eastAsia="Calibri" w:hAnsi="Arial" w:cs="Arial"/>
          <w:sz w:val="24"/>
          <w:szCs w:val="24"/>
        </w:rPr>
        <w:t>”, Quaderni di Sociologia, n. 76/2018, pp. 57-80.</w:t>
      </w:r>
    </w:p>
    <w:p w14:paraId="41CEDF72" w14:textId="77777777" w:rsidR="00F018D1" w:rsidRDefault="00F018D1" w:rsidP="00222F2D">
      <w:pPr>
        <w:spacing w:after="0" w:line="276" w:lineRule="auto"/>
        <w:jc w:val="both"/>
        <w:rPr>
          <w:rFonts w:ascii="Arial" w:eastAsia="Calibri" w:hAnsi="Arial" w:cs="Arial"/>
          <w:sz w:val="24"/>
          <w:szCs w:val="24"/>
        </w:rPr>
      </w:pPr>
    </w:p>
    <w:p w14:paraId="0C6D435A" w14:textId="77777777" w:rsidR="00F018D1" w:rsidRPr="00216EA7" w:rsidRDefault="00F018D1" w:rsidP="00F018D1">
      <w:pPr>
        <w:pStyle w:val="Testonotaapidipagina"/>
        <w:tabs>
          <w:tab w:val="left" w:pos="284"/>
        </w:tabs>
        <w:spacing w:line="276" w:lineRule="auto"/>
        <w:jc w:val="both"/>
        <w:rPr>
          <w:rFonts w:ascii="Arial" w:hAnsi="Arial" w:cs="Arial"/>
          <w:sz w:val="24"/>
          <w:szCs w:val="24"/>
        </w:rPr>
      </w:pPr>
      <w:r w:rsidRPr="00216EA7">
        <w:rPr>
          <w:rFonts w:ascii="Arial" w:hAnsi="Arial" w:cs="Arial"/>
          <w:sz w:val="24"/>
          <w:szCs w:val="24"/>
        </w:rPr>
        <w:t>Cecini A., Borghi M., “</w:t>
      </w:r>
      <w:r w:rsidRPr="00216EA7">
        <w:rPr>
          <w:rFonts w:ascii="Arial" w:hAnsi="Arial" w:cs="Arial"/>
          <w:i/>
          <w:iCs/>
          <w:sz w:val="24"/>
          <w:szCs w:val="24"/>
        </w:rPr>
        <w:t>Per un contributo allo sviluppo del microcredito</w:t>
      </w:r>
      <w:r w:rsidRPr="00216EA7">
        <w:rPr>
          <w:rFonts w:ascii="Arial" w:hAnsi="Arial" w:cs="Arial"/>
          <w:sz w:val="24"/>
          <w:szCs w:val="24"/>
        </w:rPr>
        <w:t>”, Cedam. 2010.</w:t>
      </w:r>
    </w:p>
    <w:p w14:paraId="7A2C3153" w14:textId="77777777" w:rsidR="00F018D1" w:rsidRDefault="00F018D1" w:rsidP="00222F2D">
      <w:pPr>
        <w:spacing w:after="0" w:line="276" w:lineRule="auto"/>
        <w:jc w:val="both"/>
        <w:rPr>
          <w:rFonts w:ascii="Arial" w:eastAsia="Calibri" w:hAnsi="Arial" w:cs="Arial"/>
          <w:sz w:val="24"/>
          <w:szCs w:val="24"/>
        </w:rPr>
      </w:pPr>
    </w:p>
    <w:p w14:paraId="34A8CB8C" w14:textId="4A959845" w:rsidR="00DC2732" w:rsidRPr="00DC2732" w:rsidRDefault="00DC2732" w:rsidP="00222F2D">
      <w:pPr>
        <w:spacing w:after="0" w:line="276" w:lineRule="auto"/>
        <w:jc w:val="both"/>
        <w:rPr>
          <w:rFonts w:ascii="Arial" w:eastAsia="Calibri" w:hAnsi="Arial" w:cs="Arial"/>
          <w:sz w:val="24"/>
          <w:szCs w:val="24"/>
        </w:rPr>
      </w:pPr>
      <w:r w:rsidRPr="00DC2732">
        <w:rPr>
          <w:rFonts w:ascii="Arial" w:hAnsi="Arial" w:cs="Arial"/>
          <w:sz w:val="24"/>
          <w:szCs w:val="24"/>
        </w:rPr>
        <w:t>Cellino M. “</w:t>
      </w:r>
      <w:r w:rsidRPr="00DC2732">
        <w:rPr>
          <w:rFonts w:ascii="Arial" w:hAnsi="Arial" w:cs="Arial"/>
          <w:i/>
          <w:iCs/>
          <w:sz w:val="24"/>
          <w:szCs w:val="24"/>
        </w:rPr>
        <w:t>Microcredito, così uno «strumento sociale» è diventato una classe (redditizia) di investimento</w:t>
      </w:r>
      <w:r w:rsidRPr="00DC2732">
        <w:rPr>
          <w:rFonts w:ascii="Arial" w:hAnsi="Arial" w:cs="Arial"/>
          <w:sz w:val="24"/>
          <w:szCs w:val="24"/>
        </w:rPr>
        <w:t>”, Il Sole 24 ore, 8 ottobre 2018.</w:t>
      </w:r>
    </w:p>
    <w:p w14:paraId="66112FA8" w14:textId="77777777" w:rsidR="00DC2732" w:rsidRDefault="00DC2732" w:rsidP="00222F2D">
      <w:pPr>
        <w:tabs>
          <w:tab w:val="left" w:pos="284"/>
        </w:tabs>
        <w:spacing w:after="0" w:line="276" w:lineRule="auto"/>
        <w:jc w:val="both"/>
        <w:rPr>
          <w:rFonts w:ascii="Arial" w:eastAsia="Calibri" w:hAnsi="Arial" w:cs="Arial"/>
          <w:sz w:val="24"/>
          <w:szCs w:val="24"/>
        </w:rPr>
      </w:pPr>
    </w:p>
    <w:p w14:paraId="46318405" w14:textId="74F13F2A" w:rsidR="00222F2D" w:rsidRPr="009B378C" w:rsidRDefault="00222F2D" w:rsidP="00222F2D">
      <w:pPr>
        <w:tabs>
          <w:tab w:val="left" w:pos="284"/>
        </w:tabs>
        <w:spacing w:after="0" w:line="276" w:lineRule="auto"/>
        <w:jc w:val="both"/>
        <w:rPr>
          <w:rFonts w:ascii="Arial" w:eastAsia="Calibri" w:hAnsi="Arial" w:cs="Arial"/>
          <w:sz w:val="24"/>
          <w:szCs w:val="24"/>
        </w:rPr>
      </w:pPr>
      <w:r w:rsidRPr="009B378C">
        <w:rPr>
          <w:rFonts w:ascii="Arial" w:eastAsia="Calibri" w:hAnsi="Arial" w:cs="Arial"/>
          <w:sz w:val="24"/>
          <w:szCs w:val="24"/>
        </w:rPr>
        <w:t>Checcoli I. (a cura di), “</w:t>
      </w:r>
      <w:r w:rsidRPr="009B378C">
        <w:rPr>
          <w:rFonts w:ascii="Arial" w:eastAsia="Calibri" w:hAnsi="Arial" w:cs="Arial"/>
          <w:i/>
          <w:iCs/>
          <w:sz w:val="24"/>
          <w:szCs w:val="24"/>
        </w:rPr>
        <w:t>I Monti frumentari e le forme di credito non monetario tra Medioevo ed Età contemporanea</w:t>
      </w:r>
      <w:r w:rsidRPr="009B378C">
        <w:rPr>
          <w:rFonts w:ascii="Arial" w:eastAsia="Calibri" w:hAnsi="Arial" w:cs="Arial"/>
          <w:sz w:val="24"/>
          <w:szCs w:val="24"/>
        </w:rPr>
        <w:t>”, Il Mulino, Bologna, 2016.</w:t>
      </w:r>
    </w:p>
    <w:p w14:paraId="74A2979E" w14:textId="77777777" w:rsidR="00222F2D" w:rsidRPr="009B378C" w:rsidRDefault="00222F2D" w:rsidP="00222F2D">
      <w:pPr>
        <w:spacing w:after="0" w:line="276" w:lineRule="auto"/>
        <w:jc w:val="both"/>
        <w:rPr>
          <w:rFonts w:ascii="Arial" w:eastAsia="Calibri" w:hAnsi="Arial" w:cs="Arial"/>
          <w:sz w:val="24"/>
          <w:szCs w:val="24"/>
        </w:rPr>
      </w:pPr>
    </w:p>
    <w:p w14:paraId="1C9F8681" w14:textId="77777777" w:rsidR="00222F2D" w:rsidRPr="009B378C" w:rsidRDefault="00222F2D" w:rsidP="00222F2D">
      <w:pPr>
        <w:spacing w:after="0" w:line="276" w:lineRule="auto"/>
        <w:jc w:val="both"/>
        <w:rPr>
          <w:rFonts w:ascii="Arial" w:eastAsia="Calibri" w:hAnsi="Arial" w:cs="Arial"/>
          <w:i/>
          <w:iCs/>
          <w:sz w:val="24"/>
          <w:szCs w:val="24"/>
        </w:rPr>
      </w:pPr>
      <w:r w:rsidRPr="009B378C">
        <w:rPr>
          <w:rFonts w:ascii="Arial" w:eastAsia="Calibri" w:hAnsi="Arial" w:cs="Arial"/>
          <w:sz w:val="24"/>
          <w:szCs w:val="24"/>
        </w:rPr>
        <w:t>Ciravegna D., Limone A. (a cura di), “</w:t>
      </w:r>
      <w:r w:rsidRPr="009B378C">
        <w:rPr>
          <w:rFonts w:ascii="Arial" w:eastAsia="Calibri" w:hAnsi="Arial" w:cs="Arial"/>
          <w:i/>
          <w:iCs/>
          <w:sz w:val="24"/>
          <w:szCs w:val="24"/>
        </w:rPr>
        <w:t>Otto modi di dire microcredito</w:t>
      </w:r>
      <w:r w:rsidRPr="009B378C">
        <w:rPr>
          <w:rFonts w:ascii="Arial" w:eastAsia="Calibri" w:hAnsi="Arial" w:cs="Arial"/>
          <w:sz w:val="24"/>
          <w:szCs w:val="24"/>
        </w:rPr>
        <w:t>”, Il Mulino, Bologna, 2007.</w:t>
      </w:r>
    </w:p>
    <w:p w14:paraId="2EF7D151" w14:textId="77777777" w:rsidR="00222F2D" w:rsidRPr="009B378C" w:rsidRDefault="00222F2D" w:rsidP="00222F2D">
      <w:pPr>
        <w:spacing w:after="0" w:line="276" w:lineRule="auto"/>
        <w:jc w:val="both"/>
        <w:rPr>
          <w:rFonts w:ascii="Arial" w:eastAsia="Calibri" w:hAnsi="Arial" w:cs="Arial"/>
          <w:sz w:val="24"/>
          <w:szCs w:val="24"/>
        </w:rPr>
      </w:pPr>
    </w:p>
    <w:p w14:paraId="7425CAB8"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Cocchieri S., Messina A., Nafissi L., “</w:t>
      </w:r>
      <w:r w:rsidRPr="009B378C">
        <w:rPr>
          <w:rFonts w:ascii="Arial" w:eastAsia="Calibri" w:hAnsi="Arial" w:cs="Arial"/>
          <w:i/>
          <w:iCs/>
          <w:sz w:val="24"/>
          <w:szCs w:val="24"/>
        </w:rPr>
        <w:t>Più credito per tutti. Vent’anni del Fondo di garanzia PMI, tra passato, crisi Covid e futuro</w:t>
      </w:r>
      <w:r w:rsidRPr="009B378C">
        <w:rPr>
          <w:rFonts w:ascii="Arial" w:eastAsia="Calibri" w:hAnsi="Arial" w:cs="Arial"/>
          <w:sz w:val="24"/>
          <w:szCs w:val="24"/>
        </w:rPr>
        <w:t>”, Ecra, 2022.</w:t>
      </w:r>
    </w:p>
    <w:p w14:paraId="68DEDAD2" w14:textId="77777777" w:rsidR="00222F2D" w:rsidRPr="009B378C" w:rsidRDefault="00222F2D" w:rsidP="00222F2D">
      <w:pPr>
        <w:spacing w:after="0" w:line="276" w:lineRule="auto"/>
        <w:jc w:val="both"/>
        <w:rPr>
          <w:rFonts w:ascii="Arial" w:eastAsia="Calibri" w:hAnsi="Arial" w:cs="Arial"/>
          <w:sz w:val="24"/>
          <w:szCs w:val="24"/>
        </w:rPr>
      </w:pPr>
    </w:p>
    <w:p w14:paraId="487D8C5F"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Coccia G., “</w:t>
      </w:r>
      <w:r w:rsidRPr="009B378C">
        <w:rPr>
          <w:rFonts w:ascii="Arial" w:eastAsia="Calibri" w:hAnsi="Arial" w:cs="Arial"/>
          <w:i/>
          <w:sz w:val="24"/>
          <w:szCs w:val="24"/>
        </w:rPr>
        <w:t>La povertà estrema nel mondo diminuisce ma ancora non riusciamo a conoscere a fondo il fenomeno</w:t>
      </w:r>
      <w:r w:rsidRPr="009B378C">
        <w:rPr>
          <w:rFonts w:ascii="Arial" w:eastAsia="Calibri" w:hAnsi="Arial" w:cs="Arial"/>
          <w:sz w:val="24"/>
          <w:szCs w:val="24"/>
        </w:rPr>
        <w:t>”, in FUTURA network, https://futuranetwork.eu/focus/533-4212/la-poverta-estrema.</w:t>
      </w:r>
    </w:p>
    <w:p w14:paraId="137EE970" w14:textId="77777777" w:rsidR="00222F2D" w:rsidRPr="009B378C" w:rsidRDefault="00222F2D" w:rsidP="00222F2D">
      <w:pPr>
        <w:spacing w:after="0" w:line="276" w:lineRule="auto"/>
        <w:jc w:val="both"/>
        <w:rPr>
          <w:rFonts w:ascii="Arial" w:eastAsia="Calibri" w:hAnsi="Arial" w:cs="Arial"/>
          <w:i/>
          <w:sz w:val="24"/>
          <w:szCs w:val="24"/>
        </w:rPr>
      </w:pPr>
    </w:p>
    <w:p w14:paraId="06CE27C3"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Crivellaro F., “</w:t>
      </w:r>
      <w:r w:rsidRPr="009B378C">
        <w:rPr>
          <w:rFonts w:ascii="Arial" w:eastAsia="Calibri" w:hAnsi="Arial" w:cs="Arial"/>
          <w:i/>
          <w:iCs/>
          <w:sz w:val="24"/>
          <w:szCs w:val="24"/>
        </w:rPr>
        <w:t>Cosa circola nel microcredito? La dimensione del dono nelle nuove pratiche di finanza solidale</w:t>
      </w:r>
      <w:r w:rsidRPr="009B378C">
        <w:rPr>
          <w:rFonts w:ascii="Arial" w:eastAsia="Calibri" w:hAnsi="Arial" w:cs="Arial"/>
          <w:sz w:val="24"/>
          <w:szCs w:val="24"/>
        </w:rPr>
        <w:t>”, Dada Rivista di Antropologia post-globale, Debito e dono, speciale n. 1/2018.</w:t>
      </w:r>
    </w:p>
    <w:p w14:paraId="2DD80E8D" w14:textId="77777777" w:rsidR="00222F2D" w:rsidRPr="009B378C" w:rsidRDefault="00222F2D" w:rsidP="00222F2D">
      <w:pPr>
        <w:spacing w:after="0" w:line="276" w:lineRule="auto"/>
        <w:jc w:val="both"/>
        <w:rPr>
          <w:rFonts w:ascii="Arial" w:eastAsia="Calibri" w:hAnsi="Arial" w:cs="Arial"/>
          <w:sz w:val="24"/>
          <w:szCs w:val="24"/>
        </w:rPr>
      </w:pPr>
    </w:p>
    <w:p w14:paraId="54B2FF3A" w14:textId="77777777" w:rsidR="00222F2D" w:rsidRPr="003636DE"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sz w:val="24"/>
          <w:szCs w:val="24"/>
          <w:lang w:val="en-US"/>
        </w:rPr>
        <w:t>Das Gupta A., “</w:t>
      </w:r>
      <w:r w:rsidRPr="003636DE">
        <w:rPr>
          <w:rFonts w:ascii="Arial" w:eastAsia="Calibri" w:hAnsi="Arial" w:cs="Arial"/>
          <w:i/>
          <w:iCs/>
          <w:sz w:val="24"/>
          <w:szCs w:val="24"/>
          <w:lang w:val="en-US"/>
        </w:rPr>
        <w:t>Base of the Pyramid</w:t>
      </w:r>
      <w:r w:rsidRPr="003636DE">
        <w:rPr>
          <w:rFonts w:ascii="Arial" w:eastAsia="Calibri" w:hAnsi="Arial" w:cs="Arial"/>
          <w:sz w:val="24"/>
          <w:szCs w:val="24"/>
          <w:lang w:val="en-US"/>
        </w:rPr>
        <w:t>”, in “Encyclopedia of corporate social responsibility”, Springer, 2013.</w:t>
      </w:r>
    </w:p>
    <w:p w14:paraId="71F64343" w14:textId="77777777" w:rsidR="00222F2D" w:rsidRPr="009B378C" w:rsidRDefault="00222F2D" w:rsidP="00222F2D">
      <w:pPr>
        <w:spacing w:after="0" w:line="276" w:lineRule="auto"/>
        <w:jc w:val="both"/>
        <w:rPr>
          <w:rFonts w:ascii="Arial" w:eastAsia="Calibri" w:hAnsi="Arial" w:cs="Arial"/>
          <w:sz w:val="24"/>
          <w:szCs w:val="24"/>
          <w:lang w:val="en-US"/>
        </w:rPr>
      </w:pPr>
    </w:p>
    <w:p w14:paraId="0F7F5076" w14:textId="77777777" w:rsidR="00222F2D"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Dasguta P., “</w:t>
      </w:r>
      <w:r w:rsidRPr="009B378C">
        <w:rPr>
          <w:rFonts w:ascii="Arial" w:eastAsia="Calibri" w:hAnsi="Arial" w:cs="Arial"/>
          <w:i/>
          <w:iCs/>
          <w:sz w:val="24"/>
          <w:szCs w:val="24"/>
          <w:lang w:val="en-US"/>
        </w:rPr>
        <w:t>Trust as a commodity</w:t>
      </w:r>
      <w:r w:rsidRPr="009B378C">
        <w:rPr>
          <w:rFonts w:ascii="Arial" w:eastAsia="Calibri" w:hAnsi="Arial" w:cs="Arial"/>
          <w:i/>
          <w:sz w:val="24"/>
          <w:szCs w:val="24"/>
          <w:lang w:val="en-US"/>
        </w:rPr>
        <w:t>”</w:t>
      </w:r>
      <w:r w:rsidRPr="009B378C">
        <w:rPr>
          <w:rFonts w:ascii="Arial" w:eastAsia="Calibri" w:hAnsi="Arial" w:cs="Arial"/>
          <w:sz w:val="24"/>
          <w:szCs w:val="24"/>
          <w:lang w:val="en-US"/>
        </w:rPr>
        <w:t xml:space="preserve">, </w:t>
      </w:r>
      <w:r w:rsidRPr="009B378C">
        <w:rPr>
          <w:rFonts w:ascii="Arial" w:eastAsia="Times New Roman" w:hAnsi="Arial" w:cs="Arial"/>
          <w:kern w:val="0"/>
          <w:sz w:val="24"/>
          <w:szCs w:val="24"/>
          <w:lang w:val="en-US" w:eastAsia="it-IT"/>
          <w14:ligatures w14:val="none"/>
        </w:rPr>
        <w:t>Univ., Department of Applied Economics, ESRC Research Project on Risk, Information and Quantity Signals in Economics, 1986</w:t>
      </w:r>
      <w:r w:rsidRPr="009B378C">
        <w:rPr>
          <w:rFonts w:ascii="Arial" w:eastAsia="Calibri" w:hAnsi="Arial" w:cs="Arial"/>
          <w:sz w:val="24"/>
          <w:szCs w:val="24"/>
          <w:lang w:val="en-US"/>
        </w:rPr>
        <w:t>.</w:t>
      </w:r>
    </w:p>
    <w:p w14:paraId="40D1F57A" w14:textId="77777777" w:rsidR="005A7D92" w:rsidRDefault="005A7D92" w:rsidP="00222F2D">
      <w:pPr>
        <w:spacing w:after="0" w:line="276" w:lineRule="auto"/>
        <w:jc w:val="both"/>
        <w:rPr>
          <w:rFonts w:ascii="Arial" w:eastAsia="Calibri" w:hAnsi="Arial" w:cs="Arial"/>
          <w:sz w:val="24"/>
          <w:szCs w:val="24"/>
          <w:lang w:val="en-US"/>
        </w:rPr>
      </w:pPr>
    </w:p>
    <w:p w14:paraId="3B49EAC0" w14:textId="77777777" w:rsidR="005A7D92" w:rsidRPr="00216EA7" w:rsidRDefault="005A7D92" w:rsidP="005A7D92">
      <w:pPr>
        <w:pStyle w:val="Testonotaapidipagina"/>
        <w:spacing w:line="276" w:lineRule="auto"/>
        <w:jc w:val="both"/>
        <w:rPr>
          <w:rFonts w:ascii="Arial" w:hAnsi="Arial" w:cs="Arial"/>
          <w:sz w:val="24"/>
          <w:szCs w:val="24"/>
        </w:rPr>
      </w:pPr>
      <w:r w:rsidRPr="00216EA7">
        <w:rPr>
          <w:rFonts w:ascii="Arial" w:hAnsi="Arial" w:cs="Arial"/>
          <w:sz w:val="24"/>
          <w:szCs w:val="24"/>
        </w:rPr>
        <w:t>De Nicola A., “</w:t>
      </w:r>
      <w:r w:rsidRPr="00216EA7">
        <w:rPr>
          <w:rFonts w:ascii="Arial" w:hAnsi="Arial" w:cs="Arial"/>
          <w:i/>
          <w:iCs/>
          <w:sz w:val="24"/>
          <w:szCs w:val="24"/>
        </w:rPr>
        <w:t>Il governo dell’informale come problema di egemonia</w:t>
      </w:r>
      <w:r w:rsidRPr="00216EA7">
        <w:rPr>
          <w:rFonts w:ascii="Arial" w:hAnsi="Arial" w:cs="Arial"/>
          <w:sz w:val="24"/>
          <w:szCs w:val="24"/>
        </w:rPr>
        <w:t>”, in Cambio, Rivista sulle trasformazioni sociali, Vol. 11, n. 21, 2001, pp. 37-50, doi: 10.36253/cambio-10799.</w:t>
      </w:r>
    </w:p>
    <w:p w14:paraId="223E80BB" w14:textId="77777777" w:rsidR="00222F2D" w:rsidRPr="009B378C" w:rsidRDefault="00222F2D" w:rsidP="00222F2D">
      <w:pPr>
        <w:spacing w:after="0" w:line="276" w:lineRule="auto"/>
        <w:jc w:val="both"/>
        <w:rPr>
          <w:rFonts w:ascii="Arial" w:eastAsia="Calibri" w:hAnsi="Arial" w:cs="Arial"/>
          <w:sz w:val="24"/>
          <w:szCs w:val="24"/>
        </w:rPr>
      </w:pPr>
    </w:p>
    <w:p w14:paraId="52DD52CF"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Del Corno P. (a cura di) “</w:t>
      </w:r>
      <w:r w:rsidRPr="009B378C">
        <w:rPr>
          <w:rFonts w:ascii="Arial" w:eastAsia="Calibri" w:hAnsi="Arial" w:cs="Arial"/>
          <w:i/>
          <w:sz w:val="24"/>
          <w:szCs w:val="24"/>
        </w:rPr>
        <w:t>Politiche di misericordia tra teoria e prassi. Confraternite, ospedali e Monti di pietà (XII- XVI secolo)</w:t>
      </w:r>
      <w:r w:rsidRPr="009B378C">
        <w:rPr>
          <w:rFonts w:ascii="Arial" w:eastAsia="Calibri" w:hAnsi="Arial" w:cs="Arial"/>
          <w:sz w:val="24"/>
          <w:szCs w:val="24"/>
        </w:rPr>
        <w:t>”, Bologna, 2018.</w:t>
      </w:r>
    </w:p>
    <w:p w14:paraId="5A7B0CE8" w14:textId="77777777" w:rsidR="004F20B0" w:rsidRDefault="004F20B0" w:rsidP="00222F2D">
      <w:pPr>
        <w:spacing w:after="0" w:line="276" w:lineRule="auto"/>
        <w:jc w:val="both"/>
        <w:rPr>
          <w:rFonts w:ascii="Arial" w:eastAsia="Calibri" w:hAnsi="Arial" w:cs="Arial"/>
          <w:sz w:val="24"/>
          <w:szCs w:val="24"/>
          <w:lang w:val="en-US"/>
        </w:rPr>
      </w:pPr>
    </w:p>
    <w:p w14:paraId="0FBEB6FA" w14:textId="207598FE" w:rsidR="00222F2D" w:rsidRPr="004F20B0" w:rsidRDefault="004F20B0" w:rsidP="00222F2D">
      <w:pPr>
        <w:spacing w:after="0" w:line="276" w:lineRule="auto"/>
        <w:jc w:val="both"/>
        <w:rPr>
          <w:rFonts w:ascii="Arial" w:eastAsia="Calibri" w:hAnsi="Arial" w:cs="Arial"/>
          <w:sz w:val="24"/>
          <w:szCs w:val="24"/>
          <w:lang w:val="en-US"/>
        </w:rPr>
      </w:pPr>
      <w:proofErr w:type="spellStart"/>
      <w:r w:rsidRPr="004F20B0">
        <w:rPr>
          <w:rFonts w:ascii="Arial" w:eastAsia="Calibri" w:hAnsi="Arial" w:cs="Arial"/>
          <w:sz w:val="24"/>
          <w:szCs w:val="24"/>
          <w:lang w:val="en-US"/>
        </w:rPr>
        <w:t>Dominicè</w:t>
      </w:r>
      <w:proofErr w:type="spellEnd"/>
      <w:r w:rsidRPr="004F20B0">
        <w:rPr>
          <w:rFonts w:ascii="Arial" w:eastAsia="Calibri" w:hAnsi="Arial" w:cs="Arial"/>
          <w:sz w:val="24"/>
          <w:szCs w:val="24"/>
          <w:lang w:val="en-US"/>
        </w:rPr>
        <w:t xml:space="preserve"> R. “</w:t>
      </w:r>
      <w:r w:rsidRPr="004F20B0">
        <w:rPr>
          <w:rFonts w:ascii="Arial" w:eastAsia="Calibri" w:hAnsi="Arial" w:cs="Arial"/>
          <w:i/>
          <w:iCs/>
          <w:sz w:val="24"/>
          <w:szCs w:val="24"/>
          <w:lang w:val="en-US"/>
        </w:rPr>
        <w:t>Microfinance Investments</w:t>
      </w:r>
      <w:r w:rsidRPr="004F20B0">
        <w:rPr>
          <w:rFonts w:ascii="Arial" w:eastAsia="Calibri" w:hAnsi="Arial" w:cs="Arial"/>
          <w:sz w:val="24"/>
          <w:szCs w:val="24"/>
          <w:lang w:val="en-US"/>
        </w:rPr>
        <w:t>”, Symbiotics, 2012.</w:t>
      </w:r>
    </w:p>
    <w:p w14:paraId="7930163B" w14:textId="77777777" w:rsidR="004F20B0" w:rsidRPr="004F20B0" w:rsidRDefault="004F20B0" w:rsidP="00222F2D">
      <w:pPr>
        <w:spacing w:after="0" w:line="276" w:lineRule="auto"/>
        <w:jc w:val="both"/>
        <w:rPr>
          <w:rFonts w:ascii="Arial" w:eastAsia="Calibri" w:hAnsi="Arial" w:cs="Arial"/>
          <w:sz w:val="24"/>
          <w:szCs w:val="24"/>
          <w:lang w:val="en-US"/>
        </w:rPr>
      </w:pPr>
    </w:p>
    <w:p w14:paraId="227E5E41"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lastRenderedPageBreak/>
        <w:t>Duflo, E., “</w:t>
      </w:r>
      <w:r w:rsidRPr="009B378C">
        <w:rPr>
          <w:rFonts w:ascii="Arial" w:eastAsia="Calibri" w:hAnsi="Arial" w:cs="Arial"/>
          <w:i/>
          <w:iCs/>
          <w:sz w:val="24"/>
          <w:szCs w:val="24"/>
          <w:lang w:val="en-US"/>
        </w:rPr>
        <w:t>Women Empowerment and Economic Development</w:t>
      </w:r>
      <w:r w:rsidRPr="009B378C">
        <w:rPr>
          <w:rFonts w:ascii="Arial" w:eastAsia="Calibri" w:hAnsi="Arial" w:cs="Arial"/>
          <w:sz w:val="24"/>
          <w:szCs w:val="24"/>
          <w:lang w:val="en-US"/>
        </w:rPr>
        <w:t xml:space="preserve">”, in </w:t>
      </w:r>
      <w:r w:rsidRPr="009B378C">
        <w:rPr>
          <w:rFonts w:ascii="Arial" w:eastAsia="Calibri" w:hAnsi="Arial" w:cs="Arial"/>
          <w:i/>
          <w:iCs/>
          <w:sz w:val="24"/>
          <w:szCs w:val="24"/>
          <w:lang w:val="en-US"/>
        </w:rPr>
        <w:t>Journal of Economic Literature</w:t>
      </w:r>
      <w:r w:rsidRPr="009B378C">
        <w:rPr>
          <w:rFonts w:ascii="Arial" w:eastAsia="Calibri" w:hAnsi="Arial" w:cs="Arial"/>
          <w:sz w:val="24"/>
          <w:szCs w:val="24"/>
          <w:lang w:val="en-US"/>
        </w:rPr>
        <w:t>, Vol. 50, No. 4, 2012, pp. 1051-79, doi: 10.1257/jel.50.4.1051.</w:t>
      </w:r>
    </w:p>
    <w:p w14:paraId="64F29763" w14:textId="77777777" w:rsidR="00222F2D" w:rsidRPr="003636DE" w:rsidRDefault="00222F2D" w:rsidP="00222F2D">
      <w:pPr>
        <w:spacing w:after="0" w:line="276" w:lineRule="auto"/>
        <w:jc w:val="both"/>
        <w:rPr>
          <w:rFonts w:ascii="Arial" w:eastAsia="Calibri" w:hAnsi="Arial" w:cs="Arial"/>
          <w:sz w:val="24"/>
          <w:szCs w:val="24"/>
          <w:lang w:val="en-US"/>
        </w:rPr>
      </w:pPr>
    </w:p>
    <w:p w14:paraId="49A69E82"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i/>
          <w:iCs/>
          <w:sz w:val="24"/>
          <w:szCs w:val="24"/>
          <w:shd w:val="clear" w:color="auto" w:fill="FFFFFF"/>
          <w:lang w:val="en-US"/>
        </w:rPr>
        <w:t>European Commission</w:t>
      </w:r>
      <w:r w:rsidRPr="009B378C">
        <w:rPr>
          <w:rFonts w:ascii="Arial" w:eastAsia="Calibri" w:hAnsi="Arial" w:cs="Arial"/>
          <w:sz w:val="24"/>
          <w:szCs w:val="24"/>
          <w:shd w:val="clear" w:color="auto" w:fill="FFFFFF"/>
          <w:lang w:val="en-US"/>
        </w:rPr>
        <w:t xml:space="preserve">, Directorate-General for Employment, Social Affairs and Inclusion, </w:t>
      </w:r>
      <w:r w:rsidRPr="009B378C">
        <w:rPr>
          <w:rFonts w:ascii="Arial" w:eastAsia="Calibri" w:hAnsi="Arial" w:cs="Arial"/>
          <w:i/>
          <w:iCs/>
          <w:sz w:val="24"/>
          <w:szCs w:val="24"/>
          <w:shd w:val="clear" w:color="auto" w:fill="FFFFFF"/>
          <w:lang w:val="en-US"/>
        </w:rPr>
        <w:t>European code of good conduct for microcredit provision – Update 2022</w:t>
      </w:r>
      <w:r w:rsidRPr="009B378C">
        <w:rPr>
          <w:rFonts w:ascii="Arial" w:eastAsia="Calibri" w:hAnsi="Arial" w:cs="Arial"/>
          <w:sz w:val="24"/>
          <w:szCs w:val="24"/>
          <w:shd w:val="clear" w:color="auto" w:fill="FFFFFF"/>
          <w:lang w:val="en-US"/>
        </w:rPr>
        <w:t>, Publications Office of the European Union, 2022, in https://data.europa.eu/doi/10.2767/36063</w:t>
      </w:r>
      <w:r w:rsidRPr="009B378C">
        <w:rPr>
          <w:rFonts w:ascii="Arial" w:eastAsia="Calibri" w:hAnsi="Arial" w:cs="Arial"/>
          <w:sz w:val="24"/>
          <w:szCs w:val="24"/>
          <w:lang w:val="en-US"/>
        </w:rPr>
        <w:t>.</w:t>
      </w:r>
    </w:p>
    <w:p w14:paraId="7E1A67DB"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i/>
          <w:sz w:val="24"/>
          <w:szCs w:val="24"/>
          <w:lang w:val="en-US"/>
        </w:rPr>
        <w:t>European Microfinance Network</w:t>
      </w:r>
      <w:r w:rsidRPr="009B378C">
        <w:rPr>
          <w:rFonts w:ascii="Arial" w:eastAsia="Calibri" w:hAnsi="Arial" w:cs="Arial"/>
          <w:iCs/>
          <w:sz w:val="24"/>
          <w:szCs w:val="24"/>
          <w:lang w:val="en-US"/>
        </w:rPr>
        <w:t xml:space="preserve">, </w:t>
      </w:r>
      <w:r w:rsidRPr="009B378C">
        <w:rPr>
          <w:rFonts w:ascii="Arial" w:eastAsia="Calibri" w:hAnsi="Arial" w:cs="Arial"/>
          <w:i/>
          <w:sz w:val="24"/>
          <w:szCs w:val="24"/>
          <w:lang w:val="en-US"/>
        </w:rPr>
        <w:t>Microfinance in Europe: Survey Report</w:t>
      </w:r>
      <w:r w:rsidRPr="009B378C">
        <w:rPr>
          <w:rFonts w:ascii="Arial" w:eastAsia="Calibri" w:hAnsi="Arial" w:cs="Arial"/>
          <w:iCs/>
          <w:sz w:val="24"/>
          <w:szCs w:val="24"/>
          <w:lang w:val="en-US"/>
        </w:rPr>
        <w:t xml:space="preserve"> (2022 edition), in </w:t>
      </w:r>
      <w:r w:rsidRPr="009B378C">
        <w:rPr>
          <w:rFonts w:ascii="Arial" w:eastAsia="Calibri" w:hAnsi="Arial" w:cs="Arial"/>
          <w:sz w:val="24"/>
          <w:szCs w:val="24"/>
          <w:lang w:val="en-US"/>
        </w:rPr>
        <w:t>https://www.european-microfinance.org/publication/microfinance-europe-survey-report-2022-edition.</w:t>
      </w:r>
    </w:p>
    <w:p w14:paraId="560F46F3" w14:textId="77777777" w:rsidR="00222F2D" w:rsidRPr="003636DE" w:rsidRDefault="00222F2D" w:rsidP="00222F2D">
      <w:pPr>
        <w:spacing w:after="0" w:line="276" w:lineRule="auto"/>
        <w:jc w:val="both"/>
        <w:rPr>
          <w:rFonts w:ascii="Arial" w:eastAsia="Calibri" w:hAnsi="Arial" w:cs="Arial"/>
          <w:sz w:val="24"/>
          <w:szCs w:val="24"/>
          <w:lang w:val="en-US"/>
        </w:rPr>
      </w:pPr>
    </w:p>
    <w:p w14:paraId="2488BF38" w14:textId="77777777" w:rsidR="005A7D92" w:rsidRPr="00216EA7" w:rsidRDefault="005A7D92" w:rsidP="005A7D92">
      <w:pPr>
        <w:pStyle w:val="Testonotaapidipagina"/>
        <w:spacing w:line="276" w:lineRule="auto"/>
        <w:jc w:val="both"/>
        <w:rPr>
          <w:rFonts w:ascii="Arial" w:hAnsi="Arial" w:cs="Arial"/>
          <w:sz w:val="24"/>
          <w:szCs w:val="24"/>
        </w:rPr>
      </w:pPr>
      <w:r w:rsidRPr="00216EA7">
        <w:rPr>
          <w:rFonts w:ascii="Arial" w:hAnsi="Arial" w:cs="Arial"/>
          <w:sz w:val="24"/>
          <w:szCs w:val="24"/>
        </w:rPr>
        <w:t>Farinella D., Mostaccio F., “Il paradigma dell'informale nel capitalismo contemporaneo”, in Cambio, Rivista sulle trasformazioni sociali, Vol. 11, n. 21, 2021, pp. 5–11, doi: 10.36253/cambio-12366.</w:t>
      </w:r>
    </w:p>
    <w:p w14:paraId="76EE06D3" w14:textId="77777777" w:rsidR="005A7D92" w:rsidRDefault="005A7D92" w:rsidP="00222F2D">
      <w:pPr>
        <w:spacing w:after="0" w:line="276" w:lineRule="auto"/>
        <w:jc w:val="both"/>
        <w:rPr>
          <w:rFonts w:ascii="Arial" w:eastAsia="Calibri" w:hAnsi="Arial" w:cs="Arial"/>
          <w:sz w:val="24"/>
          <w:szCs w:val="24"/>
        </w:rPr>
      </w:pPr>
    </w:p>
    <w:p w14:paraId="537BC8E0"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Fidler, P. J.; Paxton, J., “</w:t>
      </w:r>
      <w:r w:rsidRPr="009B378C">
        <w:rPr>
          <w:rFonts w:ascii="Arial" w:eastAsia="Calibri" w:hAnsi="Arial" w:cs="Arial"/>
          <w:i/>
          <w:iCs/>
          <w:sz w:val="24"/>
          <w:szCs w:val="24"/>
          <w:lang w:val="en-US"/>
        </w:rPr>
        <w:t>An inventory of microfinance institutions in South Asia”</w:t>
      </w:r>
      <w:r w:rsidRPr="009B378C">
        <w:rPr>
          <w:rFonts w:ascii="Arial" w:eastAsia="Calibri" w:hAnsi="Arial" w:cs="Arial"/>
          <w:sz w:val="24"/>
          <w:szCs w:val="24"/>
          <w:lang w:val="en-US"/>
        </w:rPr>
        <w:t>, World Bank Sustainable Banking with the Poor, Washington DC,1997, in http://documents.worldbank.org/curated/en/170491468073728349/An-inventory-of-microfinance-institutions-in-South-Asian.</w:t>
      </w:r>
    </w:p>
    <w:p w14:paraId="4ED61948" w14:textId="77777777" w:rsidR="00222F2D" w:rsidRPr="003636DE" w:rsidRDefault="00222F2D" w:rsidP="00222F2D">
      <w:pPr>
        <w:spacing w:after="0" w:line="276" w:lineRule="auto"/>
        <w:jc w:val="both"/>
        <w:rPr>
          <w:rFonts w:ascii="Arial" w:eastAsia="Calibri" w:hAnsi="Arial" w:cs="Arial"/>
          <w:sz w:val="24"/>
          <w:szCs w:val="24"/>
          <w:lang w:val="en-US"/>
        </w:rPr>
      </w:pPr>
    </w:p>
    <w:p w14:paraId="0694CC2E" w14:textId="77777777" w:rsidR="00222F2D" w:rsidRPr="003636DE" w:rsidRDefault="00222F2D" w:rsidP="00222F2D">
      <w:pPr>
        <w:spacing w:after="0" w:line="276" w:lineRule="auto"/>
        <w:jc w:val="both"/>
        <w:rPr>
          <w:rFonts w:ascii="Arial" w:eastAsia="Calibri" w:hAnsi="Arial" w:cs="Arial"/>
          <w:sz w:val="24"/>
          <w:szCs w:val="24"/>
          <w:lang w:val="en-US"/>
        </w:rPr>
      </w:pPr>
      <w:proofErr w:type="spellStart"/>
      <w:r w:rsidRPr="009B378C">
        <w:rPr>
          <w:rFonts w:ascii="Arial" w:eastAsia="Calibri" w:hAnsi="Arial" w:cs="Arial"/>
          <w:sz w:val="24"/>
          <w:szCs w:val="24"/>
        </w:rPr>
        <w:t>Geertz</w:t>
      </w:r>
      <w:proofErr w:type="spellEnd"/>
      <w:r w:rsidRPr="009B378C">
        <w:rPr>
          <w:rFonts w:ascii="Arial" w:eastAsia="Calibri" w:hAnsi="Arial" w:cs="Arial"/>
          <w:sz w:val="24"/>
          <w:szCs w:val="24"/>
        </w:rPr>
        <w:t xml:space="preserve"> C., “</w:t>
      </w:r>
      <w:r w:rsidRPr="009B378C">
        <w:rPr>
          <w:rFonts w:ascii="Arial" w:eastAsia="Calibri" w:hAnsi="Arial" w:cs="Arial"/>
          <w:i/>
          <w:sz w:val="24"/>
          <w:szCs w:val="24"/>
        </w:rPr>
        <w:t>L'associazione di credito a rotazione. Un “gradino intermedio” nello sviluppo”</w:t>
      </w:r>
      <w:r w:rsidRPr="009B378C">
        <w:rPr>
          <w:rFonts w:ascii="Arial" w:eastAsia="Calibri" w:hAnsi="Arial" w:cs="Arial"/>
          <w:sz w:val="24"/>
          <w:szCs w:val="24"/>
        </w:rPr>
        <w:t xml:space="preserve">. </w:t>
      </w:r>
      <w:proofErr w:type="spellStart"/>
      <w:r w:rsidRPr="003636DE">
        <w:rPr>
          <w:rFonts w:ascii="Arial" w:eastAsia="Calibri" w:hAnsi="Arial" w:cs="Arial"/>
          <w:sz w:val="24"/>
          <w:szCs w:val="24"/>
          <w:lang w:val="en-US"/>
        </w:rPr>
        <w:t>Università</w:t>
      </w:r>
      <w:proofErr w:type="spellEnd"/>
      <w:r w:rsidRPr="003636DE">
        <w:rPr>
          <w:rFonts w:ascii="Arial" w:eastAsia="Calibri" w:hAnsi="Arial" w:cs="Arial"/>
          <w:sz w:val="24"/>
          <w:szCs w:val="24"/>
          <w:lang w:val="en-US"/>
        </w:rPr>
        <w:t xml:space="preserve"> di Chicago, 1962.</w:t>
      </w:r>
    </w:p>
    <w:p w14:paraId="1569BF34" w14:textId="77777777" w:rsidR="00222F2D" w:rsidRPr="003636DE" w:rsidRDefault="00222F2D" w:rsidP="00222F2D">
      <w:pPr>
        <w:spacing w:after="0" w:line="276" w:lineRule="auto"/>
        <w:jc w:val="both"/>
        <w:rPr>
          <w:rFonts w:ascii="Arial" w:eastAsia="Calibri" w:hAnsi="Arial" w:cs="Arial"/>
          <w:sz w:val="24"/>
          <w:szCs w:val="24"/>
          <w:lang w:val="en-US"/>
        </w:rPr>
      </w:pPr>
    </w:p>
    <w:p w14:paraId="14D8F41A" w14:textId="77777777" w:rsidR="00222F2D" w:rsidRPr="003636DE"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sz w:val="24"/>
          <w:szCs w:val="24"/>
          <w:lang w:val="en-US"/>
        </w:rPr>
        <w:t>Gesell, J. S., “</w:t>
      </w:r>
      <w:r w:rsidRPr="003636DE">
        <w:rPr>
          <w:rFonts w:ascii="Arial" w:eastAsia="Calibri" w:hAnsi="Arial" w:cs="Arial"/>
          <w:i/>
          <w:sz w:val="24"/>
          <w:szCs w:val="24"/>
          <w:lang w:val="en-US"/>
        </w:rPr>
        <w:t>The natural economic order</w:t>
      </w:r>
      <w:r w:rsidRPr="003636DE">
        <w:rPr>
          <w:rFonts w:ascii="Arial" w:eastAsia="Calibri" w:hAnsi="Arial" w:cs="Arial"/>
          <w:i/>
          <w:iCs/>
          <w:sz w:val="24"/>
          <w:szCs w:val="24"/>
          <w:lang w:val="en-US"/>
        </w:rPr>
        <w:t>”</w:t>
      </w:r>
      <w:r w:rsidRPr="003636DE">
        <w:rPr>
          <w:rFonts w:ascii="Arial" w:eastAsia="Calibri" w:hAnsi="Arial" w:cs="Arial"/>
          <w:sz w:val="24"/>
          <w:szCs w:val="24"/>
          <w:lang w:val="en-US"/>
        </w:rPr>
        <w:t>, Londra, Owen, 1958.</w:t>
      </w:r>
    </w:p>
    <w:p w14:paraId="6219447D" w14:textId="77777777" w:rsidR="00222F2D" w:rsidRPr="003636DE" w:rsidRDefault="00222F2D" w:rsidP="00222F2D">
      <w:pPr>
        <w:spacing w:after="0" w:line="276" w:lineRule="auto"/>
        <w:jc w:val="both"/>
        <w:rPr>
          <w:rFonts w:ascii="Arial" w:eastAsia="Calibri" w:hAnsi="Arial" w:cs="Arial"/>
          <w:sz w:val="24"/>
          <w:szCs w:val="24"/>
          <w:lang w:val="en-US"/>
        </w:rPr>
      </w:pPr>
    </w:p>
    <w:p w14:paraId="7E654E57"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Gibbons D. S., Meehan J. W., “</w:t>
      </w:r>
      <w:r w:rsidRPr="009B378C">
        <w:rPr>
          <w:rFonts w:ascii="Arial" w:eastAsia="Calibri" w:hAnsi="Arial" w:cs="Arial"/>
          <w:i/>
          <w:iCs/>
          <w:sz w:val="24"/>
          <w:szCs w:val="24"/>
          <w:lang w:val="en-US"/>
        </w:rPr>
        <w:t>The Microcredit Summit’s Challenge: Working Toward Institutional Financial Self-Sufficiency While Maintaining a Commitment to Serving the Poorest Families</w:t>
      </w:r>
      <w:r w:rsidRPr="009B378C">
        <w:rPr>
          <w:rFonts w:ascii="Arial" w:eastAsia="Calibri" w:hAnsi="Arial" w:cs="Arial"/>
          <w:sz w:val="24"/>
          <w:szCs w:val="24"/>
          <w:lang w:val="en-US"/>
        </w:rPr>
        <w:t>”, Journal of Microfinance, Vol. I, No. 01, 2000, pp. 131-192.</w:t>
      </w:r>
    </w:p>
    <w:p w14:paraId="0F7B6522" w14:textId="77777777" w:rsidR="00222F2D" w:rsidRPr="009B378C" w:rsidRDefault="00222F2D" w:rsidP="00222F2D">
      <w:pPr>
        <w:spacing w:after="0" w:line="276" w:lineRule="auto"/>
        <w:jc w:val="both"/>
        <w:rPr>
          <w:rFonts w:ascii="Arial" w:eastAsia="Calibri" w:hAnsi="Arial" w:cs="Arial"/>
          <w:sz w:val="24"/>
          <w:szCs w:val="24"/>
          <w:lang w:val="en-US"/>
        </w:rPr>
      </w:pPr>
    </w:p>
    <w:p w14:paraId="0BE370D8"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lang w:val="en-US"/>
        </w:rPr>
        <w:t>Goenka A, Henley D. (a cura di), “</w:t>
      </w:r>
      <w:r w:rsidRPr="009B378C">
        <w:rPr>
          <w:rFonts w:ascii="Arial" w:eastAsia="Calibri" w:hAnsi="Arial" w:cs="Arial"/>
          <w:i/>
          <w:sz w:val="24"/>
          <w:szCs w:val="24"/>
          <w:lang w:val="en-US"/>
        </w:rPr>
        <w:t xml:space="preserve">Souteheast Asias’s Credit Revolution. </w:t>
      </w:r>
      <w:r w:rsidRPr="009B378C">
        <w:rPr>
          <w:rFonts w:ascii="Arial" w:eastAsia="Calibri" w:hAnsi="Arial" w:cs="Arial"/>
          <w:i/>
          <w:sz w:val="24"/>
          <w:szCs w:val="24"/>
        </w:rPr>
        <w:t>From moneylenders to microfinace</w:t>
      </w:r>
      <w:r w:rsidRPr="009B378C">
        <w:rPr>
          <w:rFonts w:ascii="Arial" w:eastAsia="Calibri" w:hAnsi="Arial" w:cs="Arial"/>
          <w:sz w:val="24"/>
          <w:szCs w:val="24"/>
        </w:rPr>
        <w:t>”, Routledge, 2010.</w:t>
      </w:r>
    </w:p>
    <w:p w14:paraId="2F6CB762" w14:textId="77777777" w:rsidR="00222F2D" w:rsidRPr="009B378C" w:rsidRDefault="00222F2D" w:rsidP="00222F2D">
      <w:pPr>
        <w:spacing w:after="0" w:line="276" w:lineRule="auto"/>
        <w:jc w:val="both"/>
        <w:rPr>
          <w:rFonts w:ascii="Arial" w:eastAsia="Calibri" w:hAnsi="Arial" w:cs="Arial"/>
          <w:sz w:val="24"/>
          <w:szCs w:val="24"/>
        </w:rPr>
      </w:pPr>
    </w:p>
    <w:p w14:paraId="78C3E4D1"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Goglio, S. e Leonardi, A., “</w:t>
      </w:r>
      <w:r w:rsidRPr="009B378C">
        <w:rPr>
          <w:rFonts w:ascii="Arial" w:eastAsia="Calibri" w:hAnsi="Arial" w:cs="Arial"/>
          <w:i/>
          <w:iCs/>
          <w:sz w:val="24"/>
          <w:szCs w:val="24"/>
        </w:rPr>
        <w:t>Le radici del credito cooperativo sotto il profilo teorico e storico”</w:t>
      </w:r>
      <w:r w:rsidRPr="009B378C">
        <w:rPr>
          <w:rFonts w:ascii="Arial" w:eastAsia="Calibri" w:hAnsi="Arial" w:cs="Arial"/>
          <w:sz w:val="24"/>
          <w:szCs w:val="24"/>
        </w:rPr>
        <w:t>, Euricse Working Papers, n. 11/2010.</w:t>
      </w:r>
    </w:p>
    <w:p w14:paraId="0E2E2B4D" w14:textId="77777777" w:rsidR="00222F2D" w:rsidRPr="009B378C" w:rsidRDefault="00222F2D" w:rsidP="00222F2D">
      <w:pPr>
        <w:spacing w:after="0" w:line="276" w:lineRule="auto"/>
        <w:jc w:val="both"/>
        <w:rPr>
          <w:rFonts w:ascii="Arial" w:eastAsia="Calibri" w:hAnsi="Arial" w:cs="Arial"/>
          <w:sz w:val="24"/>
          <w:szCs w:val="24"/>
        </w:rPr>
      </w:pPr>
    </w:p>
    <w:p w14:paraId="1C3FE8BD"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Goria A, Massetti E., Tavoni M., “</w:t>
      </w:r>
      <w:r w:rsidRPr="009B378C">
        <w:rPr>
          <w:rFonts w:ascii="Arial" w:eastAsia="Calibri" w:hAnsi="Arial" w:cs="Arial"/>
          <w:i/>
          <w:sz w:val="24"/>
          <w:szCs w:val="24"/>
        </w:rPr>
        <w:t>Microfinanza contro la povertà</w:t>
      </w:r>
      <w:r w:rsidRPr="009B378C">
        <w:rPr>
          <w:rFonts w:ascii="Arial" w:eastAsia="Calibri" w:hAnsi="Arial" w:cs="Arial"/>
          <w:sz w:val="24"/>
          <w:szCs w:val="24"/>
        </w:rPr>
        <w:t>”, in Equilibri, Rivista per lo sviluppo sostenibile", n. 1/2006, pp. 141-154, doi: 10.1406/21670.</w:t>
      </w:r>
    </w:p>
    <w:p w14:paraId="5AD0643D" w14:textId="77777777" w:rsidR="00222F2D" w:rsidRPr="009B378C" w:rsidRDefault="00222F2D" w:rsidP="00222F2D">
      <w:pPr>
        <w:spacing w:after="0" w:line="276" w:lineRule="auto"/>
        <w:jc w:val="both"/>
        <w:rPr>
          <w:rFonts w:ascii="Arial" w:eastAsia="Calibri" w:hAnsi="Arial" w:cs="Arial"/>
          <w:sz w:val="24"/>
          <w:szCs w:val="24"/>
        </w:rPr>
      </w:pPr>
    </w:p>
    <w:p w14:paraId="07A2603D"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Gráda Cormac, “</w:t>
      </w:r>
      <w:r w:rsidRPr="009B378C">
        <w:rPr>
          <w:rFonts w:ascii="Arial" w:eastAsia="Calibri" w:hAnsi="Arial" w:cs="Arial"/>
          <w:i/>
          <w:iCs/>
          <w:sz w:val="24"/>
          <w:szCs w:val="24"/>
          <w:lang w:val="en-US"/>
        </w:rPr>
        <w:t>The Early History of Irish Savings Banks</w:t>
      </w:r>
      <w:r w:rsidRPr="009B378C">
        <w:rPr>
          <w:rFonts w:ascii="Arial" w:eastAsia="Calibri" w:hAnsi="Arial" w:cs="Arial"/>
          <w:i/>
          <w:sz w:val="24"/>
          <w:szCs w:val="24"/>
          <w:lang w:val="en-US"/>
        </w:rPr>
        <w:t>”</w:t>
      </w:r>
      <w:r w:rsidRPr="009B378C">
        <w:rPr>
          <w:rFonts w:ascii="Arial" w:eastAsia="Calibri" w:hAnsi="Arial" w:cs="Arial"/>
          <w:sz w:val="24"/>
          <w:szCs w:val="24"/>
          <w:lang w:val="en-US"/>
        </w:rPr>
        <w:t xml:space="preserve">, </w:t>
      </w:r>
      <w:r w:rsidRPr="009B378C">
        <w:rPr>
          <w:rFonts w:ascii="Arial" w:eastAsia="Calibri" w:hAnsi="Arial" w:cs="Arial"/>
          <w:i/>
          <w:iCs/>
          <w:sz w:val="24"/>
          <w:szCs w:val="24"/>
          <w:lang w:val="en-US"/>
        </w:rPr>
        <w:t>University College Dublin</w:t>
      </w:r>
      <w:r w:rsidRPr="009B378C">
        <w:rPr>
          <w:rFonts w:ascii="Arial" w:eastAsia="Calibri" w:hAnsi="Arial" w:cs="Arial"/>
          <w:sz w:val="24"/>
          <w:szCs w:val="24"/>
          <w:lang w:val="en-US"/>
        </w:rPr>
        <w:t>, 2008, in https://www.researchgate.net/publication/24140539.</w:t>
      </w:r>
    </w:p>
    <w:p w14:paraId="7B52C319" w14:textId="77777777" w:rsidR="00222F2D" w:rsidRPr="003636DE" w:rsidRDefault="00222F2D" w:rsidP="00222F2D">
      <w:pPr>
        <w:spacing w:after="0" w:line="276" w:lineRule="auto"/>
        <w:jc w:val="both"/>
        <w:rPr>
          <w:rFonts w:ascii="Arial" w:eastAsia="Calibri" w:hAnsi="Arial" w:cs="Arial"/>
          <w:sz w:val="24"/>
          <w:szCs w:val="24"/>
          <w:lang w:val="en-US"/>
        </w:rPr>
      </w:pPr>
    </w:p>
    <w:p w14:paraId="3113861A" w14:textId="77777777" w:rsidR="00222F2D" w:rsidRPr="009B378C" w:rsidRDefault="00222F2D" w:rsidP="00222F2D">
      <w:pPr>
        <w:spacing w:after="0" w:line="276" w:lineRule="auto"/>
        <w:jc w:val="both"/>
        <w:rPr>
          <w:rFonts w:ascii="Arial" w:eastAsia="Calibri" w:hAnsi="Arial" w:cs="Arial"/>
          <w:sz w:val="24"/>
          <w:szCs w:val="24"/>
          <w:lang w:val="en-US"/>
        </w:rPr>
      </w:pPr>
      <w:proofErr w:type="spellStart"/>
      <w:r w:rsidRPr="009B378C">
        <w:rPr>
          <w:rFonts w:ascii="Arial" w:eastAsia="Calibri" w:hAnsi="Arial" w:cs="Arial"/>
          <w:sz w:val="24"/>
          <w:szCs w:val="24"/>
          <w:lang w:val="en-US"/>
        </w:rPr>
        <w:t>Hagenaars</w:t>
      </w:r>
      <w:proofErr w:type="spellEnd"/>
      <w:r w:rsidRPr="009B378C">
        <w:rPr>
          <w:rFonts w:ascii="Arial" w:eastAsia="Calibri" w:hAnsi="Arial" w:cs="Arial"/>
          <w:sz w:val="24"/>
          <w:szCs w:val="24"/>
          <w:lang w:val="en-US"/>
        </w:rPr>
        <w:t xml:space="preserve"> A., de Vos K., “</w:t>
      </w:r>
      <w:r w:rsidRPr="009B378C">
        <w:rPr>
          <w:rFonts w:ascii="Arial" w:eastAsia="Calibri" w:hAnsi="Arial" w:cs="Arial"/>
          <w:i/>
          <w:iCs/>
          <w:sz w:val="24"/>
          <w:szCs w:val="24"/>
          <w:lang w:val="en-US"/>
        </w:rPr>
        <w:t>The Definition and Measurement of Poverty</w:t>
      </w:r>
      <w:r w:rsidRPr="009B378C">
        <w:rPr>
          <w:rFonts w:ascii="Arial" w:eastAsia="Calibri" w:hAnsi="Arial" w:cs="Arial"/>
          <w:sz w:val="24"/>
          <w:szCs w:val="24"/>
          <w:lang w:val="en-US"/>
        </w:rPr>
        <w:t xml:space="preserve">”, in </w:t>
      </w:r>
      <w:r w:rsidRPr="009B378C">
        <w:rPr>
          <w:rFonts w:ascii="Arial" w:eastAsia="Calibri" w:hAnsi="Arial" w:cs="Arial"/>
          <w:i/>
          <w:iCs/>
          <w:sz w:val="24"/>
          <w:szCs w:val="24"/>
          <w:lang w:val="en-US"/>
        </w:rPr>
        <w:t>The Journal of Human Resources</w:t>
      </w:r>
      <w:r w:rsidRPr="009B378C">
        <w:rPr>
          <w:rFonts w:ascii="Arial" w:eastAsia="Calibri" w:hAnsi="Arial" w:cs="Arial"/>
          <w:sz w:val="24"/>
          <w:szCs w:val="24"/>
          <w:lang w:val="en-US"/>
        </w:rPr>
        <w:t>, Vol. 23, No. 2, 1988, pp. 211-221, Spring, doi: https://doi.org/10.2307/145776.</w:t>
      </w:r>
    </w:p>
    <w:p w14:paraId="550C5C33" w14:textId="77777777" w:rsidR="00222F2D" w:rsidRPr="009B378C" w:rsidRDefault="00222F2D" w:rsidP="00222F2D">
      <w:pPr>
        <w:spacing w:after="0" w:line="276" w:lineRule="auto"/>
        <w:jc w:val="both"/>
        <w:rPr>
          <w:rFonts w:ascii="Arial" w:eastAsia="Calibri" w:hAnsi="Arial" w:cs="Arial"/>
          <w:sz w:val="24"/>
          <w:szCs w:val="24"/>
          <w:lang w:val="en-US"/>
        </w:rPr>
      </w:pPr>
    </w:p>
    <w:p w14:paraId="5639F8AD"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lastRenderedPageBreak/>
        <w:t>Hollis A, Sweetman A., “</w:t>
      </w:r>
      <w:r w:rsidRPr="009B378C">
        <w:rPr>
          <w:rFonts w:ascii="Arial" w:eastAsia="Calibri" w:hAnsi="Arial" w:cs="Arial"/>
          <w:i/>
          <w:sz w:val="24"/>
          <w:szCs w:val="24"/>
          <w:lang w:val="en-US"/>
        </w:rPr>
        <w:t>The Evolution of A Microcredit Institution: The Irish Loan Funds, 1720 - 1920”</w:t>
      </w:r>
      <w:r w:rsidRPr="009B378C">
        <w:rPr>
          <w:rFonts w:ascii="Arial" w:eastAsia="Calibri" w:hAnsi="Arial" w:cs="Arial"/>
          <w:sz w:val="24"/>
          <w:szCs w:val="24"/>
          <w:lang w:val="en-US"/>
        </w:rPr>
        <w:t>, Department of Economics and Institute for Policy Analysis University of Toronto, 1996, in https: https://www.researchgate.net/publication/24135891.</w:t>
      </w:r>
    </w:p>
    <w:p w14:paraId="0905F11F" w14:textId="77777777" w:rsidR="00222F2D" w:rsidRPr="009B378C" w:rsidRDefault="00222F2D" w:rsidP="00222F2D">
      <w:pPr>
        <w:spacing w:after="0" w:line="276" w:lineRule="auto"/>
        <w:jc w:val="both"/>
        <w:rPr>
          <w:rFonts w:ascii="Arial" w:eastAsia="Calibri" w:hAnsi="Arial" w:cs="Arial"/>
          <w:sz w:val="24"/>
          <w:szCs w:val="24"/>
          <w:lang w:val="en-US"/>
        </w:rPr>
      </w:pPr>
    </w:p>
    <w:p w14:paraId="43FFF7CC"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Hollis A, Sweetman A., “</w:t>
      </w:r>
      <w:r w:rsidRPr="009B378C">
        <w:rPr>
          <w:rFonts w:ascii="Arial" w:eastAsia="Calibri" w:hAnsi="Arial" w:cs="Arial"/>
          <w:i/>
          <w:iCs/>
          <w:sz w:val="24"/>
          <w:szCs w:val="24"/>
          <w:lang w:val="en-US"/>
        </w:rPr>
        <w:t>Complementarity, Competition and Institutional Development: The Irish Loan Funds through Three Centuries</w:t>
      </w:r>
      <w:r w:rsidRPr="009B378C">
        <w:rPr>
          <w:rFonts w:ascii="Arial" w:eastAsia="Calibri" w:hAnsi="Arial" w:cs="Arial"/>
          <w:i/>
          <w:sz w:val="24"/>
          <w:szCs w:val="24"/>
          <w:lang w:val="en-US"/>
        </w:rPr>
        <w:t>”,</w:t>
      </w:r>
      <w:r w:rsidRPr="009B378C">
        <w:rPr>
          <w:rFonts w:ascii="Arial" w:eastAsia="Calibri" w:hAnsi="Arial" w:cs="Arial"/>
          <w:sz w:val="24"/>
          <w:szCs w:val="24"/>
          <w:lang w:val="en-US"/>
        </w:rPr>
        <w:t xml:space="preserve"> 1997, in https://www.researchgate.net/publication/23742751.</w:t>
      </w:r>
    </w:p>
    <w:p w14:paraId="4DD2162A" w14:textId="77777777" w:rsidR="00222F2D" w:rsidRPr="003636DE" w:rsidRDefault="00222F2D" w:rsidP="00222F2D">
      <w:pPr>
        <w:spacing w:after="0" w:line="276" w:lineRule="auto"/>
        <w:jc w:val="both"/>
        <w:rPr>
          <w:rFonts w:ascii="Arial" w:eastAsia="Calibri" w:hAnsi="Arial" w:cs="Arial"/>
          <w:sz w:val="24"/>
          <w:szCs w:val="24"/>
          <w:lang w:val="en-US"/>
        </w:rPr>
      </w:pPr>
    </w:p>
    <w:p w14:paraId="0FA926EC"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i/>
          <w:iCs/>
          <w:sz w:val="24"/>
          <w:szCs w:val="24"/>
          <w:lang w:val="en-US"/>
        </w:rPr>
        <w:t>International Monetary Fund</w:t>
      </w:r>
      <w:r w:rsidRPr="009B378C">
        <w:rPr>
          <w:rFonts w:ascii="Arial" w:eastAsia="Calibri" w:hAnsi="Arial" w:cs="Arial"/>
          <w:sz w:val="24"/>
          <w:szCs w:val="24"/>
          <w:lang w:val="en-US"/>
        </w:rPr>
        <w:t xml:space="preserve">, IMF DATA, Access to Macroeconomic &amp; Financial Data, </w:t>
      </w:r>
      <w:r w:rsidRPr="009B378C">
        <w:rPr>
          <w:rFonts w:ascii="Arial" w:eastAsia="Calibri" w:hAnsi="Arial" w:cs="Arial"/>
          <w:i/>
          <w:iCs/>
          <w:sz w:val="24"/>
          <w:szCs w:val="24"/>
          <w:lang w:val="en-US"/>
        </w:rPr>
        <w:t>Financial Access Survey (FAS)</w:t>
      </w:r>
      <w:r w:rsidRPr="009B378C">
        <w:rPr>
          <w:rFonts w:ascii="Arial" w:eastAsia="Calibri" w:hAnsi="Arial" w:cs="Arial"/>
          <w:sz w:val="24"/>
          <w:szCs w:val="24"/>
          <w:lang w:val="en-US"/>
        </w:rPr>
        <w:t>, https://data.imf.org.</w:t>
      </w:r>
    </w:p>
    <w:p w14:paraId="6746E128" w14:textId="77777777" w:rsidR="00222F2D" w:rsidRPr="009B378C" w:rsidRDefault="00222F2D" w:rsidP="00222F2D">
      <w:pPr>
        <w:spacing w:after="0" w:line="276" w:lineRule="auto"/>
        <w:jc w:val="both"/>
        <w:rPr>
          <w:rFonts w:ascii="Arial" w:eastAsia="Calibri" w:hAnsi="Arial" w:cs="Arial"/>
          <w:sz w:val="24"/>
          <w:szCs w:val="24"/>
          <w:lang w:val="en-US"/>
        </w:rPr>
      </w:pPr>
    </w:p>
    <w:p w14:paraId="2538A8EE" w14:textId="429B1C12"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 xml:space="preserve">Intrisano C., Micheli A. P., </w:t>
      </w:r>
      <w:r w:rsidR="00DC2732">
        <w:rPr>
          <w:rFonts w:ascii="Arial" w:eastAsia="Calibri" w:hAnsi="Arial" w:cs="Arial"/>
          <w:sz w:val="24"/>
          <w:szCs w:val="24"/>
        </w:rPr>
        <w:t>“</w:t>
      </w:r>
      <w:r w:rsidRPr="009B378C">
        <w:rPr>
          <w:rFonts w:ascii="Arial" w:eastAsia="Calibri" w:hAnsi="Arial" w:cs="Arial"/>
          <w:i/>
          <w:iCs/>
          <w:sz w:val="24"/>
          <w:szCs w:val="24"/>
        </w:rPr>
        <w:t>Il carry trade e il microcredito con i paesi dell’America Latina</w:t>
      </w:r>
      <w:r w:rsidR="00DC2732">
        <w:rPr>
          <w:rFonts w:ascii="Arial" w:eastAsia="Calibri" w:hAnsi="Arial" w:cs="Arial"/>
          <w:i/>
          <w:iCs/>
          <w:sz w:val="24"/>
          <w:szCs w:val="24"/>
        </w:rPr>
        <w:t>”</w:t>
      </w:r>
      <w:r w:rsidRPr="009B378C">
        <w:rPr>
          <w:rFonts w:ascii="Arial" w:eastAsia="Calibri" w:hAnsi="Arial" w:cs="Arial"/>
          <w:sz w:val="24"/>
          <w:szCs w:val="24"/>
        </w:rPr>
        <w:t>, Aracne, 2015;</w:t>
      </w:r>
    </w:p>
    <w:p w14:paraId="09B56D6F" w14:textId="77777777" w:rsidR="00222F2D" w:rsidRPr="009B378C" w:rsidRDefault="00222F2D" w:rsidP="00222F2D">
      <w:pPr>
        <w:spacing w:after="0" w:line="276" w:lineRule="auto"/>
        <w:jc w:val="both"/>
        <w:rPr>
          <w:rFonts w:ascii="Arial" w:eastAsia="Calibri" w:hAnsi="Arial" w:cs="Arial"/>
          <w:sz w:val="24"/>
          <w:szCs w:val="24"/>
        </w:rPr>
      </w:pPr>
    </w:p>
    <w:p w14:paraId="1033ECEE"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Jolliffe D., Gerszon Mahler D., Lakner C., Atamanov A., Kofi Tetteh-Baah S., “</w:t>
      </w:r>
      <w:r w:rsidRPr="009B378C">
        <w:rPr>
          <w:rFonts w:ascii="Arial" w:eastAsia="Calibri" w:hAnsi="Arial" w:cs="Arial"/>
          <w:i/>
          <w:iCs/>
          <w:sz w:val="24"/>
          <w:szCs w:val="24"/>
          <w:lang w:val="en-US"/>
        </w:rPr>
        <w:t>Assessing the Impact of the 2017 PPPs on the International Poverty Line and Global Poverty</w:t>
      </w:r>
      <w:r w:rsidRPr="009B378C">
        <w:rPr>
          <w:rFonts w:ascii="Arial" w:eastAsia="Calibri" w:hAnsi="Arial" w:cs="Arial"/>
          <w:sz w:val="24"/>
          <w:szCs w:val="24"/>
          <w:lang w:val="en-US"/>
        </w:rPr>
        <w:t>”, WBG, Development Data Group &amp; Poverty and Equity Global Practice, 2022.</w:t>
      </w:r>
    </w:p>
    <w:p w14:paraId="33152361" w14:textId="77777777" w:rsidR="00222F2D" w:rsidRPr="003636DE" w:rsidRDefault="00222F2D" w:rsidP="00222F2D">
      <w:pPr>
        <w:spacing w:after="0" w:line="276" w:lineRule="auto"/>
        <w:jc w:val="both"/>
        <w:rPr>
          <w:rFonts w:ascii="Arial" w:eastAsia="Calibri" w:hAnsi="Arial" w:cs="Arial"/>
          <w:sz w:val="24"/>
          <w:szCs w:val="24"/>
          <w:lang w:val="en-US"/>
        </w:rPr>
      </w:pPr>
    </w:p>
    <w:p w14:paraId="4CFB0D90" w14:textId="77777777" w:rsidR="00222F2D" w:rsidRPr="009B378C" w:rsidRDefault="00222F2D" w:rsidP="00222F2D">
      <w:pPr>
        <w:spacing w:after="0" w:line="276" w:lineRule="auto"/>
        <w:jc w:val="both"/>
        <w:rPr>
          <w:rFonts w:ascii="Arial" w:eastAsia="Calibri" w:hAnsi="Arial" w:cs="Arial"/>
          <w:sz w:val="24"/>
          <w:szCs w:val="24"/>
        </w:rPr>
      </w:pPr>
      <w:proofErr w:type="spellStart"/>
      <w:r w:rsidRPr="009B378C">
        <w:rPr>
          <w:rFonts w:ascii="Arial" w:eastAsia="Calibri" w:hAnsi="Arial" w:cs="Arial"/>
          <w:sz w:val="24"/>
          <w:szCs w:val="24"/>
        </w:rPr>
        <w:t>Karlan</w:t>
      </w:r>
      <w:proofErr w:type="spellEnd"/>
      <w:r w:rsidRPr="009B378C">
        <w:rPr>
          <w:rFonts w:ascii="Arial" w:eastAsia="Calibri" w:hAnsi="Arial" w:cs="Arial"/>
          <w:sz w:val="24"/>
          <w:szCs w:val="24"/>
        </w:rPr>
        <w:t xml:space="preserve"> D., Zinman J., “</w:t>
      </w:r>
      <w:r w:rsidRPr="009B378C">
        <w:rPr>
          <w:rFonts w:ascii="Arial" w:eastAsia="Calibri" w:hAnsi="Arial" w:cs="Arial"/>
          <w:i/>
          <w:sz w:val="24"/>
          <w:szCs w:val="24"/>
        </w:rPr>
        <w:t>Microcredito nella teoria e nella pratica: utilizzo del punteggio di modifica del Cr randomizzato per la valutazione dell'impatto”</w:t>
      </w:r>
      <w:r w:rsidRPr="009B378C">
        <w:rPr>
          <w:rFonts w:ascii="Arial" w:eastAsia="Calibri" w:hAnsi="Arial" w:cs="Arial"/>
          <w:sz w:val="24"/>
          <w:szCs w:val="24"/>
        </w:rPr>
        <w:t>, in Scienza, n. 32/2011, pp. 1278-1284, doi: 10.1126/science.</w:t>
      </w:r>
    </w:p>
    <w:p w14:paraId="56443889" w14:textId="77777777" w:rsidR="00222F2D" w:rsidRPr="009B378C" w:rsidRDefault="00222F2D" w:rsidP="00222F2D">
      <w:pPr>
        <w:spacing w:after="0" w:line="276" w:lineRule="auto"/>
        <w:jc w:val="both"/>
        <w:rPr>
          <w:rFonts w:ascii="Arial" w:eastAsia="Calibri" w:hAnsi="Arial" w:cs="Arial"/>
          <w:sz w:val="24"/>
          <w:szCs w:val="24"/>
        </w:rPr>
      </w:pPr>
    </w:p>
    <w:p w14:paraId="1239B6D7"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Khawari A., “</w:t>
      </w:r>
      <w:r w:rsidRPr="009B378C">
        <w:rPr>
          <w:rFonts w:ascii="Arial" w:eastAsia="Calibri" w:hAnsi="Arial" w:cs="Arial"/>
          <w:i/>
          <w:sz w:val="24"/>
          <w:szCs w:val="24"/>
        </w:rPr>
        <w:t>Microfinanza: mantiene le sue promesse? Un’indagine sulla letteratura recente”</w:t>
      </w:r>
      <w:r w:rsidRPr="009B378C">
        <w:rPr>
          <w:rFonts w:ascii="Arial" w:eastAsia="Calibri" w:hAnsi="Arial" w:cs="Arial"/>
          <w:sz w:val="24"/>
          <w:szCs w:val="24"/>
        </w:rPr>
        <w:t>, HWWA Institute of International Economics, 2004, SSRN: https://ssrn.com/abstract=556213.</w:t>
      </w:r>
    </w:p>
    <w:p w14:paraId="4B280C21" w14:textId="77777777" w:rsidR="00222F2D" w:rsidRPr="009B378C" w:rsidRDefault="00222F2D" w:rsidP="00222F2D">
      <w:pPr>
        <w:spacing w:after="0" w:line="276" w:lineRule="auto"/>
        <w:jc w:val="both"/>
        <w:rPr>
          <w:rFonts w:ascii="Arial" w:eastAsia="Calibri" w:hAnsi="Arial" w:cs="Arial"/>
          <w:sz w:val="24"/>
          <w:szCs w:val="24"/>
        </w:rPr>
      </w:pPr>
    </w:p>
    <w:p w14:paraId="67637A67" w14:textId="77777777" w:rsidR="00222F2D"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La Torre M., “</w:t>
      </w:r>
      <w:r w:rsidRPr="009B378C">
        <w:rPr>
          <w:rFonts w:ascii="Arial" w:eastAsia="Calibri" w:hAnsi="Arial" w:cs="Arial"/>
          <w:i/>
          <w:iCs/>
          <w:sz w:val="24"/>
          <w:szCs w:val="24"/>
        </w:rPr>
        <w:t>Banche e welfare: microcredito, crowdfunding e investimenti a impatto sociale</w:t>
      </w:r>
      <w:r w:rsidRPr="009B378C">
        <w:rPr>
          <w:rFonts w:ascii="Arial" w:eastAsia="Calibri" w:hAnsi="Arial" w:cs="Arial"/>
          <w:sz w:val="24"/>
          <w:szCs w:val="24"/>
        </w:rPr>
        <w:t>”, in Rivista MK, n. 5/2013, Bancaria editrice, Roma;</w:t>
      </w:r>
    </w:p>
    <w:p w14:paraId="30984271" w14:textId="77777777" w:rsidR="00CD0711" w:rsidRDefault="00CD0711" w:rsidP="00222F2D">
      <w:pPr>
        <w:spacing w:after="0" w:line="276" w:lineRule="auto"/>
        <w:jc w:val="both"/>
        <w:rPr>
          <w:rFonts w:ascii="Arial" w:eastAsia="Calibri" w:hAnsi="Arial" w:cs="Arial"/>
          <w:sz w:val="24"/>
          <w:szCs w:val="24"/>
        </w:rPr>
      </w:pPr>
    </w:p>
    <w:p w14:paraId="26F6DCA2" w14:textId="77777777" w:rsidR="00CD0711" w:rsidRPr="009B378C" w:rsidRDefault="00CD0711" w:rsidP="00CD0711">
      <w:pPr>
        <w:spacing w:after="0" w:line="276" w:lineRule="auto"/>
        <w:jc w:val="both"/>
        <w:rPr>
          <w:rFonts w:ascii="Arial" w:eastAsia="Calibri" w:hAnsi="Arial" w:cs="Arial"/>
          <w:sz w:val="24"/>
          <w:szCs w:val="24"/>
        </w:rPr>
      </w:pPr>
      <w:r w:rsidRPr="009B378C">
        <w:rPr>
          <w:rFonts w:ascii="Arial" w:eastAsia="Calibri" w:hAnsi="Arial" w:cs="Arial"/>
          <w:sz w:val="24"/>
          <w:szCs w:val="24"/>
        </w:rPr>
        <w:t>Lang T., “</w:t>
      </w:r>
      <w:r w:rsidRPr="009B378C">
        <w:rPr>
          <w:rFonts w:ascii="Arial" w:eastAsia="Calibri" w:hAnsi="Arial" w:cs="Arial"/>
          <w:i/>
          <w:iCs/>
          <w:sz w:val="24"/>
          <w:szCs w:val="24"/>
        </w:rPr>
        <w:t>Programmi e risorse a sostegno dell’imprenditorialità</w:t>
      </w:r>
      <w:r w:rsidRPr="009B378C">
        <w:rPr>
          <w:rFonts w:ascii="Arial" w:eastAsia="Calibri" w:hAnsi="Arial" w:cs="Arial"/>
          <w:sz w:val="24"/>
          <w:szCs w:val="24"/>
        </w:rPr>
        <w:t>”, Rivista microcredito, Ente Nazionale per il microcredito”, n. 42, 2022.</w:t>
      </w:r>
    </w:p>
    <w:p w14:paraId="5EDBDC85" w14:textId="77777777" w:rsidR="00DC2732" w:rsidRDefault="00DC2732" w:rsidP="00222F2D">
      <w:pPr>
        <w:spacing w:after="0" w:line="276" w:lineRule="auto"/>
        <w:jc w:val="both"/>
        <w:rPr>
          <w:rFonts w:ascii="Arial" w:eastAsia="Calibri" w:hAnsi="Arial" w:cs="Arial"/>
          <w:sz w:val="24"/>
          <w:szCs w:val="24"/>
          <w:lang w:val="en-US"/>
        </w:rPr>
      </w:pPr>
    </w:p>
    <w:p w14:paraId="6E5BAEE3" w14:textId="2158986A" w:rsidR="00222F2D" w:rsidRPr="00DC2732" w:rsidRDefault="00DC2732" w:rsidP="00222F2D">
      <w:pPr>
        <w:spacing w:after="0" w:line="276" w:lineRule="auto"/>
        <w:jc w:val="both"/>
        <w:rPr>
          <w:rFonts w:ascii="Arial" w:eastAsia="Calibri" w:hAnsi="Arial" w:cs="Arial"/>
          <w:sz w:val="24"/>
          <w:szCs w:val="24"/>
          <w:lang w:val="en-US"/>
        </w:rPr>
      </w:pPr>
      <w:r w:rsidRPr="00DC2732">
        <w:rPr>
          <w:rFonts w:ascii="Arial" w:eastAsia="Calibri" w:hAnsi="Arial" w:cs="Arial"/>
          <w:sz w:val="24"/>
          <w:szCs w:val="24"/>
          <w:lang w:val="en-US"/>
        </w:rPr>
        <w:t>Ledgerwood J. “</w:t>
      </w:r>
      <w:r w:rsidRPr="00DC2732">
        <w:rPr>
          <w:rFonts w:ascii="Arial" w:eastAsia="Calibri" w:hAnsi="Arial" w:cs="Arial"/>
          <w:i/>
          <w:iCs/>
          <w:sz w:val="24"/>
          <w:szCs w:val="24"/>
          <w:lang w:val="en-US"/>
        </w:rPr>
        <w:t>Sustainable banking with the poor – Microfinance handbook – An institutional and Financial Perspective</w:t>
      </w:r>
      <w:r w:rsidRPr="00DC2732">
        <w:rPr>
          <w:rFonts w:ascii="Arial" w:eastAsia="Calibri" w:hAnsi="Arial" w:cs="Arial"/>
          <w:sz w:val="24"/>
          <w:szCs w:val="24"/>
          <w:lang w:val="en-US"/>
        </w:rPr>
        <w:t>”, The World Bank, Washington D.C., 1999.</w:t>
      </w:r>
    </w:p>
    <w:p w14:paraId="1AAF3D7B" w14:textId="77777777" w:rsidR="00DC2732" w:rsidRPr="00DC2732" w:rsidRDefault="00DC2732" w:rsidP="00222F2D">
      <w:pPr>
        <w:spacing w:after="0" w:line="276" w:lineRule="auto"/>
        <w:jc w:val="both"/>
        <w:rPr>
          <w:rFonts w:ascii="Arial" w:eastAsia="Calibri" w:hAnsi="Arial" w:cs="Arial"/>
          <w:sz w:val="24"/>
          <w:szCs w:val="24"/>
          <w:lang w:val="en-US"/>
        </w:rPr>
      </w:pPr>
    </w:p>
    <w:p w14:paraId="4E5122C4" w14:textId="77777777" w:rsidR="00222F2D" w:rsidRPr="009B378C" w:rsidRDefault="00222F2D" w:rsidP="00222F2D">
      <w:pPr>
        <w:spacing w:after="0" w:line="276" w:lineRule="auto"/>
        <w:jc w:val="both"/>
        <w:rPr>
          <w:rFonts w:ascii="Arial" w:eastAsia="Calibri" w:hAnsi="Arial" w:cs="Arial"/>
          <w:sz w:val="24"/>
          <w:szCs w:val="24"/>
        </w:rPr>
      </w:pPr>
      <w:proofErr w:type="spellStart"/>
      <w:r w:rsidRPr="009B378C">
        <w:rPr>
          <w:rFonts w:ascii="Arial" w:eastAsia="Calibri" w:hAnsi="Arial" w:cs="Arial"/>
          <w:sz w:val="24"/>
          <w:szCs w:val="24"/>
        </w:rPr>
        <w:t>Lowenstein</w:t>
      </w:r>
      <w:proofErr w:type="spellEnd"/>
      <w:r w:rsidRPr="009B378C">
        <w:rPr>
          <w:rFonts w:ascii="Arial" w:eastAsia="Calibri" w:hAnsi="Arial" w:cs="Arial"/>
          <w:sz w:val="24"/>
          <w:szCs w:val="24"/>
        </w:rPr>
        <w:t xml:space="preserve"> M., “</w:t>
      </w:r>
      <w:r w:rsidRPr="009B378C">
        <w:rPr>
          <w:rFonts w:ascii="Arial" w:eastAsia="Calibri" w:hAnsi="Arial" w:cs="Arial"/>
          <w:i/>
          <w:sz w:val="24"/>
          <w:szCs w:val="24"/>
        </w:rPr>
        <w:t xml:space="preserve">Gestione del rischio nella Cina prebellica: uno studio sulle associazioni di risparmio e credito a rotazione (ROSCA) nella dinastia Qing e nella provincia dello Shanxi dell'era repubblicana”, </w:t>
      </w:r>
      <w:r w:rsidRPr="009B378C">
        <w:rPr>
          <w:rFonts w:ascii="Arial" w:eastAsia="Calibri" w:hAnsi="Arial" w:cs="Arial"/>
          <w:sz w:val="24"/>
          <w:szCs w:val="24"/>
        </w:rPr>
        <w:t>Business History, 2023, doi: 10.1080/00076791.2023.2222662.</w:t>
      </w:r>
    </w:p>
    <w:p w14:paraId="19AF8D0D" w14:textId="77777777" w:rsidR="00222F2D" w:rsidRDefault="00222F2D" w:rsidP="00222F2D">
      <w:pPr>
        <w:spacing w:after="0" w:line="276" w:lineRule="auto"/>
        <w:jc w:val="both"/>
        <w:rPr>
          <w:rFonts w:ascii="Arial" w:eastAsia="Calibri" w:hAnsi="Arial" w:cs="Arial"/>
          <w:sz w:val="24"/>
          <w:szCs w:val="24"/>
        </w:rPr>
      </w:pPr>
    </w:p>
    <w:p w14:paraId="593EEE74" w14:textId="77777777" w:rsidR="00B24AB5" w:rsidRPr="00216EA7" w:rsidRDefault="00B24AB5" w:rsidP="00B24AB5">
      <w:pPr>
        <w:pStyle w:val="Testonotaapidipagina"/>
        <w:spacing w:line="276" w:lineRule="auto"/>
        <w:jc w:val="both"/>
        <w:rPr>
          <w:rFonts w:ascii="Arial" w:hAnsi="Arial" w:cs="Arial"/>
          <w:sz w:val="24"/>
          <w:szCs w:val="24"/>
          <w:lang w:val="en-US"/>
        </w:rPr>
      </w:pPr>
      <w:r w:rsidRPr="00216EA7">
        <w:rPr>
          <w:rFonts w:ascii="Arial" w:hAnsi="Arial" w:cs="Arial"/>
          <w:sz w:val="24"/>
          <w:szCs w:val="24"/>
          <w:lang w:val="en-US"/>
        </w:rPr>
        <w:t>Maloney C., Ahmed A.B. S., “</w:t>
      </w:r>
      <w:r w:rsidRPr="00216EA7">
        <w:rPr>
          <w:rFonts w:ascii="Arial" w:hAnsi="Arial" w:cs="Arial"/>
          <w:i/>
          <w:iCs/>
          <w:sz w:val="24"/>
          <w:szCs w:val="24"/>
          <w:lang w:val="en-US"/>
        </w:rPr>
        <w:t>Rural savings and credit in Bangladesh</w:t>
      </w:r>
      <w:r w:rsidRPr="00216EA7">
        <w:rPr>
          <w:rFonts w:ascii="Arial" w:hAnsi="Arial" w:cs="Arial"/>
          <w:sz w:val="24"/>
          <w:szCs w:val="24"/>
          <w:lang w:val="en-US"/>
        </w:rPr>
        <w:t>”, Dhaka, Bangladesh: University Press, 1988.</w:t>
      </w:r>
    </w:p>
    <w:p w14:paraId="0A0E14C1" w14:textId="77777777" w:rsidR="00B24AB5" w:rsidRPr="003636DE" w:rsidRDefault="00B24AB5" w:rsidP="00222F2D">
      <w:pPr>
        <w:spacing w:after="0" w:line="276" w:lineRule="auto"/>
        <w:jc w:val="both"/>
        <w:rPr>
          <w:rFonts w:ascii="Arial" w:eastAsia="Calibri" w:hAnsi="Arial" w:cs="Arial"/>
          <w:sz w:val="24"/>
          <w:szCs w:val="24"/>
          <w:lang w:val="en-US"/>
        </w:rPr>
      </w:pPr>
    </w:p>
    <w:p w14:paraId="7EC2E903" w14:textId="77777777" w:rsidR="00222F2D" w:rsidRPr="009B378C" w:rsidRDefault="00222F2D" w:rsidP="00222F2D">
      <w:pPr>
        <w:spacing w:after="0" w:line="276" w:lineRule="auto"/>
        <w:jc w:val="both"/>
        <w:rPr>
          <w:rFonts w:ascii="Arial" w:eastAsia="Calibri" w:hAnsi="Arial" w:cs="Arial"/>
          <w:sz w:val="24"/>
          <w:szCs w:val="24"/>
        </w:rPr>
      </w:pPr>
      <w:proofErr w:type="spellStart"/>
      <w:r w:rsidRPr="009B378C">
        <w:rPr>
          <w:rFonts w:ascii="Arial" w:eastAsia="Calibri" w:hAnsi="Arial" w:cs="Arial"/>
          <w:sz w:val="24"/>
          <w:szCs w:val="24"/>
        </w:rPr>
        <w:t>Martignani</w:t>
      </w:r>
      <w:proofErr w:type="spellEnd"/>
      <w:r w:rsidRPr="009B378C">
        <w:rPr>
          <w:rFonts w:ascii="Arial" w:eastAsia="Calibri" w:hAnsi="Arial" w:cs="Arial"/>
          <w:sz w:val="24"/>
          <w:szCs w:val="24"/>
        </w:rPr>
        <w:t xml:space="preserve"> L., “</w:t>
      </w:r>
      <w:r w:rsidRPr="009B378C">
        <w:rPr>
          <w:rFonts w:ascii="Arial" w:eastAsia="Calibri" w:hAnsi="Arial" w:cs="Arial"/>
          <w:i/>
          <w:iCs/>
          <w:sz w:val="24"/>
          <w:szCs w:val="24"/>
        </w:rPr>
        <w:t>Il denaro e il nuovo welfare”</w:t>
      </w:r>
      <w:r w:rsidRPr="009B378C">
        <w:rPr>
          <w:rFonts w:ascii="Arial" w:eastAsia="Calibri" w:hAnsi="Arial" w:cs="Arial"/>
          <w:sz w:val="24"/>
          <w:szCs w:val="24"/>
        </w:rPr>
        <w:t>, Aracne, Roma, 2009.</w:t>
      </w:r>
    </w:p>
    <w:p w14:paraId="16720843" w14:textId="77777777" w:rsidR="00222F2D" w:rsidRDefault="00222F2D" w:rsidP="00222F2D">
      <w:pPr>
        <w:spacing w:after="0" w:line="276" w:lineRule="auto"/>
        <w:jc w:val="both"/>
        <w:rPr>
          <w:rFonts w:ascii="Arial" w:eastAsia="Calibri" w:hAnsi="Arial" w:cs="Arial"/>
          <w:sz w:val="24"/>
          <w:szCs w:val="24"/>
        </w:rPr>
      </w:pPr>
    </w:p>
    <w:p w14:paraId="0487FD22" w14:textId="77777777" w:rsidR="00205466" w:rsidRPr="00216EA7" w:rsidRDefault="00205466" w:rsidP="00205466">
      <w:pPr>
        <w:pStyle w:val="Testonotaapidipagina"/>
        <w:spacing w:line="276" w:lineRule="auto"/>
        <w:jc w:val="both"/>
        <w:rPr>
          <w:rFonts w:ascii="Arial" w:hAnsi="Arial" w:cs="Arial"/>
          <w:sz w:val="24"/>
          <w:szCs w:val="24"/>
        </w:rPr>
      </w:pPr>
      <w:r w:rsidRPr="00216EA7">
        <w:rPr>
          <w:rFonts w:ascii="Arial" w:hAnsi="Arial" w:cs="Arial"/>
          <w:sz w:val="24"/>
          <w:szCs w:val="24"/>
        </w:rPr>
        <w:t>Mauri A., “</w:t>
      </w:r>
      <w:r w:rsidRPr="00216EA7">
        <w:rPr>
          <w:rFonts w:ascii="Arial" w:hAnsi="Arial" w:cs="Arial"/>
          <w:i/>
          <w:iCs/>
          <w:sz w:val="24"/>
          <w:szCs w:val="24"/>
        </w:rPr>
        <w:t>Finanza informale, finanza etica e finanza internazionale nelle piccole e medie imprese</w:t>
      </w:r>
      <w:r w:rsidRPr="00216EA7">
        <w:rPr>
          <w:rFonts w:ascii="Arial" w:hAnsi="Arial" w:cs="Arial"/>
          <w:sz w:val="24"/>
          <w:szCs w:val="24"/>
        </w:rPr>
        <w:t>”, Giuffrè Francis Lefebvre, 2000.</w:t>
      </w:r>
    </w:p>
    <w:p w14:paraId="3B63F3AD" w14:textId="77777777" w:rsidR="00205466" w:rsidRPr="009B378C" w:rsidRDefault="00205466" w:rsidP="00222F2D">
      <w:pPr>
        <w:spacing w:after="0" w:line="276" w:lineRule="auto"/>
        <w:jc w:val="both"/>
        <w:rPr>
          <w:rFonts w:ascii="Arial" w:eastAsia="Calibri" w:hAnsi="Arial" w:cs="Arial"/>
          <w:sz w:val="24"/>
          <w:szCs w:val="24"/>
        </w:rPr>
      </w:pPr>
    </w:p>
    <w:p w14:paraId="2FB3A2AB" w14:textId="77777777" w:rsidR="00222F2D" w:rsidRPr="003636DE" w:rsidRDefault="00222F2D" w:rsidP="00222F2D">
      <w:pPr>
        <w:tabs>
          <w:tab w:val="left" w:pos="284"/>
        </w:tabs>
        <w:spacing w:after="0" w:line="276" w:lineRule="auto"/>
        <w:jc w:val="both"/>
        <w:rPr>
          <w:rFonts w:ascii="Arial" w:eastAsia="Calibri" w:hAnsi="Arial" w:cs="Arial"/>
          <w:sz w:val="24"/>
          <w:szCs w:val="24"/>
          <w:lang w:val="en-US"/>
        </w:rPr>
      </w:pPr>
      <w:r w:rsidRPr="003636DE">
        <w:rPr>
          <w:rFonts w:ascii="Arial" w:eastAsia="Calibri" w:hAnsi="Arial" w:cs="Arial"/>
          <w:sz w:val="24"/>
          <w:szCs w:val="24"/>
          <w:lang w:val="en-US"/>
        </w:rPr>
        <w:lastRenderedPageBreak/>
        <w:t>McKeever K., “</w:t>
      </w:r>
      <w:r w:rsidRPr="003636DE">
        <w:rPr>
          <w:rFonts w:ascii="Arial" w:eastAsia="Calibri" w:hAnsi="Arial" w:cs="Arial"/>
          <w:i/>
          <w:sz w:val="24"/>
          <w:szCs w:val="24"/>
          <w:lang w:val="en-US"/>
        </w:rPr>
        <w:t xml:space="preserve">Breve </w:t>
      </w:r>
      <w:proofErr w:type="spellStart"/>
      <w:r w:rsidRPr="003636DE">
        <w:rPr>
          <w:rFonts w:ascii="Arial" w:eastAsia="Calibri" w:hAnsi="Arial" w:cs="Arial"/>
          <w:i/>
          <w:sz w:val="24"/>
          <w:szCs w:val="24"/>
          <w:lang w:val="en-US"/>
        </w:rPr>
        <w:t>storia</w:t>
      </w:r>
      <w:proofErr w:type="spellEnd"/>
      <w:r w:rsidRPr="003636DE">
        <w:rPr>
          <w:rFonts w:ascii="Arial" w:eastAsia="Calibri" w:hAnsi="Arial" w:cs="Arial"/>
          <w:i/>
          <w:sz w:val="24"/>
          <w:szCs w:val="24"/>
          <w:lang w:val="en-US"/>
        </w:rPr>
        <w:t xml:space="preserve"> </w:t>
      </w:r>
      <w:proofErr w:type="spellStart"/>
      <w:r w:rsidRPr="003636DE">
        <w:rPr>
          <w:rFonts w:ascii="Arial" w:eastAsia="Calibri" w:hAnsi="Arial" w:cs="Arial"/>
          <w:i/>
          <w:sz w:val="24"/>
          <w:szCs w:val="24"/>
          <w:lang w:val="en-US"/>
        </w:rPr>
        <w:t>delle</w:t>
      </w:r>
      <w:proofErr w:type="spellEnd"/>
      <w:r w:rsidRPr="003636DE">
        <w:rPr>
          <w:rFonts w:ascii="Arial" w:eastAsia="Calibri" w:hAnsi="Arial" w:cs="Arial"/>
          <w:i/>
          <w:sz w:val="24"/>
          <w:szCs w:val="24"/>
          <w:lang w:val="en-US"/>
        </w:rPr>
        <w:t xml:space="preserve"> Tontine”</w:t>
      </w:r>
      <w:r w:rsidRPr="003636DE">
        <w:rPr>
          <w:rFonts w:ascii="Arial" w:eastAsia="Calibri" w:hAnsi="Arial" w:cs="Arial"/>
          <w:sz w:val="24"/>
          <w:szCs w:val="24"/>
          <w:lang w:val="en-US"/>
        </w:rPr>
        <w:t xml:space="preserve">, in </w:t>
      </w:r>
      <w:r w:rsidRPr="003636DE">
        <w:rPr>
          <w:rFonts w:ascii="Arial" w:eastAsia="Calibri" w:hAnsi="Arial" w:cs="Arial"/>
          <w:i/>
          <w:iCs/>
          <w:sz w:val="24"/>
          <w:szCs w:val="24"/>
          <w:lang w:val="en-US"/>
        </w:rPr>
        <w:t>Fordham Journal of Corporate &amp; Financial Law</w:t>
      </w:r>
      <w:r w:rsidRPr="003636DE">
        <w:rPr>
          <w:rFonts w:ascii="Arial" w:eastAsia="Calibri" w:hAnsi="Arial" w:cs="Arial"/>
          <w:sz w:val="24"/>
          <w:szCs w:val="24"/>
          <w:lang w:val="en-US"/>
        </w:rPr>
        <w:t>, Vol. 15, No. 2, 2009.</w:t>
      </w:r>
    </w:p>
    <w:p w14:paraId="19745A08" w14:textId="77777777" w:rsidR="00222F2D" w:rsidRPr="009B378C" w:rsidRDefault="00222F2D" w:rsidP="00222F2D">
      <w:pPr>
        <w:spacing w:after="0" w:line="276" w:lineRule="auto"/>
        <w:jc w:val="both"/>
        <w:rPr>
          <w:rFonts w:ascii="Arial" w:eastAsia="Calibri" w:hAnsi="Arial" w:cs="Arial"/>
          <w:sz w:val="24"/>
          <w:szCs w:val="24"/>
          <w:lang w:val="en-US"/>
        </w:rPr>
      </w:pPr>
    </w:p>
    <w:p w14:paraId="1FAEAB91"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McLaughlin E., Pecchenino R., “</w:t>
      </w:r>
      <w:r w:rsidRPr="009B378C">
        <w:rPr>
          <w:rFonts w:ascii="Arial" w:eastAsia="Calibri" w:hAnsi="Arial" w:cs="Arial"/>
          <w:i/>
          <w:iCs/>
          <w:sz w:val="24"/>
          <w:szCs w:val="24"/>
          <w:lang w:val="en-US"/>
        </w:rPr>
        <w:t>Financial Inclusion with Hybrid Organizational Forms: Microfinance, Philanthropy, and the Poor Law in Ireland, c. 1836 –1845</w:t>
      </w:r>
      <w:r w:rsidRPr="009B378C">
        <w:rPr>
          <w:rFonts w:ascii="Arial" w:eastAsia="Calibri" w:hAnsi="Arial" w:cs="Arial"/>
          <w:sz w:val="24"/>
          <w:szCs w:val="24"/>
          <w:lang w:val="en-US"/>
        </w:rPr>
        <w:t>”,</w:t>
      </w:r>
      <w:r w:rsidRPr="009B378C">
        <w:rPr>
          <w:rFonts w:ascii="Arial" w:eastAsia="Calibri" w:hAnsi="Arial" w:cs="Arial"/>
          <w:i/>
          <w:iCs/>
          <w:sz w:val="24"/>
          <w:szCs w:val="24"/>
          <w:lang w:val="en-US"/>
        </w:rPr>
        <w:t xml:space="preserve"> </w:t>
      </w:r>
      <w:r w:rsidRPr="009B378C">
        <w:rPr>
          <w:rFonts w:ascii="Arial" w:eastAsia="Calibri" w:hAnsi="Arial" w:cs="Arial"/>
          <w:sz w:val="24"/>
          <w:szCs w:val="24"/>
          <w:lang w:val="en-US"/>
        </w:rPr>
        <w:t xml:space="preserve">in </w:t>
      </w:r>
      <w:r w:rsidRPr="009B378C">
        <w:rPr>
          <w:rFonts w:ascii="Arial" w:eastAsia="Calibri" w:hAnsi="Arial" w:cs="Arial"/>
          <w:i/>
          <w:iCs/>
          <w:sz w:val="24"/>
          <w:szCs w:val="24"/>
          <w:lang w:val="en-US"/>
        </w:rPr>
        <w:t>Enterprise &amp; Society</w:t>
      </w:r>
      <w:r w:rsidRPr="009B378C">
        <w:rPr>
          <w:rFonts w:ascii="Arial" w:eastAsia="Calibri" w:hAnsi="Arial" w:cs="Arial"/>
          <w:sz w:val="24"/>
          <w:szCs w:val="24"/>
          <w:lang w:val="en-US"/>
        </w:rPr>
        <w:t>, Vol. 23, No. 2, 2022, pp. 548-581, doi:10.1017/eso.2020.67.</w:t>
      </w:r>
    </w:p>
    <w:p w14:paraId="0AF8982B" w14:textId="77777777" w:rsidR="00222F2D" w:rsidRPr="009B378C" w:rsidRDefault="00222F2D" w:rsidP="00222F2D">
      <w:pPr>
        <w:spacing w:after="0" w:line="276" w:lineRule="auto"/>
        <w:jc w:val="both"/>
        <w:rPr>
          <w:rFonts w:ascii="Arial" w:eastAsia="Calibri" w:hAnsi="Arial" w:cs="Arial"/>
          <w:sz w:val="24"/>
          <w:szCs w:val="24"/>
          <w:lang w:val="en-US"/>
        </w:rPr>
      </w:pPr>
    </w:p>
    <w:p w14:paraId="7DF26FD3"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Messina A. “</w:t>
      </w:r>
      <w:r w:rsidRPr="009B378C">
        <w:rPr>
          <w:rFonts w:ascii="Arial" w:eastAsia="Calibri" w:hAnsi="Arial" w:cs="Arial"/>
          <w:i/>
          <w:iCs/>
          <w:sz w:val="24"/>
          <w:szCs w:val="24"/>
        </w:rPr>
        <w:t>Fare microcredito</w:t>
      </w:r>
      <w:r w:rsidRPr="009B378C">
        <w:rPr>
          <w:rFonts w:ascii="Arial" w:eastAsia="Calibri" w:hAnsi="Arial" w:cs="Arial"/>
          <w:sz w:val="24"/>
          <w:szCs w:val="24"/>
        </w:rPr>
        <w:t>”, Bancaria editrice, 2015.</w:t>
      </w:r>
    </w:p>
    <w:p w14:paraId="58B8F96C" w14:textId="77777777" w:rsidR="00222F2D" w:rsidRPr="009B378C" w:rsidRDefault="00222F2D" w:rsidP="00222F2D">
      <w:pPr>
        <w:spacing w:after="0" w:line="276" w:lineRule="auto"/>
        <w:jc w:val="both"/>
        <w:rPr>
          <w:rFonts w:ascii="Arial" w:eastAsia="Calibri" w:hAnsi="Arial" w:cs="Arial"/>
          <w:sz w:val="24"/>
          <w:szCs w:val="24"/>
        </w:rPr>
      </w:pPr>
    </w:p>
    <w:p w14:paraId="4B45832B"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Ministero dell’economia e delle finanze, Dipartimento della Ragioneria Generale dello Stato – Ispettorato Generale per i rapporti con l’Unione Europea, “</w:t>
      </w:r>
      <w:r w:rsidRPr="009B378C">
        <w:rPr>
          <w:rFonts w:ascii="Arial" w:eastAsia="Calibri" w:hAnsi="Arial" w:cs="Arial"/>
          <w:i/>
          <w:iCs/>
          <w:sz w:val="24"/>
          <w:szCs w:val="24"/>
        </w:rPr>
        <w:t>Monitoraggio Politiche di Coesione, Programmazione 2021-2027”</w:t>
      </w:r>
      <w:r w:rsidRPr="009B378C">
        <w:rPr>
          <w:rFonts w:ascii="Arial" w:eastAsia="Calibri" w:hAnsi="Arial" w:cs="Arial"/>
          <w:sz w:val="24"/>
          <w:szCs w:val="24"/>
        </w:rPr>
        <w:t>, 28 febbraio 2023.</w:t>
      </w:r>
    </w:p>
    <w:p w14:paraId="44C5E7C8" w14:textId="77777777" w:rsidR="00222F2D" w:rsidRPr="009B378C" w:rsidRDefault="00222F2D" w:rsidP="00222F2D">
      <w:pPr>
        <w:tabs>
          <w:tab w:val="left" w:pos="284"/>
        </w:tabs>
        <w:spacing w:after="0" w:line="276" w:lineRule="auto"/>
        <w:jc w:val="both"/>
        <w:rPr>
          <w:rFonts w:ascii="Arial" w:eastAsia="Calibri" w:hAnsi="Arial" w:cs="Arial"/>
          <w:sz w:val="24"/>
          <w:szCs w:val="24"/>
        </w:rPr>
      </w:pPr>
    </w:p>
    <w:p w14:paraId="7759B15B"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Montanari D., “</w:t>
      </w:r>
      <w:r w:rsidRPr="009B378C">
        <w:rPr>
          <w:rFonts w:ascii="Arial" w:eastAsia="Calibri" w:hAnsi="Arial" w:cs="Arial"/>
          <w:i/>
          <w:sz w:val="24"/>
          <w:szCs w:val="24"/>
        </w:rPr>
        <w:t>Introduzione ai Monti di Pietà e presenza ebraica in Italia (secoli XV-XVIII)</w:t>
      </w:r>
      <w:r w:rsidRPr="009B378C">
        <w:rPr>
          <w:rFonts w:ascii="Arial" w:eastAsia="Calibri" w:hAnsi="Arial" w:cs="Arial"/>
          <w:sz w:val="24"/>
          <w:szCs w:val="24"/>
        </w:rPr>
        <w:t>”, Bulzoni Editore, Roma, 1999.</w:t>
      </w:r>
    </w:p>
    <w:p w14:paraId="46F5D7C2" w14:textId="77777777" w:rsidR="00222F2D" w:rsidRPr="009B378C" w:rsidRDefault="00222F2D" w:rsidP="00222F2D">
      <w:pPr>
        <w:spacing w:after="0" w:line="276" w:lineRule="auto"/>
        <w:jc w:val="both"/>
        <w:rPr>
          <w:rFonts w:ascii="Arial" w:eastAsia="Calibri" w:hAnsi="Arial" w:cs="Arial"/>
          <w:sz w:val="24"/>
          <w:szCs w:val="24"/>
        </w:rPr>
      </w:pPr>
    </w:p>
    <w:p w14:paraId="6063164D" w14:textId="77777777" w:rsidR="00222F2D" w:rsidRPr="003636DE"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lang w:val="en-US"/>
        </w:rPr>
        <w:t>Morduch J., “</w:t>
      </w:r>
      <w:r w:rsidRPr="009B378C">
        <w:rPr>
          <w:rFonts w:ascii="Arial" w:eastAsia="Calibri" w:hAnsi="Arial" w:cs="Arial"/>
          <w:i/>
          <w:iCs/>
          <w:sz w:val="24"/>
          <w:szCs w:val="24"/>
          <w:lang w:val="en-US"/>
        </w:rPr>
        <w:t>The microfinance promise</w:t>
      </w:r>
      <w:r w:rsidRPr="009B378C">
        <w:rPr>
          <w:rFonts w:ascii="Arial" w:eastAsia="Calibri" w:hAnsi="Arial" w:cs="Arial"/>
          <w:sz w:val="24"/>
          <w:szCs w:val="24"/>
          <w:lang w:val="en-US"/>
        </w:rPr>
        <w:t xml:space="preserve">”, Journal of Economic Literature Vol. </w:t>
      </w:r>
      <w:r w:rsidRPr="003636DE">
        <w:rPr>
          <w:rFonts w:ascii="Arial" w:eastAsia="Calibri" w:hAnsi="Arial" w:cs="Arial"/>
          <w:sz w:val="24"/>
          <w:szCs w:val="24"/>
        </w:rPr>
        <w:t>XXXVII (</w:t>
      </w:r>
      <w:proofErr w:type="spellStart"/>
      <w:r w:rsidRPr="003636DE">
        <w:rPr>
          <w:rFonts w:ascii="Arial" w:eastAsia="Calibri" w:hAnsi="Arial" w:cs="Arial"/>
          <w:sz w:val="24"/>
          <w:szCs w:val="24"/>
        </w:rPr>
        <w:t>Decmber</w:t>
      </w:r>
      <w:proofErr w:type="spellEnd"/>
      <w:r w:rsidRPr="003636DE">
        <w:rPr>
          <w:rFonts w:ascii="Arial" w:eastAsia="Calibri" w:hAnsi="Arial" w:cs="Arial"/>
          <w:sz w:val="24"/>
          <w:szCs w:val="24"/>
        </w:rPr>
        <w:t xml:space="preserve"> 1999), pp. 1569–1614.</w:t>
      </w:r>
    </w:p>
    <w:p w14:paraId="545B663B" w14:textId="77777777" w:rsidR="00222F2D" w:rsidRPr="009B378C" w:rsidRDefault="00222F2D" w:rsidP="00222F2D">
      <w:pPr>
        <w:spacing w:after="0" w:line="276" w:lineRule="auto"/>
        <w:jc w:val="both"/>
        <w:rPr>
          <w:rFonts w:ascii="Arial" w:eastAsia="Calibri" w:hAnsi="Arial" w:cs="Arial"/>
          <w:sz w:val="24"/>
          <w:szCs w:val="24"/>
        </w:rPr>
      </w:pPr>
    </w:p>
    <w:p w14:paraId="516DD29A"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Moser, Caroline O. N., “</w:t>
      </w:r>
      <w:r w:rsidRPr="009B378C">
        <w:rPr>
          <w:rFonts w:ascii="Arial" w:eastAsia="Calibri" w:hAnsi="Arial" w:cs="Arial"/>
          <w:i/>
          <w:sz w:val="24"/>
          <w:szCs w:val="24"/>
        </w:rPr>
        <w:t>Pianificazione e sviluppo di genere: teoria, pratica e formazione”</w:t>
      </w:r>
      <w:r w:rsidRPr="009B378C">
        <w:rPr>
          <w:rFonts w:ascii="Arial" w:eastAsia="Calibri" w:hAnsi="Arial" w:cs="Arial"/>
          <w:sz w:val="24"/>
          <w:szCs w:val="24"/>
        </w:rPr>
        <w:t>, Rosenberg &amp; Sellier, 1996.</w:t>
      </w:r>
    </w:p>
    <w:p w14:paraId="7D3550BB" w14:textId="77777777" w:rsidR="00222F2D" w:rsidRPr="009B378C" w:rsidRDefault="00222F2D" w:rsidP="00222F2D">
      <w:pPr>
        <w:spacing w:after="0" w:line="276" w:lineRule="auto"/>
        <w:jc w:val="both"/>
        <w:rPr>
          <w:rFonts w:ascii="Arial" w:eastAsia="Calibri" w:hAnsi="Arial" w:cs="Arial"/>
          <w:sz w:val="24"/>
          <w:szCs w:val="24"/>
        </w:rPr>
      </w:pPr>
    </w:p>
    <w:p w14:paraId="016720A1"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Mozzoni I., “</w:t>
      </w:r>
      <w:r w:rsidRPr="009B378C">
        <w:rPr>
          <w:rFonts w:ascii="Arial" w:eastAsia="Calibri" w:hAnsi="Arial" w:cs="Arial"/>
          <w:i/>
          <w:sz w:val="24"/>
          <w:szCs w:val="24"/>
        </w:rPr>
        <w:t>Geografia della politica di coesione europea</w:t>
      </w:r>
      <w:r w:rsidRPr="009B378C">
        <w:rPr>
          <w:rFonts w:ascii="Arial" w:eastAsia="Calibri" w:hAnsi="Arial" w:cs="Arial"/>
          <w:sz w:val="24"/>
          <w:szCs w:val="24"/>
        </w:rPr>
        <w:t>”, Aracne, 2012.</w:t>
      </w:r>
    </w:p>
    <w:p w14:paraId="74B72A16" w14:textId="77777777" w:rsidR="00CD0711" w:rsidRDefault="00CD0711" w:rsidP="00222F2D">
      <w:pPr>
        <w:spacing w:after="0" w:line="276" w:lineRule="auto"/>
        <w:jc w:val="both"/>
        <w:rPr>
          <w:rFonts w:ascii="Arial" w:eastAsia="Calibri" w:hAnsi="Arial" w:cs="Arial"/>
          <w:sz w:val="24"/>
          <w:szCs w:val="24"/>
        </w:rPr>
      </w:pPr>
    </w:p>
    <w:p w14:paraId="6C5B7C5B" w14:textId="677AFFE0"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Muzzarelli, M.G., “</w:t>
      </w:r>
      <w:r w:rsidRPr="009B378C">
        <w:rPr>
          <w:rFonts w:ascii="Arial" w:eastAsia="Calibri" w:hAnsi="Arial" w:cs="Arial"/>
          <w:i/>
          <w:iCs/>
          <w:sz w:val="24"/>
          <w:szCs w:val="24"/>
        </w:rPr>
        <w:t>Il denaro e la salvezza. L’invenzione del Monte di Pietà</w:t>
      </w:r>
      <w:r w:rsidRPr="009B378C">
        <w:rPr>
          <w:rFonts w:ascii="Arial" w:eastAsia="Calibri" w:hAnsi="Arial" w:cs="Arial"/>
          <w:sz w:val="24"/>
          <w:szCs w:val="24"/>
        </w:rPr>
        <w:t>”, Il Mulino, Bologna, 2001.</w:t>
      </w:r>
    </w:p>
    <w:p w14:paraId="0CBE8DEC" w14:textId="77777777" w:rsidR="00222F2D" w:rsidRPr="009B378C" w:rsidRDefault="00222F2D" w:rsidP="00222F2D">
      <w:pPr>
        <w:spacing w:after="0" w:line="276" w:lineRule="auto"/>
        <w:jc w:val="both"/>
        <w:rPr>
          <w:rFonts w:ascii="Arial" w:eastAsia="Calibri" w:hAnsi="Arial" w:cs="Arial"/>
          <w:b/>
          <w:bCs/>
          <w:sz w:val="24"/>
          <w:szCs w:val="24"/>
        </w:rPr>
      </w:pPr>
    </w:p>
    <w:p w14:paraId="0557541B" w14:textId="77777777" w:rsidR="00222F2D" w:rsidRPr="003636DE" w:rsidRDefault="00222F2D" w:rsidP="00222F2D">
      <w:pPr>
        <w:spacing w:after="0" w:line="276" w:lineRule="auto"/>
        <w:jc w:val="both"/>
        <w:rPr>
          <w:rFonts w:ascii="Arial" w:eastAsia="Calibri" w:hAnsi="Arial" w:cs="Arial"/>
          <w:sz w:val="24"/>
          <w:szCs w:val="24"/>
          <w:lang w:val="en-US"/>
        </w:rPr>
      </w:pPr>
      <w:proofErr w:type="spellStart"/>
      <w:r w:rsidRPr="003636DE">
        <w:rPr>
          <w:rFonts w:ascii="Arial" w:eastAsia="Calibri" w:hAnsi="Arial" w:cs="Arial"/>
          <w:sz w:val="24"/>
          <w:szCs w:val="24"/>
          <w:lang w:val="en-US"/>
        </w:rPr>
        <w:t>Navajas</w:t>
      </w:r>
      <w:proofErr w:type="spellEnd"/>
      <w:r w:rsidRPr="003636DE">
        <w:rPr>
          <w:rFonts w:ascii="Arial" w:eastAsia="Calibri" w:hAnsi="Arial" w:cs="Arial"/>
          <w:sz w:val="24"/>
          <w:szCs w:val="24"/>
          <w:lang w:val="en-US"/>
        </w:rPr>
        <w:t xml:space="preserve"> S., Schreiner M., Meyer R. L., Gonzalez-Vega C., Rodríguez-Meza J., “</w:t>
      </w:r>
      <w:r w:rsidRPr="003636DE">
        <w:rPr>
          <w:rFonts w:ascii="Arial" w:eastAsia="Calibri" w:hAnsi="Arial" w:cs="Arial"/>
          <w:i/>
          <w:iCs/>
          <w:sz w:val="24"/>
          <w:szCs w:val="24"/>
          <w:lang w:val="en-US"/>
        </w:rPr>
        <w:t>Microcredit and the Poorest of the Poor: Theory and Evidence from Bolivia</w:t>
      </w:r>
      <w:r w:rsidRPr="003636DE">
        <w:rPr>
          <w:rFonts w:ascii="Arial" w:eastAsia="Calibri" w:hAnsi="Arial" w:cs="Arial"/>
          <w:sz w:val="24"/>
          <w:szCs w:val="24"/>
          <w:lang w:val="en-US"/>
        </w:rPr>
        <w:t>”, World Development, Vol. 28, No. 02, 2000, pp. 333-346.</w:t>
      </w:r>
    </w:p>
    <w:p w14:paraId="02423A39" w14:textId="77777777" w:rsidR="00222F2D" w:rsidRPr="003636DE" w:rsidRDefault="00222F2D" w:rsidP="00222F2D">
      <w:pPr>
        <w:spacing w:after="0" w:line="276" w:lineRule="auto"/>
        <w:jc w:val="both"/>
        <w:rPr>
          <w:rFonts w:ascii="Arial" w:eastAsia="Calibri" w:hAnsi="Arial" w:cs="Arial"/>
          <w:sz w:val="24"/>
          <w:szCs w:val="24"/>
          <w:lang w:val="en-US"/>
        </w:rPr>
      </w:pPr>
    </w:p>
    <w:p w14:paraId="41C048D7"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Notte A., “</w:t>
      </w:r>
      <w:r w:rsidRPr="009B378C">
        <w:rPr>
          <w:rFonts w:ascii="Arial" w:eastAsia="Calibri" w:hAnsi="Arial" w:cs="Arial"/>
          <w:i/>
          <w:iCs/>
          <w:sz w:val="24"/>
          <w:szCs w:val="24"/>
        </w:rPr>
        <w:t>Origine e sviluppo del microcredito</w:t>
      </w:r>
      <w:r w:rsidRPr="009B378C">
        <w:rPr>
          <w:rFonts w:ascii="Arial" w:eastAsia="Calibri" w:hAnsi="Arial" w:cs="Arial"/>
          <w:sz w:val="24"/>
          <w:szCs w:val="24"/>
        </w:rPr>
        <w:t>”, Edizioni del Faro, 2013.</w:t>
      </w:r>
    </w:p>
    <w:p w14:paraId="08B7396D" w14:textId="77777777" w:rsidR="00222F2D" w:rsidRPr="009B378C" w:rsidRDefault="00222F2D" w:rsidP="00222F2D">
      <w:pPr>
        <w:spacing w:after="0" w:line="276" w:lineRule="auto"/>
        <w:jc w:val="both"/>
        <w:rPr>
          <w:rFonts w:ascii="Arial" w:eastAsia="Calibri" w:hAnsi="Arial" w:cs="Arial"/>
          <w:sz w:val="24"/>
          <w:szCs w:val="24"/>
        </w:rPr>
      </w:pPr>
    </w:p>
    <w:p w14:paraId="7822C27E" w14:textId="77777777" w:rsidR="00222F2D" w:rsidRPr="009B378C" w:rsidRDefault="00222F2D" w:rsidP="00222F2D">
      <w:pPr>
        <w:tabs>
          <w:tab w:val="left" w:pos="284"/>
        </w:tabs>
        <w:spacing w:after="0" w:line="276" w:lineRule="auto"/>
        <w:jc w:val="both"/>
        <w:rPr>
          <w:rFonts w:ascii="Arial" w:eastAsia="Calibri" w:hAnsi="Arial" w:cs="Arial"/>
          <w:sz w:val="24"/>
          <w:szCs w:val="24"/>
        </w:rPr>
      </w:pPr>
      <w:r w:rsidRPr="009B378C">
        <w:rPr>
          <w:rFonts w:ascii="Arial" w:eastAsia="Calibri" w:hAnsi="Arial" w:cs="Arial"/>
          <w:sz w:val="24"/>
          <w:szCs w:val="24"/>
        </w:rPr>
        <w:t>Novak M., “</w:t>
      </w:r>
      <w:r w:rsidRPr="009B378C">
        <w:rPr>
          <w:rFonts w:ascii="Arial" w:eastAsia="Calibri" w:hAnsi="Arial" w:cs="Arial"/>
          <w:i/>
          <w:iCs/>
          <w:sz w:val="24"/>
          <w:szCs w:val="24"/>
        </w:rPr>
        <w:t>Non si presta solo ai ricchi. La rivoluzione del microcredito</w:t>
      </w:r>
      <w:r w:rsidRPr="009B378C">
        <w:rPr>
          <w:rFonts w:ascii="Arial" w:eastAsia="Calibri" w:hAnsi="Arial" w:cs="Arial"/>
          <w:sz w:val="24"/>
          <w:szCs w:val="24"/>
        </w:rPr>
        <w:t>”, G. Einaudi, Torino, 2005.</w:t>
      </w:r>
    </w:p>
    <w:p w14:paraId="688C48F1" w14:textId="77777777" w:rsidR="00222F2D" w:rsidRPr="009B378C" w:rsidRDefault="00222F2D" w:rsidP="00222F2D">
      <w:pPr>
        <w:spacing w:after="0" w:line="276" w:lineRule="auto"/>
        <w:jc w:val="both"/>
        <w:rPr>
          <w:rFonts w:ascii="Arial" w:eastAsia="Calibri" w:hAnsi="Arial" w:cs="Arial"/>
          <w:sz w:val="24"/>
          <w:szCs w:val="24"/>
        </w:rPr>
      </w:pPr>
    </w:p>
    <w:p w14:paraId="68D7386A"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Orsini R., “</w:t>
      </w:r>
      <w:r w:rsidRPr="009B378C">
        <w:rPr>
          <w:rFonts w:ascii="Arial" w:eastAsia="Calibri" w:hAnsi="Arial" w:cs="Arial"/>
          <w:i/>
          <w:iCs/>
          <w:sz w:val="24"/>
          <w:szCs w:val="24"/>
        </w:rPr>
        <w:t>Etica economica del microcredito”</w:t>
      </w:r>
      <w:r w:rsidRPr="009B378C">
        <w:rPr>
          <w:rFonts w:ascii="Arial" w:eastAsia="Calibri" w:hAnsi="Arial" w:cs="Arial"/>
          <w:sz w:val="24"/>
          <w:szCs w:val="24"/>
        </w:rPr>
        <w:t>, AICCON Research, Centro Studi Università di Bologna, Facoltà di Economia di Forlì - Laurea Magistrale in Economia e Management delle Imprese Cooperative e delle Organizzazioni Non profit, Working Papers n. 87/2011, in https://www.aiccon.it/wp-content/uploads/2017/02/WP-87.pdf.</w:t>
      </w:r>
    </w:p>
    <w:p w14:paraId="239C25CF" w14:textId="77777777" w:rsidR="00222F2D" w:rsidRPr="009B378C" w:rsidRDefault="00222F2D" w:rsidP="00222F2D">
      <w:pPr>
        <w:spacing w:after="0" w:line="276" w:lineRule="auto"/>
        <w:jc w:val="both"/>
        <w:rPr>
          <w:rFonts w:ascii="Arial" w:eastAsia="Calibri" w:hAnsi="Arial" w:cs="Arial"/>
          <w:sz w:val="24"/>
          <w:szCs w:val="24"/>
        </w:rPr>
      </w:pPr>
    </w:p>
    <w:p w14:paraId="38632DDF"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Paini F., Sensi G., “</w:t>
      </w:r>
      <w:r w:rsidRPr="009B378C">
        <w:rPr>
          <w:rFonts w:ascii="Arial" w:eastAsia="Calibri" w:hAnsi="Arial" w:cs="Arial"/>
          <w:i/>
          <w:iCs/>
          <w:sz w:val="24"/>
          <w:szCs w:val="24"/>
        </w:rPr>
        <w:t>Tra il dire e il welfare</w:t>
      </w:r>
      <w:r w:rsidRPr="009B378C">
        <w:rPr>
          <w:rFonts w:ascii="Arial" w:eastAsia="Calibri" w:hAnsi="Arial" w:cs="Arial"/>
          <w:sz w:val="24"/>
          <w:szCs w:val="24"/>
        </w:rPr>
        <w:t>”, Altreconomia edizioni, Milano, 2012.</w:t>
      </w:r>
    </w:p>
    <w:p w14:paraId="4FE39C47" w14:textId="77777777" w:rsidR="00222F2D" w:rsidRPr="009B378C" w:rsidRDefault="00222F2D" w:rsidP="00222F2D">
      <w:pPr>
        <w:spacing w:after="0" w:line="276" w:lineRule="auto"/>
        <w:jc w:val="both"/>
        <w:rPr>
          <w:rFonts w:ascii="Arial" w:eastAsia="Calibri" w:hAnsi="Arial" w:cs="Arial"/>
          <w:sz w:val="24"/>
          <w:szCs w:val="24"/>
        </w:rPr>
      </w:pPr>
    </w:p>
    <w:p w14:paraId="69EF2895"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Pollio Salimbeni A., “</w:t>
      </w:r>
      <w:r w:rsidRPr="009B378C">
        <w:rPr>
          <w:rFonts w:ascii="Arial" w:eastAsia="Calibri" w:hAnsi="Arial" w:cs="Arial"/>
          <w:i/>
          <w:sz w:val="24"/>
          <w:szCs w:val="24"/>
        </w:rPr>
        <w:t>Fondi Europei 2021-2027, Politica di coesione, guida al negoziato sul bilancio UE</w:t>
      </w:r>
      <w:r w:rsidRPr="009B378C">
        <w:rPr>
          <w:rFonts w:ascii="Arial" w:eastAsia="Calibri" w:hAnsi="Arial" w:cs="Arial"/>
          <w:sz w:val="24"/>
          <w:szCs w:val="24"/>
        </w:rPr>
        <w:t>”, in https://www.agenziacoesione.gov.it/wp- content, 2018.</w:t>
      </w:r>
    </w:p>
    <w:p w14:paraId="47814565" w14:textId="77777777" w:rsidR="00F018D1" w:rsidRPr="003636DE" w:rsidRDefault="00F018D1" w:rsidP="00F018D1">
      <w:pPr>
        <w:pStyle w:val="Testonotaapidipagina"/>
        <w:spacing w:line="276" w:lineRule="auto"/>
        <w:jc w:val="both"/>
        <w:rPr>
          <w:rFonts w:ascii="Arial" w:hAnsi="Arial" w:cs="Arial"/>
          <w:sz w:val="24"/>
          <w:szCs w:val="24"/>
        </w:rPr>
      </w:pPr>
    </w:p>
    <w:p w14:paraId="2FA2A0B7" w14:textId="0CFC5623" w:rsidR="00F018D1" w:rsidRPr="00216EA7" w:rsidRDefault="00F018D1" w:rsidP="00F018D1">
      <w:pPr>
        <w:pStyle w:val="Testonotaapidipagina"/>
        <w:spacing w:line="276" w:lineRule="auto"/>
        <w:jc w:val="both"/>
        <w:rPr>
          <w:rFonts w:ascii="Arial" w:hAnsi="Arial" w:cs="Arial"/>
          <w:sz w:val="24"/>
          <w:szCs w:val="24"/>
          <w:lang w:val="en-US"/>
        </w:rPr>
      </w:pPr>
      <w:r w:rsidRPr="00216EA7">
        <w:rPr>
          <w:rFonts w:ascii="Arial" w:hAnsi="Arial" w:cs="Arial"/>
          <w:sz w:val="24"/>
          <w:szCs w:val="24"/>
          <w:lang w:val="en-US"/>
        </w:rPr>
        <w:lastRenderedPageBreak/>
        <w:t>Portes A., “</w:t>
      </w:r>
      <w:r w:rsidRPr="00216EA7">
        <w:rPr>
          <w:rFonts w:ascii="Arial" w:hAnsi="Arial" w:cs="Arial"/>
          <w:i/>
          <w:iCs/>
          <w:sz w:val="24"/>
          <w:szCs w:val="24"/>
          <w:lang w:val="en-US"/>
        </w:rPr>
        <w:t>Migration and Social Change: Some Conceptual Reflections</w:t>
      </w:r>
      <w:r w:rsidRPr="00216EA7">
        <w:rPr>
          <w:rFonts w:ascii="Arial" w:hAnsi="Arial" w:cs="Arial"/>
          <w:sz w:val="24"/>
          <w:szCs w:val="24"/>
          <w:lang w:val="en-US"/>
        </w:rPr>
        <w:t xml:space="preserve">”, </w:t>
      </w:r>
      <w:r w:rsidRPr="00216EA7">
        <w:rPr>
          <w:rFonts w:ascii="Arial" w:hAnsi="Arial" w:cs="Arial"/>
          <w:i/>
          <w:iCs/>
          <w:sz w:val="24"/>
          <w:szCs w:val="24"/>
          <w:lang w:val="en-US"/>
        </w:rPr>
        <w:t>Journal of Ethnic and Migration Studies</w:t>
      </w:r>
      <w:r w:rsidRPr="00216EA7">
        <w:rPr>
          <w:rFonts w:ascii="Arial" w:hAnsi="Arial" w:cs="Arial"/>
          <w:sz w:val="24"/>
          <w:szCs w:val="24"/>
          <w:lang w:val="en-US"/>
        </w:rPr>
        <w:t>, Vol. 36, No.10, 2010, pp. 1537-1563, doi: https://doi.org/10.1080/1369183X.2010.489370.</w:t>
      </w:r>
    </w:p>
    <w:p w14:paraId="16F4BF56" w14:textId="77777777" w:rsidR="00222F2D" w:rsidRPr="003636DE" w:rsidRDefault="00222F2D" w:rsidP="00222F2D">
      <w:pPr>
        <w:tabs>
          <w:tab w:val="left" w:pos="284"/>
        </w:tabs>
        <w:spacing w:after="0" w:line="276" w:lineRule="auto"/>
        <w:jc w:val="both"/>
        <w:rPr>
          <w:rFonts w:ascii="Arial" w:eastAsia="Calibri" w:hAnsi="Arial" w:cs="Arial"/>
          <w:sz w:val="24"/>
          <w:szCs w:val="24"/>
          <w:lang w:val="en-US"/>
        </w:rPr>
      </w:pPr>
    </w:p>
    <w:p w14:paraId="465D0C9A" w14:textId="77777777" w:rsidR="00222F2D" w:rsidRPr="009B378C" w:rsidRDefault="00222F2D" w:rsidP="00222F2D">
      <w:pPr>
        <w:spacing w:after="0" w:line="276" w:lineRule="auto"/>
        <w:jc w:val="both"/>
        <w:rPr>
          <w:rFonts w:ascii="Arial" w:eastAsia="Calibri" w:hAnsi="Arial" w:cs="Arial"/>
          <w:sz w:val="24"/>
          <w:szCs w:val="24"/>
        </w:rPr>
      </w:pPr>
      <w:proofErr w:type="spellStart"/>
      <w:r w:rsidRPr="009B378C">
        <w:rPr>
          <w:rFonts w:ascii="Arial" w:eastAsia="Calibri" w:hAnsi="Arial" w:cs="Arial"/>
          <w:sz w:val="24"/>
          <w:szCs w:val="24"/>
        </w:rPr>
        <w:t>Prahalad</w:t>
      </w:r>
      <w:proofErr w:type="spellEnd"/>
      <w:r w:rsidRPr="009B378C">
        <w:rPr>
          <w:rFonts w:ascii="Arial" w:eastAsia="Calibri" w:hAnsi="Arial" w:cs="Arial"/>
          <w:sz w:val="24"/>
          <w:szCs w:val="24"/>
        </w:rPr>
        <w:t xml:space="preserve"> M.K., “</w:t>
      </w:r>
      <w:r w:rsidRPr="009B378C">
        <w:rPr>
          <w:rFonts w:ascii="Arial" w:eastAsia="Calibri" w:hAnsi="Arial" w:cs="Arial"/>
          <w:i/>
          <w:sz w:val="24"/>
          <w:szCs w:val="24"/>
        </w:rPr>
        <w:t>La fortuna alla base della piramide. Sconfiggere la povertà e realizzare profitti”</w:t>
      </w:r>
      <w:r w:rsidRPr="009B378C">
        <w:rPr>
          <w:rFonts w:ascii="Arial" w:eastAsia="Calibri" w:hAnsi="Arial" w:cs="Arial"/>
          <w:sz w:val="24"/>
          <w:szCs w:val="24"/>
        </w:rPr>
        <w:t>, Il Mulino, 2007.</w:t>
      </w:r>
    </w:p>
    <w:p w14:paraId="7AB938EC" w14:textId="77777777" w:rsidR="00222F2D" w:rsidRPr="009B378C" w:rsidRDefault="00222F2D" w:rsidP="00222F2D">
      <w:pPr>
        <w:tabs>
          <w:tab w:val="left" w:pos="284"/>
        </w:tabs>
        <w:spacing w:after="0" w:line="276" w:lineRule="auto"/>
        <w:jc w:val="both"/>
        <w:rPr>
          <w:rFonts w:ascii="Arial" w:eastAsia="Calibri" w:hAnsi="Arial" w:cs="Arial"/>
          <w:sz w:val="24"/>
          <w:szCs w:val="24"/>
        </w:rPr>
      </w:pPr>
    </w:p>
    <w:p w14:paraId="2EC9B2CB"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lang w:val="en-US"/>
        </w:rPr>
        <w:t>Proudhon P. J., “</w:t>
      </w:r>
      <w:r w:rsidRPr="009B378C">
        <w:rPr>
          <w:rFonts w:ascii="Arial" w:eastAsia="Calibri" w:hAnsi="Arial" w:cs="Arial"/>
          <w:i/>
          <w:sz w:val="24"/>
          <w:szCs w:val="24"/>
          <w:lang w:val="en-US"/>
        </w:rPr>
        <w:t>The philosophy of Poverty”</w:t>
      </w:r>
      <w:r w:rsidRPr="009B378C">
        <w:rPr>
          <w:rFonts w:ascii="Arial" w:eastAsia="Calibri" w:hAnsi="Arial" w:cs="Arial"/>
          <w:sz w:val="24"/>
          <w:szCs w:val="24"/>
          <w:lang w:val="en-US"/>
        </w:rPr>
        <w:t xml:space="preserve">, Ed. </w:t>
      </w:r>
      <w:r w:rsidRPr="009B378C">
        <w:rPr>
          <w:rFonts w:ascii="Arial" w:eastAsia="Calibri" w:hAnsi="Arial" w:cs="Arial"/>
          <w:sz w:val="24"/>
          <w:szCs w:val="24"/>
        </w:rPr>
        <w:t>Streetlib, 2017.</w:t>
      </w:r>
    </w:p>
    <w:p w14:paraId="0ADCCF5F" w14:textId="77777777" w:rsidR="00222F2D" w:rsidRDefault="00222F2D" w:rsidP="00222F2D">
      <w:pPr>
        <w:tabs>
          <w:tab w:val="left" w:pos="284"/>
        </w:tabs>
        <w:spacing w:after="0" w:line="276" w:lineRule="auto"/>
        <w:jc w:val="both"/>
        <w:rPr>
          <w:rFonts w:ascii="Arial" w:eastAsia="Calibri" w:hAnsi="Arial" w:cs="Arial"/>
          <w:sz w:val="24"/>
          <w:szCs w:val="24"/>
        </w:rPr>
      </w:pPr>
    </w:p>
    <w:p w14:paraId="20B7C518" w14:textId="77777777" w:rsidR="00902932" w:rsidRPr="00216EA7" w:rsidRDefault="00902932" w:rsidP="00902932">
      <w:pPr>
        <w:pStyle w:val="Testonotaapidipagina"/>
        <w:spacing w:line="276" w:lineRule="auto"/>
        <w:jc w:val="both"/>
        <w:rPr>
          <w:rFonts w:ascii="Arial" w:hAnsi="Arial" w:cs="Arial"/>
          <w:sz w:val="24"/>
          <w:szCs w:val="24"/>
        </w:rPr>
      </w:pPr>
      <w:r w:rsidRPr="00216EA7">
        <w:rPr>
          <w:rFonts w:ascii="Arial" w:hAnsi="Arial" w:cs="Arial"/>
          <w:sz w:val="24"/>
          <w:szCs w:val="24"/>
        </w:rPr>
        <w:t>Provenzano V., “</w:t>
      </w:r>
      <w:r w:rsidRPr="00216EA7">
        <w:rPr>
          <w:rFonts w:ascii="Arial" w:hAnsi="Arial" w:cs="Arial"/>
          <w:i/>
          <w:iCs/>
          <w:sz w:val="24"/>
          <w:szCs w:val="24"/>
        </w:rPr>
        <w:t>Sviluppo regionale e marginalità. Aspetti finanziari di realtà economiche</w:t>
      </w:r>
      <w:r w:rsidRPr="00216EA7">
        <w:rPr>
          <w:rFonts w:ascii="Arial" w:hAnsi="Arial" w:cs="Arial"/>
          <w:sz w:val="24"/>
          <w:szCs w:val="24"/>
        </w:rPr>
        <w:t>”, Carocci, 2012.</w:t>
      </w:r>
    </w:p>
    <w:p w14:paraId="6A7835E0" w14:textId="77777777" w:rsidR="00902932" w:rsidRDefault="00902932" w:rsidP="00222F2D">
      <w:pPr>
        <w:tabs>
          <w:tab w:val="left" w:pos="284"/>
        </w:tabs>
        <w:spacing w:after="0" w:line="276" w:lineRule="auto"/>
        <w:jc w:val="both"/>
        <w:rPr>
          <w:rFonts w:ascii="Arial" w:eastAsia="Calibri" w:hAnsi="Arial" w:cs="Arial"/>
          <w:sz w:val="24"/>
          <w:szCs w:val="24"/>
        </w:rPr>
      </w:pPr>
    </w:p>
    <w:p w14:paraId="6C202344" w14:textId="77777777" w:rsidR="002A12AC" w:rsidRPr="00216EA7" w:rsidRDefault="002A12AC" w:rsidP="002A12AC">
      <w:pPr>
        <w:pStyle w:val="Testonotaapidipagina"/>
        <w:tabs>
          <w:tab w:val="left" w:pos="284"/>
        </w:tabs>
        <w:spacing w:line="276" w:lineRule="auto"/>
        <w:jc w:val="both"/>
        <w:rPr>
          <w:rFonts w:ascii="Arial" w:hAnsi="Arial" w:cs="Arial"/>
          <w:sz w:val="24"/>
          <w:szCs w:val="24"/>
          <w:lang w:val="en-US"/>
        </w:rPr>
      </w:pPr>
      <w:r w:rsidRPr="00216EA7">
        <w:rPr>
          <w:rFonts w:ascii="Arial" w:hAnsi="Arial" w:cs="Arial"/>
          <w:sz w:val="24"/>
          <w:szCs w:val="24"/>
          <w:lang w:val="en-US"/>
        </w:rPr>
        <w:t>Ranis G., Raut L.K., “</w:t>
      </w:r>
      <w:r w:rsidRPr="00216EA7">
        <w:rPr>
          <w:rFonts w:ascii="Arial" w:hAnsi="Arial" w:cs="Arial"/>
          <w:i/>
          <w:iCs/>
          <w:sz w:val="24"/>
          <w:szCs w:val="24"/>
          <w:lang w:val="en-US"/>
        </w:rPr>
        <w:t>Trade, Growt, and Development. Essays in Honor of Professor T.N. Srinivasan</w:t>
      </w:r>
      <w:r w:rsidRPr="00216EA7">
        <w:rPr>
          <w:rFonts w:ascii="Arial" w:hAnsi="Arial" w:cs="Arial"/>
          <w:sz w:val="24"/>
          <w:szCs w:val="24"/>
          <w:lang w:val="en-US"/>
        </w:rPr>
        <w:t>”, Emerald Group Pub Ltd, 1999.</w:t>
      </w:r>
    </w:p>
    <w:p w14:paraId="0113B555" w14:textId="77777777" w:rsidR="002A12AC" w:rsidRPr="003636DE" w:rsidRDefault="002A12AC" w:rsidP="00222F2D">
      <w:pPr>
        <w:tabs>
          <w:tab w:val="left" w:pos="284"/>
        </w:tabs>
        <w:spacing w:after="0" w:line="276" w:lineRule="auto"/>
        <w:jc w:val="both"/>
        <w:rPr>
          <w:rFonts w:ascii="Arial" w:eastAsia="Calibri" w:hAnsi="Arial" w:cs="Arial"/>
          <w:sz w:val="24"/>
          <w:szCs w:val="24"/>
          <w:lang w:val="en-US"/>
        </w:rPr>
      </w:pPr>
    </w:p>
    <w:p w14:paraId="540C16C6" w14:textId="77777777" w:rsidR="00222F2D" w:rsidRPr="003636DE"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sz w:val="24"/>
          <w:szCs w:val="24"/>
          <w:shd w:val="clear" w:color="auto" w:fill="FFFFFF"/>
          <w:lang w:val="en-US"/>
        </w:rPr>
        <w:t>Reshi, I.A., &amp; Sudha, D.T.,</w:t>
      </w:r>
      <w:r w:rsidRPr="003636DE">
        <w:rPr>
          <w:rFonts w:ascii="Arial" w:eastAsia="Calibri" w:hAnsi="Arial" w:cs="Arial"/>
          <w:sz w:val="24"/>
          <w:szCs w:val="24"/>
          <w:lang w:val="en-US"/>
        </w:rPr>
        <w:t xml:space="preserve"> “</w:t>
      </w:r>
      <w:r w:rsidRPr="003636DE">
        <w:rPr>
          <w:rFonts w:ascii="Arial" w:eastAsia="Calibri" w:hAnsi="Arial" w:cs="Arial"/>
          <w:i/>
          <w:iCs/>
          <w:sz w:val="24"/>
          <w:szCs w:val="24"/>
          <w:lang w:val="en-US"/>
        </w:rPr>
        <w:t>Women Empowerment: A Literature Review</w:t>
      </w:r>
      <w:r w:rsidRPr="003636DE">
        <w:rPr>
          <w:rFonts w:ascii="Arial" w:eastAsia="Calibri" w:hAnsi="Arial" w:cs="Arial"/>
          <w:sz w:val="24"/>
          <w:szCs w:val="24"/>
          <w:lang w:val="en-US"/>
        </w:rPr>
        <w:t xml:space="preserve">”, in </w:t>
      </w:r>
      <w:r w:rsidRPr="003636DE">
        <w:rPr>
          <w:rFonts w:ascii="Arial" w:eastAsia="Calibri" w:hAnsi="Arial" w:cs="Arial"/>
          <w:i/>
          <w:iCs/>
          <w:sz w:val="24"/>
          <w:szCs w:val="24"/>
          <w:lang w:val="en-US"/>
        </w:rPr>
        <w:t>International Journal of Economic</w:t>
      </w:r>
      <w:r w:rsidRPr="003636DE">
        <w:rPr>
          <w:rFonts w:ascii="Arial" w:eastAsia="Calibri" w:hAnsi="Arial" w:cs="Arial"/>
          <w:sz w:val="24"/>
          <w:szCs w:val="24"/>
          <w:lang w:val="en-US"/>
        </w:rPr>
        <w:t xml:space="preserve">, </w:t>
      </w:r>
      <w:r w:rsidRPr="003636DE">
        <w:rPr>
          <w:rFonts w:ascii="Arial" w:eastAsia="Calibri" w:hAnsi="Arial" w:cs="Arial"/>
          <w:i/>
          <w:iCs/>
          <w:sz w:val="24"/>
          <w:szCs w:val="24"/>
          <w:lang w:val="en-US"/>
        </w:rPr>
        <w:t>Business, Accounting, Agriculture Management and Sharia Administration</w:t>
      </w:r>
      <w:r w:rsidRPr="003636DE">
        <w:rPr>
          <w:rFonts w:ascii="Arial" w:eastAsia="Calibri" w:hAnsi="Arial" w:cs="Arial"/>
          <w:sz w:val="24"/>
          <w:szCs w:val="24"/>
          <w:lang w:val="en-US"/>
        </w:rPr>
        <w:t xml:space="preserve"> (IJEBAS), Vol. 02, 2022, pp. 1353-1359, doi:0.54443/</w:t>
      </w:r>
      <w:proofErr w:type="gramStart"/>
      <w:r w:rsidRPr="003636DE">
        <w:rPr>
          <w:rFonts w:ascii="Arial" w:eastAsia="Calibri" w:hAnsi="Arial" w:cs="Arial"/>
          <w:sz w:val="24"/>
          <w:szCs w:val="24"/>
          <w:lang w:val="en-US"/>
        </w:rPr>
        <w:t>ijebas.v</w:t>
      </w:r>
      <w:proofErr w:type="gramEnd"/>
      <w:r w:rsidRPr="003636DE">
        <w:rPr>
          <w:rFonts w:ascii="Arial" w:eastAsia="Calibri" w:hAnsi="Arial" w:cs="Arial"/>
          <w:sz w:val="24"/>
          <w:szCs w:val="24"/>
          <w:lang w:val="en-US"/>
        </w:rPr>
        <w:t>2i6.753.</w:t>
      </w:r>
    </w:p>
    <w:p w14:paraId="6ED28AA9" w14:textId="77777777" w:rsidR="00222F2D" w:rsidRPr="003636DE" w:rsidRDefault="00222F2D" w:rsidP="00222F2D">
      <w:pPr>
        <w:spacing w:after="0" w:line="276" w:lineRule="auto"/>
        <w:jc w:val="both"/>
        <w:rPr>
          <w:rFonts w:ascii="Arial" w:eastAsia="Calibri" w:hAnsi="Arial" w:cs="Arial"/>
          <w:sz w:val="24"/>
          <w:szCs w:val="24"/>
          <w:lang w:val="en-US"/>
        </w:rPr>
      </w:pPr>
    </w:p>
    <w:p w14:paraId="1E1E6258"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Robinson M.S., “</w:t>
      </w:r>
      <w:r w:rsidRPr="009B378C">
        <w:rPr>
          <w:rFonts w:ascii="Arial" w:eastAsia="Calibri" w:hAnsi="Arial" w:cs="Arial"/>
          <w:i/>
          <w:sz w:val="24"/>
          <w:szCs w:val="24"/>
        </w:rPr>
        <w:t>La rivoluzione della microfinanza: finanza sostenibile per i poveri”</w:t>
      </w:r>
      <w:r w:rsidRPr="009B378C">
        <w:rPr>
          <w:rFonts w:ascii="Arial" w:eastAsia="Calibri" w:hAnsi="Arial" w:cs="Arial"/>
          <w:sz w:val="24"/>
          <w:szCs w:val="24"/>
        </w:rPr>
        <w:t>, Banca Mondiale, Washington D.C., 2001.</w:t>
      </w:r>
    </w:p>
    <w:p w14:paraId="0EAF81A5" w14:textId="77777777" w:rsidR="00222F2D" w:rsidRPr="009B378C" w:rsidRDefault="00222F2D" w:rsidP="00222F2D">
      <w:pPr>
        <w:spacing w:after="0" w:line="276" w:lineRule="auto"/>
        <w:jc w:val="both"/>
        <w:rPr>
          <w:rFonts w:ascii="Arial" w:eastAsia="Calibri" w:hAnsi="Arial" w:cs="Arial"/>
          <w:sz w:val="24"/>
          <w:szCs w:val="24"/>
        </w:rPr>
      </w:pPr>
    </w:p>
    <w:p w14:paraId="7E0D48D7"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Rohrbach K. “</w:t>
      </w:r>
      <w:r w:rsidRPr="009B378C">
        <w:rPr>
          <w:rFonts w:ascii="Arial" w:eastAsia="Calibri" w:hAnsi="Arial" w:cs="Arial"/>
          <w:i/>
          <w:iCs/>
          <w:sz w:val="24"/>
          <w:szCs w:val="24"/>
        </w:rPr>
        <w:t xml:space="preserve">Soldi gratis. Michael Unterguggenberger e il miracolo monetario di Wörgl”, </w:t>
      </w:r>
      <w:r w:rsidRPr="009B378C">
        <w:rPr>
          <w:rFonts w:ascii="Arial" w:eastAsia="Calibri" w:hAnsi="Arial" w:cs="Arial"/>
          <w:sz w:val="24"/>
          <w:szCs w:val="24"/>
        </w:rPr>
        <w:t>Möllmann, Schloss Hamborn, 2001.</w:t>
      </w:r>
    </w:p>
    <w:p w14:paraId="5EB05F42" w14:textId="77777777" w:rsidR="00222F2D" w:rsidRPr="009B378C" w:rsidRDefault="00222F2D" w:rsidP="00222F2D">
      <w:pPr>
        <w:spacing w:after="0" w:line="276" w:lineRule="auto"/>
        <w:jc w:val="both"/>
        <w:rPr>
          <w:rFonts w:ascii="Arial" w:eastAsia="Calibri" w:hAnsi="Arial" w:cs="Arial"/>
          <w:sz w:val="24"/>
          <w:szCs w:val="24"/>
        </w:rPr>
      </w:pPr>
    </w:p>
    <w:p w14:paraId="2F434A42"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Rowentree S., “</w:t>
      </w:r>
      <w:r w:rsidRPr="009B378C">
        <w:rPr>
          <w:rFonts w:ascii="Arial" w:eastAsia="Calibri" w:hAnsi="Arial" w:cs="Arial"/>
          <w:i/>
          <w:sz w:val="24"/>
          <w:szCs w:val="24"/>
          <w:lang w:val="en-US"/>
        </w:rPr>
        <w:t>Poverty: a study of town life</w:t>
      </w:r>
      <w:r w:rsidRPr="009B378C">
        <w:rPr>
          <w:rFonts w:ascii="Arial" w:eastAsia="Calibri" w:hAnsi="Arial" w:cs="Arial"/>
          <w:sz w:val="24"/>
          <w:szCs w:val="24"/>
          <w:lang w:val="en-US"/>
        </w:rPr>
        <w:t>”, Macmillan, London, 1901.</w:t>
      </w:r>
    </w:p>
    <w:p w14:paraId="4384934D" w14:textId="77777777" w:rsidR="00222F2D" w:rsidRPr="009B378C" w:rsidRDefault="00222F2D" w:rsidP="00222F2D">
      <w:pPr>
        <w:spacing w:after="0" w:line="276" w:lineRule="auto"/>
        <w:jc w:val="both"/>
        <w:rPr>
          <w:rFonts w:ascii="Arial" w:eastAsia="Calibri" w:hAnsi="Arial" w:cs="Arial"/>
          <w:sz w:val="24"/>
          <w:szCs w:val="24"/>
          <w:lang w:val="en-US"/>
        </w:rPr>
      </w:pPr>
    </w:p>
    <w:p w14:paraId="5013DC32"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Rutherford S., “</w:t>
      </w:r>
      <w:r w:rsidRPr="009B378C">
        <w:rPr>
          <w:rFonts w:ascii="Arial" w:eastAsia="Calibri" w:hAnsi="Arial" w:cs="Arial"/>
          <w:i/>
          <w:sz w:val="24"/>
          <w:szCs w:val="24"/>
        </w:rPr>
        <w:t>I poveri e il loro denaro: la microfinanza dal punto di vista di un consumatore del XXI secolo”</w:t>
      </w:r>
      <w:r w:rsidRPr="009B378C">
        <w:rPr>
          <w:rFonts w:ascii="Arial" w:eastAsia="Calibri" w:hAnsi="Arial" w:cs="Arial"/>
          <w:sz w:val="24"/>
          <w:szCs w:val="24"/>
        </w:rPr>
        <w:t>, Practical Action Pub, 2009.</w:t>
      </w:r>
    </w:p>
    <w:p w14:paraId="24F3413C" w14:textId="77777777" w:rsidR="00222F2D" w:rsidRDefault="00222F2D" w:rsidP="00222F2D">
      <w:pPr>
        <w:spacing w:after="0" w:line="276" w:lineRule="auto"/>
        <w:jc w:val="both"/>
        <w:rPr>
          <w:rFonts w:ascii="Arial" w:eastAsia="Calibri" w:hAnsi="Arial" w:cs="Arial"/>
          <w:sz w:val="24"/>
          <w:szCs w:val="24"/>
        </w:rPr>
      </w:pPr>
    </w:p>
    <w:p w14:paraId="231A50D3" w14:textId="77777777" w:rsidR="00222F2D" w:rsidRPr="009B378C" w:rsidRDefault="00222F2D" w:rsidP="00222F2D">
      <w:pPr>
        <w:spacing w:after="0" w:line="276" w:lineRule="auto"/>
        <w:jc w:val="both"/>
        <w:rPr>
          <w:rFonts w:ascii="Arial" w:eastAsia="Calibri" w:hAnsi="Arial" w:cs="Arial"/>
          <w:i/>
          <w:iCs/>
          <w:sz w:val="24"/>
          <w:szCs w:val="24"/>
        </w:rPr>
      </w:pPr>
      <w:r w:rsidRPr="009B378C">
        <w:rPr>
          <w:rFonts w:ascii="Arial" w:eastAsia="Calibri" w:hAnsi="Arial" w:cs="Arial"/>
          <w:sz w:val="24"/>
          <w:szCs w:val="24"/>
        </w:rPr>
        <w:t>Schultze Delitzsch H., “</w:t>
      </w:r>
      <w:r w:rsidRPr="009B378C">
        <w:rPr>
          <w:rFonts w:ascii="Arial" w:eastAsia="Calibri" w:hAnsi="Arial" w:cs="Arial"/>
          <w:i/>
          <w:iCs/>
          <w:sz w:val="24"/>
          <w:szCs w:val="24"/>
        </w:rPr>
        <w:t>Delle Unioni di credito, ovvero Banche popolari</w:t>
      </w:r>
      <w:r w:rsidRPr="009B378C">
        <w:rPr>
          <w:rFonts w:ascii="Arial" w:eastAsia="Calibri" w:hAnsi="Arial" w:cs="Arial"/>
          <w:sz w:val="24"/>
          <w:szCs w:val="24"/>
        </w:rPr>
        <w:t>”, Lipsia, 1867</w:t>
      </w:r>
      <w:r w:rsidRPr="009B378C">
        <w:rPr>
          <w:rFonts w:ascii="Arial" w:eastAsia="Calibri" w:hAnsi="Arial" w:cs="Arial"/>
          <w:i/>
          <w:iCs/>
          <w:sz w:val="24"/>
          <w:szCs w:val="24"/>
        </w:rPr>
        <w:t>.</w:t>
      </w:r>
    </w:p>
    <w:p w14:paraId="439B60B4" w14:textId="77777777" w:rsidR="00222F2D" w:rsidRPr="009B378C" w:rsidRDefault="00222F2D" w:rsidP="00222F2D">
      <w:pPr>
        <w:spacing w:after="0" w:line="276" w:lineRule="auto"/>
        <w:jc w:val="both"/>
        <w:rPr>
          <w:rFonts w:ascii="Arial" w:eastAsia="Calibri" w:hAnsi="Arial" w:cs="Arial"/>
          <w:sz w:val="24"/>
          <w:szCs w:val="24"/>
        </w:rPr>
      </w:pPr>
    </w:p>
    <w:p w14:paraId="3AD9C01E" w14:textId="77777777" w:rsidR="00222F2D"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sz w:val="24"/>
          <w:szCs w:val="24"/>
          <w:lang w:val="en-US"/>
        </w:rPr>
        <w:t>Sen A., “</w:t>
      </w:r>
      <w:r w:rsidRPr="009B378C">
        <w:rPr>
          <w:rFonts w:ascii="Arial" w:eastAsia="Calibri" w:hAnsi="Arial" w:cs="Arial"/>
          <w:i/>
          <w:iCs/>
          <w:sz w:val="24"/>
          <w:szCs w:val="24"/>
          <w:lang w:val="en-US"/>
        </w:rPr>
        <w:t>Poverty: An Ordinal Approach to Measurement</w:t>
      </w:r>
      <w:r w:rsidRPr="009B378C">
        <w:rPr>
          <w:rFonts w:ascii="Arial" w:eastAsia="Calibri" w:hAnsi="Arial" w:cs="Arial"/>
          <w:sz w:val="24"/>
          <w:szCs w:val="24"/>
          <w:lang w:val="en-US"/>
        </w:rPr>
        <w:t>” Econometrica, Vol. 44, No. 02, 1976, pp. 219-23.</w:t>
      </w:r>
    </w:p>
    <w:p w14:paraId="3AAABA56" w14:textId="77777777" w:rsidR="002A12AC" w:rsidRPr="009B378C" w:rsidRDefault="002A12AC" w:rsidP="00222F2D">
      <w:pPr>
        <w:spacing w:after="0" w:line="276" w:lineRule="auto"/>
        <w:jc w:val="both"/>
        <w:rPr>
          <w:rFonts w:ascii="Arial" w:eastAsia="Calibri" w:hAnsi="Arial" w:cs="Arial"/>
          <w:sz w:val="24"/>
          <w:szCs w:val="24"/>
          <w:lang w:val="en-US"/>
        </w:rPr>
      </w:pPr>
    </w:p>
    <w:p w14:paraId="4EAC19DC"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Società ligure di Storia Patria, “</w:t>
      </w:r>
      <w:r w:rsidRPr="009B378C">
        <w:rPr>
          <w:rFonts w:ascii="Arial" w:eastAsia="Calibri" w:hAnsi="Arial" w:cs="Arial"/>
          <w:i/>
          <w:sz w:val="24"/>
          <w:szCs w:val="24"/>
        </w:rPr>
        <w:t>Banchi pubblici, banchi privati e monti di pietà nell’Europa preindustriale</w:t>
      </w:r>
      <w:r w:rsidRPr="009B378C">
        <w:rPr>
          <w:rFonts w:ascii="Arial" w:eastAsia="Calibri" w:hAnsi="Arial" w:cs="Arial"/>
          <w:sz w:val="24"/>
          <w:szCs w:val="24"/>
        </w:rPr>
        <w:t>”. Atti del Convegno. Genova 1-6 ottobre 1990 – Biblioteca digitale 2014.</w:t>
      </w:r>
    </w:p>
    <w:p w14:paraId="3B68FA65" w14:textId="77777777" w:rsidR="00222F2D" w:rsidRDefault="00222F2D" w:rsidP="00222F2D">
      <w:pPr>
        <w:spacing w:after="0" w:line="276" w:lineRule="auto"/>
        <w:jc w:val="both"/>
        <w:rPr>
          <w:rFonts w:ascii="Arial" w:eastAsia="Calibri" w:hAnsi="Arial" w:cs="Arial"/>
          <w:sz w:val="24"/>
          <w:szCs w:val="24"/>
        </w:rPr>
      </w:pPr>
    </w:p>
    <w:p w14:paraId="0FFBE1F3" w14:textId="77777777" w:rsidR="002A12AC" w:rsidRDefault="002A12AC" w:rsidP="002A12AC">
      <w:pPr>
        <w:spacing w:after="0" w:line="276" w:lineRule="auto"/>
        <w:jc w:val="both"/>
        <w:rPr>
          <w:rFonts w:ascii="Arial" w:hAnsi="Arial" w:cs="Arial"/>
          <w:sz w:val="24"/>
          <w:szCs w:val="24"/>
        </w:rPr>
      </w:pPr>
      <w:r w:rsidRPr="00216EA7">
        <w:rPr>
          <w:rFonts w:ascii="Arial" w:hAnsi="Arial" w:cs="Arial"/>
          <w:sz w:val="24"/>
          <w:szCs w:val="24"/>
        </w:rPr>
        <w:t>Stinchcombe A. L., “</w:t>
      </w:r>
      <w:r w:rsidRPr="00216EA7">
        <w:rPr>
          <w:rFonts w:ascii="Arial" w:hAnsi="Arial" w:cs="Arial"/>
          <w:i/>
          <w:iCs/>
          <w:sz w:val="24"/>
          <w:szCs w:val="24"/>
        </w:rPr>
        <w:t>Information and Organizations</w:t>
      </w:r>
      <w:r w:rsidRPr="00216EA7">
        <w:rPr>
          <w:rFonts w:ascii="Arial" w:hAnsi="Arial" w:cs="Arial"/>
          <w:sz w:val="24"/>
          <w:szCs w:val="24"/>
        </w:rPr>
        <w:t>”, University of California Press, 1990.</w:t>
      </w:r>
    </w:p>
    <w:p w14:paraId="237D10D8" w14:textId="77777777" w:rsidR="002A12AC" w:rsidRPr="009B378C" w:rsidRDefault="002A12AC" w:rsidP="00222F2D">
      <w:pPr>
        <w:spacing w:after="0" w:line="276" w:lineRule="auto"/>
        <w:jc w:val="both"/>
        <w:rPr>
          <w:rFonts w:ascii="Arial" w:eastAsia="Calibri" w:hAnsi="Arial" w:cs="Arial"/>
          <w:sz w:val="24"/>
          <w:szCs w:val="24"/>
        </w:rPr>
      </w:pPr>
    </w:p>
    <w:p w14:paraId="455AB6A1"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Trotta F., “</w:t>
      </w:r>
      <w:r w:rsidRPr="009B378C">
        <w:rPr>
          <w:rFonts w:ascii="Arial" w:eastAsia="Calibri" w:hAnsi="Arial" w:cs="Arial"/>
          <w:i/>
          <w:sz w:val="24"/>
          <w:szCs w:val="24"/>
        </w:rPr>
        <w:t>L’evoluzione della politica di coesione dell’Unione Europea: dalle origini alla nuova programmazione 2014-2020”</w:t>
      </w:r>
      <w:r w:rsidRPr="009B378C">
        <w:rPr>
          <w:rFonts w:ascii="Arial" w:eastAsia="Calibri" w:hAnsi="Arial" w:cs="Arial"/>
          <w:sz w:val="24"/>
          <w:szCs w:val="24"/>
        </w:rPr>
        <w:t>, Edizioni LUISS, 2014.</w:t>
      </w:r>
    </w:p>
    <w:p w14:paraId="441D1255" w14:textId="77777777" w:rsidR="00222F2D" w:rsidRPr="009B378C" w:rsidRDefault="00222F2D" w:rsidP="00222F2D">
      <w:pPr>
        <w:spacing w:after="0" w:line="276" w:lineRule="auto"/>
        <w:jc w:val="both"/>
        <w:rPr>
          <w:rFonts w:ascii="Arial" w:eastAsia="Calibri" w:hAnsi="Arial" w:cs="Arial"/>
          <w:sz w:val="24"/>
          <w:szCs w:val="24"/>
        </w:rPr>
      </w:pPr>
    </w:p>
    <w:p w14:paraId="2A552A89" w14:textId="77777777" w:rsidR="00222F2D" w:rsidRPr="009B378C" w:rsidRDefault="00222F2D" w:rsidP="00222F2D">
      <w:pPr>
        <w:spacing w:after="0" w:line="276" w:lineRule="auto"/>
        <w:jc w:val="both"/>
        <w:rPr>
          <w:rFonts w:ascii="Arial" w:eastAsia="Calibri" w:hAnsi="Arial" w:cs="Arial"/>
          <w:sz w:val="24"/>
          <w:szCs w:val="24"/>
          <w:lang w:val="en-US"/>
        </w:rPr>
      </w:pPr>
      <w:r w:rsidRPr="009B378C">
        <w:rPr>
          <w:rFonts w:ascii="Arial" w:eastAsia="Calibri" w:hAnsi="Arial" w:cs="Arial"/>
          <w:i/>
          <w:iCs/>
          <w:sz w:val="24"/>
          <w:szCs w:val="24"/>
          <w:lang w:val="en-US"/>
        </w:rPr>
        <w:t>United Nations</w:t>
      </w:r>
      <w:r w:rsidRPr="009B378C">
        <w:rPr>
          <w:rFonts w:ascii="Arial" w:eastAsia="Calibri" w:hAnsi="Arial" w:cs="Arial"/>
          <w:sz w:val="24"/>
          <w:szCs w:val="24"/>
          <w:lang w:val="en-US"/>
        </w:rPr>
        <w:t>, Resolution adopted by the General Assembly on 25 September 2015, “</w:t>
      </w:r>
      <w:r w:rsidRPr="009B378C">
        <w:rPr>
          <w:rFonts w:ascii="Arial" w:eastAsia="Calibri" w:hAnsi="Arial" w:cs="Arial"/>
          <w:i/>
          <w:iCs/>
          <w:sz w:val="24"/>
          <w:szCs w:val="24"/>
          <w:lang w:val="en-US"/>
        </w:rPr>
        <w:t>Transforming our world: the 2030 Agenda for Sustainable Development”</w:t>
      </w:r>
      <w:r w:rsidRPr="009B378C">
        <w:rPr>
          <w:rFonts w:ascii="Arial" w:eastAsia="Calibri" w:hAnsi="Arial" w:cs="Arial"/>
          <w:sz w:val="24"/>
          <w:szCs w:val="24"/>
          <w:lang w:val="en-US"/>
        </w:rPr>
        <w:t>.</w:t>
      </w:r>
    </w:p>
    <w:p w14:paraId="204D9393" w14:textId="77777777" w:rsidR="00222F2D" w:rsidRPr="009B378C" w:rsidRDefault="00222F2D" w:rsidP="00222F2D">
      <w:pPr>
        <w:spacing w:after="0" w:line="276" w:lineRule="auto"/>
        <w:jc w:val="both"/>
        <w:rPr>
          <w:rFonts w:ascii="Arial" w:eastAsia="Calibri" w:hAnsi="Arial" w:cs="Arial"/>
          <w:sz w:val="24"/>
          <w:szCs w:val="24"/>
          <w:lang w:val="en-US"/>
        </w:rPr>
      </w:pPr>
    </w:p>
    <w:p w14:paraId="5B234505" w14:textId="77777777" w:rsidR="00222F2D" w:rsidRPr="003636DE"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sz w:val="24"/>
          <w:szCs w:val="24"/>
          <w:lang w:val="en-US"/>
        </w:rPr>
        <w:lastRenderedPageBreak/>
        <w:t>Vahid Jafari-Sadegh, “The motivational factors of business venturing: Opportunity versus necessity? A gendered perspective on European countries”, Journal of Business Research, Vol. 113, 2020, pp. 279-289, in https://doi.org/10.1016/j.jbusres.2019.09.058.</w:t>
      </w:r>
    </w:p>
    <w:p w14:paraId="731BA9C1" w14:textId="77777777" w:rsidR="00222F2D" w:rsidRPr="003636DE" w:rsidRDefault="00222F2D" w:rsidP="00222F2D">
      <w:pPr>
        <w:spacing w:after="0" w:line="276" w:lineRule="auto"/>
        <w:jc w:val="both"/>
        <w:rPr>
          <w:rFonts w:ascii="Arial" w:eastAsia="Calibri" w:hAnsi="Arial" w:cs="Arial"/>
          <w:sz w:val="24"/>
          <w:szCs w:val="24"/>
          <w:lang w:val="en-US"/>
        </w:rPr>
      </w:pPr>
    </w:p>
    <w:p w14:paraId="074C4242"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Votano G., “</w:t>
      </w:r>
      <w:r w:rsidRPr="009B378C">
        <w:rPr>
          <w:rFonts w:ascii="Arial" w:eastAsia="Calibri" w:hAnsi="Arial" w:cs="Arial"/>
          <w:i/>
          <w:iCs/>
          <w:sz w:val="24"/>
          <w:szCs w:val="24"/>
        </w:rPr>
        <w:t xml:space="preserve">Le mutue di auto gestione del denaro. Una risposta alla crisi provocata dalla finanza speculativa”, </w:t>
      </w:r>
      <w:r w:rsidRPr="009B378C">
        <w:rPr>
          <w:rFonts w:ascii="Arial" w:eastAsia="Calibri" w:hAnsi="Arial" w:cs="Arial"/>
          <w:sz w:val="24"/>
          <w:szCs w:val="24"/>
        </w:rPr>
        <w:t>Città del Sole Edizioni, 2014.</w:t>
      </w:r>
    </w:p>
    <w:p w14:paraId="13969C3F" w14:textId="77777777" w:rsidR="00222F2D" w:rsidRPr="009B378C" w:rsidRDefault="00222F2D" w:rsidP="00222F2D">
      <w:pPr>
        <w:spacing w:after="0" w:line="276" w:lineRule="auto"/>
        <w:jc w:val="both"/>
        <w:rPr>
          <w:rFonts w:ascii="Arial" w:eastAsia="Calibri" w:hAnsi="Arial" w:cs="Arial"/>
          <w:sz w:val="24"/>
          <w:szCs w:val="24"/>
        </w:rPr>
      </w:pPr>
    </w:p>
    <w:p w14:paraId="13F4CE31" w14:textId="01097BCD" w:rsidR="00222F2D" w:rsidRDefault="00222F2D" w:rsidP="00222F2D">
      <w:pPr>
        <w:spacing w:after="0" w:line="276" w:lineRule="auto"/>
        <w:jc w:val="both"/>
        <w:rPr>
          <w:rFonts w:ascii="Arial" w:eastAsia="Calibri" w:hAnsi="Arial" w:cs="Arial"/>
          <w:sz w:val="24"/>
          <w:szCs w:val="24"/>
        </w:rPr>
      </w:pPr>
      <w:r w:rsidRPr="009B378C">
        <w:rPr>
          <w:rFonts w:ascii="Arial" w:eastAsia="Calibri" w:hAnsi="Arial" w:cs="Arial"/>
          <w:i/>
          <w:iCs/>
          <w:sz w:val="24"/>
          <w:szCs w:val="24"/>
        </w:rPr>
        <w:t>World Bank</w:t>
      </w:r>
      <w:r w:rsidRPr="009B378C">
        <w:rPr>
          <w:rFonts w:ascii="Arial" w:eastAsia="Calibri" w:hAnsi="Arial" w:cs="Arial"/>
          <w:sz w:val="24"/>
          <w:szCs w:val="24"/>
        </w:rPr>
        <w:t>, “</w:t>
      </w:r>
      <w:r w:rsidRPr="009B378C">
        <w:rPr>
          <w:rFonts w:ascii="Arial" w:eastAsia="Calibri" w:hAnsi="Arial" w:cs="Arial"/>
          <w:i/>
          <w:iCs/>
          <w:sz w:val="24"/>
          <w:szCs w:val="24"/>
        </w:rPr>
        <w:t>Aggiornamento della linea di povertà sociale della Banca Mondiale con le parità di potere d’acquisto del 2017</w:t>
      </w:r>
      <w:r w:rsidRPr="009B378C">
        <w:rPr>
          <w:rFonts w:ascii="Arial" w:eastAsia="Calibri" w:hAnsi="Arial" w:cs="Arial"/>
          <w:sz w:val="24"/>
          <w:szCs w:val="24"/>
        </w:rPr>
        <w:t xml:space="preserve">”, in </w:t>
      </w:r>
      <w:r w:rsidR="005A7D92" w:rsidRPr="005A7D92">
        <w:rPr>
          <w:rFonts w:ascii="Arial" w:eastAsia="Calibri" w:hAnsi="Arial" w:cs="Arial"/>
          <w:sz w:val="24"/>
          <w:szCs w:val="24"/>
        </w:rPr>
        <w:t>https://blogs.worldbank.org/opendata/updating-world-banks-societal-poverty-line-2017-purchasing-power-parities</w:t>
      </w:r>
      <w:r w:rsidRPr="009B378C">
        <w:rPr>
          <w:rFonts w:ascii="Arial" w:eastAsia="Calibri" w:hAnsi="Arial" w:cs="Arial"/>
          <w:sz w:val="24"/>
          <w:szCs w:val="24"/>
        </w:rPr>
        <w:t>.</w:t>
      </w:r>
    </w:p>
    <w:p w14:paraId="1F6AB8DE" w14:textId="77777777" w:rsidR="005A7D92" w:rsidRDefault="005A7D92" w:rsidP="00222F2D">
      <w:pPr>
        <w:spacing w:after="0" w:line="276" w:lineRule="auto"/>
        <w:jc w:val="both"/>
        <w:rPr>
          <w:rFonts w:ascii="Arial" w:eastAsia="Calibri" w:hAnsi="Arial" w:cs="Arial"/>
          <w:sz w:val="24"/>
          <w:szCs w:val="24"/>
        </w:rPr>
      </w:pPr>
    </w:p>
    <w:p w14:paraId="3A3E2B6D" w14:textId="77777777" w:rsidR="005A7D92" w:rsidRPr="00216EA7" w:rsidRDefault="005A7D92" w:rsidP="005A7D92">
      <w:pPr>
        <w:pStyle w:val="Testonotaapidipagina"/>
        <w:spacing w:line="276" w:lineRule="auto"/>
        <w:jc w:val="both"/>
        <w:rPr>
          <w:rFonts w:ascii="Arial" w:hAnsi="Arial" w:cs="Arial"/>
          <w:sz w:val="24"/>
          <w:szCs w:val="24"/>
          <w:lang w:val="en-US"/>
        </w:rPr>
      </w:pPr>
      <w:r w:rsidRPr="00216EA7">
        <w:rPr>
          <w:rFonts w:ascii="Arial" w:hAnsi="Arial" w:cs="Arial"/>
          <w:sz w:val="24"/>
          <w:szCs w:val="24"/>
          <w:lang w:val="en-US"/>
        </w:rPr>
        <w:t>Yotopoulos P.A., Floro S.L., “</w:t>
      </w:r>
      <w:r w:rsidRPr="00216EA7">
        <w:rPr>
          <w:rFonts w:ascii="Arial" w:hAnsi="Arial" w:cs="Arial"/>
          <w:i/>
          <w:iCs/>
          <w:sz w:val="24"/>
          <w:szCs w:val="24"/>
          <w:lang w:val="en-US"/>
        </w:rPr>
        <w:t>Income distribution, transaction costs and market fragmentation in informal credit markets</w:t>
      </w:r>
      <w:r w:rsidRPr="00216EA7">
        <w:rPr>
          <w:rFonts w:ascii="Arial" w:hAnsi="Arial" w:cs="Arial"/>
          <w:sz w:val="24"/>
          <w:szCs w:val="24"/>
          <w:lang w:val="en-US"/>
        </w:rPr>
        <w:t>”, Cambridge Journal of Economics, Vol. 16, No. 3, 1992, pp. 303-326, in http://www.jstor.org/stable/23599594.</w:t>
      </w:r>
    </w:p>
    <w:p w14:paraId="3196F535" w14:textId="77777777" w:rsidR="00222F2D" w:rsidRPr="003636DE" w:rsidRDefault="00222F2D" w:rsidP="00222F2D">
      <w:pPr>
        <w:spacing w:after="0" w:line="276" w:lineRule="auto"/>
        <w:jc w:val="both"/>
        <w:rPr>
          <w:rFonts w:ascii="Arial" w:eastAsia="Calibri" w:hAnsi="Arial" w:cs="Arial"/>
          <w:sz w:val="24"/>
          <w:szCs w:val="24"/>
          <w:lang w:val="en-US"/>
        </w:rPr>
      </w:pPr>
    </w:p>
    <w:p w14:paraId="0749D011"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Yunus M., “</w:t>
      </w:r>
      <w:r w:rsidRPr="009B378C">
        <w:rPr>
          <w:rFonts w:ascii="Arial" w:eastAsia="Calibri" w:hAnsi="Arial" w:cs="Arial"/>
          <w:i/>
          <w:iCs/>
          <w:sz w:val="24"/>
          <w:szCs w:val="24"/>
        </w:rPr>
        <w:t>Il Banchiere dei Poveri</w:t>
      </w:r>
      <w:r w:rsidRPr="009B378C">
        <w:rPr>
          <w:rFonts w:ascii="Arial" w:eastAsia="Calibri" w:hAnsi="Arial" w:cs="Arial"/>
          <w:sz w:val="24"/>
          <w:szCs w:val="24"/>
        </w:rPr>
        <w:t>”, Feltrinelli, Milano, 1998;</w:t>
      </w:r>
    </w:p>
    <w:p w14:paraId="35BFDF8A" w14:textId="77777777" w:rsidR="00222F2D" w:rsidRPr="009B378C" w:rsidRDefault="00222F2D" w:rsidP="00222F2D">
      <w:pPr>
        <w:spacing w:after="0" w:line="276" w:lineRule="auto"/>
        <w:jc w:val="both"/>
        <w:rPr>
          <w:rFonts w:ascii="Arial" w:eastAsia="Calibri" w:hAnsi="Arial" w:cs="Arial"/>
          <w:sz w:val="24"/>
          <w:szCs w:val="24"/>
        </w:rPr>
      </w:pPr>
    </w:p>
    <w:p w14:paraId="1CEF6FED"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Yunus M., “</w:t>
      </w:r>
      <w:r w:rsidRPr="009B378C">
        <w:rPr>
          <w:rFonts w:ascii="Arial" w:eastAsia="Calibri" w:hAnsi="Arial" w:cs="Arial"/>
          <w:i/>
          <w:iCs/>
          <w:sz w:val="24"/>
          <w:szCs w:val="24"/>
        </w:rPr>
        <w:t>Un mondo senza povertà</w:t>
      </w:r>
      <w:r w:rsidRPr="009B378C">
        <w:rPr>
          <w:rFonts w:ascii="Arial" w:eastAsia="Calibri" w:hAnsi="Arial" w:cs="Arial"/>
          <w:sz w:val="24"/>
          <w:szCs w:val="24"/>
        </w:rPr>
        <w:t>”, Feltrinelli, Milano, 2010.</w:t>
      </w:r>
    </w:p>
    <w:p w14:paraId="28A592D1" w14:textId="77777777" w:rsidR="00222F2D" w:rsidRPr="009B378C" w:rsidRDefault="00222F2D" w:rsidP="00222F2D">
      <w:pPr>
        <w:spacing w:after="0" w:line="276" w:lineRule="auto"/>
        <w:jc w:val="both"/>
        <w:rPr>
          <w:rFonts w:ascii="Arial" w:eastAsia="Calibri" w:hAnsi="Arial" w:cs="Arial"/>
          <w:sz w:val="24"/>
          <w:szCs w:val="24"/>
        </w:rPr>
      </w:pPr>
    </w:p>
    <w:p w14:paraId="72FE2CD8" w14:textId="77777777" w:rsidR="00222F2D" w:rsidRPr="009B378C" w:rsidRDefault="00222F2D" w:rsidP="00222F2D">
      <w:pPr>
        <w:spacing w:after="0" w:line="276" w:lineRule="auto"/>
        <w:jc w:val="both"/>
        <w:rPr>
          <w:rFonts w:ascii="Arial" w:eastAsia="Calibri" w:hAnsi="Arial" w:cs="Arial"/>
          <w:sz w:val="24"/>
          <w:szCs w:val="24"/>
        </w:rPr>
      </w:pPr>
      <w:r w:rsidRPr="009B378C">
        <w:rPr>
          <w:rFonts w:ascii="Arial" w:eastAsia="Calibri" w:hAnsi="Arial" w:cs="Arial"/>
          <w:sz w:val="24"/>
          <w:szCs w:val="24"/>
        </w:rPr>
        <w:t>Zanibelli G., “</w:t>
      </w:r>
      <w:r w:rsidRPr="009B378C">
        <w:rPr>
          <w:rFonts w:ascii="Arial" w:eastAsia="Calibri" w:hAnsi="Arial" w:cs="Arial"/>
          <w:i/>
          <w:iCs/>
          <w:sz w:val="24"/>
          <w:szCs w:val="24"/>
        </w:rPr>
        <w:t>Agricoltura e credito in Italia 1800-1890: una prima analisi economico-istituzionale sui Monti frumentari”</w:t>
      </w:r>
      <w:r w:rsidRPr="009B378C">
        <w:rPr>
          <w:rFonts w:ascii="Arial" w:eastAsia="Calibri" w:hAnsi="Arial" w:cs="Arial"/>
          <w:sz w:val="24"/>
          <w:szCs w:val="24"/>
        </w:rPr>
        <w:t>, in “</w:t>
      </w:r>
      <w:r w:rsidRPr="009B378C">
        <w:rPr>
          <w:rFonts w:ascii="Arial" w:eastAsia="Calibri" w:hAnsi="Arial" w:cs="Arial"/>
          <w:i/>
          <w:iCs/>
          <w:sz w:val="24"/>
          <w:szCs w:val="24"/>
        </w:rPr>
        <w:t>Le Carte e la Storia</w:t>
      </w:r>
      <w:r w:rsidRPr="009B378C">
        <w:rPr>
          <w:rFonts w:ascii="Arial" w:eastAsia="Calibri" w:hAnsi="Arial" w:cs="Arial"/>
          <w:sz w:val="24"/>
          <w:szCs w:val="24"/>
        </w:rPr>
        <w:t>”, Rivista di storia delle istituzioni, n. 2/2020, pp. 94-113.</w:t>
      </w:r>
    </w:p>
    <w:p w14:paraId="1C0B6144" w14:textId="77777777" w:rsidR="00222F2D" w:rsidRDefault="00222F2D" w:rsidP="00222F2D">
      <w:pPr>
        <w:spacing w:line="276" w:lineRule="auto"/>
        <w:jc w:val="both"/>
        <w:rPr>
          <w:rFonts w:ascii="Arial" w:eastAsia="Calibri" w:hAnsi="Arial" w:cs="Arial"/>
          <w:bCs/>
          <w:sz w:val="24"/>
          <w:szCs w:val="24"/>
        </w:rPr>
      </w:pPr>
    </w:p>
    <w:p w14:paraId="44F543A5" w14:textId="77777777" w:rsidR="00077609" w:rsidRDefault="00077609" w:rsidP="00222F2D">
      <w:pPr>
        <w:spacing w:line="276" w:lineRule="auto"/>
        <w:jc w:val="both"/>
        <w:rPr>
          <w:rFonts w:ascii="Arial" w:eastAsia="Calibri" w:hAnsi="Arial" w:cs="Arial"/>
          <w:bCs/>
          <w:sz w:val="24"/>
          <w:szCs w:val="24"/>
        </w:rPr>
      </w:pPr>
    </w:p>
    <w:p w14:paraId="41131C2A" w14:textId="77777777" w:rsidR="00077609" w:rsidRDefault="00077609" w:rsidP="00222F2D">
      <w:pPr>
        <w:spacing w:line="276" w:lineRule="auto"/>
        <w:jc w:val="both"/>
        <w:rPr>
          <w:rFonts w:ascii="Arial" w:eastAsia="Calibri" w:hAnsi="Arial" w:cs="Arial"/>
          <w:bCs/>
          <w:sz w:val="24"/>
          <w:szCs w:val="24"/>
        </w:rPr>
      </w:pPr>
    </w:p>
    <w:p w14:paraId="5DA93ADA" w14:textId="77777777" w:rsidR="00077609" w:rsidRDefault="00077609" w:rsidP="00222F2D">
      <w:pPr>
        <w:spacing w:line="276" w:lineRule="auto"/>
        <w:jc w:val="both"/>
        <w:rPr>
          <w:rFonts w:ascii="Arial" w:eastAsia="Calibri" w:hAnsi="Arial" w:cs="Arial"/>
          <w:bCs/>
          <w:sz w:val="24"/>
          <w:szCs w:val="24"/>
        </w:rPr>
      </w:pPr>
    </w:p>
    <w:p w14:paraId="7CEEDB76" w14:textId="77777777" w:rsidR="00077609" w:rsidRDefault="00077609" w:rsidP="00222F2D">
      <w:pPr>
        <w:spacing w:line="276" w:lineRule="auto"/>
        <w:jc w:val="both"/>
        <w:rPr>
          <w:rFonts w:ascii="Arial" w:eastAsia="Calibri" w:hAnsi="Arial" w:cs="Arial"/>
          <w:bCs/>
          <w:sz w:val="24"/>
          <w:szCs w:val="24"/>
        </w:rPr>
      </w:pPr>
    </w:p>
    <w:p w14:paraId="590E9759" w14:textId="77777777" w:rsidR="00077609" w:rsidRDefault="00077609" w:rsidP="00222F2D">
      <w:pPr>
        <w:spacing w:line="276" w:lineRule="auto"/>
        <w:jc w:val="both"/>
        <w:rPr>
          <w:rFonts w:ascii="Arial" w:eastAsia="Calibri" w:hAnsi="Arial" w:cs="Arial"/>
          <w:bCs/>
          <w:sz w:val="24"/>
          <w:szCs w:val="24"/>
        </w:rPr>
      </w:pPr>
    </w:p>
    <w:p w14:paraId="34E24369" w14:textId="77777777" w:rsidR="00077609" w:rsidRDefault="00077609" w:rsidP="00222F2D">
      <w:pPr>
        <w:spacing w:line="276" w:lineRule="auto"/>
        <w:jc w:val="both"/>
        <w:rPr>
          <w:rFonts w:ascii="Arial" w:eastAsia="Calibri" w:hAnsi="Arial" w:cs="Arial"/>
          <w:bCs/>
          <w:sz w:val="24"/>
          <w:szCs w:val="24"/>
        </w:rPr>
      </w:pPr>
    </w:p>
    <w:p w14:paraId="411B0DDB" w14:textId="77777777" w:rsidR="00077609" w:rsidRDefault="00077609" w:rsidP="00222F2D">
      <w:pPr>
        <w:spacing w:line="276" w:lineRule="auto"/>
        <w:jc w:val="both"/>
        <w:rPr>
          <w:rFonts w:ascii="Arial" w:eastAsia="Calibri" w:hAnsi="Arial" w:cs="Arial"/>
          <w:bCs/>
          <w:sz w:val="24"/>
          <w:szCs w:val="24"/>
        </w:rPr>
      </w:pPr>
    </w:p>
    <w:p w14:paraId="0D0AE1CC" w14:textId="77777777" w:rsidR="00077609" w:rsidRDefault="00077609" w:rsidP="00222F2D">
      <w:pPr>
        <w:spacing w:line="276" w:lineRule="auto"/>
        <w:jc w:val="both"/>
        <w:rPr>
          <w:rFonts w:ascii="Arial" w:eastAsia="Calibri" w:hAnsi="Arial" w:cs="Arial"/>
          <w:bCs/>
          <w:sz w:val="24"/>
          <w:szCs w:val="24"/>
        </w:rPr>
      </w:pPr>
    </w:p>
    <w:p w14:paraId="0C2B35DF" w14:textId="77777777" w:rsidR="00077609" w:rsidRDefault="00077609" w:rsidP="00222F2D">
      <w:pPr>
        <w:spacing w:line="276" w:lineRule="auto"/>
        <w:jc w:val="both"/>
        <w:rPr>
          <w:rFonts w:ascii="Arial" w:eastAsia="Calibri" w:hAnsi="Arial" w:cs="Arial"/>
          <w:bCs/>
          <w:sz w:val="24"/>
          <w:szCs w:val="24"/>
        </w:rPr>
      </w:pPr>
    </w:p>
    <w:p w14:paraId="54FCF214" w14:textId="77777777" w:rsidR="00077609" w:rsidRDefault="00077609" w:rsidP="00222F2D">
      <w:pPr>
        <w:spacing w:line="276" w:lineRule="auto"/>
        <w:jc w:val="both"/>
        <w:rPr>
          <w:rFonts w:ascii="Arial" w:eastAsia="Calibri" w:hAnsi="Arial" w:cs="Arial"/>
          <w:bCs/>
          <w:sz w:val="24"/>
          <w:szCs w:val="24"/>
        </w:rPr>
      </w:pPr>
    </w:p>
    <w:p w14:paraId="51B42FD3" w14:textId="77777777" w:rsidR="00077609" w:rsidRDefault="00077609" w:rsidP="00222F2D">
      <w:pPr>
        <w:spacing w:line="276" w:lineRule="auto"/>
        <w:jc w:val="both"/>
        <w:rPr>
          <w:rFonts w:ascii="Arial" w:eastAsia="Calibri" w:hAnsi="Arial" w:cs="Arial"/>
          <w:bCs/>
          <w:sz w:val="24"/>
          <w:szCs w:val="24"/>
        </w:rPr>
      </w:pPr>
    </w:p>
    <w:p w14:paraId="52F56A6D" w14:textId="77777777" w:rsidR="00077609" w:rsidRDefault="00077609" w:rsidP="00222F2D">
      <w:pPr>
        <w:spacing w:line="276" w:lineRule="auto"/>
        <w:jc w:val="both"/>
        <w:rPr>
          <w:rFonts w:ascii="Arial" w:eastAsia="Calibri" w:hAnsi="Arial" w:cs="Arial"/>
          <w:bCs/>
          <w:sz w:val="24"/>
          <w:szCs w:val="24"/>
        </w:rPr>
      </w:pPr>
    </w:p>
    <w:p w14:paraId="3386D1A2" w14:textId="77777777" w:rsidR="00077609" w:rsidRDefault="00077609" w:rsidP="00222F2D">
      <w:pPr>
        <w:spacing w:line="276" w:lineRule="auto"/>
        <w:jc w:val="both"/>
        <w:rPr>
          <w:rFonts w:ascii="Arial" w:eastAsia="Calibri" w:hAnsi="Arial" w:cs="Arial"/>
          <w:bCs/>
          <w:sz w:val="24"/>
          <w:szCs w:val="24"/>
        </w:rPr>
      </w:pPr>
    </w:p>
    <w:p w14:paraId="6634D4DA" w14:textId="77777777" w:rsidR="00077609" w:rsidRDefault="00077609" w:rsidP="00222F2D">
      <w:pPr>
        <w:spacing w:line="276" w:lineRule="auto"/>
        <w:jc w:val="both"/>
        <w:rPr>
          <w:rFonts w:ascii="Arial" w:eastAsia="Calibri" w:hAnsi="Arial" w:cs="Arial"/>
          <w:bCs/>
          <w:sz w:val="24"/>
          <w:szCs w:val="24"/>
        </w:rPr>
      </w:pPr>
    </w:p>
    <w:p w14:paraId="298A61FA" w14:textId="77777777" w:rsidR="00077609" w:rsidRDefault="00077609" w:rsidP="00222F2D">
      <w:pPr>
        <w:spacing w:line="276" w:lineRule="auto"/>
        <w:jc w:val="both"/>
        <w:rPr>
          <w:rFonts w:ascii="Arial" w:eastAsia="Calibri" w:hAnsi="Arial" w:cs="Arial"/>
          <w:bCs/>
          <w:sz w:val="24"/>
          <w:szCs w:val="24"/>
        </w:rPr>
      </w:pPr>
    </w:p>
    <w:p w14:paraId="7B9F3ED9" w14:textId="0CB345C2" w:rsidR="00222F2D" w:rsidRPr="008804F0" w:rsidRDefault="00222F2D" w:rsidP="008804F0">
      <w:pPr>
        <w:pStyle w:val="Paragrafoelenco"/>
        <w:numPr>
          <w:ilvl w:val="0"/>
          <w:numId w:val="32"/>
        </w:numPr>
        <w:spacing w:after="0" w:line="360" w:lineRule="auto"/>
        <w:jc w:val="both"/>
        <w:rPr>
          <w:rFonts w:ascii="Arial" w:eastAsia="Calibri" w:hAnsi="Arial" w:cs="Arial"/>
          <w:b/>
          <w:sz w:val="24"/>
          <w:szCs w:val="24"/>
        </w:rPr>
      </w:pPr>
      <w:r w:rsidRPr="008804F0">
        <w:rPr>
          <w:rFonts w:ascii="Arial" w:eastAsia="Calibri" w:hAnsi="Arial" w:cs="Arial"/>
          <w:b/>
          <w:sz w:val="24"/>
          <w:szCs w:val="24"/>
        </w:rPr>
        <w:lastRenderedPageBreak/>
        <w:t>SITOGRAFIA</w:t>
      </w:r>
    </w:p>
    <w:p w14:paraId="273B002C" w14:textId="77777777" w:rsidR="00222F2D" w:rsidRPr="004130BC" w:rsidRDefault="00222F2D" w:rsidP="00222F2D">
      <w:pPr>
        <w:spacing w:after="0" w:line="276" w:lineRule="auto"/>
        <w:jc w:val="both"/>
        <w:rPr>
          <w:rFonts w:ascii="Arial" w:eastAsia="Calibri" w:hAnsi="Arial" w:cs="Arial"/>
          <w:bCs/>
          <w:sz w:val="24"/>
          <w:szCs w:val="24"/>
        </w:rPr>
      </w:pPr>
    </w:p>
    <w:p w14:paraId="1D825CD9" w14:textId="77777777" w:rsidR="00222F2D" w:rsidRPr="004130BC" w:rsidRDefault="00222F2D" w:rsidP="00222F2D">
      <w:pPr>
        <w:spacing w:after="0" w:line="276" w:lineRule="auto"/>
        <w:jc w:val="both"/>
        <w:rPr>
          <w:rFonts w:ascii="Arial" w:eastAsia="Calibri" w:hAnsi="Arial" w:cs="Arial"/>
          <w:bCs/>
          <w:sz w:val="24"/>
          <w:szCs w:val="24"/>
        </w:rPr>
      </w:pPr>
      <w:r w:rsidRPr="004130BC">
        <w:rPr>
          <w:rFonts w:ascii="Arial" w:eastAsia="Calibri" w:hAnsi="Arial" w:cs="Arial"/>
          <w:bCs/>
          <w:sz w:val="24"/>
          <w:szCs w:val="24"/>
        </w:rPr>
        <w:t>Consiglio europeo, https://www.consilium.europa.eu/en/</w:t>
      </w:r>
    </w:p>
    <w:p w14:paraId="2D30A189" w14:textId="77777777" w:rsidR="00222F2D" w:rsidRPr="004130BC" w:rsidRDefault="00222F2D" w:rsidP="00222F2D">
      <w:pPr>
        <w:spacing w:after="0" w:line="276" w:lineRule="auto"/>
        <w:jc w:val="both"/>
        <w:rPr>
          <w:rFonts w:ascii="Arial" w:eastAsia="Calibri" w:hAnsi="Arial" w:cs="Arial"/>
          <w:bCs/>
          <w:sz w:val="24"/>
          <w:szCs w:val="24"/>
        </w:rPr>
      </w:pPr>
    </w:p>
    <w:p w14:paraId="3DB1E128" w14:textId="77777777" w:rsidR="00222F2D" w:rsidRPr="004130BC" w:rsidRDefault="00222F2D" w:rsidP="00222F2D">
      <w:pPr>
        <w:spacing w:after="0" w:line="276" w:lineRule="auto"/>
        <w:jc w:val="both"/>
        <w:rPr>
          <w:rFonts w:ascii="Arial" w:eastAsia="Calibri" w:hAnsi="Arial" w:cs="Arial"/>
          <w:bCs/>
          <w:sz w:val="24"/>
          <w:szCs w:val="24"/>
        </w:rPr>
      </w:pPr>
      <w:r w:rsidRPr="004130BC">
        <w:rPr>
          <w:rFonts w:ascii="Arial" w:eastAsia="Calibri" w:hAnsi="Arial" w:cs="Arial"/>
          <w:bCs/>
          <w:sz w:val="24"/>
          <w:szCs w:val="24"/>
        </w:rPr>
        <w:t>Ente Nazionale per il Microcredito, https://www.microcredito.gov.it/</w:t>
      </w:r>
    </w:p>
    <w:p w14:paraId="6C1793F2" w14:textId="77777777" w:rsidR="00222F2D" w:rsidRPr="004130BC" w:rsidRDefault="00222F2D" w:rsidP="00222F2D">
      <w:pPr>
        <w:spacing w:after="0" w:line="276" w:lineRule="auto"/>
        <w:jc w:val="both"/>
        <w:rPr>
          <w:rFonts w:ascii="Arial" w:eastAsia="Calibri" w:hAnsi="Arial" w:cs="Arial"/>
          <w:bCs/>
          <w:sz w:val="24"/>
          <w:szCs w:val="24"/>
        </w:rPr>
      </w:pPr>
    </w:p>
    <w:p w14:paraId="5F9391A4" w14:textId="77777777" w:rsidR="00222F2D" w:rsidRPr="004130BC" w:rsidRDefault="00222F2D" w:rsidP="00222F2D">
      <w:pPr>
        <w:spacing w:after="0" w:line="276" w:lineRule="auto"/>
        <w:jc w:val="both"/>
        <w:rPr>
          <w:rFonts w:ascii="Arial" w:eastAsia="Calibri" w:hAnsi="Arial" w:cs="Arial"/>
          <w:bCs/>
          <w:sz w:val="24"/>
          <w:szCs w:val="24"/>
        </w:rPr>
      </w:pPr>
      <w:r w:rsidRPr="004130BC">
        <w:rPr>
          <w:rFonts w:ascii="Arial" w:eastAsia="Calibri" w:hAnsi="Arial" w:cs="Arial"/>
          <w:bCs/>
          <w:i/>
          <w:iCs/>
          <w:sz w:val="24"/>
          <w:szCs w:val="24"/>
        </w:rPr>
        <w:t>European Commission</w:t>
      </w:r>
      <w:r w:rsidRPr="004130BC">
        <w:rPr>
          <w:rFonts w:ascii="Arial" w:eastAsia="Calibri" w:hAnsi="Arial" w:cs="Arial"/>
          <w:bCs/>
          <w:sz w:val="24"/>
          <w:szCs w:val="24"/>
        </w:rPr>
        <w:t>, https://commission.europa.eu/</w:t>
      </w:r>
    </w:p>
    <w:p w14:paraId="3B471B9E" w14:textId="77777777" w:rsidR="00222F2D" w:rsidRPr="004130BC" w:rsidRDefault="00222F2D" w:rsidP="00222F2D">
      <w:pPr>
        <w:spacing w:after="0" w:line="276" w:lineRule="auto"/>
        <w:jc w:val="both"/>
        <w:rPr>
          <w:rFonts w:ascii="Arial" w:eastAsia="Calibri" w:hAnsi="Arial" w:cs="Arial"/>
          <w:bCs/>
          <w:sz w:val="24"/>
          <w:szCs w:val="24"/>
        </w:rPr>
      </w:pPr>
    </w:p>
    <w:p w14:paraId="31FB4A7A" w14:textId="77777777" w:rsidR="00222F2D" w:rsidRPr="004130BC" w:rsidRDefault="00222F2D" w:rsidP="00222F2D">
      <w:pPr>
        <w:spacing w:after="0" w:line="276" w:lineRule="auto"/>
        <w:jc w:val="both"/>
        <w:rPr>
          <w:rFonts w:ascii="Arial" w:eastAsia="Calibri" w:hAnsi="Arial" w:cs="Arial"/>
          <w:sz w:val="24"/>
          <w:szCs w:val="24"/>
        </w:rPr>
      </w:pPr>
      <w:r w:rsidRPr="004130BC">
        <w:rPr>
          <w:rFonts w:ascii="Arial" w:eastAsia="Calibri" w:hAnsi="Arial" w:cs="Arial"/>
          <w:sz w:val="24"/>
          <w:szCs w:val="24"/>
          <w:shd w:val="clear" w:color="auto" w:fill="FFFFFF"/>
        </w:rPr>
        <w:t xml:space="preserve">Guida all'Europrogettazione, </w:t>
      </w:r>
      <w:r w:rsidRPr="004130BC">
        <w:rPr>
          <w:rFonts w:ascii="Arial" w:eastAsia="Calibri" w:hAnsi="Arial" w:cs="Arial"/>
          <w:sz w:val="24"/>
          <w:szCs w:val="24"/>
        </w:rPr>
        <w:t>https://www.guidaeuroprogettazione.eu/guida/categorie-finanziamento-2021-2027/i-fondi-strutturali-rurali/.</w:t>
      </w:r>
    </w:p>
    <w:p w14:paraId="1064E824" w14:textId="77777777" w:rsidR="00222F2D" w:rsidRPr="004130BC" w:rsidRDefault="00222F2D" w:rsidP="00222F2D">
      <w:pPr>
        <w:spacing w:after="0" w:line="276" w:lineRule="auto"/>
        <w:jc w:val="both"/>
        <w:rPr>
          <w:rFonts w:ascii="Arial" w:eastAsia="Calibri" w:hAnsi="Arial" w:cs="Arial"/>
          <w:sz w:val="24"/>
          <w:szCs w:val="24"/>
        </w:rPr>
      </w:pPr>
    </w:p>
    <w:p w14:paraId="0A2A5AF0" w14:textId="77777777" w:rsidR="00222F2D" w:rsidRPr="004130BC" w:rsidRDefault="00222F2D" w:rsidP="00222F2D">
      <w:pPr>
        <w:spacing w:after="0" w:line="276" w:lineRule="auto"/>
        <w:jc w:val="both"/>
        <w:rPr>
          <w:rFonts w:ascii="Arial" w:eastAsia="Calibri" w:hAnsi="Arial" w:cs="Arial"/>
          <w:sz w:val="24"/>
          <w:szCs w:val="24"/>
          <w:lang w:val="en-US"/>
        </w:rPr>
      </w:pPr>
      <w:r w:rsidRPr="004130BC">
        <w:rPr>
          <w:rFonts w:ascii="Arial" w:eastAsia="Calibri" w:hAnsi="Arial" w:cs="Arial"/>
          <w:i/>
          <w:iCs/>
          <w:sz w:val="24"/>
          <w:szCs w:val="24"/>
          <w:lang w:val="en-US"/>
        </w:rPr>
        <w:t>International Monetary Fund</w:t>
      </w:r>
      <w:r w:rsidRPr="004130BC">
        <w:rPr>
          <w:rFonts w:ascii="Arial" w:eastAsia="Calibri" w:hAnsi="Arial" w:cs="Arial"/>
          <w:sz w:val="24"/>
          <w:szCs w:val="24"/>
          <w:lang w:val="en-US"/>
        </w:rPr>
        <w:t>, https://www.imf.org/en/home.</w:t>
      </w:r>
    </w:p>
    <w:p w14:paraId="15EF62F6" w14:textId="77777777" w:rsidR="00222F2D" w:rsidRPr="003636DE" w:rsidRDefault="00222F2D" w:rsidP="00222F2D">
      <w:pPr>
        <w:spacing w:after="0" w:line="276" w:lineRule="auto"/>
        <w:jc w:val="both"/>
        <w:rPr>
          <w:rFonts w:ascii="Arial" w:eastAsia="Calibri" w:hAnsi="Arial" w:cs="Arial"/>
          <w:sz w:val="24"/>
          <w:szCs w:val="24"/>
          <w:lang w:val="en-US"/>
        </w:rPr>
      </w:pPr>
    </w:p>
    <w:p w14:paraId="1BB42C92" w14:textId="77777777" w:rsidR="00222F2D" w:rsidRPr="004130BC" w:rsidRDefault="00222F2D" w:rsidP="00222F2D">
      <w:pPr>
        <w:spacing w:after="0" w:line="276" w:lineRule="auto"/>
        <w:jc w:val="both"/>
        <w:rPr>
          <w:rFonts w:ascii="Arial" w:eastAsia="Calibri" w:hAnsi="Arial" w:cs="Arial"/>
          <w:sz w:val="24"/>
          <w:szCs w:val="24"/>
        </w:rPr>
      </w:pPr>
      <w:r w:rsidRPr="004130BC">
        <w:rPr>
          <w:rFonts w:ascii="Arial" w:eastAsia="Calibri" w:hAnsi="Arial" w:cs="Arial"/>
          <w:sz w:val="24"/>
          <w:szCs w:val="24"/>
        </w:rPr>
        <w:t>ISTAT, in www.istat.it.</w:t>
      </w:r>
    </w:p>
    <w:p w14:paraId="6A1E8F2A" w14:textId="77777777" w:rsidR="00222F2D" w:rsidRPr="004130BC" w:rsidRDefault="00222F2D" w:rsidP="00222F2D">
      <w:pPr>
        <w:spacing w:after="0" w:line="276" w:lineRule="auto"/>
        <w:jc w:val="both"/>
        <w:rPr>
          <w:rFonts w:ascii="Arial" w:eastAsia="Calibri" w:hAnsi="Arial" w:cs="Arial"/>
          <w:bCs/>
          <w:sz w:val="24"/>
          <w:szCs w:val="24"/>
        </w:rPr>
      </w:pPr>
    </w:p>
    <w:p w14:paraId="31672BF4" w14:textId="77777777" w:rsidR="00222F2D" w:rsidRPr="004130BC" w:rsidRDefault="00222F2D" w:rsidP="00222F2D">
      <w:pPr>
        <w:spacing w:after="0" w:line="276" w:lineRule="auto"/>
        <w:jc w:val="both"/>
        <w:rPr>
          <w:rFonts w:ascii="Arial" w:eastAsia="Calibri" w:hAnsi="Arial" w:cs="Arial"/>
          <w:bCs/>
          <w:sz w:val="24"/>
          <w:szCs w:val="24"/>
        </w:rPr>
      </w:pPr>
      <w:r w:rsidRPr="004130BC">
        <w:rPr>
          <w:rFonts w:ascii="Arial" w:eastAsia="Calibri" w:hAnsi="Arial" w:cs="Arial"/>
          <w:bCs/>
          <w:sz w:val="24"/>
          <w:szCs w:val="24"/>
        </w:rPr>
        <w:t>Ministero dell’Economia e delle Finanza, https://www.mef.gov.it.</w:t>
      </w:r>
    </w:p>
    <w:p w14:paraId="5E0E067B" w14:textId="77777777" w:rsidR="00222F2D" w:rsidRPr="004130BC" w:rsidRDefault="00222F2D" w:rsidP="00222F2D">
      <w:pPr>
        <w:spacing w:after="0" w:line="276" w:lineRule="auto"/>
        <w:jc w:val="both"/>
        <w:rPr>
          <w:rFonts w:ascii="Calibri" w:eastAsia="Calibri" w:hAnsi="Calibri" w:cs="Times New Roman"/>
          <w:bCs/>
          <w:sz w:val="24"/>
          <w:szCs w:val="24"/>
          <w:shd w:val="clear" w:color="auto" w:fill="FFFFFF"/>
        </w:rPr>
      </w:pPr>
    </w:p>
    <w:p w14:paraId="5B1B8A87" w14:textId="77777777" w:rsidR="00222F2D" w:rsidRPr="004130BC" w:rsidRDefault="00222F2D" w:rsidP="00222F2D">
      <w:pPr>
        <w:spacing w:after="0" w:line="276" w:lineRule="auto"/>
        <w:jc w:val="both"/>
        <w:rPr>
          <w:rFonts w:ascii="Calibri" w:eastAsia="Calibri" w:hAnsi="Calibri" w:cs="Times New Roman"/>
          <w:sz w:val="24"/>
          <w:szCs w:val="24"/>
        </w:rPr>
      </w:pPr>
      <w:r w:rsidRPr="004130BC">
        <w:rPr>
          <w:rFonts w:ascii="Arial" w:eastAsia="Calibri" w:hAnsi="Arial" w:cs="Arial"/>
          <w:sz w:val="24"/>
          <w:szCs w:val="24"/>
          <w:shd w:val="clear" w:color="auto" w:fill="FFFFFF"/>
        </w:rPr>
        <w:t xml:space="preserve">Ministero delle Imprese e del Made in Italy, </w:t>
      </w:r>
      <w:r w:rsidRPr="004130BC">
        <w:rPr>
          <w:rFonts w:ascii="Arial" w:eastAsia="Calibri" w:hAnsi="Arial" w:cs="Arial"/>
          <w:sz w:val="24"/>
          <w:szCs w:val="24"/>
        </w:rPr>
        <w:t>https://www.mimit.gov.it.</w:t>
      </w:r>
    </w:p>
    <w:p w14:paraId="4A9E41D2" w14:textId="77777777" w:rsidR="00222F2D" w:rsidRPr="004130BC" w:rsidRDefault="00222F2D" w:rsidP="00222F2D">
      <w:pPr>
        <w:spacing w:after="0" w:line="276" w:lineRule="auto"/>
        <w:jc w:val="both"/>
        <w:rPr>
          <w:rFonts w:ascii="Arial" w:eastAsia="Calibri" w:hAnsi="Arial" w:cs="Arial"/>
          <w:bCs/>
          <w:sz w:val="24"/>
          <w:szCs w:val="24"/>
        </w:rPr>
      </w:pPr>
    </w:p>
    <w:p w14:paraId="344FFAE5" w14:textId="77777777" w:rsidR="00222F2D" w:rsidRPr="003636DE"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i/>
          <w:iCs/>
          <w:sz w:val="24"/>
          <w:szCs w:val="24"/>
          <w:lang w:val="en-US"/>
        </w:rPr>
        <w:t>United Nations</w:t>
      </w:r>
      <w:r w:rsidRPr="003636DE">
        <w:rPr>
          <w:rFonts w:ascii="Arial" w:eastAsia="Calibri" w:hAnsi="Arial" w:cs="Arial"/>
          <w:sz w:val="24"/>
          <w:szCs w:val="24"/>
          <w:lang w:val="en-US"/>
        </w:rPr>
        <w:t>,</w:t>
      </w:r>
      <w:r w:rsidRPr="003636DE">
        <w:rPr>
          <w:rFonts w:ascii="Calibri" w:eastAsia="Calibri" w:hAnsi="Calibri" w:cs="Times New Roman"/>
          <w:sz w:val="24"/>
          <w:szCs w:val="24"/>
          <w:lang w:val="en-US"/>
        </w:rPr>
        <w:t xml:space="preserve"> </w:t>
      </w:r>
      <w:r w:rsidRPr="003636DE">
        <w:rPr>
          <w:rFonts w:ascii="Arial" w:eastAsia="Calibri" w:hAnsi="Arial" w:cs="Arial"/>
          <w:sz w:val="24"/>
          <w:szCs w:val="24"/>
          <w:lang w:val="en-US"/>
        </w:rPr>
        <w:t>https://www.un.org/en.</w:t>
      </w:r>
    </w:p>
    <w:p w14:paraId="7B58E25A" w14:textId="77777777" w:rsidR="00222F2D" w:rsidRPr="003636DE" w:rsidRDefault="00222F2D" w:rsidP="00222F2D">
      <w:pPr>
        <w:spacing w:after="0" w:line="276" w:lineRule="auto"/>
        <w:jc w:val="both"/>
        <w:rPr>
          <w:rFonts w:ascii="Arial" w:eastAsia="Calibri" w:hAnsi="Arial" w:cs="Arial"/>
          <w:bCs/>
          <w:sz w:val="24"/>
          <w:szCs w:val="24"/>
          <w:lang w:val="en-US"/>
        </w:rPr>
      </w:pPr>
    </w:p>
    <w:p w14:paraId="1BF09B9F" w14:textId="77777777" w:rsidR="00222F2D" w:rsidRPr="003636DE" w:rsidRDefault="00222F2D" w:rsidP="00222F2D">
      <w:pPr>
        <w:spacing w:after="0" w:line="276" w:lineRule="auto"/>
        <w:jc w:val="both"/>
        <w:rPr>
          <w:rFonts w:ascii="Arial" w:eastAsia="Calibri" w:hAnsi="Arial" w:cs="Arial"/>
          <w:sz w:val="24"/>
          <w:szCs w:val="24"/>
          <w:lang w:val="en-US"/>
        </w:rPr>
      </w:pPr>
      <w:r w:rsidRPr="003636DE">
        <w:rPr>
          <w:rFonts w:ascii="Arial" w:eastAsia="Calibri" w:hAnsi="Arial" w:cs="Arial"/>
          <w:i/>
          <w:iCs/>
          <w:sz w:val="24"/>
          <w:szCs w:val="24"/>
          <w:lang w:val="en-US"/>
        </w:rPr>
        <w:t>United Nations, Economic and Social Council</w:t>
      </w:r>
      <w:r w:rsidRPr="003636DE">
        <w:rPr>
          <w:rFonts w:ascii="Arial" w:eastAsia="Calibri" w:hAnsi="Arial" w:cs="Arial"/>
          <w:sz w:val="24"/>
          <w:szCs w:val="24"/>
          <w:lang w:val="en-US"/>
        </w:rPr>
        <w:t xml:space="preserve"> (ECOSOC), https://ecosoc.un.org/en.</w:t>
      </w:r>
    </w:p>
    <w:p w14:paraId="788EDF3A" w14:textId="77777777" w:rsidR="00222F2D" w:rsidRPr="003636DE" w:rsidRDefault="00222F2D" w:rsidP="00222F2D">
      <w:pPr>
        <w:spacing w:after="0" w:line="276" w:lineRule="auto"/>
        <w:jc w:val="both"/>
        <w:rPr>
          <w:rFonts w:ascii="Arial" w:eastAsia="Calibri" w:hAnsi="Arial" w:cs="Arial"/>
          <w:bCs/>
          <w:sz w:val="24"/>
          <w:szCs w:val="24"/>
          <w:lang w:val="en-US"/>
        </w:rPr>
      </w:pPr>
    </w:p>
    <w:p w14:paraId="1C16A451" w14:textId="77777777" w:rsidR="00222F2D" w:rsidRPr="004130BC" w:rsidRDefault="00222F2D" w:rsidP="00222F2D">
      <w:pPr>
        <w:spacing w:after="0" w:line="276" w:lineRule="auto"/>
        <w:jc w:val="both"/>
        <w:rPr>
          <w:rFonts w:ascii="Arial" w:eastAsia="Calibri" w:hAnsi="Arial" w:cs="Arial"/>
          <w:sz w:val="24"/>
          <w:szCs w:val="24"/>
          <w:lang w:val="en-US"/>
        </w:rPr>
      </w:pPr>
      <w:r w:rsidRPr="004130BC">
        <w:rPr>
          <w:rFonts w:ascii="Arial" w:eastAsia="Calibri" w:hAnsi="Arial" w:cs="Arial"/>
          <w:i/>
          <w:sz w:val="24"/>
          <w:szCs w:val="24"/>
          <w:lang w:val="en-US"/>
        </w:rPr>
        <w:t>Peace Corps</w:t>
      </w:r>
      <w:r w:rsidRPr="004130BC">
        <w:rPr>
          <w:rFonts w:ascii="Arial" w:eastAsia="Calibri" w:hAnsi="Arial" w:cs="Arial"/>
          <w:sz w:val="24"/>
          <w:szCs w:val="24"/>
          <w:lang w:val="en-US"/>
        </w:rPr>
        <w:t>, https://www.peacecorps.gov/about/history.</w:t>
      </w:r>
    </w:p>
    <w:p w14:paraId="2BAA6ECD" w14:textId="77777777" w:rsidR="00222F2D" w:rsidRPr="003636DE" w:rsidRDefault="00222F2D" w:rsidP="00222F2D">
      <w:pPr>
        <w:spacing w:after="0" w:line="276" w:lineRule="auto"/>
        <w:jc w:val="both"/>
        <w:rPr>
          <w:rFonts w:ascii="Arial" w:eastAsia="Calibri" w:hAnsi="Arial" w:cs="Arial"/>
          <w:sz w:val="24"/>
          <w:szCs w:val="24"/>
          <w:lang w:val="en-US"/>
        </w:rPr>
      </w:pPr>
    </w:p>
    <w:p w14:paraId="3E2B0C10" w14:textId="61676A3A" w:rsidR="001152BC" w:rsidRPr="003636DE" w:rsidRDefault="00222F2D" w:rsidP="00222F2D">
      <w:pPr>
        <w:spacing w:after="0" w:line="276" w:lineRule="auto"/>
        <w:jc w:val="both"/>
        <w:rPr>
          <w:rFonts w:ascii="Arial" w:eastAsia="Calibri" w:hAnsi="Arial" w:cs="Arial"/>
          <w:bCs/>
          <w:sz w:val="24"/>
          <w:szCs w:val="24"/>
          <w:lang w:val="en-US"/>
        </w:rPr>
      </w:pPr>
      <w:r w:rsidRPr="003636DE">
        <w:rPr>
          <w:rFonts w:ascii="Arial" w:eastAsia="Calibri" w:hAnsi="Arial" w:cs="Arial"/>
          <w:bCs/>
          <w:i/>
          <w:iCs/>
          <w:sz w:val="24"/>
          <w:szCs w:val="24"/>
          <w:lang w:val="en-US"/>
        </w:rPr>
        <w:t>The World Bank</w:t>
      </w:r>
      <w:r w:rsidRPr="003636DE">
        <w:rPr>
          <w:rFonts w:ascii="Arial" w:eastAsia="Calibri" w:hAnsi="Arial" w:cs="Arial"/>
          <w:bCs/>
          <w:sz w:val="24"/>
          <w:szCs w:val="24"/>
          <w:lang w:val="en-US"/>
        </w:rPr>
        <w:t>, https://www.worldbank.org/en/home.</w:t>
      </w:r>
    </w:p>
    <w:sectPr w:rsidR="001152BC" w:rsidRPr="003636DE" w:rsidSect="007D0987">
      <w:footerReference w:type="default" r:id="rId174"/>
      <w:pgSz w:w="11906" w:h="16838"/>
      <w:pgMar w:top="1135" w:right="1134" w:bottom="1134" w:left="99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6D3CEE5" w14:textId="77777777" w:rsidR="007D0987" w:rsidRDefault="007D0987" w:rsidP="007A49EE">
      <w:pPr>
        <w:spacing w:after="0" w:line="240" w:lineRule="auto"/>
      </w:pPr>
      <w:r>
        <w:separator/>
      </w:r>
    </w:p>
  </w:endnote>
  <w:endnote w:type="continuationSeparator" w:id="0">
    <w:p w14:paraId="3C25BCDA" w14:textId="77777777" w:rsidR="007D0987" w:rsidRDefault="007D0987" w:rsidP="007A49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26264631"/>
      <w:docPartObj>
        <w:docPartGallery w:val="Page Numbers (Bottom of Page)"/>
        <w:docPartUnique/>
      </w:docPartObj>
    </w:sdtPr>
    <w:sdtContent>
      <w:p w14:paraId="79E3545D" w14:textId="7CAEE321" w:rsidR="00BC1AD6" w:rsidRDefault="00BC1AD6" w:rsidP="00BC1AD6">
        <w:pPr>
          <w:pStyle w:val="Pidipa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9757FB" w14:textId="77777777" w:rsidR="007D0987" w:rsidRDefault="007D0987" w:rsidP="007A49EE">
      <w:pPr>
        <w:spacing w:after="0" w:line="240" w:lineRule="auto"/>
      </w:pPr>
      <w:r>
        <w:separator/>
      </w:r>
    </w:p>
  </w:footnote>
  <w:footnote w:type="continuationSeparator" w:id="0">
    <w:p w14:paraId="33BC661F" w14:textId="77777777" w:rsidR="007D0987" w:rsidRDefault="007D0987" w:rsidP="007A49EE">
      <w:pPr>
        <w:spacing w:after="0" w:line="240" w:lineRule="auto"/>
      </w:pPr>
      <w:r>
        <w:continuationSeparator/>
      </w:r>
    </w:p>
  </w:footnote>
  <w:footnote w:id="1">
    <w:p w14:paraId="5282D2B7"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Crivellaro F., “</w:t>
      </w:r>
      <w:r w:rsidRPr="003D1A51">
        <w:rPr>
          <w:rFonts w:ascii="Arial" w:hAnsi="Arial" w:cs="Arial"/>
          <w:i/>
          <w:iCs/>
        </w:rPr>
        <w:t>Cosa circola nel microcredito? La dimensione del dono nelle nuove pratiche di finanza solidale</w:t>
      </w:r>
      <w:r w:rsidRPr="003D1A51">
        <w:rPr>
          <w:rFonts w:ascii="Arial" w:hAnsi="Arial" w:cs="Arial"/>
        </w:rPr>
        <w:t>”, Dada Rivista di Antropologia post-globale, Debito e dono, speciale n. 1/2018.</w:t>
      </w:r>
    </w:p>
  </w:footnote>
  <w:footnote w:id="2">
    <w:p w14:paraId="7FDA9CC1"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In Italia, l’Ente Nazionale per il microcredito di cui all’art. 8, comma IV-</w:t>
      </w:r>
      <w:r w:rsidRPr="003D1A51">
        <w:rPr>
          <w:rFonts w:ascii="Arial" w:hAnsi="Arial" w:cs="Arial"/>
          <w:i/>
        </w:rPr>
        <w:t>bis</w:t>
      </w:r>
      <w:r w:rsidRPr="003D1A51">
        <w:rPr>
          <w:rFonts w:ascii="Arial" w:hAnsi="Arial" w:cs="Arial"/>
        </w:rPr>
        <w:t>, del decreto-legge 13 maggio 2011, n. 70, convertito, con modificazioni, nella legge 12 luglio 2011, n. 106. Tra le principali funzioni, svolge quella di ente coordinatore nazionale con compiti di promozione, indirizzo, agevolazione, valutazione e monitoraggio degli strumenti microfinanziari promossi dall’Unione europea.</w:t>
      </w:r>
    </w:p>
  </w:footnote>
  <w:footnote w:id="3">
    <w:p w14:paraId="00BC95FF"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Art. 28 della legge 26 febbraio 1987, n. 49 “</w:t>
      </w:r>
      <w:r w:rsidRPr="003D1A51">
        <w:rPr>
          <w:rFonts w:ascii="Arial" w:hAnsi="Arial" w:cs="Arial"/>
          <w:i/>
          <w:iCs/>
        </w:rPr>
        <w:t>Nuova disciplina della cooperazione dell’Italia con i Paesi in via di sviluppo</w:t>
      </w:r>
      <w:r w:rsidRPr="003D1A51">
        <w:rPr>
          <w:rFonts w:ascii="Arial" w:hAnsi="Arial" w:cs="Arial"/>
        </w:rPr>
        <w:t>” e art. 26 della legge 11 agosto 2014, n. 125, “</w:t>
      </w:r>
      <w:r w:rsidRPr="003D1A51">
        <w:rPr>
          <w:rFonts w:ascii="Arial" w:hAnsi="Arial" w:cs="Arial"/>
          <w:i/>
          <w:iCs/>
        </w:rPr>
        <w:t>Disciplina generale sulla cooperazione internazionale per lo sviluppo”</w:t>
      </w:r>
      <w:r w:rsidRPr="003D1A51">
        <w:rPr>
          <w:rFonts w:ascii="Arial" w:hAnsi="Arial" w:cs="Arial"/>
        </w:rPr>
        <w:t>.</w:t>
      </w:r>
    </w:p>
  </w:footnote>
  <w:footnote w:id="4">
    <w:p w14:paraId="5DD3111B"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Per quanto di interesse nazionale, in relazione alle modalità di esercizio del microcredito, si rinvia alle disposizioni dell’art. 111 del D.lgs. 1° settembre 1993, n. 385 “</w:t>
      </w:r>
      <w:r w:rsidRPr="003D1A51">
        <w:rPr>
          <w:rFonts w:ascii="Arial" w:hAnsi="Arial" w:cs="Arial"/>
          <w:i/>
          <w:iCs/>
        </w:rPr>
        <w:t>Testo unico bancario</w:t>
      </w:r>
      <w:r w:rsidRPr="003D1A51">
        <w:rPr>
          <w:rFonts w:ascii="Arial" w:hAnsi="Arial" w:cs="Arial"/>
        </w:rPr>
        <w:t>”.</w:t>
      </w:r>
    </w:p>
  </w:footnote>
  <w:footnote w:id="5">
    <w:p w14:paraId="05441EDE"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Brunori L. (a cura di), “</w:t>
      </w:r>
      <w:r w:rsidRPr="003D1A51">
        <w:rPr>
          <w:rFonts w:ascii="Arial" w:hAnsi="Arial" w:cs="Arial"/>
          <w:i/>
          <w:iCs/>
        </w:rPr>
        <w:t>La complessa identità del credito. Una ricerca multidisciplinare</w:t>
      </w:r>
      <w:r w:rsidRPr="003D1A51">
        <w:rPr>
          <w:rFonts w:ascii="Arial" w:hAnsi="Arial" w:cs="Arial"/>
        </w:rPr>
        <w:t>”, Il Mulino, 2014; La Torre M., “</w:t>
      </w:r>
      <w:r w:rsidRPr="003D1A51">
        <w:rPr>
          <w:rFonts w:ascii="Arial" w:hAnsi="Arial" w:cs="Arial"/>
          <w:i/>
          <w:iCs/>
        </w:rPr>
        <w:t>Banche e welfare: microcredito, crowdfunding e investimenti a impatto sociale</w:t>
      </w:r>
      <w:r w:rsidRPr="003D1A51">
        <w:rPr>
          <w:rFonts w:ascii="Arial" w:hAnsi="Arial" w:cs="Arial"/>
        </w:rPr>
        <w:t>”, in Rivista MK, n. 5/2013, Bancaria editrice, Roma; Paini F., Sensi G., “</w:t>
      </w:r>
      <w:r w:rsidRPr="003D1A51">
        <w:rPr>
          <w:rFonts w:ascii="Arial" w:hAnsi="Arial" w:cs="Arial"/>
          <w:i/>
          <w:iCs/>
        </w:rPr>
        <w:t>Tra il dire e il welfare</w:t>
      </w:r>
      <w:r w:rsidRPr="003D1A51">
        <w:rPr>
          <w:rFonts w:ascii="Arial" w:hAnsi="Arial" w:cs="Arial"/>
        </w:rPr>
        <w:t>”, Altreconomia edizioni, Milano, 2012; Martignani L., “</w:t>
      </w:r>
      <w:r w:rsidRPr="003D1A51">
        <w:rPr>
          <w:rFonts w:ascii="Arial" w:hAnsi="Arial" w:cs="Arial"/>
          <w:i/>
          <w:iCs/>
        </w:rPr>
        <w:t>Il denaro e il nuovo welfare”</w:t>
      </w:r>
      <w:r w:rsidRPr="003D1A51">
        <w:rPr>
          <w:rFonts w:ascii="Arial" w:hAnsi="Arial" w:cs="Arial"/>
        </w:rPr>
        <w:t>, Aracne, 2009.</w:t>
      </w:r>
    </w:p>
  </w:footnote>
  <w:footnote w:id="6">
    <w:p w14:paraId="2160D25D"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 xml:space="preserve">Boeri T., Giupponi G., Krueger A. B., Machin S., </w:t>
      </w:r>
      <w:r w:rsidRPr="003D1A51">
        <w:rPr>
          <w:rFonts w:ascii="Arial" w:hAnsi="Arial" w:cs="Arial"/>
          <w:i/>
          <w:iCs/>
          <w:lang w:val="en-US"/>
        </w:rPr>
        <w:t>“</w:t>
      </w:r>
      <w:r w:rsidRPr="003D1A51">
        <w:rPr>
          <w:rFonts w:ascii="Arial" w:hAnsi="Arial" w:cs="Arial"/>
          <w:i/>
          <w:lang w:val="en-US"/>
        </w:rPr>
        <w:t>Solo Self-Employment and Alternative Work Arrangements: A Cross-Country Perspective on the Changing Composition of Jobs”</w:t>
      </w:r>
      <w:r w:rsidRPr="003D1A51">
        <w:rPr>
          <w:rFonts w:ascii="Arial" w:hAnsi="Arial" w:cs="Arial"/>
          <w:lang w:val="en-US"/>
        </w:rPr>
        <w:t xml:space="preserve">, </w:t>
      </w:r>
      <w:r w:rsidRPr="003D1A51">
        <w:rPr>
          <w:rFonts w:ascii="Arial" w:hAnsi="Arial" w:cs="Arial"/>
          <w:i/>
          <w:iCs/>
          <w:lang w:val="en-US"/>
        </w:rPr>
        <w:t>Journal of Economic Perspectives</w:t>
      </w:r>
      <w:r w:rsidRPr="003D1A51">
        <w:rPr>
          <w:rFonts w:ascii="Arial" w:hAnsi="Arial" w:cs="Arial"/>
          <w:lang w:val="en-US"/>
        </w:rPr>
        <w:t>, Vol. 34, No. 01, 2020, pp. 170-95, DOI: 10.1257/jep.34.1.170. Vahid Jafari-Sadegh, “</w:t>
      </w:r>
      <w:r w:rsidRPr="003D1A51">
        <w:rPr>
          <w:rFonts w:ascii="Arial" w:hAnsi="Arial" w:cs="Arial"/>
          <w:i/>
          <w:iCs/>
          <w:lang w:val="en-US"/>
        </w:rPr>
        <w:t>The motivational factors of business venturing: Opportunity versus necessity? A gendered perspective on European countries</w:t>
      </w:r>
      <w:r w:rsidRPr="003D1A51">
        <w:rPr>
          <w:rFonts w:ascii="Arial" w:hAnsi="Arial" w:cs="Arial"/>
          <w:i/>
          <w:lang w:val="en-US"/>
        </w:rPr>
        <w:t>”, Journal of Business Research</w:t>
      </w:r>
      <w:r w:rsidRPr="003D1A51">
        <w:rPr>
          <w:rFonts w:ascii="Arial" w:hAnsi="Arial" w:cs="Arial"/>
          <w:lang w:val="en-US"/>
        </w:rPr>
        <w:t xml:space="preserve">, Vol. 113, 2020, pp. 279-289, in </w:t>
      </w:r>
      <w:hyperlink r:id="rId1" w:history="1">
        <w:r w:rsidRPr="003D1A51">
          <w:rPr>
            <w:rStyle w:val="Collegamentoipertestuale"/>
            <w:rFonts w:ascii="Arial" w:hAnsi="Arial" w:cs="Arial"/>
            <w:color w:val="auto"/>
            <w:u w:val="none"/>
            <w:lang w:val="en-US"/>
          </w:rPr>
          <w:t>https://doi.org/10.1016/j.jbusres.2019.09.058</w:t>
        </w:r>
      </w:hyperlink>
      <w:r w:rsidRPr="003D1A51">
        <w:rPr>
          <w:rFonts w:ascii="Arial" w:hAnsi="Arial" w:cs="Arial"/>
          <w:lang w:val="en-US"/>
        </w:rPr>
        <w:t>. Aronson, R. L., “</w:t>
      </w:r>
      <w:r w:rsidRPr="003D1A51">
        <w:rPr>
          <w:rFonts w:ascii="Arial" w:hAnsi="Arial" w:cs="Arial"/>
          <w:i/>
          <w:iCs/>
          <w:lang w:val="en-US"/>
        </w:rPr>
        <w:t>Self-Employment: A Labor Market Perspective”</w:t>
      </w:r>
      <w:r w:rsidRPr="003D1A51">
        <w:rPr>
          <w:rFonts w:ascii="Arial" w:hAnsi="Arial" w:cs="Arial"/>
          <w:lang w:val="en-US"/>
        </w:rPr>
        <w:t>, Cornell University Press, 2019.</w:t>
      </w:r>
    </w:p>
  </w:footnote>
  <w:footnote w:id="7">
    <w:p w14:paraId="1A72F79B"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Khawari A., “</w:t>
      </w:r>
      <w:r w:rsidRPr="003D1A51">
        <w:rPr>
          <w:rFonts w:ascii="Arial" w:hAnsi="Arial" w:cs="Arial"/>
          <w:i/>
        </w:rPr>
        <w:t>Microfinanza: mantiene le sue promesse? Un’indagine sulla letteratura recente”</w:t>
      </w:r>
      <w:r w:rsidRPr="003D1A51">
        <w:rPr>
          <w:rFonts w:ascii="Arial" w:hAnsi="Arial" w:cs="Arial"/>
        </w:rPr>
        <w:t>, HWWA Institute of International Economics, 2004, SSRN: https://ssrn.com/abstract=556213.</w:t>
      </w:r>
    </w:p>
  </w:footnote>
  <w:footnote w:id="8">
    <w:p w14:paraId="4791A32A"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Goria A, Massetti E., Tavoni M., “</w:t>
      </w:r>
      <w:r w:rsidRPr="003D1A51">
        <w:rPr>
          <w:rFonts w:ascii="Arial" w:hAnsi="Arial" w:cs="Arial"/>
          <w:i/>
        </w:rPr>
        <w:t>Microfinanza contro la povertà</w:t>
      </w:r>
      <w:r w:rsidRPr="003D1A51">
        <w:rPr>
          <w:rFonts w:ascii="Arial" w:hAnsi="Arial" w:cs="Arial"/>
        </w:rPr>
        <w:t>”, in Equilibri, Rivista per lo sviluppo sostenibile", n. 1/2006, pp. 141-154, doi: 10.1406/21670. Casale R. R., “</w:t>
      </w:r>
      <w:r w:rsidRPr="003D1A51">
        <w:rPr>
          <w:rFonts w:ascii="Arial" w:hAnsi="Arial" w:cs="Arial"/>
          <w:i/>
        </w:rPr>
        <w:t>I limiti del microcredito</w:t>
      </w:r>
      <w:r w:rsidRPr="003D1A51">
        <w:rPr>
          <w:rFonts w:ascii="Arial" w:hAnsi="Arial" w:cs="Arial"/>
        </w:rPr>
        <w:t>”, Economia e Politica, Rivista online, 21.12.2009, in https://www.economiaepolitica.it/primo-piano/i-limiti-del-microcredito.</w:t>
      </w:r>
    </w:p>
  </w:footnote>
  <w:footnote w:id="9">
    <w:p w14:paraId="392D6264" w14:textId="77777777" w:rsidR="00F83AF6" w:rsidRPr="003D1A51" w:rsidRDefault="00F83AF6" w:rsidP="00F83AF6">
      <w:pPr>
        <w:pStyle w:val="Testonotaapidipagina"/>
        <w:spacing w:line="360" w:lineRule="auto"/>
        <w:ind w:left="284" w:hanging="284"/>
        <w:jc w:val="both"/>
        <w:rPr>
          <w:rFonts w:ascii="Arial" w:hAnsi="Arial" w:cs="Arial"/>
          <w:i/>
          <w:iCs/>
        </w:rPr>
      </w:pPr>
      <w:r w:rsidRPr="003D1A51">
        <w:rPr>
          <w:rStyle w:val="Rimandonotaapidipagina"/>
          <w:rFonts w:ascii="Arial" w:hAnsi="Arial" w:cs="Arial"/>
        </w:rPr>
        <w:footnoteRef/>
      </w:r>
      <w:r w:rsidRPr="003D1A51">
        <w:rPr>
          <w:rFonts w:ascii="Arial" w:hAnsi="Arial" w:cs="Arial"/>
          <w:i/>
          <w:iCs/>
        </w:rPr>
        <w:t xml:space="preserve"> </w:t>
      </w:r>
      <w:r w:rsidRPr="003D1A51">
        <w:rPr>
          <w:rFonts w:ascii="Arial" w:hAnsi="Arial" w:cs="Arial"/>
          <w:i/>
          <w:iCs/>
        </w:rPr>
        <w:tab/>
      </w:r>
      <w:r w:rsidRPr="003D1A51">
        <w:rPr>
          <w:rFonts w:ascii="Arial" w:hAnsi="Arial" w:cs="Arial"/>
        </w:rPr>
        <w:t>Caselli D., Rucco F., “</w:t>
      </w:r>
      <w:r w:rsidRPr="003D1A51">
        <w:rPr>
          <w:rFonts w:ascii="Arial" w:hAnsi="Arial" w:cs="Arial"/>
          <w:i/>
          <w:iCs/>
        </w:rPr>
        <w:t>La finanziarizzazione del welfare. Social impact investing, fondazioni filantropiche e nuove frontiere di accumulazione capitalistica</w:t>
      </w:r>
      <w:r w:rsidRPr="003D1A51">
        <w:rPr>
          <w:rFonts w:ascii="Arial" w:hAnsi="Arial" w:cs="Arial"/>
        </w:rPr>
        <w:t>”, Quaderni di Sociologia, n. 76/2018, pp. 57-80; Ciravegna D., Limone A. (a cura di), “</w:t>
      </w:r>
      <w:r w:rsidRPr="003D1A51">
        <w:rPr>
          <w:rFonts w:ascii="Arial" w:hAnsi="Arial" w:cs="Arial"/>
          <w:i/>
          <w:iCs/>
        </w:rPr>
        <w:t>Otto modi di dire microcredito</w:t>
      </w:r>
      <w:r w:rsidRPr="003D1A51">
        <w:rPr>
          <w:rFonts w:ascii="Arial" w:hAnsi="Arial" w:cs="Arial"/>
        </w:rPr>
        <w:t>”, Il Mulino, 2007.</w:t>
      </w:r>
    </w:p>
  </w:footnote>
  <w:footnote w:id="10">
    <w:p w14:paraId="1D2471E5" w14:textId="77777777" w:rsidR="00F83AF6" w:rsidRPr="003D1A51" w:rsidRDefault="00F83AF6" w:rsidP="00F83AF6">
      <w:pPr>
        <w:pStyle w:val="Testonotaapidipagina"/>
        <w:tabs>
          <w:tab w:val="left" w:pos="284"/>
        </w:tabs>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Muhammad Yunus, nel 1992.</w:t>
      </w:r>
    </w:p>
  </w:footnote>
  <w:footnote w:id="11">
    <w:p w14:paraId="1A321052"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Yunus M., “</w:t>
      </w:r>
      <w:r w:rsidRPr="003D1A51">
        <w:rPr>
          <w:rFonts w:ascii="Arial" w:hAnsi="Arial" w:cs="Arial"/>
          <w:i/>
          <w:iCs/>
        </w:rPr>
        <w:t>Il Banchiere dei Poveri</w:t>
      </w:r>
      <w:r w:rsidRPr="003D1A51">
        <w:rPr>
          <w:rFonts w:ascii="Arial" w:hAnsi="Arial" w:cs="Arial"/>
        </w:rPr>
        <w:t>”, Feltrinelli Editore, Milano, 1998; “</w:t>
      </w:r>
      <w:r w:rsidRPr="003D1A51">
        <w:rPr>
          <w:rFonts w:ascii="Arial" w:hAnsi="Arial" w:cs="Arial"/>
          <w:i/>
          <w:iCs/>
        </w:rPr>
        <w:t>Un mondo senza povertà</w:t>
      </w:r>
      <w:r w:rsidRPr="003D1A51">
        <w:rPr>
          <w:rFonts w:ascii="Arial" w:hAnsi="Arial" w:cs="Arial"/>
        </w:rPr>
        <w:t>”, Feltrinelli, 2008.</w:t>
      </w:r>
    </w:p>
  </w:footnote>
  <w:footnote w:id="12">
    <w:p w14:paraId="0DA8E120"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Per l’esiguità dell’ammontare dei prestiti, da cui conseguirebbero pochi ricavi, e per gli alti costi delle pratiche di gestione amministrativa del credito.</w:t>
      </w:r>
    </w:p>
  </w:footnote>
  <w:footnote w:id="13">
    <w:p w14:paraId="22D1391B" w14:textId="77777777" w:rsidR="00F83AF6" w:rsidRPr="003D1A51" w:rsidRDefault="00F83AF6" w:rsidP="00F83AF6">
      <w:pPr>
        <w:pStyle w:val="Testonotaapidipagina"/>
        <w:tabs>
          <w:tab w:val="left" w:pos="284"/>
        </w:tabs>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Novak M., “</w:t>
      </w:r>
      <w:r w:rsidRPr="003D1A51">
        <w:rPr>
          <w:rFonts w:ascii="Arial" w:hAnsi="Arial" w:cs="Arial"/>
          <w:i/>
          <w:iCs/>
        </w:rPr>
        <w:t>Non si presta solo ai ricchi. La rivoluzione del microcredito</w:t>
      </w:r>
      <w:r w:rsidRPr="003D1A51">
        <w:rPr>
          <w:rFonts w:ascii="Arial" w:hAnsi="Arial" w:cs="Arial"/>
        </w:rPr>
        <w:t>”, G. Einaudi, Torino, 2005.</w:t>
      </w:r>
    </w:p>
  </w:footnote>
  <w:footnote w:id="14">
    <w:p w14:paraId="4F88884A"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Armendariz de Aghion B., Morduch J., “</w:t>
      </w:r>
      <w:r w:rsidRPr="003D1A51">
        <w:rPr>
          <w:rFonts w:ascii="Arial" w:hAnsi="Arial" w:cs="Arial"/>
          <w:i/>
        </w:rPr>
        <w:t>L'economia della microfinanza”</w:t>
      </w:r>
      <w:r w:rsidRPr="003D1A51">
        <w:rPr>
          <w:rFonts w:ascii="Arial" w:hAnsi="Arial" w:cs="Arial"/>
        </w:rPr>
        <w:t>,</w:t>
      </w:r>
      <w:r w:rsidRPr="003D1A51">
        <w:rPr>
          <w:rFonts w:ascii="Arial" w:hAnsi="Arial" w:cs="Arial"/>
          <w:shd w:val="clear" w:color="auto" w:fill="FFFFFF"/>
        </w:rPr>
        <w:t xml:space="preserve"> MIT, MA, 2005.</w:t>
      </w:r>
    </w:p>
    <w:p w14:paraId="43E163A9" w14:textId="77777777" w:rsidR="00F83AF6" w:rsidRPr="003D1A51" w:rsidRDefault="00F83AF6" w:rsidP="00F83AF6">
      <w:pPr>
        <w:pStyle w:val="Testonotaapidipagina"/>
        <w:spacing w:line="360" w:lineRule="auto"/>
        <w:ind w:left="284"/>
        <w:jc w:val="both"/>
        <w:rPr>
          <w:rFonts w:ascii="Arial" w:hAnsi="Arial" w:cs="Arial"/>
        </w:rPr>
      </w:pPr>
      <w:r w:rsidRPr="003D1A51">
        <w:rPr>
          <w:rFonts w:ascii="Arial" w:hAnsi="Arial" w:cs="Arial"/>
        </w:rPr>
        <w:t>Robinson M.S., “</w:t>
      </w:r>
      <w:r w:rsidRPr="003D1A51">
        <w:rPr>
          <w:rFonts w:ascii="Arial" w:hAnsi="Arial" w:cs="Arial"/>
          <w:i/>
        </w:rPr>
        <w:t>La rivoluzione della microfinanza: finanza sostenibile per i poveri”</w:t>
      </w:r>
      <w:r w:rsidRPr="003D1A51">
        <w:rPr>
          <w:rFonts w:ascii="Arial" w:hAnsi="Arial" w:cs="Arial"/>
        </w:rPr>
        <w:t>, Banca Mondiale, Washington D.C., 2001.</w:t>
      </w:r>
    </w:p>
  </w:footnote>
  <w:footnote w:id="15">
    <w:p w14:paraId="38B93000"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Orsini R., “</w:t>
      </w:r>
      <w:r w:rsidRPr="003D1A51">
        <w:rPr>
          <w:rFonts w:ascii="Arial" w:hAnsi="Arial" w:cs="Arial"/>
          <w:i/>
          <w:iCs/>
        </w:rPr>
        <w:t>Etica economica del microcredito”</w:t>
      </w:r>
      <w:r w:rsidRPr="003D1A51">
        <w:rPr>
          <w:rFonts w:ascii="Arial" w:hAnsi="Arial" w:cs="Arial"/>
        </w:rPr>
        <w:t>, AICCON Research, Centro Studi Università di Bologna, Facoltà di Economia di Forlì - Laurea Magistrale in Economia e Management delle Imprese Cooperative e delle Organizzazioni Non profit, Working Papers n. 87/2011, in https://www.aiccon.it/wp-content/uploads/2017/02/WP-87.pdf.</w:t>
      </w:r>
    </w:p>
  </w:footnote>
  <w:footnote w:id="16">
    <w:p w14:paraId="33732F2A"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Karlan D., Zinman J., “</w:t>
      </w:r>
      <w:r w:rsidRPr="003D1A51">
        <w:rPr>
          <w:rFonts w:ascii="Arial" w:hAnsi="Arial" w:cs="Arial"/>
          <w:i/>
        </w:rPr>
        <w:t>Microcredito nella teoria e nella pratica: utilizzo del punteggio di modifica del Cr randomizzato per la valutazione dell'impatto”</w:t>
      </w:r>
      <w:r w:rsidRPr="003D1A51">
        <w:rPr>
          <w:rFonts w:ascii="Arial" w:hAnsi="Arial" w:cs="Arial"/>
        </w:rPr>
        <w:t xml:space="preserve">, in Scienza, n. 32/2011, pp. 1278-1284, </w:t>
      </w:r>
      <w:r>
        <w:rPr>
          <w:rFonts w:ascii="Arial" w:hAnsi="Arial" w:cs="Arial"/>
        </w:rPr>
        <w:t>D</w:t>
      </w:r>
      <w:r w:rsidRPr="003D1A51">
        <w:rPr>
          <w:rFonts w:ascii="Arial" w:hAnsi="Arial" w:cs="Arial"/>
        </w:rPr>
        <w:t>oi: 10.1126/science.</w:t>
      </w:r>
    </w:p>
  </w:footnote>
  <w:footnote w:id="17">
    <w:p w14:paraId="64E53CD1"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Intrisano C., Micheli A.P., “</w:t>
      </w:r>
      <w:r w:rsidRPr="003D1A51">
        <w:rPr>
          <w:rFonts w:ascii="Arial" w:hAnsi="Arial" w:cs="Arial"/>
          <w:i/>
          <w:iCs/>
        </w:rPr>
        <w:t>Il carry trade e il microcredito con i paesi dell’America Latina”</w:t>
      </w:r>
      <w:r w:rsidRPr="003D1A51">
        <w:rPr>
          <w:rFonts w:ascii="Arial" w:hAnsi="Arial" w:cs="Arial"/>
        </w:rPr>
        <w:t>, Aracne, 2015.</w:t>
      </w:r>
    </w:p>
  </w:footnote>
  <w:footnote w:id="18">
    <w:p w14:paraId="495B009B" w14:textId="77777777" w:rsidR="00F83AF6" w:rsidRPr="003D1A51" w:rsidRDefault="00F83AF6" w:rsidP="00F83AF6">
      <w:pPr>
        <w:pStyle w:val="Testonotaapidipagina"/>
        <w:tabs>
          <w:tab w:val="left" w:pos="284"/>
        </w:tabs>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Bromberg B., “"</w:t>
      </w:r>
      <w:r w:rsidRPr="003D1A51">
        <w:rPr>
          <w:rFonts w:ascii="Arial" w:hAnsi="Arial" w:cs="Arial"/>
          <w:i/>
        </w:rPr>
        <w:t>L'origine del settore bancario: la finanza religiosa in Babilonia</w:t>
      </w:r>
      <w:r w:rsidRPr="003D1A51">
        <w:rPr>
          <w:rFonts w:ascii="Arial" w:hAnsi="Arial" w:cs="Arial"/>
        </w:rPr>
        <w:t xml:space="preserve">”, in </w:t>
      </w:r>
      <w:r w:rsidRPr="003D1A51">
        <w:rPr>
          <w:rFonts w:ascii="Arial" w:hAnsi="Arial" w:cs="Arial"/>
          <w:i/>
          <w:iCs/>
        </w:rPr>
        <w:t>The Journal of Economic History</w:t>
      </w:r>
      <w:r w:rsidRPr="003D1A51">
        <w:rPr>
          <w:rFonts w:ascii="Arial" w:hAnsi="Arial" w:cs="Arial"/>
        </w:rPr>
        <w:t>, Cambridge University Press, Vol. 2, No. 01, 1942, pp. 77- 88.</w:t>
      </w:r>
    </w:p>
  </w:footnote>
  <w:footnote w:id="19">
    <w:p w14:paraId="43331C9D"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Società ligure di Storia Patria, “</w:t>
      </w:r>
      <w:r w:rsidRPr="003D1A51">
        <w:rPr>
          <w:rFonts w:ascii="Arial" w:hAnsi="Arial" w:cs="Arial"/>
          <w:i/>
        </w:rPr>
        <w:t>Banchi pubblici, banchi privati e monti di pietà nell’Europa preindustriale</w:t>
      </w:r>
      <w:r w:rsidRPr="003D1A51">
        <w:rPr>
          <w:rFonts w:ascii="Arial" w:hAnsi="Arial" w:cs="Arial"/>
        </w:rPr>
        <w:t>”. Atti del Convegno. Genova 1-6 ottobre 1990 – Biblioteca digitale 2014. Muzzarelli, M.G., “</w:t>
      </w:r>
      <w:r w:rsidRPr="003D1A51">
        <w:rPr>
          <w:rFonts w:ascii="Arial" w:hAnsi="Arial" w:cs="Arial"/>
          <w:i/>
          <w:iCs/>
        </w:rPr>
        <w:t>Il denaro e la salvezza. L’invenzione del Monte di Pietà</w:t>
      </w:r>
      <w:r w:rsidRPr="003D1A51">
        <w:rPr>
          <w:rFonts w:ascii="Arial" w:hAnsi="Arial" w:cs="Arial"/>
        </w:rPr>
        <w:t>”, Il Mulino, Bologna, 2001.Montanari D., “</w:t>
      </w:r>
      <w:r w:rsidRPr="003D1A51">
        <w:rPr>
          <w:rFonts w:ascii="Arial" w:hAnsi="Arial" w:cs="Arial"/>
          <w:i/>
        </w:rPr>
        <w:t>Introduzione ai Monti di Pietà e presenza ebraica in Italia (secoli XV-XVIII)</w:t>
      </w:r>
      <w:r w:rsidRPr="003D1A51">
        <w:rPr>
          <w:rFonts w:ascii="Arial" w:hAnsi="Arial" w:cs="Arial"/>
        </w:rPr>
        <w:t>”, Bulzoni Editore, 1999. Del Corno P. (a cura di) “</w:t>
      </w:r>
      <w:r w:rsidRPr="003D1A51">
        <w:rPr>
          <w:rFonts w:ascii="Arial" w:hAnsi="Arial" w:cs="Arial"/>
          <w:i/>
        </w:rPr>
        <w:t>Politiche di misericordia tra teoria e prassi. Confraternite, ospedali e Monti di pietà (XII- XVI secolo)</w:t>
      </w:r>
      <w:r w:rsidRPr="003D1A51">
        <w:rPr>
          <w:rFonts w:ascii="Arial" w:hAnsi="Arial" w:cs="Arial"/>
        </w:rPr>
        <w:t>”, Bologna, 2018.</w:t>
      </w:r>
    </w:p>
  </w:footnote>
  <w:footnote w:id="20">
    <w:p w14:paraId="1ADD98DE"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Nell’ordinamento giuridico sardo tali prestazioni venivano definite con il termine “</w:t>
      </w:r>
      <w:r w:rsidRPr="003D1A51">
        <w:rPr>
          <w:rFonts w:ascii="Arial" w:hAnsi="Arial" w:cs="Arial"/>
          <w:i/>
          <w:iCs/>
        </w:rPr>
        <w:t>Roadie”</w:t>
      </w:r>
      <w:r w:rsidRPr="003D1A51">
        <w:rPr>
          <w:rFonts w:ascii="Arial" w:hAnsi="Arial" w:cs="Arial"/>
        </w:rPr>
        <w:t>.</w:t>
      </w:r>
    </w:p>
  </w:footnote>
  <w:footnote w:id="21">
    <w:p w14:paraId="423E2A5B" w14:textId="77777777" w:rsidR="00F83AF6" w:rsidRPr="003D1A51" w:rsidRDefault="00F83AF6" w:rsidP="00F83AF6">
      <w:pPr>
        <w:pStyle w:val="Testonotaapidipagina"/>
        <w:tabs>
          <w:tab w:val="left" w:pos="284"/>
        </w:tabs>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Checcoli I. (a cura di), “</w:t>
      </w:r>
      <w:r w:rsidRPr="003D1A51">
        <w:rPr>
          <w:rFonts w:ascii="Arial" w:hAnsi="Arial" w:cs="Arial"/>
          <w:i/>
          <w:iCs/>
        </w:rPr>
        <w:t>I Monti frumentari e le forme di credito non monetario tra Medioevo ed Età contemporanea</w:t>
      </w:r>
      <w:r w:rsidRPr="003D1A51">
        <w:rPr>
          <w:rFonts w:ascii="Arial" w:hAnsi="Arial" w:cs="Arial"/>
        </w:rPr>
        <w:t>”, Edizioni Il Mulino, 2016. Avallone P., “</w:t>
      </w:r>
      <w:r w:rsidRPr="003D1A51">
        <w:rPr>
          <w:rFonts w:ascii="Arial" w:hAnsi="Arial" w:cs="Arial"/>
          <w:i/>
          <w:iCs/>
        </w:rPr>
        <w:t>Alle origini del microcredito nel Mediterraneo: monti di pietà e monti frumentari nel Mezzogiorno preunitario</w:t>
      </w:r>
      <w:r w:rsidRPr="003D1A51">
        <w:rPr>
          <w:rFonts w:ascii="Arial" w:hAnsi="Arial" w:cs="Arial"/>
        </w:rPr>
        <w:t>”, in “Crocevia mediterranei: società, culture e migrazioni nel Mediterraneo (secoli XIX-XX): studi in onore di Luciana Gatti. – (Europa e Mediterraneo. Storia e immagini di una comunità internazionale) - Cagliari: ISEM - Istituto di Storia dell’Europa Mediterranea, 2010.</w:t>
      </w:r>
    </w:p>
  </w:footnote>
  <w:footnote w:id="22">
    <w:p w14:paraId="65EBB741"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Zanibelli G., “</w:t>
      </w:r>
      <w:r w:rsidRPr="003D1A51">
        <w:rPr>
          <w:rFonts w:ascii="Arial" w:hAnsi="Arial" w:cs="Arial"/>
          <w:i/>
          <w:iCs/>
        </w:rPr>
        <w:t>Agricoltura e credito in Italia 1800-1890: una prima analisi economico-istituzionale sui Monti frumentari”</w:t>
      </w:r>
      <w:r w:rsidRPr="003D1A51">
        <w:rPr>
          <w:rFonts w:ascii="Arial" w:hAnsi="Arial" w:cs="Arial"/>
        </w:rPr>
        <w:t>, in “</w:t>
      </w:r>
      <w:r w:rsidRPr="003D1A51">
        <w:rPr>
          <w:rFonts w:ascii="Arial" w:hAnsi="Arial" w:cs="Arial"/>
          <w:i/>
          <w:iCs/>
        </w:rPr>
        <w:t>Le Carte e la Storia</w:t>
      </w:r>
      <w:r w:rsidRPr="003D1A51">
        <w:rPr>
          <w:rFonts w:ascii="Arial" w:hAnsi="Arial" w:cs="Arial"/>
        </w:rPr>
        <w:t>”, Rivista di storia delle istituzioni, n. 2/2020, pp. 94-113.</w:t>
      </w:r>
    </w:p>
  </w:footnote>
  <w:footnote w:id="23">
    <w:p w14:paraId="1EE21C6C"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Lowenstein M., “</w:t>
      </w:r>
      <w:r w:rsidRPr="003D1A51">
        <w:rPr>
          <w:rFonts w:ascii="Arial" w:hAnsi="Arial" w:cs="Arial"/>
          <w:i/>
        </w:rPr>
        <w:t xml:space="preserve">Gestione del rischio nella Cina prebellica: uno studio sulle associazioni di risparmio e credito a rotazione (ROSCA) nella dinastia Qing e nella provincia dello Shanxi dell'era repubblicana”, </w:t>
      </w:r>
      <w:r w:rsidRPr="003D1A51">
        <w:rPr>
          <w:rFonts w:ascii="Arial" w:hAnsi="Arial" w:cs="Arial"/>
        </w:rPr>
        <w:t>Business History, 2023, doi: 10.1080/00076791.2023.2222662. Viene riportato che, in Cina, le Rosca abbiano avuto origine durante la dinastia Tang (618-907 d.C.) o Song (960-1279 d.C.).</w:t>
      </w:r>
    </w:p>
  </w:footnote>
  <w:footnote w:id="24">
    <w:p w14:paraId="63690C9C"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Geertz C., “</w:t>
      </w:r>
      <w:r w:rsidRPr="003D1A51">
        <w:rPr>
          <w:rFonts w:ascii="Arial" w:hAnsi="Arial" w:cs="Arial"/>
          <w:i/>
        </w:rPr>
        <w:t>L'associazione di credito a rotazione. Un “gradino intermedio” nello sviluppo”</w:t>
      </w:r>
      <w:r w:rsidRPr="003D1A51">
        <w:rPr>
          <w:rFonts w:ascii="Arial" w:hAnsi="Arial" w:cs="Arial"/>
        </w:rPr>
        <w:t>. Università di Chicago, 1962. Anderson R. T., “</w:t>
      </w:r>
      <w:r w:rsidRPr="003D1A51">
        <w:rPr>
          <w:rFonts w:ascii="Arial" w:hAnsi="Arial" w:cs="Arial"/>
          <w:i/>
        </w:rPr>
        <w:t>Associazioni di credito a rotazione in India</w:t>
      </w:r>
      <w:r w:rsidRPr="003D1A51">
        <w:rPr>
          <w:rFonts w:ascii="Arial" w:hAnsi="Arial" w:cs="Arial"/>
        </w:rPr>
        <w:t>”, Sviluppo economico e cambiamento culturale, n. 14/1966, pp. 334-339.</w:t>
      </w:r>
    </w:p>
  </w:footnote>
  <w:footnote w:id="25">
    <w:p w14:paraId="5015B169"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Rutherford S., “</w:t>
      </w:r>
      <w:r w:rsidRPr="003D1A51">
        <w:rPr>
          <w:rFonts w:ascii="Arial" w:hAnsi="Arial" w:cs="Arial"/>
          <w:i/>
        </w:rPr>
        <w:t>I poveri e il loro denaro: la microfinanza dal punto di vista di un consumatore del XXI secolo”</w:t>
      </w:r>
      <w:r w:rsidRPr="003D1A51">
        <w:rPr>
          <w:rFonts w:ascii="Arial" w:hAnsi="Arial" w:cs="Arial"/>
        </w:rPr>
        <w:t>, Practical Action Pub, 2009.</w:t>
      </w:r>
    </w:p>
  </w:footnote>
  <w:footnote w:id="26">
    <w:p w14:paraId="6B43E2D5"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Queste Associazioni saranno trattate nel capitolo successivo.</w:t>
      </w:r>
    </w:p>
  </w:footnote>
  <w:footnote w:id="27">
    <w:p w14:paraId="2661EF7B" w14:textId="77777777" w:rsidR="00F83AF6" w:rsidRPr="003D1A51" w:rsidRDefault="00F83AF6" w:rsidP="00F83AF6">
      <w:pPr>
        <w:pStyle w:val="Testonotaapidipagina"/>
        <w:tabs>
          <w:tab w:val="left" w:pos="426"/>
        </w:tabs>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Banchiere (Napoli 1630-1695, circa).</w:t>
      </w:r>
    </w:p>
  </w:footnote>
  <w:footnote w:id="28">
    <w:p w14:paraId="162CFCF4" w14:textId="77777777" w:rsidR="00F83AF6" w:rsidRPr="003D1A51" w:rsidRDefault="00F83AF6" w:rsidP="00F83AF6">
      <w:pPr>
        <w:pStyle w:val="Testonotaapidipagina"/>
        <w:tabs>
          <w:tab w:val="left" w:pos="284"/>
        </w:tabs>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McKeever K., “</w:t>
      </w:r>
      <w:r w:rsidRPr="003D1A51">
        <w:rPr>
          <w:rFonts w:ascii="Arial" w:hAnsi="Arial" w:cs="Arial"/>
          <w:i/>
        </w:rPr>
        <w:t>Breve storia delle Tontine”</w:t>
      </w:r>
      <w:r w:rsidRPr="003D1A51">
        <w:rPr>
          <w:rFonts w:ascii="Arial" w:hAnsi="Arial" w:cs="Arial"/>
        </w:rPr>
        <w:t xml:space="preserve">, in </w:t>
      </w:r>
      <w:r w:rsidRPr="003D1A51">
        <w:rPr>
          <w:rFonts w:ascii="Arial" w:hAnsi="Arial" w:cs="Arial"/>
          <w:i/>
          <w:iCs/>
        </w:rPr>
        <w:t>Fordham Journal of Corporate &amp; Financial Law</w:t>
      </w:r>
      <w:r w:rsidRPr="003D1A51">
        <w:rPr>
          <w:rFonts w:ascii="Arial" w:hAnsi="Arial" w:cs="Arial"/>
        </w:rPr>
        <w:t>, Vol. 15, No. 2, 2009.</w:t>
      </w:r>
    </w:p>
  </w:footnote>
  <w:footnote w:id="29">
    <w:p w14:paraId="56F0EA1E"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Direttiva n. 2002/83/CE del Parlamento europeo e del Consiglio del 5 novembre 2002, relativa all’assicurazione sulla vita. Si segnala, con riguardo alla specifica disciplina, che l’art. 12 del D. lgs. 7 settembre 2005, n. 209 (</w:t>
      </w:r>
      <w:r w:rsidRPr="003D1A51">
        <w:rPr>
          <w:rFonts w:ascii="Arial" w:hAnsi="Arial" w:cs="Arial"/>
          <w:i/>
        </w:rPr>
        <w:t>Codice delle assicurazioni private</w:t>
      </w:r>
      <w:r w:rsidRPr="003D1A51">
        <w:rPr>
          <w:rFonts w:ascii="Arial" w:hAnsi="Arial" w:cs="Arial"/>
        </w:rPr>
        <w:t>), vieta alle associazioni tontinarie di operare in Italia.</w:t>
      </w:r>
    </w:p>
  </w:footnote>
  <w:footnote w:id="30">
    <w:p w14:paraId="735253B1" w14:textId="77777777" w:rsidR="00F83AF6" w:rsidRPr="003D1A51" w:rsidRDefault="00F83AF6" w:rsidP="00F83AF6">
      <w:pPr>
        <w:spacing w:after="0" w:line="360" w:lineRule="auto"/>
        <w:ind w:left="284" w:hanging="284"/>
        <w:jc w:val="both"/>
        <w:rPr>
          <w:rFonts w:ascii="Arial" w:hAnsi="Arial" w:cs="Arial"/>
          <w:sz w:val="20"/>
          <w:szCs w:val="20"/>
          <w:lang w:val="en-US"/>
        </w:rPr>
      </w:pPr>
      <w:r w:rsidRPr="003D1A51">
        <w:rPr>
          <w:rStyle w:val="Rimandonotaapidipagina"/>
          <w:rFonts w:ascii="Arial" w:hAnsi="Arial" w:cs="Arial"/>
          <w:sz w:val="20"/>
          <w:szCs w:val="20"/>
        </w:rPr>
        <w:footnoteRef/>
      </w:r>
      <w:r w:rsidRPr="003D1A51">
        <w:rPr>
          <w:rFonts w:ascii="Arial" w:hAnsi="Arial" w:cs="Arial"/>
          <w:sz w:val="20"/>
          <w:szCs w:val="20"/>
          <w:lang w:val="en-US"/>
        </w:rPr>
        <w:t xml:space="preserve"> </w:t>
      </w:r>
      <w:r w:rsidRPr="003D1A51">
        <w:rPr>
          <w:rFonts w:ascii="Arial" w:hAnsi="Arial" w:cs="Arial"/>
          <w:sz w:val="20"/>
          <w:szCs w:val="20"/>
          <w:lang w:val="en-US"/>
        </w:rPr>
        <w:tab/>
        <w:t>Hollis A, Sweetman A., “</w:t>
      </w:r>
      <w:r w:rsidRPr="003D1A51">
        <w:rPr>
          <w:rFonts w:ascii="Arial" w:hAnsi="Arial" w:cs="Arial"/>
          <w:i/>
          <w:sz w:val="20"/>
          <w:szCs w:val="20"/>
          <w:lang w:val="en-US"/>
        </w:rPr>
        <w:t>The Evolution of A Microcredit Institution: The Irish Loan Funds, 1720 - 1920”</w:t>
      </w:r>
      <w:r w:rsidRPr="003D1A51">
        <w:rPr>
          <w:rFonts w:ascii="Arial" w:hAnsi="Arial" w:cs="Arial"/>
          <w:sz w:val="20"/>
          <w:szCs w:val="20"/>
          <w:lang w:val="en-US"/>
        </w:rPr>
        <w:t xml:space="preserve">, Department of Economics and Institute for Policy Analysis University of Toronto, 1996, in https: </w:t>
      </w:r>
      <w:hyperlink r:id="rId2" w:history="1">
        <w:r w:rsidRPr="003D1A51">
          <w:rPr>
            <w:rStyle w:val="Collegamentoipertestuale"/>
            <w:rFonts w:ascii="Arial" w:hAnsi="Arial" w:cs="Arial"/>
            <w:color w:val="auto"/>
            <w:sz w:val="20"/>
            <w:szCs w:val="20"/>
            <w:u w:val="none"/>
            <w:lang w:val="en-US"/>
          </w:rPr>
          <w:t>https://www.researchgate.net/publication/24135891</w:t>
        </w:r>
      </w:hyperlink>
      <w:r w:rsidRPr="003D1A51">
        <w:rPr>
          <w:rFonts w:ascii="Arial" w:hAnsi="Arial" w:cs="Arial"/>
          <w:sz w:val="20"/>
          <w:szCs w:val="20"/>
          <w:lang w:val="en-US"/>
        </w:rPr>
        <w:t>. Hollis A, Sweetman A., “</w:t>
      </w:r>
      <w:r w:rsidRPr="003D1A51">
        <w:rPr>
          <w:rFonts w:ascii="Arial" w:hAnsi="Arial" w:cs="Arial"/>
          <w:i/>
          <w:iCs/>
          <w:sz w:val="20"/>
          <w:szCs w:val="20"/>
          <w:lang w:val="en-US"/>
        </w:rPr>
        <w:t>Complementarity, Competition and Institutional Development: The Irish Loan Funds through Three Centuries</w:t>
      </w:r>
      <w:r w:rsidRPr="003D1A51">
        <w:rPr>
          <w:rFonts w:ascii="Arial" w:hAnsi="Arial" w:cs="Arial"/>
          <w:i/>
          <w:sz w:val="20"/>
          <w:szCs w:val="20"/>
          <w:lang w:val="en-US"/>
        </w:rPr>
        <w:t>”,</w:t>
      </w:r>
      <w:r w:rsidRPr="003D1A51">
        <w:rPr>
          <w:rFonts w:ascii="Arial" w:hAnsi="Arial" w:cs="Arial"/>
          <w:sz w:val="20"/>
          <w:szCs w:val="20"/>
          <w:lang w:val="en-US"/>
        </w:rPr>
        <w:t xml:space="preserve"> 1997, in https://www.researchgate.net/publication/23742751. </w:t>
      </w:r>
      <w:r w:rsidRPr="003D1A51">
        <w:rPr>
          <w:rFonts w:ascii="Arial" w:hAnsi="Arial" w:cs="Arial"/>
          <w:sz w:val="20"/>
          <w:szCs w:val="20"/>
        </w:rPr>
        <w:t xml:space="preserve">In quest’ultimo lavoro, gli autori lamentano la scarsa attenzione da parte degli studiosi della storia economica dedicata agli approfondimenti e alle caratteristiche dei fondi prestiti irlandesi rispetto a quanto è stato fatto per i Paesi in via sviluppo. </w:t>
      </w:r>
      <w:r w:rsidRPr="003D1A51">
        <w:rPr>
          <w:rFonts w:ascii="Arial" w:hAnsi="Arial" w:cs="Arial"/>
          <w:sz w:val="20"/>
          <w:szCs w:val="20"/>
          <w:lang w:val="en-US"/>
        </w:rPr>
        <w:t>McLaughlin E., Pecchenino R., “</w:t>
      </w:r>
      <w:r w:rsidRPr="003D1A51">
        <w:rPr>
          <w:rFonts w:ascii="Arial" w:hAnsi="Arial" w:cs="Arial"/>
          <w:i/>
          <w:iCs/>
          <w:sz w:val="20"/>
          <w:szCs w:val="20"/>
          <w:lang w:val="en-US"/>
        </w:rPr>
        <w:t>Financial Inclusion with Hybrid Organizational Forms: Microfinance, Philanthropy, and the Poor Law in Ireland, c. 1836 –1845</w:t>
      </w:r>
      <w:r w:rsidRPr="003D1A51">
        <w:rPr>
          <w:rFonts w:ascii="Arial" w:hAnsi="Arial" w:cs="Arial"/>
          <w:sz w:val="20"/>
          <w:szCs w:val="20"/>
          <w:lang w:val="en-US"/>
        </w:rPr>
        <w:t>”,</w:t>
      </w:r>
      <w:r w:rsidRPr="003D1A51">
        <w:rPr>
          <w:rFonts w:ascii="Arial" w:hAnsi="Arial" w:cs="Arial"/>
          <w:i/>
          <w:iCs/>
          <w:sz w:val="20"/>
          <w:szCs w:val="20"/>
          <w:lang w:val="en-US"/>
        </w:rPr>
        <w:t xml:space="preserve"> </w:t>
      </w:r>
      <w:r w:rsidRPr="003D1A51">
        <w:rPr>
          <w:rFonts w:ascii="Arial" w:hAnsi="Arial" w:cs="Arial"/>
          <w:sz w:val="20"/>
          <w:szCs w:val="20"/>
          <w:lang w:val="en-US"/>
        </w:rPr>
        <w:t xml:space="preserve">in </w:t>
      </w:r>
      <w:r w:rsidRPr="003D1A51">
        <w:rPr>
          <w:rFonts w:ascii="Arial" w:hAnsi="Arial" w:cs="Arial"/>
          <w:i/>
          <w:iCs/>
          <w:sz w:val="20"/>
          <w:szCs w:val="20"/>
          <w:lang w:val="en-US"/>
        </w:rPr>
        <w:t>Enterprise &amp; Society</w:t>
      </w:r>
      <w:r w:rsidRPr="003D1A51">
        <w:rPr>
          <w:rFonts w:ascii="Arial" w:hAnsi="Arial" w:cs="Arial"/>
          <w:sz w:val="20"/>
          <w:szCs w:val="20"/>
          <w:lang w:val="en-US"/>
        </w:rPr>
        <w:t>, Vol. 23, No. 2, 2022, pp. 548-581, doi:10.1017/eso.2020.67; Gráda Cormac, “</w:t>
      </w:r>
      <w:r w:rsidRPr="003D1A51">
        <w:rPr>
          <w:rFonts w:ascii="Arial" w:hAnsi="Arial" w:cs="Arial"/>
          <w:i/>
          <w:iCs/>
          <w:sz w:val="20"/>
          <w:szCs w:val="20"/>
          <w:lang w:val="en-US"/>
        </w:rPr>
        <w:t>The Early History of Irish Savings Banks</w:t>
      </w:r>
      <w:r w:rsidRPr="003D1A51">
        <w:rPr>
          <w:rFonts w:ascii="Arial" w:hAnsi="Arial" w:cs="Arial"/>
          <w:i/>
          <w:sz w:val="20"/>
          <w:szCs w:val="20"/>
          <w:lang w:val="en-US"/>
        </w:rPr>
        <w:t>”</w:t>
      </w:r>
      <w:r w:rsidRPr="003D1A51">
        <w:rPr>
          <w:rFonts w:ascii="Arial" w:hAnsi="Arial" w:cs="Arial"/>
          <w:sz w:val="20"/>
          <w:szCs w:val="20"/>
          <w:lang w:val="en-US"/>
        </w:rPr>
        <w:t xml:space="preserve">, </w:t>
      </w:r>
      <w:r w:rsidRPr="003D1A51">
        <w:rPr>
          <w:rFonts w:ascii="Arial" w:hAnsi="Arial" w:cs="Arial"/>
          <w:i/>
          <w:iCs/>
          <w:sz w:val="20"/>
          <w:szCs w:val="20"/>
          <w:lang w:val="en-US"/>
        </w:rPr>
        <w:t>University College Dublin</w:t>
      </w:r>
      <w:r w:rsidRPr="003D1A51">
        <w:rPr>
          <w:rFonts w:ascii="Arial" w:hAnsi="Arial" w:cs="Arial"/>
          <w:sz w:val="20"/>
          <w:szCs w:val="20"/>
          <w:lang w:val="en-US"/>
        </w:rPr>
        <w:t>, 2008, in https://www.researchgate.net/publication/24140539.</w:t>
      </w:r>
    </w:p>
  </w:footnote>
  <w:footnote w:id="31">
    <w:p w14:paraId="3861A27D"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Scrittore, (Dublin 1667-1745).</w:t>
      </w:r>
    </w:p>
  </w:footnote>
  <w:footnote w:id="32">
    <w:p w14:paraId="14A3728D" w14:textId="77777777" w:rsidR="00F83AF6" w:rsidRPr="0058269F"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Proudhon P. J., “</w:t>
      </w:r>
      <w:r w:rsidRPr="003D1A51">
        <w:rPr>
          <w:rFonts w:ascii="Arial" w:hAnsi="Arial" w:cs="Arial"/>
          <w:i/>
          <w:lang w:val="en-US"/>
        </w:rPr>
        <w:t>The philosophy of Poverty”</w:t>
      </w:r>
      <w:r w:rsidRPr="003D1A51">
        <w:rPr>
          <w:rFonts w:ascii="Arial" w:hAnsi="Arial" w:cs="Arial"/>
          <w:lang w:val="en-US"/>
        </w:rPr>
        <w:t xml:space="preserve">, </w:t>
      </w:r>
      <w:r w:rsidRPr="0058269F">
        <w:rPr>
          <w:rFonts w:ascii="Arial" w:hAnsi="Arial" w:cs="Arial"/>
          <w:lang w:val="en-US"/>
        </w:rPr>
        <w:t>Streetlib, 2017.</w:t>
      </w:r>
    </w:p>
  </w:footnote>
  <w:footnote w:id="33">
    <w:p w14:paraId="5D6E363B"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Notte A., “</w:t>
      </w:r>
      <w:r w:rsidRPr="003D1A51">
        <w:rPr>
          <w:rFonts w:ascii="Arial" w:hAnsi="Arial" w:cs="Arial"/>
          <w:i/>
          <w:iCs/>
        </w:rPr>
        <w:t>Origine e sviluppo del microcredito</w:t>
      </w:r>
      <w:r w:rsidRPr="003D1A51">
        <w:rPr>
          <w:rFonts w:ascii="Arial" w:hAnsi="Arial" w:cs="Arial"/>
        </w:rPr>
        <w:t>”, Edizioni del Faro, 2013.</w:t>
      </w:r>
    </w:p>
  </w:footnote>
  <w:footnote w:id="34">
    <w:p w14:paraId="68235950"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Iniziative simili, pensate quale antidoto alla deflazione, vennero proposte da Silvio Gesell (17 marzo 1862 – 11 marzo 1930), il quale elaborò la teoria e gli effetti della “moneta di ghiaccio”, cioè di una moneta che perde valore con il trascorrere del tempo (per approfondimenti, si rinvia a Gesell, J. S., “</w:t>
      </w:r>
      <w:r w:rsidRPr="003D1A51">
        <w:rPr>
          <w:rFonts w:ascii="Arial" w:hAnsi="Arial" w:cs="Arial"/>
          <w:i/>
        </w:rPr>
        <w:t>The natural economic order</w:t>
      </w:r>
      <w:r w:rsidRPr="003D1A51">
        <w:rPr>
          <w:rFonts w:ascii="Arial" w:hAnsi="Arial" w:cs="Arial"/>
          <w:i/>
          <w:iCs/>
        </w:rPr>
        <w:t>”</w:t>
      </w:r>
      <w:r w:rsidRPr="003D1A51">
        <w:rPr>
          <w:rFonts w:ascii="Arial" w:hAnsi="Arial" w:cs="Arial"/>
        </w:rPr>
        <w:t>, Londra, Owen, 1958, traduzione postuma in lingua inglese del testo pubblicato nel 1916) e da Michael Unterguggenberger (15 agosto 1884 -19 dicembre 1936), nel 1932, con i suoi “Certificati di lavoro” di Wörgl (borgo del Tirolo). Per questi si rimanda a Rohrbach K. “</w:t>
      </w:r>
      <w:r w:rsidRPr="003D1A51">
        <w:rPr>
          <w:rFonts w:ascii="Arial" w:hAnsi="Arial" w:cs="Arial"/>
          <w:i/>
          <w:iCs/>
        </w:rPr>
        <w:t xml:space="preserve">Soldi gratis. Michael Unterguggenberger e il miracolo monetario di Wörgl”, </w:t>
      </w:r>
      <w:r w:rsidRPr="003D1A51">
        <w:rPr>
          <w:rFonts w:ascii="Arial" w:hAnsi="Arial" w:cs="Arial"/>
        </w:rPr>
        <w:t>Möllmann, Schloss Hamborn, 2001.</w:t>
      </w:r>
    </w:p>
  </w:footnote>
  <w:footnote w:id="35">
    <w:p w14:paraId="2F2630C6"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Franz Hermann Thee</w:t>
      </w:r>
      <w:r>
        <w:rPr>
          <w:rFonts w:ascii="Arial" w:hAnsi="Arial" w:cs="Arial"/>
        </w:rPr>
        <w:t xml:space="preserve"> </w:t>
      </w:r>
      <w:r w:rsidRPr="003D1A51">
        <w:rPr>
          <w:rFonts w:ascii="Arial" w:hAnsi="Arial" w:cs="Arial"/>
        </w:rPr>
        <w:t>-</w:t>
      </w:r>
      <w:r>
        <w:rPr>
          <w:rFonts w:ascii="Arial" w:hAnsi="Arial" w:cs="Arial"/>
        </w:rPr>
        <w:t xml:space="preserve"> </w:t>
      </w:r>
      <w:r w:rsidRPr="003D1A51">
        <w:rPr>
          <w:rFonts w:ascii="Arial" w:hAnsi="Arial" w:cs="Arial"/>
        </w:rPr>
        <w:t>Delitzsch (Delitzsch, 29 agosto 1808 – Potsdam, 29 aprile 1883).</w:t>
      </w:r>
    </w:p>
  </w:footnote>
  <w:footnote w:id="36">
    <w:p w14:paraId="6729E62E"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Friedrich Wilhelm Raiffeisen (30 marzo 1818 – 11 marzo 1888).</w:t>
      </w:r>
    </w:p>
  </w:footnote>
  <w:footnote w:id="37">
    <w:p w14:paraId="4D707323"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Schultze Delitzsch H., “</w:t>
      </w:r>
      <w:r w:rsidRPr="003D1A51">
        <w:rPr>
          <w:rFonts w:ascii="Arial" w:hAnsi="Arial" w:cs="Arial"/>
          <w:i/>
          <w:iCs/>
        </w:rPr>
        <w:t>Delle Unioni di credito, ovvero Banche popolari</w:t>
      </w:r>
      <w:r w:rsidRPr="003D1A51">
        <w:rPr>
          <w:rFonts w:ascii="Arial" w:hAnsi="Arial" w:cs="Arial"/>
        </w:rPr>
        <w:t>”, Lipsia, 1867</w:t>
      </w:r>
      <w:r w:rsidRPr="003D1A51">
        <w:rPr>
          <w:rFonts w:ascii="Arial" w:hAnsi="Arial" w:cs="Arial"/>
          <w:i/>
          <w:iCs/>
        </w:rPr>
        <w:t>.</w:t>
      </w:r>
    </w:p>
  </w:footnote>
  <w:footnote w:id="38">
    <w:p w14:paraId="6DFDEC4A"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Goglio, S. e Leonardi, A., “</w:t>
      </w:r>
      <w:r w:rsidRPr="003D1A51">
        <w:rPr>
          <w:rFonts w:ascii="Arial" w:hAnsi="Arial" w:cs="Arial"/>
          <w:i/>
          <w:iCs/>
        </w:rPr>
        <w:t>Le radici del credito cooperativo sotto il profilo teorico e storico”</w:t>
      </w:r>
      <w:r w:rsidRPr="003D1A51">
        <w:rPr>
          <w:rFonts w:ascii="Arial" w:hAnsi="Arial" w:cs="Arial"/>
        </w:rPr>
        <w:t>, Euricse Working Papers, n. 11/2010.</w:t>
      </w:r>
    </w:p>
  </w:footnote>
  <w:footnote w:id="39">
    <w:p w14:paraId="415EC646"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Goenka A, Henley D. (a cura di), “</w:t>
      </w:r>
      <w:r w:rsidRPr="003D1A51">
        <w:rPr>
          <w:rFonts w:ascii="Arial" w:hAnsi="Arial" w:cs="Arial"/>
          <w:i/>
          <w:lang w:val="en-US"/>
        </w:rPr>
        <w:t xml:space="preserve">Souteheast Asias’s Credit Revolution. </w:t>
      </w:r>
      <w:r w:rsidRPr="003D1A51">
        <w:rPr>
          <w:rFonts w:ascii="Arial" w:hAnsi="Arial" w:cs="Arial"/>
          <w:i/>
        </w:rPr>
        <w:t>From moneylenders to microfinace</w:t>
      </w:r>
      <w:r w:rsidRPr="003D1A51">
        <w:rPr>
          <w:rFonts w:ascii="Arial" w:hAnsi="Arial" w:cs="Arial"/>
        </w:rPr>
        <w:t>”, Routledge, 2010.</w:t>
      </w:r>
    </w:p>
  </w:footnote>
  <w:footnote w:id="40">
    <w:p w14:paraId="6BE93AC7"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Votano G., “</w:t>
      </w:r>
      <w:r w:rsidRPr="003D1A51">
        <w:rPr>
          <w:rFonts w:ascii="Arial" w:hAnsi="Arial" w:cs="Arial"/>
          <w:i/>
          <w:iCs/>
        </w:rPr>
        <w:t xml:space="preserve">Le mutue di auto gestione del denaro. Una risposta alla crisi provocata dalla finanza speculativa”, </w:t>
      </w:r>
      <w:r w:rsidRPr="003D1A51">
        <w:rPr>
          <w:rFonts w:ascii="Arial" w:hAnsi="Arial" w:cs="Arial"/>
        </w:rPr>
        <w:t>Città del Sole Edizioni, 2014.</w:t>
      </w:r>
    </w:p>
  </w:footnote>
  <w:footnote w:id="41">
    <w:p w14:paraId="6D80CBD7"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 xml:space="preserve">Legge 15 aprile 1886, n. 3818 </w:t>
      </w:r>
      <w:r w:rsidRPr="003D1A51">
        <w:rPr>
          <w:rFonts w:ascii="Arial" w:hAnsi="Arial" w:cs="Arial"/>
          <w:i/>
          <w:iCs/>
        </w:rPr>
        <w:t>“Concernente la personalità giuridica delle Società di Mutuo Soccorso”</w:t>
      </w:r>
      <w:r w:rsidRPr="003D1A51">
        <w:rPr>
          <w:rFonts w:ascii="Arial" w:hAnsi="Arial" w:cs="Arial"/>
        </w:rPr>
        <w:t>.</w:t>
      </w:r>
    </w:p>
  </w:footnote>
  <w:footnote w:id="42">
    <w:p w14:paraId="0118F883"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Nome delle barche venete addobbate con tappeti, fiori e banderuole, utilizzate per le gite in campagna.</w:t>
      </w:r>
    </w:p>
  </w:footnote>
  <w:footnote w:id="43">
    <w:p w14:paraId="36026161"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Esercitano l’attività di intermediazione finanziaria non bancaria secondo le disposizioni dell’articolo 112, comma 7, del Testo Unico Bancario.</w:t>
      </w:r>
    </w:p>
  </w:footnote>
  <w:footnote w:id="44">
    <w:p w14:paraId="145E8B07" w14:textId="10C3B955"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Sull’importanza del ruolo delle donne, tra l’altro, nel contesto della microfinanza e, in generale, per l’accelerazione dei processi di sviluppo economico, si rinvia a: Reshi, I.A., &amp; Sudha, D.T., “</w:t>
      </w:r>
      <w:r w:rsidRPr="003D1A51">
        <w:rPr>
          <w:rFonts w:ascii="Arial" w:hAnsi="Arial" w:cs="Arial"/>
          <w:i/>
          <w:iCs/>
        </w:rPr>
        <w:t>Women Empowerment: A Literature Review</w:t>
      </w:r>
      <w:r w:rsidRPr="003D1A51">
        <w:rPr>
          <w:rFonts w:ascii="Arial" w:hAnsi="Arial" w:cs="Arial"/>
        </w:rPr>
        <w:t xml:space="preserve">”, in </w:t>
      </w:r>
      <w:r w:rsidRPr="003D1A51">
        <w:rPr>
          <w:rFonts w:ascii="Arial" w:hAnsi="Arial" w:cs="Arial"/>
          <w:i/>
          <w:iCs/>
        </w:rPr>
        <w:t>International Journal of Economic</w:t>
      </w:r>
      <w:r w:rsidRPr="003D1A51">
        <w:rPr>
          <w:rFonts w:ascii="Arial" w:hAnsi="Arial" w:cs="Arial"/>
        </w:rPr>
        <w:t xml:space="preserve">, </w:t>
      </w:r>
      <w:r w:rsidRPr="003D1A51">
        <w:rPr>
          <w:rFonts w:ascii="Arial" w:hAnsi="Arial" w:cs="Arial"/>
          <w:i/>
          <w:iCs/>
        </w:rPr>
        <w:t>Business, Accounting, Agriculture Management and Sharia Administration</w:t>
      </w:r>
      <w:r w:rsidRPr="003D1A51">
        <w:rPr>
          <w:rFonts w:ascii="Arial" w:hAnsi="Arial" w:cs="Arial"/>
        </w:rPr>
        <w:t xml:space="preserve"> (IJEBAS), Vol. 02, pp. 1353-1359</w:t>
      </w:r>
      <w:r>
        <w:rPr>
          <w:rFonts w:ascii="Arial" w:hAnsi="Arial" w:cs="Arial"/>
        </w:rPr>
        <w:t xml:space="preserve">, </w:t>
      </w:r>
      <w:r w:rsidRPr="003D1A51">
        <w:rPr>
          <w:rFonts w:ascii="Arial" w:hAnsi="Arial" w:cs="Arial"/>
        </w:rPr>
        <w:t xml:space="preserve">2022, doi:0.54443/ijebas.v2i6.753. </w:t>
      </w:r>
      <w:r w:rsidRPr="003D1A51">
        <w:rPr>
          <w:rFonts w:ascii="Arial" w:hAnsi="Arial" w:cs="Arial"/>
          <w:lang w:val="en-US"/>
        </w:rPr>
        <w:t>Duflo, E., “</w:t>
      </w:r>
      <w:r w:rsidRPr="003D1A51">
        <w:rPr>
          <w:rFonts w:ascii="Arial" w:hAnsi="Arial" w:cs="Arial"/>
          <w:i/>
          <w:iCs/>
          <w:lang w:val="en-US"/>
        </w:rPr>
        <w:t>Women Empowerment and Economic Development</w:t>
      </w:r>
      <w:r w:rsidRPr="003D1A51">
        <w:rPr>
          <w:rFonts w:ascii="Arial" w:hAnsi="Arial" w:cs="Arial"/>
          <w:lang w:val="en-US"/>
        </w:rPr>
        <w:t xml:space="preserve">”, in </w:t>
      </w:r>
      <w:r w:rsidRPr="0058269F">
        <w:rPr>
          <w:rFonts w:ascii="Arial" w:hAnsi="Arial" w:cs="Arial"/>
          <w:lang w:val="en-US"/>
        </w:rPr>
        <w:t>Journal of Economic Literature</w:t>
      </w:r>
      <w:r w:rsidRPr="003D1A51">
        <w:rPr>
          <w:rFonts w:ascii="Arial" w:hAnsi="Arial" w:cs="Arial"/>
          <w:lang w:val="en-US"/>
        </w:rPr>
        <w:t>, Vol. 50, No. 4,</w:t>
      </w:r>
      <w:r>
        <w:rPr>
          <w:rFonts w:ascii="Arial" w:hAnsi="Arial" w:cs="Arial"/>
          <w:lang w:val="en-US"/>
        </w:rPr>
        <w:t xml:space="preserve"> </w:t>
      </w:r>
      <w:r w:rsidRPr="003D1A51">
        <w:rPr>
          <w:rFonts w:ascii="Arial" w:hAnsi="Arial" w:cs="Arial"/>
          <w:lang w:val="en-US"/>
        </w:rPr>
        <w:t>pp. 1051-79</w:t>
      </w:r>
      <w:r>
        <w:rPr>
          <w:rFonts w:ascii="Arial" w:hAnsi="Arial" w:cs="Arial"/>
          <w:lang w:val="en-US"/>
        </w:rPr>
        <w:t>,</w:t>
      </w:r>
      <w:r w:rsidRPr="003D1A51">
        <w:rPr>
          <w:rFonts w:ascii="Arial" w:hAnsi="Arial" w:cs="Arial"/>
          <w:lang w:val="en-US"/>
        </w:rPr>
        <w:t xml:space="preserve"> 2012, </w:t>
      </w:r>
      <w:r w:rsidR="00A31803">
        <w:rPr>
          <w:rFonts w:ascii="Arial" w:hAnsi="Arial" w:cs="Arial"/>
          <w:lang w:val="en-US"/>
        </w:rPr>
        <w:t>d</w:t>
      </w:r>
      <w:r w:rsidRPr="003D1A51">
        <w:rPr>
          <w:rFonts w:ascii="Arial" w:hAnsi="Arial" w:cs="Arial"/>
          <w:lang w:val="en-US"/>
        </w:rPr>
        <w:t xml:space="preserve">oi: 10.1257/jel.50.4.1051. </w:t>
      </w:r>
      <w:r w:rsidRPr="003D1A51">
        <w:rPr>
          <w:rFonts w:ascii="Arial" w:hAnsi="Arial" w:cs="Arial"/>
        </w:rPr>
        <w:t>Moser, Caroline O. N., “</w:t>
      </w:r>
      <w:r w:rsidRPr="003D1A51">
        <w:rPr>
          <w:rFonts w:ascii="Arial" w:hAnsi="Arial" w:cs="Arial"/>
          <w:i/>
        </w:rPr>
        <w:t>Pianificazione e sviluppo di genere: teoria, pratica e formazione”</w:t>
      </w:r>
      <w:r w:rsidRPr="003D1A51">
        <w:rPr>
          <w:rFonts w:ascii="Arial" w:hAnsi="Arial" w:cs="Arial"/>
        </w:rPr>
        <w:t>, Rosenberg &amp; Sellier, 1996.</w:t>
      </w:r>
    </w:p>
  </w:footnote>
  <w:footnote w:id="45">
    <w:p w14:paraId="0A0840BF"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Yunus, M., “</w:t>
      </w:r>
      <w:r w:rsidRPr="003D1A51">
        <w:rPr>
          <w:rFonts w:ascii="Arial" w:hAnsi="Arial" w:cs="Arial"/>
          <w:i/>
          <w:iCs/>
        </w:rPr>
        <w:t>Il banchiere dei poveri”</w:t>
      </w:r>
      <w:r w:rsidRPr="003D1A51">
        <w:rPr>
          <w:rFonts w:ascii="Arial" w:hAnsi="Arial" w:cs="Arial"/>
        </w:rPr>
        <w:t>, Feltrinelli, 1998.</w:t>
      </w:r>
    </w:p>
  </w:footnote>
  <w:footnote w:id="46">
    <w:p w14:paraId="79A89183"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Bornstein D., “</w:t>
      </w:r>
      <w:r w:rsidRPr="003D1A51">
        <w:rPr>
          <w:rFonts w:ascii="Arial" w:hAnsi="Arial" w:cs="Arial"/>
          <w:i/>
        </w:rPr>
        <w:t>Il prezzo di un sogno: la storia della Grameen Bank”</w:t>
      </w:r>
      <w:r w:rsidRPr="003D1A51">
        <w:rPr>
          <w:rFonts w:ascii="Arial" w:hAnsi="Arial" w:cs="Arial"/>
        </w:rPr>
        <w:t>, Oxford University Press, 2005.</w:t>
      </w:r>
    </w:p>
  </w:footnote>
  <w:footnote w:id="47">
    <w:p w14:paraId="52E33C49"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Yunus M., “</w:t>
      </w:r>
      <w:r w:rsidRPr="003D1A51">
        <w:rPr>
          <w:rFonts w:ascii="Arial" w:hAnsi="Arial" w:cs="Arial"/>
          <w:i/>
          <w:iCs/>
        </w:rPr>
        <w:t>Un mondo senza povertà</w:t>
      </w:r>
      <w:r w:rsidRPr="003D1A51">
        <w:rPr>
          <w:rFonts w:ascii="Arial" w:hAnsi="Arial" w:cs="Arial"/>
        </w:rPr>
        <w:t>”, Feltrinelli, 2010.</w:t>
      </w:r>
    </w:p>
  </w:footnote>
  <w:footnote w:id="48">
    <w:p w14:paraId="728C935C"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Dasguta P., “</w:t>
      </w:r>
      <w:r w:rsidRPr="003D1A51">
        <w:rPr>
          <w:rFonts w:ascii="Arial" w:hAnsi="Arial" w:cs="Arial"/>
          <w:i/>
          <w:iCs/>
          <w:lang w:val="en-US"/>
        </w:rPr>
        <w:t>Trust as a commodity</w:t>
      </w:r>
      <w:r w:rsidRPr="003D1A51">
        <w:rPr>
          <w:rFonts w:ascii="Arial" w:hAnsi="Arial" w:cs="Arial"/>
          <w:i/>
          <w:lang w:val="en-US"/>
        </w:rPr>
        <w:t>”</w:t>
      </w:r>
      <w:r w:rsidRPr="003D1A51">
        <w:rPr>
          <w:rFonts w:ascii="Arial" w:hAnsi="Arial" w:cs="Arial"/>
          <w:lang w:val="en-US"/>
        </w:rPr>
        <w:t xml:space="preserve">, </w:t>
      </w:r>
      <w:r w:rsidRPr="003D1A51">
        <w:rPr>
          <w:rFonts w:ascii="Arial" w:eastAsia="Times New Roman" w:hAnsi="Arial" w:cs="Arial"/>
          <w:kern w:val="0"/>
          <w:lang w:val="en-US" w:eastAsia="it-IT"/>
          <w14:ligatures w14:val="none"/>
        </w:rPr>
        <w:t>Univ., Department of Applied Economics, ESRC Research Project on Risk, Information and Quantity Signals in Economics, 1986</w:t>
      </w:r>
      <w:r w:rsidRPr="003D1A51">
        <w:rPr>
          <w:rFonts w:ascii="Arial" w:hAnsi="Arial" w:cs="Arial"/>
          <w:lang w:val="en-US"/>
        </w:rPr>
        <w:t>.</w:t>
      </w:r>
    </w:p>
  </w:footnote>
  <w:footnote w:id="49">
    <w:p w14:paraId="15FE1E45"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w:t>
      </w:r>
      <w:r w:rsidRPr="003D1A51">
        <w:rPr>
          <w:rFonts w:ascii="Arial" w:hAnsi="Arial" w:cs="Arial"/>
          <w:i/>
          <w:lang w:val="en-US"/>
        </w:rPr>
        <w:t>The Peace Corps</w:t>
      </w:r>
      <w:r w:rsidRPr="003D1A51">
        <w:rPr>
          <w:rFonts w:ascii="Arial" w:hAnsi="Arial" w:cs="Arial"/>
          <w:lang w:val="en-US"/>
        </w:rPr>
        <w:t>” – In https://www.peacecorps.gov/about/history/.</w:t>
      </w:r>
    </w:p>
  </w:footnote>
  <w:footnote w:id="50">
    <w:p w14:paraId="50DBFBA1"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 xml:space="preserve">Secondo l’ </w:t>
      </w:r>
      <w:r w:rsidRPr="003D1A51">
        <w:rPr>
          <w:rFonts w:ascii="Arial" w:hAnsi="Arial" w:cs="Arial"/>
          <w:i/>
          <w:iCs/>
        </w:rPr>
        <w:t>Economic and Social Council</w:t>
      </w:r>
      <w:r w:rsidRPr="003D1A51">
        <w:rPr>
          <w:rFonts w:ascii="Arial" w:hAnsi="Arial" w:cs="Arial"/>
        </w:rPr>
        <w:t xml:space="preserve"> (ECOSOC) dell'ONU, “</w:t>
      </w:r>
      <w:r w:rsidRPr="003D1A51">
        <w:rPr>
          <w:rFonts w:ascii="Arial" w:hAnsi="Arial" w:cs="Arial"/>
          <w:i/>
        </w:rPr>
        <w:t>la povertà può essere definita come una condizione umana caratterizzata da privazione continua e cronica delle risorse, capacità, scelte, sicurezza e potere necessari per poter godere di uno standard di vita adeguato ed altri diritti civili, culturali, economici, politici e sociali”</w:t>
      </w:r>
      <w:r w:rsidRPr="003D1A51">
        <w:rPr>
          <w:rFonts w:ascii="Arial" w:hAnsi="Arial" w:cs="Arial"/>
        </w:rPr>
        <w:t>, cfr. E/C.12/2001/10, Definizione n. 8, 10 maggio 2001.</w:t>
      </w:r>
    </w:p>
  </w:footnote>
  <w:footnote w:id="51">
    <w:p w14:paraId="22514308"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Prahalad M.K., “</w:t>
      </w:r>
      <w:r w:rsidRPr="003D1A51">
        <w:rPr>
          <w:rFonts w:ascii="Arial" w:hAnsi="Arial" w:cs="Arial"/>
          <w:i/>
        </w:rPr>
        <w:t>La fortuna alla base della piramide. Sconfiggere la povertà e realizzare profitti”</w:t>
      </w:r>
      <w:r w:rsidRPr="003D1A51">
        <w:rPr>
          <w:rFonts w:ascii="Arial" w:hAnsi="Arial" w:cs="Arial"/>
        </w:rPr>
        <w:t>, Il Mulino, 2007.</w:t>
      </w:r>
    </w:p>
  </w:footnote>
  <w:footnote w:id="52">
    <w:p w14:paraId="228540D5"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Per la Banca Mondiale il valore della soglia di povertà, fino al 2018, era pari a 1,90 dollari internazionali al giorno; nel 2022 è stata elevata a 2,15. Il calcolo delle soglie la Banca mondiale utilizza il dollaro internazionale ($), una valuta unificata e ipotetica. Con un dollaro internazionale è possibile acquistare in un determinato momento la stessa quantità di beni in qualsiasi parte del mondo.</w:t>
      </w:r>
    </w:p>
  </w:footnote>
  <w:footnote w:id="53">
    <w:p w14:paraId="6D14E452" w14:textId="77777777" w:rsidR="00F83AF6" w:rsidRPr="00AA7B56"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AA7B56">
        <w:rPr>
          <w:rFonts w:ascii="Arial" w:hAnsi="Arial" w:cs="Arial"/>
          <w:lang w:val="en-US"/>
        </w:rPr>
        <w:t xml:space="preserve"> </w:t>
      </w:r>
      <w:r w:rsidRPr="00AA7B56">
        <w:rPr>
          <w:rFonts w:ascii="Arial" w:hAnsi="Arial" w:cs="Arial"/>
          <w:lang w:val="en-US"/>
        </w:rPr>
        <w:tab/>
        <w:t>Das Gupta A., “</w:t>
      </w:r>
      <w:r w:rsidRPr="006457ED">
        <w:rPr>
          <w:rFonts w:ascii="Arial" w:hAnsi="Arial" w:cs="Arial"/>
          <w:i/>
          <w:iCs/>
          <w:lang w:val="en-US"/>
        </w:rPr>
        <w:t>Base of the Pyramid</w:t>
      </w:r>
      <w:r w:rsidRPr="00AA7B56">
        <w:rPr>
          <w:rFonts w:ascii="Arial" w:hAnsi="Arial" w:cs="Arial"/>
          <w:lang w:val="en-US"/>
        </w:rPr>
        <w:t>”, in Encyclopedia of corporate social responsibility, Springer, 2013.</w:t>
      </w:r>
    </w:p>
  </w:footnote>
  <w:footnote w:id="54">
    <w:p w14:paraId="55881FCA" w14:textId="77777777" w:rsidR="00F83AF6" w:rsidRPr="006C308B" w:rsidRDefault="00F83AF6" w:rsidP="006C308B">
      <w:pPr>
        <w:pStyle w:val="Testonotaapidipagina"/>
        <w:spacing w:line="360" w:lineRule="auto"/>
        <w:ind w:left="284" w:hanging="284"/>
        <w:jc w:val="both"/>
        <w:rPr>
          <w:rFonts w:ascii="Arial" w:hAnsi="Arial" w:cs="Arial"/>
        </w:rPr>
      </w:pPr>
      <w:r w:rsidRPr="006C308B">
        <w:rPr>
          <w:rStyle w:val="Rimandonotaapidipagina"/>
          <w:rFonts w:ascii="Arial" w:hAnsi="Arial" w:cs="Arial"/>
        </w:rPr>
        <w:footnoteRef/>
      </w:r>
      <w:r w:rsidRPr="006C308B">
        <w:rPr>
          <w:rFonts w:ascii="Arial" w:hAnsi="Arial" w:cs="Arial"/>
        </w:rPr>
        <w:t xml:space="preserve"> </w:t>
      </w:r>
      <w:r w:rsidRPr="006C308B">
        <w:rPr>
          <w:rFonts w:ascii="Arial" w:hAnsi="Arial" w:cs="Arial"/>
        </w:rPr>
        <w:tab/>
        <w:t>Mauri A., “</w:t>
      </w:r>
      <w:r w:rsidRPr="006C308B">
        <w:rPr>
          <w:rFonts w:ascii="Arial" w:hAnsi="Arial" w:cs="Arial"/>
          <w:i/>
          <w:iCs/>
        </w:rPr>
        <w:t>Finanza informale, finanza etica e finanza internazionale nelle piccole e medie imprese</w:t>
      </w:r>
      <w:r w:rsidRPr="006C308B">
        <w:rPr>
          <w:rFonts w:ascii="Arial" w:hAnsi="Arial" w:cs="Arial"/>
        </w:rPr>
        <w:t>”, Giuffrè Francis Lefebvre, 2000.</w:t>
      </w:r>
    </w:p>
  </w:footnote>
  <w:footnote w:id="55">
    <w:p w14:paraId="623867EA" w14:textId="2453F884" w:rsidR="00F83AF6" w:rsidRPr="006C308B" w:rsidRDefault="00F83AF6" w:rsidP="006C308B">
      <w:pPr>
        <w:pStyle w:val="Testonotaapidipagina"/>
        <w:spacing w:line="360" w:lineRule="auto"/>
        <w:ind w:left="284" w:hanging="284"/>
        <w:jc w:val="both"/>
        <w:rPr>
          <w:rFonts w:ascii="Arial" w:hAnsi="Arial" w:cs="Arial"/>
          <w:lang w:val="en-US"/>
        </w:rPr>
      </w:pPr>
      <w:r w:rsidRPr="006C308B">
        <w:rPr>
          <w:rStyle w:val="Rimandonotaapidipagina"/>
          <w:rFonts w:ascii="Arial" w:hAnsi="Arial" w:cs="Arial"/>
        </w:rPr>
        <w:footnoteRef/>
      </w:r>
      <w:r w:rsidRPr="006C308B">
        <w:rPr>
          <w:rFonts w:ascii="Arial" w:hAnsi="Arial" w:cs="Arial"/>
          <w:lang w:val="en-US"/>
        </w:rPr>
        <w:t xml:space="preserve"> </w:t>
      </w:r>
      <w:r w:rsidRPr="006C308B">
        <w:rPr>
          <w:rFonts w:ascii="Arial" w:hAnsi="Arial" w:cs="Arial"/>
          <w:lang w:val="en-US"/>
        </w:rPr>
        <w:tab/>
        <w:t>Yotopoulos P.A., Floro S.L., “</w:t>
      </w:r>
      <w:r w:rsidRPr="006C308B">
        <w:rPr>
          <w:rFonts w:ascii="Arial" w:hAnsi="Arial" w:cs="Arial"/>
          <w:i/>
          <w:iCs/>
          <w:lang w:val="en-US"/>
        </w:rPr>
        <w:t>Income distribution, transaction costs and market fragmentation in informal credit markets</w:t>
      </w:r>
      <w:r w:rsidRPr="006C308B">
        <w:rPr>
          <w:rFonts w:ascii="Arial" w:hAnsi="Arial" w:cs="Arial"/>
          <w:lang w:val="en-US"/>
        </w:rPr>
        <w:t xml:space="preserve">”, Cambridge Journal of Economics, Vol. 16, No. 3, </w:t>
      </w:r>
      <w:r w:rsidR="00B966AD">
        <w:rPr>
          <w:rFonts w:ascii="Arial" w:hAnsi="Arial" w:cs="Arial"/>
          <w:lang w:val="en-US"/>
        </w:rPr>
        <w:t xml:space="preserve">1992, </w:t>
      </w:r>
      <w:r w:rsidRPr="006C308B">
        <w:rPr>
          <w:rFonts w:ascii="Arial" w:hAnsi="Arial" w:cs="Arial"/>
          <w:lang w:val="en-US"/>
        </w:rPr>
        <w:t>pp. 303-326</w:t>
      </w:r>
      <w:r w:rsidR="00B966AD">
        <w:rPr>
          <w:rFonts w:ascii="Arial" w:hAnsi="Arial" w:cs="Arial"/>
          <w:lang w:val="en-US"/>
        </w:rPr>
        <w:t xml:space="preserve">, in </w:t>
      </w:r>
      <w:r w:rsidR="00B966AD" w:rsidRPr="00B966AD">
        <w:rPr>
          <w:rFonts w:ascii="Arial" w:hAnsi="Arial" w:cs="Arial"/>
          <w:lang w:val="en-US"/>
        </w:rPr>
        <w:t>http://www.jstor.org/stable/23599594</w:t>
      </w:r>
      <w:r w:rsidR="00B966AD">
        <w:rPr>
          <w:rFonts w:ascii="Arial" w:hAnsi="Arial" w:cs="Arial"/>
          <w:lang w:val="en-US"/>
        </w:rPr>
        <w:t>.</w:t>
      </w:r>
    </w:p>
  </w:footnote>
  <w:footnote w:id="56">
    <w:p w14:paraId="28F76C8D" w14:textId="77777777" w:rsidR="00F83AF6" w:rsidRPr="006A027A" w:rsidRDefault="00F83AF6" w:rsidP="006C308B">
      <w:pPr>
        <w:pStyle w:val="Testonotaapidipagina"/>
        <w:spacing w:line="360" w:lineRule="auto"/>
        <w:ind w:left="284" w:hanging="284"/>
        <w:jc w:val="both"/>
        <w:rPr>
          <w:rFonts w:ascii="Arial" w:hAnsi="Arial" w:cs="Arial"/>
          <w:lang w:val="en-US"/>
        </w:rPr>
      </w:pPr>
      <w:r w:rsidRPr="006C308B">
        <w:rPr>
          <w:rStyle w:val="Rimandonotaapidipagina"/>
          <w:rFonts w:ascii="Arial" w:hAnsi="Arial" w:cs="Arial"/>
        </w:rPr>
        <w:footnoteRef/>
      </w:r>
      <w:r w:rsidRPr="006C308B">
        <w:rPr>
          <w:rFonts w:ascii="Arial" w:hAnsi="Arial" w:cs="Arial"/>
          <w:lang w:val="en-US"/>
        </w:rPr>
        <w:t xml:space="preserve"> </w:t>
      </w:r>
      <w:r w:rsidRPr="006C308B">
        <w:rPr>
          <w:rFonts w:ascii="Arial" w:hAnsi="Arial" w:cs="Arial"/>
          <w:lang w:val="en-US"/>
        </w:rPr>
        <w:tab/>
        <w:t>Maloney C., Ahmed A.B. S., “</w:t>
      </w:r>
      <w:r w:rsidRPr="006C308B">
        <w:rPr>
          <w:rFonts w:ascii="Arial" w:hAnsi="Arial" w:cs="Arial"/>
          <w:i/>
          <w:iCs/>
          <w:lang w:val="en-US"/>
        </w:rPr>
        <w:t>Rural savings and credit in Bangladesh</w:t>
      </w:r>
      <w:r w:rsidRPr="006C308B">
        <w:rPr>
          <w:rFonts w:ascii="Arial" w:hAnsi="Arial" w:cs="Arial"/>
          <w:lang w:val="en-US"/>
        </w:rPr>
        <w:t>”, Dhaka, Bangladesh: University Press, 1988.</w:t>
      </w:r>
    </w:p>
  </w:footnote>
  <w:footnote w:id="57">
    <w:p w14:paraId="370C3052" w14:textId="38A49336" w:rsidR="00F83AF6" w:rsidRPr="00C21854" w:rsidRDefault="00F83AF6" w:rsidP="00E37462">
      <w:pPr>
        <w:pStyle w:val="Testonotaapidipagina"/>
        <w:tabs>
          <w:tab w:val="left" w:pos="284"/>
        </w:tabs>
        <w:spacing w:line="360" w:lineRule="auto"/>
        <w:ind w:left="284" w:hanging="284"/>
        <w:jc w:val="both"/>
        <w:rPr>
          <w:rFonts w:ascii="Arial" w:hAnsi="Arial" w:cs="Arial"/>
          <w:lang w:val="en-US"/>
        </w:rPr>
      </w:pPr>
      <w:r w:rsidRPr="00C21854">
        <w:rPr>
          <w:rStyle w:val="Rimandonotaapidipagina"/>
          <w:rFonts w:ascii="Arial" w:hAnsi="Arial" w:cs="Arial"/>
        </w:rPr>
        <w:footnoteRef/>
      </w:r>
      <w:r w:rsidRPr="00C21854">
        <w:rPr>
          <w:rFonts w:ascii="Arial" w:hAnsi="Arial" w:cs="Arial"/>
          <w:lang w:val="en-US"/>
        </w:rPr>
        <w:t xml:space="preserve"> </w:t>
      </w:r>
      <w:r w:rsidRPr="00C21854">
        <w:rPr>
          <w:rFonts w:ascii="Arial" w:hAnsi="Arial" w:cs="Arial"/>
          <w:lang w:val="en-US"/>
        </w:rPr>
        <w:tab/>
        <w:t>Ranis G., Raut L.K., “</w:t>
      </w:r>
      <w:r w:rsidRPr="00C21854">
        <w:rPr>
          <w:rFonts w:ascii="Arial" w:hAnsi="Arial" w:cs="Arial"/>
          <w:i/>
          <w:iCs/>
          <w:lang w:val="en-US"/>
        </w:rPr>
        <w:t>Trade, Growt, and Development</w:t>
      </w:r>
      <w:r w:rsidR="00E37462">
        <w:rPr>
          <w:rFonts w:ascii="Arial" w:hAnsi="Arial" w:cs="Arial"/>
          <w:i/>
          <w:iCs/>
          <w:lang w:val="en-US"/>
        </w:rPr>
        <w:t xml:space="preserve">. </w:t>
      </w:r>
      <w:r w:rsidR="00E37462" w:rsidRPr="00E37462">
        <w:rPr>
          <w:rFonts w:ascii="Arial" w:hAnsi="Arial" w:cs="Arial"/>
          <w:i/>
          <w:iCs/>
          <w:lang w:val="en-US"/>
        </w:rPr>
        <w:t>Essays in Honor of Professor T.N. Srinivasan</w:t>
      </w:r>
      <w:r w:rsidRPr="00C21854">
        <w:rPr>
          <w:rFonts w:ascii="Arial" w:hAnsi="Arial" w:cs="Arial"/>
          <w:lang w:val="en-US"/>
        </w:rPr>
        <w:t xml:space="preserve">”, </w:t>
      </w:r>
      <w:r w:rsidR="00E37462" w:rsidRPr="00E37462">
        <w:rPr>
          <w:rFonts w:ascii="Arial" w:hAnsi="Arial" w:cs="Arial"/>
          <w:lang w:val="en-US"/>
        </w:rPr>
        <w:t>Emerald Group Pub Ltd</w:t>
      </w:r>
      <w:r w:rsidRPr="00C21854">
        <w:rPr>
          <w:rFonts w:ascii="Arial" w:hAnsi="Arial" w:cs="Arial"/>
          <w:lang w:val="en-US"/>
        </w:rPr>
        <w:t>, 1999.</w:t>
      </w:r>
    </w:p>
  </w:footnote>
  <w:footnote w:id="58">
    <w:p w14:paraId="69A67E1F" w14:textId="769A31AC" w:rsidR="00F83AF6" w:rsidRPr="00457FD0" w:rsidRDefault="00F83AF6" w:rsidP="00C21854">
      <w:pPr>
        <w:pStyle w:val="Testonotaapidipagina"/>
        <w:tabs>
          <w:tab w:val="left" w:pos="284"/>
        </w:tabs>
        <w:spacing w:line="360" w:lineRule="auto"/>
        <w:jc w:val="both"/>
        <w:rPr>
          <w:rFonts w:ascii="Arial" w:hAnsi="Arial" w:cs="Arial"/>
        </w:rPr>
      </w:pPr>
      <w:r w:rsidRPr="00C21854">
        <w:rPr>
          <w:rStyle w:val="Rimandonotaapidipagina"/>
          <w:rFonts w:ascii="Arial" w:hAnsi="Arial" w:cs="Arial"/>
        </w:rPr>
        <w:footnoteRef/>
      </w:r>
      <w:r w:rsidRPr="00C21854">
        <w:rPr>
          <w:rFonts w:ascii="Arial" w:hAnsi="Arial" w:cs="Arial"/>
        </w:rPr>
        <w:t xml:space="preserve"> </w:t>
      </w:r>
      <w:r w:rsidRPr="00C21854">
        <w:rPr>
          <w:rFonts w:ascii="Arial" w:hAnsi="Arial" w:cs="Arial"/>
        </w:rPr>
        <w:tab/>
        <w:t>Cecini A., Borghi M., “</w:t>
      </w:r>
      <w:r w:rsidRPr="00C21854">
        <w:rPr>
          <w:rFonts w:ascii="Arial" w:hAnsi="Arial" w:cs="Arial"/>
          <w:i/>
          <w:iCs/>
        </w:rPr>
        <w:t>Per un contributo allo sviluppo del microcredito</w:t>
      </w:r>
      <w:r w:rsidRPr="00C21854">
        <w:rPr>
          <w:rFonts w:ascii="Arial" w:hAnsi="Arial" w:cs="Arial"/>
        </w:rPr>
        <w:t>”, Cedam. 201</w:t>
      </w:r>
      <w:r w:rsidR="00964056">
        <w:rPr>
          <w:rFonts w:ascii="Arial" w:hAnsi="Arial" w:cs="Arial"/>
        </w:rPr>
        <w:t>0.</w:t>
      </w:r>
    </w:p>
  </w:footnote>
  <w:footnote w:id="59">
    <w:p w14:paraId="33415E47" w14:textId="77777777" w:rsidR="00F83AF6" w:rsidRPr="000B3E94" w:rsidRDefault="00F83AF6" w:rsidP="000B3E94">
      <w:pPr>
        <w:pStyle w:val="Testonotaapidipagina"/>
        <w:spacing w:line="360" w:lineRule="auto"/>
        <w:ind w:left="284" w:hanging="284"/>
        <w:jc w:val="both"/>
        <w:rPr>
          <w:rFonts w:ascii="Arial" w:hAnsi="Arial" w:cs="Arial"/>
        </w:rPr>
      </w:pPr>
      <w:r w:rsidRPr="000B3E94">
        <w:rPr>
          <w:rStyle w:val="Rimandonotaapidipagina"/>
          <w:rFonts w:ascii="Arial" w:hAnsi="Arial" w:cs="Arial"/>
        </w:rPr>
        <w:footnoteRef/>
      </w:r>
      <w:r w:rsidRPr="000B3E94">
        <w:rPr>
          <w:rFonts w:ascii="Arial" w:hAnsi="Arial" w:cs="Arial"/>
        </w:rPr>
        <w:t xml:space="preserve"> </w:t>
      </w:r>
      <w:r w:rsidRPr="000B3E94">
        <w:rPr>
          <w:rFonts w:ascii="Arial" w:hAnsi="Arial" w:cs="Arial"/>
        </w:rPr>
        <w:tab/>
        <w:t>Provenzano V., “</w:t>
      </w:r>
      <w:r w:rsidRPr="000B3E94">
        <w:rPr>
          <w:rFonts w:ascii="Arial" w:hAnsi="Arial" w:cs="Arial"/>
          <w:i/>
          <w:iCs/>
        </w:rPr>
        <w:t>Sviluppo regionale e marginalità. Aspetti finanziari di realtà economiche</w:t>
      </w:r>
      <w:r w:rsidRPr="000B3E94">
        <w:rPr>
          <w:rFonts w:ascii="Arial" w:hAnsi="Arial" w:cs="Arial"/>
        </w:rPr>
        <w:t>”, Carocci, 2012.</w:t>
      </w:r>
    </w:p>
  </w:footnote>
  <w:footnote w:id="60">
    <w:p w14:paraId="6DCA9CA9" w14:textId="752918F2" w:rsidR="00F83AF6" w:rsidRPr="00A0186E" w:rsidRDefault="00F83AF6" w:rsidP="001D2088">
      <w:pPr>
        <w:pStyle w:val="Testonotaapidipagina"/>
        <w:spacing w:line="360" w:lineRule="auto"/>
        <w:ind w:left="284" w:hanging="284"/>
        <w:jc w:val="both"/>
        <w:rPr>
          <w:rFonts w:ascii="Arial" w:hAnsi="Arial" w:cs="Arial"/>
        </w:rPr>
      </w:pPr>
      <w:r w:rsidRPr="000B3E94">
        <w:rPr>
          <w:rStyle w:val="Rimandonotaapidipagina"/>
          <w:rFonts w:ascii="Arial" w:hAnsi="Arial" w:cs="Arial"/>
        </w:rPr>
        <w:footnoteRef/>
      </w:r>
      <w:r w:rsidRPr="000B3E94">
        <w:rPr>
          <w:rFonts w:ascii="Arial" w:hAnsi="Arial" w:cs="Arial"/>
        </w:rPr>
        <w:t xml:space="preserve"> </w:t>
      </w:r>
      <w:r w:rsidRPr="000B3E94">
        <w:rPr>
          <w:rFonts w:ascii="Arial" w:hAnsi="Arial" w:cs="Arial"/>
        </w:rPr>
        <w:tab/>
        <w:t>De Nicola A., “</w:t>
      </w:r>
      <w:r w:rsidRPr="000B3E94">
        <w:rPr>
          <w:rFonts w:ascii="Arial" w:hAnsi="Arial" w:cs="Arial"/>
          <w:i/>
          <w:iCs/>
        </w:rPr>
        <w:t>Il governo dell’informale come problema di egemonia</w:t>
      </w:r>
      <w:r w:rsidRPr="000B3E94">
        <w:rPr>
          <w:rFonts w:ascii="Arial" w:hAnsi="Arial" w:cs="Arial"/>
        </w:rPr>
        <w:t xml:space="preserve">”, </w:t>
      </w:r>
      <w:r w:rsidR="001D2088">
        <w:rPr>
          <w:rFonts w:ascii="Arial" w:hAnsi="Arial" w:cs="Arial"/>
        </w:rPr>
        <w:t xml:space="preserve">in </w:t>
      </w:r>
      <w:r w:rsidR="001D2088" w:rsidRPr="001D2088">
        <w:rPr>
          <w:rFonts w:ascii="Arial" w:hAnsi="Arial" w:cs="Arial"/>
        </w:rPr>
        <w:t>Cambio</w:t>
      </w:r>
      <w:r w:rsidR="001D2088">
        <w:rPr>
          <w:rFonts w:ascii="Arial" w:hAnsi="Arial" w:cs="Arial"/>
        </w:rPr>
        <w:t xml:space="preserve">, </w:t>
      </w:r>
      <w:r w:rsidRPr="000B3E94">
        <w:rPr>
          <w:rFonts w:ascii="Arial" w:hAnsi="Arial" w:cs="Arial"/>
        </w:rPr>
        <w:t>Rivista sulle trasformazioni sociali, Vol. 11, n. 21</w:t>
      </w:r>
      <w:r w:rsidR="001D2088">
        <w:rPr>
          <w:rFonts w:ascii="Arial" w:hAnsi="Arial" w:cs="Arial"/>
        </w:rPr>
        <w:t xml:space="preserve">, 2001, pp. </w:t>
      </w:r>
      <w:r w:rsidRPr="000B3E94">
        <w:rPr>
          <w:rFonts w:ascii="Arial" w:hAnsi="Arial" w:cs="Arial"/>
        </w:rPr>
        <w:t xml:space="preserve">37-50, </w:t>
      </w:r>
      <w:r w:rsidR="001D2088">
        <w:rPr>
          <w:rFonts w:ascii="Arial" w:hAnsi="Arial" w:cs="Arial"/>
        </w:rPr>
        <w:t xml:space="preserve">doi: </w:t>
      </w:r>
      <w:r w:rsidRPr="000B3E94">
        <w:rPr>
          <w:rFonts w:ascii="Arial" w:hAnsi="Arial" w:cs="Arial"/>
        </w:rPr>
        <w:t>10.36253/cambio-10799.</w:t>
      </w:r>
    </w:p>
  </w:footnote>
  <w:footnote w:id="61">
    <w:p w14:paraId="10E8FB8E" w14:textId="43EF0096" w:rsidR="00F83AF6" w:rsidRPr="00531E8E" w:rsidRDefault="00F83AF6" w:rsidP="00531E8E">
      <w:pPr>
        <w:pStyle w:val="Testonotaapidipagina"/>
        <w:spacing w:line="360" w:lineRule="auto"/>
        <w:ind w:left="426" w:hanging="426"/>
        <w:jc w:val="both"/>
        <w:rPr>
          <w:rFonts w:ascii="Arial" w:hAnsi="Arial" w:cs="Arial"/>
        </w:rPr>
      </w:pPr>
      <w:r w:rsidRPr="00531E8E">
        <w:rPr>
          <w:rStyle w:val="Rimandonotaapidipagina"/>
          <w:rFonts w:ascii="Arial" w:hAnsi="Arial" w:cs="Arial"/>
        </w:rPr>
        <w:footnoteRef/>
      </w:r>
      <w:r w:rsidRPr="00531E8E">
        <w:rPr>
          <w:rFonts w:ascii="Arial" w:hAnsi="Arial" w:cs="Arial"/>
        </w:rPr>
        <w:t xml:space="preserve"> </w:t>
      </w:r>
      <w:r w:rsidRPr="00531E8E">
        <w:rPr>
          <w:rFonts w:ascii="Arial" w:hAnsi="Arial" w:cs="Arial"/>
        </w:rPr>
        <w:tab/>
        <w:t xml:space="preserve">Farinella D., Mostaccio F., “Il paradigma dell'informale nel capitalismo contemporaneo”, in Cambio, Rivista sulle trasformazioni </w:t>
      </w:r>
      <w:r w:rsidR="00531E8E" w:rsidRPr="00531E8E">
        <w:rPr>
          <w:rFonts w:ascii="Arial" w:hAnsi="Arial" w:cs="Arial"/>
        </w:rPr>
        <w:t>sociali,</w:t>
      </w:r>
      <w:r w:rsidRPr="00531E8E">
        <w:rPr>
          <w:rFonts w:ascii="Arial" w:hAnsi="Arial" w:cs="Arial"/>
        </w:rPr>
        <w:t xml:space="preserve"> </w:t>
      </w:r>
      <w:r w:rsidR="00531E8E" w:rsidRPr="00531E8E">
        <w:rPr>
          <w:rFonts w:ascii="Arial" w:hAnsi="Arial" w:cs="Arial"/>
        </w:rPr>
        <w:t xml:space="preserve">Vol. </w:t>
      </w:r>
      <w:r w:rsidRPr="00531E8E">
        <w:rPr>
          <w:rFonts w:ascii="Arial" w:hAnsi="Arial" w:cs="Arial"/>
        </w:rPr>
        <w:t>11</w:t>
      </w:r>
      <w:r w:rsidR="00531E8E" w:rsidRPr="00531E8E">
        <w:rPr>
          <w:rFonts w:ascii="Arial" w:hAnsi="Arial" w:cs="Arial"/>
        </w:rPr>
        <w:t xml:space="preserve">, n. </w:t>
      </w:r>
      <w:r w:rsidRPr="00531E8E">
        <w:rPr>
          <w:rFonts w:ascii="Arial" w:hAnsi="Arial" w:cs="Arial"/>
        </w:rPr>
        <w:t>21,</w:t>
      </w:r>
      <w:r w:rsidR="00531E8E" w:rsidRPr="00531E8E">
        <w:rPr>
          <w:rFonts w:ascii="Arial" w:hAnsi="Arial" w:cs="Arial"/>
        </w:rPr>
        <w:t xml:space="preserve"> 2021, pp. </w:t>
      </w:r>
      <w:r w:rsidRPr="00531E8E">
        <w:rPr>
          <w:rFonts w:ascii="Arial" w:hAnsi="Arial" w:cs="Arial"/>
        </w:rPr>
        <w:t>5–11,</w:t>
      </w:r>
      <w:r w:rsidR="00531E8E" w:rsidRPr="00531E8E">
        <w:rPr>
          <w:rFonts w:ascii="Arial" w:hAnsi="Arial" w:cs="Arial"/>
        </w:rPr>
        <w:t xml:space="preserve"> doi:</w:t>
      </w:r>
      <w:r w:rsidRPr="00531E8E">
        <w:rPr>
          <w:rFonts w:ascii="Arial" w:hAnsi="Arial" w:cs="Arial"/>
        </w:rPr>
        <w:t xml:space="preserve"> 10.36253/cambio-12366.</w:t>
      </w:r>
    </w:p>
  </w:footnote>
  <w:footnote w:id="62">
    <w:p w14:paraId="55072950" w14:textId="3CFB18A6" w:rsidR="00F83AF6" w:rsidRPr="003636DE" w:rsidRDefault="00F83AF6" w:rsidP="00531E8E">
      <w:pPr>
        <w:pStyle w:val="Testonotaapidipagina"/>
        <w:spacing w:line="360" w:lineRule="auto"/>
        <w:ind w:left="426" w:hanging="426"/>
        <w:jc w:val="both"/>
        <w:rPr>
          <w:rFonts w:ascii="Arial" w:hAnsi="Arial" w:cs="Arial"/>
          <w:lang w:val="en-US"/>
        </w:rPr>
      </w:pPr>
      <w:r w:rsidRPr="00531E8E">
        <w:rPr>
          <w:rStyle w:val="Rimandonotaapidipagina"/>
          <w:rFonts w:ascii="Arial" w:hAnsi="Arial" w:cs="Arial"/>
        </w:rPr>
        <w:footnoteRef/>
      </w:r>
      <w:r w:rsidRPr="003636DE">
        <w:rPr>
          <w:rFonts w:ascii="Arial" w:hAnsi="Arial" w:cs="Arial"/>
          <w:lang w:val="en-US"/>
        </w:rPr>
        <w:t xml:space="preserve"> </w:t>
      </w:r>
      <w:r w:rsidRPr="003636DE">
        <w:rPr>
          <w:rFonts w:ascii="Arial" w:hAnsi="Arial" w:cs="Arial"/>
          <w:lang w:val="en-US"/>
        </w:rPr>
        <w:tab/>
        <w:t>Stinchcombe A.</w:t>
      </w:r>
      <w:r w:rsidR="00A864F2" w:rsidRPr="003636DE">
        <w:rPr>
          <w:rFonts w:ascii="Arial" w:hAnsi="Arial" w:cs="Arial"/>
          <w:lang w:val="en-US"/>
        </w:rPr>
        <w:t xml:space="preserve"> </w:t>
      </w:r>
      <w:r w:rsidRPr="003636DE">
        <w:rPr>
          <w:rFonts w:ascii="Arial" w:hAnsi="Arial" w:cs="Arial"/>
          <w:lang w:val="en-US"/>
        </w:rPr>
        <w:t>L., “</w:t>
      </w:r>
      <w:r w:rsidRPr="003636DE">
        <w:rPr>
          <w:rFonts w:ascii="Arial" w:hAnsi="Arial" w:cs="Arial"/>
          <w:i/>
          <w:iCs/>
          <w:lang w:val="en-US"/>
        </w:rPr>
        <w:t>Informa</w:t>
      </w:r>
      <w:r w:rsidR="00A864F2" w:rsidRPr="003636DE">
        <w:rPr>
          <w:rFonts w:ascii="Arial" w:hAnsi="Arial" w:cs="Arial"/>
          <w:i/>
          <w:iCs/>
          <w:lang w:val="en-US"/>
        </w:rPr>
        <w:t>tion and Organizations</w:t>
      </w:r>
      <w:r w:rsidRPr="003636DE">
        <w:rPr>
          <w:rFonts w:ascii="Arial" w:hAnsi="Arial" w:cs="Arial"/>
          <w:lang w:val="en-US"/>
        </w:rPr>
        <w:t>”, University of California Press, 1990.</w:t>
      </w:r>
    </w:p>
  </w:footnote>
  <w:footnote w:id="63">
    <w:p w14:paraId="0EC8BAC8" w14:textId="57F867D2" w:rsidR="00F83AF6" w:rsidRPr="00BE06A8" w:rsidRDefault="00F83AF6" w:rsidP="00531E8E">
      <w:pPr>
        <w:pStyle w:val="Testonotaapidipagina"/>
        <w:spacing w:line="360" w:lineRule="auto"/>
        <w:ind w:left="426" w:hanging="426"/>
        <w:jc w:val="both"/>
        <w:rPr>
          <w:lang w:val="en-US"/>
        </w:rPr>
      </w:pPr>
      <w:r w:rsidRPr="00531E8E">
        <w:rPr>
          <w:rStyle w:val="Rimandonotaapidipagina"/>
          <w:rFonts w:ascii="Arial" w:hAnsi="Arial" w:cs="Arial"/>
        </w:rPr>
        <w:footnoteRef/>
      </w:r>
      <w:r w:rsidRPr="00531E8E">
        <w:rPr>
          <w:rFonts w:ascii="Arial" w:hAnsi="Arial" w:cs="Arial"/>
          <w:lang w:val="en-US"/>
        </w:rPr>
        <w:t xml:space="preserve"> </w:t>
      </w:r>
      <w:r w:rsidRPr="00531E8E">
        <w:rPr>
          <w:rFonts w:ascii="Arial" w:hAnsi="Arial" w:cs="Arial"/>
          <w:lang w:val="en-US"/>
        </w:rPr>
        <w:tab/>
        <w:t>Portes A.</w:t>
      </w:r>
      <w:r w:rsidR="00786E0F">
        <w:rPr>
          <w:rFonts w:ascii="Arial" w:hAnsi="Arial" w:cs="Arial"/>
          <w:lang w:val="en-US"/>
        </w:rPr>
        <w:t>,</w:t>
      </w:r>
      <w:r w:rsidRPr="00531E8E">
        <w:rPr>
          <w:rFonts w:ascii="Arial" w:hAnsi="Arial" w:cs="Arial"/>
          <w:lang w:val="en-US"/>
        </w:rPr>
        <w:t xml:space="preserve"> “</w:t>
      </w:r>
      <w:r w:rsidRPr="00531E8E">
        <w:rPr>
          <w:rFonts w:ascii="Arial" w:hAnsi="Arial" w:cs="Arial"/>
          <w:i/>
          <w:iCs/>
          <w:lang w:val="en-US"/>
        </w:rPr>
        <w:t>Migration and Social Change: Some Conceptual Reflections</w:t>
      </w:r>
      <w:r w:rsidRPr="00531E8E">
        <w:rPr>
          <w:rFonts w:ascii="Arial" w:hAnsi="Arial" w:cs="Arial"/>
          <w:lang w:val="en-US"/>
        </w:rPr>
        <w:t xml:space="preserve">”, </w:t>
      </w:r>
      <w:r w:rsidRPr="00786E0F">
        <w:rPr>
          <w:rFonts w:ascii="Arial" w:hAnsi="Arial" w:cs="Arial"/>
          <w:i/>
          <w:iCs/>
          <w:lang w:val="en-US"/>
        </w:rPr>
        <w:t>Journal of Ethnic and Migration Studies</w:t>
      </w:r>
      <w:r w:rsidRPr="00531E8E">
        <w:rPr>
          <w:rFonts w:ascii="Arial" w:hAnsi="Arial" w:cs="Arial"/>
          <w:lang w:val="en-US"/>
        </w:rPr>
        <w:t xml:space="preserve">, Vol. 36, </w:t>
      </w:r>
      <w:r w:rsidR="00786E0F">
        <w:rPr>
          <w:rFonts w:ascii="Arial" w:hAnsi="Arial" w:cs="Arial"/>
          <w:lang w:val="en-US"/>
        </w:rPr>
        <w:t xml:space="preserve">No.10, </w:t>
      </w:r>
      <w:r w:rsidRPr="00531E8E">
        <w:rPr>
          <w:rFonts w:ascii="Arial" w:hAnsi="Arial" w:cs="Arial"/>
          <w:lang w:val="en-US"/>
        </w:rPr>
        <w:t>2010</w:t>
      </w:r>
      <w:r w:rsidR="00786E0F">
        <w:rPr>
          <w:rFonts w:ascii="Arial" w:hAnsi="Arial" w:cs="Arial"/>
          <w:lang w:val="en-US"/>
        </w:rPr>
        <w:t xml:space="preserve">, pp. 1537-1563, doi: </w:t>
      </w:r>
      <w:r w:rsidRPr="00531E8E">
        <w:rPr>
          <w:rFonts w:ascii="Arial" w:hAnsi="Arial" w:cs="Arial"/>
          <w:lang w:val="en-US"/>
        </w:rPr>
        <w:t>https://doi.org/10.1080/1369183X.2010.489370.</w:t>
      </w:r>
    </w:p>
  </w:footnote>
  <w:footnote w:id="64">
    <w:p w14:paraId="45B24088" w14:textId="736B5594" w:rsidR="00F83AF6" w:rsidRPr="00FD10C7" w:rsidRDefault="00F83AF6" w:rsidP="00FD10C7">
      <w:pPr>
        <w:pStyle w:val="Testonotaapidipagina"/>
        <w:spacing w:line="360" w:lineRule="auto"/>
        <w:ind w:left="426" w:hanging="426"/>
        <w:jc w:val="both"/>
        <w:rPr>
          <w:rFonts w:ascii="Arial" w:hAnsi="Arial" w:cs="Arial"/>
          <w:sz w:val="24"/>
          <w:szCs w:val="24"/>
        </w:rPr>
      </w:pPr>
      <w:r w:rsidRPr="00FD10C7">
        <w:rPr>
          <w:rStyle w:val="Rimandonotaapidipagina"/>
          <w:rFonts w:ascii="Arial" w:hAnsi="Arial" w:cs="Arial"/>
          <w:sz w:val="24"/>
          <w:szCs w:val="24"/>
        </w:rPr>
        <w:footnoteRef/>
      </w:r>
      <w:r w:rsidRPr="00FD10C7">
        <w:rPr>
          <w:rFonts w:ascii="Arial" w:hAnsi="Arial" w:cs="Arial"/>
          <w:sz w:val="24"/>
          <w:szCs w:val="24"/>
        </w:rPr>
        <w:t xml:space="preserve"> </w:t>
      </w:r>
      <w:r w:rsidRPr="00FD10C7">
        <w:rPr>
          <w:rFonts w:ascii="Arial" w:hAnsi="Arial" w:cs="Arial"/>
          <w:sz w:val="24"/>
          <w:szCs w:val="24"/>
        </w:rPr>
        <w:tab/>
      </w:r>
      <w:r w:rsidRPr="007807A6">
        <w:rPr>
          <w:rFonts w:ascii="Arial" w:hAnsi="Arial" w:cs="Arial"/>
        </w:rPr>
        <w:t>Bruschi F., “</w:t>
      </w:r>
      <w:r w:rsidRPr="007807A6">
        <w:rPr>
          <w:rFonts w:ascii="Arial" w:hAnsi="Arial" w:cs="Arial"/>
          <w:i/>
          <w:iCs/>
        </w:rPr>
        <w:t>L‘informalizzazione: pericolo o risorsa per l’Africa</w:t>
      </w:r>
      <w:r w:rsidRPr="007807A6">
        <w:rPr>
          <w:rFonts w:ascii="Arial" w:hAnsi="Arial" w:cs="Arial"/>
        </w:rPr>
        <w:t xml:space="preserve">?”, Rivista trimestrale di studi e documentazione dell’Istituto italiano per l’Africa e l’Oriente, </w:t>
      </w:r>
      <w:r w:rsidR="004F2F22" w:rsidRPr="007807A6">
        <w:rPr>
          <w:rFonts w:ascii="Arial" w:hAnsi="Arial" w:cs="Arial"/>
        </w:rPr>
        <w:t xml:space="preserve">Vol. </w:t>
      </w:r>
      <w:r w:rsidRPr="007807A6">
        <w:rPr>
          <w:rFonts w:ascii="Arial" w:hAnsi="Arial" w:cs="Arial"/>
        </w:rPr>
        <w:t>56,</w:t>
      </w:r>
      <w:r w:rsidR="004F2F22" w:rsidRPr="007807A6">
        <w:rPr>
          <w:rFonts w:ascii="Arial" w:hAnsi="Arial" w:cs="Arial"/>
        </w:rPr>
        <w:t xml:space="preserve"> n. 02</w:t>
      </w:r>
      <w:r w:rsidRPr="007807A6">
        <w:rPr>
          <w:rFonts w:ascii="Arial" w:hAnsi="Arial" w:cs="Arial"/>
        </w:rPr>
        <w:t xml:space="preserve">, </w:t>
      </w:r>
      <w:r w:rsidR="004F2F22" w:rsidRPr="007807A6">
        <w:rPr>
          <w:rFonts w:ascii="Arial" w:hAnsi="Arial" w:cs="Arial"/>
        </w:rPr>
        <w:t xml:space="preserve">2001, </w:t>
      </w:r>
      <w:r w:rsidRPr="007807A6">
        <w:rPr>
          <w:rFonts w:ascii="Arial" w:hAnsi="Arial" w:cs="Arial"/>
        </w:rPr>
        <w:t>pp. 210-</w:t>
      </w:r>
      <w:r w:rsidR="00FD10C7" w:rsidRPr="007807A6">
        <w:rPr>
          <w:rFonts w:ascii="Arial" w:hAnsi="Arial" w:cs="Arial"/>
        </w:rPr>
        <w:t xml:space="preserve">239, </w:t>
      </w:r>
      <w:r w:rsidRPr="007807A6">
        <w:rPr>
          <w:rFonts w:ascii="Arial" w:hAnsi="Arial" w:cs="Arial"/>
        </w:rPr>
        <w:t>2001</w:t>
      </w:r>
      <w:r w:rsidR="004F2F22" w:rsidRPr="007807A6">
        <w:rPr>
          <w:rFonts w:ascii="Arial" w:hAnsi="Arial" w:cs="Arial"/>
        </w:rPr>
        <w:t>.</w:t>
      </w:r>
    </w:p>
  </w:footnote>
  <w:footnote w:id="65">
    <w:p w14:paraId="62626BE2"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 xml:space="preserve">Nel calcolare il reddito nazionale lordo (RNL) pro capite in dollari USA per scopi operativi e analitici, la Banca Mondiale utilizza il fattore di conversione </w:t>
      </w:r>
      <w:r w:rsidRPr="003D1A51">
        <w:rPr>
          <w:rFonts w:ascii="Arial" w:hAnsi="Arial" w:cs="Arial"/>
          <w:i/>
          <w:iCs/>
        </w:rPr>
        <w:t>Atlas</w:t>
      </w:r>
      <w:r w:rsidRPr="003D1A51">
        <w:rPr>
          <w:rFonts w:ascii="Arial" w:hAnsi="Arial" w:cs="Arial"/>
        </w:rPr>
        <w:t xml:space="preserve"> invece dei tassi di cambio di mercato. Lo scopo del fattore di conversione Atlas è quello di ridurre l’impatto delle fluttuazioni del tasso di cambio nei confronti tra paesi dei redditi nazionali. </w:t>
      </w:r>
    </w:p>
    <w:p w14:paraId="74D1AC11" w14:textId="77777777" w:rsidR="00F83AF6" w:rsidRPr="003D1A51" w:rsidRDefault="00F83AF6" w:rsidP="00F83AF6">
      <w:pPr>
        <w:pStyle w:val="Testonotaapidipagina"/>
        <w:spacing w:line="360" w:lineRule="auto"/>
        <w:ind w:left="284"/>
        <w:jc w:val="both"/>
        <w:rPr>
          <w:rFonts w:ascii="Arial" w:hAnsi="Arial" w:cs="Arial"/>
        </w:rPr>
      </w:pPr>
      <w:r w:rsidRPr="003D1A51">
        <w:rPr>
          <w:rFonts w:ascii="Arial" w:hAnsi="Arial" w:cs="Arial"/>
        </w:rPr>
        <w:t>Per il metodo di calcolo si rimanda a: https://datahelpdesk.worldbank.org/knowledgebase/articles/378832-what-is-the-world-bank-atlas.</w:t>
      </w:r>
    </w:p>
  </w:footnote>
  <w:footnote w:id="66">
    <w:p w14:paraId="2AC308C1"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 xml:space="preserve">Per il quale si rimanda a: </w:t>
      </w:r>
      <w:r w:rsidRPr="003D1A51">
        <w:rPr>
          <w:rFonts w:ascii="Arial" w:hAnsi="Arial" w:cs="Arial"/>
          <w:i/>
          <w:iCs/>
          <w:lang w:val="en-US"/>
        </w:rPr>
        <w:t>The World Bank</w:t>
      </w:r>
      <w:r w:rsidRPr="003D1A51">
        <w:rPr>
          <w:rFonts w:ascii="Arial" w:hAnsi="Arial" w:cs="Arial"/>
          <w:lang w:val="en-US"/>
        </w:rPr>
        <w:t xml:space="preserve">, </w:t>
      </w:r>
      <w:r w:rsidRPr="003D1A51">
        <w:rPr>
          <w:rFonts w:ascii="Arial" w:hAnsi="Arial" w:cs="Arial"/>
          <w:i/>
          <w:iCs/>
          <w:lang w:val="en-US"/>
        </w:rPr>
        <w:t>How does the World Bank classify countries?</w:t>
      </w:r>
      <w:r w:rsidRPr="003D1A51">
        <w:rPr>
          <w:rFonts w:ascii="Arial" w:hAnsi="Arial" w:cs="Arial"/>
          <w:lang w:val="en-US"/>
        </w:rPr>
        <w:t xml:space="preserve"> in https://datahelpdesk.worldbank.org/knowledgebase/articles/378834-how-does-the-world-bank-classify-countries.</w:t>
      </w:r>
    </w:p>
  </w:footnote>
  <w:footnote w:id="67">
    <w:p w14:paraId="1733A244"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Consultabili in https://databank.worldbank.org/reports.aspx?source=world-development-indicators.</w:t>
      </w:r>
    </w:p>
  </w:footnote>
  <w:footnote w:id="68">
    <w:p w14:paraId="32E4CF7D"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 xml:space="preserve">Per informazioni dettagliate sul CGAP, si rimanda a Bhatnagar, D., Dewan, A., Torres, M. M., Kanungo, P., </w:t>
      </w:r>
      <w:r w:rsidRPr="003D1A51">
        <w:rPr>
          <w:rFonts w:ascii="Arial" w:hAnsi="Arial" w:cs="Arial"/>
          <w:i/>
          <w:iCs/>
        </w:rPr>
        <w:t>Consultative Group to Assist the Poorest</w:t>
      </w:r>
      <w:r w:rsidRPr="003D1A51">
        <w:rPr>
          <w:rFonts w:ascii="Arial" w:hAnsi="Arial" w:cs="Arial"/>
        </w:rPr>
        <w:t xml:space="preserve"> (CGAP). </w:t>
      </w:r>
      <w:r w:rsidRPr="003D1A51">
        <w:rPr>
          <w:rFonts w:ascii="Arial" w:hAnsi="Arial" w:cs="Arial"/>
          <w:lang w:val="en-US"/>
        </w:rPr>
        <w:t>Empowerment case studies Washington, D.C.: World Bank Group, in http://documents.worldbank.org/curated/en/433421468153290801/Consultative-Group-to-Assist-the-Poorest-CGAP.</w:t>
      </w:r>
    </w:p>
  </w:footnote>
  <w:footnote w:id="69">
    <w:p w14:paraId="0EF8BE83"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Fidler, P. J.; Paxton, J., “</w:t>
      </w:r>
      <w:r w:rsidRPr="003D1A51">
        <w:rPr>
          <w:rFonts w:ascii="Arial" w:hAnsi="Arial" w:cs="Arial"/>
          <w:i/>
          <w:iCs/>
          <w:lang w:val="en-US"/>
        </w:rPr>
        <w:t>An inventory of microfinance institutions in South Asia”</w:t>
      </w:r>
      <w:r w:rsidRPr="003D1A51">
        <w:rPr>
          <w:rFonts w:ascii="Arial" w:hAnsi="Arial" w:cs="Arial"/>
          <w:lang w:val="en-US"/>
        </w:rPr>
        <w:t>, World Bank Sustainable Banking with the Poor, Washington DC,1997, in:</w:t>
      </w:r>
    </w:p>
    <w:p w14:paraId="77B161BB" w14:textId="77777777" w:rsidR="00F83AF6" w:rsidRPr="003D1A51" w:rsidRDefault="00F83AF6" w:rsidP="00F83AF6">
      <w:pPr>
        <w:pStyle w:val="Testonotaapidipagina"/>
        <w:spacing w:line="360" w:lineRule="auto"/>
        <w:ind w:left="284" w:hanging="1"/>
        <w:jc w:val="both"/>
        <w:rPr>
          <w:rFonts w:ascii="Arial" w:hAnsi="Arial" w:cs="Arial"/>
          <w:lang w:val="en-US"/>
        </w:rPr>
      </w:pPr>
      <w:r w:rsidRPr="003D1A51">
        <w:rPr>
          <w:rFonts w:ascii="Arial" w:hAnsi="Arial" w:cs="Arial"/>
          <w:lang w:val="en-US"/>
        </w:rPr>
        <w:t>http://documents.worldbank.org/curated/en/170491468073728349/An-inventory-of-microfinance-institutions-in-South-Asian.</w:t>
      </w:r>
    </w:p>
  </w:footnote>
  <w:footnote w:id="70">
    <w:p w14:paraId="6AFF4156"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Messina A. “</w:t>
      </w:r>
      <w:r w:rsidRPr="003D1A51">
        <w:rPr>
          <w:rFonts w:ascii="Arial" w:hAnsi="Arial" w:cs="Arial"/>
          <w:i/>
          <w:iCs/>
        </w:rPr>
        <w:t>Fare microcredito</w:t>
      </w:r>
      <w:r w:rsidRPr="003D1A51">
        <w:rPr>
          <w:rFonts w:ascii="Arial" w:hAnsi="Arial" w:cs="Arial"/>
        </w:rPr>
        <w:t>”, Bancaria editrice, 2015.</w:t>
      </w:r>
    </w:p>
  </w:footnote>
  <w:footnote w:id="71">
    <w:p w14:paraId="5D7A6A90"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Cocchieri S., Messina A., Nafissi L., “</w:t>
      </w:r>
      <w:r w:rsidRPr="003D1A51">
        <w:rPr>
          <w:rFonts w:ascii="Arial" w:hAnsi="Arial" w:cs="Arial"/>
          <w:i/>
          <w:iCs/>
        </w:rPr>
        <w:t>Più credito per tutti. Vent’anni del Fondo di garanzia PMI, tra passato, crisi Covid e futuro</w:t>
      </w:r>
      <w:r w:rsidRPr="003D1A51">
        <w:rPr>
          <w:rFonts w:ascii="Arial" w:hAnsi="Arial" w:cs="Arial"/>
        </w:rPr>
        <w:t>”, Ecra, 2022.</w:t>
      </w:r>
    </w:p>
  </w:footnote>
  <w:footnote w:id="72">
    <w:p w14:paraId="3C570CED"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w:t>
      </w:r>
      <w:r w:rsidRPr="003D1A51">
        <w:rPr>
          <w:rFonts w:ascii="Arial" w:hAnsi="Arial" w:cs="Arial"/>
          <w:i/>
          <w:iCs/>
        </w:rPr>
        <w:t>Disposizioni operative</w:t>
      </w:r>
      <w:r w:rsidRPr="003D1A51">
        <w:rPr>
          <w:rFonts w:ascii="Arial" w:hAnsi="Arial" w:cs="Arial"/>
        </w:rPr>
        <w:t xml:space="preserve">”, in </w:t>
      </w:r>
    </w:p>
    <w:p w14:paraId="7297A82D" w14:textId="77777777" w:rsidR="00F83AF6" w:rsidRPr="003D1A51" w:rsidRDefault="00F83AF6" w:rsidP="00F83AF6">
      <w:pPr>
        <w:pStyle w:val="Testonotaapidipagina"/>
        <w:spacing w:line="360" w:lineRule="auto"/>
        <w:ind w:left="284"/>
        <w:jc w:val="both"/>
        <w:rPr>
          <w:rFonts w:ascii="Arial" w:hAnsi="Arial" w:cs="Arial"/>
        </w:rPr>
      </w:pPr>
      <w:r w:rsidRPr="003D1A51">
        <w:rPr>
          <w:rFonts w:ascii="Arial" w:hAnsi="Arial" w:cs="Arial"/>
        </w:rPr>
        <w:t>https://www.mimit.gov.it/images/stories/normativa/disposizioni_fondo_di_garanzia.pdf.</w:t>
      </w:r>
    </w:p>
  </w:footnote>
  <w:footnote w:id="73">
    <w:p w14:paraId="3F1BBC83"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Attinà F., Natalicchi G., “</w:t>
      </w:r>
      <w:r w:rsidRPr="003D1A51">
        <w:rPr>
          <w:rFonts w:ascii="Arial" w:hAnsi="Arial" w:cs="Arial"/>
          <w:i/>
        </w:rPr>
        <w:t>L’ Unione Europea. Governo, istituzioni, politiche</w:t>
      </w:r>
      <w:r w:rsidRPr="003D1A51">
        <w:rPr>
          <w:rFonts w:ascii="Arial" w:hAnsi="Arial" w:cs="Arial"/>
        </w:rPr>
        <w:t>”, Il Mulino, 2010.</w:t>
      </w:r>
    </w:p>
  </w:footnote>
  <w:footnote w:id="74">
    <w:p w14:paraId="261BB24D"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https://www.guidaeuroprogettazione.eu/guida/categorie-finanziamento-2021-2027/i-fondi-strutturali-rurali/.</w:t>
      </w:r>
    </w:p>
  </w:footnote>
  <w:footnote w:id="75">
    <w:p w14:paraId="0F93FD1B"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Pollio Salimbeni A., “</w:t>
      </w:r>
      <w:r w:rsidRPr="003D1A51">
        <w:rPr>
          <w:rFonts w:ascii="Arial" w:hAnsi="Arial" w:cs="Arial"/>
          <w:i/>
        </w:rPr>
        <w:t>Fondi Europei 2021-2027, Politica di coesione, guida al negoziato sul bilancio UE</w:t>
      </w:r>
      <w:r w:rsidRPr="003D1A51">
        <w:rPr>
          <w:rFonts w:ascii="Arial" w:hAnsi="Arial" w:cs="Arial"/>
        </w:rPr>
        <w:t>”, in https://www.agenziacoesione.gov.it/wp- content, 2018.</w:t>
      </w:r>
    </w:p>
  </w:footnote>
  <w:footnote w:id="76">
    <w:p w14:paraId="3B61B313"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Disciplinato dall’articolo 312 del Trattato sul funzionamento dell'Unione europea (TFUE).</w:t>
      </w:r>
    </w:p>
  </w:footnote>
  <w:footnote w:id="77">
    <w:p w14:paraId="2E1FB792"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Si veda il prospetto riportato in https://www.consilium.europa.eu/media/47567/mff-2021-2027_rev.pdf.</w:t>
      </w:r>
    </w:p>
  </w:footnote>
  <w:footnote w:id="78">
    <w:p w14:paraId="11D22373"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Lang T., “</w:t>
      </w:r>
      <w:r w:rsidRPr="003D1A51">
        <w:rPr>
          <w:rFonts w:ascii="Arial" w:hAnsi="Arial" w:cs="Arial"/>
          <w:i/>
          <w:iCs/>
        </w:rPr>
        <w:t>Programmi e risorse a sostegno dell’imprenditorialità</w:t>
      </w:r>
      <w:r w:rsidRPr="003D1A51">
        <w:rPr>
          <w:rFonts w:ascii="Arial" w:hAnsi="Arial" w:cs="Arial"/>
        </w:rPr>
        <w:t>”, Rivista microcredito, Ente Nazionale per il microcredito”, n. 42, 2022.</w:t>
      </w:r>
    </w:p>
  </w:footnote>
  <w:footnote w:id="79">
    <w:p w14:paraId="45A6AA39"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Mozzoni I., “</w:t>
      </w:r>
      <w:r w:rsidRPr="003D1A51">
        <w:rPr>
          <w:rFonts w:ascii="Arial" w:hAnsi="Arial" w:cs="Arial"/>
          <w:i/>
        </w:rPr>
        <w:t>Geografia della politica di coesione europea</w:t>
      </w:r>
      <w:r w:rsidRPr="003D1A51">
        <w:rPr>
          <w:rFonts w:ascii="Arial" w:hAnsi="Arial" w:cs="Arial"/>
        </w:rPr>
        <w:t>”, Aracne, 2012.</w:t>
      </w:r>
    </w:p>
  </w:footnote>
  <w:footnote w:id="80">
    <w:p w14:paraId="25DD366F" w14:textId="77777777" w:rsidR="00F83AF6" w:rsidRPr="003D1A51" w:rsidRDefault="00F83AF6" w:rsidP="00F83AF6">
      <w:pPr>
        <w:pStyle w:val="Testonotaapidipagina"/>
        <w:tabs>
          <w:tab w:val="left" w:pos="142"/>
        </w:tabs>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Bruzzo A., “</w:t>
      </w:r>
      <w:r w:rsidRPr="003D1A51">
        <w:rPr>
          <w:rFonts w:ascii="Arial" w:hAnsi="Arial" w:cs="Arial"/>
          <w:i/>
        </w:rPr>
        <w:t>Le politiche strutturali della comunità europea per la coesione economica e sociale</w:t>
      </w:r>
      <w:r w:rsidRPr="003D1A51">
        <w:rPr>
          <w:rFonts w:ascii="Arial" w:hAnsi="Arial" w:cs="Arial"/>
        </w:rPr>
        <w:t>”, Cedam, 2020.</w:t>
      </w:r>
    </w:p>
  </w:footnote>
  <w:footnote w:id="81">
    <w:p w14:paraId="327DFF1E"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Trotta F., “</w:t>
      </w:r>
      <w:r w:rsidRPr="003D1A51">
        <w:rPr>
          <w:rFonts w:ascii="Arial" w:hAnsi="Arial" w:cs="Arial"/>
          <w:i/>
        </w:rPr>
        <w:t>L’evoluzione della politica di coesione dell’Unione Europea: dalle origini alla nuova programmazione 2014-2020”</w:t>
      </w:r>
      <w:r w:rsidRPr="003D1A51">
        <w:rPr>
          <w:rFonts w:ascii="Arial" w:hAnsi="Arial" w:cs="Arial"/>
        </w:rPr>
        <w:t>, Edizioni LUISS, 2014.</w:t>
      </w:r>
    </w:p>
  </w:footnote>
  <w:footnote w:id="82">
    <w:p w14:paraId="26B0DD9E"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Ministero dell’economia e delle finanze, Dipartimento della Ragioneria Generale dello Stato – Ispettorato Generale per i rapporti con l’Unione Europea, “</w:t>
      </w:r>
      <w:r w:rsidRPr="003D1A51">
        <w:rPr>
          <w:rFonts w:ascii="Arial" w:hAnsi="Arial" w:cs="Arial"/>
          <w:i/>
          <w:iCs/>
        </w:rPr>
        <w:t>Monitoraggio Politiche di Coesione, Programmazione 2021-2027”</w:t>
      </w:r>
      <w:r w:rsidRPr="003D1A51">
        <w:rPr>
          <w:rFonts w:ascii="Arial" w:hAnsi="Arial" w:cs="Arial"/>
        </w:rPr>
        <w:t>, 28 febbraio 2023.</w:t>
      </w:r>
    </w:p>
  </w:footnote>
  <w:footnote w:id="83">
    <w:p w14:paraId="6A32C752"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 xml:space="preserve">Regolamento UE n. 2021/523, del 24 marzo 2021, che istituisce il programma </w:t>
      </w:r>
      <w:r w:rsidRPr="003D1A51">
        <w:rPr>
          <w:rFonts w:ascii="Arial" w:hAnsi="Arial" w:cs="Arial"/>
          <w:i/>
          <w:iCs/>
        </w:rPr>
        <w:t>InvestEU</w:t>
      </w:r>
      <w:r w:rsidRPr="003D1A51">
        <w:rPr>
          <w:rFonts w:ascii="Arial" w:hAnsi="Arial" w:cs="Arial"/>
        </w:rPr>
        <w:t xml:space="preserve"> e che modifica il Regolamento (UE) n. 2015/1017. Si veda, in particolare, il considerando n. 24 di cui si fa menzione del ruolo della microfinanza.</w:t>
      </w:r>
    </w:p>
  </w:footnote>
  <w:footnote w:id="84">
    <w:p w14:paraId="39157539"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Considerando n. 40 del regolamento indicato alla nota precedente.</w:t>
      </w:r>
    </w:p>
  </w:footnote>
  <w:footnote w:id="85">
    <w:p w14:paraId="073EDCC9"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r>
      <w:r w:rsidRPr="003D1A51">
        <w:rPr>
          <w:rFonts w:ascii="Arial" w:hAnsi="Arial" w:cs="Arial"/>
          <w:shd w:val="clear" w:color="auto" w:fill="FFFFFF"/>
          <w:lang w:val="en-US"/>
        </w:rPr>
        <w:t xml:space="preserve">European Commission, Directorate-General for Employment, Social Affairs and Inclusion, </w:t>
      </w:r>
      <w:r w:rsidRPr="003D1A51">
        <w:rPr>
          <w:rFonts w:ascii="Arial" w:hAnsi="Arial" w:cs="Arial"/>
          <w:i/>
          <w:iCs/>
          <w:shd w:val="clear" w:color="auto" w:fill="FFFFFF"/>
          <w:lang w:val="en-US"/>
        </w:rPr>
        <w:t>European code of good conduct for microcredit provision – Update 2022</w:t>
      </w:r>
      <w:r w:rsidRPr="003D1A51">
        <w:rPr>
          <w:rFonts w:ascii="Arial" w:hAnsi="Arial" w:cs="Arial"/>
          <w:shd w:val="clear" w:color="auto" w:fill="FFFFFF"/>
          <w:lang w:val="en-US"/>
        </w:rPr>
        <w:t xml:space="preserve">, Publications Office of the European Union, 2022, in </w:t>
      </w:r>
      <w:hyperlink r:id="rId3" w:tgtFrame="_blank" w:history="1">
        <w:r w:rsidRPr="003D1A51">
          <w:rPr>
            <w:rStyle w:val="Collegamentoipertestuale"/>
            <w:rFonts w:ascii="Arial" w:hAnsi="Arial" w:cs="Arial"/>
            <w:color w:val="auto"/>
            <w:u w:val="none"/>
            <w:shd w:val="clear" w:color="auto" w:fill="FFFFFF"/>
            <w:lang w:val="en-US"/>
          </w:rPr>
          <w:t>https://data.europa.eu/doi/10.2767/36063</w:t>
        </w:r>
      </w:hyperlink>
      <w:r w:rsidRPr="003D1A51">
        <w:rPr>
          <w:rFonts w:ascii="Arial" w:hAnsi="Arial" w:cs="Arial"/>
          <w:lang w:val="en-US"/>
        </w:rPr>
        <w:t>.</w:t>
      </w:r>
    </w:p>
  </w:footnote>
  <w:footnote w:id="86">
    <w:p w14:paraId="11A8ACAA"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Sen A., “</w:t>
      </w:r>
      <w:r w:rsidRPr="003D1A51">
        <w:rPr>
          <w:rFonts w:ascii="Arial" w:hAnsi="Arial" w:cs="Arial"/>
          <w:i/>
          <w:iCs/>
          <w:lang w:val="en-US"/>
        </w:rPr>
        <w:t>Poverty: An Ordinal Approach to Measurement</w:t>
      </w:r>
      <w:r w:rsidRPr="003D1A51">
        <w:rPr>
          <w:rFonts w:ascii="Arial" w:hAnsi="Arial" w:cs="Arial"/>
          <w:lang w:val="en-US"/>
        </w:rPr>
        <w:t>” Econometrica, Vol. 44, No. 02, 1976, pp. 219-23. Hagenaars A., de Vos K., “</w:t>
      </w:r>
      <w:r w:rsidRPr="003D1A51">
        <w:rPr>
          <w:rFonts w:ascii="Arial" w:hAnsi="Arial" w:cs="Arial"/>
          <w:i/>
          <w:iCs/>
          <w:lang w:val="en-US"/>
        </w:rPr>
        <w:t>The Definition and Measurement of Poverty</w:t>
      </w:r>
      <w:r w:rsidRPr="003D1A51">
        <w:rPr>
          <w:rFonts w:ascii="Arial" w:hAnsi="Arial" w:cs="Arial"/>
          <w:lang w:val="en-US"/>
        </w:rPr>
        <w:t xml:space="preserve">”, in </w:t>
      </w:r>
      <w:r w:rsidRPr="003D1A51">
        <w:rPr>
          <w:rFonts w:ascii="Arial" w:hAnsi="Arial" w:cs="Arial"/>
          <w:i/>
          <w:iCs/>
          <w:lang w:val="en-US"/>
        </w:rPr>
        <w:t>The Journal of Human Resources</w:t>
      </w:r>
      <w:r w:rsidRPr="003D1A51">
        <w:rPr>
          <w:rFonts w:ascii="Arial" w:hAnsi="Arial" w:cs="Arial"/>
          <w:lang w:val="en-US"/>
        </w:rPr>
        <w:t>, Vol. 23, No. 2, 1988, pp. 211-221, Spring, doi: https://doi.org/10.2307/145776.</w:t>
      </w:r>
    </w:p>
  </w:footnote>
  <w:footnote w:id="87">
    <w:p w14:paraId="0EF4BE97" w14:textId="77777777" w:rsidR="00F83AF6" w:rsidRPr="003D1A51" w:rsidRDefault="00F83AF6" w:rsidP="00F83AF6">
      <w:pPr>
        <w:pStyle w:val="Testonotaapidipagina"/>
        <w:spacing w:line="360" w:lineRule="auto"/>
        <w:ind w:left="284" w:hanging="284"/>
        <w:jc w:val="both"/>
        <w:rPr>
          <w:rFonts w:ascii="Arial" w:hAnsi="Arial" w:cs="Arial"/>
          <w:i/>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Coccia G., “</w:t>
      </w:r>
      <w:r w:rsidRPr="003D1A51">
        <w:rPr>
          <w:rFonts w:ascii="Arial" w:hAnsi="Arial" w:cs="Arial"/>
          <w:i/>
        </w:rPr>
        <w:t>La povertà estrema nel mondo diminuisce ma ancora non riusciamo a conoscere a fondo il fenomeno</w:t>
      </w:r>
      <w:r w:rsidRPr="003D1A51">
        <w:rPr>
          <w:rFonts w:ascii="Arial" w:hAnsi="Arial" w:cs="Arial"/>
        </w:rPr>
        <w:t>”, in FUTURA network, https://futuranetwork.eu/focus/533-4212/la-poverta-estrema.</w:t>
      </w:r>
    </w:p>
  </w:footnote>
  <w:footnote w:id="88">
    <w:p w14:paraId="5E406F9C"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Rowentree S., “</w:t>
      </w:r>
      <w:r w:rsidRPr="003D1A51">
        <w:rPr>
          <w:rFonts w:ascii="Arial" w:hAnsi="Arial" w:cs="Arial"/>
          <w:i/>
          <w:lang w:val="en-US"/>
        </w:rPr>
        <w:t>Poverty: a study of town life</w:t>
      </w:r>
      <w:r w:rsidRPr="003D1A51">
        <w:rPr>
          <w:rFonts w:ascii="Arial" w:hAnsi="Arial" w:cs="Arial"/>
          <w:lang w:val="en-US"/>
        </w:rPr>
        <w:t>”, Macmillan, London, 1901.</w:t>
      </w:r>
    </w:p>
  </w:footnote>
  <w:footnote w:id="89">
    <w:p w14:paraId="69069BD2"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Comitato delle Nazioni Unite per i diritti sociali, economici e culturali, E/C.12/2001/10, 10 May 2001.</w:t>
      </w:r>
    </w:p>
  </w:footnote>
  <w:footnote w:id="90">
    <w:p w14:paraId="3D94B390"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L’indice multidimensionale di riferimento è quello adottato dalle Nazioni Unite ed è riportato in https://hdr.undp.org/system/files/documents.</w:t>
      </w:r>
    </w:p>
  </w:footnote>
  <w:footnote w:id="91">
    <w:p w14:paraId="0CB960D9"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Jolliffe D., Gerszon Mahler D., Lakner C., Atamanov A., Kofi Tetteh-Baah S., “</w:t>
      </w:r>
      <w:r w:rsidRPr="003D1A51">
        <w:rPr>
          <w:rFonts w:ascii="Arial" w:hAnsi="Arial" w:cs="Arial"/>
          <w:i/>
          <w:iCs/>
          <w:lang w:val="en-US"/>
        </w:rPr>
        <w:t>Assessing the Impact of the 2017 PPPs on the International Poverty Line and Global Poverty</w:t>
      </w:r>
      <w:r w:rsidRPr="003D1A51">
        <w:rPr>
          <w:rFonts w:ascii="Arial" w:hAnsi="Arial" w:cs="Arial"/>
          <w:lang w:val="en-US"/>
        </w:rPr>
        <w:t>”, WBG, Development Data Group &amp; Poverty and Equity Global Practice, 2022.</w:t>
      </w:r>
    </w:p>
  </w:footnote>
  <w:footnote w:id="92">
    <w:p w14:paraId="3EC52DE3"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Banca Mondiale, “</w:t>
      </w:r>
      <w:r w:rsidRPr="003D1A51">
        <w:rPr>
          <w:rFonts w:ascii="Arial" w:hAnsi="Arial" w:cs="Arial"/>
          <w:i/>
          <w:iCs/>
        </w:rPr>
        <w:t>Povertà e prosperità condivisa 2022</w:t>
      </w:r>
      <w:r w:rsidRPr="003D1A51">
        <w:rPr>
          <w:rFonts w:ascii="Arial" w:hAnsi="Arial" w:cs="Arial"/>
        </w:rPr>
        <w:t>”, in https://openknowledge.worldbank.org.</w:t>
      </w:r>
    </w:p>
  </w:footnote>
  <w:footnote w:id="93">
    <w:p w14:paraId="2D7E3B20"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La parità del potere d’acquisto (PPA), comunemente conosciuta come PPP, afferma che il tasso di cambio tra le valute di due paesi coincide con il rapporto tra il livello dei prezzi dei due paesi.</w:t>
      </w:r>
    </w:p>
  </w:footnote>
  <w:footnote w:id="94">
    <w:p w14:paraId="5EAF1669"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WB, “</w:t>
      </w:r>
      <w:r w:rsidRPr="003D1A51">
        <w:rPr>
          <w:rFonts w:ascii="Arial" w:hAnsi="Arial" w:cs="Arial"/>
          <w:i/>
          <w:iCs/>
        </w:rPr>
        <w:t>Aggiornamento della linea di povertà sociale della Banca Mondiale con le parità di potere d’acquisto del 2017</w:t>
      </w:r>
      <w:r w:rsidRPr="003D1A51">
        <w:rPr>
          <w:rFonts w:ascii="Arial" w:hAnsi="Arial" w:cs="Arial"/>
        </w:rPr>
        <w:t>”, in https://blogs.worldbank.org/opendata/updating-world-banks-societal-poverty-line-2017-purchasing-power-parities.</w:t>
      </w:r>
    </w:p>
  </w:footnote>
  <w:footnote w:id="95">
    <w:p w14:paraId="7DFBA789"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Cfr. United Nations, Resolution adopted by the General Assembly on 25 September 2015, “</w:t>
      </w:r>
      <w:r w:rsidRPr="003D1A51">
        <w:rPr>
          <w:rFonts w:ascii="Arial" w:hAnsi="Arial" w:cs="Arial"/>
          <w:i/>
          <w:iCs/>
          <w:lang w:val="en-US"/>
        </w:rPr>
        <w:t>Transforming our world: the 2030 Agenda for Sustainable Development”</w:t>
      </w:r>
      <w:r w:rsidRPr="003D1A51">
        <w:rPr>
          <w:rFonts w:ascii="Arial" w:hAnsi="Arial" w:cs="Arial"/>
          <w:lang w:val="en-US"/>
        </w:rPr>
        <w:t>.</w:t>
      </w:r>
    </w:p>
  </w:footnote>
  <w:footnote w:id="96">
    <w:p w14:paraId="3A573A77"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Riportati nella Dichiarazione del Millennio delle Nazioni Unite (Assemblea Generale, Risoluzione A/55/2, dell’8 settembre 2000).</w:t>
      </w:r>
    </w:p>
  </w:footnote>
  <w:footnote w:id="97">
    <w:p w14:paraId="3F6ABF46" w14:textId="77777777" w:rsidR="00F83AF6" w:rsidRPr="003D1A51" w:rsidRDefault="00F83AF6" w:rsidP="00F83AF6">
      <w:pPr>
        <w:pStyle w:val="Testonotaapidipagina"/>
        <w:spacing w:line="360" w:lineRule="auto"/>
        <w:ind w:left="284" w:hanging="284"/>
        <w:jc w:val="both"/>
        <w:rPr>
          <w:rFonts w:ascii="Arial" w:hAnsi="Arial" w:cs="Arial"/>
        </w:rPr>
      </w:pPr>
      <w:r w:rsidRPr="003D1A51">
        <w:rPr>
          <w:rStyle w:val="Rimandonotaapidipagina"/>
          <w:rFonts w:ascii="Arial" w:hAnsi="Arial" w:cs="Arial"/>
        </w:rPr>
        <w:footnoteRef/>
      </w:r>
      <w:r w:rsidRPr="003D1A51">
        <w:rPr>
          <w:rFonts w:ascii="Arial" w:hAnsi="Arial" w:cs="Arial"/>
        </w:rPr>
        <w:t xml:space="preserve"> </w:t>
      </w:r>
      <w:r w:rsidRPr="003D1A51">
        <w:rPr>
          <w:rFonts w:ascii="Arial" w:hAnsi="Arial" w:cs="Arial"/>
        </w:rPr>
        <w:tab/>
        <w:t>Le statistiche dell’Istat sulla povertà in Italia. Anno 2022, in www.istat.it.</w:t>
      </w:r>
    </w:p>
  </w:footnote>
  <w:footnote w:id="98">
    <w:p w14:paraId="7D38A450" w14:textId="77777777" w:rsidR="00F83AF6" w:rsidRPr="003D1A51"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t xml:space="preserve">International Monetary Fund, IMF DATA, Access to Macroeconomic &amp; Financial Data, </w:t>
      </w:r>
      <w:r w:rsidRPr="003D1A51">
        <w:rPr>
          <w:rFonts w:ascii="Arial" w:hAnsi="Arial" w:cs="Arial"/>
          <w:i/>
          <w:iCs/>
          <w:lang w:val="en-US"/>
        </w:rPr>
        <w:t>Financial Access Survey (FAS)</w:t>
      </w:r>
      <w:r w:rsidRPr="003D1A51">
        <w:rPr>
          <w:rFonts w:ascii="Arial" w:hAnsi="Arial" w:cs="Arial"/>
          <w:lang w:val="en-US"/>
        </w:rPr>
        <w:t>, https://data.imf.org.</w:t>
      </w:r>
    </w:p>
  </w:footnote>
  <w:footnote w:id="99">
    <w:p w14:paraId="010480A3" w14:textId="77777777" w:rsidR="00F83AF6" w:rsidRPr="00571CFB" w:rsidRDefault="00F83AF6" w:rsidP="00F83AF6">
      <w:pPr>
        <w:pStyle w:val="Testonotaapidipagina"/>
        <w:spacing w:line="360" w:lineRule="auto"/>
        <w:ind w:left="284" w:hanging="284"/>
        <w:jc w:val="both"/>
        <w:rPr>
          <w:rFonts w:ascii="Arial" w:hAnsi="Arial" w:cs="Arial"/>
          <w:lang w:val="en-US"/>
        </w:rPr>
      </w:pPr>
      <w:r w:rsidRPr="003D1A51">
        <w:rPr>
          <w:rStyle w:val="Rimandonotaapidipagina"/>
          <w:rFonts w:ascii="Arial" w:hAnsi="Arial" w:cs="Arial"/>
        </w:rPr>
        <w:footnoteRef/>
      </w:r>
      <w:r w:rsidRPr="003D1A51">
        <w:rPr>
          <w:rFonts w:ascii="Arial" w:hAnsi="Arial" w:cs="Arial"/>
          <w:lang w:val="en-US"/>
        </w:rPr>
        <w:t xml:space="preserve"> </w:t>
      </w:r>
      <w:r w:rsidRPr="003D1A51">
        <w:rPr>
          <w:rFonts w:ascii="Arial" w:hAnsi="Arial" w:cs="Arial"/>
          <w:lang w:val="en-US"/>
        </w:rPr>
        <w:tab/>
      </w:r>
      <w:r w:rsidRPr="003D1A51">
        <w:rPr>
          <w:rFonts w:ascii="Arial" w:hAnsi="Arial" w:cs="Arial"/>
          <w:iCs/>
          <w:lang w:val="en-US"/>
        </w:rPr>
        <w:t xml:space="preserve">European Microfinance Network, </w:t>
      </w:r>
      <w:r w:rsidRPr="003D1A51">
        <w:rPr>
          <w:rFonts w:ascii="Arial" w:hAnsi="Arial" w:cs="Arial"/>
          <w:i/>
          <w:lang w:val="en-US"/>
        </w:rPr>
        <w:t>Microfinance in Europe: Survey Report</w:t>
      </w:r>
      <w:r w:rsidRPr="003D1A51">
        <w:rPr>
          <w:rFonts w:ascii="Arial" w:hAnsi="Arial" w:cs="Arial"/>
          <w:iCs/>
          <w:lang w:val="en-US"/>
        </w:rPr>
        <w:t xml:space="preserve"> (2022 edition), in </w:t>
      </w:r>
      <w:r w:rsidRPr="003D1A51">
        <w:rPr>
          <w:rFonts w:ascii="Arial" w:hAnsi="Arial" w:cs="Arial"/>
          <w:lang w:val="en-US"/>
        </w:rPr>
        <w:t>https://www.european-microfinance.org/publication/microfinance-europe-survey-report-2022-edition.</w:t>
      </w:r>
    </w:p>
  </w:footnote>
  <w:footnote w:id="100">
    <w:p w14:paraId="572D816F" w14:textId="77777777" w:rsidR="00077609" w:rsidRPr="001D5C4C" w:rsidRDefault="00077609" w:rsidP="00077609">
      <w:pPr>
        <w:pStyle w:val="Testonotaapidipagina"/>
        <w:spacing w:line="360" w:lineRule="auto"/>
        <w:ind w:left="284" w:hanging="284"/>
        <w:jc w:val="both"/>
        <w:rPr>
          <w:lang w:val="en-US"/>
        </w:rPr>
      </w:pPr>
      <w:r>
        <w:rPr>
          <w:rStyle w:val="Rimandonotaapidipagina"/>
        </w:rPr>
        <w:footnoteRef/>
      </w:r>
      <w:r w:rsidRPr="001D5C4C">
        <w:rPr>
          <w:lang w:val="en-US"/>
        </w:rPr>
        <w:t xml:space="preserve"> </w:t>
      </w:r>
      <w:r>
        <w:rPr>
          <w:lang w:val="en-US"/>
        </w:rPr>
        <w:tab/>
      </w:r>
      <w:bookmarkStart w:id="1" w:name="_Hlk159194825"/>
      <w:r w:rsidRPr="00A86FA9">
        <w:rPr>
          <w:rFonts w:ascii="Arial" w:hAnsi="Arial" w:cs="Arial"/>
          <w:lang w:val="en-US"/>
        </w:rPr>
        <w:t>Ledgerwood J. “</w:t>
      </w:r>
      <w:r w:rsidRPr="00A86FA9">
        <w:rPr>
          <w:rFonts w:ascii="Arial" w:hAnsi="Arial" w:cs="Arial"/>
          <w:i/>
          <w:iCs/>
          <w:lang w:val="en-US"/>
        </w:rPr>
        <w:t>Sustainable banking with the poor – Microfinance handbook – An institutional and Financial Perspective</w:t>
      </w:r>
      <w:r w:rsidRPr="00A86FA9">
        <w:rPr>
          <w:rFonts w:ascii="Arial" w:hAnsi="Arial" w:cs="Arial"/>
          <w:lang w:val="en-US"/>
        </w:rPr>
        <w:t>”, The World Bank, Washington D.C., 1999</w:t>
      </w:r>
      <w:r w:rsidRPr="00A86FA9">
        <w:rPr>
          <w:lang w:val="en-US"/>
        </w:rPr>
        <w:t>.</w:t>
      </w:r>
    </w:p>
    <w:bookmarkEnd w:id="1"/>
  </w:footnote>
  <w:footnote w:id="101">
    <w:p w14:paraId="07CB6D8C" w14:textId="77777777" w:rsidR="00077609" w:rsidRPr="00E11876" w:rsidRDefault="00077609" w:rsidP="00077609">
      <w:pPr>
        <w:pStyle w:val="Testonotaapidipagina"/>
        <w:spacing w:line="360" w:lineRule="auto"/>
        <w:ind w:left="426" w:hanging="426"/>
        <w:jc w:val="both"/>
        <w:rPr>
          <w:rFonts w:ascii="Arial" w:hAnsi="Arial" w:cs="Arial"/>
          <w:lang w:val="en-US"/>
        </w:rPr>
      </w:pPr>
      <w:r w:rsidRPr="00E11876">
        <w:rPr>
          <w:rStyle w:val="Rimandonotaapidipagina"/>
          <w:rFonts w:ascii="Arial" w:hAnsi="Arial" w:cs="Arial"/>
        </w:rPr>
        <w:footnoteRef/>
      </w:r>
      <w:r w:rsidRPr="00E11876">
        <w:rPr>
          <w:rFonts w:ascii="Arial" w:hAnsi="Arial" w:cs="Arial"/>
          <w:lang w:val="en-US"/>
        </w:rPr>
        <w:t xml:space="preserve"> </w:t>
      </w:r>
      <w:r w:rsidRPr="00E11876">
        <w:rPr>
          <w:rFonts w:ascii="Arial" w:hAnsi="Arial" w:cs="Arial"/>
          <w:lang w:val="en-US"/>
        </w:rPr>
        <w:tab/>
        <w:t>Morduch J., “</w:t>
      </w:r>
      <w:r w:rsidRPr="00E11876">
        <w:rPr>
          <w:rFonts w:ascii="Arial" w:hAnsi="Arial" w:cs="Arial"/>
          <w:i/>
          <w:iCs/>
          <w:lang w:val="en-US"/>
        </w:rPr>
        <w:t>The microfinance promise</w:t>
      </w:r>
      <w:r w:rsidRPr="00E11876">
        <w:rPr>
          <w:rFonts w:ascii="Arial" w:hAnsi="Arial" w:cs="Arial"/>
          <w:lang w:val="en-US"/>
        </w:rPr>
        <w:t>”, Journal of Economic Literature Vol. XXXVII (</w:t>
      </w:r>
      <w:proofErr w:type="spellStart"/>
      <w:r w:rsidRPr="00E11876">
        <w:rPr>
          <w:rFonts w:ascii="Arial" w:hAnsi="Arial" w:cs="Arial"/>
          <w:lang w:val="en-US"/>
        </w:rPr>
        <w:t>Decmber</w:t>
      </w:r>
      <w:proofErr w:type="spellEnd"/>
      <w:r w:rsidRPr="00E11876">
        <w:rPr>
          <w:rFonts w:ascii="Arial" w:hAnsi="Arial" w:cs="Arial"/>
          <w:lang w:val="en-US"/>
        </w:rPr>
        <w:t xml:space="preserve"> 1999), pp. 1569–1614.</w:t>
      </w:r>
    </w:p>
  </w:footnote>
  <w:footnote w:id="102">
    <w:p w14:paraId="22364EC1" w14:textId="77777777" w:rsidR="00077609" w:rsidRPr="009E286C" w:rsidRDefault="00077609" w:rsidP="00077609">
      <w:pPr>
        <w:pStyle w:val="Testonotaapidipagina"/>
        <w:spacing w:line="360" w:lineRule="auto"/>
        <w:ind w:left="426" w:hanging="426"/>
        <w:jc w:val="both"/>
        <w:rPr>
          <w:rStyle w:val="Rimandonotaapidipagina"/>
          <w:rFonts w:ascii="Arial" w:hAnsi="Arial" w:cs="Arial"/>
          <w:vertAlign w:val="baseline"/>
          <w:lang w:val="en-US"/>
        </w:rPr>
      </w:pPr>
      <w:r w:rsidRPr="00E11876">
        <w:rPr>
          <w:rStyle w:val="Rimandonotaapidipagina"/>
          <w:rFonts w:ascii="Arial" w:hAnsi="Arial" w:cs="Arial"/>
        </w:rPr>
        <w:footnoteRef/>
      </w:r>
      <w:r w:rsidRPr="00E11876">
        <w:rPr>
          <w:rFonts w:ascii="Arial" w:hAnsi="Arial" w:cs="Arial"/>
          <w:lang w:val="en-US"/>
        </w:rPr>
        <w:t xml:space="preserve"> </w:t>
      </w:r>
      <w:r w:rsidRPr="00E11876">
        <w:rPr>
          <w:rFonts w:ascii="Arial" w:hAnsi="Arial" w:cs="Arial"/>
          <w:lang w:val="en-US"/>
        </w:rPr>
        <w:tab/>
        <w:t>Gibbons D. S., Meehan J. W., “</w:t>
      </w:r>
      <w:r w:rsidRPr="00E11876">
        <w:rPr>
          <w:rFonts w:ascii="Arial" w:hAnsi="Arial" w:cs="Arial"/>
          <w:i/>
          <w:iCs/>
          <w:lang w:val="en-US"/>
        </w:rPr>
        <w:t>The Microcredit Summit’s Challenge: Working Toward Institutional Financial Self-Sufficiency While Maintaining a Commitment to Serving the Poorest Families</w:t>
      </w:r>
      <w:r w:rsidRPr="00E11876">
        <w:rPr>
          <w:rFonts w:ascii="Arial" w:hAnsi="Arial" w:cs="Arial"/>
          <w:lang w:val="en-US"/>
        </w:rPr>
        <w:t xml:space="preserve">”, Journal of Microfinance, Vol. </w:t>
      </w:r>
      <w:r w:rsidRPr="009E286C">
        <w:rPr>
          <w:rFonts w:ascii="Arial" w:hAnsi="Arial" w:cs="Arial"/>
          <w:lang w:val="en-US"/>
        </w:rPr>
        <w:t>I, No. 01, 2000, pp. 131-192, 2000.</w:t>
      </w:r>
    </w:p>
  </w:footnote>
  <w:footnote w:id="103">
    <w:p w14:paraId="1878131D" w14:textId="77777777" w:rsidR="00077609" w:rsidRPr="00E11876" w:rsidRDefault="00077609" w:rsidP="00077609">
      <w:pPr>
        <w:pStyle w:val="Testonotaapidipagina"/>
        <w:spacing w:line="360" w:lineRule="auto"/>
        <w:ind w:left="426" w:hanging="426"/>
        <w:jc w:val="both"/>
        <w:rPr>
          <w:rFonts w:ascii="Arial" w:hAnsi="Arial" w:cs="Arial"/>
          <w:lang w:val="en-US"/>
        </w:rPr>
      </w:pPr>
      <w:r w:rsidRPr="00E11876">
        <w:rPr>
          <w:rStyle w:val="Rimandonotaapidipagina"/>
          <w:rFonts w:ascii="Arial" w:hAnsi="Arial" w:cs="Arial"/>
        </w:rPr>
        <w:footnoteRef/>
      </w:r>
      <w:r w:rsidRPr="009E286C">
        <w:rPr>
          <w:rFonts w:ascii="Arial" w:hAnsi="Arial" w:cs="Arial"/>
          <w:lang w:val="en-US"/>
        </w:rPr>
        <w:t xml:space="preserve"> </w:t>
      </w:r>
      <w:r w:rsidRPr="009E286C">
        <w:rPr>
          <w:rFonts w:ascii="Arial" w:hAnsi="Arial" w:cs="Arial"/>
          <w:lang w:val="en-US"/>
        </w:rPr>
        <w:tab/>
      </w:r>
      <w:proofErr w:type="spellStart"/>
      <w:r w:rsidRPr="009E286C">
        <w:rPr>
          <w:rFonts w:ascii="Arial" w:hAnsi="Arial" w:cs="Arial"/>
          <w:lang w:val="en-US"/>
        </w:rPr>
        <w:t>Navajas</w:t>
      </w:r>
      <w:proofErr w:type="spellEnd"/>
      <w:r w:rsidRPr="009E286C">
        <w:rPr>
          <w:rFonts w:ascii="Arial" w:hAnsi="Arial" w:cs="Arial"/>
          <w:lang w:val="en-US"/>
        </w:rPr>
        <w:t xml:space="preserve"> S., Schreiner M., Meyer R. L., Gonzalez-Vega C., Rodríguez-Meza J., “</w:t>
      </w:r>
      <w:r w:rsidRPr="009E286C">
        <w:rPr>
          <w:rFonts w:ascii="Arial" w:hAnsi="Arial" w:cs="Arial"/>
          <w:i/>
          <w:iCs/>
          <w:lang w:val="en-US"/>
        </w:rPr>
        <w:t>Microcredit and the Poorest of the Poor: Theory and Evidence from Bolivia</w:t>
      </w:r>
      <w:r w:rsidRPr="009E286C">
        <w:rPr>
          <w:rFonts w:ascii="Arial" w:hAnsi="Arial" w:cs="Arial"/>
          <w:lang w:val="en-US"/>
        </w:rPr>
        <w:t>”, World Development, Vol. 28, No. 02, 2000, pp. 333-346.</w:t>
      </w:r>
    </w:p>
  </w:footnote>
  <w:footnote w:id="104">
    <w:p w14:paraId="51820092" w14:textId="77777777" w:rsidR="00077609" w:rsidRPr="001D5C4C" w:rsidRDefault="00077609" w:rsidP="00077609">
      <w:pPr>
        <w:pStyle w:val="Testonotaapidipagina"/>
        <w:spacing w:line="360" w:lineRule="auto"/>
        <w:ind w:left="426" w:hanging="426"/>
        <w:jc w:val="both"/>
        <w:rPr>
          <w:rFonts w:ascii="Arial" w:hAnsi="Arial" w:cs="Arial"/>
          <w:lang w:val="en-US"/>
        </w:rPr>
      </w:pPr>
      <w:r>
        <w:rPr>
          <w:rStyle w:val="Rimandonotaapidipagina"/>
        </w:rPr>
        <w:footnoteRef/>
      </w:r>
      <w:r w:rsidRPr="00BD6900">
        <w:rPr>
          <w:lang w:val="en-US"/>
        </w:rPr>
        <w:t xml:space="preserve"> </w:t>
      </w:r>
      <w:r>
        <w:rPr>
          <w:lang w:val="en-US"/>
        </w:rPr>
        <w:tab/>
      </w:r>
      <w:r w:rsidRPr="001D5C4C">
        <w:rPr>
          <w:rFonts w:ascii="Arial" w:hAnsi="Arial" w:cs="Arial"/>
          <w:lang w:val="en-US"/>
        </w:rPr>
        <w:t>Robinson M. S.,</w:t>
      </w:r>
      <w:r>
        <w:rPr>
          <w:rFonts w:ascii="Arial" w:hAnsi="Arial" w:cs="Arial"/>
          <w:lang w:val="en-US"/>
        </w:rPr>
        <w:t xml:space="preserve"> chapter </w:t>
      </w:r>
      <w:r w:rsidRPr="001D5C4C">
        <w:rPr>
          <w:rFonts w:ascii="Arial" w:hAnsi="Arial" w:cs="Arial"/>
          <w:lang w:val="en-US"/>
        </w:rPr>
        <w:t>“</w:t>
      </w:r>
      <w:r w:rsidRPr="001D5C4C">
        <w:rPr>
          <w:rFonts w:ascii="Arial" w:hAnsi="Arial" w:cs="Arial"/>
          <w:i/>
          <w:iCs/>
          <w:lang w:val="en-US"/>
        </w:rPr>
        <w:t>Supply and demand in microfinance: the case for a financial systems approach</w:t>
      </w:r>
      <w:r w:rsidRPr="001D5C4C">
        <w:rPr>
          <w:rFonts w:ascii="Arial" w:hAnsi="Arial" w:cs="Arial"/>
          <w:lang w:val="en-US"/>
        </w:rPr>
        <w:t>”, in Microfinance, Routledge, 2009</w:t>
      </w:r>
      <w:r>
        <w:rPr>
          <w:rFonts w:ascii="Arial" w:hAnsi="Arial" w:cs="Arial"/>
          <w:lang w:val="en-US"/>
        </w:rPr>
        <w:t>.</w:t>
      </w:r>
    </w:p>
  </w:footnote>
  <w:footnote w:id="105">
    <w:p w14:paraId="035CD45C" w14:textId="77777777" w:rsidR="00077609" w:rsidRPr="009E286C" w:rsidRDefault="00077609" w:rsidP="00077609">
      <w:pPr>
        <w:pStyle w:val="Testonotaapidipagina"/>
        <w:spacing w:line="360" w:lineRule="auto"/>
        <w:ind w:left="426" w:hanging="426"/>
        <w:jc w:val="both"/>
        <w:rPr>
          <w:rFonts w:ascii="Arial" w:hAnsi="Arial" w:cs="Arial"/>
          <w:lang w:val="en-US"/>
        </w:rPr>
      </w:pPr>
      <w:r w:rsidRPr="00E11876">
        <w:rPr>
          <w:rStyle w:val="Rimandonotaapidipagina"/>
          <w:rFonts w:ascii="Arial" w:hAnsi="Arial" w:cs="Arial"/>
        </w:rPr>
        <w:footnoteRef/>
      </w:r>
      <w:r w:rsidRPr="00E11876">
        <w:rPr>
          <w:rFonts w:ascii="Arial" w:hAnsi="Arial" w:cs="Arial"/>
          <w:lang w:val="en-US"/>
        </w:rPr>
        <w:t xml:space="preserve"> </w:t>
      </w:r>
      <w:r w:rsidRPr="00E11876">
        <w:rPr>
          <w:rFonts w:ascii="Arial" w:hAnsi="Arial" w:cs="Arial"/>
          <w:lang w:val="en-US"/>
        </w:rPr>
        <w:tab/>
        <w:t>Campbell N. D., Rogers T.M., “</w:t>
      </w:r>
      <w:r w:rsidRPr="00E11876">
        <w:rPr>
          <w:rFonts w:ascii="Arial" w:hAnsi="Arial" w:cs="Arial"/>
          <w:i/>
          <w:iCs/>
          <w:lang w:val="en-US"/>
        </w:rPr>
        <w:t>Microfinance institutions: a profitable investment alternative</w:t>
      </w:r>
      <w:r w:rsidRPr="00E11876">
        <w:rPr>
          <w:rFonts w:ascii="Arial" w:hAnsi="Arial" w:cs="Arial"/>
          <w:lang w:val="en-US"/>
        </w:rPr>
        <w:t xml:space="preserve">?”, Journal of Developmental Entrepreneurship, Vol. </w:t>
      </w:r>
      <w:r w:rsidRPr="009E286C">
        <w:rPr>
          <w:rFonts w:ascii="Arial" w:hAnsi="Arial" w:cs="Arial"/>
          <w:lang w:val="en-US"/>
        </w:rPr>
        <w:t>17, No. 04, 2012.</w:t>
      </w:r>
    </w:p>
  </w:footnote>
  <w:footnote w:id="106">
    <w:p w14:paraId="1B4B6F71" w14:textId="77777777" w:rsidR="00077609" w:rsidRPr="00E11876" w:rsidRDefault="00077609" w:rsidP="00077609">
      <w:pPr>
        <w:pStyle w:val="Testonotaapidipagina"/>
        <w:spacing w:line="360" w:lineRule="auto"/>
        <w:ind w:left="426" w:hanging="426"/>
        <w:jc w:val="both"/>
        <w:rPr>
          <w:rFonts w:ascii="Arial" w:hAnsi="Arial" w:cs="Arial"/>
          <w:lang w:val="en-US"/>
        </w:rPr>
      </w:pPr>
      <w:r w:rsidRPr="00E11876">
        <w:rPr>
          <w:rStyle w:val="Rimandonotaapidipagina"/>
          <w:rFonts w:ascii="Arial" w:hAnsi="Arial" w:cs="Arial"/>
        </w:rPr>
        <w:footnoteRef/>
      </w:r>
      <w:r w:rsidRPr="00E11876">
        <w:rPr>
          <w:rFonts w:ascii="Arial" w:hAnsi="Arial" w:cs="Arial"/>
          <w:lang w:val="en-US"/>
        </w:rPr>
        <w:t xml:space="preserve"> </w:t>
      </w:r>
      <w:r w:rsidRPr="00E11876">
        <w:rPr>
          <w:rFonts w:ascii="Arial" w:hAnsi="Arial" w:cs="Arial"/>
          <w:lang w:val="en-US"/>
        </w:rPr>
        <w:tab/>
      </w:r>
      <w:bookmarkStart w:id="2" w:name="_Hlk159195280"/>
      <w:proofErr w:type="spellStart"/>
      <w:r w:rsidRPr="00E11876">
        <w:rPr>
          <w:rFonts w:ascii="Arial" w:hAnsi="Arial" w:cs="Arial"/>
          <w:lang w:val="en-US"/>
        </w:rPr>
        <w:t>Dominicè</w:t>
      </w:r>
      <w:proofErr w:type="spellEnd"/>
      <w:r w:rsidRPr="00E11876">
        <w:rPr>
          <w:rFonts w:ascii="Arial" w:hAnsi="Arial" w:cs="Arial"/>
          <w:lang w:val="en-US"/>
        </w:rPr>
        <w:t xml:space="preserve"> R. “</w:t>
      </w:r>
      <w:r w:rsidRPr="00E11876">
        <w:rPr>
          <w:rFonts w:ascii="Arial" w:hAnsi="Arial" w:cs="Arial"/>
          <w:i/>
          <w:iCs/>
          <w:lang w:val="en-US"/>
        </w:rPr>
        <w:t>Microfinance Investments</w:t>
      </w:r>
      <w:r w:rsidRPr="00E11876">
        <w:rPr>
          <w:rFonts w:ascii="Arial" w:hAnsi="Arial" w:cs="Arial"/>
          <w:lang w:val="en-US"/>
        </w:rPr>
        <w:t>”, Symbiotics, 2012.</w:t>
      </w:r>
      <w:bookmarkEnd w:id="2"/>
    </w:p>
  </w:footnote>
  <w:footnote w:id="107">
    <w:p w14:paraId="37FF075C" w14:textId="34C605A9" w:rsidR="00077609" w:rsidRPr="00E11876" w:rsidRDefault="00077609" w:rsidP="00DC2732">
      <w:pPr>
        <w:pStyle w:val="Testonotaapidipagina"/>
        <w:spacing w:line="360" w:lineRule="auto"/>
        <w:ind w:left="426" w:hanging="426"/>
        <w:jc w:val="both"/>
        <w:rPr>
          <w:rFonts w:ascii="Arial" w:hAnsi="Arial" w:cs="Arial"/>
        </w:rPr>
      </w:pPr>
      <w:r w:rsidRPr="00E11876">
        <w:rPr>
          <w:rStyle w:val="Rimandonotaapidipagina"/>
          <w:rFonts w:ascii="Arial" w:hAnsi="Arial" w:cs="Arial"/>
        </w:rPr>
        <w:footnoteRef/>
      </w:r>
      <w:r w:rsidRPr="00E11876">
        <w:rPr>
          <w:rFonts w:ascii="Arial" w:hAnsi="Arial" w:cs="Arial"/>
        </w:rPr>
        <w:t xml:space="preserve"> </w:t>
      </w:r>
      <w:r w:rsidR="00DC2732">
        <w:rPr>
          <w:rFonts w:ascii="Arial" w:hAnsi="Arial" w:cs="Arial"/>
        </w:rPr>
        <w:tab/>
      </w:r>
      <w:r w:rsidRPr="00E11876">
        <w:rPr>
          <w:rFonts w:ascii="Arial" w:hAnsi="Arial" w:cs="Arial"/>
        </w:rPr>
        <w:t>Cellino M. “</w:t>
      </w:r>
      <w:r w:rsidRPr="00E11876">
        <w:rPr>
          <w:rFonts w:ascii="Arial" w:hAnsi="Arial" w:cs="Arial"/>
          <w:i/>
          <w:iCs/>
        </w:rPr>
        <w:t>Microcredito, così uno «strumento sociale» è diventato una classe (redditizia) di investimento</w:t>
      </w:r>
      <w:r w:rsidRPr="00E11876">
        <w:rPr>
          <w:rFonts w:ascii="Arial" w:hAnsi="Arial" w:cs="Arial"/>
        </w:rPr>
        <w:t>”, Il Sole 24 ore, 8 ottobre 2018.</w:t>
      </w:r>
    </w:p>
  </w:footnote>
  <w:footnote w:id="108">
    <w:p w14:paraId="4DCA2EEF" w14:textId="2BD3FB8A" w:rsidR="00077609" w:rsidRPr="00DC2732" w:rsidRDefault="00077609" w:rsidP="00DC2732">
      <w:pPr>
        <w:spacing w:line="360" w:lineRule="auto"/>
        <w:ind w:left="426" w:hanging="426"/>
        <w:jc w:val="both"/>
        <w:rPr>
          <w:rFonts w:ascii="Arial" w:hAnsi="Arial" w:cs="Arial"/>
          <w:sz w:val="20"/>
          <w:szCs w:val="20"/>
        </w:rPr>
      </w:pPr>
      <w:r w:rsidRPr="00DC2732">
        <w:rPr>
          <w:rFonts w:ascii="Arial" w:hAnsi="Arial" w:cs="Arial"/>
          <w:sz w:val="16"/>
          <w:szCs w:val="16"/>
        </w:rPr>
        <w:footnoteRef/>
      </w:r>
      <w:r w:rsidRPr="00DC2732">
        <w:rPr>
          <w:rFonts w:ascii="Arial" w:hAnsi="Arial" w:cs="Arial"/>
          <w:sz w:val="16"/>
          <w:szCs w:val="16"/>
        </w:rPr>
        <w:t xml:space="preserve"> </w:t>
      </w:r>
      <w:r w:rsidRPr="00DC2732">
        <w:rPr>
          <w:rFonts w:ascii="Arial" w:hAnsi="Arial" w:cs="Arial"/>
          <w:sz w:val="20"/>
          <w:szCs w:val="20"/>
        </w:rPr>
        <w:tab/>
        <w:t xml:space="preserve">In </w:t>
      </w:r>
      <w:proofErr w:type="spellStart"/>
      <w:r w:rsidRPr="00DC2732">
        <w:rPr>
          <w:rFonts w:ascii="Arial" w:hAnsi="Arial" w:cs="Arial"/>
          <w:sz w:val="20"/>
          <w:szCs w:val="20"/>
        </w:rPr>
        <w:t>NtPlus</w:t>
      </w:r>
      <w:proofErr w:type="spellEnd"/>
      <w:r w:rsidRPr="00DC2732">
        <w:rPr>
          <w:rFonts w:ascii="Arial" w:hAnsi="Arial" w:cs="Arial"/>
          <w:sz w:val="20"/>
          <w:szCs w:val="20"/>
        </w:rPr>
        <w:t xml:space="preserve"> Diritto,</w:t>
      </w:r>
      <w:r w:rsidR="00DC2732" w:rsidRPr="00DC2732">
        <w:rPr>
          <w:rFonts w:ascii="Arial" w:hAnsi="Arial" w:cs="Arial"/>
          <w:sz w:val="20"/>
          <w:szCs w:val="20"/>
        </w:rPr>
        <w:t xml:space="preserve"> </w:t>
      </w:r>
      <w:r w:rsidRPr="00DC2732">
        <w:rPr>
          <w:rFonts w:ascii="Arial" w:hAnsi="Arial" w:cs="Arial"/>
          <w:sz w:val="20"/>
          <w:szCs w:val="20"/>
        </w:rPr>
        <w:t>30 agosto 2022.</w:t>
      </w:r>
    </w:p>
  </w:footnote>
  <w:footnote w:id="109">
    <w:p w14:paraId="799E8506" w14:textId="77777777" w:rsidR="00222F2D" w:rsidRPr="00E11876" w:rsidRDefault="00222F2D" w:rsidP="00222F2D">
      <w:pPr>
        <w:pStyle w:val="Testonotaapidipagina"/>
        <w:spacing w:line="360" w:lineRule="auto"/>
        <w:ind w:left="426" w:hanging="426"/>
        <w:jc w:val="both"/>
        <w:rPr>
          <w:rFonts w:ascii="Arial" w:hAnsi="Arial" w:cs="Arial"/>
        </w:rPr>
      </w:pPr>
      <w:r w:rsidRPr="00E11876">
        <w:rPr>
          <w:rStyle w:val="Rimandonotaapidipagina"/>
          <w:rFonts w:ascii="Arial" w:hAnsi="Arial" w:cs="Arial"/>
        </w:rPr>
        <w:footnoteRef/>
      </w:r>
      <w:r w:rsidRPr="00E11876">
        <w:rPr>
          <w:rFonts w:ascii="Arial" w:hAnsi="Arial" w:cs="Arial"/>
        </w:rPr>
        <w:t xml:space="preserve"> </w:t>
      </w:r>
      <w:r w:rsidRPr="00E11876">
        <w:rPr>
          <w:rFonts w:ascii="Arial" w:hAnsi="Arial" w:cs="Arial"/>
        </w:rPr>
        <w:tab/>
        <w:t>(Portafoglio prestiti scaduti da più di 30 giorni + Portafoglio rinegoziato) / Portafoglio prestiti lordo (Fonte: Mix Market). Si seguirà la stessa metodologia per ogni MFI da analizzare.</w:t>
      </w:r>
    </w:p>
  </w:footnote>
  <w:footnote w:id="110">
    <w:p w14:paraId="5162215A" w14:textId="77777777" w:rsidR="00222F2D" w:rsidRPr="00E11876" w:rsidRDefault="00222F2D" w:rsidP="00222F2D">
      <w:pPr>
        <w:pStyle w:val="Testonotaapidipagina"/>
        <w:spacing w:line="360" w:lineRule="auto"/>
        <w:ind w:left="426" w:hanging="426"/>
        <w:jc w:val="both"/>
        <w:rPr>
          <w:rFonts w:ascii="Arial" w:hAnsi="Arial" w:cs="Arial"/>
        </w:rPr>
      </w:pPr>
      <w:r w:rsidRPr="00E11876">
        <w:rPr>
          <w:rStyle w:val="Rimandonotaapidipagina"/>
          <w:rFonts w:ascii="Arial" w:hAnsi="Arial" w:cs="Arial"/>
        </w:rPr>
        <w:footnoteRef/>
      </w:r>
      <w:r w:rsidRPr="00E11876">
        <w:rPr>
          <w:rFonts w:ascii="Arial" w:hAnsi="Arial" w:cs="Arial"/>
        </w:rPr>
        <w:t xml:space="preserve"> </w:t>
      </w:r>
      <w:r w:rsidRPr="00E11876">
        <w:rPr>
          <w:rFonts w:ascii="Arial" w:hAnsi="Arial" w:cs="Arial"/>
        </w:rPr>
        <w:tab/>
        <w:t>(Portafoglio prestiti scaduti da più di 90 giorni + Portafoglio rinegoziato) / Portafoglio prestiti lordo (Fonte: Mix Market). Si seguirà la stessa metodologia per ogni MFI da analizzare.</w:t>
      </w:r>
    </w:p>
  </w:footnote>
  <w:footnote w:id="111">
    <w:p w14:paraId="3CA6625F" w14:textId="77777777" w:rsidR="00222F2D" w:rsidRPr="00E11876" w:rsidRDefault="00222F2D" w:rsidP="00222F2D">
      <w:pPr>
        <w:spacing w:line="360" w:lineRule="auto"/>
        <w:ind w:left="426" w:hanging="426"/>
        <w:jc w:val="both"/>
        <w:rPr>
          <w:rFonts w:ascii="Arial" w:hAnsi="Arial" w:cs="Arial"/>
          <w:sz w:val="20"/>
          <w:szCs w:val="20"/>
        </w:rPr>
      </w:pPr>
      <w:r w:rsidRPr="00E11876">
        <w:rPr>
          <w:rStyle w:val="Rimandonotaapidipagina"/>
          <w:rFonts w:ascii="Arial" w:hAnsi="Arial" w:cs="Arial"/>
          <w:sz w:val="20"/>
          <w:szCs w:val="20"/>
        </w:rPr>
        <w:footnoteRef/>
      </w:r>
      <w:r w:rsidRPr="00E11876">
        <w:rPr>
          <w:rFonts w:ascii="Arial" w:hAnsi="Arial" w:cs="Arial"/>
          <w:sz w:val="20"/>
          <w:szCs w:val="20"/>
        </w:rPr>
        <w:t xml:space="preserve"> </w:t>
      </w:r>
      <w:r w:rsidRPr="00E11876">
        <w:rPr>
          <w:rFonts w:ascii="Arial" w:hAnsi="Arial" w:cs="Arial"/>
          <w:sz w:val="20"/>
          <w:szCs w:val="20"/>
        </w:rPr>
        <w:tab/>
        <w:t>(Prestiti scritti fuori bilancio – Valore prestiti recuperati) / portafoglio prestiti lordo medio (Fonte: Mix Market). Si seguirà la stessa metodologia per ogni MFI da analizzare.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90820"/>
    <w:multiLevelType w:val="hybridMultilevel"/>
    <w:tmpl w:val="C602EFA6"/>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3A342B4"/>
    <w:multiLevelType w:val="hybridMultilevel"/>
    <w:tmpl w:val="BDB436CC"/>
    <w:lvl w:ilvl="0" w:tplc="AA503F4C">
      <w:start w:val="1"/>
      <w:numFmt w:val="lowerLetter"/>
      <w:lvlText w:val="%1."/>
      <w:lvlJc w:val="left"/>
      <w:pPr>
        <w:ind w:left="720" w:hanging="360"/>
      </w:pPr>
      <w:rPr>
        <w:rFonts w:hint="default"/>
        <w:lang w:val="it-I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DCD24D3"/>
    <w:multiLevelType w:val="hybridMultilevel"/>
    <w:tmpl w:val="83F84A0C"/>
    <w:lvl w:ilvl="0" w:tplc="8AD821AE">
      <w:numFmt w:val="bullet"/>
      <w:lvlText w:val="-"/>
      <w:lvlJc w:val="left"/>
      <w:pPr>
        <w:ind w:left="786" w:hanging="360"/>
      </w:pPr>
      <w:rPr>
        <w:rFonts w:ascii="Arial" w:eastAsiaTheme="minorHAnsi" w:hAnsi="Arial" w:cs="Arial"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3" w15:restartNumberingAfterBreak="0">
    <w:nsid w:val="12370038"/>
    <w:multiLevelType w:val="hybridMultilevel"/>
    <w:tmpl w:val="D804A6F4"/>
    <w:lvl w:ilvl="0" w:tplc="49D4BD46">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7A667AD"/>
    <w:multiLevelType w:val="hybridMultilevel"/>
    <w:tmpl w:val="03FC53FC"/>
    <w:lvl w:ilvl="0" w:tplc="01C07D1C">
      <w:start w:val="6"/>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18215FE8"/>
    <w:multiLevelType w:val="hybridMultilevel"/>
    <w:tmpl w:val="F642FCF8"/>
    <w:lvl w:ilvl="0" w:tplc="D7F8E154">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15:restartNumberingAfterBreak="0">
    <w:nsid w:val="19CC5B38"/>
    <w:multiLevelType w:val="hybridMultilevel"/>
    <w:tmpl w:val="A82C35EE"/>
    <w:lvl w:ilvl="0" w:tplc="9F7824A8">
      <w:start w:val="2"/>
      <w:numFmt w:val="bullet"/>
      <w:lvlText w:val="-"/>
      <w:lvlJc w:val="left"/>
      <w:pPr>
        <w:ind w:left="720" w:hanging="360"/>
      </w:pPr>
      <w:rPr>
        <w:rFonts w:ascii="Arial" w:eastAsiaTheme="minorHAnsi"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F874667"/>
    <w:multiLevelType w:val="hybridMultilevel"/>
    <w:tmpl w:val="916208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9EB6174"/>
    <w:multiLevelType w:val="hybridMultilevel"/>
    <w:tmpl w:val="6BC6EC8E"/>
    <w:lvl w:ilvl="0" w:tplc="827E7CDC">
      <w:start w:val="2"/>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DA3722B"/>
    <w:multiLevelType w:val="hybridMultilevel"/>
    <w:tmpl w:val="6B7E3DD8"/>
    <w:lvl w:ilvl="0" w:tplc="04100019">
      <w:start w:val="1"/>
      <w:numFmt w:val="lowerLetter"/>
      <w:lvlText w:val="%1."/>
      <w:lvlJc w:val="left"/>
      <w:pPr>
        <w:ind w:left="720" w:hanging="360"/>
      </w:pPr>
      <w:rPr>
        <w:rFonts w:hint="default"/>
      </w:rPr>
    </w:lvl>
    <w:lvl w:ilvl="1" w:tplc="04100019">
      <w:start w:val="1"/>
      <w:numFmt w:val="lowerLetter"/>
      <w:lvlText w:val="%2."/>
      <w:lvlJc w:val="left"/>
      <w:pPr>
        <w:ind w:left="928"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DB23A08"/>
    <w:multiLevelType w:val="hybridMultilevel"/>
    <w:tmpl w:val="F3D25A3E"/>
    <w:lvl w:ilvl="0" w:tplc="6E9258B8">
      <w:start w:val="1"/>
      <w:numFmt w:val="lowerLetter"/>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1" w15:restartNumberingAfterBreak="0">
    <w:nsid w:val="306D10F7"/>
    <w:multiLevelType w:val="hybridMultilevel"/>
    <w:tmpl w:val="9498351C"/>
    <w:lvl w:ilvl="0" w:tplc="29F291F2">
      <w:start w:val="1"/>
      <w:numFmt w:val="decimal"/>
      <w:lvlText w:val="(%1)"/>
      <w:lvlJc w:val="left"/>
      <w:pPr>
        <w:ind w:left="1065" w:hanging="360"/>
      </w:pPr>
      <w:rPr>
        <w:rFonts w:hint="default"/>
      </w:rPr>
    </w:lvl>
    <w:lvl w:ilvl="1" w:tplc="04100019" w:tentative="1">
      <w:start w:val="1"/>
      <w:numFmt w:val="lowerLetter"/>
      <w:lvlText w:val="%2."/>
      <w:lvlJc w:val="left"/>
      <w:pPr>
        <w:ind w:left="1785" w:hanging="360"/>
      </w:pPr>
    </w:lvl>
    <w:lvl w:ilvl="2" w:tplc="0410001B" w:tentative="1">
      <w:start w:val="1"/>
      <w:numFmt w:val="lowerRoman"/>
      <w:lvlText w:val="%3."/>
      <w:lvlJc w:val="right"/>
      <w:pPr>
        <w:ind w:left="2505" w:hanging="180"/>
      </w:pPr>
    </w:lvl>
    <w:lvl w:ilvl="3" w:tplc="0410000F" w:tentative="1">
      <w:start w:val="1"/>
      <w:numFmt w:val="decimal"/>
      <w:lvlText w:val="%4."/>
      <w:lvlJc w:val="left"/>
      <w:pPr>
        <w:ind w:left="3225" w:hanging="360"/>
      </w:pPr>
    </w:lvl>
    <w:lvl w:ilvl="4" w:tplc="04100019" w:tentative="1">
      <w:start w:val="1"/>
      <w:numFmt w:val="lowerLetter"/>
      <w:lvlText w:val="%5."/>
      <w:lvlJc w:val="left"/>
      <w:pPr>
        <w:ind w:left="3945" w:hanging="360"/>
      </w:pPr>
    </w:lvl>
    <w:lvl w:ilvl="5" w:tplc="0410001B" w:tentative="1">
      <w:start w:val="1"/>
      <w:numFmt w:val="lowerRoman"/>
      <w:lvlText w:val="%6."/>
      <w:lvlJc w:val="right"/>
      <w:pPr>
        <w:ind w:left="4665" w:hanging="180"/>
      </w:pPr>
    </w:lvl>
    <w:lvl w:ilvl="6" w:tplc="0410000F" w:tentative="1">
      <w:start w:val="1"/>
      <w:numFmt w:val="decimal"/>
      <w:lvlText w:val="%7."/>
      <w:lvlJc w:val="left"/>
      <w:pPr>
        <w:ind w:left="5385" w:hanging="360"/>
      </w:pPr>
    </w:lvl>
    <w:lvl w:ilvl="7" w:tplc="04100019" w:tentative="1">
      <w:start w:val="1"/>
      <w:numFmt w:val="lowerLetter"/>
      <w:lvlText w:val="%8."/>
      <w:lvlJc w:val="left"/>
      <w:pPr>
        <w:ind w:left="6105" w:hanging="360"/>
      </w:pPr>
    </w:lvl>
    <w:lvl w:ilvl="8" w:tplc="0410001B" w:tentative="1">
      <w:start w:val="1"/>
      <w:numFmt w:val="lowerRoman"/>
      <w:lvlText w:val="%9."/>
      <w:lvlJc w:val="right"/>
      <w:pPr>
        <w:ind w:left="6825" w:hanging="180"/>
      </w:pPr>
    </w:lvl>
  </w:abstractNum>
  <w:abstractNum w:abstractNumId="12" w15:restartNumberingAfterBreak="0">
    <w:nsid w:val="30F74383"/>
    <w:multiLevelType w:val="hybridMultilevel"/>
    <w:tmpl w:val="95FA1D78"/>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4637F33"/>
    <w:multiLevelType w:val="hybridMultilevel"/>
    <w:tmpl w:val="DBF85604"/>
    <w:lvl w:ilvl="0" w:tplc="1324D2A0">
      <w:start w:val="1"/>
      <w:numFmt w:val="lowerLetter"/>
      <w:lvlText w:val="%1."/>
      <w:lvlJc w:val="left"/>
      <w:pPr>
        <w:ind w:left="1413" w:hanging="705"/>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4" w15:restartNumberingAfterBreak="0">
    <w:nsid w:val="35315E4C"/>
    <w:multiLevelType w:val="hybridMultilevel"/>
    <w:tmpl w:val="A73C288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6E23DF9"/>
    <w:multiLevelType w:val="hybridMultilevel"/>
    <w:tmpl w:val="0FC41AAE"/>
    <w:lvl w:ilvl="0" w:tplc="04100005">
      <w:start w:val="1"/>
      <w:numFmt w:val="bullet"/>
      <w:lvlText w:val=""/>
      <w:lvlJc w:val="left"/>
      <w:pPr>
        <w:ind w:left="1146" w:hanging="360"/>
      </w:pPr>
      <w:rPr>
        <w:rFonts w:ascii="Wingdings" w:hAnsi="Wingdings" w:hint="default"/>
      </w:rPr>
    </w:lvl>
    <w:lvl w:ilvl="1" w:tplc="F88254F6">
      <w:start w:val="38"/>
      <w:numFmt w:val="bullet"/>
      <w:lvlText w:val="•"/>
      <w:lvlJc w:val="left"/>
      <w:pPr>
        <w:ind w:left="1866" w:hanging="360"/>
      </w:pPr>
      <w:rPr>
        <w:rFonts w:ascii="Arial" w:eastAsiaTheme="minorHAnsi" w:hAnsi="Arial" w:cs="Arial"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6" w15:restartNumberingAfterBreak="0">
    <w:nsid w:val="3E5E6912"/>
    <w:multiLevelType w:val="hybridMultilevel"/>
    <w:tmpl w:val="7E8C5FA0"/>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3ED76CD8"/>
    <w:multiLevelType w:val="hybridMultilevel"/>
    <w:tmpl w:val="3010440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3FFD183B"/>
    <w:multiLevelType w:val="hybridMultilevel"/>
    <w:tmpl w:val="670C90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03A2263"/>
    <w:multiLevelType w:val="hybridMultilevel"/>
    <w:tmpl w:val="D0C25E52"/>
    <w:lvl w:ilvl="0" w:tplc="04100005">
      <w:start w:val="1"/>
      <w:numFmt w:val="bullet"/>
      <w:lvlText w:val=""/>
      <w:lvlJc w:val="left"/>
      <w:pPr>
        <w:ind w:left="790" w:hanging="360"/>
      </w:pPr>
      <w:rPr>
        <w:rFonts w:ascii="Wingdings" w:hAnsi="Wingdings" w:hint="default"/>
      </w:rPr>
    </w:lvl>
    <w:lvl w:ilvl="1" w:tplc="04100003" w:tentative="1">
      <w:start w:val="1"/>
      <w:numFmt w:val="bullet"/>
      <w:lvlText w:val="o"/>
      <w:lvlJc w:val="left"/>
      <w:pPr>
        <w:ind w:left="1510" w:hanging="360"/>
      </w:pPr>
      <w:rPr>
        <w:rFonts w:ascii="Courier New" w:hAnsi="Courier New" w:cs="Courier New" w:hint="default"/>
      </w:rPr>
    </w:lvl>
    <w:lvl w:ilvl="2" w:tplc="04100005" w:tentative="1">
      <w:start w:val="1"/>
      <w:numFmt w:val="bullet"/>
      <w:lvlText w:val=""/>
      <w:lvlJc w:val="left"/>
      <w:pPr>
        <w:ind w:left="2230" w:hanging="360"/>
      </w:pPr>
      <w:rPr>
        <w:rFonts w:ascii="Wingdings" w:hAnsi="Wingdings" w:hint="default"/>
      </w:rPr>
    </w:lvl>
    <w:lvl w:ilvl="3" w:tplc="04100001" w:tentative="1">
      <w:start w:val="1"/>
      <w:numFmt w:val="bullet"/>
      <w:lvlText w:val=""/>
      <w:lvlJc w:val="left"/>
      <w:pPr>
        <w:ind w:left="2950" w:hanging="360"/>
      </w:pPr>
      <w:rPr>
        <w:rFonts w:ascii="Symbol" w:hAnsi="Symbol" w:hint="default"/>
      </w:rPr>
    </w:lvl>
    <w:lvl w:ilvl="4" w:tplc="04100003" w:tentative="1">
      <w:start w:val="1"/>
      <w:numFmt w:val="bullet"/>
      <w:lvlText w:val="o"/>
      <w:lvlJc w:val="left"/>
      <w:pPr>
        <w:ind w:left="3670" w:hanging="360"/>
      </w:pPr>
      <w:rPr>
        <w:rFonts w:ascii="Courier New" w:hAnsi="Courier New" w:cs="Courier New" w:hint="default"/>
      </w:rPr>
    </w:lvl>
    <w:lvl w:ilvl="5" w:tplc="04100005" w:tentative="1">
      <w:start w:val="1"/>
      <w:numFmt w:val="bullet"/>
      <w:lvlText w:val=""/>
      <w:lvlJc w:val="left"/>
      <w:pPr>
        <w:ind w:left="4390" w:hanging="360"/>
      </w:pPr>
      <w:rPr>
        <w:rFonts w:ascii="Wingdings" w:hAnsi="Wingdings" w:hint="default"/>
      </w:rPr>
    </w:lvl>
    <w:lvl w:ilvl="6" w:tplc="04100001" w:tentative="1">
      <w:start w:val="1"/>
      <w:numFmt w:val="bullet"/>
      <w:lvlText w:val=""/>
      <w:lvlJc w:val="left"/>
      <w:pPr>
        <w:ind w:left="5110" w:hanging="360"/>
      </w:pPr>
      <w:rPr>
        <w:rFonts w:ascii="Symbol" w:hAnsi="Symbol" w:hint="default"/>
      </w:rPr>
    </w:lvl>
    <w:lvl w:ilvl="7" w:tplc="04100003" w:tentative="1">
      <w:start w:val="1"/>
      <w:numFmt w:val="bullet"/>
      <w:lvlText w:val="o"/>
      <w:lvlJc w:val="left"/>
      <w:pPr>
        <w:ind w:left="5830" w:hanging="360"/>
      </w:pPr>
      <w:rPr>
        <w:rFonts w:ascii="Courier New" w:hAnsi="Courier New" w:cs="Courier New" w:hint="default"/>
      </w:rPr>
    </w:lvl>
    <w:lvl w:ilvl="8" w:tplc="04100005" w:tentative="1">
      <w:start w:val="1"/>
      <w:numFmt w:val="bullet"/>
      <w:lvlText w:val=""/>
      <w:lvlJc w:val="left"/>
      <w:pPr>
        <w:ind w:left="6550" w:hanging="360"/>
      </w:pPr>
      <w:rPr>
        <w:rFonts w:ascii="Wingdings" w:hAnsi="Wingdings" w:hint="default"/>
      </w:rPr>
    </w:lvl>
  </w:abstractNum>
  <w:abstractNum w:abstractNumId="20" w15:restartNumberingAfterBreak="0">
    <w:nsid w:val="51DF20CA"/>
    <w:multiLevelType w:val="hybridMultilevel"/>
    <w:tmpl w:val="636A4F98"/>
    <w:lvl w:ilvl="0" w:tplc="0410000F">
      <w:start w:val="1"/>
      <w:numFmt w:val="decimal"/>
      <w:lvlText w:val="%1."/>
      <w:lvlJc w:val="left"/>
      <w:pPr>
        <w:ind w:left="720" w:hanging="360"/>
      </w:pPr>
      <w:rPr>
        <w:rFonts w:hint="default"/>
      </w:rPr>
    </w:lvl>
    <w:lvl w:ilvl="1" w:tplc="0F824676">
      <w:numFmt w:val="bullet"/>
      <w:lvlText w:val="•"/>
      <w:lvlJc w:val="left"/>
      <w:pPr>
        <w:ind w:left="1440" w:hanging="360"/>
      </w:pPr>
      <w:rPr>
        <w:rFonts w:ascii="Arial" w:eastAsiaTheme="minorHAnsi" w:hAnsi="Arial" w:cs="Aria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4F04DE5"/>
    <w:multiLevelType w:val="hybridMultilevel"/>
    <w:tmpl w:val="27B82684"/>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87C67F3"/>
    <w:multiLevelType w:val="hybridMultilevel"/>
    <w:tmpl w:val="C3EA8770"/>
    <w:lvl w:ilvl="0" w:tplc="170A4162">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6342A8A"/>
    <w:multiLevelType w:val="hybridMultilevel"/>
    <w:tmpl w:val="C9DED18E"/>
    <w:lvl w:ilvl="0" w:tplc="340642CA">
      <w:start w:val="1"/>
      <w:numFmt w:val="lowerLetter"/>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24" w15:restartNumberingAfterBreak="0">
    <w:nsid w:val="6A4B1DB5"/>
    <w:multiLevelType w:val="hybridMultilevel"/>
    <w:tmpl w:val="94F6351E"/>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CFF5244"/>
    <w:multiLevelType w:val="hybridMultilevel"/>
    <w:tmpl w:val="5BCC358A"/>
    <w:lvl w:ilvl="0" w:tplc="A1085E98">
      <w:numFmt w:val="bullet"/>
      <w:lvlText w:val="-"/>
      <w:lvlJc w:val="left"/>
      <w:pPr>
        <w:ind w:left="786" w:hanging="360"/>
      </w:pPr>
      <w:rPr>
        <w:rFonts w:ascii="Arial" w:eastAsiaTheme="minorHAnsi" w:hAnsi="Arial" w:cs="Arial"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26" w15:restartNumberingAfterBreak="0">
    <w:nsid w:val="6E185D6D"/>
    <w:multiLevelType w:val="hybridMultilevel"/>
    <w:tmpl w:val="77AA4BA0"/>
    <w:lvl w:ilvl="0" w:tplc="FFFFFFFF">
      <w:start w:val="1"/>
      <w:numFmt w:val="bullet"/>
      <w:lvlText w:val=""/>
      <w:lvlJc w:val="left"/>
      <w:pPr>
        <w:ind w:left="720" w:hanging="360"/>
      </w:pPr>
      <w:rPr>
        <w:rFonts w:ascii="Wingdings" w:hAnsi="Wingdings" w:hint="default"/>
      </w:rPr>
    </w:lvl>
    <w:lvl w:ilvl="1" w:tplc="04100005">
      <w:start w:val="1"/>
      <w:numFmt w:val="bullet"/>
      <w:lvlText w:val=""/>
      <w:lvlJc w:val="left"/>
      <w:pPr>
        <w:ind w:left="79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2E80EAA"/>
    <w:multiLevelType w:val="hybridMultilevel"/>
    <w:tmpl w:val="C462592C"/>
    <w:lvl w:ilvl="0" w:tplc="75D273B8">
      <w:start w:val="1"/>
      <w:numFmt w:val="decimal"/>
      <w:lvlText w:val="%1."/>
      <w:lvlJc w:val="left"/>
      <w:pPr>
        <w:ind w:left="360" w:hanging="360"/>
      </w:pPr>
      <w:rPr>
        <w:rFonts w:hint="default"/>
        <w:b/>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73D87698"/>
    <w:multiLevelType w:val="hybridMultilevel"/>
    <w:tmpl w:val="90CEB40E"/>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B07196D"/>
    <w:multiLevelType w:val="hybridMultilevel"/>
    <w:tmpl w:val="1D8CFB54"/>
    <w:lvl w:ilvl="0" w:tplc="04100001">
      <w:start w:val="1"/>
      <w:numFmt w:val="bullet"/>
      <w:lvlText w:val=""/>
      <w:lvlJc w:val="left"/>
      <w:pPr>
        <w:ind w:left="720" w:hanging="360"/>
      </w:pPr>
      <w:rPr>
        <w:rFonts w:ascii="Symbol" w:hAnsi="Symbol" w:hint="default"/>
      </w:rPr>
    </w:lvl>
    <w:lvl w:ilvl="1" w:tplc="04100001">
      <w:start w:val="1"/>
      <w:numFmt w:val="bullet"/>
      <w:lvlText w:val=""/>
      <w:lvlJc w:val="left"/>
      <w:pPr>
        <w:ind w:left="1440" w:hanging="360"/>
      </w:pPr>
      <w:rPr>
        <w:rFonts w:ascii="Symbol" w:hAnsi="Symbol" w:hint="default"/>
      </w:rPr>
    </w:lvl>
    <w:lvl w:ilvl="2" w:tplc="04100005">
      <w:start w:val="1"/>
      <w:numFmt w:val="bullet"/>
      <w:lvlText w:val=""/>
      <w:lvlJc w:val="left"/>
      <w:pPr>
        <w:ind w:left="79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D7B3649"/>
    <w:multiLevelType w:val="hybridMultilevel"/>
    <w:tmpl w:val="B4E64ED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F1646ED"/>
    <w:multiLevelType w:val="hybridMultilevel"/>
    <w:tmpl w:val="1AF0EF8C"/>
    <w:lvl w:ilvl="0" w:tplc="733667FA">
      <w:start w:val="1"/>
      <w:numFmt w:val="decimal"/>
      <w:lvlText w:val="%1."/>
      <w:lvlJc w:val="left"/>
      <w:pPr>
        <w:ind w:left="720" w:hanging="360"/>
      </w:pPr>
      <w:rPr>
        <w:rFonts w:hint="default"/>
        <w:b w:val="0"/>
        <w:bCs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41014450">
    <w:abstractNumId w:val="27"/>
  </w:num>
  <w:num w:numId="2" w16cid:durableId="741564913">
    <w:abstractNumId w:val="20"/>
  </w:num>
  <w:num w:numId="3" w16cid:durableId="2074154157">
    <w:abstractNumId w:val="23"/>
  </w:num>
  <w:num w:numId="4" w16cid:durableId="1330214808">
    <w:abstractNumId w:val="16"/>
  </w:num>
  <w:num w:numId="5" w16cid:durableId="1828324563">
    <w:abstractNumId w:val="2"/>
  </w:num>
  <w:num w:numId="6" w16cid:durableId="888877864">
    <w:abstractNumId w:val="25"/>
  </w:num>
  <w:num w:numId="7" w16cid:durableId="18356930">
    <w:abstractNumId w:val="11"/>
  </w:num>
  <w:num w:numId="8" w16cid:durableId="658729031">
    <w:abstractNumId w:val="0"/>
  </w:num>
  <w:num w:numId="9" w16cid:durableId="1436750468">
    <w:abstractNumId w:val="28"/>
  </w:num>
  <w:num w:numId="10" w16cid:durableId="2090954614">
    <w:abstractNumId w:val="1"/>
  </w:num>
  <w:num w:numId="11" w16cid:durableId="1041636997">
    <w:abstractNumId w:val="9"/>
  </w:num>
  <w:num w:numId="12" w16cid:durableId="948926426">
    <w:abstractNumId w:val="13"/>
  </w:num>
  <w:num w:numId="13" w16cid:durableId="939876689">
    <w:abstractNumId w:val="30"/>
  </w:num>
  <w:num w:numId="14" w16cid:durableId="864634038">
    <w:abstractNumId w:val="6"/>
  </w:num>
  <w:num w:numId="15" w16cid:durableId="1114902361">
    <w:abstractNumId w:val="10"/>
  </w:num>
  <w:num w:numId="16" w16cid:durableId="77868177">
    <w:abstractNumId w:val="22"/>
  </w:num>
  <w:num w:numId="17" w16cid:durableId="462581540">
    <w:abstractNumId w:val="31"/>
  </w:num>
  <w:num w:numId="18" w16cid:durableId="1344279413">
    <w:abstractNumId w:val="17"/>
  </w:num>
  <w:num w:numId="19" w16cid:durableId="1188831631">
    <w:abstractNumId w:val="7"/>
  </w:num>
  <w:num w:numId="20" w16cid:durableId="1305700887">
    <w:abstractNumId w:val="29"/>
  </w:num>
  <w:num w:numId="21" w16cid:durableId="1311208340">
    <w:abstractNumId w:val="3"/>
  </w:num>
  <w:num w:numId="22" w16cid:durableId="830026555">
    <w:abstractNumId w:val="5"/>
  </w:num>
  <w:num w:numId="23" w16cid:durableId="394398581">
    <w:abstractNumId w:val="21"/>
  </w:num>
  <w:num w:numId="24" w16cid:durableId="745611486">
    <w:abstractNumId w:val="15"/>
  </w:num>
  <w:num w:numId="25" w16cid:durableId="1302416396">
    <w:abstractNumId w:val="19"/>
  </w:num>
  <w:num w:numId="26" w16cid:durableId="1740398827">
    <w:abstractNumId w:val="14"/>
  </w:num>
  <w:num w:numId="27" w16cid:durableId="1819413804">
    <w:abstractNumId w:val="18"/>
  </w:num>
  <w:num w:numId="28" w16cid:durableId="651178255">
    <w:abstractNumId w:val="12"/>
  </w:num>
  <w:num w:numId="29" w16cid:durableId="1959021100">
    <w:abstractNumId w:val="26"/>
  </w:num>
  <w:num w:numId="30" w16cid:durableId="933198518">
    <w:abstractNumId w:val="31"/>
  </w:num>
  <w:num w:numId="31" w16cid:durableId="1482964140">
    <w:abstractNumId w:val="8"/>
  </w:num>
  <w:num w:numId="32" w16cid:durableId="580867731">
    <w:abstractNumId w:val="4"/>
  </w:num>
  <w:num w:numId="33" w16cid:durableId="33129616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0" w:nlCheck="1" w:checkStyle="0"/>
  <w:activeWritingStyle w:appName="MSWord" w:lang="it-IT" w:vendorID="64" w:dllVersion="0" w:nlCheck="1" w:checkStyle="0"/>
  <w:activeWritingStyle w:appName="MSWord" w:lang="en-US" w:vendorID="64" w:dllVersion="6" w:nlCheck="1" w:checkStyle="1"/>
  <w:activeWritingStyle w:appName="MSWord" w:lang="it-IT" w:vendorID="64" w:dllVersion="6" w:nlCheck="1" w:checkStyle="0"/>
  <w:proofState w:spelling="clean" w:grammar="clean"/>
  <w:defaultTabStop w:val="709"/>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4399"/>
    <w:rsid w:val="000000FF"/>
    <w:rsid w:val="000004CA"/>
    <w:rsid w:val="00000EBE"/>
    <w:rsid w:val="00001B23"/>
    <w:rsid w:val="00002373"/>
    <w:rsid w:val="00002E43"/>
    <w:rsid w:val="00002EFC"/>
    <w:rsid w:val="000033C8"/>
    <w:rsid w:val="00003663"/>
    <w:rsid w:val="00003ED8"/>
    <w:rsid w:val="000040D4"/>
    <w:rsid w:val="00004507"/>
    <w:rsid w:val="00004C8A"/>
    <w:rsid w:val="0000696A"/>
    <w:rsid w:val="00007583"/>
    <w:rsid w:val="00007AB1"/>
    <w:rsid w:val="00011E86"/>
    <w:rsid w:val="00012183"/>
    <w:rsid w:val="00012F1E"/>
    <w:rsid w:val="000132BE"/>
    <w:rsid w:val="000145B1"/>
    <w:rsid w:val="00014673"/>
    <w:rsid w:val="00015825"/>
    <w:rsid w:val="00016AA0"/>
    <w:rsid w:val="00017342"/>
    <w:rsid w:val="00020DF9"/>
    <w:rsid w:val="000210C1"/>
    <w:rsid w:val="00021320"/>
    <w:rsid w:val="00021B5D"/>
    <w:rsid w:val="00021DC4"/>
    <w:rsid w:val="000227BB"/>
    <w:rsid w:val="0002354E"/>
    <w:rsid w:val="00023FB4"/>
    <w:rsid w:val="00024852"/>
    <w:rsid w:val="00024988"/>
    <w:rsid w:val="00024C29"/>
    <w:rsid w:val="00024E4C"/>
    <w:rsid w:val="00025BD4"/>
    <w:rsid w:val="0002662C"/>
    <w:rsid w:val="00026B71"/>
    <w:rsid w:val="00026F4B"/>
    <w:rsid w:val="00027F0D"/>
    <w:rsid w:val="00030980"/>
    <w:rsid w:val="000309F6"/>
    <w:rsid w:val="00030CD4"/>
    <w:rsid w:val="00030D5C"/>
    <w:rsid w:val="00031054"/>
    <w:rsid w:val="00031195"/>
    <w:rsid w:val="00031CCD"/>
    <w:rsid w:val="000324BD"/>
    <w:rsid w:val="00033B8B"/>
    <w:rsid w:val="000345FE"/>
    <w:rsid w:val="0003582A"/>
    <w:rsid w:val="00036638"/>
    <w:rsid w:val="000367CD"/>
    <w:rsid w:val="000374A7"/>
    <w:rsid w:val="000374B8"/>
    <w:rsid w:val="0003769B"/>
    <w:rsid w:val="00037C7D"/>
    <w:rsid w:val="000408E3"/>
    <w:rsid w:val="00040A9D"/>
    <w:rsid w:val="00042B1C"/>
    <w:rsid w:val="00043120"/>
    <w:rsid w:val="000443D1"/>
    <w:rsid w:val="000453BA"/>
    <w:rsid w:val="00045E15"/>
    <w:rsid w:val="0004694A"/>
    <w:rsid w:val="00047AAF"/>
    <w:rsid w:val="000506DE"/>
    <w:rsid w:val="00050B71"/>
    <w:rsid w:val="00051EAE"/>
    <w:rsid w:val="00053226"/>
    <w:rsid w:val="00053C6C"/>
    <w:rsid w:val="00053D3C"/>
    <w:rsid w:val="00054DC1"/>
    <w:rsid w:val="000557EE"/>
    <w:rsid w:val="000564C5"/>
    <w:rsid w:val="0005798A"/>
    <w:rsid w:val="00060195"/>
    <w:rsid w:val="00060A74"/>
    <w:rsid w:val="00061DC7"/>
    <w:rsid w:val="00062538"/>
    <w:rsid w:val="000629D5"/>
    <w:rsid w:val="0006340C"/>
    <w:rsid w:val="000652EF"/>
    <w:rsid w:val="00065DD2"/>
    <w:rsid w:val="00067E03"/>
    <w:rsid w:val="0007111A"/>
    <w:rsid w:val="00072E49"/>
    <w:rsid w:val="00072EF0"/>
    <w:rsid w:val="00073054"/>
    <w:rsid w:val="00073537"/>
    <w:rsid w:val="00073556"/>
    <w:rsid w:val="00073C08"/>
    <w:rsid w:val="00074B5D"/>
    <w:rsid w:val="0007503F"/>
    <w:rsid w:val="00075E1E"/>
    <w:rsid w:val="00076C07"/>
    <w:rsid w:val="00077544"/>
    <w:rsid w:val="00077609"/>
    <w:rsid w:val="0007775A"/>
    <w:rsid w:val="00077F14"/>
    <w:rsid w:val="00080252"/>
    <w:rsid w:val="00080E35"/>
    <w:rsid w:val="000811E7"/>
    <w:rsid w:val="00081B83"/>
    <w:rsid w:val="00081D0B"/>
    <w:rsid w:val="00081F40"/>
    <w:rsid w:val="0008378A"/>
    <w:rsid w:val="00083971"/>
    <w:rsid w:val="00083FF7"/>
    <w:rsid w:val="0008662A"/>
    <w:rsid w:val="00086DB3"/>
    <w:rsid w:val="00086DF3"/>
    <w:rsid w:val="000874CB"/>
    <w:rsid w:val="00087AFA"/>
    <w:rsid w:val="000901E7"/>
    <w:rsid w:val="00090815"/>
    <w:rsid w:val="00091649"/>
    <w:rsid w:val="000931F4"/>
    <w:rsid w:val="000944EE"/>
    <w:rsid w:val="00094C6D"/>
    <w:rsid w:val="00096841"/>
    <w:rsid w:val="00097067"/>
    <w:rsid w:val="00097749"/>
    <w:rsid w:val="00097CF5"/>
    <w:rsid w:val="00097D45"/>
    <w:rsid w:val="000A1880"/>
    <w:rsid w:val="000A1E7E"/>
    <w:rsid w:val="000A1F14"/>
    <w:rsid w:val="000A2020"/>
    <w:rsid w:val="000A32F4"/>
    <w:rsid w:val="000A376C"/>
    <w:rsid w:val="000A4324"/>
    <w:rsid w:val="000A43EE"/>
    <w:rsid w:val="000A4890"/>
    <w:rsid w:val="000A4D08"/>
    <w:rsid w:val="000A4EA0"/>
    <w:rsid w:val="000A5C30"/>
    <w:rsid w:val="000A5CEF"/>
    <w:rsid w:val="000A5F67"/>
    <w:rsid w:val="000A65FC"/>
    <w:rsid w:val="000A72D7"/>
    <w:rsid w:val="000A747D"/>
    <w:rsid w:val="000A76EA"/>
    <w:rsid w:val="000A7DB3"/>
    <w:rsid w:val="000B0873"/>
    <w:rsid w:val="000B16BD"/>
    <w:rsid w:val="000B1C53"/>
    <w:rsid w:val="000B22A0"/>
    <w:rsid w:val="000B2496"/>
    <w:rsid w:val="000B25BA"/>
    <w:rsid w:val="000B2C92"/>
    <w:rsid w:val="000B2DAC"/>
    <w:rsid w:val="000B2F00"/>
    <w:rsid w:val="000B32F9"/>
    <w:rsid w:val="000B3781"/>
    <w:rsid w:val="000B3B5E"/>
    <w:rsid w:val="000B3E94"/>
    <w:rsid w:val="000B43BC"/>
    <w:rsid w:val="000B4D33"/>
    <w:rsid w:val="000B50E7"/>
    <w:rsid w:val="000B55CC"/>
    <w:rsid w:val="000B5619"/>
    <w:rsid w:val="000B5B69"/>
    <w:rsid w:val="000B60B8"/>
    <w:rsid w:val="000B65CB"/>
    <w:rsid w:val="000B6AA9"/>
    <w:rsid w:val="000B7223"/>
    <w:rsid w:val="000B7743"/>
    <w:rsid w:val="000C010A"/>
    <w:rsid w:val="000C01FF"/>
    <w:rsid w:val="000C0977"/>
    <w:rsid w:val="000C155F"/>
    <w:rsid w:val="000C16E5"/>
    <w:rsid w:val="000C2AD7"/>
    <w:rsid w:val="000C3DE8"/>
    <w:rsid w:val="000C501E"/>
    <w:rsid w:val="000C54C0"/>
    <w:rsid w:val="000C5854"/>
    <w:rsid w:val="000C71A2"/>
    <w:rsid w:val="000D0C59"/>
    <w:rsid w:val="000D14E1"/>
    <w:rsid w:val="000D15F4"/>
    <w:rsid w:val="000D30B7"/>
    <w:rsid w:val="000D3946"/>
    <w:rsid w:val="000D42FD"/>
    <w:rsid w:val="000D4424"/>
    <w:rsid w:val="000D47BC"/>
    <w:rsid w:val="000D48FD"/>
    <w:rsid w:val="000D60D3"/>
    <w:rsid w:val="000D619B"/>
    <w:rsid w:val="000D682D"/>
    <w:rsid w:val="000D6E74"/>
    <w:rsid w:val="000E03F9"/>
    <w:rsid w:val="000E25A5"/>
    <w:rsid w:val="000E2968"/>
    <w:rsid w:val="000E29EE"/>
    <w:rsid w:val="000E3DA9"/>
    <w:rsid w:val="000E4872"/>
    <w:rsid w:val="000E4E22"/>
    <w:rsid w:val="000E7203"/>
    <w:rsid w:val="000F0809"/>
    <w:rsid w:val="000F135A"/>
    <w:rsid w:val="000F1435"/>
    <w:rsid w:val="000F1A0D"/>
    <w:rsid w:val="000F1D56"/>
    <w:rsid w:val="000F25BD"/>
    <w:rsid w:val="000F26E5"/>
    <w:rsid w:val="000F278B"/>
    <w:rsid w:val="000F28EA"/>
    <w:rsid w:val="000F2B94"/>
    <w:rsid w:val="000F3AE4"/>
    <w:rsid w:val="000F52B5"/>
    <w:rsid w:val="000F5847"/>
    <w:rsid w:val="000F5C29"/>
    <w:rsid w:val="000F5DEF"/>
    <w:rsid w:val="000F6C46"/>
    <w:rsid w:val="000F7D87"/>
    <w:rsid w:val="0010015C"/>
    <w:rsid w:val="00101511"/>
    <w:rsid w:val="001019CE"/>
    <w:rsid w:val="00101B60"/>
    <w:rsid w:val="00102529"/>
    <w:rsid w:val="00102801"/>
    <w:rsid w:val="00102A39"/>
    <w:rsid w:val="00102BC6"/>
    <w:rsid w:val="001035A3"/>
    <w:rsid w:val="00103A8E"/>
    <w:rsid w:val="00103E1C"/>
    <w:rsid w:val="00104749"/>
    <w:rsid w:val="001050E2"/>
    <w:rsid w:val="001060DB"/>
    <w:rsid w:val="00106149"/>
    <w:rsid w:val="00106152"/>
    <w:rsid w:val="00106AE8"/>
    <w:rsid w:val="00107A9A"/>
    <w:rsid w:val="00111348"/>
    <w:rsid w:val="001114A9"/>
    <w:rsid w:val="00111BFC"/>
    <w:rsid w:val="00111C11"/>
    <w:rsid w:val="00111F80"/>
    <w:rsid w:val="0011218F"/>
    <w:rsid w:val="001131A9"/>
    <w:rsid w:val="001135DD"/>
    <w:rsid w:val="00113B87"/>
    <w:rsid w:val="00113DE5"/>
    <w:rsid w:val="00113E61"/>
    <w:rsid w:val="001145AB"/>
    <w:rsid w:val="00114FBA"/>
    <w:rsid w:val="0011515B"/>
    <w:rsid w:val="001152BC"/>
    <w:rsid w:val="001155E5"/>
    <w:rsid w:val="00115787"/>
    <w:rsid w:val="0011638F"/>
    <w:rsid w:val="00116E97"/>
    <w:rsid w:val="00117D24"/>
    <w:rsid w:val="00120198"/>
    <w:rsid w:val="001207BD"/>
    <w:rsid w:val="0012237E"/>
    <w:rsid w:val="00122439"/>
    <w:rsid w:val="00122B05"/>
    <w:rsid w:val="0012567C"/>
    <w:rsid w:val="00125A42"/>
    <w:rsid w:val="00126779"/>
    <w:rsid w:val="0012679A"/>
    <w:rsid w:val="00130255"/>
    <w:rsid w:val="0013036E"/>
    <w:rsid w:val="00130B68"/>
    <w:rsid w:val="00131496"/>
    <w:rsid w:val="00132109"/>
    <w:rsid w:val="00132349"/>
    <w:rsid w:val="001325C1"/>
    <w:rsid w:val="00132803"/>
    <w:rsid w:val="00132B6B"/>
    <w:rsid w:val="00133184"/>
    <w:rsid w:val="001333B3"/>
    <w:rsid w:val="001337E9"/>
    <w:rsid w:val="00133921"/>
    <w:rsid w:val="00133BFC"/>
    <w:rsid w:val="00133F4F"/>
    <w:rsid w:val="00135379"/>
    <w:rsid w:val="00135D90"/>
    <w:rsid w:val="00136D74"/>
    <w:rsid w:val="001370A0"/>
    <w:rsid w:val="00137CF6"/>
    <w:rsid w:val="001408AD"/>
    <w:rsid w:val="00141F8F"/>
    <w:rsid w:val="00142450"/>
    <w:rsid w:val="00143465"/>
    <w:rsid w:val="00143C5B"/>
    <w:rsid w:val="001442B9"/>
    <w:rsid w:val="00144D2D"/>
    <w:rsid w:val="00145097"/>
    <w:rsid w:val="001453DE"/>
    <w:rsid w:val="001456B6"/>
    <w:rsid w:val="00146BE8"/>
    <w:rsid w:val="00147336"/>
    <w:rsid w:val="001478C8"/>
    <w:rsid w:val="00150046"/>
    <w:rsid w:val="00150BE9"/>
    <w:rsid w:val="00150D71"/>
    <w:rsid w:val="001512DE"/>
    <w:rsid w:val="001522C4"/>
    <w:rsid w:val="001525C7"/>
    <w:rsid w:val="001529F5"/>
    <w:rsid w:val="00152F8B"/>
    <w:rsid w:val="00155A40"/>
    <w:rsid w:val="00155BA4"/>
    <w:rsid w:val="00155E64"/>
    <w:rsid w:val="001575A0"/>
    <w:rsid w:val="00160957"/>
    <w:rsid w:val="00162595"/>
    <w:rsid w:val="001627CB"/>
    <w:rsid w:val="00163064"/>
    <w:rsid w:val="00163195"/>
    <w:rsid w:val="00163313"/>
    <w:rsid w:val="00163530"/>
    <w:rsid w:val="00163993"/>
    <w:rsid w:val="00164042"/>
    <w:rsid w:val="001642AA"/>
    <w:rsid w:val="001651D7"/>
    <w:rsid w:val="00165731"/>
    <w:rsid w:val="00166C06"/>
    <w:rsid w:val="00167B6B"/>
    <w:rsid w:val="00167C4E"/>
    <w:rsid w:val="00167EB0"/>
    <w:rsid w:val="00170435"/>
    <w:rsid w:val="00171725"/>
    <w:rsid w:val="001719B1"/>
    <w:rsid w:val="00173436"/>
    <w:rsid w:val="00173EEA"/>
    <w:rsid w:val="0017445B"/>
    <w:rsid w:val="001745ED"/>
    <w:rsid w:val="00174B21"/>
    <w:rsid w:val="00174FC6"/>
    <w:rsid w:val="001750D5"/>
    <w:rsid w:val="00176E16"/>
    <w:rsid w:val="00180B39"/>
    <w:rsid w:val="00181DD8"/>
    <w:rsid w:val="00182238"/>
    <w:rsid w:val="001830B7"/>
    <w:rsid w:val="00183237"/>
    <w:rsid w:val="0018382A"/>
    <w:rsid w:val="00183D18"/>
    <w:rsid w:val="00184075"/>
    <w:rsid w:val="00184587"/>
    <w:rsid w:val="001856C1"/>
    <w:rsid w:val="001877C0"/>
    <w:rsid w:val="001878B1"/>
    <w:rsid w:val="0019014B"/>
    <w:rsid w:val="00190702"/>
    <w:rsid w:val="00190818"/>
    <w:rsid w:val="0019103A"/>
    <w:rsid w:val="00191E40"/>
    <w:rsid w:val="00192B7C"/>
    <w:rsid w:val="001933F9"/>
    <w:rsid w:val="00193551"/>
    <w:rsid w:val="00193688"/>
    <w:rsid w:val="001958C5"/>
    <w:rsid w:val="001960CC"/>
    <w:rsid w:val="00196203"/>
    <w:rsid w:val="00196612"/>
    <w:rsid w:val="0019705B"/>
    <w:rsid w:val="001970D0"/>
    <w:rsid w:val="00197A2F"/>
    <w:rsid w:val="001A005D"/>
    <w:rsid w:val="001A0A3E"/>
    <w:rsid w:val="001A237D"/>
    <w:rsid w:val="001A27A2"/>
    <w:rsid w:val="001A3444"/>
    <w:rsid w:val="001A3A36"/>
    <w:rsid w:val="001A3C96"/>
    <w:rsid w:val="001A52F7"/>
    <w:rsid w:val="001A576B"/>
    <w:rsid w:val="001A6A82"/>
    <w:rsid w:val="001A6ADD"/>
    <w:rsid w:val="001B10D0"/>
    <w:rsid w:val="001B17FB"/>
    <w:rsid w:val="001B1D7B"/>
    <w:rsid w:val="001B248E"/>
    <w:rsid w:val="001B2506"/>
    <w:rsid w:val="001B2CE3"/>
    <w:rsid w:val="001B2DEC"/>
    <w:rsid w:val="001B3483"/>
    <w:rsid w:val="001B419C"/>
    <w:rsid w:val="001B4732"/>
    <w:rsid w:val="001B489B"/>
    <w:rsid w:val="001B4DA7"/>
    <w:rsid w:val="001B5C30"/>
    <w:rsid w:val="001B6FBA"/>
    <w:rsid w:val="001C0CD9"/>
    <w:rsid w:val="001C1B09"/>
    <w:rsid w:val="001C1DD2"/>
    <w:rsid w:val="001C1E16"/>
    <w:rsid w:val="001C22EC"/>
    <w:rsid w:val="001C2A30"/>
    <w:rsid w:val="001C30EE"/>
    <w:rsid w:val="001C3655"/>
    <w:rsid w:val="001C43FC"/>
    <w:rsid w:val="001C4637"/>
    <w:rsid w:val="001C5050"/>
    <w:rsid w:val="001C564A"/>
    <w:rsid w:val="001C5B83"/>
    <w:rsid w:val="001C5D04"/>
    <w:rsid w:val="001C65C5"/>
    <w:rsid w:val="001C77EF"/>
    <w:rsid w:val="001C7F58"/>
    <w:rsid w:val="001D0B81"/>
    <w:rsid w:val="001D0F29"/>
    <w:rsid w:val="001D2088"/>
    <w:rsid w:val="001D2483"/>
    <w:rsid w:val="001D3704"/>
    <w:rsid w:val="001D37B8"/>
    <w:rsid w:val="001D3D91"/>
    <w:rsid w:val="001D3F2E"/>
    <w:rsid w:val="001D4146"/>
    <w:rsid w:val="001D42A4"/>
    <w:rsid w:val="001D45F4"/>
    <w:rsid w:val="001D4B4C"/>
    <w:rsid w:val="001D5FDE"/>
    <w:rsid w:val="001D6174"/>
    <w:rsid w:val="001E0DAD"/>
    <w:rsid w:val="001E0E99"/>
    <w:rsid w:val="001E0EE0"/>
    <w:rsid w:val="001E16AF"/>
    <w:rsid w:val="001E16C8"/>
    <w:rsid w:val="001E1C1E"/>
    <w:rsid w:val="001E2416"/>
    <w:rsid w:val="001E2527"/>
    <w:rsid w:val="001E2542"/>
    <w:rsid w:val="001E2F0D"/>
    <w:rsid w:val="001E3708"/>
    <w:rsid w:val="001E44FC"/>
    <w:rsid w:val="001E4CE7"/>
    <w:rsid w:val="001E535D"/>
    <w:rsid w:val="001E55DB"/>
    <w:rsid w:val="001E5627"/>
    <w:rsid w:val="001E6AAA"/>
    <w:rsid w:val="001E6ECF"/>
    <w:rsid w:val="001F0C7B"/>
    <w:rsid w:val="001F0FD4"/>
    <w:rsid w:val="001F1259"/>
    <w:rsid w:val="001F1A76"/>
    <w:rsid w:val="001F1FCB"/>
    <w:rsid w:val="001F2698"/>
    <w:rsid w:val="001F2DDC"/>
    <w:rsid w:val="001F3DAB"/>
    <w:rsid w:val="001F41F9"/>
    <w:rsid w:val="001F42DB"/>
    <w:rsid w:val="001F490E"/>
    <w:rsid w:val="001F6288"/>
    <w:rsid w:val="001F6942"/>
    <w:rsid w:val="001F6D03"/>
    <w:rsid w:val="001F756B"/>
    <w:rsid w:val="001F7787"/>
    <w:rsid w:val="0020024C"/>
    <w:rsid w:val="00200CBF"/>
    <w:rsid w:val="00200DCA"/>
    <w:rsid w:val="0020131B"/>
    <w:rsid w:val="00202424"/>
    <w:rsid w:val="00202504"/>
    <w:rsid w:val="00203625"/>
    <w:rsid w:val="00203C64"/>
    <w:rsid w:val="00203C7A"/>
    <w:rsid w:val="002042DA"/>
    <w:rsid w:val="0020470F"/>
    <w:rsid w:val="0020515D"/>
    <w:rsid w:val="00205354"/>
    <w:rsid w:val="00205466"/>
    <w:rsid w:val="002067B1"/>
    <w:rsid w:val="002069DD"/>
    <w:rsid w:val="00206E19"/>
    <w:rsid w:val="00206E83"/>
    <w:rsid w:val="0020750A"/>
    <w:rsid w:val="002075BF"/>
    <w:rsid w:val="0021047C"/>
    <w:rsid w:val="00210A71"/>
    <w:rsid w:val="002115C9"/>
    <w:rsid w:val="00211F0F"/>
    <w:rsid w:val="0021205A"/>
    <w:rsid w:val="00213EF0"/>
    <w:rsid w:val="00214546"/>
    <w:rsid w:val="00214722"/>
    <w:rsid w:val="00214EEA"/>
    <w:rsid w:val="0021650A"/>
    <w:rsid w:val="00216C88"/>
    <w:rsid w:val="00216EA7"/>
    <w:rsid w:val="00217861"/>
    <w:rsid w:val="002204CC"/>
    <w:rsid w:val="00220726"/>
    <w:rsid w:val="00220A4C"/>
    <w:rsid w:val="00220AC8"/>
    <w:rsid w:val="00222A9B"/>
    <w:rsid w:val="00222F2D"/>
    <w:rsid w:val="00223629"/>
    <w:rsid w:val="002247CF"/>
    <w:rsid w:val="0022488E"/>
    <w:rsid w:val="00224986"/>
    <w:rsid w:val="00225B00"/>
    <w:rsid w:val="00225F47"/>
    <w:rsid w:val="002279C8"/>
    <w:rsid w:val="00227DC9"/>
    <w:rsid w:val="00227F12"/>
    <w:rsid w:val="002346BB"/>
    <w:rsid w:val="00235C07"/>
    <w:rsid w:val="00236308"/>
    <w:rsid w:val="00236C43"/>
    <w:rsid w:val="00237935"/>
    <w:rsid w:val="0024089D"/>
    <w:rsid w:val="00241550"/>
    <w:rsid w:val="00242E4B"/>
    <w:rsid w:val="00243165"/>
    <w:rsid w:val="00244AED"/>
    <w:rsid w:val="00246858"/>
    <w:rsid w:val="002479FB"/>
    <w:rsid w:val="002515C4"/>
    <w:rsid w:val="00251A71"/>
    <w:rsid w:val="00251B04"/>
    <w:rsid w:val="00252513"/>
    <w:rsid w:val="00252932"/>
    <w:rsid w:val="00252E7B"/>
    <w:rsid w:val="00253272"/>
    <w:rsid w:val="002536D9"/>
    <w:rsid w:val="00254C21"/>
    <w:rsid w:val="0025505D"/>
    <w:rsid w:val="002553F2"/>
    <w:rsid w:val="00255753"/>
    <w:rsid w:val="0025670C"/>
    <w:rsid w:val="002578D9"/>
    <w:rsid w:val="002579DF"/>
    <w:rsid w:val="00260861"/>
    <w:rsid w:val="00260DCF"/>
    <w:rsid w:val="00261F2B"/>
    <w:rsid w:val="002624BD"/>
    <w:rsid w:val="0026263C"/>
    <w:rsid w:val="00262901"/>
    <w:rsid w:val="00262A3F"/>
    <w:rsid w:val="00262C9C"/>
    <w:rsid w:val="00264B1C"/>
    <w:rsid w:val="00264CC9"/>
    <w:rsid w:val="002652FE"/>
    <w:rsid w:val="002654F0"/>
    <w:rsid w:val="00265552"/>
    <w:rsid w:val="00265D0D"/>
    <w:rsid w:val="0026793F"/>
    <w:rsid w:val="00271574"/>
    <w:rsid w:val="0027182A"/>
    <w:rsid w:val="00271E0F"/>
    <w:rsid w:val="00271FB0"/>
    <w:rsid w:val="00272149"/>
    <w:rsid w:val="00272D4A"/>
    <w:rsid w:val="00273299"/>
    <w:rsid w:val="002732FB"/>
    <w:rsid w:val="0027367D"/>
    <w:rsid w:val="00274959"/>
    <w:rsid w:val="00274D4B"/>
    <w:rsid w:val="00275572"/>
    <w:rsid w:val="00276048"/>
    <w:rsid w:val="002763C7"/>
    <w:rsid w:val="00276B09"/>
    <w:rsid w:val="00280122"/>
    <w:rsid w:val="00280C0F"/>
    <w:rsid w:val="0028171F"/>
    <w:rsid w:val="00281C10"/>
    <w:rsid w:val="0028229C"/>
    <w:rsid w:val="00282F78"/>
    <w:rsid w:val="002834E6"/>
    <w:rsid w:val="002837D4"/>
    <w:rsid w:val="00283DA0"/>
    <w:rsid w:val="00283E36"/>
    <w:rsid w:val="0028414D"/>
    <w:rsid w:val="002853BA"/>
    <w:rsid w:val="00286CE9"/>
    <w:rsid w:val="002871F3"/>
    <w:rsid w:val="002902B5"/>
    <w:rsid w:val="00290D05"/>
    <w:rsid w:val="00291116"/>
    <w:rsid w:val="0029272B"/>
    <w:rsid w:val="00292FF4"/>
    <w:rsid w:val="00293191"/>
    <w:rsid w:val="002931D4"/>
    <w:rsid w:val="00293DB2"/>
    <w:rsid w:val="00295955"/>
    <w:rsid w:val="00295E1F"/>
    <w:rsid w:val="00296182"/>
    <w:rsid w:val="00296A1D"/>
    <w:rsid w:val="002970C5"/>
    <w:rsid w:val="0029751D"/>
    <w:rsid w:val="002A0645"/>
    <w:rsid w:val="002A0EB7"/>
    <w:rsid w:val="002A12AC"/>
    <w:rsid w:val="002A13B9"/>
    <w:rsid w:val="002A1850"/>
    <w:rsid w:val="002A3D8A"/>
    <w:rsid w:val="002A3E4C"/>
    <w:rsid w:val="002A4D78"/>
    <w:rsid w:val="002A586C"/>
    <w:rsid w:val="002A7125"/>
    <w:rsid w:val="002A7CA4"/>
    <w:rsid w:val="002B01C1"/>
    <w:rsid w:val="002B0742"/>
    <w:rsid w:val="002B0FDC"/>
    <w:rsid w:val="002B1872"/>
    <w:rsid w:val="002B1A07"/>
    <w:rsid w:val="002B1C4E"/>
    <w:rsid w:val="002B1D6C"/>
    <w:rsid w:val="002B1FBF"/>
    <w:rsid w:val="002B2696"/>
    <w:rsid w:val="002B4D19"/>
    <w:rsid w:val="002B5E05"/>
    <w:rsid w:val="002B650C"/>
    <w:rsid w:val="002B6D2E"/>
    <w:rsid w:val="002B701D"/>
    <w:rsid w:val="002C041B"/>
    <w:rsid w:val="002C0837"/>
    <w:rsid w:val="002C0E91"/>
    <w:rsid w:val="002C2125"/>
    <w:rsid w:val="002C2198"/>
    <w:rsid w:val="002C272E"/>
    <w:rsid w:val="002C2CB1"/>
    <w:rsid w:val="002C33B8"/>
    <w:rsid w:val="002C388E"/>
    <w:rsid w:val="002C4CE3"/>
    <w:rsid w:val="002C576B"/>
    <w:rsid w:val="002C5DAA"/>
    <w:rsid w:val="002C606C"/>
    <w:rsid w:val="002C7367"/>
    <w:rsid w:val="002D1BB7"/>
    <w:rsid w:val="002D1FB9"/>
    <w:rsid w:val="002D26D5"/>
    <w:rsid w:val="002D2E05"/>
    <w:rsid w:val="002D3516"/>
    <w:rsid w:val="002D3F0F"/>
    <w:rsid w:val="002D40D6"/>
    <w:rsid w:val="002D4582"/>
    <w:rsid w:val="002D49EE"/>
    <w:rsid w:val="002D4CCF"/>
    <w:rsid w:val="002D5CC8"/>
    <w:rsid w:val="002D6698"/>
    <w:rsid w:val="002D6ABF"/>
    <w:rsid w:val="002D6B95"/>
    <w:rsid w:val="002D7134"/>
    <w:rsid w:val="002E06E8"/>
    <w:rsid w:val="002E07D2"/>
    <w:rsid w:val="002E0FB8"/>
    <w:rsid w:val="002E2EDD"/>
    <w:rsid w:val="002E2FE4"/>
    <w:rsid w:val="002E3FF3"/>
    <w:rsid w:val="002E43AB"/>
    <w:rsid w:val="002E4474"/>
    <w:rsid w:val="002E597F"/>
    <w:rsid w:val="002E6181"/>
    <w:rsid w:val="002E6D1F"/>
    <w:rsid w:val="002E71BE"/>
    <w:rsid w:val="002E7377"/>
    <w:rsid w:val="002E76AE"/>
    <w:rsid w:val="002E76E5"/>
    <w:rsid w:val="002F03C1"/>
    <w:rsid w:val="002F2013"/>
    <w:rsid w:val="002F2945"/>
    <w:rsid w:val="002F3BB6"/>
    <w:rsid w:val="002F3C9D"/>
    <w:rsid w:val="002F4225"/>
    <w:rsid w:val="002F5900"/>
    <w:rsid w:val="002F5AF3"/>
    <w:rsid w:val="002F6FE4"/>
    <w:rsid w:val="003004B9"/>
    <w:rsid w:val="00300558"/>
    <w:rsid w:val="0030174B"/>
    <w:rsid w:val="00303125"/>
    <w:rsid w:val="003043EB"/>
    <w:rsid w:val="00304DEA"/>
    <w:rsid w:val="003062FA"/>
    <w:rsid w:val="003066F4"/>
    <w:rsid w:val="00306B83"/>
    <w:rsid w:val="00307315"/>
    <w:rsid w:val="00307899"/>
    <w:rsid w:val="003078E5"/>
    <w:rsid w:val="00310452"/>
    <w:rsid w:val="00310AEE"/>
    <w:rsid w:val="00310FF8"/>
    <w:rsid w:val="003113AA"/>
    <w:rsid w:val="00313A56"/>
    <w:rsid w:val="003149DD"/>
    <w:rsid w:val="00314BA9"/>
    <w:rsid w:val="003151D4"/>
    <w:rsid w:val="0031544C"/>
    <w:rsid w:val="00315A78"/>
    <w:rsid w:val="003165D5"/>
    <w:rsid w:val="0031661B"/>
    <w:rsid w:val="00320448"/>
    <w:rsid w:val="003223C2"/>
    <w:rsid w:val="00322796"/>
    <w:rsid w:val="00322F20"/>
    <w:rsid w:val="00322FCB"/>
    <w:rsid w:val="0032353B"/>
    <w:rsid w:val="00323885"/>
    <w:rsid w:val="0032392C"/>
    <w:rsid w:val="00323A2E"/>
    <w:rsid w:val="00323E82"/>
    <w:rsid w:val="00323F4F"/>
    <w:rsid w:val="003248B0"/>
    <w:rsid w:val="00324A6C"/>
    <w:rsid w:val="00324FBB"/>
    <w:rsid w:val="003265B2"/>
    <w:rsid w:val="00326605"/>
    <w:rsid w:val="00327BE5"/>
    <w:rsid w:val="0033008A"/>
    <w:rsid w:val="0033093B"/>
    <w:rsid w:val="00330E63"/>
    <w:rsid w:val="0033138C"/>
    <w:rsid w:val="00331C20"/>
    <w:rsid w:val="00332352"/>
    <w:rsid w:val="00332887"/>
    <w:rsid w:val="003328BD"/>
    <w:rsid w:val="0033389D"/>
    <w:rsid w:val="003346A7"/>
    <w:rsid w:val="00334926"/>
    <w:rsid w:val="003353DC"/>
    <w:rsid w:val="00335421"/>
    <w:rsid w:val="0033572E"/>
    <w:rsid w:val="00335E0C"/>
    <w:rsid w:val="0033688C"/>
    <w:rsid w:val="003371B3"/>
    <w:rsid w:val="003377AA"/>
    <w:rsid w:val="00340727"/>
    <w:rsid w:val="003410F2"/>
    <w:rsid w:val="00341444"/>
    <w:rsid w:val="00342DAF"/>
    <w:rsid w:val="003431AA"/>
    <w:rsid w:val="003433CD"/>
    <w:rsid w:val="00343BB7"/>
    <w:rsid w:val="00343C6A"/>
    <w:rsid w:val="003440CE"/>
    <w:rsid w:val="0034421B"/>
    <w:rsid w:val="00344437"/>
    <w:rsid w:val="003445CE"/>
    <w:rsid w:val="00344711"/>
    <w:rsid w:val="00344EEB"/>
    <w:rsid w:val="00344F1E"/>
    <w:rsid w:val="00344FFD"/>
    <w:rsid w:val="0034559A"/>
    <w:rsid w:val="003455A2"/>
    <w:rsid w:val="00345B38"/>
    <w:rsid w:val="003461E7"/>
    <w:rsid w:val="00346437"/>
    <w:rsid w:val="0034712B"/>
    <w:rsid w:val="003509BB"/>
    <w:rsid w:val="00350A2B"/>
    <w:rsid w:val="00350F21"/>
    <w:rsid w:val="003512E1"/>
    <w:rsid w:val="003520A0"/>
    <w:rsid w:val="00352D40"/>
    <w:rsid w:val="003531DF"/>
    <w:rsid w:val="003535CF"/>
    <w:rsid w:val="00355045"/>
    <w:rsid w:val="003555A0"/>
    <w:rsid w:val="0035578E"/>
    <w:rsid w:val="00356EE9"/>
    <w:rsid w:val="00357497"/>
    <w:rsid w:val="00357EB5"/>
    <w:rsid w:val="00360AEF"/>
    <w:rsid w:val="00361295"/>
    <w:rsid w:val="0036215C"/>
    <w:rsid w:val="00363055"/>
    <w:rsid w:val="0036363D"/>
    <w:rsid w:val="003636DE"/>
    <w:rsid w:val="0036508A"/>
    <w:rsid w:val="00365906"/>
    <w:rsid w:val="00365CAB"/>
    <w:rsid w:val="003663B3"/>
    <w:rsid w:val="00366C6E"/>
    <w:rsid w:val="003675ED"/>
    <w:rsid w:val="00367972"/>
    <w:rsid w:val="003679E4"/>
    <w:rsid w:val="00367D33"/>
    <w:rsid w:val="00370398"/>
    <w:rsid w:val="00370B19"/>
    <w:rsid w:val="0037166B"/>
    <w:rsid w:val="00371FE4"/>
    <w:rsid w:val="003722AF"/>
    <w:rsid w:val="003724FD"/>
    <w:rsid w:val="00372524"/>
    <w:rsid w:val="00372780"/>
    <w:rsid w:val="003729D2"/>
    <w:rsid w:val="003739E7"/>
    <w:rsid w:val="00374D28"/>
    <w:rsid w:val="00374D43"/>
    <w:rsid w:val="00375569"/>
    <w:rsid w:val="00375F5E"/>
    <w:rsid w:val="003769E1"/>
    <w:rsid w:val="003779CC"/>
    <w:rsid w:val="003812DC"/>
    <w:rsid w:val="00381A14"/>
    <w:rsid w:val="00382E16"/>
    <w:rsid w:val="00383441"/>
    <w:rsid w:val="00384A3E"/>
    <w:rsid w:val="0038583B"/>
    <w:rsid w:val="00386C8A"/>
    <w:rsid w:val="0039169D"/>
    <w:rsid w:val="003917C3"/>
    <w:rsid w:val="003917E1"/>
    <w:rsid w:val="00391854"/>
    <w:rsid w:val="00391EBF"/>
    <w:rsid w:val="0039212A"/>
    <w:rsid w:val="0039264B"/>
    <w:rsid w:val="003927B9"/>
    <w:rsid w:val="00393928"/>
    <w:rsid w:val="0039668F"/>
    <w:rsid w:val="00396C69"/>
    <w:rsid w:val="00396FAC"/>
    <w:rsid w:val="0039749C"/>
    <w:rsid w:val="0039754F"/>
    <w:rsid w:val="00397D94"/>
    <w:rsid w:val="003A0781"/>
    <w:rsid w:val="003A217F"/>
    <w:rsid w:val="003A263B"/>
    <w:rsid w:val="003A2E5D"/>
    <w:rsid w:val="003A3676"/>
    <w:rsid w:val="003A4D77"/>
    <w:rsid w:val="003A5BE3"/>
    <w:rsid w:val="003A5C2F"/>
    <w:rsid w:val="003A6899"/>
    <w:rsid w:val="003A78DF"/>
    <w:rsid w:val="003B1890"/>
    <w:rsid w:val="003B1969"/>
    <w:rsid w:val="003B35CF"/>
    <w:rsid w:val="003B3CB0"/>
    <w:rsid w:val="003B4382"/>
    <w:rsid w:val="003B5A29"/>
    <w:rsid w:val="003B6A44"/>
    <w:rsid w:val="003B764D"/>
    <w:rsid w:val="003C0449"/>
    <w:rsid w:val="003C15A7"/>
    <w:rsid w:val="003C17E6"/>
    <w:rsid w:val="003C255C"/>
    <w:rsid w:val="003C2815"/>
    <w:rsid w:val="003C3539"/>
    <w:rsid w:val="003C38C2"/>
    <w:rsid w:val="003C4772"/>
    <w:rsid w:val="003D0167"/>
    <w:rsid w:val="003D107D"/>
    <w:rsid w:val="003D12AC"/>
    <w:rsid w:val="003D135E"/>
    <w:rsid w:val="003D1A51"/>
    <w:rsid w:val="003D1D68"/>
    <w:rsid w:val="003D1FF8"/>
    <w:rsid w:val="003D2129"/>
    <w:rsid w:val="003D22AC"/>
    <w:rsid w:val="003D3386"/>
    <w:rsid w:val="003D34CC"/>
    <w:rsid w:val="003D389D"/>
    <w:rsid w:val="003D3D98"/>
    <w:rsid w:val="003D5367"/>
    <w:rsid w:val="003D54FA"/>
    <w:rsid w:val="003D6405"/>
    <w:rsid w:val="003D6780"/>
    <w:rsid w:val="003D7642"/>
    <w:rsid w:val="003E03A1"/>
    <w:rsid w:val="003E2E6B"/>
    <w:rsid w:val="003E3162"/>
    <w:rsid w:val="003E3C04"/>
    <w:rsid w:val="003E3C10"/>
    <w:rsid w:val="003E4B0B"/>
    <w:rsid w:val="003E4CFD"/>
    <w:rsid w:val="003E6337"/>
    <w:rsid w:val="003E6626"/>
    <w:rsid w:val="003E6D7C"/>
    <w:rsid w:val="003E6E22"/>
    <w:rsid w:val="003F0293"/>
    <w:rsid w:val="003F3DF8"/>
    <w:rsid w:val="003F3E57"/>
    <w:rsid w:val="003F4AC1"/>
    <w:rsid w:val="003F6414"/>
    <w:rsid w:val="003F69D3"/>
    <w:rsid w:val="003F6B3B"/>
    <w:rsid w:val="003F6BE6"/>
    <w:rsid w:val="003F77CD"/>
    <w:rsid w:val="00400062"/>
    <w:rsid w:val="004000D1"/>
    <w:rsid w:val="00401E7D"/>
    <w:rsid w:val="00402728"/>
    <w:rsid w:val="0040273B"/>
    <w:rsid w:val="004043AA"/>
    <w:rsid w:val="00404A63"/>
    <w:rsid w:val="00404B10"/>
    <w:rsid w:val="0040574F"/>
    <w:rsid w:val="004062F9"/>
    <w:rsid w:val="004073AF"/>
    <w:rsid w:val="00407C8A"/>
    <w:rsid w:val="00407D4D"/>
    <w:rsid w:val="0041025E"/>
    <w:rsid w:val="0041028B"/>
    <w:rsid w:val="004104FD"/>
    <w:rsid w:val="00410C8A"/>
    <w:rsid w:val="004115B2"/>
    <w:rsid w:val="00413CE2"/>
    <w:rsid w:val="00413D08"/>
    <w:rsid w:val="00414DF3"/>
    <w:rsid w:val="004156DF"/>
    <w:rsid w:val="004166D9"/>
    <w:rsid w:val="00417B3A"/>
    <w:rsid w:val="00417DF6"/>
    <w:rsid w:val="00417F93"/>
    <w:rsid w:val="0042162F"/>
    <w:rsid w:val="00421840"/>
    <w:rsid w:val="00421B67"/>
    <w:rsid w:val="00423342"/>
    <w:rsid w:val="00423432"/>
    <w:rsid w:val="00423502"/>
    <w:rsid w:val="00423CCB"/>
    <w:rsid w:val="00423E55"/>
    <w:rsid w:val="00424A6C"/>
    <w:rsid w:val="00424DE0"/>
    <w:rsid w:val="00425C83"/>
    <w:rsid w:val="00426504"/>
    <w:rsid w:val="00430316"/>
    <w:rsid w:val="004311D1"/>
    <w:rsid w:val="0043177C"/>
    <w:rsid w:val="00431F26"/>
    <w:rsid w:val="00432148"/>
    <w:rsid w:val="00432860"/>
    <w:rsid w:val="00433169"/>
    <w:rsid w:val="00433463"/>
    <w:rsid w:val="00433D50"/>
    <w:rsid w:val="00434316"/>
    <w:rsid w:val="00435ABF"/>
    <w:rsid w:val="00435BAA"/>
    <w:rsid w:val="00436A0A"/>
    <w:rsid w:val="0043726C"/>
    <w:rsid w:val="004400CE"/>
    <w:rsid w:val="004415A3"/>
    <w:rsid w:val="00441FDF"/>
    <w:rsid w:val="004421CE"/>
    <w:rsid w:val="00443624"/>
    <w:rsid w:val="0044363A"/>
    <w:rsid w:val="00443657"/>
    <w:rsid w:val="00443B0C"/>
    <w:rsid w:val="00443D2D"/>
    <w:rsid w:val="00444319"/>
    <w:rsid w:val="004444CB"/>
    <w:rsid w:val="004448F9"/>
    <w:rsid w:val="00444BB6"/>
    <w:rsid w:val="004454EC"/>
    <w:rsid w:val="00445F0D"/>
    <w:rsid w:val="0044621C"/>
    <w:rsid w:val="00447F82"/>
    <w:rsid w:val="00450239"/>
    <w:rsid w:val="00452940"/>
    <w:rsid w:val="00453D12"/>
    <w:rsid w:val="00454654"/>
    <w:rsid w:val="00454779"/>
    <w:rsid w:val="00455510"/>
    <w:rsid w:val="004557F8"/>
    <w:rsid w:val="00455B1A"/>
    <w:rsid w:val="00455B71"/>
    <w:rsid w:val="00455CEA"/>
    <w:rsid w:val="00455EF3"/>
    <w:rsid w:val="00455F22"/>
    <w:rsid w:val="004563B3"/>
    <w:rsid w:val="004565F9"/>
    <w:rsid w:val="00456DEE"/>
    <w:rsid w:val="00457209"/>
    <w:rsid w:val="00457A73"/>
    <w:rsid w:val="00457FCB"/>
    <w:rsid w:val="004607E3"/>
    <w:rsid w:val="00461B07"/>
    <w:rsid w:val="004628BE"/>
    <w:rsid w:val="00463252"/>
    <w:rsid w:val="00463E5D"/>
    <w:rsid w:val="00465376"/>
    <w:rsid w:val="0046594F"/>
    <w:rsid w:val="004663C5"/>
    <w:rsid w:val="00467ECC"/>
    <w:rsid w:val="0047043D"/>
    <w:rsid w:val="00470567"/>
    <w:rsid w:val="0047107B"/>
    <w:rsid w:val="004719A2"/>
    <w:rsid w:val="00471B54"/>
    <w:rsid w:val="00472437"/>
    <w:rsid w:val="00473275"/>
    <w:rsid w:val="0047348F"/>
    <w:rsid w:val="0047535A"/>
    <w:rsid w:val="0047633E"/>
    <w:rsid w:val="00477205"/>
    <w:rsid w:val="004804D8"/>
    <w:rsid w:val="0048096D"/>
    <w:rsid w:val="00481A8F"/>
    <w:rsid w:val="0048233F"/>
    <w:rsid w:val="0048321D"/>
    <w:rsid w:val="00483F7E"/>
    <w:rsid w:val="004840E9"/>
    <w:rsid w:val="00484A22"/>
    <w:rsid w:val="004850E7"/>
    <w:rsid w:val="0048514F"/>
    <w:rsid w:val="00485FF9"/>
    <w:rsid w:val="00486323"/>
    <w:rsid w:val="00486414"/>
    <w:rsid w:val="004865C3"/>
    <w:rsid w:val="00486652"/>
    <w:rsid w:val="004872B8"/>
    <w:rsid w:val="00490606"/>
    <w:rsid w:val="00491BCD"/>
    <w:rsid w:val="0049227E"/>
    <w:rsid w:val="00492833"/>
    <w:rsid w:val="00493335"/>
    <w:rsid w:val="00493446"/>
    <w:rsid w:val="00494196"/>
    <w:rsid w:val="0049438C"/>
    <w:rsid w:val="00494AFE"/>
    <w:rsid w:val="004957E8"/>
    <w:rsid w:val="00495B01"/>
    <w:rsid w:val="0049602D"/>
    <w:rsid w:val="00496856"/>
    <w:rsid w:val="00496CED"/>
    <w:rsid w:val="004978CC"/>
    <w:rsid w:val="00497AE0"/>
    <w:rsid w:val="004A02B8"/>
    <w:rsid w:val="004A0852"/>
    <w:rsid w:val="004A13C8"/>
    <w:rsid w:val="004A32C7"/>
    <w:rsid w:val="004A3392"/>
    <w:rsid w:val="004A440C"/>
    <w:rsid w:val="004A48BA"/>
    <w:rsid w:val="004A5822"/>
    <w:rsid w:val="004A61F1"/>
    <w:rsid w:val="004A63ED"/>
    <w:rsid w:val="004A6413"/>
    <w:rsid w:val="004A64C7"/>
    <w:rsid w:val="004A666E"/>
    <w:rsid w:val="004A6E8C"/>
    <w:rsid w:val="004A6FB8"/>
    <w:rsid w:val="004A7C97"/>
    <w:rsid w:val="004B0022"/>
    <w:rsid w:val="004B0923"/>
    <w:rsid w:val="004B286A"/>
    <w:rsid w:val="004B4351"/>
    <w:rsid w:val="004B5E6D"/>
    <w:rsid w:val="004B6028"/>
    <w:rsid w:val="004B6235"/>
    <w:rsid w:val="004B6D5C"/>
    <w:rsid w:val="004B78B4"/>
    <w:rsid w:val="004B7A08"/>
    <w:rsid w:val="004C0846"/>
    <w:rsid w:val="004C08AC"/>
    <w:rsid w:val="004C0F70"/>
    <w:rsid w:val="004C27A3"/>
    <w:rsid w:val="004C2896"/>
    <w:rsid w:val="004C3140"/>
    <w:rsid w:val="004C3F08"/>
    <w:rsid w:val="004C4809"/>
    <w:rsid w:val="004C4A4D"/>
    <w:rsid w:val="004C620A"/>
    <w:rsid w:val="004C708F"/>
    <w:rsid w:val="004C756D"/>
    <w:rsid w:val="004C783F"/>
    <w:rsid w:val="004C7A90"/>
    <w:rsid w:val="004D12EA"/>
    <w:rsid w:val="004D1B5F"/>
    <w:rsid w:val="004D32AA"/>
    <w:rsid w:val="004D348C"/>
    <w:rsid w:val="004D34DF"/>
    <w:rsid w:val="004D3E87"/>
    <w:rsid w:val="004D4626"/>
    <w:rsid w:val="004D50B4"/>
    <w:rsid w:val="004D5245"/>
    <w:rsid w:val="004D5AAA"/>
    <w:rsid w:val="004D5E42"/>
    <w:rsid w:val="004D6301"/>
    <w:rsid w:val="004D68BA"/>
    <w:rsid w:val="004D68C7"/>
    <w:rsid w:val="004E0415"/>
    <w:rsid w:val="004E0834"/>
    <w:rsid w:val="004E0CE1"/>
    <w:rsid w:val="004E0DC5"/>
    <w:rsid w:val="004E263E"/>
    <w:rsid w:val="004E2B77"/>
    <w:rsid w:val="004E2C6A"/>
    <w:rsid w:val="004E2D19"/>
    <w:rsid w:val="004E384D"/>
    <w:rsid w:val="004E4181"/>
    <w:rsid w:val="004E55B9"/>
    <w:rsid w:val="004E5C24"/>
    <w:rsid w:val="004E5C33"/>
    <w:rsid w:val="004E6042"/>
    <w:rsid w:val="004E6A1C"/>
    <w:rsid w:val="004E6A5D"/>
    <w:rsid w:val="004E6B66"/>
    <w:rsid w:val="004E6FE3"/>
    <w:rsid w:val="004E7031"/>
    <w:rsid w:val="004E71F4"/>
    <w:rsid w:val="004F069E"/>
    <w:rsid w:val="004F06DE"/>
    <w:rsid w:val="004F1985"/>
    <w:rsid w:val="004F20B0"/>
    <w:rsid w:val="004F22A5"/>
    <w:rsid w:val="004F2CBF"/>
    <w:rsid w:val="004F2F22"/>
    <w:rsid w:val="004F4F14"/>
    <w:rsid w:val="004F519B"/>
    <w:rsid w:val="004F536A"/>
    <w:rsid w:val="004F5B33"/>
    <w:rsid w:val="004F5EBD"/>
    <w:rsid w:val="004F6759"/>
    <w:rsid w:val="004F6C22"/>
    <w:rsid w:val="004F6FAC"/>
    <w:rsid w:val="005002B2"/>
    <w:rsid w:val="0050112B"/>
    <w:rsid w:val="00501175"/>
    <w:rsid w:val="005011BE"/>
    <w:rsid w:val="005024CF"/>
    <w:rsid w:val="005037BE"/>
    <w:rsid w:val="00503BD4"/>
    <w:rsid w:val="00503C99"/>
    <w:rsid w:val="00504286"/>
    <w:rsid w:val="0050540C"/>
    <w:rsid w:val="005069ED"/>
    <w:rsid w:val="00507041"/>
    <w:rsid w:val="00507377"/>
    <w:rsid w:val="005107CD"/>
    <w:rsid w:val="00510B46"/>
    <w:rsid w:val="00510CCF"/>
    <w:rsid w:val="00511C98"/>
    <w:rsid w:val="0051211E"/>
    <w:rsid w:val="00513065"/>
    <w:rsid w:val="005133F4"/>
    <w:rsid w:val="005134E9"/>
    <w:rsid w:val="005143C1"/>
    <w:rsid w:val="0051452A"/>
    <w:rsid w:val="00516A9A"/>
    <w:rsid w:val="00516B2E"/>
    <w:rsid w:val="00516D0B"/>
    <w:rsid w:val="0051777A"/>
    <w:rsid w:val="00522768"/>
    <w:rsid w:val="00522C56"/>
    <w:rsid w:val="00523550"/>
    <w:rsid w:val="0052389D"/>
    <w:rsid w:val="005241CB"/>
    <w:rsid w:val="00524427"/>
    <w:rsid w:val="0052477B"/>
    <w:rsid w:val="00524CFD"/>
    <w:rsid w:val="00524FF9"/>
    <w:rsid w:val="005255C6"/>
    <w:rsid w:val="0052574B"/>
    <w:rsid w:val="0052730D"/>
    <w:rsid w:val="005306C2"/>
    <w:rsid w:val="00531226"/>
    <w:rsid w:val="005315F8"/>
    <w:rsid w:val="0053183A"/>
    <w:rsid w:val="00531DE1"/>
    <w:rsid w:val="00531E8E"/>
    <w:rsid w:val="00531F02"/>
    <w:rsid w:val="00532619"/>
    <w:rsid w:val="00532CE5"/>
    <w:rsid w:val="00533708"/>
    <w:rsid w:val="005340A6"/>
    <w:rsid w:val="005345C5"/>
    <w:rsid w:val="00534AAC"/>
    <w:rsid w:val="0053635F"/>
    <w:rsid w:val="00536952"/>
    <w:rsid w:val="00536A80"/>
    <w:rsid w:val="005406B1"/>
    <w:rsid w:val="005408C9"/>
    <w:rsid w:val="00541552"/>
    <w:rsid w:val="005418E7"/>
    <w:rsid w:val="005419F2"/>
    <w:rsid w:val="00541CC3"/>
    <w:rsid w:val="0054322C"/>
    <w:rsid w:val="00543262"/>
    <w:rsid w:val="00543315"/>
    <w:rsid w:val="0054332C"/>
    <w:rsid w:val="005436CD"/>
    <w:rsid w:val="00543894"/>
    <w:rsid w:val="005440F9"/>
    <w:rsid w:val="00545369"/>
    <w:rsid w:val="0054575A"/>
    <w:rsid w:val="0054578C"/>
    <w:rsid w:val="005464B3"/>
    <w:rsid w:val="00546627"/>
    <w:rsid w:val="0054743C"/>
    <w:rsid w:val="0055063A"/>
    <w:rsid w:val="005507B8"/>
    <w:rsid w:val="00550990"/>
    <w:rsid w:val="00551449"/>
    <w:rsid w:val="0055179B"/>
    <w:rsid w:val="00552500"/>
    <w:rsid w:val="00552CFF"/>
    <w:rsid w:val="00552D3E"/>
    <w:rsid w:val="00553504"/>
    <w:rsid w:val="00553562"/>
    <w:rsid w:val="00553EAB"/>
    <w:rsid w:val="0055492C"/>
    <w:rsid w:val="005550F3"/>
    <w:rsid w:val="00555678"/>
    <w:rsid w:val="0055693F"/>
    <w:rsid w:val="00557058"/>
    <w:rsid w:val="005575F2"/>
    <w:rsid w:val="005578EF"/>
    <w:rsid w:val="00557BBE"/>
    <w:rsid w:val="00560036"/>
    <w:rsid w:val="00560CF8"/>
    <w:rsid w:val="0056177D"/>
    <w:rsid w:val="00561B97"/>
    <w:rsid w:val="00562A35"/>
    <w:rsid w:val="005632FB"/>
    <w:rsid w:val="00563861"/>
    <w:rsid w:val="00565106"/>
    <w:rsid w:val="00565D2B"/>
    <w:rsid w:val="005664E7"/>
    <w:rsid w:val="00567316"/>
    <w:rsid w:val="005675D1"/>
    <w:rsid w:val="005719A1"/>
    <w:rsid w:val="00571AAB"/>
    <w:rsid w:val="00571B7A"/>
    <w:rsid w:val="00571C53"/>
    <w:rsid w:val="00571CFB"/>
    <w:rsid w:val="00571F5F"/>
    <w:rsid w:val="005721B5"/>
    <w:rsid w:val="00572743"/>
    <w:rsid w:val="005751F8"/>
    <w:rsid w:val="00575F31"/>
    <w:rsid w:val="00576997"/>
    <w:rsid w:val="00576F0E"/>
    <w:rsid w:val="0057740E"/>
    <w:rsid w:val="005775CC"/>
    <w:rsid w:val="0057793D"/>
    <w:rsid w:val="00580251"/>
    <w:rsid w:val="00582071"/>
    <w:rsid w:val="005821C4"/>
    <w:rsid w:val="0058235C"/>
    <w:rsid w:val="00582772"/>
    <w:rsid w:val="00584CEB"/>
    <w:rsid w:val="00584E56"/>
    <w:rsid w:val="00585352"/>
    <w:rsid w:val="005871EC"/>
    <w:rsid w:val="005901C8"/>
    <w:rsid w:val="005906F6"/>
    <w:rsid w:val="00590A69"/>
    <w:rsid w:val="00591E4E"/>
    <w:rsid w:val="0059228A"/>
    <w:rsid w:val="00592F3F"/>
    <w:rsid w:val="00592FD9"/>
    <w:rsid w:val="00593103"/>
    <w:rsid w:val="005934A2"/>
    <w:rsid w:val="00594394"/>
    <w:rsid w:val="00594BDE"/>
    <w:rsid w:val="00594DB1"/>
    <w:rsid w:val="005952D6"/>
    <w:rsid w:val="00595BF8"/>
    <w:rsid w:val="00595FFB"/>
    <w:rsid w:val="00596B76"/>
    <w:rsid w:val="00596D84"/>
    <w:rsid w:val="00597309"/>
    <w:rsid w:val="0059796C"/>
    <w:rsid w:val="0059799E"/>
    <w:rsid w:val="005A02BA"/>
    <w:rsid w:val="005A144E"/>
    <w:rsid w:val="005A1A63"/>
    <w:rsid w:val="005A2557"/>
    <w:rsid w:val="005A28F2"/>
    <w:rsid w:val="005A48E1"/>
    <w:rsid w:val="005A52A7"/>
    <w:rsid w:val="005A54D2"/>
    <w:rsid w:val="005A5917"/>
    <w:rsid w:val="005A5B9E"/>
    <w:rsid w:val="005A6B7E"/>
    <w:rsid w:val="005A6F99"/>
    <w:rsid w:val="005A7D92"/>
    <w:rsid w:val="005B0821"/>
    <w:rsid w:val="005B0938"/>
    <w:rsid w:val="005B0BB1"/>
    <w:rsid w:val="005B0F6C"/>
    <w:rsid w:val="005B1342"/>
    <w:rsid w:val="005B1434"/>
    <w:rsid w:val="005B21C2"/>
    <w:rsid w:val="005B2553"/>
    <w:rsid w:val="005B2A21"/>
    <w:rsid w:val="005B2FB6"/>
    <w:rsid w:val="005B3240"/>
    <w:rsid w:val="005B3469"/>
    <w:rsid w:val="005B3AE1"/>
    <w:rsid w:val="005B4216"/>
    <w:rsid w:val="005B4E89"/>
    <w:rsid w:val="005B516F"/>
    <w:rsid w:val="005B64C1"/>
    <w:rsid w:val="005B65A8"/>
    <w:rsid w:val="005B687C"/>
    <w:rsid w:val="005B72AA"/>
    <w:rsid w:val="005B7376"/>
    <w:rsid w:val="005B7A6F"/>
    <w:rsid w:val="005C091E"/>
    <w:rsid w:val="005C0C57"/>
    <w:rsid w:val="005C14BD"/>
    <w:rsid w:val="005C29A5"/>
    <w:rsid w:val="005C332E"/>
    <w:rsid w:val="005C438A"/>
    <w:rsid w:val="005C4E86"/>
    <w:rsid w:val="005C59CE"/>
    <w:rsid w:val="005C59F0"/>
    <w:rsid w:val="005C7542"/>
    <w:rsid w:val="005C7D0B"/>
    <w:rsid w:val="005D0339"/>
    <w:rsid w:val="005D0807"/>
    <w:rsid w:val="005D10DE"/>
    <w:rsid w:val="005D1F64"/>
    <w:rsid w:val="005D21D7"/>
    <w:rsid w:val="005D2DD0"/>
    <w:rsid w:val="005D2E26"/>
    <w:rsid w:val="005D317B"/>
    <w:rsid w:val="005D4416"/>
    <w:rsid w:val="005D5963"/>
    <w:rsid w:val="005D5DDA"/>
    <w:rsid w:val="005D7D04"/>
    <w:rsid w:val="005E0C89"/>
    <w:rsid w:val="005E2355"/>
    <w:rsid w:val="005E2479"/>
    <w:rsid w:val="005E27C7"/>
    <w:rsid w:val="005E28F8"/>
    <w:rsid w:val="005E291A"/>
    <w:rsid w:val="005E2DCB"/>
    <w:rsid w:val="005E2FCB"/>
    <w:rsid w:val="005E325A"/>
    <w:rsid w:val="005E341B"/>
    <w:rsid w:val="005E3E81"/>
    <w:rsid w:val="005E4100"/>
    <w:rsid w:val="005E4B66"/>
    <w:rsid w:val="005E5C56"/>
    <w:rsid w:val="005E65E3"/>
    <w:rsid w:val="005E6782"/>
    <w:rsid w:val="005E67DB"/>
    <w:rsid w:val="005E7ABC"/>
    <w:rsid w:val="005E7F83"/>
    <w:rsid w:val="005F01C2"/>
    <w:rsid w:val="005F0814"/>
    <w:rsid w:val="005F0C19"/>
    <w:rsid w:val="005F1167"/>
    <w:rsid w:val="005F22B6"/>
    <w:rsid w:val="005F2C28"/>
    <w:rsid w:val="005F349E"/>
    <w:rsid w:val="005F3A99"/>
    <w:rsid w:val="005F3D26"/>
    <w:rsid w:val="005F40AA"/>
    <w:rsid w:val="005F46FC"/>
    <w:rsid w:val="005F4AFC"/>
    <w:rsid w:val="005F78E1"/>
    <w:rsid w:val="005F7D84"/>
    <w:rsid w:val="00600B5A"/>
    <w:rsid w:val="00601394"/>
    <w:rsid w:val="006013A9"/>
    <w:rsid w:val="00602A3F"/>
    <w:rsid w:val="00603450"/>
    <w:rsid w:val="00603F37"/>
    <w:rsid w:val="006058AD"/>
    <w:rsid w:val="00605C1D"/>
    <w:rsid w:val="00605CEE"/>
    <w:rsid w:val="006061A6"/>
    <w:rsid w:val="006069EE"/>
    <w:rsid w:val="00606A39"/>
    <w:rsid w:val="00606BA6"/>
    <w:rsid w:val="00606F1F"/>
    <w:rsid w:val="00607463"/>
    <w:rsid w:val="00610E75"/>
    <w:rsid w:val="006115F5"/>
    <w:rsid w:val="0061180F"/>
    <w:rsid w:val="00611D30"/>
    <w:rsid w:val="00613D62"/>
    <w:rsid w:val="00613F11"/>
    <w:rsid w:val="00614D45"/>
    <w:rsid w:val="00616844"/>
    <w:rsid w:val="006168A3"/>
    <w:rsid w:val="00616933"/>
    <w:rsid w:val="00616A08"/>
    <w:rsid w:val="0061717B"/>
    <w:rsid w:val="00617374"/>
    <w:rsid w:val="0061772C"/>
    <w:rsid w:val="0062118F"/>
    <w:rsid w:val="0062192A"/>
    <w:rsid w:val="006221A1"/>
    <w:rsid w:val="00622A48"/>
    <w:rsid w:val="00622C26"/>
    <w:rsid w:val="0062387B"/>
    <w:rsid w:val="00623C59"/>
    <w:rsid w:val="00625471"/>
    <w:rsid w:val="00625775"/>
    <w:rsid w:val="00625D20"/>
    <w:rsid w:val="00626E9D"/>
    <w:rsid w:val="006277FA"/>
    <w:rsid w:val="006278D9"/>
    <w:rsid w:val="00630B72"/>
    <w:rsid w:val="00630ECB"/>
    <w:rsid w:val="006319EF"/>
    <w:rsid w:val="0063229C"/>
    <w:rsid w:val="00632CEE"/>
    <w:rsid w:val="006344C7"/>
    <w:rsid w:val="00634DC4"/>
    <w:rsid w:val="00636181"/>
    <w:rsid w:val="0063620F"/>
    <w:rsid w:val="00636A92"/>
    <w:rsid w:val="00640651"/>
    <w:rsid w:val="00640976"/>
    <w:rsid w:val="00642464"/>
    <w:rsid w:val="00642E48"/>
    <w:rsid w:val="0064328D"/>
    <w:rsid w:val="006436BB"/>
    <w:rsid w:val="006439D7"/>
    <w:rsid w:val="00643C79"/>
    <w:rsid w:val="006440D6"/>
    <w:rsid w:val="00644112"/>
    <w:rsid w:val="0064456D"/>
    <w:rsid w:val="00644C13"/>
    <w:rsid w:val="006453E6"/>
    <w:rsid w:val="00645781"/>
    <w:rsid w:val="00645A1D"/>
    <w:rsid w:val="00650552"/>
    <w:rsid w:val="006515AD"/>
    <w:rsid w:val="00652024"/>
    <w:rsid w:val="00652109"/>
    <w:rsid w:val="00652CC0"/>
    <w:rsid w:val="00653560"/>
    <w:rsid w:val="006535CC"/>
    <w:rsid w:val="006539F9"/>
    <w:rsid w:val="006540E2"/>
    <w:rsid w:val="00655F9B"/>
    <w:rsid w:val="0065646B"/>
    <w:rsid w:val="0065668B"/>
    <w:rsid w:val="00656D1B"/>
    <w:rsid w:val="00660CF5"/>
    <w:rsid w:val="00661408"/>
    <w:rsid w:val="006615C8"/>
    <w:rsid w:val="0066379F"/>
    <w:rsid w:val="00663DDB"/>
    <w:rsid w:val="00665A28"/>
    <w:rsid w:val="006673C2"/>
    <w:rsid w:val="00667D76"/>
    <w:rsid w:val="0067024A"/>
    <w:rsid w:val="006714B9"/>
    <w:rsid w:val="00671B2B"/>
    <w:rsid w:val="00672B28"/>
    <w:rsid w:val="00673950"/>
    <w:rsid w:val="006740DC"/>
    <w:rsid w:val="006749F4"/>
    <w:rsid w:val="0067545F"/>
    <w:rsid w:val="00675B96"/>
    <w:rsid w:val="0067653E"/>
    <w:rsid w:val="0067767B"/>
    <w:rsid w:val="0067775C"/>
    <w:rsid w:val="0067796E"/>
    <w:rsid w:val="0068045D"/>
    <w:rsid w:val="006811FF"/>
    <w:rsid w:val="00681E36"/>
    <w:rsid w:val="00682C09"/>
    <w:rsid w:val="0068334F"/>
    <w:rsid w:val="00684451"/>
    <w:rsid w:val="006844C4"/>
    <w:rsid w:val="006847C6"/>
    <w:rsid w:val="00684B62"/>
    <w:rsid w:val="00684BC9"/>
    <w:rsid w:val="006851FC"/>
    <w:rsid w:val="0068576B"/>
    <w:rsid w:val="00686E69"/>
    <w:rsid w:val="00686FDE"/>
    <w:rsid w:val="006870E0"/>
    <w:rsid w:val="00687FBB"/>
    <w:rsid w:val="00690989"/>
    <w:rsid w:val="00690B25"/>
    <w:rsid w:val="006921BB"/>
    <w:rsid w:val="00692D3C"/>
    <w:rsid w:val="0069340E"/>
    <w:rsid w:val="00693693"/>
    <w:rsid w:val="00693E26"/>
    <w:rsid w:val="0069435E"/>
    <w:rsid w:val="006946C6"/>
    <w:rsid w:val="00694AB6"/>
    <w:rsid w:val="00694DF0"/>
    <w:rsid w:val="00694E5B"/>
    <w:rsid w:val="0069518C"/>
    <w:rsid w:val="00695DD5"/>
    <w:rsid w:val="00696478"/>
    <w:rsid w:val="006968AD"/>
    <w:rsid w:val="00696E58"/>
    <w:rsid w:val="00696EDE"/>
    <w:rsid w:val="00696F23"/>
    <w:rsid w:val="00697BD8"/>
    <w:rsid w:val="00697C89"/>
    <w:rsid w:val="006A0066"/>
    <w:rsid w:val="006A1330"/>
    <w:rsid w:val="006A1429"/>
    <w:rsid w:val="006A429A"/>
    <w:rsid w:val="006A4666"/>
    <w:rsid w:val="006A49C7"/>
    <w:rsid w:val="006A7BD4"/>
    <w:rsid w:val="006B0251"/>
    <w:rsid w:val="006B041A"/>
    <w:rsid w:val="006B1EE5"/>
    <w:rsid w:val="006B2025"/>
    <w:rsid w:val="006B250E"/>
    <w:rsid w:val="006B3C06"/>
    <w:rsid w:val="006B3FAB"/>
    <w:rsid w:val="006B4168"/>
    <w:rsid w:val="006B44DB"/>
    <w:rsid w:val="006B4ADA"/>
    <w:rsid w:val="006B5F45"/>
    <w:rsid w:val="006B6ADC"/>
    <w:rsid w:val="006B7903"/>
    <w:rsid w:val="006C0E90"/>
    <w:rsid w:val="006C219F"/>
    <w:rsid w:val="006C22E2"/>
    <w:rsid w:val="006C308B"/>
    <w:rsid w:val="006C3CE4"/>
    <w:rsid w:val="006C3D4E"/>
    <w:rsid w:val="006C42ED"/>
    <w:rsid w:val="006C5FEE"/>
    <w:rsid w:val="006C6127"/>
    <w:rsid w:val="006C6820"/>
    <w:rsid w:val="006C7C02"/>
    <w:rsid w:val="006C7E3F"/>
    <w:rsid w:val="006C7EA0"/>
    <w:rsid w:val="006D0918"/>
    <w:rsid w:val="006D0F5B"/>
    <w:rsid w:val="006D156F"/>
    <w:rsid w:val="006D1602"/>
    <w:rsid w:val="006D1EE2"/>
    <w:rsid w:val="006D3BA6"/>
    <w:rsid w:val="006D44DE"/>
    <w:rsid w:val="006D490D"/>
    <w:rsid w:val="006D4DEB"/>
    <w:rsid w:val="006D58D8"/>
    <w:rsid w:val="006D5A8D"/>
    <w:rsid w:val="006D5B0F"/>
    <w:rsid w:val="006D64AE"/>
    <w:rsid w:val="006D684E"/>
    <w:rsid w:val="006D6905"/>
    <w:rsid w:val="006D7CF1"/>
    <w:rsid w:val="006E04F6"/>
    <w:rsid w:val="006E0642"/>
    <w:rsid w:val="006E1B51"/>
    <w:rsid w:val="006E2A0E"/>
    <w:rsid w:val="006E2FCC"/>
    <w:rsid w:val="006E3624"/>
    <w:rsid w:val="006E382D"/>
    <w:rsid w:val="006E3CBD"/>
    <w:rsid w:val="006E3CEB"/>
    <w:rsid w:val="006E3F75"/>
    <w:rsid w:val="006E5633"/>
    <w:rsid w:val="006F00F1"/>
    <w:rsid w:val="006F0A13"/>
    <w:rsid w:val="006F1018"/>
    <w:rsid w:val="006F27C7"/>
    <w:rsid w:val="006F320C"/>
    <w:rsid w:val="006F3950"/>
    <w:rsid w:val="006F42AE"/>
    <w:rsid w:val="006F42E2"/>
    <w:rsid w:val="006F4836"/>
    <w:rsid w:val="006F4C32"/>
    <w:rsid w:val="006F50EA"/>
    <w:rsid w:val="006F66F7"/>
    <w:rsid w:val="006F743E"/>
    <w:rsid w:val="007000A8"/>
    <w:rsid w:val="00700106"/>
    <w:rsid w:val="0070065E"/>
    <w:rsid w:val="007019D5"/>
    <w:rsid w:val="00701CA0"/>
    <w:rsid w:val="00701CCE"/>
    <w:rsid w:val="00702B6C"/>
    <w:rsid w:val="00703701"/>
    <w:rsid w:val="00703A0F"/>
    <w:rsid w:val="00703A86"/>
    <w:rsid w:val="00704B09"/>
    <w:rsid w:val="00704D77"/>
    <w:rsid w:val="00705B7C"/>
    <w:rsid w:val="00705B8B"/>
    <w:rsid w:val="00706027"/>
    <w:rsid w:val="00706226"/>
    <w:rsid w:val="007067FF"/>
    <w:rsid w:val="007069CD"/>
    <w:rsid w:val="007077E3"/>
    <w:rsid w:val="0070788E"/>
    <w:rsid w:val="00710466"/>
    <w:rsid w:val="00710B0D"/>
    <w:rsid w:val="007115CD"/>
    <w:rsid w:val="00712CD8"/>
    <w:rsid w:val="00712D84"/>
    <w:rsid w:val="00713B1B"/>
    <w:rsid w:val="007144D5"/>
    <w:rsid w:val="007144FF"/>
    <w:rsid w:val="00714739"/>
    <w:rsid w:val="00714A9E"/>
    <w:rsid w:val="00716907"/>
    <w:rsid w:val="0071751E"/>
    <w:rsid w:val="007178BC"/>
    <w:rsid w:val="00717E78"/>
    <w:rsid w:val="007209AD"/>
    <w:rsid w:val="007209D6"/>
    <w:rsid w:val="00722CD5"/>
    <w:rsid w:val="007254AC"/>
    <w:rsid w:val="00725556"/>
    <w:rsid w:val="00725F8A"/>
    <w:rsid w:val="00726F9B"/>
    <w:rsid w:val="00727AFE"/>
    <w:rsid w:val="00727E8C"/>
    <w:rsid w:val="00730AB2"/>
    <w:rsid w:val="00730B12"/>
    <w:rsid w:val="007314C1"/>
    <w:rsid w:val="007328F8"/>
    <w:rsid w:val="0073293A"/>
    <w:rsid w:val="00733657"/>
    <w:rsid w:val="0073378F"/>
    <w:rsid w:val="00733D97"/>
    <w:rsid w:val="00733F79"/>
    <w:rsid w:val="00733F8D"/>
    <w:rsid w:val="007344E5"/>
    <w:rsid w:val="00734FDF"/>
    <w:rsid w:val="00735283"/>
    <w:rsid w:val="00735B8B"/>
    <w:rsid w:val="00735E49"/>
    <w:rsid w:val="0073610A"/>
    <w:rsid w:val="007375CF"/>
    <w:rsid w:val="00740659"/>
    <w:rsid w:val="00740F30"/>
    <w:rsid w:val="00740F85"/>
    <w:rsid w:val="00741B44"/>
    <w:rsid w:val="00741E91"/>
    <w:rsid w:val="00742053"/>
    <w:rsid w:val="00742208"/>
    <w:rsid w:val="0074285F"/>
    <w:rsid w:val="00742ACF"/>
    <w:rsid w:val="00742C36"/>
    <w:rsid w:val="00743748"/>
    <w:rsid w:val="00743B12"/>
    <w:rsid w:val="00743B37"/>
    <w:rsid w:val="007440E0"/>
    <w:rsid w:val="00744435"/>
    <w:rsid w:val="007454ED"/>
    <w:rsid w:val="00745910"/>
    <w:rsid w:val="00745968"/>
    <w:rsid w:val="00745A3D"/>
    <w:rsid w:val="007463EE"/>
    <w:rsid w:val="00746664"/>
    <w:rsid w:val="0074667A"/>
    <w:rsid w:val="00746AFD"/>
    <w:rsid w:val="007514A5"/>
    <w:rsid w:val="00751E33"/>
    <w:rsid w:val="0075251F"/>
    <w:rsid w:val="00752601"/>
    <w:rsid w:val="0075293A"/>
    <w:rsid w:val="00753003"/>
    <w:rsid w:val="007543E4"/>
    <w:rsid w:val="00754BF3"/>
    <w:rsid w:val="00755145"/>
    <w:rsid w:val="007552BC"/>
    <w:rsid w:val="0075565E"/>
    <w:rsid w:val="00755D69"/>
    <w:rsid w:val="007560F3"/>
    <w:rsid w:val="00756AF4"/>
    <w:rsid w:val="0076030B"/>
    <w:rsid w:val="007606E5"/>
    <w:rsid w:val="00760D8B"/>
    <w:rsid w:val="00761D15"/>
    <w:rsid w:val="00762B2B"/>
    <w:rsid w:val="0076334A"/>
    <w:rsid w:val="0076369C"/>
    <w:rsid w:val="0076443A"/>
    <w:rsid w:val="00764853"/>
    <w:rsid w:val="00765679"/>
    <w:rsid w:val="00765C8C"/>
    <w:rsid w:val="00766B85"/>
    <w:rsid w:val="007679E0"/>
    <w:rsid w:val="00767C22"/>
    <w:rsid w:val="00767D6E"/>
    <w:rsid w:val="007724B6"/>
    <w:rsid w:val="007735D9"/>
    <w:rsid w:val="0077392F"/>
    <w:rsid w:val="0077438B"/>
    <w:rsid w:val="00774499"/>
    <w:rsid w:val="00775D68"/>
    <w:rsid w:val="00776163"/>
    <w:rsid w:val="007762B2"/>
    <w:rsid w:val="00776B22"/>
    <w:rsid w:val="00776C2A"/>
    <w:rsid w:val="00776C86"/>
    <w:rsid w:val="00777B62"/>
    <w:rsid w:val="007807A6"/>
    <w:rsid w:val="00780DFA"/>
    <w:rsid w:val="00781E7D"/>
    <w:rsid w:val="00782B56"/>
    <w:rsid w:val="00783266"/>
    <w:rsid w:val="0078361D"/>
    <w:rsid w:val="00783DEE"/>
    <w:rsid w:val="00784572"/>
    <w:rsid w:val="00786A16"/>
    <w:rsid w:val="00786B59"/>
    <w:rsid w:val="00786E0F"/>
    <w:rsid w:val="00787349"/>
    <w:rsid w:val="00787BA5"/>
    <w:rsid w:val="00787E87"/>
    <w:rsid w:val="00790489"/>
    <w:rsid w:val="00790D7B"/>
    <w:rsid w:val="007911AE"/>
    <w:rsid w:val="00791CE4"/>
    <w:rsid w:val="00792F71"/>
    <w:rsid w:val="007948E4"/>
    <w:rsid w:val="00795A7F"/>
    <w:rsid w:val="00795B60"/>
    <w:rsid w:val="00796F41"/>
    <w:rsid w:val="00797379"/>
    <w:rsid w:val="007974A3"/>
    <w:rsid w:val="007A0D1A"/>
    <w:rsid w:val="007A1FFB"/>
    <w:rsid w:val="007A22EF"/>
    <w:rsid w:val="007A2B34"/>
    <w:rsid w:val="007A2E86"/>
    <w:rsid w:val="007A4614"/>
    <w:rsid w:val="007A49EE"/>
    <w:rsid w:val="007A6008"/>
    <w:rsid w:val="007A64A2"/>
    <w:rsid w:val="007A65F9"/>
    <w:rsid w:val="007A7107"/>
    <w:rsid w:val="007A779B"/>
    <w:rsid w:val="007A77A8"/>
    <w:rsid w:val="007A7923"/>
    <w:rsid w:val="007A7FB2"/>
    <w:rsid w:val="007B093A"/>
    <w:rsid w:val="007B19B3"/>
    <w:rsid w:val="007B1D66"/>
    <w:rsid w:val="007B2EEA"/>
    <w:rsid w:val="007B3CD4"/>
    <w:rsid w:val="007B5A2B"/>
    <w:rsid w:val="007B69C9"/>
    <w:rsid w:val="007B78C3"/>
    <w:rsid w:val="007C0540"/>
    <w:rsid w:val="007C07B4"/>
    <w:rsid w:val="007C0E13"/>
    <w:rsid w:val="007C3446"/>
    <w:rsid w:val="007C366E"/>
    <w:rsid w:val="007C4814"/>
    <w:rsid w:val="007C4DC9"/>
    <w:rsid w:val="007C5879"/>
    <w:rsid w:val="007C5A96"/>
    <w:rsid w:val="007C6E7E"/>
    <w:rsid w:val="007D05D5"/>
    <w:rsid w:val="007D0987"/>
    <w:rsid w:val="007D10D2"/>
    <w:rsid w:val="007D120A"/>
    <w:rsid w:val="007D12B9"/>
    <w:rsid w:val="007D2EB2"/>
    <w:rsid w:val="007D4BB8"/>
    <w:rsid w:val="007D5A43"/>
    <w:rsid w:val="007D5F19"/>
    <w:rsid w:val="007D5F7A"/>
    <w:rsid w:val="007D6409"/>
    <w:rsid w:val="007D6A3F"/>
    <w:rsid w:val="007D6CDA"/>
    <w:rsid w:val="007D70F0"/>
    <w:rsid w:val="007D7CC8"/>
    <w:rsid w:val="007E0915"/>
    <w:rsid w:val="007E14BE"/>
    <w:rsid w:val="007E1675"/>
    <w:rsid w:val="007E1836"/>
    <w:rsid w:val="007E24C0"/>
    <w:rsid w:val="007E39D0"/>
    <w:rsid w:val="007E4379"/>
    <w:rsid w:val="007E4D32"/>
    <w:rsid w:val="007E4FA3"/>
    <w:rsid w:val="007E5CD4"/>
    <w:rsid w:val="007E604A"/>
    <w:rsid w:val="007E6C3F"/>
    <w:rsid w:val="007F0AB5"/>
    <w:rsid w:val="007F0C0B"/>
    <w:rsid w:val="007F0CF9"/>
    <w:rsid w:val="007F17F5"/>
    <w:rsid w:val="007F1B09"/>
    <w:rsid w:val="007F43F6"/>
    <w:rsid w:val="007F44D2"/>
    <w:rsid w:val="007F4605"/>
    <w:rsid w:val="007F5B81"/>
    <w:rsid w:val="007F6359"/>
    <w:rsid w:val="007F63A5"/>
    <w:rsid w:val="007F6E20"/>
    <w:rsid w:val="00800B8C"/>
    <w:rsid w:val="008028DA"/>
    <w:rsid w:val="00802B34"/>
    <w:rsid w:val="00803AFB"/>
    <w:rsid w:val="008043D2"/>
    <w:rsid w:val="00804888"/>
    <w:rsid w:val="0080573C"/>
    <w:rsid w:val="00810A5B"/>
    <w:rsid w:val="00811473"/>
    <w:rsid w:val="00812053"/>
    <w:rsid w:val="00812239"/>
    <w:rsid w:val="008123DB"/>
    <w:rsid w:val="008124BD"/>
    <w:rsid w:val="00812841"/>
    <w:rsid w:val="00812919"/>
    <w:rsid w:val="00812991"/>
    <w:rsid w:val="00812BE5"/>
    <w:rsid w:val="00813095"/>
    <w:rsid w:val="00813271"/>
    <w:rsid w:val="00813369"/>
    <w:rsid w:val="0081339E"/>
    <w:rsid w:val="008138E4"/>
    <w:rsid w:val="0081395F"/>
    <w:rsid w:val="008139D3"/>
    <w:rsid w:val="00813C48"/>
    <w:rsid w:val="00813D7A"/>
    <w:rsid w:val="0081427F"/>
    <w:rsid w:val="0081477C"/>
    <w:rsid w:val="00815F10"/>
    <w:rsid w:val="008172D6"/>
    <w:rsid w:val="00817874"/>
    <w:rsid w:val="00817AC4"/>
    <w:rsid w:val="00817AF6"/>
    <w:rsid w:val="008204EB"/>
    <w:rsid w:val="008205DF"/>
    <w:rsid w:val="008207F0"/>
    <w:rsid w:val="00820E35"/>
    <w:rsid w:val="00820FB2"/>
    <w:rsid w:val="00822398"/>
    <w:rsid w:val="008227B1"/>
    <w:rsid w:val="00822C37"/>
    <w:rsid w:val="00823AED"/>
    <w:rsid w:val="00824573"/>
    <w:rsid w:val="00824E29"/>
    <w:rsid w:val="008261F9"/>
    <w:rsid w:val="008302A0"/>
    <w:rsid w:val="008302C1"/>
    <w:rsid w:val="00831B2F"/>
    <w:rsid w:val="008331F4"/>
    <w:rsid w:val="008339CD"/>
    <w:rsid w:val="00833A62"/>
    <w:rsid w:val="00835122"/>
    <w:rsid w:val="00835AE9"/>
    <w:rsid w:val="0083721F"/>
    <w:rsid w:val="008374B3"/>
    <w:rsid w:val="00840081"/>
    <w:rsid w:val="0084082C"/>
    <w:rsid w:val="00840DF5"/>
    <w:rsid w:val="00841A0E"/>
    <w:rsid w:val="00841C90"/>
    <w:rsid w:val="0084605C"/>
    <w:rsid w:val="00846518"/>
    <w:rsid w:val="008467E4"/>
    <w:rsid w:val="00846944"/>
    <w:rsid w:val="00846CE1"/>
    <w:rsid w:val="00846FCC"/>
    <w:rsid w:val="00847057"/>
    <w:rsid w:val="00847204"/>
    <w:rsid w:val="00847F8A"/>
    <w:rsid w:val="00851444"/>
    <w:rsid w:val="00851871"/>
    <w:rsid w:val="00852BCE"/>
    <w:rsid w:val="008535A0"/>
    <w:rsid w:val="00853F97"/>
    <w:rsid w:val="00854033"/>
    <w:rsid w:val="00855EBC"/>
    <w:rsid w:val="00856C1F"/>
    <w:rsid w:val="00856CDC"/>
    <w:rsid w:val="00856D6A"/>
    <w:rsid w:val="00857D39"/>
    <w:rsid w:val="00861F1F"/>
    <w:rsid w:val="008623DB"/>
    <w:rsid w:val="00862769"/>
    <w:rsid w:val="0086296D"/>
    <w:rsid w:val="008637C4"/>
    <w:rsid w:val="00863D8B"/>
    <w:rsid w:val="008646B3"/>
    <w:rsid w:val="00864C36"/>
    <w:rsid w:val="008661D7"/>
    <w:rsid w:val="00866417"/>
    <w:rsid w:val="00866DC4"/>
    <w:rsid w:val="008671E7"/>
    <w:rsid w:val="0087000A"/>
    <w:rsid w:val="00871021"/>
    <w:rsid w:val="00872D06"/>
    <w:rsid w:val="008735B3"/>
    <w:rsid w:val="00873E3B"/>
    <w:rsid w:val="00875AA1"/>
    <w:rsid w:val="00875D98"/>
    <w:rsid w:val="00876099"/>
    <w:rsid w:val="008760BE"/>
    <w:rsid w:val="008760E9"/>
    <w:rsid w:val="00876806"/>
    <w:rsid w:val="008777F4"/>
    <w:rsid w:val="008778C3"/>
    <w:rsid w:val="008804F0"/>
    <w:rsid w:val="00880728"/>
    <w:rsid w:val="00880801"/>
    <w:rsid w:val="0088220C"/>
    <w:rsid w:val="00882E87"/>
    <w:rsid w:val="008833C7"/>
    <w:rsid w:val="00883898"/>
    <w:rsid w:val="00883B62"/>
    <w:rsid w:val="00884707"/>
    <w:rsid w:val="008868FE"/>
    <w:rsid w:val="00886935"/>
    <w:rsid w:val="00886A74"/>
    <w:rsid w:val="00886EA8"/>
    <w:rsid w:val="00887BAC"/>
    <w:rsid w:val="00887FF0"/>
    <w:rsid w:val="00890306"/>
    <w:rsid w:val="00890658"/>
    <w:rsid w:val="00892A8A"/>
    <w:rsid w:val="0089334A"/>
    <w:rsid w:val="008935D1"/>
    <w:rsid w:val="00893798"/>
    <w:rsid w:val="00894B37"/>
    <w:rsid w:val="00894E61"/>
    <w:rsid w:val="00896063"/>
    <w:rsid w:val="00896C6C"/>
    <w:rsid w:val="008973CB"/>
    <w:rsid w:val="008974D5"/>
    <w:rsid w:val="008A251E"/>
    <w:rsid w:val="008A34CD"/>
    <w:rsid w:val="008A3694"/>
    <w:rsid w:val="008A3FCF"/>
    <w:rsid w:val="008A3FF1"/>
    <w:rsid w:val="008A41EF"/>
    <w:rsid w:val="008A451F"/>
    <w:rsid w:val="008A4623"/>
    <w:rsid w:val="008A493A"/>
    <w:rsid w:val="008A4B41"/>
    <w:rsid w:val="008A4E4C"/>
    <w:rsid w:val="008A602D"/>
    <w:rsid w:val="008A660C"/>
    <w:rsid w:val="008A7293"/>
    <w:rsid w:val="008B0B45"/>
    <w:rsid w:val="008B1196"/>
    <w:rsid w:val="008B1EC3"/>
    <w:rsid w:val="008B44E6"/>
    <w:rsid w:val="008B4564"/>
    <w:rsid w:val="008B533C"/>
    <w:rsid w:val="008B60F4"/>
    <w:rsid w:val="008B61AA"/>
    <w:rsid w:val="008B6A4D"/>
    <w:rsid w:val="008B6B7C"/>
    <w:rsid w:val="008B6D6A"/>
    <w:rsid w:val="008B6D8E"/>
    <w:rsid w:val="008B7BF0"/>
    <w:rsid w:val="008B7FAB"/>
    <w:rsid w:val="008C10C1"/>
    <w:rsid w:val="008C3A8F"/>
    <w:rsid w:val="008C3B0F"/>
    <w:rsid w:val="008C4A8B"/>
    <w:rsid w:val="008C57A9"/>
    <w:rsid w:val="008C588B"/>
    <w:rsid w:val="008C65BB"/>
    <w:rsid w:val="008C6809"/>
    <w:rsid w:val="008C6C71"/>
    <w:rsid w:val="008C7535"/>
    <w:rsid w:val="008D037E"/>
    <w:rsid w:val="008D0E32"/>
    <w:rsid w:val="008D117A"/>
    <w:rsid w:val="008D17C1"/>
    <w:rsid w:val="008D2094"/>
    <w:rsid w:val="008D499F"/>
    <w:rsid w:val="008D4F62"/>
    <w:rsid w:val="008D58B6"/>
    <w:rsid w:val="008D5E5D"/>
    <w:rsid w:val="008D5EEC"/>
    <w:rsid w:val="008D6EA1"/>
    <w:rsid w:val="008D6FC9"/>
    <w:rsid w:val="008E0321"/>
    <w:rsid w:val="008E1135"/>
    <w:rsid w:val="008E14F5"/>
    <w:rsid w:val="008E2B51"/>
    <w:rsid w:val="008E33D0"/>
    <w:rsid w:val="008E3C91"/>
    <w:rsid w:val="008E4019"/>
    <w:rsid w:val="008E489E"/>
    <w:rsid w:val="008E5D0D"/>
    <w:rsid w:val="008E6666"/>
    <w:rsid w:val="008E6848"/>
    <w:rsid w:val="008E6949"/>
    <w:rsid w:val="008E7106"/>
    <w:rsid w:val="008E77EB"/>
    <w:rsid w:val="008F03F9"/>
    <w:rsid w:val="008F0511"/>
    <w:rsid w:val="008F0C2B"/>
    <w:rsid w:val="008F2104"/>
    <w:rsid w:val="008F2E5C"/>
    <w:rsid w:val="008F3ABD"/>
    <w:rsid w:val="008F4378"/>
    <w:rsid w:val="008F535D"/>
    <w:rsid w:val="008F5706"/>
    <w:rsid w:val="008F590D"/>
    <w:rsid w:val="008F5D57"/>
    <w:rsid w:val="008F64CF"/>
    <w:rsid w:val="008F6836"/>
    <w:rsid w:val="008F795E"/>
    <w:rsid w:val="008F7E8E"/>
    <w:rsid w:val="00900230"/>
    <w:rsid w:val="00900356"/>
    <w:rsid w:val="00900E37"/>
    <w:rsid w:val="00900F22"/>
    <w:rsid w:val="00900FA4"/>
    <w:rsid w:val="00901504"/>
    <w:rsid w:val="00902185"/>
    <w:rsid w:val="00902932"/>
    <w:rsid w:val="00902BAC"/>
    <w:rsid w:val="00902C2F"/>
    <w:rsid w:val="00903268"/>
    <w:rsid w:val="00903B2C"/>
    <w:rsid w:val="009052CE"/>
    <w:rsid w:val="00905AF3"/>
    <w:rsid w:val="009061B7"/>
    <w:rsid w:val="0090675E"/>
    <w:rsid w:val="0090754B"/>
    <w:rsid w:val="0090779C"/>
    <w:rsid w:val="009079F7"/>
    <w:rsid w:val="009109A8"/>
    <w:rsid w:val="009112DB"/>
    <w:rsid w:val="009119BF"/>
    <w:rsid w:val="009120F2"/>
    <w:rsid w:val="00912900"/>
    <w:rsid w:val="00912996"/>
    <w:rsid w:val="00913207"/>
    <w:rsid w:val="00913EE7"/>
    <w:rsid w:val="00915D02"/>
    <w:rsid w:val="00916479"/>
    <w:rsid w:val="00917739"/>
    <w:rsid w:val="00917763"/>
    <w:rsid w:val="00917A0C"/>
    <w:rsid w:val="0092009B"/>
    <w:rsid w:val="0092013B"/>
    <w:rsid w:val="009201A2"/>
    <w:rsid w:val="0092032F"/>
    <w:rsid w:val="00920E7C"/>
    <w:rsid w:val="0092171D"/>
    <w:rsid w:val="00921760"/>
    <w:rsid w:val="00921A72"/>
    <w:rsid w:val="009222A0"/>
    <w:rsid w:val="00922887"/>
    <w:rsid w:val="00922D44"/>
    <w:rsid w:val="00922E85"/>
    <w:rsid w:val="00922FE5"/>
    <w:rsid w:val="0092310C"/>
    <w:rsid w:val="00923355"/>
    <w:rsid w:val="00923CD2"/>
    <w:rsid w:val="00925498"/>
    <w:rsid w:val="009256B2"/>
    <w:rsid w:val="009266DC"/>
    <w:rsid w:val="00926ED7"/>
    <w:rsid w:val="00927145"/>
    <w:rsid w:val="00927EB5"/>
    <w:rsid w:val="0093069E"/>
    <w:rsid w:val="00930A49"/>
    <w:rsid w:val="009318AB"/>
    <w:rsid w:val="009318CA"/>
    <w:rsid w:val="00933119"/>
    <w:rsid w:val="009335A4"/>
    <w:rsid w:val="00933718"/>
    <w:rsid w:val="00933871"/>
    <w:rsid w:val="00933ADF"/>
    <w:rsid w:val="00933F2C"/>
    <w:rsid w:val="0093509C"/>
    <w:rsid w:val="0093629B"/>
    <w:rsid w:val="00936ACB"/>
    <w:rsid w:val="00936D04"/>
    <w:rsid w:val="00937027"/>
    <w:rsid w:val="0093732A"/>
    <w:rsid w:val="00937A9E"/>
    <w:rsid w:val="009418DE"/>
    <w:rsid w:val="00942C24"/>
    <w:rsid w:val="009433EB"/>
    <w:rsid w:val="009436AC"/>
    <w:rsid w:val="009443C6"/>
    <w:rsid w:val="00945DD2"/>
    <w:rsid w:val="009461FD"/>
    <w:rsid w:val="009476C9"/>
    <w:rsid w:val="00947783"/>
    <w:rsid w:val="0095002B"/>
    <w:rsid w:val="00950F0C"/>
    <w:rsid w:val="0095263E"/>
    <w:rsid w:val="00954903"/>
    <w:rsid w:val="00955862"/>
    <w:rsid w:val="00955880"/>
    <w:rsid w:val="0095699C"/>
    <w:rsid w:val="00956E90"/>
    <w:rsid w:val="009607D2"/>
    <w:rsid w:val="00960998"/>
    <w:rsid w:val="009610C5"/>
    <w:rsid w:val="009615F6"/>
    <w:rsid w:val="009622EB"/>
    <w:rsid w:val="009627B6"/>
    <w:rsid w:val="00962D32"/>
    <w:rsid w:val="00962E58"/>
    <w:rsid w:val="00963526"/>
    <w:rsid w:val="00964056"/>
    <w:rsid w:val="00964578"/>
    <w:rsid w:val="00964A82"/>
    <w:rsid w:val="0096505E"/>
    <w:rsid w:val="00965434"/>
    <w:rsid w:val="009658D8"/>
    <w:rsid w:val="009659D9"/>
    <w:rsid w:val="00966CDD"/>
    <w:rsid w:val="0096703E"/>
    <w:rsid w:val="00967B9D"/>
    <w:rsid w:val="00967F52"/>
    <w:rsid w:val="00967F6A"/>
    <w:rsid w:val="009706BA"/>
    <w:rsid w:val="00970CA0"/>
    <w:rsid w:val="00971023"/>
    <w:rsid w:val="009710EE"/>
    <w:rsid w:val="00971ABA"/>
    <w:rsid w:val="00971B67"/>
    <w:rsid w:val="00971C0B"/>
    <w:rsid w:val="00971DBF"/>
    <w:rsid w:val="009722F0"/>
    <w:rsid w:val="009724DC"/>
    <w:rsid w:val="00972E64"/>
    <w:rsid w:val="0097312D"/>
    <w:rsid w:val="00974B82"/>
    <w:rsid w:val="009753E1"/>
    <w:rsid w:val="00975B0E"/>
    <w:rsid w:val="00975B49"/>
    <w:rsid w:val="00975D70"/>
    <w:rsid w:val="00975DD6"/>
    <w:rsid w:val="009763D7"/>
    <w:rsid w:val="00976E91"/>
    <w:rsid w:val="00977575"/>
    <w:rsid w:val="00977B47"/>
    <w:rsid w:val="0098171E"/>
    <w:rsid w:val="00981764"/>
    <w:rsid w:val="00981896"/>
    <w:rsid w:val="00981D2A"/>
    <w:rsid w:val="00982002"/>
    <w:rsid w:val="00982C59"/>
    <w:rsid w:val="00983CDF"/>
    <w:rsid w:val="00984D3D"/>
    <w:rsid w:val="00985649"/>
    <w:rsid w:val="009856C1"/>
    <w:rsid w:val="00991772"/>
    <w:rsid w:val="009918FC"/>
    <w:rsid w:val="00991E04"/>
    <w:rsid w:val="00992748"/>
    <w:rsid w:val="00992EB1"/>
    <w:rsid w:val="00994E1B"/>
    <w:rsid w:val="00995382"/>
    <w:rsid w:val="00995A9C"/>
    <w:rsid w:val="009964AE"/>
    <w:rsid w:val="009A12E4"/>
    <w:rsid w:val="009A1B1C"/>
    <w:rsid w:val="009A238C"/>
    <w:rsid w:val="009A25B2"/>
    <w:rsid w:val="009A3D1A"/>
    <w:rsid w:val="009A439D"/>
    <w:rsid w:val="009A4703"/>
    <w:rsid w:val="009A5056"/>
    <w:rsid w:val="009A51EE"/>
    <w:rsid w:val="009A595C"/>
    <w:rsid w:val="009A5C8B"/>
    <w:rsid w:val="009A6E1B"/>
    <w:rsid w:val="009A716B"/>
    <w:rsid w:val="009A7A0E"/>
    <w:rsid w:val="009B0338"/>
    <w:rsid w:val="009B1C5A"/>
    <w:rsid w:val="009B263A"/>
    <w:rsid w:val="009B31EA"/>
    <w:rsid w:val="009B3D56"/>
    <w:rsid w:val="009B4612"/>
    <w:rsid w:val="009B4C01"/>
    <w:rsid w:val="009B4CF2"/>
    <w:rsid w:val="009B642F"/>
    <w:rsid w:val="009B6C19"/>
    <w:rsid w:val="009B6D38"/>
    <w:rsid w:val="009B6DAE"/>
    <w:rsid w:val="009B70A3"/>
    <w:rsid w:val="009B76B8"/>
    <w:rsid w:val="009B791C"/>
    <w:rsid w:val="009B795F"/>
    <w:rsid w:val="009C160D"/>
    <w:rsid w:val="009C2244"/>
    <w:rsid w:val="009C2D41"/>
    <w:rsid w:val="009C35D6"/>
    <w:rsid w:val="009C38F9"/>
    <w:rsid w:val="009C44B7"/>
    <w:rsid w:val="009C4BAF"/>
    <w:rsid w:val="009C4FFF"/>
    <w:rsid w:val="009C53CA"/>
    <w:rsid w:val="009C5408"/>
    <w:rsid w:val="009C621E"/>
    <w:rsid w:val="009C6297"/>
    <w:rsid w:val="009C6BDB"/>
    <w:rsid w:val="009C6EFC"/>
    <w:rsid w:val="009D0086"/>
    <w:rsid w:val="009D03E0"/>
    <w:rsid w:val="009D07EF"/>
    <w:rsid w:val="009D0D88"/>
    <w:rsid w:val="009D0E6F"/>
    <w:rsid w:val="009D1579"/>
    <w:rsid w:val="009D1CFC"/>
    <w:rsid w:val="009D1D89"/>
    <w:rsid w:val="009D1D93"/>
    <w:rsid w:val="009D2634"/>
    <w:rsid w:val="009D3B6E"/>
    <w:rsid w:val="009D3D87"/>
    <w:rsid w:val="009D42A9"/>
    <w:rsid w:val="009D47F1"/>
    <w:rsid w:val="009D5562"/>
    <w:rsid w:val="009D58D3"/>
    <w:rsid w:val="009D59DF"/>
    <w:rsid w:val="009D5A87"/>
    <w:rsid w:val="009D623F"/>
    <w:rsid w:val="009D6414"/>
    <w:rsid w:val="009D677B"/>
    <w:rsid w:val="009D68A2"/>
    <w:rsid w:val="009D6951"/>
    <w:rsid w:val="009D69C1"/>
    <w:rsid w:val="009D6B0C"/>
    <w:rsid w:val="009D702A"/>
    <w:rsid w:val="009D7221"/>
    <w:rsid w:val="009E00EC"/>
    <w:rsid w:val="009E0122"/>
    <w:rsid w:val="009E11FF"/>
    <w:rsid w:val="009E139D"/>
    <w:rsid w:val="009E1F70"/>
    <w:rsid w:val="009E2E25"/>
    <w:rsid w:val="009E33E9"/>
    <w:rsid w:val="009E3434"/>
    <w:rsid w:val="009E3DFE"/>
    <w:rsid w:val="009E3E98"/>
    <w:rsid w:val="009E449D"/>
    <w:rsid w:val="009E4623"/>
    <w:rsid w:val="009E4814"/>
    <w:rsid w:val="009E489B"/>
    <w:rsid w:val="009E4D0E"/>
    <w:rsid w:val="009E4DDD"/>
    <w:rsid w:val="009E4FA7"/>
    <w:rsid w:val="009E5162"/>
    <w:rsid w:val="009E5FCC"/>
    <w:rsid w:val="009E6387"/>
    <w:rsid w:val="009E6546"/>
    <w:rsid w:val="009E6891"/>
    <w:rsid w:val="009E7067"/>
    <w:rsid w:val="009F12F9"/>
    <w:rsid w:val="009F14F3"/>
    <w:rsid w:val="009F247C"/>
    <w:rsid w:val="009F27D7"/>
    <w:rsid w:val="009F2D05"/>
    <w:rsid w:val="009F2ED6"/>
    <w:rsid w:val="009F3033"/>
    <w:rsid w:val="009F400B"/>
    <w:rsid w:val="009F4671"/>
    <w:rsid w:val="009F4F68"/>
    <w:rsid w:val="009F5299"/>
    <w:rsid w:val="009F5ADB"/>
    <w:rsid w:val="009F60F9"/>
    <w:rsid w:val="009F7A50"/>
    <w:rsid w:val="00A00015"/>
    <w:rsid w:val="00A009FC"/>
    <w:rsid w:val="00A00C18"/>
    <w:rsid w:val="00A00E1A"/>
    <w:rsid w:val="00A00F94"/>
    <w:rsid w:val="00A01EA6"/>
    <w:rsid w:val="00A02717"/>
    <w:rsid w:val="00A02C4D"/>
    <w:rsid w:val="00A040C6"/>
    <w:rsid w:val="00A0454D"/>
    <w:rsid w:val="00A04654"/>
    <w:rsid w:val="00A0588C"/>
    <w:rsid w:val="00A05A63"/>
    <w:rsid w:val="00A05A69"/>
    <w:rsid w:val="00A06535"/>
    <w:rsid w:val="00A0654A"/>
    <w:rsid w:val="00A06E6B"/>
    <w:rsid w:val="00A0740A"/>
    <w:rsid w:val="00A07A24"/>
    <w:rsid w:val="00A07B77"/>
    <w:rsid w:val="00A10314"/>
    <w:rsid w:val="00A10BE0"/>
    <w:rsid w:val="00A10D65"/>
    <w:rsid w:val="00A11634"/>
    <w:rsid w:val="00A116C9"/>
    <w:rsid w:val="00A11CA6"/>
    <w:rsid w:val="00A1336F"/>
    <w:rsid w:val="00A135FE"/>
    <w:rsid w:val="00A13969"/>
    <w:rsid w:val="00A13BA5"/>
    <w:rsid w:val="00A141F6"/>
    <w:rsid w:val="00A14BBF"/>
    <w:rsid w:val="00A14CD7"/>
    <w:rsid w:val="00A14DA1"/>
    <w:rsid w:val="00A17313"/>
    <w:rsid w:val="00A173E2"/>
    <w:rsid w:val="00A17726"/>
    <w:rsid w:val="00A17BF6"/>
    <w:rsid w:val="00A20AD5"/>
    <w:rsid w:val="00A20C57"/>
    <w:rsid w:val="00A220ED"/>
    <w:rsid w:val="00A228B5"/>
    <w:rsid w:val="00A22B4A"/>
    <w:rsid w:val="00A22C7F"/>
    <w:rsid w:val="00A22E57"/>
    <w:rsid w:val="00A23776"/>
    <w:rsid w:val="00A243C1"/>
    <w:rsid w:val="00A250F7"/>
    <w:rsid w:val="00A25D2C"/>
    <w:rsid w:val="00A26AE5"/>
    <w:rsid w:val="00A26E06"/>
    <w:rsid w:val="00A275DB"/>
    <w:rsid w:val="00A27A62"/>
    <w:rsid w:val="00A30F03"/>
    <w:rsid w:val="00A30FE7"/>
    <w:rsid w:val="00A31387"/>
    <w:rsid w:val="00A31533"/>
    <w:rsid w:val="00A31803"/>
    <w:rsid w:val="00A31C1E"/>
    <w:rsid w:val="00A31FB7"/>
    <w:rsid w:val="00A31FDE"/>
    <w:rsid w:val="00A328E7"/>
    <w:rsid w:val="00A332B4"/>
    <w:rsid w:val="00A335D1"/>
    <w:rsid w:val="00A3415C"/>
    <w:rsid w:val="00A353A7"/>
    <w:rsid w:val="00A354B9"/>
    <w:rsid w:val="00A35FAF"/>
    <w:rsid w:val="00A36062"/>
    <w:rsid w:val="00A4126B"/>
    <w:rsid w:val="00A412FB"/>
    <w:rsid w:val="00A414B6"/>
    <w:rsid w:val="00A4329A"/>
    <w:rsid w:val="00A45489"/>
    <w:rsid w:val="00A45A0C"/>
    <w:rsid w:val="00A45C5F"/>
    <w:rsid w:val="00A464AC"/>
    <w:rsid w:val="00A47892"/>
    <w:rsid w:val="00A47F1E"/>
    <w:rsid w:val="00A50750"/>
    <w:rsid w:val="00A50E15"/>
    <w:rsid w:val="00A511A6"/>
    <w:rsid w:val="00A515A3"/>
    <w:rsid w:val="00A51BCC"/>
    <w:rsid w:val="00A52189"/>
    <w:rsid w:val="00A52310"/>
    <w:rsid w:val="00A52AE1"/>
    <w:rsid w:val="00A539C7"/>
    <w:rsid w:val="00A549A7"/>
    <w:rsid w:val="00A5605B"/>
    <w:rsid w:val="00A56187"/>
    <w:rsid w:val="00A56994"/>
    <w:rsid w:val="00A575E2"/>
    <w:rsid w:val="00A57BE2"/>
    <w:rsid w:val="00A57E73"/>
    <w:rsid w:val="00A57F35"/>
    <w:rsid w:val="00A60849"/>
    <w:rsid w:val="00A60FAA"/>
    <w:rsid w:val="00A61020"/>
    <w:rsid w:val="00A61207"/>
    <w:rsid w:val="00A61507"/>
    <w:rsid w:val="00A619A3"/>
    <w:rsid w:val="00A629BD"/>
    <w:rsid w:val="00A62BBA"/>
    <w:rsid w:val="00A62C6C"/>
    <w:rsid w:val="00A64749"/>
    <w:rsid w:val="00A64FB2"/>
    <w:rsid w:val="00A65600"/>
    <w:rsid w:val="00A667DB"/>
    <w:rsid w:val="00A66AD0"/>
    <w:rsid w:val="00A67585"/>
    <w:rsid w:val="00A7071E"/>
    <w:rsid w:val="00A70728"/>
    <w:rsid w:val="00A70A6A"/>
    <w:rsid w:val="00A70D84"/>
    <w:rsid w:val="00A71F19"/>
    <w:rsid w:val="00A72B06"/>
    <w:rsid w:val="00A72D93"/>
    <w:rsid w:val="00A7308A"/>
    <w:rsid w:val="00A746C0"/>
    <w:rsid w:val="00A7482D"/>
    <w:rsid w:val="00A74D68"/>
    <w:rsid w:val="00A74EC0"/>
    <w:rsid w:val="00A75079"/>
    <w:rsid w:val="00A75229"/>
    <w:rsid w:val="00A7545A"/>
    <w:rsid w:val="00A762E2"/>
    <w:rsid w:val="00A8024C"/>
    <w:rsid w:val="00A80660"/>
    <w:rsid w:val="00A8109A"/>
    <w:rsid w:val="00A8143F"/>
    <w:rsid w:val="00A81B18"/>
    <w:rsid w:val="00A8207A"/>
    <w:rsid w:val="00A82306"/>
    <w:rsid w:val="00A827D1"/>
    <w:rsid w:val="00A82BD5"/>
    <w:rsid w:val="00A82E0C"/>
    <w:rsid w:val="00A8328C"/>
    <w:rsid w:val="00A8380E"/>
    <w:rsid w:val="00A83B32"/>
    <w:rsid w:val="00A84368"/>
    <w:rsid w:val="00A84E63"/>
    <w:rsid w:val="00A84FA8"/>
    <w:rsid w:val="00A85C2A"/>
    <w:rsid w:val="00A85ED7"/>
    <w:rsid w:val="00A861C8"/>
    <w:rsid w:val="00A864F2"/>
    <w:rsid w:val="00A8715C"/>
    <w:rsid w:val="00A8771C"/>
    <w:rsid w:val="00A87E82"/>
    <w:rsid w:val="00A90249"/>
    <w:rsid w:val="00A90312"/>
    <w:rsid w:val="00A9064B"/>
    <w:rsid w:val="00A9144D"/>
    <w:rsid w:val="00A91E7A"/>
    <w:rsid w:val="00A925A6"/>
    <w:rsid w:val="00A932D6"/>
    <w:rsid w:val="00A935BB"/>
    <w:rsid w:val="00A93EEC"/>
    <w:rsid w:val="00A94154"/>
    <w:rsid w:val="00A94530"/>
    <w:rsid w:val="00A9592E"/>
    <w:rsid w:val="00A95FA0"/>
    <w:rsid w:val="00A96596"/>
    <w:rsid w:val="00A966C9"/>
    <w:rsid w:val="00A97416"/>
    <w:rsid w:val="00A976C7"/>
    <w:rsid w:val="00A97CD1"/>
    <w:rsid w:val="00AA0D09"/>
    <w:rsid w:val="00AA1277"/>
    <w:rsid w:val="00AA1439"/>
    <w:rsid w:val="00AA22EF"/>
    <w:rsid w:val="00AA250C"/>
    <w:rsid w:val="00AA259C"/>
    <w:rsid w:val="00AA2FFA"/>
    <w:rsid w:val="00AA3BB1"/>
    <w:rsid w:val="00AA453A"/>
    <w:rsid w:val="00AA5025"/>
    <w:rsid w:val="00AA6378"/>
    <w:rsid w:val="00AA6A28"/>
    <w:rsid w:val="00AB0842"/>
    <w:rsid w:val="00AB0C8E"/>
    <w:rsid w:val="00AB0D7D"/>
    <w:rsid w:val="00AB159C"/>
    <w:rsid w:val="00AB15AB"/>
    <w:rsid w:val="00AB1852"/>
    <w:rsid w:val="00AB19AA"/>
    <w:rsid w:val="00AB19BB"/>
    <w:rsid w:val="00AB2019"/>
    <w:rsid w:val="00AB25EF"/>
    <w:rsid w:val="00AB2CD1"/>
    <w:rsid w:val="00AB3469"/>
    <w:rsid w:val="00AB3C3B"/>
    <w:rsid w:val="00AB5026"/>
    <w:rsid w:val="00AB5055"/>
    <w:rsid w:val="00AB526F"/>
    <w:rsid w:val="00AB5517"/>
    <w:rsid w:val="00AB582D"/>
    <w:rsid w:val="00AB5ED6"/>
    <w:rsid w:val="00AB6669"/>
    <w:rsid w:val="00AB6E7A"/>
    <w:rsid w:val="00AB7B22"/>
    <w:rsid w:val="00AB7F5E"/>
    <w:rsid w:val="00AC01FA"/>
    <w:rsid w:val="00AC0710"/>
    <w:rsid w:val="00AC1D12"/>
    <w:rsid w:val="00AC1D38"/>
    <w:rsid w:val="00AC2619"/>
    <w:rsid w:val="00AC32F5"/>
    <w:rsid w:val="00AC36C6"/>
    <w:rsid w:val="00AC3CE0"/>
    <w:rsid w:val="00AC489A"/>
    <w:rsid w:val="00AC4AA6"/>
    <w:rsid w:val="00AC4B87"/>
    <w:rsid w:val="00AC56FB"/>
    <w:rsid w:val="00AC5BA9"/>
    <w:rsid w:val="00AC5C60"/>
    <w:rsid w:val="00AC6E12"/>
    <w:rsid w:val="00AC6F01"/>
    <w:rsid w:val="00AD0DF1"/>
    <w:rsid w:val="00AD178B"/>
    <w:rsid w:val="00AD1B60"/>
    <w:rsid w:val="00AD1FEB"/>
    <w:rsid w:val="00AD20EE"/>
    <w:rsid w:val="00AD21A4"/>
    <w:rsid w:val="00AD3761"/>
    <w:rsid w:val="00AD39E0"/>
    <w:rsid w:val="00AD3E77"/>
    <w:rsid w:val="00AD4399"/>
    <w:rsid w:val="00AD4406"/>
    <w:rsid w:val="00AD49F5"/>
    <w:rsid w:val="00AD4DB3"/>
    <w:rsid w:val="00AD54D6"/>
    <w:rsid w:val="00AD5BD1"/>
    <w:rsid w:val="00AD7426"/>
    <w:rsid w:val="00AD7759"/>
    <w:rsid w:val="00AD7C63"/>
    <w:rsid w:val="00AE051D"/>
    <w:rsid w:val="00AE09DF"/>
    <w:rsid w:val="00AE1203"/>
    <w:rsid w:val="00AE2C03"/>
    <w:rsid w:val="00AE2E2D"/>
    <w:rsid w:val="00AE32DB"/>
    <w:rsid w:val="00AE3873"/>
    <w:rsid w:val="00AE41DE"/>
    <w:rsid w:val="00AE5BF5"/>
    <w:rsid w:val="00AE611F"/>
    <w:rsid w:val="00AE6BEE"/>
    <w:rsid w:val="00AE6C8E"/>
    <w:rsid w:val="00AE6D1D"/>
    <w:rsid w:val="00AE755B"/>
    <w:rsid w:val="00AE7ED7"/>
    <w:rsid w:val="00AF2228"/>
    <w:rsid w:val="00AF3391"/>
    <w:rsid w:val="00AF3958"/>
    <w:rsid w:val="00AF3F65"/>
    <w:rsid w:val="00AF504A"/>
    <w:rsid w:val="00AF5498"/>
    <w:rsid w:val="00AF5A3B"/>
    <w:rsid w:val="00AF5BE4"/>
    <w:rsid w:val="00AF667A"/>
    <w:rsid w:val="00AF72A9"/>
    <w:rsid w:val="00AF7A73"/>
    <w:rsid w:val="00AF7AF9"/>
    <w:rsid w:val="00AF7FB8"/>
    <w:rsid w:val="00B0023D"/>
    <w:rsid w:val="00B0027F"/>
    <w:rsid w:val="00B005C3"/>
    <w:rsid w:val="00B01093"/>
    <w:rsid w:val="00B01471"/>
    <w:rsid w:val="00B01C7A"/>
    <w:rsid w:val="00B02E17"/>
    <w:rsid w:val="00B04557"/>
    <w:rsid w:val="00B04576"/>
    <w:rsid w:val="00B0531D"/>
    <w:rsid w:val="00B06565"/>
    <w:rsid w:val="00B0658D"/>
    <w:rsid w:val="00B071E1"/>
    <w:rsid w:val="00B07359"/>
    <w:rsid w:val="00B0756B"/>
    <w:rsid w:val="00B075D4"/>
    <w:rsid w:val="00B076BF"/>
    <w:rsid w:val="00B10222"/>
    <w:rsid w:val="00B10332"/>
    <w:rsid w:val="00B11277"/>
    <w:rsid w:val="00B11887"/>
    <w:rsid w:val="00B11A1D"/>
    <w:rsid w:val="00B125D5"/>
    <w:rsid w:val="00B12906"/>
    <w:rsid w:val="00B12DE7"/>
    <w:rsid w:val="00B12E9C"/>
    <w:rsid w:val="00B14082"/>
    <w:rsid w:val="00B1426E"/>
    <w:rsid w:val="00B14843"/>
    <w:rsid w:val="00B148DF"/>
    <w:rsid w:val="00B155FF"/>
    <w:rsid w:val="00B16674"/>
    <w:rsid w:val="00B16D9D"/>
    <w:rsid w:val="00B17BBD"/>
    <w:rsid w:val="00B20CDA"/>
    <w:rsid w:val="00B20DDB"/>
    <w:rsid w:val="00B21A41"/>
    <w:rsid w:val="00B22FF7"/>
    <w:rsid w:val="00B2386F"/>
    <w:rsid w:val="00B24AB5"/>
    <w:rsid w:val="00B24CC9"/>
    <w:rsid w:val="00B2519A"/>
    <w:rsid w:val="00B260CD"/>
    <w:rsid w:val="00B26EEF"/>
    <w:rsid w:val="00B277B2"/>
    <w:rsid w:val="00B278EC"/>
    <w:rsid w:val="00B310E0"/>
    <w:rsid w:val="00B31463"/>
    <w:rsid w:val="00B322D9"/>
    <w:rsid w:val="00B33769"/>
    <w:rsid w:val="00B35504"/>
    <w:rsid w:val="00B359BD"/>
    <w:rsid w:val="00B35B28"/>
    <w:rsid w:val="00B36CF7"/>
    <w:rsid w:val="00B37585"/>
    <w:rsid w:val="00B37C1D"/>
    <w:rsid w:val="00B401F1"/>
    <w:rsid w:val="00B401FE"/>
    <w:rsid w:val="00B404C8"/>
    <w:rsid w:val="00B40773"/>
    <w:rsid w:val="00B40A3A"/>
    <w:rsid w:val="00B4107D"/>
    <w:rsid w:val="00B4218B"/>
    <w:rsid w:val="00B42263"/>
    <w:rsid w:val="00B423A7"/>
    <w:rsid w:val="00B42F87"/>
    <w:rsid w:val="00B43325"/>
    <w:rsid w:val="00B439EF"/>
    <w:rsid w:val="00B445B5"/>
    <w:rsid w:val="00B44A2B"/>
    <w:rsid w:val="00B45293"/>
    <w:rsid w:val="00B4591D"/>
    <w:rsid w:val="00B46C61"/>
    <w:rsid w:val="00B47744"/>
    <w:rsid w:val="00B47E71"/>
    <w:rsid w:val="00B50FD8"/>
    <w:rsid w:val="00B5104F"/>
    <w:rsid w:val="00B51071"/>
    <w:rsid w:val="00B51DD1"/>
    <w:rsid w:val="00B5290A"/>
    <w:rsid w:val="00B53C8D"/>
    <w:rsid w:val="00B53FEE"/>
    <w:rsid w:val="00B54537"/>
    <w:rsid w:val="00B54762"/>
    <w:rsid w:val="00B54C05"/>
    <w:rsid w:val="00B55FD2"/>
    <w:rsid w:val="00B5723E"/>
    <w:rsid w:val="00B572EB"/>
    <w:rsid w:val="00B579A7"/>
    <w:rsid w:val="00B60013"/>
    <w:rsid w:val="00B60030"/>
    <w:rsid w:val="00B60067"/>
    <w:rsid w:val="00B60099"/>
    <w:rsid w:val="00B611C2"/>
    <w:rsid w:val="00B61808"/>
    <w:rsid w:val="00B62DD5"/>
    <w:rsid w:val="00B636F3"/>
    <w:rsid w:val="00B63A90"/>
    <w:rsid w:val="00B63F14"/>
    <w:rsid w:val="00B64AA4"/>
    <w:rsid w:val="00B66E75"/>
    <w:rsid w:val="00B67BAC"/>
    <w:rsid w:val="00B67CA2"/>
    <w:rsid w:val="00B70492"/>
    <w:rsid w:val="00B708FB"/>
    <w:rsid w:val="00B70F6E"/>
    <w:rsid w:val="00B71143"/>
    <w:rsid w:val="00B72712"/>
    <w:rsid w:val="00B730D7"/>
    <w:rsid w:val="00B734DA"/>
    <w:rsid w:val="00B746DF"/>
    <w:rsid w:val="00B75093"/>
    <w:rsid w:val="00B75712"/>
    <w:rsid w:val="00B76A4B"/>
    <w:rsid w:val="00B77729"/>
    <w:rsid w:val="00B80494"/>
    <w:rsid w:val="00B80990"/>
    <w:rsid w:val="00B80E0F"/>
    <w:rsid w:val="00B822E6"/>
    <w:rsid w:val="00B82C32"/>
    <w:rsid w:val="00B82D3D"/>
    <w:rsid w:val="00B839A4"/>
    <w:rsid w:val="00B83C4A"/>
    <w:rsid w:val="00B849AA"/>
    <w:rsid w:val="00B86CDB"/>
    <w:rsid w:val="00B870E3"/>
    <w:rsid w:val="00B9060C"/>
    <w:rsid w:val="00B91BE0"/>
    <w:rsid w:val="00B91C97"/>
    <w:rsid w:val="00B91E89"/>
    <w:rsid w:val="00B92582"/>
    <w:rsid w:val="00B92841"/>
    <w:rsid w:val="00B92C2B"/>
    <w:rsid w:val="00B9311E"/>
    <w:rsid w:val="00B93182"/>
    <w:rsid w:val="00B934FF"/>
    <w:rsid w:val="00B943CA"/>
    <w:rsid w:val="00B948EB"/>
    <w:rsid w:val="00B95511"/>
    <w:rsid w:val="00B95642"/>
    <w:rsid w:val="00B95C5E"/>
    <w:rsid w:val="00B95FA8"/>
    <w:rsid w:val="00B9668A"/>
    <w:rsid w:val="00B966AD"/>
    <w:rsid w:val="00B96939"/>
    <w:rsid w:val="00B97388"/>
    <w:rsid w:val="00B97BE6"/>
    <w:rsid w:val="00BA0CC9"/>
    <w:rsid w:val="00BA13FB"/>
    <w:rsid w:val="00BA19C3"/>
    <w:rsid w:val="00BA19EF"/>
    <w:rsid w:val="00BA278C"/>
    <w:rsid w:val="00BA60E4"/>
    <w:rsid w:val="00BA6BB9"/>
    <w:rsid w:val="00BA7625"/>
    <w:rsid w:val="00BB1050"/>
    <w:rsid w:val="00BB284A"/>
    <w:rsid w:val="00BB33E5"/>
    <w:rsid w:val="00BB35E9"/>
    <w:rsid w:val="00BB3FF7"/>
    <w:rsid w:val="00BB4151"/>
    <w:rsid w:val="00BB46A3"/>
    <w:rsid w:val="00BB50BF"/>
    <w:rsid w:val="00BB5149"/>
    <w:rsid w:val="00BB6579"/>
    <w:rsid w:val="00BB66D9"/>
    <w:rsid w:val="00BB6B12"/>
    <w:rsid w:val="00BB6C24"/>
    <w:rsid w:val="00BB6D92"/>
    <w:rsid w:val="00BB7EF1"/>
    <w:rsid w:val="00BC0017"/>
    <w:rsid w:val="00BC086B"/>
    <w:rsid w:val="00BC0F9B"/>
    <w:rsid w:val="00BC197D"/>
    <w:rsid w:val="00BC1AD6"/>
    <w:rsid w:val="00BC21B2"/>
    <w:rsid w:val="00BC280C"/>
    <w:rsid w:val="00BC3392"/>
    <w:rsid w:val="00BC4BD8"/>
    <w:rsid w:val="00BC4DE2"/>
    <w:rsid w:val="00BC54FD"/>
    <w:rsid w:val="00BC65FC"/>
    <w:rsid w:val="00BC7265"/>
    <w:rsid w:val="00BC7C2E"/>
    <w:rsid w:val="00BD0720"/>
    <w:rsid w:val="00BD0AD7"/>
    <w:rsid w:val="00BD2301"/>
    <w:rsid w:val="00BD386A"/>
    <w:rsid w:val="00BD3877"/>
    <w:rsid w:val="00BD3BB0"/>
    <w:rsid w:val="00BD4009"/>
    <w:rsid w:val="00BD4D78"/>
    <w:rsid w:val="00BD4EA4"/>
    <w:rsid w:val="00BD52AC"/>
    <w:rsid w:val="00BD5C9C"/>
    <w:rsid w:val="00BD62C2"/>
    <w:rsid w:val="00BD6BD5"/>
    <w:rsid w:val="00BD6D09"/>
    <w:rsid w:val="00BD6D25"/>
    <w:rsid w:val="00BE0B39"/>
    <w:rsid w:val="00BE0ED3"/>
    <w:rsid w:val="00BE0F79"/>
    <w:rsid w:val="00BE1C42"/>
    <w:rsid w:val="00BE200A"/>
    <w:rsid w:val="00BE27E0"/>
    <w:rsid w:val="00BE2918"/>
    <w:rsid w:val="00BE2B42"/>
    <w:rsid w:val="00BE2C63"/>
    <w:rsid w:val="00BE3958"/>
    <w:rsid w:val="00BE4171"/>
    <w:rsid w:val="00BE49D1"/>
    <w:rsid w:val="00BE4D0F"/>
    <w:rsid w:val="00BE4D2F"/>
    <w:rsid w:val="00BE4F2C"/>
    <w:rsid w:val="00BE71F1"/>
    <w:rsid w:val="00BF0E67"/>
    <w:rsid w:val="00BF1468"/>
    <w:rsid w:val="00BF14DC"/>
    <w:rsid w:val="00BF1E53"/>
    <w:rsid w:val="00BF22CA"/>
    <w:rsid w:val="00BF27B8"/>
    <w:rsid w:val="00BF2A79"/>
    <w:rsid w:val="00BF350B"/>
    <w:rsid w:val="00BF4B24"/>
    <w:rsid w:val="00BF4BE0"/>
    <w:rsid w:val="00BF4E07"/>
    <w:rsid w:val="00BF5438"/>
    <w:rsid w:val="00BF5AC0"/>
    <w:rsid w:val="00BF7BB0"/>
    <w:rsid w:val="00BF7FBB"/>
    <w:rsid w:val="00C00612"/>
    <w:rsid w:val="00C00A54"/>
    <w:rsid w:val="00C03172"/>
    <w:rsid w:val="00C04CA6"/>
    <w:rsid w:val="00C05078"/>
    <w:rsid w:val="00C05593"/>
    <w:rsid w:val="00C063B4"/>
    <w:rsid w:val="00C067AA"/>
    <w:rsid w:val="00C0760D"/>
    <w:rsid w:val="00C07D21"/>
    <w:rsid w:val="00C11466"/>
    <w:rsid w:val="00C11B9C"/>
    <w:rsid w:val="00C1419D"/>
    <w:rsid w:val="00C155F0"/>
    <w:rsid w:val="00C15614"/>
    <w:rsid w:val="00C1566D"/>
    <w:rsid w:val="00C1676A"/>
    <w:rsid w:val="00C16B17"/>
    <w:rsid w:val="00C17D3C"/>
    <w:rsid w:val="00C17D66"/>
    <w:rsid w:val="00C17F0F"/>
    <w:rsid w:val="00C21727"/>
    <w:rsid w:val="00C21854"/>
    <w:rsid w:val="00C22210"/>
    <w:rsid w:val="00C222B5"/>
    <w:rsid w:val="00C22600"/>
    <w:rsid w:val="00C22709"/>
    <w:rsid w:val="00C22D73"/>
    <w:rsid w:val="00C231C7"/>
    <w:rsid w:val="00C23450"/>
    <w:rsid w:val="00C235CE"/>
    <w:rsid w:val="00C239DD"/>
    <w:rsid w:val="00C23A0A"/>
    <w:rsid w:val="00C23EE8"/>
    <w:rsid w:val="00C23F4A"/>
    <w:rsid w:val="00C241B1"/>
    <w:rsid w:val="00C24871"/>
    <w:rsid w:val="00C249A4"/>
    <w:rsid w:val="00C24A45"/>
    <w:rsid w:val="00C24BCB"/>
    <w:rsid w:val="00C24FAF"/>
    <w:rsid w:val="00C25D22"/>
    <w:rsid w:val="00C25F04"/>
    <w:rsid w:val="00C25FD6"/>
    <w:rsid w:val="00C26052"/>
    <w:rsid w:val="00C26062"/>
    <w:rsid w:val="00C27002"/>
    <w:rsid w:val="00C27D94"/>
    <w:rsid w:val="00C306F8"/>
    <w:rsid w:val="00C313B0"/>
    <w:rsid w:val="00C31AAB"/>
    <w:rsid w:val="00C32243"/>
    <w:rsid w:val="00C32596"/>
    <w:rsid w:val="00C32D2B"/>
    <w:rsid w:val="00C33F1A"/>
    <w:rsid w:val="00C343A0"/>
    <w:rsid w:val="00C34600"/>
    <w:rsid w:val="00C35DF0"/>
    <w:rsid w:val="00C360C9"/>
    <w:rsid w:val="00C361F1"/>
    <w:rsid w:val="00C36438"/>
    <w:rsid w:val="00C3685E"/>
    <w:rsid w:val="00C37168"/>
    <w:rsid w:val="00C37669"/>
    <w:rsid w:val="00C408E9"/>
    <w:rsid w:val="00C40D92"/>
    <w:rsid w:val="00C411F0"/>
    <w:rsid w:val="00C420B2"/>
    <w:rsid w:val="00C4222B"/>
    <w:rsid w:val="00C4367C"/>
    <w:rsid w:val="00C4503E"/>
    <w:rsid w:val="00C4664B"/>
    <w:rsid w:val="00C471A5"/>
    <w:rsid w:val="00C47508"/>
    <w:rsid w:val="00C50D73"/>
    <w:rsid w:val="00C51470"/>
    <w:rsid w:val="00C517D7"/>
    <w:rsid w:val="00C52AD2"/>
    <w:rsid w:val="00C52FC4"/>
    <w:rsid w:val="00C53341"/>
    <w:rsid w:val="00C53A10"/>
    <w:rsid w:val="00C5458B"/>
    <w:rsid w:val="00C54AEC"/>
    <w:rsid w:val="00C5531C"/>
    <w:rsid w:val="00C55AA6"/>
    <w:rsid w:val="00C56076"/>
    <w:rsid w:val="00C56EEF"/>
    <w:rsid w:val="00C57B63"/>
    <w:rsid w:val="00C60673"/>
    <w:rsid w:val="00C61B3B"/>
    <w:rsid w:val="00C63E05"/>
    <w:rsid w:val="00C6461C"/>
    <w:rsid w:val="00C64A27"/>
    <w:rsid w:val="00C64A41"/>
    <w:rsid w:val="00C64B15"/>
    <w:rsid w:val="00C64FE4"/>
    <w:rsid w:val="00C650FF"/>
    <w:rsid w:val="00C656ED"/>
    <w:rsid w:val="00C65D61"/>
    <w:rsid w:val="00C67217"/>
    <w:rsid w:val="00C674F2"/>
    <w:rsid w:val="00C67993"/>
    <w:rsid w:val="00C67B1D"/>
    <w:rsid w:val="00C67B8C"/>
    <w:rsid w:val="00C7002D"/>
    <w:rsid w:val="00C71F9D"/>
    <w:rsid w:val="00C747A9"/>
    <w:rsid w:val="00C754E2"/>
    <w:rsid w:val="00C755E6"/>
    <w:rsid w:val="00C75B2F"/>
    <w:rsid w:val="00C76A03"/>
    <w:rsid w:val="00C776BA"/>
    <w:rsid w:val="00C776F6"/>
    <w:rsid w:val="00C77721"/>
    <w:rsid w:val="00C80542"/>
    <w:rsid w:val="00C80E92"/>
    <w:rsid w:val="00C81380"/>
    <w:rsid w:val="00C821C8"/>
    <w:rsid w:val="00C843CF"/>
    <w:rsid w:val="00C853CB"/>
    <w:rsid w:val="00C85804"/>
    <w:rsid w:val="00C8583E"/>
    <w:rsid w:val="00C86230"/>
    <w:rsid w:val="00C86945"/>
    <w:rsid w:val="00C86CEF"/>
    <w:rsid w:val="00C90143"/>
    <w:rsid w:val="00C9044F"/>
    <w:rsid w:val="00C905C8"/>
    <w:rsid w:val="00C9074B"/>
    <w:rsid w:val="00C910E1"/>
    <w:rsid w:val="00C91115"/>
    <w:rsid w:val="00C9163A"/>
    <w:rsid w:val="00C93688"/>
    <w:rsid w:val="00C95A02"/>
    <w:rsid w:val="00C95EC5"/>
    <w:rsid w:val="00C96093"/>
    <w:rsid w:val="00C9732E"/>
    <w:rsid w:val="00C97409"/>
    <w:rsid w:val="00CA09B4"/>
    <w:rsid w:val="00CA15ED"/>
    <w:rsid w:val="00CA1966"/>
    <w:rsid w:val="00CA1A1E"/>
    <w:rsid w:val="00CA1BF9"/>
    <w:rsid w:val="00CA1FC0"/>
    <w:rsid w:val="00CA23EC"/>
    <w:rsid w:val="00CA2D4A"/>
    <w:rsid w:val="00CA3BD7"/>
    <w:rsid w:val="00CA3F89"/>
    <w:rsid w:val="00CA454E"/>
    <w:rsid w:val="00CA45AC"/>
    <w:rsid w:val="00CA4ECF"/>
    <w:rsid w:val="00CA4F0B"/>
    <w:rsid w:val="00CA5049"/>
    <w:rsid w:val="00CA50FC"/>
    <w:rsid w:val="00CA5FBC"/>
    <w:rsid w:val="00CA6687"/>
    <w:rsid w:val="00CA6EC7"/>
    <w:rsid w:val="00CA7401"/>
    <w:rsid w:val="00CA75CE"/>
    <w:rsid w:val="00CA7ACB"/>
    <w:rsid w:val="00CA7B6D"/>
    <w:rsid w:val="00CB01CE"/>
    <w:rsid w:val="00CB115C"/>
    <w:rsid w:val="00CB1462"/>
    <w:rsid w:val="00CB1847"/>
    <w:rsid w:val="00CB1876"/>
    <w:rsid w:val="00CB1B2E"/>
    <w:rsid w:val="00CB22AC"/>
    <w:rsid w:val="00CB2A43"/>
    <w:rsid w:val="00CB30A7"/>
    <w:rsid w:val="00CB3B05"/>
    <w:rsid w:val="00CB4311"/>
    <w:rsid w:val="00CB4D8F"/>
    <w:rsid w:val="00CB5E3B"/>
    <w:rsid w:val="00CB63E3"/>
    <w:rsid w:val="00CB63F0"/>
    <w:rsid w:val="00CB646E"/>
    <w:rsid w:val="00CB64CD"/>
    <w:rsid w:val="00CB6DB6"/>
    <w:rsid w:val="00CB722A"/>
    <w:rsid w:val="00CB7908"/>
    <w:rsid w:val="00CC117E"/>
    <w:rsid w:val="00CC16A7"/>
    <w:rsid w:val="00CC1ABB"/>
    <w:rsid w:val="00CC2D0A"/>
    <w:rsid w:val="00CC2D66"/>
    <w:rsid w:val="00CC3E5E"/>
    <w:rsid w:val="00CC426F"/>
    <w:rsid w:val="00CC5B65"/>
    <w:rsid w:val="00CC686E"/>
    <w:rsid w:val="00CD0190"/>
    <w:rsid w:val="00CD0711"/>
    <w:rsid w:val="00CD0F28"/>
    <w:rsid w:val="00CD1077"/>
    <w:rsid w:val="00CD2B01"/>
    <w:rsid w:val="00CD34A3"/>
    <w:rsid w:val="00CD42A0"/>
    <w:rsid w:val="00CD44FC"/>
    <w:rsid w:val="00CD45E1"/>
    <w:rsid w:val="00CD4F41"/>
    <w:rsid w:val="00CD53FB"/>
    <w:rsid w:val="00CD60C2"/>
    <w:rsid w:val="00CD626E"/>
    <w:rsid w:val="00CD6646"/>
    <w:rsid w:val="00CD66D0"/>
    <w:rsid w:val="00CD71BA"/>
    <w:rsid w:val="00CD777D"/>
    <w:rsid w:val="00CE06F5"/>
    <w:rsid w:val="00CE0F59"/>
    <w:rsid w:val="00CE1174"/>
    <w:rsid w:val="00CE149F"/>
    <w:rsid w:val="00CE192D"/>
    <w:rsid w:val="00CE23C7"/>
    <w:rsid w:val="00CE47A4"/>
    <w:rsid w:val="00CE5966"/>
    <w:rsid w:val="00CE67D5"/>
    <w:rsid w:val="00CE6844"/>
    <w:rsid w:val="00CE6D64"/>
    <w:rsid w:val="00CE750C"/>
    <w:rsid w:val="00CE75EC"/>
    <w:rsid w:val="00CE79D6"/>
    <w:rsid w:val="00CF0723"/>
    <w:rsid w:val="00CF14DA"/>
    <w:rsid w:val="00CF2B19"/>
    <w:rsid w:val="00CF2E73"/>
    <w:rsid w:val="00CF4168"/>
    <w:rsid w:val="00CF43ED"/>
    <w:rsid w:val="00CF4977"/>
    <w:rsid w:val="00CF4D9F"/>
    <w:rsid w:val="00CF5597"/>
    <w:rsid w:val="00CF5D7C"/>
    <w:rsid w:val="00CF5EFF"/>
    <w:rsid w:val="00D00D10"/>
    <w:rsid w:val="00D01539"/>
    <w:rsid w:val="00D0302D"/>
    <w:rsid w:val="00D04CB3"/>
    <w:rsid w:val="00D05165"/>
    <w:rsid w:val="00D05726"/>
    <w:rsid w:val="00D06637"/>
    <w:rsid w:val="00D0684B"/>
    <w:rsid w:val="00D069EA"/>
    <w:rsid w:val="00D06B31"/>
    <w:rsid w:val="00D06C9C"/>
    <w:rsid w:val="00D074FF"/>
    <w:rsid w:val="00D0762C"/>
    <w:rsid w:val="00D07816"/>
    <w:rsid w:val="00D07F1D"/>
    <w:rsid w:val="00D1003C"/>
    <w:rsid w:val="00D10775"/>
    <w:rsid w:val="00D108F4"/>
    <w:rsid w:val="00D11612"/>
    <w:rsid w:val="00D119CA"/>
    <w:rsid w:val="00D11B94"/>
    <w:rsid w:val="00D1234E"/>
    <w:rsid w:val="00D1271D"/>
    <w:rsid w:val="00D1290A"/>
    <w:rsid w:val="00D12B22"/>
    <w:rsid w:val="00D13575"/>
    <w:rsid w:val="00D13983"/>
    <w:rsid w:val="00D1424F"/>
    <w:rsid w:val="00D1431F"/>
    <w:rsid w:val="00D14E71"/>
    <w:rsid w:val="00D150D3"/>
    <w:rsid w:val="00D15835"/>
    <w:rsid w:val="00D20613"/>
    <w:rsid w:val="00D20889"/>
    <w:rsid w:val="00D21B58"/>
    <w:rsid w:val="00D2274D"/>
    <w:rsid w:val="00D22B54"/>
    <w:rsid w:val="00D23BD7"/>
    <w:rsid w:val="00D23F6E"/>
    <w:rsid w:val="00D244F5"/>
    <w:rsid w:val="00D245CE"/>
    <w:rsid w:val="00D24F21"/>
    <w:rsid w:val="00D25841"/>
    <w:rsid w:val="00D26506"/>
    <w:rsid w:val="00D2691A"/>
    <w:rsid w:val="00D26F4F"/>
    <w:rsid w:val="00D305CE"/>
    <w:rsid w:val="00D3156D"/>
    <w:rsid w:val="00D31C92"/>
    <w:rsid w:val="00D32449"/>
    <w:rsid w:val="00D32539"/>
    <w:rsid w:val="00D325FE"/>
    <w:rsid w:val="00D32885"/>
    <w:rsid w:val="00D33E97"/>
    <w:rsid w:val="00D34086"/>
    <w:rsid w:val="00D34EDE"/>
    <w:rsid w:val="00D35EC5"/>
    <w:rsid w:val="00D3605B"/>
    <w:rsid w:val="00D365F6"/>
    <w:rsid w:val="00D367A7"/>
    <w:rsid w:val="00D36896"/>
    <w:rsid w:val="00D36FCA"/>
    <w:rsid w:val="00D40632"/>
    <w:rsid w:val="00D410B0"/>
    <w:rsid w:val="00D4117C"/>
    <w:rsid w:val="00D41563"/>
    <w:rsid w:val="00D42BBC"/>
    <w:rsid w:val="00D432CC"/>
    <w:rsid w:val="00D44466"/>
    <w:rsid w:val="00D44D97"/>
    <w:rsid w:val="00D44F0B"/>
    <w:rsid w:val="00D467C0"/>
    <w:rsid w:val="00D46976"/>
    <w:rsid w:val="00D51230"/>
    <w:rsid w:val="00D5132E"/>
    <w:rsid w:val="00D51509"/>
    <w:rsid w:val="00D51B94"/>
    <w:rsid w:val="00D5225A"/>
    <w:rsid w:val="00D522D7"/>
    <w:rsid w:val="00D5238B"/>
    <w:rsid w:val="00D52924"/>
    <w:rsid w:val="00D53105"/>
    <w:rsid w:val="00D5356B"/>
    <w:rsid w:val="00D537A3"/>
    <w:rsid w:val="00D538BA"/>
    <w:rsid w:val="00D5462E"/>
    <w:rsid w:val="00D54811"/>
    <w:rsid w:val="00D55C9B"/>
    <w:rsid w:val="00D5608B"/>
    <w:rsid w:val="00D5620B"/>
    <w:rsid w:val="00D573A2"/>
    <w:rsid w:val="00D5770C"/>
    <w:rsid w:val="00D60F06"/>
    <w:rsid w:val="00D62232"/>
    <w:rsid w:val="00D62441"/>
    <w:rsid w:val="00D62856"/>
    <w:rsid w:val="00D63E61"/>
    <w:rsid w:val="00D63FE9"/>
    <w:rsid w:val="00D659FF"/>
    <w:rsid w:val="00D65FD5"/>
    <w:rsid w:val="00D6685C"/>
    <w:rsid w:val="00D67902"/>
    <w:rsid w:val="00D67B79"/>
    <w:rsid w:val="00D67E97"/>
    <w:rsid w:val="00D708A6"/>
    <w:rsid w:val="00D70903"/>
    <w:rsid w:val="00D70B5E"/>
    <w:rsid w:val="00D70D3B"/>
    <w:rsid w:val="00D71C84"/>
    <w:rsid w:val="00D726FF"/>
    <w:rsid w:val="00D72CBD"/>
    <w:rsid w:val="00D743C2"/>
    <w:rsid w:val="00D74435"/>
    <w:rsid w:val="00D74534"/>
    <w:rsid w:val="00D74626"/>
    <w:rsid w:val="00D75067"/>
    <w:rsid w:val="00D751E9"/>
    <w:rsid w:val="00D75CC2"/>
    <w:rsid w:val="00D77733"/>
    <w:rsid w:val="00D778E9"/>
    <w:rsid w:val="00D77B76"/>
    <w:rsid w:val="00D77D9D"/>
    <w:rsid w:val="00D804D8"/>
    <w:rsid w:val="00D80CC3"/>
    <w:rsid w:val="00D82312"/>
    <w:rsid w:val="00D824B1"/>
    <w:rsid w:val="00D832CE"/>
    <w:rsid w:val="00D84525"/>
    <w:rsid w:val="00D845D0"/>
    <w:rsid w:val="00D84BEE"/>
    <w:rsid w:val="00D851A3"/>
    <w:rsid w:val="00D860C3"/>
    <w:rsid w:val="00D869F1"/>
    <w:rsid w:val="00D8736C"/>
    <w:rsid w:val="00D877A5"/>
    <w:rsid w:val="00D877BD"/>
    <w:rsid w:val="00D87E9E"/>
    <w:rsid w:val="00D92276"/>
    <w:rsid w:val="00D9244A"/>
    <w:rsid w:val="00D92B73"/>
    <w:rsid w:val="00D931A4"/>
    <w:rsid w:val="00D93816"/>
    <w:rsid w:val="00D9395F"/>
    <w:rsid w:val="00D93D5E"/>
    <w:rsid w:val="00D94772"/>
    <w:rsid w:val="00D9477D"/>
    <w:rsid w:val="00D94A1C"/>
    <w:rsid w:val="00D94B38"/>
    <w:rsid w:val="00D95B96"/>
    <w:rsid w:val="00D96027"/>
    <w:rsid w:val="00D96BE3"/>
    <w:rsid w:val="00D96F70"/>
    <w:rsid w:val="00D9705B"/>
    <w:rsid w:val="00D970FF"/>
    <w:rsid w:val="00D971B3"/>
    <w:rsid w:val="00D97616"/>
    <w:rsid w:val="00D9792D"/>
    <w:rsid w:val="00DA16AB"/>
    <w:rsid w:val="00DA2D2D"/>
    <w:rsid w:val="00DA3088"/>
    <w:rsid w:val="00DA3FA5"/>
    <w:rsid w:val="00DA4127"/>
    <w:rsid w:val="00DA5689"/>
    <w:rsid w:val="00DA625A"/>
    <w:rsid w:val="00DA6D71"/>
    <w:rsid w:val="00DA7742"/>
    <w:rsid w:val="00DA7DF9"/>
    <w:rsid w:val="00DB000D"/>
    <w:rsid w:val="00DB0C54"/>
    <w:rsid w:val="00DB141A"/>
    <w:rsid w:val="00DB1424"/>
    <w:rsid w:val="00DB1660"/>
    <w:rsid w:val="00DB342C"/>
    <w:rsid w:val="00DB3A4E"/>
    <w:rsid w:val="00DB3F55"/>
    <w:rsid w:val="00DB4DB7"/>
    <w:rsid w:val="00DB571C"/>
    <w:rsid w:val="00DB6953"/>
    <w:rsid w:val="00DB6BB1"/>
    <w:rsid w:val="00DB6F89"/>
    <w:rsid w:val="00DB79B1"/>
    <w:rsid w:val="00DC0219"/>
    <w:rsid w:val="00DC0884"/>
    <w:rsid w:val="00DC0D4A"/>
    <w:rsid w:val="00DC12E8"/>
    <w:rsid w:val="00DC2234"/>
    <w:rsid w:val="00DC238D"/>
    <w:rsid w:val="00DC260E"/>
    <w:rsid w:val="00DC2732"/>
    <w:rsid w:val="00DC2B46"/>
    <w:rsid w:val="00DC2DD7"/>
    <w:rsid w:val="00DC3C53"/>
    <w:rsid w:val="00DC42EC"/>
    <w:rsid w:val="00DC48D6"/>
    <w:rsid w:val="00DC4BA7"/>
    <w:rsid w:val="00DC5D78"/>
    <w:rsid w:val="00DC65C0"/>
    <w:rsid w:val="00DC6626"/>
    <w:rsid w:val="00DD0B75"/>
    <w:rsid w:val="00DD0E56"/>
    <w:rsid w:val="00DD1F4B"/>
    <w:rsid w:val="00DD2095"/>
    <w:rsid w:val="00DD2C73"/>
    <w:rsid w:val="00DD2CFF"/>
    <w:rsid w:val="00DD4F83"/>
    <w:rsid w:val="00DD4FED"/>
    <w:rsid w:val="00DD507B"/>
    <w:rsid w:val="00DD56BE"/>
    <w:rsid w:val="00DD6550"/>
    <w:rsid w:val="00DD68BF"/>
    <w:rsid w:val="00DE0751"/>
    <w:rsid w:val="00DE0B3C"/>
    <w:rsid w:val="00DE0C49"/>
    <w:rsid w:val="00DE1106"/>
    <w:rsid w:val="00DE1B6B"/>
    <w:rsid w:val="00DE1C22"/>
    <w:rsid w:val="00DE2FBA"/>
    <w:rsid w:val="00DE3C62"/>
    <w:rsid w:val="00DE4006"/>
    <w:rsid w:val="00DE50FF"/>
    <w:rsid w:val="00DE5267"/>
    <w:rsid w:val="00DE5536"/>
    <w:rsid w:val="00DE6423"/>
    <w:rsid w:val="00DE67DD"/>
    <w:rsid w:val="00DE7011"/>
    <w:rsid w:val="00DE7C3B"/>
    <w:rsid w:val="00DE7D47"/>
    <w:rsid w:val="00DF03CB"/>
    <w:rsid w:val="00DF106C"/>
    <w:rsid w:val="00DF1DD3"/>
    <w:rsid w:val="00DF25D4"/>
    <w:rsid w:val="00DF2F08"/>
    <w:rsid w:val="00DF361F"/>
    <w:rsid w:val="00DF3AA3"/>
    <w:rsid w:val="00DF451E"/>
    <w:rsid w:val="00DF5913"/>
    <w:rsid w:val="00DF5C8C"/>
    <w:rsid w:val="00DF61F6"/>
    <w:rsid w:val="00DF705D"/>
    <w:rsid w:val="00DF7DD5"/>
    <w:rsid w:val="00DF7FB2"/>
    <w:rsid w:val="00E00FF6"/>
    <w:rsid w:val="00E015F5"/>
    <w:rsid w:val="00E01E06"/>
    <w:rsid w:val="00E02568"/>
    <w:rsid w:val="00E036C0"/>
    <w:rsid w:val="00E03EF9"/>
    <w:rsid w:val="00E0500C"/>
    <w:rsid w:val="00E051DE"/>
    <w:rsid w:val="00E05A83"/>
    <w:rsid w:val="00E0677A"/>
    <w:rsid w:val="00E06882"/>
    <w:rsid w:val="00E07B7B"/>
    <w:rsid w:val="00E1028B"/>
    <w:rsid w:val="00E10D55"/>
    <w:rsid w:val="00E10E1C"/>
    <w:rsid w:val="00E12825"/>
    <w:rsid w:val="00E13068"/>
    <w:rsid w:val="00E14077"/>
    <w:rsid w:val="00E141E8"/>
    <w:rsid w:val="00E1567A"/>
    <w:rsid w:val="00E1583F"/>
    <w:rsid w:val="00E1665B"/>
    <w:rsid w:val="00E16E76"/>
    <w:rsid w:val="00E174CE"/>
    <w:rsid w:val="00E177A5"/>
    <w:rsid w:val="00E17DB7"/>
    <w:rsid w:val="00E2049F"/>
    <w:rsid w:val="00E204D4"/>
    <w:rsid w:val="00E20584"/>
    <w:rsid w:val="00E2132F"/>
    <w:rsid w:val="00E21AC1"/>
    <w:rsid w:val="00E21C5E"/>
    <w:rsid w:val="00E21F05"/>
    <w:rsid w:val="00E2334E"/>
    <w:rsid w:val="00E24C94"/>
    <w:rsid w:val="00E251F4"/>
    <w:rsid w:val="00E2679A"/>
    <w:rsid w:val="00E2697F"/>
    <w:rsid w:val="00E2772B"/>
    <w:rsid w:val="00E27B4B"/>
    <w:rsid w:val="00E30825"/>
    <w:rsid w:val="00E31988"/>
    <w:rsid w:val="00E31F96"/>
    <w:rsid w:val="00E329B2"/>
    <w:rsid w:val="00E35BFA"/>
    <w:rsid w:val="00E35CBF"/>
    <w:rsid w:val="00E37462"/>
    <w:rsid w:val="00E3782E"/>
    <w:rsid w:val="00E379C5"/>
    <w:rsid w:val="00E4085A"/>
    <w:rsid w:val="00E40A88"/>
    <w:rsid w:val="00E412D4"/>
    <w:rsid w:val="00E4188C"/>
    <w:rsid w:val="00E419AA"/>
    <w:rsid w:val="00E41E3E"/>
    <w:rsid w:val="00E42095"/>
    <w:rsid w:val="00E421DF"/>
    <w:rsid w:val="00E42860"/>
    <w:rsid w:val="00E46B16"/>
    <w:rsid w:val="00E473B5"/>
    <w:rsid w:val="00E47D09"/>
    <w:rsid w:val="00E5044B"/>
    <w:rsid w:val="00E50550"/>
    <w:rsid w:val="00E51D68"/>
    <w:rsid w:val="00E5256F"/>
    <w:rsid w:val="00E527FE"/>
    <w:rsid w:val="00E532A5"/>
    <w:rsid w:val="00E53458"/>
    <w:rsid w:val="00E53D42"/>
    <w:rsid w:val="00E5413F"/>
    <w:rsid w:val="00E54504"/>
    <w:rsid w:val="00E54EC9"/>
    <w:rsid w:val="00E54F47"/>
    <w:rsid w:val="00E55838"/>
    <w:rsid w:val="00E55884"/>
    <w:rsid w:val="00E55D44"/>
    <w:rsid w:val="00E56146"/>
    <w:rsid w:val="00E571CB"/>
    <w:rsid w:val="00E57305"/>
    <w:rsid w:val="00E57370"/>
    <w:rsid w:val="00E57FA7"/>
    <w:rsid w:val="00E57FBB"/>
    <w:rsid w:val="00E604DE"/>
    <w:rsid w:val="00E6073D"/>
    <w:rsid w:val="00E60B95"/>
    <w:rsid w:val="00E60E56"/>
    <w:rsid w:val="00E61CBE"/>
    <w:rsid w:val="00E61F89"/>
    <w:rsid w:val="00E62237"/>
    <w:rsid w:val="00E6348F"/>
    <w:rsid w:val="00E639C3"/>
    <w:rsid w:val="00E64F11"/>
    <w:rsid w:val="00E666B8"/>
    <w:rsid w:val="00E67144"/>
    <w:rsid w:val="00E71166"/>
    <w:rsid w:val="00E71255"/>
    <w:rsid w:val="00E71BC3"/>
    <w:rsid w:val="00E73983"/>
    <w:rsid w:val="00E73D61"/>
    <w:rsid w:val="00E73EA3"/>
    <w:rsid w:val="00E74935"/>
    <w:rsid w:val="00E7535A"/>
    <w:rsid w:val="00E760C9"/>
    <w:rsid w:val="00E7778B"/>
    <w:rsid w:val="00E77D5F"/>
    <w:rsid w:val="00E8062F"/>
    <w:rsid w:val="00E80BBC"/>
    <w:rsid w:val="00E81652"/>
    <w:rsid w:val="00E82FC9"/>
    <w:rsid w:val="00E832AA"/>
    <w:rsid w:val="00E84AC9"/>
    <w:rsid w:val="00E85682"/>
    <w:rsid w:val="00E85978"/>
    <w:rsid w:val="00E8661C"/>
    <w:rsid w:val="00E86AAC"/>
    <w:rsid w:val="00E87632"/>
    <w:rsid w:val="00E90C5C"/>
    <w:rsid w:val="00E91AE9"/>
    <w:rsid w:val="00E92DDA"/>
    <w:rsid w:val="00E934CD"/>
    <w:rsid w:val="00E93989"/>
    <w:rsid w:val="00E94A9C"/>
    <w:rsid w:val="00E94C87"/>
    <w:rsid w:val="00E950B8"/>
    <w:rsid w:val="00E956A3"/>
    <w:rsid w:val="00E95707"/>
    <w:rsid w:val="00EA006B"/>
    <w:rsid w:val="00EA03A8"/>
    <w:rsid w:val="00EA0DA3"/>
    <w:rsid w:val="00EA2BF8"/>
    <w:rsid w:val="00EA4249"/>
    <w:rsid w:val="00EA496D"/>
    <w:rsid w:val="00EA4A63"/>
    <w:rsid w:val="00EA52E2"/>
    <w:rsid w:val="00EA61DE"/>
    <w:rsid w:val="00EA65BB"/>
    <w:rsid w:val="00EA6998"/>
    <w:rsid w:val="00EA6BF0"/>
    <w:rsid w:val="00EA701C"/>
    <w:rsid w:val="00EA7506"/>
    <w:rsid w:val="00EB00AD"/>
    <w:rsid w:val="00EB0207"/>
    <w:rsid w:val="00EB0AF6"/>
    <w:rsid w:val="00EB1CF4"/>
    <w:rsid w:val="00EB1E59"/>
    <w:rsid w:val="00EB250A"/>
    <w:rsid w:val="00EB3492"/>
    <w:rsid w:val="00EB37D0"/>
    <w:rsid w:val="00EB40E8"/>
    <w:rsid w:val="00EB44A9"/>
    <w:rsid w:val="00EB4C7C"/>
    <w:rsid w:val="00EB578E"/>
    <w:rsid w:val="00EB5A22"/>
    <w:rsid w:val="00EB65AA"/>
    <w:rsid w:val="00EC13B9"/>
    <w:rsid w:val="00EC1A81"/>
    <w:rsid w:val="00EC1E41"/>
    <w:rsid w:val="00EC2166"/>
    <w:rsid w:val="00EC2C06"/>
    <w:rsid w:val="00EC3FA3"/>
    <w:rsid w:val="00EC64DB"/>
    <w:rsid w:val="00EC6BD3"/>
    <w:rsid w:val="00EC7395"/>
    <w:rsid w:val="00EC7C44"/>
    <w:rsid w:val="00ED00E3"/>
    <w:rsid w:val="00ED0E1D"/>
    <w:rsid w:val="00ED11F6"/>
    <w:rsid w:val="00ED19B1"/>
    <w:rsid w:val="00ED2092"/>
    <w:rsid w:val="00ED26D8"/>
    <w:rsid w:val="00ED2704"/>
    <w:rsid w:val="00ED2F38"/>
    <w:rsid w:val="00ED3219"/>
    <w:rsid w:val="00ED35FC"/>
    <w:rsid w:val="00ED3D13"/>
    <w:rsid w:val="00ED43C5"/>
    <w:rsid w:val="00ED47EB"/>
    <w:rsid w:val="00ED5216"/>
    <w:rsid w:val="00ED7201"/>
    <w:rsid w:val="00ED751C"/>
    <w:rsid w:val="00ED7B48"/>
    <w:rsid w:val="00EE02F3"/>
    <w:rsid w:val="00EE0F83"/>
    <w:rsid w:val="00EE1880"/>
    <w:rsid w:val="00EE1BC6"/>
    <w:rsid w:val="00EE1E7B"/>
    <w:rsid w:val="00EE28D8"/>
    <w:rsid w:val="00EE2CF1"/>
    <w:rsid w:val="00EE3550"/>
    <w:rsid w:val="00EE36C0"/>
    <w:rsid w:val="00EE3F1A"/>
    <w:rsid w:val="00EE5498"/>
    <w:rsid w:val="00EE54F7"/>
    <w:rsid w:val="00EE6168"/>
    <w:rsid w:val="00EE6FAC"/>
    <w:rsid w:val="00EE7352"/>
    <w:rsid w:val="00EF06E8"/>
    <w:rsid w:val="00EF11C4"/>
    <w:rsid w:val="00EF1263"/>
    <w:rsid w:val="00EF2249"/>
    <w:rsid w:val="00EF2416"/>
    <w:rsid w:val="00EF24B5"/>
    <w:rsid w:val="00EF2518"/>
    <w:rsid w:val="00EF252E"/>
    <w:rsid w:val="00EF2546"/>
    <w:rsid w:val="00EF279C"/>
    <w:rsid w:val="00EF35B0"/>
    <w:rsid w:val="00EF3909"/>
    <w:rsid w:val="00EF418B"/>
    <w:rsid w:val="00EF43D4"/>
    <w:rsid w:val="00EF5A2F"/>
    <w:rsid w:val="00EF6426"/>
    <w:rsid w:val="00EF6459"/>
    <w:rsid w:val="00EF6CAA"/>
    <w:rsid w:val="00EF78DB"/>
    <w:rsid w:val="00F00BB2"/>
    <w:rsid w:val="00F00BF8"/>
    <w:rsid w:val="00F00C95"/>
    <w:rsid w:val="00F018D1"/>
    <w:rsid w:val="00F01C7A"/>
    <w:rsid w:val="00F01EA3"/>
    <w:rsid w:val="00F024ED"/>
    <w:rsid w:val="00F028C3"/>
    <w:rsid w:val="00F03E69"/>
    <w:rsid w:val="00F050B3"/>
    <w:rsid w:val="00F06869"/>
    <w:rsid w:val="00F06993"/>
    <w:rsid w:val="00F0729F"/>
    <w:rsid w:val="00F07A4C"/>
    <w:rsid w:val="00F07F3A"/>
    <w:rsid w:val="00F103E7"/>
    <w:rsid w:val="00F10B9F"/>
    <w:rsid w:val="00F11268"/>
    <w:rsid w:val="00F1160B"/>
    <w:rsid w:val="00F12130"/>
    <w:rsid w:val="00F13825"/>
    <w:rsid w:val="00F143FC"/>
    <w:rsid w:val="00F1444D"/>
    <w:rsid w:val="00F144FB"/>
    <w:rsid w:val="00F14A3F"/>
    <w:rsid w:val="00F1632E"/>
    <w:rsid w:val="00F16ACD"/>
    <w:rsid w:val="00F16B4F"/>
    <w:rsid w:val="00F16EC6"/>
    <w:rsid w:val="00F17C65"/>
    <w:rsid w:val="00F2042D"/>
    <w:rsid w:val="00F21C10"/>
    <w:rsid w:val="00F21FE6"/>
    <w:rsid w:val="00F225A9"/>
    <w:rsid w:val="00F22848"/>
    <w:rsid w:val="00F23575"/>
    <w:rsid w:val="00F24E2E"/>
    <w:rsid w:val="00F26A7D"/>
    <w:rsid w:val="00F26C0B"/>
    <w:rsid w:val="00F27A10"/>
    <w:rsid w:val="00F27E4F"/>
    <w:rsid w:val="00F31587"/>
    <w:rsid w:val="00F316DF"/>
    <w:rsid w:val="00F321F1"/>
    <w:rsid w:val="00F3378D"/>
    <w:rsid w:val="00F3439C"/>
    <w:rsid w:val="00F3556F"/>
    <w:rsid w:val="00F358C8"/>
    <w:rsid w:val="00F3617A"/>
    <w:rsid w:val="00F37FC1"/>
    <w:rsid w:val="00F41043"/>
    <w:rsid w:val="00F41450"/>
    <w:rsid w:val="00F42616"/>
    <w:rsid w:val="00F42FD1"/>
    <w:rsid w:val="00F43AA4"/>
    <w:rsid w:val="00F45385"/>
    <w:rsid w:val="00F453CF"/>
    <w:rsid w:val="00F45765"/>
    <w:rsid w:val="00F470BA"/>
    <w:rsid w:val="00F470D6"/>
    <w:rsid w:val="00F5168B"/>
    <w:rsid w:val="00F51A74"/>
    <w:rsid w:val="00F51C76"/>
    <w:rsid w:val="00F5259E"/>
    <w:rsid w:val="00F55C39"/>
    <w:rsid w:val="00F55CEB"/>
    <w:rsid w:val="00F56467"/>
    <w:rsid w:val="00F57210"/>
    <w:rsid w:val="00F5796F"/>
    <w:rsid w:val="00F57BAB"/>
    <w:rsid w:val="00F6099E"/>
    <w:rsid w:val="00F60BE0"/>
    <w:rsid w:val="00F61839"/>
    <w:rsid w:val="00F621E7"/>
    <w:rsid w:val="00F6328B"/>
    <w:rsid w:val="00F660E8"/>
    <w:rsid w:val="00F67B42"/>
    <w:rsid w:val="00F70903"/>
    <w:rsid w:val="00F70C46"/>
    <w:rsid w:val="00F719DE"/>
    <w:rsid w:val="00F71BD3"/>
    <w:rsid w:val="00F7233E"/>
    <w:rsid w:val="00F72797"/>
    <w:rsid w:val="00F72827"/>
    <w:rsid w:val="00F7340C"/>
    <w:rsid w:val="00F7439B"/>
    <w:rsid w:val="00F7588D"/>
    <w:rsid w:val="00F758E1"/>
    <w:rsid w:val="00F75CDE"/>
    <w:rsid w:val="00F768BB"/>
    <w:rsid w:val="00F779F9"/>
    <w:rsid w:val="00F77CF9"/>
    <w:rsid w:val="00F8068F"/>
    <w:rsid w:val="00F816BA"/>
    <w:rsid w:val="00F81F15"/>
    <w:rsid w:val="00F81F25"/>
    <w:rsid w:val="00F82BAB"/>
    <w:rsid w:val="00F83794"/>
    <w:rsid w:val="00F83AF6"/>
    <w:rsid w:val="00F84BF4"/>
    <w:rsid w:val="00F85FEA"/>
    <w:rsid w:val="00F86876"/>
    <w:rsid w:val="00F86AF8"/>
    <w:rsid w:val="00F86B61"/>
    <w:rsid w:val="00F86F46"/>
    <w:rsid w:val="00F876DD"/>
    <w:rsid w:val="00F8791C"/>
    <w:rsid w:val="00F90783"/>
    <w:rsid w:val="00F91230"/>
    <w:rsid w:val="00F9128C"/>
    <w:rsid w:val="00F914F5"/>
    <w:rsid w:val="00F9150A"/>
    <w:rsid w:val="00F91D74"/>
    <w:rsid w:val="00F91E0D"/>
    <w:rsid w:val="00F92B01"/>
    <w:rsid w:val="00F92D3A"/>
    <w:rsid w:val="00F93AB6"/>
    <w:rsid w:val="00F94AC3"/>
    <w:rsid w:val="00F94D44"/>
    <w:rsid w:val="00F94E5A"/>
    <w:rsid w:val="00F958E5"/>
    <w:rsid w:val="00F96157"/>
    <w:rsid w:val="00F9655D"/>
    <w:rsid w:val="00F96658"/>
    <w:rsid w:val="00F96874"/>
    <w:rsid w:val="00F96C78"/>
    <w:rsid w:val="00F97986"/>
    <w:rsid w:val="00F97A12"/>
    <w:rsid w:val="00FA0229"/>
    <w:rsid w:val="00FA033F"/>
    <w:rsid w:val="00FA066B"/>
    <w:rsid w:val="00FA1866"/>
    <w:rsid w:val="00FA2DE9"/>
    <w:rsid w:val="00FA551B"/>
    <w:rsid w:val="00FA7546"/>
    <w:rsid w:val="00FA7E1E"/>
    <w:rsid w:val="00FA7FD8"/>
    <w:rsid w:val="00FB0471"/>
    <w:rsid w:val="00FB0B04"/>
    <w:rsid w:val="00FB1ACD"/>
    <w:rsid w:val="00FB2351"/>
    <w:rsid w:val="00FB2842"/>
    <w:rsid w:val="00FB3030"/>
    <w:rsid w:val="00FB368D"/>
    <w:rsid w:val="00FB408E"/>
    <w:rsid w:val="00FB42E6"/>
    <w:rsid w:val="00FB5357"/>
    <w:rsid w:val="00FB5F17"/>
    <w:rsid w:val="00FB6C50"/>
    <w:rsid w:val="00FB6CB5"/>
    <w:rsid w:val="00FB708B"/>
    <w:rsid w:val="00FB789D"/>
    <w:rsid w:val="00FC0738"/>
    <w:rsid w:val="00FC26DD"/>
    <w:rsid w:val="00FC2C43"/>
    <w:rsid w:val="00FC3531"/>
    <w:rsid w:val="00FC3DA9"/>
    <w:rsid w:val="00FC4385"/>
    <w:rsid w:val="00FC54BC"/>
    <w:rsid w:val="00FC5537"/>
    <w:rsid w:val="00FC7ED8"/>
    <w:rsid w:val="00FD024F"/>
    <w:rsid w:val="00FD03AF"/>
    <w:rsid w:val="00FD06B8"/>
    <w:rsid w:val="00FD10C7"/>
    <w:rsid w:val="00FD1250"/>
    <w:rsid w:val="00FD12D7"/>
    <w:rsid w:val="00FD2FF6"/>
    <w:rsid w:val="00FD3BDA"/>
    <w:rsid w:val="00FD43E7"/>
    <w:rsid w:val="00FD471A"/>
    <w:rsid w:val="00FD4EBF"/>
    <w:rsid w:val="00FD5125"/>
    <w:rsid w:val="00FD5166"/>
    <w:rsid w:val="00FD60DA"/>
    <w:rsid w:val="00FD6595"/>
    <w:rsid w:val="00FD68CD"/>
    <w:rsid w:val="00FD6B0A"/>
    <w:rsid w:val="00FD7D4D"/>
    <w:rsid w:val="00FD7D9B"/>
    <w:rsid w:val="00FE0544"/>
    <w:rsid w:val="00FE0557"/>
    <w:rsid w:val="00FE09F1"/>
    <w:rsid w:val="00FE0A8A"/>
    <w:rsid w:val="00FE1BD8"/>
    <w:rsid w:val="00FE2A8F"/>
    <w:rsid w:val="00FE2C5C"/>
    <w:rsid w:val="00FE3345"/>
    <w:rsid w:val="00FE382D"/>
    <w:rsid w:val="00FE51FB"/>
    <w:rsid w:val="00FE5FB5"/>
    <w:rsid w:val="00FE637D"/>
    <w:rsid w:val="00FE6474"/>
    <w:rsid w:val="00FE6ACC"/>
    <w:rsid w:val="00FE72E8"/>
    <w:rsid w:val="00FE76A3"/>
    <w:rsid w:val="00FF02B2"/>
    <w:rsid w:val="00FF0CFD"/>
    <w:rsid w:val="00FF1B9F"/>
    <w:rsid w:val="00FF34A6"/>
    <w:rsid w:val="00FF48A2"/>
    <w:rsid w:val="00FF5425"/>
    <w:rsid w:val="00FF6A5E"/>
    <w:rsid w:val="00FF73A4"/>
    <w:rsid w:val="00FF74C4"/>
    <w:rsid w:val="00FF7A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2719A0"/>
  <w15:docId w15:val="{C53AE675-8F1E-4620-A24F-758D0A10D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95955"/>
  </w:style>
  <w:style w:type="paragraph" w:styleId="Titolo1">
    <w:name w:val="heading 1"/>
    <w:basedOn w:val="Normale"/>
    <w:next w:val="Normale"/>
    <w:link w:val="Titolo1Carattere"/>
    <w:uiPriority w:val="9"/>
    <w:qFormat/>
    <w:rsid w:val="00776B2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776B2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rsid w:val="00776B2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olo4">
    <w:name w:val="heading 4"/>
    <w:basedOn w:val="Normale"/>
    <w:next w:val="Normale"/>
    <w:link w:val="Titolo4Carattere"/>
    <w:uiPriority w:val="9"/>
    <w:unhideWhenUsed/>
    <w:qFormat/>
    <w:rsid w:val="00776B2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AD4399"/>
    <w:pPr>
      <w:ind w:left="720"/>
      <w:contextualSpacing/>
    </w:pPr>
  </w:style>
  <w:style w:type="paragraph" w:styleId="Testonotadichiusura">
    <w:name w:val="endnote text"/>
    <w:basedOn w:val="Normale"/>
    <w:link w:val="TestonotadichiusuraCarattere"/>
    <w:uiPriority w:val="99"/>
    <w:semiHidden/>
    <w:unhideWhenUsed/>
    <w:rsid w:val="007A49EE"/>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7A49EE"/>
    <w:rPr>
      <w:sz w:val="20"/>
      <w:szCs w:val="20"/>
    </w:rPr>
  </w:style>
  <w:style w:type="character" w:styleId="Rimandonotadichiusura">
    <w:name w:val="endnote reference"/>
    <w:basedOn w:val="Carpredefinitoparagrafo"/>
    <w:uiPriority w:val="99"/>
    <w:semiHidden/>
    <w:unhideWhenUsed/>
    <w:rsid w:val="007A49EE"/>
    <w:rPr>
      <w:vertAlign w:val="superscript"/>
    </w:rPr>
  </w:style>
  <w:style w:type="paragraph" w:styleId="Testonotaapidipagina">
    <w:name w:val="footnote text"/>
    <w:basedOn w:val="Normale"/>
    <w:link w:val="TestonotaapidipaginaCarattere"/>
    <w:uiPriority w:val="99"/>
    <w:unhideWhenUsed/>
    <w:rsid w:val="0000696A"/>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00696A"/>
    <w:rPr>
      <w:sz w:val="20"/>
      <w:szCs w:val="20"/>
    </w:rPr>
  </w:style>
  <w:style w:type="character" w:styleId="Rimandonotaapidipagina">
    <w:name w:val="footnote reference"/>
    <w:basedOn w:val="Carpredefinitoparagrafo"/>
    <w:uiPriority w:val="99"/>
    <w:semiHidden/>
    <w:unhideWhenUsed/>
    <w:rsid w:val="0000696A"/>
    <w:rPr>
      <w:vertAlign w:val="superscript"/>
    </w:rPr>
  </w:style>
  <w:style w:type="paragraph" w:styleId="Intestazione">
    <w:name w:val="header"/>
    <w:basedOn w:val="Normale"/>
    <w:link w:val="IntestazioneCarattere"/>
    <w:uiPriority w:val="99"/>
    <w:unhideWhenUsed/>
    <w:rsid w:val="00F9687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96874"/>
  </w:style>
  <w:style w:type="paragraph" w:styleId="Pidipagina">
    <w:name w:val="footer"/>
    <w:basedOn w:val="Normale"/>
    <w:link w:val="PidipaginaCarattere"/>
    <w:uiPriority w:val="99"/>
    <w:unhideWhenUsed/>
    <w:rsid w:val="00F9687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96874"/>
  </w:style>
  <w:style w:type="paragraph" w:styleId="NormaleWeb">
    <w:name w:val="Normal (Web)"/>
    <w:basedOn w:val="Normale"/>
    <w:uiPriority w:val="99"/>
    <w:unhideWhenUsed/>
    <w:rsid w:val="004E263E"/>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Collegamentoipertestuale">
    <w:name w:val="Hyperlink"/>
    <w:basedOn w:val="Carpredefinitoparagrafo"/>
    <w:uiPriority w:val="99"/>
    <w:unhideWhenUsed/>
    <w:rsid w:val="004E263E"/>
    <w:rPr>
      <w:color w:val="0000FF"/>
      <w:u w:val="single"/>
    </w:rPr>
  </w:style>
  <w:style w:type="character" w:customStyle="1" w:styleId="Menzionenonrisolta1">
    <w:name w:val="Menzione non risolta1"/>
    <w:basedOn w:val="Carpredefinitoparagrafo"/>
    <w:uiPriority w:val="99"/>
    <w:semiHidden/>
    <w:unhideWhenUsed/>
    <w:rsid w:val="00155A40"/>
    <w:rPr>
      <w:color w:val="605E5C"/>
      <w:shd w:val="clear" w:color="auto" w:fill="E1DFDD"/>
    </w:rPr>
  </w:style>
  <w:style w:type="paragraph" w:styleId="Nessunaspaziatura">
    <w:name w:val="No Spacing"/>
    <w:uiPriority w:val="1"/>
    <w:qFormat/>
    <w:rsid w:val="00FD3BDA"/>
    <w:pPr>
      <w:spacing w:after="0" w:line="240" w:lineRule="auto"/>
    </w:pPr>
  </w:style>
  <w:style w:type="character" w:styleId="Collegamentovisitato">
    <w:name w:val="FollowedHyperlink"/>
    <w:basedOn w:val="Carpredefinitoparagrafo"/>
    <w:uiPriority w:val="99"/>
    <w:semiHidden/>
    <w:unhideWhenUsed/>
    <w:rsid w:val="00C17F0F"/>
    <w:rPr>
      <w:color w:val="954F72" w:themeColor="followedHyperlink"/>
      <w:u w:val="single"/>
    </w:rPr>
  </w:style>
  <w:style w:type="character" w:styleId="Testosegnaposto">
    <w:name w:val="Placeholder Text"/>
    <w:basedOn w:val="Carpredefinitoparagrafo"/>
    <w:uiPriority w:val="99"/>
    <w:semiHidden/>
    <w:rsid w:val="002B650C"/>
    <w:rPr>
      <w:color w:val="666666"/>
    </w:rPr>
  </w:style>
  <w:style w:type="character" w:customStyle="1" w:styleId="Menzionenonrisolta2">
    <w:name w:val="Menzione non risolta2"/>
    <w:basedOn w:val="Carpredefinitoparagrafo"/>
    <w:uiPriority w:val="99"/>
    <w:semiHidden/>
    <w:unhideWhenUsed/>
    <w:rsid w:val="009A439D"/>
    <w:rPr>
      <w:color w:val="605E5C"/>
      <w:shd w:val="clear" w:color="auto" w:fill="E1DFDD"/>
    </w:rPr>
  </w:style>
  <w:style w:type="character" w:customStyle="1" w:styleId="Titolo1Carattere">
    <w:name w:val="Titolo 1 Carattere"/>
    <w:basedOn w:val="Carpredefinitoparagrafo"/>
    <w:link w:val="Titolo1"/>
    <w:uiPriority w:val="9"/>
    <w:rsid w:val="00776B22"/>
    <w:rPr>
      <w:rFonts w:asciiTheme="majorHAnsi" w:eastAsiaTheme="majorEastAsia" w:hAnsiTheme="majorHAnsi" w:cstheme="majorBidi"/>
      <w:color w:val="2F5496" w:themeColor="accent1" w:themeShade="BF"/>
      <w:sz w:val="32"/>
      <w:szCs w:val="32"/>
    </w:rPr>
  </w:style>
  <w:style w:type="character" w:customStyle="1" w:styleId="Titolo2Carattere">
    <w:name w:val="Titolo 2 Carattere"/>
    <w:basedOn w:val="Carpredefinitoparagrafo"/>
    <w:link w:val="Titolo2"/>
    <w:uiPriority w:val="9"/>
    <w:rsid w:val="00776B22"/>
    <w:rPr>
      <w:rFonts w:asciiTheme="majorHAnsi" w:eastAsiaTheme="majorEastAsia" w:hAnsiTheme="majorHAnsi" w:cstheme="majorBidi"/>
      <w:color w:val="2F5496" w:themeColor="accent1" w:themeShade="BF"/>
      <w:sz w:val="26"/>
      <w:szCs w:val="26"/>
    </w:rPr>
  </w:style>
  <w:style w:type="character" w:customStyle="1" w:styleId="Titolo3Carattere">
    <w:name w:val="Titolo 3 Carattere"/>
    <w:basedOn w:val="Carpredefinitoparagrafo"/>
    <w:link w:val="Titolo3"/>
    <w:uiPriority w:val="9"/>
    <w:rsid w:val="00776B22"/>
    <w:rPr>
      <w:rFonts w:asciiTheme="majorHAnsi" w:eastAsiaTheme="majorEastAsia" w:hAnsiTheme="majorHAnsi" w:cstheme="majorBidi"/>
      <w:color w:val="1F3763" w:themeColor="accent1" w:themeShade="7F"/>
      <w:sz w:val="24"/>
      <w:szCs w:val="24"/>
    </w:rPr>
  </w:style>
  <w:style w:type="character" w:customStyle="1" w:styleId="Titolo4Carattere">
    <w:name w:val="Titolo 4 Carattere"/>
    <w:basedOn w:val="Carpredefinitoparagrafo"/>
    <w:link w:val="Titolo4"/>
    <w:uiPriority w:val="9"/>
    <w:rsid w:val="00776B22"/>
    <w:rPr>
      <w:rFonts w:asciiTheme="majorHAnsi" w:eastAsiaTheme="majorEastAsia" w:hAnsiTheme="majorHAnsi" w:cstheme="majorBidi"/>
      <w:i/>
      <w:iCs/>
      <w:color w:val="2F5496" w:themeColor="accent1" w:themeShade="BF"/>
    </w:rPr>
  </w:style>
  <w:style w:type="character" w:styleId="Enfasicorsivo">
    <w:name w:val="Emphasis"/>
    <w:basedOn w:val="Carpredefinitoparagrafo"/>
    <w:uiPriority w:val="20"/>
    <w:qFormat/>
    <w:rsid w:val="007019D5"/>
    <w:rPr>
      <w:i/>
      <w:iCs/>
    </w:rPr>
  </w:style>
  <w:style w:type="paragraph" w:styleId="Testofumetto">
    <w:name w:val="Balloon Text"/>
    <w:basedOn w:val="Normale"/>
    <w:link w:val="TestofumettoCarattere"/>
    <w:uiPriority w:val="99"/>
    <w:semiHidden/>
    <w:unhideWhenUsed/>
    <w:rsid w:val="008C57A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C57A9"/>
    <w:rPr>
      <w:rFonts w:ascii="Segoe UI" w:hAnsi="Segoe UI" w:cs="Segoe UI"/>
      <w:sz w:val="18"/>
      <w:szCs w:val="18"/>
    </w:rPr>
  </w:style>
  <w:style w:type="character" w:customStyle="1" w:styleId="Menzionenonrisolta3">
    <w:name w:val="Menzione non risolta3"/>
    <w:basedOn w:val="Carpredefinitoparagrafo"/>
    <w:uiPriority w:val="99"/>
    <w:semiHidden/>
    <w:unhideWhenUsed/>
    <w:rsid w:val="00E2334E"/>
    <w:rPr>
      <w:color w:val="605E5C"/>
      <w:shd w:val="clear" w:color="auto" w:fill="E1DFDD"/>
    </w:rPr>
  </w:style>
  <w:style w:type="character" w:customStyle="1" w:styleId="estremosel">
    <w:name w:val="estremosel"/>
    <w:basedOn w:val="Carpredefinitoparagrafo"/>
    <w:rsid w:val="00DC5D78"/>
  </w:style>
  <w:style w:type="character" w:customStyle="1" w:styleId="nota1">
    <w:name w:val="nota1"/>
    <w:basedOn w:val="Carpredefinitoparagrafo"/>
    <w:rsid w:val="00DC5D78"/>
  </w:style>
  <w:style w:type="character" w:customStyle="1" w:styleId="provvnumart">
    <w:name w:val="provv_numart"/>
    <w:basedOn w:val="Carpredefinitoparagrafo"/>
    <w:rsid w:val="00DC5D78"/>
  </w:style>
  <w:style w:type="character" w:customStyle="1" w:styleId="provvrubrica">
    <w:name w:val="provv_rubrica"/>
    <w:basedOn w:val="Carpredefinitoparagrafo"/>
    <w:rsid w:val="00DC5D78"/>
  </w:style>
  <w:style w:type="paragraph" w:styleId="Didascalia">
    <w:name w:val="caption"/>
    <w:basedOn w:val="Normale"/>
    <w:next w:val="Normale"/>
    <w:uiPriority w:val="35"/>
    <w:unhideWhenUsed/>
    <w:qFormat/>
    <w:rsid w:val="00407D4D"/>
    <w:pPr>
      <w:spacing w:after="200" w:line="240" w:lineRule="auto"/>
    </w:pPr>
    <w:rPr>
      <w:i/>
      <w:iCs/>
      <w:color w:val="44546A" w:themeColor="text2"/>
      <w:sz w:val="18"/>
      <w:szCs w:val="18"/>
    </w:rPr>
  </w:style>
  <w:style w:type="character" w:customStyle="1" w:styleId="Menzionenonrisolta4">
    <w:name w:val="Menzione non risolta4"/>
    <w:basedOn w:val="Carpredefinitoparagrafo"/>
    <w:uiPriority w:val="99"/>
    <w:semiHidden/>
    <w:unhideWhenUsed/>
    <w:rsid w:val="00BC086B"/>
    <w:rPr>
      <w:color w:val="605E5C"/>
      <w:shd w:val="clear" w:color="auto" w:fill="E1DFDD"/>
    </w:rPr>
  </w:style>
  <w:style w:type="character" w:styleId="Menzionenonrisolta">
    <w:name w:val="Unresolved Mention"/>
    <w:basedOn w:val="Carpredefinitoparagrafo"/>
    <w:uiPriority w:val="99"/>
    <w:semiHidden/>
    <w:unhideWhenUsed/>
    <w:rsid w:val="003916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334864">
      <w:bodyDiv w:val="1"/>
      <w:marLeft w:val="0"/>
      <w:marRight w:val="0"/>
      <w:marTop w:val="0"/>
      <w:marBottom w:val="0"/>
      <w:divBdr>
        <w:top w:val="none" w:sz="0" w:space="0" w:color="auto"/>
        <w:left w:val="none" w:sz="0" w:space="0" w:color="auto"/>
        <w:bottom w:val="none" w:sz="0" w:space="0" w:color="auto"/>
        <w:right w:val="none" w:sz="0" w:space="0" w:color="auto"/>
      </w:divBdr>
    </w:div>
    <w:div w:id="148255354">
      <w:bodyDiv w:val="1"/>
      <w:marLeft w:val="0"/>
      <w:marRight w:val="0"/>
      <w:marTop w:val="0"/>
      <w:marBottom w:val="0"/>
      <w:divBdr>
        <w:top w:val="none" w:sz="0" w:space="0" w:color="auto"/>
        <w:left w:val="none" w:sz="0" w:space="0" w:color="auto"/>
        <w:bottom w:val="none" w:sz="0" w:space="0" w:color="auto"/>
        <w:right w:val="none" w:sz="0" w:space="0" w:color="auto"/>
      </w:divBdr>
    </w:div>
    <w:div w:id="226454647">
      <w:bodyDiv w:val="1"/>
      <w:marLeft w:val="0"/>
      <w:marRight w:val="0"/>
      <w:marTop w:val="0"/>
      <w:marBottom w:val="0"/>
      <w:divBdr>
        <w:top w:val="none" w:sz="0" w:space="0" w:color="auto"/>
        <w:left w:val="none" w:sz="0" w:space="0" w:color="auto"/>
        <w:bottom w:val="none" w:sz="0" w:space="0" w:color="auto"/>
        <w:right w:val="none" w:sz="0" w:space="0" w:color="auto"/>
      </w:divBdr>
      <w:divsChild>
        <w:div w:id="837036784">
          <w:marLeft w:val="0"/>
          <w:marRight w:val="0"/>
          <w:marTop w:val="0"/>
          <w:marBottom w:val="296"/>
          <w:divBdr>
            <w:top w:val="single" w:sz="6" w:space="0" w:color="E6EBEF"/>
            <w:left w:val="single" w:sz="6" w:space="0" w:color="E6EBEF"/>
            <w:bottom w:val="single" w:sz="6" w:space="0" w:color="E6EBEF"/>
            <w:right w:val="single" w:sz="6" w:space="0" w:color="E6EBEF"/>
          </w:divBdr>
          <w:divsChild>
            <w:div w:id="683626930">
              <w:marLeft w:val="0"/>
              <w:marRight w:val="0"/>
              <w:marTop w:val="0"/>
              <w:marBottom w:val="0"/>
              <w:divBdr>
                <w:top w:val="none" w:sz="0" w:space="0" w:color="auto"/>
                <w:left w:val="none" w:sz="0" w:space="0" w:color="auto"/>
                <w:bottom w:val="none" w:sz="0" w:space="0" w:color="auto"/>
                <w:right w:val="none" w:sz="0" w:space="0" w:color="auto"/>
              </w:divBdr>
              <w:divsChild>
                <w:div w:id="1804886317">
                  <w:marLeft w:val="0"/>
                  <w:marRight w:val="0"/>
                  <w:marTop w:val="0"/>
                  <w:marBottom w:val="0"/>
                  <w:divBdr>
                    <w:top w:val="none" w:sz="0" w:space="0" w:color="auto"/>
                    <w:left w:val="none" w:sz="0" w:space="0" w:color="auto"/>
                    <w:bottom w:val="none" w:sz="0" w:space="0" w:color="auto"/>
                    <w:right w:val="none" w:sz="0" w:space="0" w:color="auto"/>
                  </w:divBdr>
                  <w:divsChild>
                    <w:div w:id="8798917">
                      <w:marLeft w:val="0"/>
                      <w:marRight w:val="0"/>
                      <w:marTop w:val="0"/>
                      <w:marBottom w:val="0"/>
                      <w:divBdr>
                        <w:top w:val="none" w:sz="0" w:space="0" w:color="auto"/>
                        <w:left w:val="none" w:sz="0" w:space="0" w:color="auto"/>
                        <w:bottom w:val="none" w:sz="0" w:space="0" w:color="auto"/>
                        <w:right w:val="none" w:sz="0" w:space="0" w:color="auto"/>
                      </w:divBdr>
                    </w:div>
                    <w:div w:id="48844387">
                      <w:marLeft w:val="0"/>
                      <w:marRight w:val="0"/>
                      <w:marTop w:val="0"/>
                      <w:marBottom w:val="0"/>
                      <w:divBdr>
                        <w:top w:val="none" w:sz="0" w:space="0" w:color="auto"/>
                        <w:left w:val="none" w:sz="0" w:space="0" w:color="auto"/>
                        <w:bottom w:val="none" w:sz="0" w:space="0" w:color="auto"/>
                        <w:right w:val="none" w:sz="0" w:space="0" w:color="auto"/>
                      </w:divBdr>
                    </w:div>
                    <w:div w:id="201213569">
                      <w:marLeft w:val="0"/>
                      <w:marRight w:val="0"/>
                      <w:marTop w:val="0"/>
                      <w:marBottom w:val="0"/>
                      <w:divBdr>
                        <w:top w:val="none" w:sz="0" w:space="0" w:color="auto"/>
                        <w:left w:val="none" w:sz="0" w:space="0" w:color="auto"/>
                        <w:bottom w:val="none" w:sz="0" w:space="0" w:color="auto"/>
                        <w:right w:val="none" w:sz="0" w:space="0" w:color="auto"/>
                      </w:divBdr>
                    </w:div>
                    <w:div w:id="204831707">
                      <w:marLeft w:val="0"/>
                      <w:marRight w:val="0"/>
                      <w:marTop w:val="0"/>
                      <w:marBottom w:val="0"/>
                      <w:divBdr>
                        <w:top w:val="none" w:sz="0" w:space="0" w:color="auto"/>
                        <w:left w:val="none" w:sz="0" w:space="0" w:color="auto"/>
                        <w:bottom w:val="none" w:sz="0" w:space="0" w:color="auto"/>
                        <w:right w:val="none" w:sz="0" w:space="0" w:color="auto"/>
                      </w:divBdr>
                    </w:div>
                    <w:div w:id="219367737">
                      <w:marLeft w:val="0"/>
                      <w:marRight w:val="0"/>
                      <w:marTop w:val="0"/>
                      <w:marBottom w:val="0"/>
                      <w:divBdr>
                        <w:top w:val="none" w:sz="0" w:space="0" w:color="auto"/>
                        <w:left w:val="none" w:sz="0" w:space="0" w:color="auto"/>
                        <w:bottom w:val="none" w:sz="0" w:space="0" w:color="auto"/>
                        <w:right w:val="none" w:sz="0" w:space="0" w:color="auto"/>
                      </w:divBdr>
                    </w:div>
                    <w:div w:id="238561155">
                      <w:marLeft w:val="0"/>
                      <w:marRight w:val="0"/>
                      <w:marTop w:val="0"/>
                      <w:marBottom w:val="0"/>
                      <w:divBdr>
                        <w:top w:val="none" w:sz="0" w:space="0" w:color="auto"/>
                        <w:left w:val="none" w:sz="0" w:space="0" w:color="auto"/>
                        <w:bottom w:val="none" w:sz="0" w:space="0" w:color="auto"/>
                        <w:right w:val="none" w:sz="0" w:space="0" w:color="auto"/>
                      </w:divBdr>
                    </w:div>
                    <w:div w:id="254560212">
                      <w:marLeft w:val="0"/>
                      <w:marRight w:val="0"/>
                      <w:marTop w:val="0"/>
                      <w:marBottom w:val="0"/>
                      <w:divBdr>
                        <w:top w:val="none" w:sz="0" w:space="0" w:color="auto"/>
                        <w:left w:val="none" w:sz="0" w:space="0" w:color="auto"/>
                        <w:bottom w:val="none" w:sz="0" w:space="0" w:color="auto"/>
                        <w:right w:val="none" w:sz="0" w:space="0" w:color="auto"/>
                      </w:divBdr>
                    </w:div>
                    <w:div w:id="261689819">
                      <w:marLeft w:val="0"/>
                      <w:marRight w:val="0"/>
                      <w:marTop w:val="0"/>
                      <w:marBottom w:val="0"/>
                      <w:divBdr>
                        <w:top w:val="none" w:sz="0" w:space="0" w:color="auto"/>
                        <w:left w:val="none" w:sz="0" w:space="0" w:color="auto"/>
                        <w:bottom w:val="none" w:sz="0" w:space="0" w:color="auto"/>
                        <w:right w:val="none" w:sz="0" w:space="0" w:color="auto"/>
                      </w:divBdr>
                    </w:div>
                    <w:div w:id="270942231">
                      <w:marLeft w:val="0"/>
                      <w:marRight w:val="0"/>
                      <w:marTop w:val="0"/>
                      <w:marBottom w:val="0"/>
                      <w:divBdr>
                        <w:top w:val="none" w:sz="0" w:space="0" w:color="auto"/>
                        <w:left w:val="none" w:sz="0" w:space="0" w:color="auto"/>
                        <w:bottom w:val="none" w:sz="0" w:space="0" w:color="auto"/>
                        <w:right w:val="none" w:sz="0" w:space="0" w:color="auto"/>
                      </w:divBdr>
                    </w:div>
                    <w:div w:id="279990655">
                      <w:marLeft w:val="0"/>
                      <w:marRight w:val="0"/>
                      <w:marTop w:val="0"/>
                      <w:marBottom w:val="0"/>
                      <w:divBdr>
                        <w:top w:val="none" w:sz="0" w:space="0" w:color="auto"/>
                        <w:left w:val="none" w:sz="0" w:space="0" w:color="auto"/>
                        <w:bottom w:val="none" w:sz="0" w:space="0" w:color="auto"/>
                        <w:right w:val="none" w:sz="0" w:space="0" w:color="auto"/>
                      </w:divBdr>
                    </w:div>
                    <w:div w:id="315032529">
                      <w:marLeft w:val="0"/>
                      <w:marRight w:val="0"/>
                      <w:marTop w:val="0"/>
                      <w:marBottom w:val="0"/>
                      <w:divBdr>
                        <w:top w:val="none" w:sz="0" w:space="0" w:color="auto"/>
                        <w:left w:val="none" w:sz="0" w:space="0" w:color="auto"/>
                        <w:bottom w:val="none" w:sz="0" w:space="0" w:color="auto"/>
                        <w:right w:val="none" w:sz="0" w:space="0" w:color="auto"/>
                      </w:divBdr>
                    </w:div>
                    <w:div w:id="345332787">
                      <w:marLeft w:val="0"/>
                      <w:marRight w:val="0"/>
                      <w:marTop w:val="0"/>
                      <w:marBottom w:val="0"/>
                      <w:divBdr>
                        <w:top w:val="none" w:sz="0" w:space="0" w:color="auto"/>
                        <w:left w:val="none" w:sz="0" w:space="0" w:color="auto"/>
                        <w:bottom w:val="none" w:sz="0" w:space="0" w:color="auto"/>
                        <w:right w:val="none" w:sz="0" w:space="0" w:color="auto"/>
                      </w:divBdr>
                    </w:div>
                    <w:div w:id="395126233">
                      <w:marLeft w:val="0"/>
                      <w:marRight w:val="0"/>
                      <w:marTop w:val="0"/>
                      <w:marBottom w:val="0"/>
                      <w:divBdr>
                        <w:top w:val="none" w:sz="0" w:space="0" w:color="auto"/>
                        <w:left w:val="none" w:sz="0" w:space="0" w:color="auto"/>
                        <w:bottom w:val="none" w:sz="0" w:space="0" w:color="auto"/>
                        <w:right w:val="none" w:sz="0" w:space="0" w:color="auto"/>
                      </w:divBdr>
                    </w:div>
                    <w:div w:id="405734474">
                      <w:marLeft w:val="0"/>
                      <w:marRight w:val="0"/>
                      <w:marTop w:val="0"/>
                      <w:marBottom w:val="0"/>
                      <w:divBdr>
                        <w:top w:val="none" w:sz="0" w:space="0" w:color="auto"/>
                        <w:left w:val="none" w:sz="0" w:space="0" w:color="auto"/>
                        <w:bottom w:val="none" w:sz="0" w:space="0" w:color="auto"/>
                        <w:right w:val="none" w:sz="0" w:space="0" w:color="auto"/>
                      </w:divBdr>
                    </w:div>
                    <w:div w:id="410666953">
                      <w:marLeft w:val="0"/>
                      <w:marRight w:val="0"/>
                      <w:marTop w:val="0"/>
                      <w:marBottom w:val="0"/>
                      <w:divBdr>
                        <w:top w:val="none" w:sz="0" w:space="0" w:color="auto"/>
                        <w:left w:val="none" w:sz="0" w:space="0" w:color="auto"/>
                        <w:bottom w:val="none" w:sz="0" w:space="0" w:color="auto"/>
                        <w:right w:val="none" w:sz="0" w:space="0" w:color="auto"/>
                      </w:divBdr>
                    </w:div>
                    <w:div w:id="416630574">
                      <w:marLeft w:val="0"/>
                      <w:marRight w:val="0"/>
                      <w:marTop w:val="0"/>
                      <w:marBottom w:val="0"/>
                      <w:divBdr>
                        <w:top w:val="none" w:sz="0" w:space="0" w:color="auto"/>
                        <w:left w:val="none" w:sz="0" w:space="0" w:color="auto"/>
                        <w:bottom w:val="none" w:sz="0" w:space="0" w:color="auto"/>
                        <w:right w:val="none" w:sz="0" w:space="0" w:color="auto"/>
                      </w:divBdr>
                    </w:div>
                    <w:div w:id="434135822">
                      <w:marLeft w:val="0"/>
                      <w:marRight w:val="0"/>
                      <w:marTop w:val="0"/>
                      <w:marBottom w:val="0"/>
                      <w:divBdr>
                        <w:top w:val="none" w:sz="0" w:space="0" w:color="auto"/>
                        <w:left w:val="none" w:sz="0" w:space="0" w:color="auto"/>
                        <w:bottom w:val="none" w:sz="0" w:space="0" w:color="auto"/>
                        <w:right w:val="none" w:sz="0" w:space="0" w:color="auto"/>
                      </w:divBdr>
                    </w:div>
                    <w:div w:id="471410299">
                      <w:marLeft w:val="0"/>
                      <w:marRight w:val="0"/>
                      <w:marTop w:val="0"/>
                      <w:marBottom w:val="0"/>
                      <w:divBdr>
                        <w:top w:val="none" w:sz="0" w:space="0" w:color="auto"/>
                        <w:left w:val="none" w:sz="0" w:space="0" w:color="auto"/>
                        <w:bottom w:val="none" w:sz="0" w:space="0" w:color="auto"/>
                        <w:right w:val="none" w:sz="0" w:space="0" w:color="auto"/>
                      </w:divBdr>
                    </w:div>
                    <w:div w:id="505437718">
                      <w:marLeft w:val="0"/>
                      <w:marRight w:val="0"/>
                      <w:marTop w:val="0"/>
                      <w:marBottom w:val="0"/>
                      <w:divBdr>
                        <w:top w:val="none" w:sz="0" w:space="0" w:color="auto"/>
                        <w:left w:val="none" w:sz="0" w:space="0" w:color="auto"/>
                        <w:bottom w:val="none" w:sz="0" w:space="0" w:color="auto"/>
                        <w:right w:val="none" w:sz="0" w:space="0" w:color="auto"/>
                      </w:divBdr>
                    </w:div>
                    <w:div w:id="513418948">
                      <w:marLeft w:val="0"/>
                      <w:marRight w:val="0"/>
                      <w:marTop w:val="0"/>
                      <w:marBottom w:val="0"/>
                      <w:divBdr>
                        <w:top w:val="none" w:sz="0" w:space="0" w:color="auto"/>
                        <w:left w:val="none" w:sz="0" w:space="0" w:color="auto"/>
                        <w:bottom w:val="none" w:sz="0" w:space="0" w:color="auto"/>
                        <w:right w:val="none" w:sz="0" w:space="0" w:color="auto"/>
                      </w:divBdr>
                    </w:div>
                    <w:div w:id="514150687">
                      <w:marLeft w:val="0"/>
                      <w:marRight w:val="0"/>
                      <w:marTop w:val="0"/>
                      <w:marBottom w:val="0"/>
                      <w:divBdr>
                        <w:top w:val="none" w:sz="0" w:space="0" w:color="auto"/>
                        <w:left w:val="none" w:sz="0" w:space="0" w:color="auto"/>
                        <w:bottom w:val="none" w:sz="0" w:space="0" w:color="auto"/>
                        <w:right w:val="none" w:sz="0" w:space="0" w:color="auto"/>
                      </w:divBdr>
                    </w:div>
                    <w:div w:id="517431945">
                      <w:marLeft w:val="0"/>
                      <w:marRight w:val="0"/>
                      <w:marTop w:val="0"/>
                      <w:marBottom w:val="0"/>
                      <w:divBdr>
                        <w:top w:val="none" w:sz="0" w:space="0" w:color="auto"/>
                        <w:left w:val="none" w:sz="0" w:space="0" w:color="auto"/>
                        <w:bottom w:val="none" w:sz="0" w:space="0" w:color="auto"/>
                        <w:right w:val="none" w:sz="0" w:space="0" w:color="auto"/>
                      </w:divBdr>
                    </w:div>
                    <w:div w:id="545408890">
                      <w:marLeft w:val="0"/>
                      <w:marRight w:val="0"/>
                      <w:marTop w:val="0"/>
                      <w:marBottom w:val="0"/>
                      <w:divBdr>
                        <w:top w:val="none" w:sz="0" w:space="0" w:color="auto"/>
                        <w:left w:val="none" w:sz="0" w:space="0" w:color="auto"/>
                        <w:bottom w:val="none" w:sz="0" w:space="0" w:color="auto"/>
                        <w:right w:val="none" w:sz="0" w:space="0" w:color="auto"/>
                      </w:divBdr>
                    </w:div>
                    <w:div w:id="555354149">
                      <w:marLeft w:val="0"/>
                      <w:marRight w:val="0"/>
                      <w:marTop w:val="0"/>
                      <w:marBottom w:val="0"/>
                      <w:divBdr>
                        <w:top w:val="none" w:sz="0" w:space="0" w:color="auto"/>
                        <w:left w:val="none" w:sz="0" w:space="0" w:color="auto"/>
                        <w:bottom w:val="none" w:sz="0" w:space="0" w:color="auto"/>
                        <w:right w:val="none" w:sz="0" w:space="0" w:color="auto"/>
                      </w:divBdr>
                    </w:div>
                    <w:div w:id="607665339">
                      <w:marLeft w:val="0"/>
                      <w:marRight w:val="0"/>
                      <w:marTop w:val="0"/>
                      <w:marBottom w:val="0"/>
                      <w:divBdr>
                        <w:top w:val="none" w:sz="0" w:space="0" w:color="auto"/>
                        <w:left w:val="none" w:sz="0" w:space="0" w:color="auto"/>
                        <w:bottom w:val="none" w:sz="0" w:space="0" w:color="auto"/>
                        <w:right w:val="none" w:sz="0" w:space="0" w:color="auto"/>
                      </w:divBdr>
                    </w:div>
                    <w:div w:id="614406151">
                      <w:marLeft w:val="0"/>
                      <w:marRight w:val="0"/>
                      <w:marTop w:val="0"/>
                      <w:marBottom w:val="0"/>
                      <w:divBdr>
                        <w:top w:val="none" w:sz="0" w:space="0" w:color="auto"/>
                        <w:left w:val="none" w:sz="0" w:space="0" w:color="auto"/>
                        <w:bottom w:val="none" w:sz="0" w:space="0" w:color="auto"/>
                        <w:right w:val="none" w:sz="0" w:space="0" w:color="auto"/>
                      </w:divBdr>
                    </w:div>
                    <w:div w:id="623849983">
                      <w:marLeft w:val="0"/>
                      <w:marRight w:val="0"/>
                      <w:marTop w:val="0"/>
                      <w:marBottom w:val="0"/>
                      <w:divBdr>
                        <w:top w:val="none" w:sz="0" w:space="0" w:color="auto"/>
                        <w:left w:val="none" w:sz="0" w:space="0" w:color="auto"/>
                        <w:bottom w:val="none" w:sz="0" w:space="0" w:color="auto"/>
                        <w:right w:val="none" w:sz="0" w:space="0" w:color="auto"/>
                      </w:divBdr>
                    </w:div>
                    <w:div w:id="644428991">
                      <w:marLeft w:val="0"/>
                      <w:marRight w:val="0"/>
                      <w:marTop w:val="0"/>
                      <w:marBottom w:val="0"/>
                      <w:divBdr>
                        <w:top w:val="none" w:sz="0" w:space="0" w:color="auto"/>
                        <w:left w:val="none" w:sz="0" w:space="0" w:color="auto"/>
                        <w:bottom w:val="none" w:sz="0" w:space="0" w:color="auto"/>
                        <w:right w:val="none" w:sz="0" w:space="0" w:color="auto"/>
                      </w:divBdr>
                    </w:div>
                    <w:div w:id="669064585">
                      <w:marLeft w:val="0"/>
                      <w:marRight w:val="0"/>
                      <w:marTop w:val="0"/>
                      <w:marBottom w:val="0"/>
                      <w:divBdr>
                        <w:top w:val="none" w:sz="0" w:space="0" w:color="auto"/>
                        <w:left w:val="none" w:sz="0" w:space="0" w:color="auto"/>
                        <w:bottom w:val="none" w:sz="0" w:space="0" w:color="auto"/>
                        <w:right w:val="none" w:sz="0" w:space="0" w:color="auto"/>
                      </w:divBdr>
                    </w:div>
                    <w:div w:id="671954393">
                      <w:marLeft w:val="0"/>
                      <w:marRight w:val="0"/>
                      <w:marTop w:val="0"/>
                      <w:marBottom w:val="0"/>
                      <w:divBdr>
                        <w:top w:val="none" w:sz="0" w:space="0" w:color="auto"/>
                        <w:left w:val="none" w:sz="0" w:space="0" w:color="auto"/>
                        <w:bottom w:val="none" w:sz="0" w:space="0" w:color="auto"/>
                        <w:right w:val="none" w:sz="0" w:space="0" w:color="auto"/>
                      </w:divBdr>
                    </w:div>
                    <w:div w:id="825050242">
                      <w:marLeft w:val="0"/>
                      <w:marRight w:val="0"/>
                      <w:marTop w:val="0"/>
                      <w:marBottom w:val="0"/>
                      <w:divBdr>
                        <w:top w:val="none" w:sz="0" w:space="0" w:color="auto"/>
                        <w:left w:val="none" w:sz="0" w:space="0" w:color="auto"/>
                        <w:bottom w:val="none" w:sz="0" w:space="0" w:color="auto"/>
                        <w:right w:val="none" w:sz="0" w:space="0" w:color="auto"/>
                      </w:divBdr>
                    </w:div>
                    <w:div w:id="852960857">
                      <w:marLeft w:val="0"/>
                      <w:marRight w:val="0"/>
                      <w:marTop w:val="0"/>
                      <w:marBottom w:val="0"/>
                      <w:divBdr>
                        <w:top w:val="none" w:sz="0" w:space="0" w:color="auto"/>
                        <w:left w:val="none" w:sz="0" w:space="0" w:color="auto"/>
                        <w:bottom w:val="none" w:sz="0" w:space="0" w:color="auto"/>
                        <w:right w:val="none" w:sz="0" w:space="0" w:color="auto"/>
                      </w:divBdr>
                    </w:div>
                    <w:div w:id="861169452">
                      <w:marLeft w:val="0"/>
                      <w:marRight w:val="0"/>
                      <w:marTop w:val="0"/>
                      <w:marBottom w:val="0"/>
                      <w:divBdr>
                        <w:top w:val="none" w:sz="0" w:space="0" w:color="auto"/>
                        <w:left w:val="none" w:sz="0" w:space="0" w:color="auto"/>
                        <w:bottom w:val="none" w:sz="0" w:space="0" w:color="auto"/>
                        <w:right w:val="none" w:sz="0" w:space="0" w:color="auto"/>
                      </w:divBdr>
                    </w:div>
                    <w:div w:id="861942297">
                      <w:marLeft w:val="0"/>
                      <w:marRight w:val="0"/>
                      <w:marTop w:val="0"/>
                      <w:marBottom w:val="0"/>
                      <w:divBdr>
                        <w:top w:val="none" w:sz="0" w:space="0" w:color="auto"/>
                        <w:left w:val="none" w:sz="0" w:space="0" w:color="auto"/>
                        <w:bottom w:val="none" w:sz="0" w:space="0" w:color="auto"/>
                        <w:right w:val="none" w:sz="0" w:space="0" w:color="auto"/>
                      </w:divBdr>
                    </w:div>
                    <w:div w:id="867598219">
                      <w:marLeft w:val="0"/>
                      <w:marRight w:val="0"/>
                      <w:marTop w:val="0"/>
                      <w:marBottom w:val="0"/>
                      <w:divBdr>
                        <w:top w:val="none" w:sz="0" w:space="0" w:color="auto"/>
                        <w:left w:val="none" w:sz="0" w:space="0" w:color="auto"/>
                        <w:bottom w:val="none" w:sz="0" w:space="0" w:color="auto"/>
                        <w:right w:val="none" w:sz="0" w:space="0" w:color="auto"/>
                      </w:divBdr>
                    </w:div>
                    <w:div w:id="893734344">
                      <w:marLeft w:val="0"/>
                      <w:marRight w:val="0"/>
                      <w:marTop w:val="0"/>
                      <w:marBottom w:val="0"/>
                      <w:divBdr>
                        <w:top w:val="none" w:sz="0" w:space="0" w:color="auto"/>
                        <w:left w:val="none" w:sz="0" w:space="0" w:color="auto"/>
                        <w:bottom w:val="none" w:sz="0" w:space="0" w:color="auto"/>
                        <w:right w:val="none" w:sz="0" w:space="0" w:color="auto"/>
                      </w:divBdr>
                    </w:div>
                    <w:div w:id="896210787">
                      <w:marLeft w:val="0"/>
                      <w:marRight w:val="0"/>
                      <w:marTop w:val="0"/>
                      <w:marBottom w:val="0"/>
                      <w:divBdr>
                        <w:top w:val="none" w:sz="0" w:space="0" w:color="auto"/>
                        <w:left w:val="none" w:sz="0" w:space="0" w:color="auto"/>
                        <w:bottom w:val="none" w:sz="0" w:space="0" w:color="auto"/>
                        <w:right w:val="none" w:sz="0" w:space="0" w:color="auto"/>
                      </w:divBdr>
                    </w:div>
                    <w:div w:id="921179224">
                      <w:marLeft w:val="0"/>
                      <w:marRight w:val="0"/>
                      <w:marTop w:val="0"/>
                      <w:marBottom w:val="0"/>
                      <w:divBdr>
                        <w:top w:val="none" w:sz="0" w:space="0" w:color="auto"/>
                        <w:left w:val="none" w:sz="0" w:space="0" w:color="auto"/>
                        <w:bottom w:val="none" w:sz="0" w:space="0" w:color="auto"/>
                        <w:right w:val="none" w:sz="0" w:space="0" w:color="auto"/>
                      </w:divBdr>
                    </w:div>
                    <w:div w:id="947394835">
                      <w:marLeft w:val="0"/>
                      <w:marRight w:val="0"/>
                      <w:marTop w:val="0"/>
                      <w:marBottom w:val="0"/>
                      <w:divBdr>
                        <w:top w:val="none" w:sz="0" w:space="0" w:color="auto"/>
                        <w:left w:val="none" w:sz="0" w:space="0" w:color="auto"/>
                        <w:bottom w:val="none" w:sz="0" w:space="0" w:color="auto"/>
                        <w:right w:val="none" w:sz="0" w:space="0" w:color="auto"/>
                      </w:divBdr>
                    </w:div>
                    <w:div w:id="972252908">
                      <w:marLeft w:val="0"/>
                      <w:marRight w:val="0"/>
                      <w:marTop w:val="0"/>
                      <w:marBottom w:val="0"/>
                      <w:divBdr>
                        <w:top w:val="none" w:sz="0" w:space="0" w:color="auto"/>
                        <w:left w:val="none" w:sz="0" w:space="0" w:color="auto"/>
                        <w:bottom w:val="none" w:sz="0" w:space="0" w:color="auto"/>
                        <w:right w:val="none" w:sz="0" w:space="0" w:color="auto"/>
                      </w:divBdr>
                    </w:div>
                    <w:div w:id="1002971149">
                      <w:marLeft w:val="0"/>
                      <w:marRight w:val="0"/>
                      <w:marTop w:val="0"/>
                      <w:marBottom w:val="0"/>
                      <w:divBdr>
                        <w:top w:val="none" w:sz="0" w:space="0" w:color="auto"/>
                        <w:left w:val="none" w:sz="0" w:space="0" w:color="auto"/>
                        <w:bottom w:val="none" w:sz="0" w:space="0" w:color="auto"/>
                        <w:right w:val="none" w:sz="0" w:space="0" w:color="auto"/>
                      </w:divBdr>
                    </w:div>
                    <w:div w:id="1039551705">
                      <w:marLeft w:val="0"/>
                      <w:marRight w:val="0"/>
                      <w:marTop w:val="0"/>
                      <w:marBottom w:val="0"/>
                      <w:divBdr>
                        <w:top w:val="none" w:sz="0" w:space="0" w:color="auto"/>
                        <w:left w:val="none" w:sz="0" w:space="0" w:color="auto"/>
                        <w:bottom w:val="none" w:sz="0" w:space="0" w:color="auto"/>
                        <w:right w:val="none" w:sz="0" w:space="0" w:color="auto"/>
                      </w:divBdr>
                    </w:div>
                    <w:div w:id="1055198519">
                      <w:marLeft w:val="0"/>
                      <w:marRight w:val="0"/>
                      <w:marTop w:val="0"/>
                      <w:marBottom w:val="0"/>
                      <w:divBdr>
                        <w:top w:val="none" w:sz="0" w:space="0" w:color="auto"/>
                        <w:left w:val="none" w:sz="0" w:space="0" w:color="auto"/>
                        <w:bottom w:val="none" w:sz="0" w:space="0" w:color="auto"/>
                        <w:right w:val="none" w:sz="0" w:space="0" w:color="auto"/>
                      </w:divBdr>
                    </w:div>
                    <w:div w:id="1075274629">
                      <w:marLeft w:val="0"/>
                      <w:marRight w:val="0"/>
                      <w:marTop w:val="0"/>
                      <w:marBottom w:val="0"/>
                      <w:divBdr>
                        <w:top w:val="none" w:sz="0" w:space="0" w:color="auto"/>
                        <w:left w:val="none" w:sz="0" w:space="0" w:color="auto"/>
                        <w:bottom w:val="none" w:sz="0" w:space="0" w:color="auto"/>
                        <w:right w:val="none" w:sz="0" w:space="0" w:color="auto"/>
                      </w:divBdr>
                    </w:div>
                    <w:div w:id="1085688588">
                      <w:marLeft w:val="0"/>
                      <w:marRight w:val="0"/>
                      <w:marTop w:val="0"/>
                      <w:marBottom w:val="0"/>
                      <w:divBdr>
                        <w:top w:val="none" w:sz="0" w:space="0" w:color="auto"/>
                        <w:left w:val="none" w:sz="0" w:space="0" w:color="auto"/>
                        <w:bottom w:val="none" w:sz="0" w:space="0" w:color="auto"/>
                        <w:right w:val="none" w:sz="0" w:space="0" w:color="auto"/>
                      </w:divBdr>
                    </w:div>
                    <w:div w:id="1094666071">
                      <w:marLeft w:val="0"/>
                      <w:marRight w:val="0"/>
                      <w:marTop w:val="0"/>
                      <w:marBottom w:val="0"/>
                      <w:divBdr>
                        <w:top w:val="none" w:sz="0" w:space="0" w:color="auto"/>
                        <w:left w:val="none" w:sz="0" w:space="0" w:color="auto"/>
                        <w:bottom w:val="none" w:sz="0" w:space="0" w:color="auto"/>
                        <w:right w:val="none" w:sz="0" w:space="0" w:color="auto"/>
                      </w:divBdr>
                    </w:div>
                    <w:div w:id="1146438272">
                      <w:marLeft w:val="0"/>
                      <w:marRight w:val="0"/>
                      <w:marTop w:val="0"/>
                      <w:marBottom w:val="0"/>
                      <w:divBdr>
                        <w:top w:val="none" w:sz="0" w:space="0" w:color="auto"/>
                        <w:left w:val="none" w:sz="0" w:space="0" w:color="auto"/>
                        <w:bottom w:val="none" w:sz="0" w:space="0" w:color="auto"/>
                        <w:right w:val="none" w:sz="0" w:space="0" w:color="auto"/>
                      </w:divBdr>
                    </w:div>
                    <w:div w:id="1149250894">
                      <w:marLeft w:val="0"/>
                      <w:marRight w:val="0"/>
                      <w:marTop w:val="0"/>
                      <w:marBottom w:val="0"/>
                      <w:divBdr>
                        <w:top w:val="none" w:sz="0" w:space="0" w:color="auto"/>
                        <w:left w:val="none" w:sz="0" w:space="0" w:color="auto"/>
                        <w:bottom w:val="none" w:sz="0" w:space="0" w:color="auto"/>
                        <w:right w:val="none" w:sz="0" w:space="0" w:color="auto"/>
                      </w:divBdr>
                    </w:div>
                    <w:div w:id="1248154478">
                      <w:marLeft w:val="0"/>
                      <w:marRight w:val="0"/>
                      <w:marTop w:val="0"/>
                      <w:marBottom w:val="0"/>
                      <w:divBdr>
                        <w:top w:val="none" w:sz="0" w:space="0" w:color="auto"/>
                        <w:left w:val="none" w:sz="0" w:space="0" w:color="auto"/>
                        <w:bottom w:val="none" w:sz="0" w:space="0" w:color="auto"/>
                        <w:right w:val="none" w:sz="0" w:space="0" w:color="auto"/>
                      </w:divBdr>
                    </w:div>
                    <w:div w:id="1256789327">
                      <w:marLeft w:val="0"/>
                      <w:marRight w:val="0"/>
                      <w:marTop w:val="0"/>
                      <w:marBottom w:val="0"/>
                      <w:divBdr>
                        <w:top w:val="none" w:sz="0" w:space="0" w:color="auto"/>
                        <w:left w:val="none" w:sz="0" w:space="0" w:color="auto"/>
                        <w:bottom w:val="none" w:sz="0" w:space="0" w:color="auto"/>
                        <w:right w:val="none" w:sz="0" w:space="0" w:color="auto"/>
                      </w:divBdr>
                    </w:div>
                    <w:div w:id="1278216928">
                      <w:marLeft w:val="0"/>
                      <w:marRight w:val="0"/>
                      <w:marTop w:val="0"/>
                      <w:marBottom w:val="0"/>
                      <w:divBdr>
                        <w:top w:val="none" w:sz="0" w:space="0" w:color="auto"/>
                        <w:left w:val="none" w:sz="0" w:space="0" w:color="auto"/>
                        <w:bottom w:val="none" w:sz="0" w:space="0" w:color="auto"/>
                        <w:right w:val="none" w:sz="0" w:space="0" w:color="auto"/>
                      </w:divBdr>
                    </w:div>
                    <w:div w:id="1300769733">
                      <w:marLeft w:val="0"/>
                      <w:marRight w:val="0"/>
                      <w:marTop w:val="0"/>
                      <w:marBottom w:val="0"/>
                      <w:divBdr>
                        <w:top w:val="none" w:sz="0" w:space="0" w:color="auto"/>
                        <w:left w:val="none" w:sz="0" w:space="0" w:color="auto"/>
                        <w:bottom w:val="none" w:sz="0" w:space="0" w:color="auto"/>
                        <w:right w:val="none" w:sz="0" w:space="0" w:color="auto"/>
                      </w:divBdr>
                    </w:div>
                    <w:div w:id="1308167764">
                      <w:marLeft w:val="0"/>
                      <w:marRight w:val="0"/>
                      <w:marTop w:val="0"/>
                      <w:marBottom w:val="0"/>
                      <w:divBdr>
                        <w:top w:val="none" w:sz="0" w:space="0" w:color="auto"/>
                        <w:left w:val="none" w:sz="0" w:space="0" w:color="auto"/>
                        <w:bottom w:val="none" w:sz="0" w:space="0" w:color="auto"/>
                        <w:right w:val="none" w:sz="0" w:space="0" w:color="auto"/>
                      </w:divBdr>
                    </w:div>
                    <w:div w:id="1338390382">
                      <w:marLeft w:val="0"/>
                      <w:marRight w:val="0"/>
                      <w:marTop w:val="0"/>
                      <w:marBottom w:val="0"/>
                      <w:divBdr>
                        <w:top w:val="none" w:sz="0" w:space="0" w:color="auto"/>
                        <w:left w:val="none" w:sz="0" w:space="0" w:color="auto"/>
                        <w:bottom w:val="none" w:sz="0" w:space="0" w:color="auto"/>
                        <w:right w:val="none" w:sz="0" w:space="0" w:color="auto"/>
                      </w:divBdr>
                    </w:div>
                    <w:div w:id="1370569879">
                      <w:marLeft w:val="0"/>
                      <w:marRight w:val="0"/>
                      <w:marTop w:val="0"/>
                      <w:marBottom w:val="0"/>
                      <w:divBdr>
                        <w:top w:val="none" w:sz="0" w:space="0" w:color="auto"/>
                        <w:left w:val="none" w:sz="0" w:space="0" w:color="auto"/>
                        <w:bottom w:val="none" w:sz="0" w:space="0" w:color="auto"/>
                        <w:right w:val="none" w:sz="0" w:space="0" w:color="auto"/>
                      </w:divBdr>
                    </w:div>
                    <w:div w:id="1373575870">
                      <w:marLeft w:val="0"/>
                      <w:marRight w:val="0"/>
                      <w:marTop w:val="0"/>
                      <w:marBottom w:val="0"/>
                      <w:divBdr>
                        <w:top w:val="none" w:sz="0" w:space="0" w:color="auto"/>
                        <w:left w:val="none" w:sz="0" w:space="0" w:color="auto"/>
                        <w:bottom w:val="none" w:sz="0" w:space="0" w:color="auto"/>
                        <w:right w:val="none" w:sz="0" w:space="0" w:color="auto"/>
                      </w:divBdr>
                    </w:div>
                    <w:div w:id="1472016590">
                      <w:marLeft w:val="0"/>
                      <w:marRight w:val="0"/>
                      <w:marTop w:val="0"/>
                      <w:marBottom w:val="0"/>
                      <w:divBdr>
                        <w:top w:val="none" w:sz="0" w:space="0" w:color="auto"/>
                        <w:left w:val="none" w:sz="0" w:space="0" w:color="auto"/>
                        <w:bottom w:val="none" w:sz="0" w:space="0" w:color="auto"/>
                        <w:right w:val="none" w:sz="0" w:space="0" w:color="auto"/>
                      </w:divBdr>
                    </w:div>
                    <w:div w:id="1473522564">
                      <w:marLeft w:val="0"/>
                      <w:marRight w:val="0"/>
                      <w:marTop w:val="0"/>
                      <w:marBottom w:val="0"/>
                      <w:divBdr>
                        <w:top w:val="none" w:sz="0" w:space="0" w:color="auto"/>
                        <w:left w:val="none" w:sz="0" w:space="0" w:color="auto"/>
                        <w:bottom w:val="none" w:sz="0" w:space="0" w:color="auto"/>
                        <w:right w:val="none" w:sz="0" w:space="0" w:color="auto"/>
                      </w:divBdr>
                    </w:div>
                    <w:div w:id="1505901648">
                      <w:marLeft w:val="0"/>
                      <w:marRight w:val="0"/>
                      <w:marTop w:val="0"/>
                      <w:marBottom w:val="0"/>
                      <w:divBdr>
                        <w:top w:val="none" w:sz="0" w:space="0" w:color="auto"/>
                        <w:left w:val="none" w:sz="0" w:space="0" w:color="auto"/>
                        <w:bottom w:val="none" w:sz="0" w:space="0" w:color="auto"/>
                        <w:right w:val="none" w:sz="0" w:space="0" w:color="auto"/>
                      </w:divBdr>
                    </w:div>
                    <w:div w:id="1514876309">
                      <w:marLeft w:val="0"/>
                      <w:marRight w:val="0"/>
                      <w:marTop w:val="0"/>
                      <w:marBottom w:val="0"/>
                      <w:divBdr>
                        <w:top w:val="none" w:sz="0" w:space="0" w:color="auto"/>
                        <w:left w:val="none" w:sz="0" w:space="0" w:color="auto"/>
                        <w:bottom w:val="none" w:sz="0" w:space="0" w:color="auto"/>
                        <w:right w:val="none" w:sz="0" w:space="0" w:color="auto"/>
                      </w:divBdr>
                    </w:div>
                    <w:div w:id="1545482162">
                      <w:marLeft w:val="0"/>
                      <w:marRight w:val="0"/>
                      <w:marTop w:val="0"/>
                      <w:marBottom w:val="0"/>
                      <w:divBdr>
                        <w:top w:val="none" w:sz="0" w:space="0" w:color="auto"/>
                        <w:left w:val="none" w:sz="0" w:space="0" w:color="auto"/>
                        <w:bottom w:val="none" w:sz="0" w:space="0" w:color="auto"/>
                        <w:right w:val="none" w:sz="0" w:space="0" w:color="auto"/>
                      </w:divBdr>
                    </w:div>
                    <w:div w:id="1619793191">
                      <w:marLeft w:val="0"/>
                      <w:marRight w:val="0"/>
                      <w:marTop w:val="0"/>
                      <w:marBottom w:val="0"/>
                      <w:divBdr>
                        <w:top w:val="none" w:sz="0" w:space="0" w:color="auto"/>
                        <w:left w:val="none" w:sz="0" w:space="0" w:color="auto"/>
                        <w:bottom w:val="none" w:sz="0" w:space="0" w:color="auto"/>
                        <w:right w:val="none" w:sz="0" w:space="0" w:color="auto"/>
                      </w:divBdr>
                    </w:div>
                    <w:div w:id="1627732049">
                      <w:marLeft w:val="0"/>
                      <w:marRight w:val="0"/>
                      <w:marTop w:val="0"/>
                      <w:marBottom w:val="0"/>
                      <w:divBdr>
                        <w:top w:val="none" w:sz="0" w:space="0" w:color="auto"/>
                        <w:left w:val="none" w:sz="0" w:space="0" w:color="auto"/>
                        <w:bottom w:val="none" w:sz="0" w:space="0" w:color="auto"/>
                        <w:right w:val="none" w:sz="0" w:space="0" w:color="auto"/>
                      </w:divBdr>
                    </w:div>
                    <w:div w:id="1715807947">
                      <w:marLeft w:val="0"/>
                      <w:marRight w:val="0"/>
                      <w:marTop w:val="0"/>
                      <w:marBottom w:val="0"/>
                      <w:divBdr>
                        <w:top w:val="none" w:sz="0" w:space="0" w:color="auto"/>
                        <w:left w:val="none" w:sz="0" w:space="0" w:color="auto"/>
                        <w:bottom w:val="none" w:sz="0" w:space="0" w:color="auto"/>
                        <w:right w:val="none" w:sz="0" w:space="0" w:color="auto"/>
                      </w:divBdr>
                    </w:div>
                    <w:div w:id="1768890614">
                      <w:marLeft w:val="0"/>
                      <w:marRight w:val="0"/>
                      <w:marTop w:val="0"/>
                      <w:marBottom w:val="0"/>
                      <w:divBdr>
                        <w:top w:val="none" w:sz="0" w:space="0" w:color="auto"/>
                        <w:left w:val="none" w:sz="0" w:space="0" w:color="auto"/>
                        <w:bottom w:val="none" w:sz="0" w:space="0" w:color="auto"/>
                        <w:right w:val="none" w:sz="0" w:space="0" w:color="auto"/>
                      </w:divBdr>
                    </w:div>
                    <w:div w:id="1809543999">
                      <w:marLeft w:val="0"/>
                      <w:marRight w:val="0"/>
                      <w:marTop w:val="0"/>
                      <w:marBottom w:val="0"/>
                      <w:divBdr>
                        <w:top w:val="none" w:sz="0" w:space="0" w:color="auto"/>
                        <w:left w:val="none" w:sz="0" w:space="0" w:color="auto"/>
                        <w:bottom w:val="none" w:sz="0" w:space="0" w:color="auto"/>
                        <w:right w:val="none" w:sz="0" w:space="0" w:color="auto"/>
                      </w:divBdr>
                    </w:div>
                    <w:div w:id="1843547740">
                      <w:marLeft w:val="0"/>
                      <w:marRight w:val="0"/>
                      <w:marTop w:val="0"/>
                      <w:marBottom w:val="0"/>
                      <w:divBdr>
                        <w:top w:val="none" w:sz="0" w:space="0" w:color="auto"/>
                        <w:left w:val="none" w:sz="0" w:space="0" w:color="auto"/>
                        <w:bottom w:val="none" w:sz="0" w:space="0" w:color="auto"/>
                        <w:right w:val="none" w:sz="0" w:space="0" w:color="auto"/>
                      </w:divBdr>
                    </w:div>
                    <w:div w:id="1868713765">
                      <w:marLeft w:val="0"/>
                      <w:marRight w:val="0"/>
                      <w:marTop w:val="0"/>
                      <w:marBottom w:val="0"/>
                      <w:divBdr>
                        <w:top w:val="none" w:sz="0" w:space="0" w:color="auto"/>
                        <w:left w:val="none" w:sz="0" w:space="0" w:color="auto"/>
                        <w:bottom w:val="none" w:sz="0" w:space="0" w:color="auto"/>
                        <w:right w:val="none" w:sz="0" w:space="0" w:color="auto"/>
                      </w:divBdr>
                    </w:div>
                    <w:div w:id="1880973965">
                      <w:marLeft w:val="0"/>
                      <w:marRight w:val="0"/>
                      <w:marTop w:val="0"/>
                      <w:marBottom w:val="0"/>
                      <w:divBdr>
                        <w:top w:val="none" w:sz="0" w:space="0" w:color="auto"/>
                        <w:left w:val="none" w:sz="0" w:space="0" w:color="auto"/>
                        <w:bottom w:val="none" w:sz="0" w:space="0" w:color="auto"/>
                        <w:right w:val="none" w:sz="0" w:space="0" w:color="auto"/>
                      </w:divBdr>
                    </w:div>
                    <w:div w:id="1883902915">
                      <w:marLeft w:val="0"/>
                      <w:marRight w:val="0"/>
                      <w:marTop w:val="0"/>
                      <w:marBottom w:val="0"/>
                      <w:divBdr>
                        <w:top w:val="none" w:sz="0" w:space="0" w:color="auto"/>
                        <w:left w:val="none" w:sz="0" w:space="0" w:color="auto"/>
                        <w:bottom w:val="none" w:sz="0" w:space="0" w:color="auto"/>
                        <w:right w:val="none" w:sz="0" w:space="0" w:color="auto"/>
                      </w:divBdr>
                    </w:div>
                    <w:div w:id="1901400419">
                      <w:marLeft w:val="0"/>
                      <w:marRight w:val="0"/>
                      <w:marTop w:val="0"/>
                      <w:marBottom w:val="0"/>
                      <w:divBdr>
                        <w:top w:val="none" w:sz="0" w:space="0" w:color="auto"/>
                        <w:left w:val="none" w:sz="0" w:space="0" w:color="auto"/>
                        <w:bottom w:val="none" w:sz="0" w:space="0" w:color="auto"/>
                        <w:right w:val="none" w:sz="0" w:space="0" w:color="auto"/>
                      </w:divBdr>
                    </w:div>
                    <w:div w:id="1949924853">
                      <w:marLeft w:val="0"/>
                      <w:marRight w:val="0"/>
                      <w:marTop w:val="0"/>
                      <w:marBottom w:val="0"/>
                      <w:divBdr>
                        <w:top w:val="none" w:sz="0" w:space="0" w:color="auto"/>
                        <w:left w:val="none" w:sz="0" w:space="0" w:color="auto"/>
                        <w:bottom w:val="none" w:sz="0" w:space="0" w:color="auto"/>
                        <w:right w:val="none" w:sz="0" w:space="0" w:color="auto"/>
                      </w:divBdr>
                    </w:div>
                    <w:div w:id="1953398111">
                      <w:marLeft w:val="0"/>
                      <w:marRight w:val="0"/>
                      <w:marTop w:val="0"/>
                      <w:marBottom w:val="0"/>
                      <w:divBdr>
                        <w:top w:val="none" w:sz="0" w:space="0" w:color="auto"/>
                        <w:left w:val="none" w:sz="0" w:space="0" w:color="auto"/>
                        <w:bottom w:val="none" w:sz="0" w:space="0" w:color="auto"/>
                        <w:right w:val="none" w:sz="0" w:space="0" w:color="auto"/>
                      </w:divBdr>
                    </w:div>
                    <w:div w:id="1971088279">
                      <w:marLeft w:val="0"/>
                      <w:marRight w:val="0"/>
                      <w:marTop w:val="0"/>
                      <w:marBottom w:val="0"/>
                      <w:divBdr>
                        <w:top w:val="none" w:sz="0" w:space="0" w:color="auto"/>
                        <w:left w:val="none" w:sz="0" w:space="0" w:color="auto"/>
                        <w:bottom w:val="none" w:sz="0" w:space="0" w:color="auto"/>
                        <w:right w:val="none" w:sz="0" w:space="0" w:color="auto"/>
                      </w:divBdr>
                    </w:div>
                    <w:div w:id="1987467159">
                      <w:marLeft w:val="0"/>
                      <w:marRight w:val="0"/>
                      <w:marTop w:val="0"/>
                      <w:marBottom w:val="0"/>
                      <w:divBdr>
                        <w:top w:val="none" w:sz="0" w:space="0" w:color="auto"/>
                        <w:left w:val="none" w:sz="0" w:space="0" w:color="auto"/>
                        <w:bottom w:val="none" w:sz="0" w:space="0" w:color="auto"/>
                        <w:right w:val="none" w:sz="0" w:space="0" w:color="auto"/>
                      </w:divBdr>
                    </w:div>
                    <w:div w:id="2045473776">
                      <w:marLeft w:val="0"/>
                      <w:marRight w:val="0"/>
                      <w:marTop w:val="0"/>
                      <w:marBottom w:val="0"/>
                      <w:divBdr>
                        <w:top w:val="none" w:sz="0" w:space="0" w:color="auto"/>
                        <w:left w:val="none" w:sz="0" w:space="0" w:color="auto"/>
                        <w:bottom w:val="none" w:sz="0" w:space="0" w:color="auto"/>
                        <w:right w:val="none" w:sz="0" w:space="0" w:color="auto"/>
                      </w:divBdr>
                    </w:div>
                    <w:div w:id="2051025907">
                      <w:marLeft w:val="0"/>
                      <w:marRight w:val="0"/>
                      <w:marTop w:val="0"/>
                      <w:marBottom w:val="0"/>
                      <w:divBdr>
                        <w:top w:val="none" w:sz="0" w:space="0" w:color="auto"/>
                        <w:left w:val="none" w:sz="0" w:space="0" w:color="auto"/>
                        <w:bottom w:val="none" w:sz="0" w:space="0" w:color="auto"/>
                        <w:right w:val="none" w:sz="0" w:space="0" w:color="auto"/>
                      </w:divBdr>
                    </w:div>
                    <w:div w:id="2072456336">
                      <w:marLeft w:val="0"/>
                      <w:marRight w:val="0"/>
                      <w:marTop w:val="0"/>
                      <w:marBottom w:val="0"/>
                      <w:divBdr>
                        <w:top w:val="none" w:sz="0" w:space="0" w:color="auto"/>
                        <w:left w:val="none" w:sz="0" w:space="0" w:color="auto"/>
                        <w:bottom w:val="none" w:sz="0" w:space="0" w:color="auto"/>
                        <w:right w:val="none" w:sz="0" w:space="0" w:color="auto"/>
                      </w:divBdr>
                    </w:div>
                    <w:div w:id="2077510972">
                      <w:marLeft w:val="0"/>
                      <w:marRight w:val="0"/>
                      <w:marTop w:val="0"/>
                      <w:marBottom w:val="0"/>
                      <w:divBdr>
                        <w:top w:val="none" w:sz="0" w:space="0" w:color="auto"/>
                        <w:left w:val="none" w:sz="0" w:space="0" w:color="auto"/>
                        <w:bottom w:val="none" w:sz="0" w:space="0" w:color="auto"/>
                        <w:right w:val="none" w:sz="0" w:space="0" w:color="auto"/>
                      </w:divBdr>
                    </w:div>
                    <w:div w:id="2095591674">
                      <w:marLeft w:val="0"/>
                      <w:marRight w:val="0"/>
                      <w:marTop w:val="0"/>
                      <w:marBottom w:val="0"/>
                      <w:divBdr>
                        <w:top w:val="none" w:sz="0" w:space="0" w:color="auto"/>
                        <w:left w:val="none" w:sz="0" w:space="0" w:color="auto"/>
                        <w:bottom w:val="none" w:sz="0" w:space="0" w:color="auto"/>
                        <w:right w:val="none" w:sz="0" w:space="0" w:color="auto"/>
                      </w:divBdr>
                    </w:div>
                    <w:div w:id="2116366228">
                      <w:marLeft w:val="0"/>
                      <w:marRight w:val="0"/>
                      <w:marTop w:val="0"/>
                      <w:marBottom w:val="0"/>
                      <w:divBdr>
                        <w:top w:val="none" w:sz="0" w:space="0" w:color="auto"/>
                        <w:left w:val="none" w:sz="0" w:space="0" w:color="auto"/>
                        <w:bottom w:val="none" w:sz="0" w:space="0" w:color="auto"/>
                        <w:right w:val="none" w:sz="0" w:space="0" w:color="auto"/>
                      </w:divBdr>
                    </w:div>
                    <w:div w:id="211847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713097">
          <w:marLeft w:val="0"/>
          <w:marRight w:val="0"/>
          <w:marTop w:val="0"/>
          <w:marBottom w:val="296"/>
          <w:divBdr>
            <w:top w:val="single" w:sz="6" w:space="0" w:color="E6EBEF"/>
            <w:left w:val="single" w:sz="6" w:space="0" w:color="E6EBEF"/>
            <w:bottom w:val="single" w:sz="6" w:space="0" w:color="E6EBEF"/>
            <w:right w:val="single" w:sz="6" w:space="0" w:color="E6EBEF"/>
          </w:divBdr>
          <w:divsChild>
            <w:div w:id="1574393381">
              <w:marLeft w:val="0"/>
              <w:marRight w:val="0"/>
              <w:marTop w:val="0"/>
              <w:marBottom w:val="0"/>
              <w:divBdr>
                <w:top w:val="none" w:sz="0" w:space="0" w:color="auto"/>
                <w:left w:val="none" w:sz="0" w:space="0" w:color="auto"/>
                <w:bottom w:val="none" w:sz="0" w:space="0" w:color="auto"/>
                <w:right w:val="none" w:sz="0" w:space="0" w:color="auto"/>
              </w:divBdr>
              <w:divsChild>
                <w:div w:id="152590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470925">
      <w:bodyDiv w:val="1"/>
      <w:marLeft w:val="0"/>
      <w:marRight w:val="0"/>
      <w:marTop w:val="0"/>
      <w:marBottom w:val="0"/>
      <w:divBdr>
        <w:top w:val="none" w:sz="0" w:space="0" w:color="auto"/>
        <w:left w:val="none" w:sz="0" w:space="0" w:color="auto"/>
        <w:bottom w:val="none" w:sz="0" w:space="0" w:color="auto"/>
        <w:right w:val="none" w:sz="0" w:space="0" w:color="auto"/>
      </w:divBdr>
      <w:divsChild>
        <w:div w:id="476342443">
          <w:marLeft w:val="0"/>
          <w:marRight w:val="0"/>
          <w:marTop w:val="0"/>
          <w:marBottom w:val="0"/>
          <w:divBdr>
            <w:top w:val="none" w:sz="0" w:space="0" w:color="auto"/>
            <w:left w:val="none" w:sz="0" w:space="0" w:color="auto"/>
            <w:bottom w:val="none" w:sz="0" w:space="0" w:color="auto"/>
            <w:right w:val="none" w:sz="0" w:space="0" w:color="auto"/>
          </w:divBdr>
        </w:div>
        <w:div w:id="415369380">
          <w:marLeft w:val="0"/>
          <w:marRight w:val="0"/>
          <w:marTop w:val="0"/>
          <w:marBottom w:val="0"/>
          <w:divBdr>
            <w:top w:val="none" w:sz="0" w:space="0" w:color="auto"/>
            <w:left w:val="none" w:sz="0" w:space="0" w:color="auto"/>
            <w:bottom w:val="none" w:sz="0" w:space="0" w:color="auto"/>
            <w:right w:val="none" w:sz="0" w:space="0" w:color="auto"/>
          </w:divBdr>
        </w:div>
      </w:divsChild>
    </w:div>
    <w:div w:id="361513825">
      <w:bodyDiv w:val="1"/>
      <w:marLeft w:val="0"/>
      <w:marRight w:val="0"/>
      <w:marTop w:val="0"/>
      <w:marBottom w:val="0"/>
      <w:divBdr>
        <w:top w:val="none" w:sz="0" w:space="0" w:color="auto"/>
        <w:left w:val="none" w:sz="0" w:space="0" w:color="auto"/>
        <w:bottom w:val="none" w:sz="0" w:space="0" w:color="auto"/>
        <w:right w:val="none" w:sz="0" w:space="0" w:color="auto"/>
      </w:divBdr>
    </w:div>
    <w:div w:id="432671126">
      <w:bodyDiv w:val="1"/>
      <w:marLeft w:val="0"/>
      <w:marRight w:val="0"/>
      <w:marTop w:val="0"/>
      <w:marBottom w:val="0"/>
      <w:divBdr>
        <w:top w:val="none" w:sz="0" w:space="0" w:color="auto"/>
        <w:left w:val="none" w:sz="0" w:space="0" w:color="auto"/>
        <w:bottom w:val="none" w:sz="0" w:space="0" w:color="auto"/>
        <w:right w:val="none" w:sz="0" w:space="0" w:color="auto"/>
      </w:divBdr>
      <w:divsChild>
        <w:div w:id="164247860">
          <w:marLeft w:val="0"/>
          <w:marRight w:val="0"/>
          <w:marTop w:val="375"/>
          <w:marBottom w:val="0"/>
          <w:divBdr>
            <w:top w:val="none" w:sz="0" w:space="0" w:color="auto"/>
            <w:left w:val="none" w:sz="0" w:space="0" w:color="auto"/>
            <w:bottom w:val="none" w:sz="0" w:space="0" w:color="auto"/>
            <w:right w:val="none" w:sz="0" w:space="0" w:color="auto"/>
          </w:divBdr>
          <w:divsChild>
            <w:div w:id="1874420800">
              <w:marLeft w:val="0"/>
              <w:marRight w:val="0"/>
              <w:marTop w:val="0"/>
              <w:marBottom w:val="0"/>
              <w:divBdr>
                <w:top w:val="none" w:sz="0" w:space="0" w:color="auto"/>
                <w:left w:val="none" w:sz="0" w:space="0" w:color="auto"/>
                <w:bottom w:val="none" w:sz="0" w:space="0" w:color="auto"/>
                <w:right w:val="none" w:sz="0" w:space="0" w:color="auto"/>
              </w:divBdr>
            </w:div>
          </w:divsChild>
        </w:div>
        <w:div w:id="232935767">
          <w:marLeft w:val="0"/>
          <w:marRight w:val="0"/>
          <w:marTop w:val="0"/>
          <w:marBottom w:val="450"/>
          <w:divBdr>
            <w:top w:val="none" w:sz="0" w:space="0" w:color="auto"/>
            <w:left w:val="none" w:sz="0" w:space="0" w:color="auto"/>
            <w:bottom w:val="none" w:sz="0" w:space="0" w:color="auto"/>
            <w:right w:val="none" w:sz="0" w:space="0" w:color="auto"/>
          </w:divBdr>
        </w:div>
      </w:divsChild>
    </w:div>
    <w:div w:id="571696346">
      <w:bodyDiv w:val="1"/>
      <w:marLeft w:val="0"/>
      <w:marRight w:val="0"/>
      <w:marTop w:val="0"/>
      <w:marBottom w:val="0"/>
      <w:divBdr>
        <w:top w:val="none" w:sz="0" w:space="0" w:color="auto"/>
        <w:left w:val="none" w:sz="0" w:space="0" w:color="auto"/>
        <w:bottom w:val="none" w:sz="0" w:space="0" w:color="auto"/>
        <w:right w:val="none" w:sz="0" w:space="0" w:color="auto"/>
      </w:divBdr>
    </w:div>
    <w:div w:id="577439807">
      <w:bodyDiv w:val="1"/>
      <w:marLeft w:val="0"/>
      <w:marRight w:val="0"/>
      <w:marTop w:val="0"/>
      <w:marBottom w:val="0"/>
      <w:divBdr>
        <w:top w:val="none" w:sz="0" w:space="0" w:color="auto"/>
        <w:left w:val="none" w:sz="0" w:space="0" w:color="auto"/>
        <w:bottom w:val="none" w:sz="0" w:space="0" w:color="auto"/>
        <w:right w:val="none" w:sz="0" w:space="0" w:color="auto"/>
      </w:divBdr>
    </w:div>
    <w:div w:id="606501612">
      <w:bodyDiv w:val="1"/>
      <w:marLeft w:val="0"/>
      <w:marRight w:val="0"/>
      <w:marTop w:val="0"/>
      <w:marBottom w:val="0"/>
      <w:divBdr>
        <w:top w:val="none" w:sz="0" w:space="0" w:color="auto"/>
        <w:left w:val="none" w:sz="0" w:space="0" w:color="auto"/>
        <w:bottom w:val="none" w:sz="0" w:space="0" w:color="auto"/>
        <w:right w:val="none" w:sz="0" w:space="0" w:color="auto"/>
      </w:divBdr>
    </w:div>
    <w:div w:id="705720903">
      <w:bodyDiv w:val="1"/>
      <w:marLeft w:val="0"/>
      <w:marRight w:val="0"/>
      <w:marTop w:val="0"/>
      <w:marBottom w:val="0"/>
      <w:divBdr>
        <w:top w:val="none" w:sz="0" w:space="0" w:color="auto"/>
        <w:left w:val="none" w:sz="0" w:space="0" w:color="auto"/>
        <w:bottom w:val="none" w:sz="0" w:space="0" w:color="auto"/>
        <w:right w:val="none" w:sz="0" w:space="0" w:color="auto"/>
      </w:divBdr>
    </w:div>
    <w:div w:id="713625642">
      <w:bodyDiv w:val="1"/>
      <w:marLeft w:val="0"/>
      <w:marRight w:val="0"/>
      <w:marTop w:val="0"/>
      <w:marBottom w:val="0"/>
      <w:divBdr>
        <w:top w:val="none" w:sz="0" w:space="0" w:color="auto"/>
        <w:left w:val="none" w:sz="0" w:space="0" w:color="auto"/>
        <w:bottom w:val="none" w:sz="0" w:space="0" w:color="auto"/>
        <w:right w:val="none" w:sz="0" w:space="0" w:color="auto"/>
      </w:divBdr>
    </w:div>
    <w:div w:id="800808893">
      <w:bodyDiv w:val="1"/>
      <w:marLeft w:val="0"/>
      <w:marRight w:val="0"/>
      <w:marTop w:val="0"/>
      <w:marBottom w:val="0"/>
      <w:divBdr>
        <w:top w:val="none" w:sz="0" w:space="0" w:color="auto"/>
        <w:left w:val="none" w:sz="0" w:space="0" w:color="auto"/>
        <w:bottom w:val="none" w:sz="0" w:space="0" w:color="auto"/>
        <w:right w:val="none" w:sz="0" w:space="0" w:color="auto"/>
      </w:divBdr>
    </w:div>
    <w:div w:id="829712507">
      <w:bodyDiv w:val="1"/>
      <w:marLeft w:val="0"/>
      <w:marRight w:val="0"/>
      <w:marTop w:val="0"/>
      <w:marBottom w:val="0"/>
      <w:divBdr>
        <w:top w:val="none" w:sz="0" w:space="0" w:color="auto"/>
        <w:left w:val="none" w:sz="0" w:space="0" w:color="auto"/>
        <w:bottom w:val="none" w:sz="0" w:space="0" w:color="auto"/>
        <w:right w:val="none" w:sz="0" w:space="0" w:color="auto"/>
      </w:divBdr>
    </w:div>
    <w:div w:id="978195566">
      <w:bodyDiv w:val="1"/>
      <w:marLeft w:val="0"/>
      <w:marRight w:val="0"/>
      <w:marTop w:val="0"/>
      <w:marBottom w:val="0"/>
      <w:divBdr>
        <w:top w:val="none" w:sz="0" w:space="0" w:color="auto"/>
        <w:left w:val="none" w:sz="0" w:space="0" w:color="auto"/>
        <w:bottom w:val="none" w:sz="0" w:space="0" w:color="auto"/>
        <w:right w:val="none" w:sz="0" w:space="0" w:color="auto"/>
      </w:divBdr>
    </w:div>
    <w:div w:id="1048451248">
      <w:bodyDiv w:val="1"/>
      <w:marLeft w:val="0"/>
      <w:marRight w:val="0"/>
      <w:marTop w:val="0"/>
      <w:marBottom w:val="0"/>
      <w:divBdr>
        <w:top w:val="none" w:sz="0" w:space="0" w:color="auto"/>
        <w:left w:val="none" w:sz="0" w:space="0" w:color="auto"/>
        <w:bottom w:val="none" w:sz="0" w:space="0" w:color="auto"/>
        <w:right w:val="none" w:sz="0" w:space="0" w:color="auto"/>
      </w:divBdr>
      <w:divsChild>
        <w:div w:id="1210416702">
          <w:marLeft w:val="0"/>
          <w:marRight w:val="0"/>
          <w:marTop w:val="0"/>
          <w:marBottom w:val="600"/>
          <w:divBdr>
            <w:top w:val="none" w:sz="0" w:space="0" w:color="auto"/>
            <w:left w:val="none" w:sz="0" w:space="0" w:color="auto"/>
            <w:bottom w:val="none" w:sz="0" w:space="0" w:color="auto"/>
            <w:right w:val="none" w:sz="0" w:space="0" w:color="auto"/>
          </w:divBdr>
        </w:div>
      </w:divsChild>
    </w:div>
    <w:div w:id="1063335257">
      <w:bodyDiv w:val="1"/>
      <w:marLeft w:val="0"/>
      <w:marRight w:val="0"/>
      <w:marTop w:val="0"/>
      <w:marBottom w:val="0"/>
      <w:divBdr>
        <w:top w:val="none" w:sz="0" w:space="0" w:color="auto"/>
        <w:left w:val="none" w:sz="0" w:space="0" w:color="auto"/>
        <w:bottom w:val="none" w:sz="0" w:space="0" w:color="auto"/>
        <w:right w:val="none" w:sz="0" w:space="0" w:color="auto"/>
      </w:divBdr>
    </w:div>
    <w:div w:id="1166869584">
      <w:bodyDiv w:val="1"/>
      <w:marLeft w:val="0"/>
      <w:marRight w:val="0"/>
      <w:marTop w:val="0"/>
      <w:marBottom w:val="0"/>
      <w:divBdr>
        <w:top w:val="none" w:sz="0" w:space="0" w:color="auto"/>
        <w:left w:val="none" w:sz="0" w:space="0" w:color="auto"/>
        <w:bottom w:val="none" w:sz="0" w:space="0" w:color="auto"/>
        <w:right w:val="none" w:sz="0" w:space="0" w:color="auto"/>
      </w:divBdr>
    </w:div>
    <w:div w:id="1243445554">
      <w:bodyDiv w:val="1"/>
      <w:marLeft w:val="0"/>
      <w:marRight w:val="0"/>
      <w:marTop w:val="0"/>
      <w:marBottom w:val="0"/>
      <w:divBdr>
        <w:top w:val="none" w:sz="0" w:space="0" w:color="auto"/>
        <w:left w:val="none" w:sz="0" w:space="0" w:color="auto"/>
        <w:bottom w:val="none" w:sz="0" w:space="0" w:color="auto"/>
        <w:right w:val="none" w:sz="0" w:space="0" w:color="auto"/>
      </w:divBdr>
    </w:div>
    <w:div w:id="1257909377">
      <w:bodyDiv w:val="1"/>
      <w:marLeft w:val="0"/>
      <w:marRight w:val="0"/>
      <w:marTop w:val="0"/>
      <w:marBottom w:val="0"/>
      <w:divBdr>
        <w:top w:val="none" w:sz="0" w:space="0" w:color="auto"/>
        <w:left w:val="none" w:sz="0" w:space="0" w:color="auto"/>
        <w:bottom w:val="none" w:sz="0" w:space="0" w:color="auto"/>
        <w:right w:val="none" w:sz="0" w:space="0" w:color="auto"/>
      </w:divBdr>
    </w:div>
    <w:div w:id="1321036268">
      <w:bodyDiv w:val="1"/>
      <w:marLeft w:val="0"/>
      <w:marRight w:val="0"/>
      <w:marTop w:val="0"/>
      <w:marBottom w:val="0"/>
      <w:divBdr>
        <w:top w:val="none" w:sz="0" w:space="0" w:color="auto"/>
        <w:left w:val="none" w:sz="0" w:space="0" w:color="auto"/>
        <w:bottom w:val="none" w:sz="0" w:space="0" w:color="auto"/>
        <w:right w:val="none" w:sz="0" w:space="0" w:color="auto"/>
      </w:divBdr>
      <w:divsChild>
        <w:div w:id="415515915">
          <w:marLeft w:val="0"/>
          <w:marRight w:val="0"/>
          <w:marTop w:val="0"/>
          <w:marBottom w:val="0"/>
          <w:divBdr>
            <w:top w:val="none" w:sz="0" w:space="0" w:color="auto"/>
            <w:left w:val="none" w:sz="0" w:space="0" w:color="auto"/>
            <w:bottom w:val="none" w:sz="0" w:space="0" w:color="auto"/>
            <w:right w:val="none" w:sz="0" w:space="0" w:color="auto"/>
          </w:divBdr>
          <w:divsChild>
            <w:div w:id="2004774947">
              <w:marLeft w:val="0"/>
              <w:marRight w:val="0"/>
              <w:marTop w:val="0"/>
              <w:marBottom w:val="0"/>
              <w:divBdr>
                <w:top w:val="none" w:sz="0" w:space="0" w:color="auto"/>
                <w:left w:val="none" w:sz="0" w:space="0" w:color="auto"/>
                <w:bottom w:val="none" w:sz="0" w:space="0" w:color="auto"/>
                <w:right w:val="none" w:sz="0" w:space="0" w:color="auto"/>
              </w:divBdr>
              <w:divsChild>
                <w:div w:id="33083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619871">
          <w:marLeft w:val="0"/>
          <w:marRight w:val="0"/>
          <w:marTop w:val="0"/>
          <w:marBottom w:val="0"/>
          <w:divBdr>
            <w:top w:val="none" w:sz="0" w:space="0" w:color="auto"/>
            <w:left w:val="none" w:sz="0" w:space="0" w:color="auto"/>
            <w:bottom w:val="none" w:sz="0" w:space="0" w:color="auto"/>
            <w:right w:val="none" w:sz="0" w:space="0" w:color="auto"/>
          </w:divBdr>
        </w:div>
      </w:divsChild>
    </w:div>
    <w:div w:id="1355762984">
      <w:bodyDiv w:val="1"/>
      <w:marLeft w:val="0"/>
      <w:marRight w:val="0"/>
      <w:marTop w:val="0"/>
      <w:marBottom w:val="0"/>
      <w:divBdr>
        <w:top w:val="none" w:sz="0" w:space="0" w:color="auto"/>
        <w:left w:val="none" w:sz="0" w:space="0" w:color="auto"/>
        <w:bottom w:val="none" w:sz="0" w:space="0" w:color="auto"/>
        <w:right w:val="none" w:sz="0" w:space="0" w:color="auto"/>
      </w:divBdr>
      <w:divsChild>
        <w:div w:id="2035959758">
          <w:marLeft w:val="0"/>
          <w:marRight w:val="0"/>
          <w:marTop w:val="0"/>
          <w:marBottom w:val="0"/>
          <w:divBdr>
            <w:top w:val="none" w:sz="0" w:space="0" w:color="auto"/>
            <w:left w:val="none" w:sz="0" w:space="0" w:color="auto"/>
            <w:bottom w:val="none" w:sz="0" w:space="0" w:color="auto"/>
            <w:right w:val="none" w:sz="0" w:space="0" w:color="auto"/>
          </w:divBdr>
          <w:divsChild>
            <w:div w:id="181894496">
              <w:marLeft w:val="0"/>
              <w:marRight w:val="0"/>
              <w:marTop w:val="0"/>
              <w:marBottom w:val="0"/>
              <w:divBdr>
                <w:top w:val="none" w:sz="0" w:space="0" w:color="auto"/>
                <w:left w:val="none" w:sz="0" w:space="0" w:color="auto"/>
                <w:bottom w:val="none" w:sz="0" w:space="0" w:color="auto"/>
                <w:right w:val="none" w:sz="0" w:space="0" w:color="auto"/>
              </w:divBdr>
              <w:divsChild>
                <w:div w:id="958997196">
                  <w:marLeft w:val="0"/>
                  <w:marRight w:val="0"/>
                  <w:marTop w:val="0"/>
                  <w:marBottom w:val="0"/>
                  <w:divBdr>
                    <w:top w:val="none" w:sz="0" w:space="0" w:color="auto"/>
                    <w:left w:val="none" w:sz="0" w:space="0" w:color="auto"/>
                    <w:bottom w:val="none" w:sz="0" w:space="0" w:color="auto"/>
                    <w:right w:val="none" w:sz="0" w:space="0" w:color="auto"/>
                  </w:divBdr>
                  <w:divsChild>
                    <w:div w:id="331642236">
                      <w:marLeft w:val="0"/>
                      <w:marRight w:val="0"/>
                      <w:marTop w:val="0"/>
                      <w:marBottom w:val="0"/>
                      <w:divBdr>
                        <w:top w:val="none" w:sz="0" w:space="0" w:color="auto"/>
                        <w:left w:val="none" w:sz="0" w:space="0" w:color="auto"/>
                        <w:bottom w:val="none" w:sz="0" w:space="0" w:color="auto"/>
                        <w:right w:val="none" w:sz="0" w:space="0" w:color="auto"/>
                      </w:divBdr>
                      <w:divsChild>
                        <w:div w:id="149489989">
                          <w:marLeft w:val="0"/>
                          <w:marRight w:val="0"/>
                          <w:marTop w:val="0"/>
                          <w:marBottom w:val="0"/>
                          <w:divBdr>
                            <w:top w:val="none" w:sz="0" w:space="0" w:color="auto"/>
                            <w:left w:val="none" w:sz="0" w:space="0" w:color="auto"/>
                            <w:bottom w:val="none" w:sz="0" w:space="0" w:color="auto"/>
                            <w:right w:val="none" w:sz="0" w:space="0" w:color="auto"/>
                          </w:divBdr>
                          <w:divsChild>
                            <w:div w:id="598946353">
                              <w:marLeft w:val="0"/>
                              <w:marRight w:val="0"/>
                              <w:marTop w:val="0"/>
                              <w:marBottom w:val="0"/>
                              <w:divBdr>
                                <w:top w:val="none" w:sz="0" w:space="0" w:color="auto"/>
                                <w:left w:val="none" w:sz="0" w:space="0" w:color="auto"/>
                                <w:bottom w:val="none" w:sz="0" w:space="0" w:color="auto"/>
                                <w:right w:val="none" w:sz="0" w:space="0" w:color="auto"/>
                              </w:divBdr>
                              <w:divsChild>
                                <w:div w:id="268709352">
                                  <w:marLeft w:val="0"/>
                                  <w:marRight w:val="0"/>
                                  <w:marTop w:val="0"/>
                                  <w:marBottom w:val="0"/>
                                  <w:divBdr>
                                    <w:top w:val="none" w:sz="0" w:space="0" w:color="auto"/>
                                    <w:left w:val="none" w:sz="0" w:space="0" w:color="auto"/>
                                    <w:bottom w:val="none" w:sz="0" w:space="0" w:color="auto"/>
                                    <w:right w:val="none" w:sz="0" w:space="0" w:color="auto"/>
                                  </w:divBdr>
                                  <w:divsChild>
                                    <w:div w:id="1904367015">
                                      <w:marLeft w:val="0"/>
                                      <w:marRight w:val="0"/>
                                      <w:marTop w:val="0"/>
                                      <w:marBottom w:val="0"/>
                                      <w:divBdr>
                                        <w:top w:val="none" w:sz="0" w:space="0" w:color="auto"/>
                                        <w:left w:val="none" w:sz="0" w:space="0" w:color="auto"/>
                                        <w:bottom w:val="none" w:sz="0" w:space="0" w:color="auto"/>
                                        <w:right w:val="none" w:sz="0" w:space="0" w:color="auto"/>
                                      </w:divBdr>
                                      <w:divsChild>
                                        <w:div w:id="713508431">
                                          <w:marLeft w:val="0"/>
                                          <w:marRight w:val="0"/>
                                          <w:marTop w:val="0"/>
                                          <w:marBottom w:val="0"/>
                                          <w:divBdr>
                                            <w:top w:val="none" w:sz="0" w:space="0" w:color="auto"/>
                                            <w:left w:val="none" w:sz="0" w:space="0" w:color="auto"/>
                                            <w:bottom w:val="none" w:sz="0" w:space="0" w:color="auto"/>
                                            <w:right w:val="none" w:sz="0" w:space="0" w:color="auto"/>
                                          </w:divBdr>
                                          <w:divsChild>
                                            <w:div w:id="212428258">
                                              <w:marLeft w:val="0"/>
                                              <w:marRight w:val="0"/>
                                              <w:marTop w:val="0"/>
                                              <w:marBottom w:val="0"/>
                                              <w:divBdr>
                                                <w:top w:val="none" w:sz="0" w:space="0" w:color="auto"/>
                                                <w:left w:val="none" w:sz="0" w:space="0" w:color="auto"/>
                                                <w:bottom w:val="none" w:sz="0" w:space="0" w:color="auto"/>
                                                <w:right w:val="none" w:sz="0" w:space="0" w:color="auto"/>
                                              </w:divBdr>
                                              <w:divsChild>
                                                <w:div w:id="1962375891">
                                                  <w:marLeft w:val="0"/>
                                                  <w:marRight w:val="0"/>
                                                  <w:marTop w:val="0"/>
                                                  <w:marBottom w:val="0"/>
                                                  <w:divBdr>
                                                    <w:top w:val="none" w:sz="0" w:space="0" w:color="auto"/>
                                                    <w:left w:val="none" w:sz="0" w:space="0" w:color="auto"/>
                                                    <w:bottom w:val="none" w:sz="0" w:space="0" w:color="auto"/>
                                                    <w:right w:val="none" w:sz="0" w:space="0" w:color="auto"/>
                                                  </w:divBdr>
                                                  <w:divsChild>
                                                    <w:div w:id="193737788">
                                                      <w:marLeft w:val="0"/>
                                                      <w:marRight w:val="0"/>
                                                      <w:marTop w:val="0"/>
                                                      <w:marBottom w:val="0"/>
                                                      <w:divBdr>
                                                        <w:top w:val="none" w:sz="0" w:space="0" w:color="auto"/>
                                                        <w:left w:val="none" w:sz="0" w:space="0" w:color="auto"/>
                                                        <w:bottom w:val="none" w:sz="0" w:space="0" w:color="auto"/>
                                                        <w:right w:val="none" w:sz="0" w:space="0" w:color="auto"/>
                                                      </w:divBdr>
                                                      <w:divsChild>
                                                        <w:div w:id="720330122">
                                                          <w:marLeft w:val="0"/>
                                                          <w:marRight w:val="0"/>
                                                          <w:marTop w:val="0"/>
                                                          <w:marBottom w:val="0"/>
                                                          <w:divBdr>
                                                            <w:top w:val="none" w:sz="0" w:space="0" w:color="auto"/>
                                                            <w:left w:val="none" w:sz="0" w:space="0" w:color="auto"/>
                                                            <w:bottom w:val="none" w:sz="0" w:space="0" w:color="auto"/>
                                                            <w:right w:val="none" w:sz="0" w:space="0" w:color="auto"/>
                                                          </w:divBdr>
                                                          <w:divsChild>
                                                            <w:div w:id="103503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80400348">
      <w:bodyDiv w:val="1"/>
      <w:marLeft w:val="0"/>
      <w:marRight w:val="0"/>
      <w:marTop w:val="0"/>
      <w:marBottom w:val="0"/>
      <w:divBdr>
        <w:top w:val="none" w:sz="0" w:space="0" w:color="auto"/>
        <w:left w:val="none" w:sz="0" w:space="0" w:color="auto"/>
        <w:bottom w:val="none" w:sz="0" w:space="0" w:color="auto"/>
        <w:right w:val="none" w:sz="0" w:space="0" w:color="auto"/>
      </w:divBdr>
      <w:divsChild>
        <w:div w:id="1055739832">
          <w:marLeft w:val="0"/>
          <w:marRight w:val="0"/>
          <w:marTop w:val="0"/>
          <w:marBottom w:val="0"/>
          <w:divBdr>
            <w:top w:val="none" w:sz="0" w:space="0" w:color="auto"/>
            <w:left w:val="none" w:sz="0" w:space="0" w:color="auto"/>
            <w:bottom w:val="none" w:sz="0" w:space="0" w:color="auto"/>
            <w:right w:val="none" w:sz="0" w:space="0" w:color="auto"/>
          </w:divBdr>
        </w:div>
      </w:divsChild>
    </w:div>
    <w:div w:id="1458717242">
      <w:bodyDiv w:val="1"/>
      <w:marLeft w:val="0"/>
      <w:marRight w:val="0"/>
      <w:marTop w:val="0"/>
      <w:marBottom w:val="0"/>
      <w:divBdr>
        <w:top w:val="none" w:sz="0" w:space="0" w:color="auto"/>
        <w:left w:val="none" w:sz="0" w:space="0" w:color="auto"/>
        <w:bottom w:val="none" w:sz="0" w:space="0" w:color="auto"/>
        <w:right w:val="none" w:sz="0" w:space="0" w:color="auto"/>
      </w:divBdr>
    </w:div>
    <w:div w:id="1681470393">
      <w:bodyDiv w:val="1"/>
      <w:marLeft w:val="0"/>
      <w:marRight w:val="0"/>
      <w:marTop w:val="0"/>
      <w:marBottom w:val="0"/>
      <w:divBdr>
        <w:top w:val="none" w:sz="0" w:space="0" w:color="auto"/>
        <w:left w:val="none" w:sz="0" w:space="0" w:color="auto"/>
        <w:bottom w:val="none" w:sz="0" w:space="0" w:color="auto"/>
        <w:right w:val="none" w:sz="0" w:space="0" w:color="auto"/>
      </w:divBdr>
      <w:divsChild>
        <w:div w:id="977107042">
          <w:marLeft w:val="0"/>
          <w:marRight w:val="0"/>
          <w:marTop w:val="0"/>
          <w:marBottom w:val="0"/>
          <w:divBdr>
            <w:top w:val="none" w:sz="0" w:space="0" w:color="auto"/>
            <w:left w:val="none" w:sz="0" w:space="0" w:color="auto"/>
            <w:bottom w:val="none" w:sz="0" w:space="0" w:color="auto"/>
            <w:right w:val="none" w:sz="0" w:space="0" w:color="auto"/>
          </w:divBdr>
          <w:divsChild>
            <w:div w:id="57517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87945">
      <w:bodyDiv w:val="1"/>
      <w:marLeft w:val="0"/>
      <w:marRight w:val="0"/>
      <w:marTop w:val="0"/>
      <w:marBottom w:val="0"/>
      <w:divBdr>
        <w:top w:val="none" w:sz="0" w:space="0" w:color="auto"/>
        <w:left w:val="none" w:sz="0" w:space="0" w:color="auto"/>
        <w:bottom w:val="none" w:sz="0" w:space="0" w:color="auto"/>
        <w:right w:val="none" w:sz="0" w:space="0" w:color="auto"/>
      </w:divBdr>
    </w:div>
    <w:div w:id="1746104153">
      <w:bodyDiv w:val="1"/>
      <w:marLeft w:val="0"/>
      <w:marRight w:val="0"/>
      <w:marTop w:val="0"/>
      <w:marBottom w:val="0"/>
      <w:divBdr>
        <w:top w:val="none" w:sz="0" w:space="0" w:color="auto"/>
        <w:left w:val="none" w:sz="0" w:space="0" w:color="auto"/>
        <w:bottom w:val="none" w:sz="0" w:space="0" w:color="auto"/>
        <w:right w:val="none" w:sz="0" w:space="0" w:color="auto"/>
      </w:divBdr>
    </w:div>
    <w:div w:id="1764494690">
      <w:bodyDiv w:val="1"/>
      <w:marLeft w:val="0"/>
      <w:marRight w:val="0"/>
      <w:marTop w:val="0"/>
      <w:marBottom w:val="0"/>
      <w:divBdr>
        <w:top w:val="none" w:sz="0" w:space="0" w:color="auto"/>
        <w:left w:val="none" w:sz="0" w:space="0" w:color="auto"/>
        <w:bottom w:val="none" w:sz="0" w:space="0" w:color="auto"/>
        <w:right w:val="none" w:sz="0" w:space="0" w:color="auto"/>
      </w:divBdr>
      <w:divsChild>
        <w:div w:id="1068379808">
          <w:marLeft w:val="0"/>
          <w:marRight w:val="0"/>
          <w:marTop w:val="0"/>
          <w:marBottom w:val="0"/>
          <w:divBdr>
            <w:top w:val="none" w:sz="0" w:space="0" w:color="auto"/>
            <w:left w:val="none" w:sz="0" w:space="0" w:color="auto"/>
            <w:bottom w:val="none" w:sz="0" w:space="0" w:color="auto"/>
            <w:right w:val="none" w:sz="0" w:space="0" w:color="auto"/>
          </w:divBdr>
          <w:divsChild>
            <w:div w:id="76556025">
              <w:marLeft w:val="0"/>
              <w:marRight w:val="0"/>
              <w:marTop w:val="0"/>
              <w:marBottom w:val="450"/>
              <w:divBdr>
                <w:top w:val="none" w:sz="0" w:space="0" w:color="auto"/>
                <w:left w:val="none" w:sz="0" w:space="0" w:color="auto"/>
                <w:bottom w:val="none" w:sz="0" w:space="0" w:color="auto"/>
                <w:right w:val="none" w:sz="0" w:space="0" w:color="auto"/>
              </w:divBdr>
              <w:divsChild>
                <w:div w:id="871502179">
                  <w:marLeft w:val="0"/>
                  <w:marRight w:val="0"/>
                  <w:marTop w:val="0"/>
                  <w:marBottom w:val="0"/>
                  <w:divBdr>
                    <w:top w:val="none" w:sz="0" w:space="0" w:color="auto"/>
                    <w:left w:val="none" w:sz="0" w:space="0" w:color="auto"/>
                    <w:bottom w:val="none" w:sz="0" w:space="0" w:color="auto"/>
                    <w:right w:val="none" w:sz="0" w:space="0" w:color="auto"/>
                  </w:divBdr>
                  <w:divsChild>
                    <w:div w:id="590166555">
                      <w:marLeft w:val="0"/>
                      <w:marRight w:val="0"/>
                      <w:marTop w:val="0"/>
                      <w:marBottom w:val="0"/>
                      <w:divBdr>
                        <w:top w:val="none" w:sz="0" w:space="0" w:color="auto"/>
                        <w:left w:val="none" w:sz="0" w:space="0" w:color="auto"/>
                        <w:bottom w:val="none" w:sz="0" w:space="0" w:color="auto"/>
                        <w:right w:val="none" w:sz="0" w:space="0" w:color="auto"/>
                      </w:divBdr>
                      <w:divsChild>
                        <w:div w:id="15664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6135569">
      <w:bodyDiv w:val="1"/>
      <w:marLeft w:val="0"/>
      <w:marRight w:val="0"/>
      <w:marTop w:val="0"/>
      <w:marBottom w:val="0"/>
      <w:divBdr>
        <w:top w:val="none" w:sz="0" w:space="0" w:color="auto"/>
        <w:left w:val="none" w:sz="0" w:space="0" w:color="auto"/>
        <w:bottom w:val="none" w:sz="0" w:space="0" w:color="auto"/>
        <w:right w:val="none" w:sz="0" w:space="0" w:color="auto"/>
      </w:divBdr>
    </w:div>
    <w:div w:id="1906720966">
      <w:bodyDiv w:val="1"/>
      <w:marLeft w:val="0"/>
      <w:marRight w:val="0"/>
      <w:marTop w:val="0"/>
      <w:marBottom w:val="0"/>
      <w:divBdr>
        <w:top w:val="none" w:sz="0" w:space="0" w:color="auto"/>
        <w:left w:val="none" w:sz="0" w:space="0" w:color="auto"/>
        <w:bottom w:val="none" w:sz="0" w:space="0" w:color="auto"/>
        <w:right w:val="none" w:sz="0" w:space="0" w:color="auto"/>
      </w:divBdr>
    </w:div>
    <w:div w:id="1926374878">
      <w:bodyDiv w:val="1"/>
      <w:marLeft w:val="0"/>
      <w:marRight w:val="0"/>
      <w:marTop w:val="0"/>
      <w:marBottom w:val="0"/>
      <w:divBdr>
        <w:top w:val="none" w:sz="0" w:space="0" w:color="auto"/>
        <w:left w:val="none" w:sz="0" w:space="0" w:color="auto"/>
        <w:bottom w:val="none" w:sz="0" w:space="0" w:color="auto"/>
        <w:right w:val="none" w:sz="0" w:space="0" w:color="auto"/>
      </w:divBdr>
      <w:divsChild>
        <w:div w:id="1394084233">
          <w:marLeft w:val="0"/>
          <w:marRight w:val="0"/>
          <w:marTop w:val="0"/>
          <w:marBottom w:val="0"/>
          <w:divBdr>
            <w:top w:val="none" w:sz="0" w:space="0" w:color="auto"/>
            <w:left w:val="none" w:sz="0" w:space="0" w:color="auto"/>
            <w:bottom w:val="none" w:sz="0" w:space="0" w:color="auto"/>
            <w:right w:val="none" w:sz="0" w:space="0" w:color="auto"/>
          </w:divBdr>
        </w:div>
      </w:divsChild>
    </w:div>
    <w:div w:id="1932201863">
      <w:bodyDiv w:val="1"/>
      <w:marLeft w:val="0"/>
      <w:marRight w:val="0"/>
      <w:marTop w:val="0"/>
      <w:marBottom w:val="0"/>
      <w:divBdr>
        <w:top w:val="none" w:sz="0" w:space="0" w:color="auto"/>
        <w:left w:val="none" w:sz="0" w:space="0" w:color="auto"/>
        <w:bottom w:val="none" w:sz="0" w:space="0" w:color="auto"/>
        <w:right w:val="none" w:sz="0" w:space="0" w:color="auto"/>
      </w:divBdr>
      <w:divsChild>
        <w:div w:id="1798984535">
          <w:marLeft w:val="0"/>
          <w:marRight w:val="0"/>
          <w:marTop w:val="0"/>
          <w:marBottom w:val="0"/>
          <w:divBdr>
            <w:top w:val="none" w:sz="0" w:space="0" w:color="auto"/>
            <w:left w:val="none" w:sz="0" w:space="0" w:color="auto"/>
            <w:bottom w:val="none" w:sz="0" w:space="0" w:color="auto"/>
            <w:right w:val="none" w:sz="0" w:space="0" w:color="auto"/>
          </w:divBdr>
          <w:divsChild>
            <w:div w:id="699626927">
              <w:marLeft w:val="0"/>
              <w:marRight w:val="0"/>
              <w:marTop w:val="0"/>
              <w:marBottom w:val="0"/>
              <w:divBdr>
                <w:top w:val="none" w:sz="0" w:space="0" w:color="auto"/>
                <w:left w:val="none" w:sz="0" w:space="0" w:color="auto"/>
                <w:bottom w:val="none" w:sz="0" w:space="0" w:color="auto"/>
                <w:right w:val="none" w:sz="0" w:space="0" w:color="auto"/>
              </w:divBdr>
              <w:divsChild>
                <w:div w:id="1687711356">
                  <w:marLeft w:val="0"/>
                  <w:marRight w:val="0"/>
                  <w:marTop w:val="0"/>
                  <w:marBottom w:val="0"/>
                  <w:divBdr>
                    <w:top w:val="none" w:sz="0" w:space="0" w:color="auto"/>
                    <w:left w:val="none" w:sz="0" w:space="0" w:color="auto"/>
                    <w:bottom w:val="none" w:sz="0" w:space="0" w:color="auto"/>
                    <w:right w:val="none" w:sz="0" w:space="0" w:color="auto"/>
                  </w:divBdr>
                  <w:divsChild>
                    <w:div w:id="1777627333">
                      <w:marLeft w:val="0"/>
                      <w:marRight w:val="0"/>
                      <w:marTop w:val="0"/>
                      <w:marBottom w:val="0"/>
                      <w:divBdr>
                        <w:top w:val="none" w:sz="0" w:space="0" w:color="auto"/>
                        <w:left w:val="none" w:sz="0" w:space="0" w:color="auto"/>
                        <w:bottom w:val="none" w:sz="0" w:space="0" w:color="auto"/>
                        <w:right w:val="none" w:sz="0" w:space="0" w:color="auto"/>
                      </w:divBdr>
                      <w:divsChild>
                        <w:div w:id="1377971306">
                          <w:marLeft w:val="0"/>
                          <w:marRight w:val="0"/>
                          <w:marTop w:val="0"/>
                          <w:marBottom w:val="0"/>
                          <w:divBdr>
                            <w:top w:val="none" w:sz="0" w:space="0" w:color="auto"/>
                            <w:left w:val="none" w:sz="0" w:space="0" w:color="auto"/>
                            <w:bottom w:val="none" w:sz="0" w:space="0" w:color="auto"/>
                            <w:right w:val="none" w:sz="0" w:space="0" w:color="auto"/>
                          </w:divBdr>
                          <w:divsChild>
                            <w:div w:id="1335304066">
                              <w:marLeft w:val="0"/>
                              <w:marRight w:val="0"/>
                              <w:marTop w:val="0"/>
                              <w:marBottom w:val="0"/>
                              <w:divBdr>
                                <w:top w:val="none" w:sz="0" w:space="0" w:color="auto"/>
                                <w:left w:val="none" w:sz="0" w:space="0" w:color="auto"/>
                                <w:bottom w:val="none" w:sz="0" w:space="0" w:color="auto"/>
                                <w:right w:val="none" w:sz="0" w:space="0" w:color="auto"/>
                              </w:divBdr>
                              <w:divsChild>
                                <w:div w:id="2053914987">
                                  <w:marLeft w:val="0"/>
                                  <w:marRight w:val="0"/>
                                  <w:marTop w:val="0"/>
                                  <w:marBottom w:val="0"/>
                                  <w:divBdr>
                                    <w:top w:val="none" w:sz="0" w:space="0" w:color="auto"/>
                                    <w:left w:val="none" w:sz="0" w:space="0" w:color="auto"/>
                                    <w:bottom w:val="none" w:sz="0" w:space="0" w:color="auto"/>
                                    <w:right w:val="none" w:sz="0" w:space="0" w:color="auto"/>
                                  </w:divBdr>
                                  <w:divsChild>
                                    <w:div w:id="1558517498">
                                      <w:marLeft w:val="0"/>
                                      <w:marRight w:val="0"/>
                                      <w:marTop w:val="0"/>
                                      <w:marBottom w:val="0"/>
                                      <w:divBdr>
                                        <w:top w:val="none" w:sz="0" w:space="0" w:color="auto"/>
                                        <w:left w:val="none" w:sz="0" w:space="0" w:color="auto"/>
                                        <w:bottom w:val="none" w:sz="0" w:space="0" w:color="auto"/>
                                        <w:right w:val="none" w:sz="0" w:space="0" w:color="auto"/>
                                      </w:divBdr>
                                      <w:divsChild>
                                        <w:div w:id="410005953">
                                          <w:marLeft w:val="0"/>
                                          <w:marRight w:val="165"/>
                                          <w:marTop w:val="150"/>
                                          <w:marBottom w:val="0"/>
                                          <w:divBdr>
                                            <w:top w:val="none" w:sz="0" w:space="0" w:color="auto"/>
                                            <w:left w:val="none" w:sz="0" w:space="0" w:color="auto"/>
                                            <w:bottom w:val="none" w:sz="0" w:space="0" w:color="auto"/>
                                            <w:right w:val="none" w:sz="0" w:space="0" w:color="auto"/>
                                          </w:divBdr>
                                          <w:divsChild>
                                            <w:div w:id="1226258340">
                                              <w:marLeft w:val="0"/>
                                              <w:marRight w:val="0"/>
                                              <w:marTop w:val="0"/>
                                              <w:marBottom w:val="0"/>
                                              <w:divBdr>
                                                <w:top w:val="none" w:sz="0" w:space="0" w:color="auto"/>
                                                <w:left w:val="none" w:sz="0" w:space="0" w:color="auto"/>
                                                <w:bottom w:val="none" w:sz="0" w:space="0" w:color="auto"/>
                                                <w:right w:val="none" w:sz="0" w:space="0" w:color="auto"/>
                                              </w:divBdr>
                                              <w:divsChild>
                                                <w:div w:id="108776812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 w:id="198196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2901017">
      <w:bodyDiv w:val="1"/>
      <w:marLeft w:val="0"/>
      <w:marRight w:val="0"/>
      <w:marTop w:val="0"/>
      <w:marBottom w:val="0"/>
      <w:divBdr>
        <w:top w:val="none" w:sz="0" w:space="0" w:color="auto"/>
        <w:left w:val="none" w:sz="0" w:space="0" w:color="auto"/>
        <w:bottom w:val="none" w:sz="0" w:space="0" w:color="auto"/>
        <w:right w:val="none" w:sz="0" w:space="0" w:color="auto"/>
      </w:divBdr>
      <w:divsChild>
        <w:div w:id="1021277687">
          <w:marLeft w:val="0"/>
          <w:marRight w:val="0"/>
          <w:marTop w:val="375"/>
          <w:marBottom w:val="0"/>
          <w:divBdr>
            <w:top w:val="none" w:sz="0" w:space="0" w:color="auto"/>
            <w:left w:val="none" w:sz="0" w:space="0" w:color="auto"/>
            <w:bottom w:val="none" w:sz="0" w:space="0" w:color="auto"/>
            <w:right w:val="none" w:sz="0" w:space="0" w:color="auto"/>
          </w:divBdr>
          <w:divsChild>
            <w:div w:id="702753269">
              <w:marLeft w:val="0"/>
              <w:marRight w:val="0"/>
              <w:marTop w:val="0"/>
              <w:marBottom w:val="0"/>
              <w:divBdr>
                <w:top w:val="none" w:sz="0" w:space="0" w:color="auto"/>
                <w:left w:val="none" w:sz="0" w:space="0" w:color="auto"/>
                <w:bottom w:val="none" w:sz="0" w:space="0" w:color="auto"/>
                <w:right w:val="none" w:sz="0" w:space="0" w:color="auto"/>
              </w:divBdr>
            </w:div>
          </w:divsChild>
        </w:div>
        <w:div w:id="1090128710">
          <w:marLeft w:val="0"/>
          <w:marRight w:val="0"/>
          <w:marTop w:val="0"/>
          <w:marBottom w:val="450"/>
          <w:divBdr>
            <w:top w:val="none" w:sz="0" w:space="0" w:color="auto"/>
            <w:left w:val="none" w:sz="0" w:space="0" w:color="auto"/>
            <w:bottom w:val="none" w:sz="0" w:space="0" w:color="auto"/>
            <w:right w:val="none" w:sz="0" w:space="0" w:color="auto"/>
          </w:divBdr>
        </w:div>
      </w:divsChild>
    </w:div>
    <w:div w:id="2021615600">
      <w:bodyDiv w:val="1"/>
      <w:marLeft w:val="0"/>
      <w:marRight w:val="0"/>
      <w:marTop w:val="0"/>
      <w:marBottom w:val="0"/>
      <w:divBdr>
        <w:top w:val="none" w:sz="0" w:space="0" w:color="auto"/>
        <w:left w:val="none" w:sz="0" w:space="0" w:color="auto"/>
        <w:bottom w:val="none" w:sz="0" w:space="0" w:color="auto"/>
        <w:right w:val="none" w:sz="0" w:space="0" w:color="auto"/>
      </w:divBdr>
      <w:divsChild>
        <w:div w:id="457459976">
          <w:marLeft w:val="0"/>
          <w:marRight w:val="0"/>
          <w:marTop w:val="0"/>
          <w:marBottom w:val="0"/>
          <w:divBdr>
            <w:top w:val="none" w:sz="0" w:space="0" w:color="auto"/>
            <w:left w:val="none" w:sz="0" w:space="0" w:color="auto"/>
            <w:bottom w:val="none" w:sz="0" w:space="0" w:color="auto"/>
            <w:right w:val="none" w:sz="0" w:space="0" w:color="auto"/>
          </w:divBdr>
          <w:divsChild>
            <w:div w:id="270939180">
              <w:marLeft w:val="0"/>
              <w:marRight w:val="0"/>
              <w:marTop w:val="0"/>
              <w:marBottom w:val="0"/>
              <w:divBdr>
                <w:top w:val="none" w:sz="0" w:space="0" w:color="auto"/>
                <w:left w:val="none" w:sz="0" w:space="0" w:color="auto"/>
                <w:bottom w:val="none" w:sz="0" w:space="0" w:color="auto"/>
                <w:right w:val="none" w:sz="0" w:space="0" w:color="auto"/>
              </w:divBdr>
              <w:divsChild>
                <w:div w:id="918564624">
                  <w:marLeft w:val="0"/>
                  <w:marRight w:val="0"/>
                  <w:marTop w:val="0"/>
                  <w:marBottom w:val="0"/>
                  <w:divBdr>
                    <w:top w:val="none" w:sz="0" w:space="0" w:color="auto"/>
                    <w:left w:val="none" w:sz="0" w:space="0" w:color="auto"/>
                    <w:bottom w:val="none" w:sz="0" w:space="0" w:color="auto"/>
                    <w:right w:val="none" w:sz="0" w:space="0" w:color="auto"/>
                  </w:divBdr>
                  <w:divsChild>
                    <w:div w:id="16540291">
                      <w:marLeft w:val="0"/>
                      <w:marRight w:val="0"/>
                      <w:marTop w:val="0"/>
                      <w:marBottom w:val="0"/>
                      <w:divBdr>
                        <w:top w:val="none" w:sz="0" w:space="0" w:color="auto"/>
                        <w:left w:val="none" w:sz="0" w:space="0" w:color="auto"/>
                        <w:bottom w:val="none" w:sz="0" w:space="0" w:color="auto"/>
                        <w:right w:val="none" w:sz="0" w:space="0" w:color="auto"/>
                      </w:divBdr>
                    </w:div>
                    <w:div w:id="19354724">
                      <w:marLeft w:val="0"/>
                      <w:marRight w:val="0"/>
                      <w:marTop w:val="0"/>
                      <w:marBottom w:val="0"/>
                      <w:divBdr>
                        <w:top w:val="none" w:sz="0" w:space="0" w:color="auto"/>
                        <w:left w:val="none" w:sz="0" w:space="0" w:color="auto"/>
                        <w:bottom w:val="none" w:sz="0" w:space="0" w:color="auto"/>
                        <w:right w:val="none" w:sz="0" w:space="0" w:color="auto"/>
                      </w:divBdr>
                    </w:div>
                    <w:div w:id="67851999">
                      <w:marLeft w:val="0"/>
                      <w:marRight w:val="0"/>
                      <w:marTop w:val="0"/>
                      <w:marBottom w:val="0"/>
                      <w:divBdr>
                        <w:top w:val="none" w:sz="0" w:space="0" w:color="auto"/>
                        <w:left w:val="none" w:sz="0" w:space="0" w:color="auto"/>
                        <w:bottom w:val="none" w:sz="0" w:space="0" w:color="auto"/>
                        <w:right w:val="none" w:sz="0" w:space="0" w:color="auto"/>
                      </w:divBdr>
                    </w:div>
                    <w:div w:id="287249589">
                      <w:marLeft w:val="0"/>
                      <w:marRight w:val="0"/>
                      <w:marTop w:val="0"/>
                      <w:marBottom w:val="0"/>
                      <w:divBdr>
                        <w:top w:val="none" w:sz="0" w:space="0" w:color="auto"/>
                        <w:left w:val="none" w:sz="0" w:space="0" w:color="auto"/>
                        <w:bottom w:val="none" w:sz="0" w:space="0" w:color="auto"/>
                        <w:right w:val="none" w:sz="0" w:space="0" w:color="auto"/>
                      </w:divBdr>
                    </w:div>
                    <w:div w:id="311717986">
                      <w:marLeft w:val="0"/>
                      <w:marRight w:val="0"/>
                      <w:marTop w:val="0"/>
                      <w:marBottom w:val="0"/>
                      <w:divBdr>
                        <w:top w:val="none" w:sz="0" w:space="0" w:color="auto"/>
                        <w:left w:val="none" w:sz="0" w:space="0" w:color="auto"/>
                        <w:bottom w:val="none" w:sz="0" w:space="0" w:color="auto"/>
                        <w:right w:val="none" w:sz="0" w:space="0" w:color="auto"/>
                      </w:divBdr>
                    </w:div>
                    <w:div w:id="343870935">
                      <w:marLeft w:val="0"/>
                      <w:marRight w:val="0"/>
                      <w:marTop w:val="0"/>
                      <w:marBottom w:val="0"/>
                      <w:divBdr>
                        <w:top w:val="none" w:sz="0" w:space="0" w:color="auto"/>
                        <w:left w:val="none" w:sz="0" w:space="0" w:color="auto"/>
                        <w:bottom w:val="none" w:sz="0" w:space="0" w:color="auto"/>
                        <w:right w:val="none" w:sz="0" w:space="0" w:color="auto"/>
                      </w:divBdr>
                    </w:div>
                    <w:div w:id="406925428">
                      <w:marLeft w:val="0"/>
                      <w:marRight w:val="0"/>
                      <w:marTop w:val="0"/>
                      <w:marBottom w:val="0"/>
                      <w:divBdr>
                        <w:top w:val="none" w:sz="0" w:space="0" w:color="auto"/>
                        <w:left w:val="none" w:sz="0" w:space="0" w:color="auto"/>
                        <w:bottom w:val="none" w:sz="0" w:space="0" w:color="auto"/>
                        <w:right w:val="none" w:sz="0" w:space="0" w:color="auto"/>
                      </w:divBdr>
                    </w:div>
                    <w:div w:id="443430479">
                      <w:marLeft w:val="0"/>
                      <w:marRight w:val="0"/>
                      <w:marTop w:val="0"/>
                      <w:marBottom w:val="0"/>
                      <w:divBdr>
                        <w:top w:val="none" w:sz="0" w:space="0" w:color="auto"/>
                        <w:left w:val="none" w:sz="0" w:space="0" w:color="auto"/>
                        <w:bottom w:val="none" w:sz="0" w:space="0" w:color="auto"/>
                        <w:right w:val="none" w:sz="0" w:space="0" w:color="auto"/>
                      </w:divBdr>
                    </w:div>
                    <w:div w:id="456921875">
                      <w:marLeft w:val="0"/>
                      <w:marRight w:val="0"/>
                      <w:marTop w:val="0"/>
                      <w:marBottom w:val="0"/>
                      <w:divBdr>
                        <w:top w:val="none" w:sz="0" w:space="0" w:color="auto"/>
                        <w:left w:val="none" w:sz="0" w:space="0" w:color="auto"/>
                        <w:bottom w:val="none" w:sz="0" w:space="0" w:color="auto"/>
                        <w:right w:val="none" w:sz="0" w:space="0" w:color="auto"/>
                      </w:divBdr>
                    </w:div>
                    <w:div w:id="518349906">
                      <w:marLeft w:val="0"/>
                      <w:marRight w:val="0"/>
                      <w:marTop w:val="0"/>
                      <w:marBottom w:val="0"/>
                      <w:divBdr>
                        <w:top w:val="none" w:sz="0" w:space="0" w:color="auto"/>
                        <w:left w:val="none" w:sz="0" w:space="0" w:color="auto"/>
                        <w:bottom w:val="none" w:sz="0" w:space="0" w:color="auto"/>
                        <w:right w:val="none" w:sz="0" w:space="0" w:color="auto"/>
                      </w:divBdr>
                    </w:div>
                    <w:div w:id="554778514">
                      <w:marLeft w:val="0"/>
                      <w:marRight w:val="0"/>
                      <w:marTop w:val="0"/>
                      <w:marBottom w:val="0"/>
                      <w:divBdr>
                        <w:top w:val="none" w:sz="0" w:space="0" w:color="auto"/>
                        <w:left w:val="none" w:sz="0" w:space="0" w:color="auto"/>
                        <w:bottom w:val="none" w:sz="0" w:space="0" w:color="auto"/>
                        <w:right w:val="none" w:sz="0" w:space="0" w:color="auto"/>
                      </w:divBdr>
                    </w:div>
                    <w:div w:id="571938254">
                      <w:marLeft w:val="0"/>
                      <w:marRight w:val="0"/>
                      <w:marTop w:val="0"/>
                      <w:marBottom w:val="0"/>
                      <w:divBdr>
                        <w:top w:val="none" w:sz="0" w:space="0" w:color="auto"/>
                        <w:left w:val="none" w:sz="0" w:space="0" w:color="auto"/>
                        <w:bottom w:val="none" w:sz="0" w:space="0" w:color="auto"/>
                        <w:right w:val="none" w:sz="0" w:space="0" w:color="auto"/>
                      </w:divBdr>
                    </w:div>
                    <w:div w:id="586040933">
                      <w:marLeft w:val="0"/>
                      <w:marRight w:val="0"/>
                      <w:marTop w:val="0"/>
                      <w:marBottom w:val="0"/>
                      <w:divBdr>
                        <w:top w:val="none" w:sz="0" w:space="0" w:color="auto"/>
                        <w:left w:val="none" w:sz="0" w:space="0" w:color="auto"/>
                        <w:bottom w:val="none" w:sz="0" w:space="0" w:color="auto"/>
                        <w:right w:val="none" w:sz="0" w:space="0" w:color="auto"/>
                      </w:divBdr>
                    </w:div>
                    <w:div w:id="630288080">
                      <w:marLeft w:val="0"/>
                      <w:marRight w:val="0"/>
                      <w:marTop w:val="0"/>
                      <w:marBottom w:val="0"/>
                      <w:divBdr>
                        <w:top w:val="none" w:sz="0" w:space="0" w:color="auto"/>
                        <w:left w:val="none" w:sz="0" w:space="0" w:color="auto"/>
                        <w:bottom w:val="none" w:sz="0" w:space="0" w:color="auto"/>
                        <w:right w:val="none" w:sz="0" w:space="0" w:color="auto"/>
                      </w:divBdr>
                    </w:div>
                    <w:div w:id="649604235">
                      <w:marLeft w:val="0"/>
                      <w:marRight w:val="0"/>
                      <w:marTop w:val="0"/>
                      <w:marBottom w:val="0"/>
                      <w:divBdr>
                        <w:top w:val="none" w:sz="0" w:space="0" w:color="auto"/>
                        <w:left w:val="none" w:sz="0" w:space="0" w:color="auto"/>
                        <w:bottom w:val="none" w:sz="0" w:space="0" w:color="auto"/>
                        <w:right w:val="none" w:sz="0" w:space="0" w:color="auto"/>
                      </w:divBdr>
                    </w:div>
                    <w:div w:id="696463069">
                      <w:marLeft w:val="0"/>
                      <w:marRight w:val="0"/>
                      <w:marTop w:val="0"/>
                      <w:marBottom w:val="0"/>
                      <w:divBdr>
                        <w:top w:val="none" w:sz="0" w:space="0" w:color="auto"/>
                        <w:left w:val="none" w:sz="0" w:space="0" w:color="auto"/>
                        <w:bottom w:val="none" w:sz="0" w:space="0" w:color="auto"/>
                        <w:right w:val="none" w:sz="0" w:space="0" w:color="auto"/>
                      </w:divBdr>
                    </w:div>
                    <w:div w:id="819342875">
                      <w:marLeft w:val="0"/>
                      <w:marRight w:val="0"/>
                      <w:marTop w:val="0"/>
                      <w:marBottom w:val="0"/>
                      <w:divBdr>
                        <w:top w:val="none" w:sz="0" w:space="0" w:color="auto"/>
                        <w:left w:val="none" w:sz="0" w:space="0" w:color="auto"/>
                        <w:bottom w:val="none" w:sz="0" w:space="0" w:color="auto"/>
                        <w:right w:val="none" w:sz="0" w:space="0" w:color="auto"/>
                      </w:divBdr>
                    </w:div>
                    <w:div w:id="910964574">
                      <w:marLeft w:val="0"/>
                      <w:marRight w:val="0"/>
                      <w:marTop w:val="0"/>
                      <w:marBottom w:val="0"/>
                      <w:divBdr>
                        <w:top w:val="none" w:sz="0" w:space="0" w:color="auto"/>
                        <w:left w:val="none" w:sz="0" w:space="0" w:color="auto"/>
                        <w:bottom w:val="none" w:sz="0" w:space="0" w:color="auto"/>
                        <w:right w:val="none" w:sz="0" w:space="0" w:color="auto"/>
                      </w:divBdr>
                    </w:div>
                    <w:div w:id="1007902008">
                      <w:marLeft w:val="0"/>
                      <w:marRight w:val="0"/>
                      <w:marTop w:val="0"/>
                      <w:marBottom w:val="0"/>
                      <w:divBdr>
                        <w:top w:val="none" w:sz="0" w:space="0" w:color="auto"/>
                        <w:left w:val="none" w:sz="0" w:space="0" w:color="auto"/>
                        <w:bottom w:val="none" w:sz="0" w:space="0" w:color="auto"/>
                        <w:right w:val="none" w:sz="0" w:space="0" w:color="auto"/>
                      </w:divBdr>
                    </w:div>
                    <w:div w:id="1048189032">
                      <w:marLeft w:val="0"/>
                      <w:marRight w:val="0"/>
                      <w:marTop w:val="0"/>
                      <w:marBottom w:val="0"/>
                      <w:divBdr>
                        <w:top w:val="none" w:sz="0" w:space="0" w:color="auto"/>
                        <w:left w:val="none" w:sz="0" w:space="0" w:color="auto"/>
                        <w:bottom w:val="none" w:sz="0" w:space="0" w:color="auto"/>
                        <w:right w:val="none" w:sz="0" w:space="0" w:color="auto"/>
                      </w:divBdr>
                    </w:div>
                    <w:div w:id="1154447223">
                      <w:marLeft w:val="0"/>
                      <w:marRight w:val="0"/>
                      <w:marTop w:val="0"/>
                      <w:marBottom w:val="0"/>
                      <w:divBdr>
                        <w:top w:val="none" w:sz="0" w:space="0" w:color="auto"/>
                        <w:left w:val="none" w:sz="0" w:space="0" w:color="auto"/>
                        <w:bottom w:val="none" w:sz="0" w:space="0" w:color="auto"/>
                        <w:right w:val="none" w:sz="0" w:space="0" w:color="auto"/>
                      </w:divBdr>
                    </w:div>
                    <w:div w:id="1239748231">
                      <w:marLeft w:val="0"/>
                      <w:marRight w:val="0"/>
                      <w:marTop w:val="0"/>
                      <w:marBottom w:val="0"/>
                      <w:divBdr>
                        <w:top w:val="none" w:sz="0" w:space="0" w:color="auto"/>
                        <w:left w:val="none" w:sz="0" w:space="0" w:color="auto"/>
                        <w:bottom w:val="none" w:sz="0" w:space="0" w:color="auto"/>
                        <w:right w:val="none" w:sz="0" w:space="0" w:color="auto"/>
                      </w:divBdr>
                    </w:div>
                    <w:div w:id="1253397322">
                      <w:marLeft w:val="0"/>
                      <w:marRight w:val="0"/>
                      <w:marTop w:val="0"/>
                      <w:marBottom w:val="0"/>
                      <w:divBdr>
                        <w:top w:val="none" w:sz="0" w:space="0" w:color="auto"/>
                        <w:left w:val="none" w:sz="0" w:space="0" w:color="auto"/>
                        <w:bottom w:val="none" w:sz="0" w:space="0" w:color="auto"/>
                        <w:right w:val="none" w:sz="0" w:space="0" w:color="auto"/>
                      </w:divBdr>
                    </w:div>
                    <w:div w:id="1316182816">
                      <w:marLeft w:val="0"/>
                      <w:marRight w:val="0"/>
                      <w:marTop w:val="0"/>
                      <w:marBottom w:val="0"/>
                      <w:divBdr>
                        <w:top w:val="none" w:sz="0" w:space="0" w:color="auto"/>
                        <w:left w:val="none" w:sz="0" w:space="0" w:color="auto"/>
                        <w:bottom w:val="none" w:sz="0" w:space="0" w:color="auto"/>
                        <w:right w:val="none" w:sz="0" w:space="0" w:color="auto"/>
                      </w:divBdr>
                    </w:div>
                    <w:div w:id="1404059591">
                      <w:marLeft w:val="0"/>
                      <w:marRight w:val="0"/>
                      <w:marTop w:val="0"/>
                      <w:marBottom w:val="0"/>
                      <w:divBdr>
                        <w:top w:val="none" w:sz="0" w:space="0" w:color="auto"/>
                        <w:left w:val="none" w:sz="0" w:space="0" w:color="auto"/>
                        <w:bottom w:val="none" w:sz="0" w:space="0" w:color="auto"/>
                        <w:right w:val="none" w:sz="0" w:space="0" w:color="auto"/>
                      </w:divBdr>
                    </w:div>
                    <w:div w:id="1426538603">
                      <w:marLeft w:val="0"/>
                      <w:marRight w:val="0"/>
                      <w:marTop w:val="0"/>
                      <w:marBottom w:val="0"/>
                      <w:divBdr>
                        <w:top w:val="none" w:sz="0" w:space="0" w:color="auto"/>
                        <w:left w:val="none" w:sz="0" w:space="0" w:color="auto"/>
                        <w:bottom w:val="none" w:sz="0" w:space="0" w:color="auto"/>
                        <w:right w:val="none" w:sz="0" w:space="0" w:color="auto"/>
                      </w:divBdr>
                    </w:div>
                    <w:div w:id="1484547187">
                      <w:marLeft w:val="0"/>
                      <w:marRight w:val="0"/>
                      <w:marTop w:val="0"/>
                      <w:marBottom w:val="0"/>
                      <w:divBdr>
                        <w:top w:val="none" w:sz="0" w:space="0" w:color="auto"/>
                        <w:left w:val="none" w:sz="0" w:space="0" w:color="auto"/>
                        <w:bottom w:val="none" w:sz="0" w:space="0" w:color="auto"/>
                        <w:right w:val="none" w:sz="0" w:space="0" w:color="auto"/>
                      </w:divBdr>
                    </w:div>
                    <w:div w:id="1490558519">
                      <w:marLeft w:val="0"/>
                      <w:marRight w:val="0"/>
                      <w:marTop w:val="0"/>
                      <w:marBottom w:val="0"/>
                      <w:divBdr>
                        <w:top w:val="none" w:sz="0" w:space="0" w:color="auto"/>
                        <w:left w:val="none" w:sz="0" w:space="0" w:color="auto"/>
                        <w:bottom w:val="none" w:sz="0" w:space="0" w:color="auto"/>
                        <w:right w:val="none" w:sz="0" w:space="0" w:color="auto"/>
                      </w:divBdr>
                    </w:div>
                    <w:div w:id="1500192837">
                      <w:marLeft w:val="0"/>
                      <w:marRight w:val="0"/>
                      <w:marTop w:val="0"/>
                      <w:marBottom w:val="0"/>
                      <w:divBdr>
                        <w:top w:val="none" w:sz="0" w:space="0" w:color="auto"/>
                        <w:left w:val="none" w:sz="0" w:space="0" w:color="auto"/>
                        <w:bottom w:val="none" w:sz="0" w:space="0" w:color="auto"/>
                        <w:right w:val="none" w:sz="0" w:space="0" w:color="auto"/>
                      </w:divBdr>
                    </w:div>
                    <w:div w:id="1543667301">
                      <w:marLeft w:val="0"/>
                      <w:marRight w:val="0"/>
                      <w:marTop w:val="0"/>
                      <w:marBottom w:val="0"/>
                      <w:divBdr>
                        <w:top w:val="none" w:sz="0" w:space="0" w:color="auto"/>
                        <w:left w:val="none" w:sz="0" w:space="0" w:color="auto"/>
                        <w:bottom w:val="none" w:sz="0" w:space="0" w:color="auto"/>
                        <w:right w:val="none" w:sz="0" w:space="0" w:color="auto"/>
                      </w:divBdr>
                    </w:div>
                    <w:div w:id="1546404279">
                      <w:marLeft w:val="0"/>
                      <w:marRight w:val="0"/>
                      <w:marTop w:val="0"/>
                      <w:marBottom w:val="0"/>
                      <w:divBdr>
                        <w:top w:val="none" w:sz="0" w:space="0" w:color="auto"/>
                        <w:left w:val="none" w:sz="0" w:space="0" w:color="auto"/>
                        <w:bottom w:val="none" w:sz="0" w:space="0" w:color="auto"/>
                        <w:right w:val="none" w:sz="0" w:space="0" w:color="auto"/>
                      </w:divBdr>
                    </w:div>
                    <w:div w:id="1586374576">
                      <w:marLeft w:val="0"/>
                      <w:marRight w:val="0"/>
                      <w:marTop w:val="0"/>
                      <w:marBottom w:val="0"/>
                      <w:divBdr>
                        <w:top w:val="none" w:sz="0" w:space="0" w:color="auto"/>
                        <w:left w:val="none" w:sz="0" w:space="0" w:color="auto"/>
                        <w:bottom w:val="none" w:sz="0" w:space="0" w:color="auto"/>
                        <w:right w:val="none" w:sz="0" w:space="0" w:color="auto"/>
                      </w:divBdr>
                    </w:div>
                    <w:div w:id="1653370190">
                      <w:marLeft w:val="0"/>
                      <w:marRight w:val="0"/>
                      <w:marTop w:val="0"/>
                      <w:marBottom w:val="0"/>
                      <w:divBdr>
                        <w:top w:val="none" w:sz="0" w:space="0" w:color="auto"/>
                        <w:left w:val="none" w:sz="0" w:space="0" w:color="auto"/>
                        <w:bottom w:val="none" w:sz="0" w:space="0" w:color="auto"/>
                        <w:right w:val="none" w:sz="0" w:space="0" w:color="auto"/>
                      </w:divBdr>
                    </w:div>
                    <w:div w:id="1729182281">
                      <w:marLeft w:val="0"/>
                      <w:marRight w:val="0"/>
                      <w:marTop w:val="0"/>
                      <w:marBottom w:val="0"/>
                      <w:divBdr>
                        <w:top w:val="none" w:sz="0" w:space="0" w:color="auto"/>
                        <w:left w:val="none" w:sz="0" w:space="0" w:color="auto"/>
                        <w:bottom w:val="none" w:sz="0" w:space="0" w:color="auto"/>
                        <w:right w:val="none" w:sz="0" w:space="0" w:color="auto"/>
                      </w:divBdr>
                    </w:div>
                    <w:div w:id="1752435214">
                      <w:marLeft w:val="0"/>
                      <w:marRight w:val="0"/>
                      <w:marTop w:val="0"/>
                      <w:marBottom w:val="0"/>
                      <w:divBdr>
                        <w:top w:val="none" w:sz="0" w:space="0" w:color="auto"/>
                        <w:left w:val="none" w:sz="0" w:space="0" w:color="auto"/>
                        <w:bottom w:val="none" w:sz="0" w:space="0" w:color="auto"/>
                        <w:right w:val="none" w:sz="0" w:space="0" w:color="auto"/>
                      </w:divBdr>
                    </w:div>
                    <w:div w:id="1821917666">
                      <w:marLeft w:val="0"/>
                      <w:marRight w:val="0"/>
                      <w:marTop w:val="0"/>
                      <w:marBottom w:val="0"/>
                      <w:divBdr>
                        <w:top w:val="none" w:sz="0" w:space="0" w:color="auto"/>
                        <w:left w:val="none" w:sz="0" w:space="0" w:color="auto"/>
                        <w:bottom w:val="none" w:sz="0" w:space="0" w:color="auto"/>
                        <w:right w:val="none" w:sz="0" w:space="0" w:color="auto"/>
                      </w:divBdr>
                    </w:div>
                    <w:div w:id="1880388594">
                      <w:marLeft w:val="0"/>
                      <w:marRight w:val="0"/>
                      <w:marTop w:val="0"/>
                      <w:marBottom w:val="0"/>
                      <w:divBdr>
                        <w:top w:val="none" w:sz="0" w:space="0" w:color="auto"/>
                        <w:left w:val="none" w:sz="0" w:space="0" w:color="auto"/>
                        <w:bottom w:val="none" w:sz="0" w:space="0" w:color="auto"/>
                        <w:right w:val="none" w:sz="0" w:space="0" w:color="auto"/>
                      </w:divBdr>
                    </w:div>
                    <w:div w:id="1918512515">
                      <w:marLeft w:val="0"/>
                      <w:marRight w:val="0"/>
                      <w:marTop w:val="0"/>
                      <w:marBottom w:val="0"/>
                      <w:divBdr>
                        <w:top w:val="none" w:sz="0" w:space="0" w:color="auto"/>
                        <w:left w:val="none" w:sz="0" w:space="0" w:color="auto"/>
                        <w:bottom w:val="none" w:sz="0" w:space="0" w:color="auto"/>
                        <w:right w:val="none" w:sz="0" w:space="0" w:color="auto"/>
                      </w:divBdr>
                    </w:div>
                    <w:div w:id="2095661125">
                      <w:marLeft w:val="0"/>
                      <w:marRight w:val="0"/>
                      <w:marTop w:val="0"/>
                      <w:marBottom w:val="0"/>
                      <w:divBdr>
                        <w:top w:val="none" w:sz="0" w:space="0" w:color="auto"/>
                        <w:left w:val="none" w:sz="0" w:space="0" w:color="auto"/>
                        <w:bottom w:val="none" w:sz="0" w:space="0" w:color="auto"/>
                        <w:right w:val="none" w:sz="0" w:space="0" w:color="auto"/>
                      </w:divBdr>
                    </w:div>
                    <w:div w:id="2103069051">
                      <w:marLeft w:val="0"/>
                      <w:marRight w:val="0"/>
                      <w:marTop w:val="0"/>
                      <w:marBottom w:val="0"/>
                      <w:divBdr>
                        <w:top w:val="none" w:sz="0" w:space="0" w:color="auto"/>
                        <w:left w:val="none" w:sz="0" w:space="0" w:color="auto"/>
                        <w:bottom w:val="none" w:sz="0" w:space="0" w:color="auto"/>
                        <w:right w:val="none" w:sz="0" w:space="0" w:color="auto"/>
                      </w:divBdr>
                    </w:div>
                    <w:div w:id="2135516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270694">
          <w:marLeft w:val="0"/>
          <w:marRight w:val="0"/>
          <w:marTop w:val="0"/>
          <w:marBottom w:val="0"/>
          <w:divBdr>
            <w:top w:val="none" w:sz="0" w:space="0" w:color="auto"/>
            <w:left w:val="none" w:sz="0" w:space="0" w:color="auto"/>
            <w:bottom w:val="none" w:sz="0" w:space="0" w:color="auto"/>
            <w:right w:val="none" w:sz="0" w:space="0" w:color="auto"/>
          </w:divBdr>
          <w:divsChild>
            <w:div w:id="492918581">
              <w:marLeft w:val="0"/>
              <w:marRight w:val="0"/>
              <w:marTop w:val="0"/>
              <w:marBottom w:val="0"/>
              <w:divBdr>
                <w:top w:val="none" w:sz="0" w:space="0" w:color="auto"/>
                <w:left w:val="none" w:sz="0" w:space="0" w:color="auto"/>
                <w:bottom w:val="none" w:sz="0" w:space="0" w:color="auto"/>
                <w:right w:val="none" w:sz="0" w:space="0" w:color="auto"/>
              </w:divBdr>
              <w:divsChild>
                <w:div w:id="600915543">
                  <w:marLeft w:val="0"/>
                  <w:marRight w:val="0"/>
                  <w:marTop w:val="0"/>
                  <w:marBottom w:val="0"/>
                  <w:divBdr>
                    <w:top w:val="none" w:sz="0" w:space="0" w:color="auto"/>
                    <w:left w:val="none" w:sz="0" w:space="0" w:color="auto"/>
                    <w:bottom w:val="none" w:sz="0" w:space="0" w:color="auto"/>
                    <w:right w:val="none" w:sz="0" w:space="0" w:color="auto"/>
                  </w:divBdr>
                  <w:divsChild>
                    <w:div w:id="3633273">
                      <w:marLeft w:val="0"/>
                      <w:marRight w:val="0"/>
                      <w:marTop w:val="0"/>
                      <w:marBottom w:val="0"/>
                      <w:divBdr>
                        <w:top w:val="none" w:sz="0" w:space="0" w:color="auto"/>
                        <w:left w:val="none" w:sz="0" w:space="0" w:color="auto"/>
                        <w:bottom w:val="none" w:sz="0" w:space="0" w:color="auto"/>
                        <w:right w:val="none" w:sz="0" w:space="0" w:color="auto"/>
                      </w:divBdr>
                    </w:div>
                    <w:div w:id="117602204">
                      <w:marLeft w:val="0"/>
                      <w:marRight w:val="0"/>
                      <w:marTop w:val="0"/>
                      <w:marBottom w:val="0"/>
                      <w:divBdr>
                        <w:top w:val="none" w:sz="0" w:space="0" w:color="auto"/>
                        <w:left w:val="none" w:sz="0" w:space="0" w:color="auto"/>
                        <w:bottom w:val="none" w:sz="0" w:space="0" w:color="auto"/>
                        <w:right w:val="none" w:sz="0" w:space="0" w:color="auto"/>
                      </w:divBdr>
                    </w:div>
                    <w:div w:id="173155885">
                      <w:marLeft w:val="0"/>
                      <w:marRight w:val="0"/>
                      <w:marTop w:val="0"/>
                      <w:marBottom w:val="0"/>
                      <w:divBdr>
                        <w:top w:val="none" w:sz="0" w:space="0" w:color="auto"/>
                        <w:left w:val="none" w:sz="0" w:space="0" w:color="auto"/>
                        <w:bottom w:val="none" w:sz="0" w:space="0" w:color="auto"/>
                        <w:right w:val="none" w:sz="0" w:space="0" w:color="auto"/>
                      </w:divBdr>
                    </w:div>
                    <w:div w:id="302545708">
                      <w:marLeft w:val="0"/>
                      <w:marRight w:val="0"/>
                      <w:marTop w:val="0"/>
                      <w:marBottom w:val="0"/>
                      <w:divBdr>
                        <w:top w:val="none" w:sz="0" w:space="0" w:color="auto"/>
                        <w:left w:val="none" w:sz="0" w:space="0" w:color="auto"/>
                        <w:bottom w:val="none" w:sz="0" w:space="0" w:color="auto"/>
                        <w:right w:val="none" w:sz="0" w:space="0" w:color="auto"/>
                      </w:divBdr>
                    </w:div>
                    <w:div w:id="356738681">
                      <w:marLeft w:val="0"/>
                      <w:marRight w:val="0"/>
                      <w:marTop w:val="0"/>
                      <w:marBottom w:val="0"/>
                      <w:divBdr>
                        <w:top w:val="none" w:sz="0" w:space="0" w:color="auto"/>
                        <w:left w:val="none" w:sz="0" w:space="0" w:color="auto"/>
                        <w:bottom w:val="none" w:sz="0" w:space="0" w:color="auto"/>
                        <w:right w:val="none" w:sz="0" w:space="0" w:color="auto"/>
                      </w:divBdr>
                    </w:div>
                    <w:div w:id="361828806">
                      <w:marLeft w:val="0"/>
                      <w:marRight w:val="0"/>
                      <w:marTop w:val="0"/>
                      <w:marBottom w:val="0"/>
                      <w:divBdr>
                        <w:top w:val="none" w:sz="0" w:space="0" w:color="auto"/>
                        <w:left w:val="none" w:sz="0" w:space="0" w:color="auto"/>
                        <w:bottom w:val="none" w:sz="0" w:space="0" w:color="auto"/>
                        <w:right w:val="none" w:sz="0" w:space="0" w:color="auto"/>
                      </w:divBdr>
                    </w:div>
                    <w:div w:id="419065273">
                      <w:marLeft w:val="0"/>
                      <w:marRight w:val="0"/>
                      <w:marTop w:val="0"/>
                      <w:marBottom w:val="0"/>
                      <w:divBdr>
                        <w:top w:val="none" w:sz="0" w:space="0" w:color="auto"/>
                        <w:left w:val="none" w:sz="0" w:space="0" w:color="auto"/>
                        <w:bottom w:val="none" w:sz="0" w:space="0" w:color="auto"/>
                        <w:right w:val="none" w:sz="0" w:space="0" w:color="auto"/>
                      </w:divBdr>
                    </w:div>
                    <w:div w:id="437796219">
                      <w:marLeft w:val="0"/>
                      <w:marRight w:val="0"/>
                      <w:marTop w:val="0"/>
                      <w:marBottom w:val="0"/>
                      <w:divBdr>
                        <w:top w:val="none" w:sz="0" w:space="0" w:color="auto"/>
                        <w:left w:val="none" w:sz="0" w:space="0" w:color="auto"/>
                        <w:bottom w:val="none" w:sz="0" w:space="0" w:color="auto"/>
                        <w:right w:val="none" w:sz="0" w:space="0" w:color="auto"/>
                      </w:divBdr>
                    </w:div>
                    <w:div w:id="441655931">
                      <w:marLeft w:val="0"/>
                      <w:marRight w:val="0"/>
                      <w:marTop w:val="0"/>
                      <w:marBottom w:val="0"/>
                      <w:divBdr>
                        <w:top w:val="none" w:sz="0" w:space="0" w:color="auto"/>
                        <w:left w:val="none" w:sz="0" w:space="0" w:color="auto"/>
                        <w:bottom w:val="none" w:sz="0" w:space="0" w:color="auto"/>
                        <w:right w:val="none" w:sz="0" w:space="0" w:color="auto"/>
                      </w:divBdr>
                    </w:div>
                    <w:div w:id="490683530">
                      <w:marLeft w:val="0"/>
                      <w:marRight w:val="0"/>
                      <w:marTop w:val="0"/>
                      <w:marBottom w:val="0"/>
                      <w:divBdr>
                        <w:top w:val="none" w:sz="0" w:space="0" w:color="auto"/>
                        <w:left w:val="none" w:sz="0" w:space="0" w:color="auto"/>
                        <w:bottom w:val="none" w:sz="0" w:space="0" w:color="auto"/>
                        <w:right w:val="none" w:sz="0" w:space="0" w:color="auto"/>
                      </w:divBdr>
                    </w:div>
                    <w:div w:id="563492505">
                      <w:marLeft w:val="0"/>
                      <w:marRight w:val="0"/>
                      <w:marTop w:val="0"/>
                      <w:marBottom w:val="0"/>
                      <w:divBdr>
                        <w:top w:val="none" w:sz="0" w:space="0" w:color="auto"/>
                        <w:left w:val="none" w:sz="0" w:space="0" w:color="auto"/>
                        <w:bottom w:val="none" w:sz="0" w:space="0" w:color="auto"/>
                        <w:right w:val="none" w:sz="0" w:space="0" w:color="auto"/>
                      </w:divBdr>
                    </w:div>
                    <w:div w:id="581718711">
                      <w:marLeft w:val="0"/>
                      <w:marRight w:val="0"/>
                      <w:marTop w:val="0"/>
                      <w:marBottom w:val="0"/>
                      <w:divBdr>
                        <w:top w:val="none" w:sz="0" w:space="0" w:color="auto"/>
                        <w:left w:val="none" w:sz="0" w:space="0" w:color="auto"/>
                        <w:bottom w:val="none" w:sz="0" w:space="0" w:color="auto"/>
                        <w:right w:val="none" w:sz="0" w:space="0" w:color="auto"/>
                      </w:divBdr>
                    </w:div>
                    <w:div w:id="672223862">
                      <w:marLeft w:val="0"/>
                      <w:marRight w:val="0"/>
                      <w:marTop w:val="0"/>
                      <w:marBottom w:val="0"/>
                      <w:divBdr>
                        <w:top w:val="none" w:sz="0" w:space="0" w:color="auto"/>
                        <w:left w:val="none" w:sz="0" w:space="0" w:color="auto"/>
                        <w:bottom w:val="none" w:sz="0" w:space="0" w:color="auto"/>
                        <w:right w:val="none" w:sz="0" w:space="0" w:color="auto"/>
                      </w:divBdr>
                    </w:div>
                    <w:div w:id="733553244">
                      <w:marLeft w:val="0"/>
                      <w:marRight w:val="0"/>
                      <w:marTop w:val="0"/>
                      <w:marBottom w:val="0"/>
                      <w:divBdr>
                        <w:top w:val="none" w:sz="0" w:space="0" w:color="auto"/>
                        <w:left w:val="none" w:sz="0" w:space="0" w:color="auto"/>
                        <w:bottom w:val="none" w:sz="0" w:space="0" w:color="auto"/>
                        <w:right w:val="none" w:sz="0" w:space="0" w:color="auto"/>
                      </w:divBdr>
                    </w:div>
                    <w:div w:id="737677088">
                      <w:marLeft w:val="0"/>
                      <w:marRight w:val="0"/>
                      <w:marTop w:val="0"/>
                      <w:marBottom w:val="0"/>
                      <w:divBdr>
                        <w:top w:val="none" w:sz="0" w:space="0" w:color="auto"/>
                        <w:left w:val="none" w:sz="0" w:space="0" w:color="auto"/>
                        <w:bottom w:val="none" w:sz="0" w:space="0" w:color="auto"/>
                        <w:right w:val="none" w:sz="0" w:space="0" w:color="auto"/>
                      </w:divBdr>
                    </w:div>
                    <w:div w:id="765537912">
                      <w:marLeft w:val="0"/>
                      <w:marRight w:val="0"/>
                      <w:marTop w:val="0"/>
                      <w:marBottom w:val="0"/>
                      <w:divBdr>
                        <w:top w:val="none" w:sz="0" w:space="0" w:color="auto"/>
                        <w:left w:val="none" w:sz="0" w:space="0" w:color="auto"/>
                        <w:bottom w:val="none" w:sz="0" w:space="0" w:color="auto"/>
                        <w:right w:val="none" w:sz="0" w:space="0" w:color="auto"/>
                      </w:divBdr>
                    </w:div>
                    <w:div w:id="793520151">
                      <w:marLeft w:val="0"/>
                      <w:marRight w:val="0"/>
                      <w:marTop w:val="0"/>
                      <w:marBottom w:val="0"/>
                      <w:divBdr>
                        <w:top w:val="none" w:sz="0" w:space="0" w:color="auto"/>
                        <w:left w:val="none" w:sz="0" w:space="0" w:color="auto"/>
                        <w:bottom w:val="none" w:sz="0" w:space="0" w:color="auto"/>
                        <w:right w:val="none" w:sz="0" w:space="0" w:color="auto"/>
                      </w:divBdr>
                    </w:div>
                    <w:div w:id="870259973">
                      <w:marLeft w:val="0"/>
                      <w:marRight w:val="0"/>
                      <w:marTop w:val="0"/>
                      <w:marBottom w:val="0"/>
                      <w:divBdr>
                        <w:top w:val="none" w:sz="0" w:space="0" w:color="auto"/>
                        <w:left w:val="none" w:sz="0" w:space="0" w:color="auto"/>
                        <w:bottom w:val="none" w:sz="0" w:space="0" w:color="auto"/>
                        <w:right w:val="none" w:sz="0" w:space="0" w:color="auto"/>
                      </w:divBdr>
                    </w:div>
                    <w:div w:id="1084759716">
                      <w:marLeft w:val="0"/>
                      <w:marRight w:val="0"/>
                      <w:marTop w:val="0"/>
                      <w:marBottom w:val="0"/>
                      <w:divBdr>
                        <w:top w:val="none" w:sz="0" w:space="0" w:color="auto"/>
                        <w:left w:val="none" w:sz="0" w:space="0" w:color="auto"/>
                        <w:bottom w:val="none" w:sz="0" w:space="0" w:color="auto"/>
                        <w:right w:val="none" w:sz="0" w:space="0" w:color="auto"/>
                      </w:divBdr>
                    </w:div>
                    <w:div w:id="1111705392">
                      <w:marLeft w:val="0"/>
                      <w:marRight w:val="0"/>
                      <w:marTop w:val="0"/>
                      <w:marBottom w:val="0"/>
                      <w:divBdr>
                        <w:top w:val="none" w:sz="0" w:space="0" w:color="auto"/>
                        <w:left w:val="none" w:sz="0" w:space="0" w:color="auto"/>
                        <w:bottom w:val="none" w:sz="0" w:space="0" w:color="auto"/>
                        <w:right w:val="none" w:sz="0" w:space="0" w:color="auto"/>
                      </w:divBdr>
                    </w:div>
                    <w:div w:id="1127435463">
                      <w:marLeft w:val="0"/>
                      <w:marRight w:val="0"/>
                      <w:marTop w:val="0"/>
                      <w:marBottom w:val="0"/>
                      <w:divBdr>
                        <w:top w:val="none" w:sz="0" w:space="0" w:color="auto"/>
                        <w:left w:val="none" w:sz="0" w:space="0" w:color="auto"/>
                        <w:bottom w:val="none" w:sz="0" w:space="0" w:color="auto"/>
                        <w:right w:val="none" w:sz="0" w:space="0" w:color="auto"/>
                      </w:divBdr>
                    </w:div>
                    <w:div w:id="1187594367">
                      <w:marLeft w:val="0"/>
                      <w:marRight w:val="0"/>
                      <w:marTop w:val="0"/>
                      <w:marBottom w:val="0"/>
                      <w:divBdr>
                        <w:top w:val="none" w:sz="0" w:space="0" w:color="auto"/>
                        <w:left w:val="none" w:sz="0" w:space="0" w:color="auto"/>
                        <w:bottom w:val="none" w:sz="0" w:space="0" w:color="auto"/>
                        <w:right w:val="none" w:sz="0" w:space="0" w:color="auto"/>
                      </w:divBdr>
                    </w:div>
                    <w:div w:id="1332290892">
                      <w:marLeft w:val="0"/>
                      <w:marRight w:val="0"/>
                      <w:marTop w:val="0"/>
                      <w:marBottom w:val="0"/>
                      <w:divBdr>
                        <w:top w:val="none" w:sz="0" w:space="0" w:color="auto"/>
                        <w:left w:val="none" w:sz="0" w:space="0" w:color="auto"/>
                        <w:bottom w:val="none" w:sz="0" w:space="0" w:color="auto"/>
                        <w:right w:val="none" w:sz="0" w:space="0" w:color="auto"/>
                      </w:divBdr>
                    </w:div>
                    <w:div w:id="1376351778">
                      <w:marLeft w:val="0"/>
                      <w:marRight w:val="0"/>
                      <w:marTop w:val="0"/>
                      <w:marBottom w:val="0"/>
                      <w:divBdr>
                        <w:top w:val="none" w:sz="0" w:space="0" w:color="auto"/>
                        <w:left w:val="none" w:sz="0" w:space="0" w:color="auto"/>
                        <w:bottom w:val="none" w:sz="0" w:space="0" w:color="auto"/>
                        <w:right w:val="none" w:sz="0" w:space="0" w:color="auto"/>
                      </w:divBdr>
                    </w:div>
                    <w:div w:id="1434933434">
                      <w:marLeft w:val="0"/>
                      <w:marRight w:val="0"/>
                      <w:marTop w:val="0"/>
                      <w:marBottom w:val="0"/>
                      <w:divBdr>
                        <w:top w:val="none" w:sz="0" w:space="0" w:color="auto"/>
                        <w:left w:val="none" w:sz="0" w:space="0" w:color="auto"/>
                        <w:bottom w:val="none" w:sz="0" w:space="0" w:color="auto"/>
                        <w:right w:val="none" w:sz="0" w:space="0" w:color="auto"/>
                      </w:divBdr>
                    </w:div>
                    <w:div w:id="1436435530">
                      <w:marLeft w:val="0"/>
                      <w:marRight w:val="0"/>
                      <w:marTop w:val="0"/>
                      <w:marBottom w:val="0"/>
                      <w:divBdr>
                        <w:top w:val="none" w:sz="0" w:space="0" w:color="auto"/>
                        <w:left w:val="none" w:sz="0" w:space="0" w:color="auto"/>
                        <w:bottom w:val="none" w:sz="0" w:space="0" w:color="auto"/>
                        <w:right w:val="none" w:sz="0" w:space="0" w:color="auto"/>
                      </w:divBdr>
                    </w:div>
                    <w:div w:id="1471362418">
                      <w:marLeft w:val="0"/>
                      <w:marRight w:val="0"/>
                      <w:marTop w:val="0"/>
                      <w:marBottom w:val="0"/>
                      <w:divBdr>
                        <w:top w:val="none" w:sz="0" w:space="0" w:color="auto"/>
                        <w:left w:val="none" w:sz="0" w:space="0" w:color="auto"/>
                        <w:bottom w:val="none" w:sz="0" w:space="0" w:color="auto"/>
                        <w:right w:val="none" w:sz="0" w:space="0" w:color="auto"/>
                      </w:divBdr>
                    </w:div>
                    <w:div w:id="1490099674">
                      <w:marLeft w:val="0"/>
                      <w:marRight w:val="0"/>
                      <w:marTop w:val="0"/>
                      <w:marBottom w:val="0"/>
                      <w:divBdr>
                        <w:top w:val="none" w:sz="0" w:space="0" w:color="auto"/>
                        <w:left w:val="none" w:sz="0" w:space="0" w:color="auto"/>
                        <w:bottom w:val="none" w:sz="0" w:space="0" w:color="auto"/>
                        <w:right w:val="none" w:sz="0" w:space="0" w:color="auto"/>
                      </w:divBdr>
                    </w:div>
                    <w:div w:id="1493183337">
                      <w:marLeft w:val="0"/>
                      <w:marRight w:val="0"/>
                      <w:marTop w:val="0"/>
                      <w:marBottom w:val="0"/>
                      <w:divBdr>
                        <w:top w:val="none" w:sz="0" w:space="0" w:color="auto"/>
                        <w:left w:val="none" w:sz="0" w:space="0" w:color="auto"/>
                        <w:bottom w:val="none" w:sz="0" w:space="0" w:color="auto"/>
                        <w:right w:val="none" w:sz="0" w:space="0" w:color="auto"/>
                      </w:divBdr>
                    </w:div>
                    <w:div w:id="1513297131">
                      <w:marLeft w:val="0"/>
                      <w:marRight w:val="0"/>
                      <w:marTop w:val="0"/>
                      <w:marBottom w:val="0"/>
                      <w:divBdr>
                        <w:top w:val="none" w:sz="0" w:space="0" w:color="auto"/>
                        <w:left w:val="none" w:sz="0" w:space="0" w:color="auto"/>
                        <w:bottom w:val="none" w:sz="0" w:space="0" w:color="auto"/>
                        <w:right w:val="none" w:sz="0" w:space="0" w:color="auto"/>
                      </w:divBdr>
                    </w:div>
                    <w:div w:id="1557625826">
                      <w:marLeft w:val="0"/>
                      <w:marRight w:val="0"/>
                      <w:marTop w:val="0"/>
                      <w:marBottom w:val="0"/>
                      <w:divBdr>
                        <w:top w:val="none" w:sz="0" w:space="0" w:color="auto"/>
                        <w:left w:val="none" w:sz="0" w:space="0" w:color="auto"/>
                        <w:bottom w:val="none" w:sz="0" w:space="0" w:color="auto"/>
                        <w:right w:val="none" w:sz="0" w:space="0" w:color="auto"/>
                      </w:divBdr>
                    </w:div>
                    <w:div w:id="1617567185">
                      <w:marLeft w:val="0"/>
                      <w:marRight w:val="0"/>
                      <w:marTop w:val="0"/>
                      <w:marBottom w:val="0"/>
                      <w:divBdr>
                        <w:top w:val="none" w:sz="0" w:space="0" w:color="auto"/>
                        <w:left w:val="none" w:sz="0" w:space="0" w:color="auto"/>
                        <w:bottom w:val="none" w:sz="0" w:space="0" w:color="auto"/>
                        <w:right w:val="none" w:sz="0" w:space="0" w:color="auto"/>
                      </w:divBdr>
                    </w:div>
                    <w:div w:id="1646547951">
                      <w:marLeft w:val="0"/>
                      <w:marRight w:val="0"/>
                      <w:marTop w:val="0"/>
                      <w:marBottom w:val="0"/>
                      <w:divBdr>
                        <w:top w:val="none" w:sz="0" w:space="0" w:color="auto"/>
                        <w:left w:val="none" w:sz="0" w:space="0" w:color="auto"/>
                        <w:bottom w:val="none" w:sz="0" w:space="0" w:color="auto"/>
                        <w:right w:val="none" w:sz="0" w:space="0" w:color="auto"/>
                      </w:divBdr>
                    </w:div>
                    <w:div w:id="1731341112">
                      <w:marLeft w:val="0"/>
                      <w:marRight w:val="0"/>
                      <w:marTop w:val="0"/>
                      <w:marBottom w:val="0"/>
                      <w:divBdr>
                        <w:top w:val="none" w:sz="0" w:space="0" w:color="auto"/>
                        <w:left w:val="none" w:sz="0" w:space="0" w:color="auto"/>
                        <w:bottom w:val="none" w:sz="0" w:space="0" w:color="auto"/>
                        <w:right w:val="none" w:sz="0" w:space="0" w:color="auto"/>
                      </w:divBdr>
                    </w:div>
                    <w:div w:id="1801798173">
                      <w:marLeft w:val="0"/>
                      <w:marRight w:val="0"/>
                      <w:marTop w:val="0"/>
                      <w:marBottom w:val="0"/>
                      <w:divBdr>
                        <w:top w:val="none" w:sz="0" w:space="0" w:color="auto"/>
                        <w:left w:val="none" w:sz="0" w:space="0" w:color="auto"/>
                        <w:bottom w:val="none" w:sz="0" w:space="0" w:color="auto"/>
                        <w:right w:val="none" w:sz="0" w:space="0" w:color="auto"/>
                      </w:divBdr>
                    </w:div>
                    <w:div w:id="1807504811">
                      <w:marLeft w:val="0"/>
                      <w:marRight w:val="0"/>
                      <w:marTop w:val="0"/>
                      <w:marBottom w:val="0"/>
                      <w:divBdr>
                        <w:top w:val="none" w:sz="0" w:space="0" w:color="auto"/>
                        <w:left w:val="none" w:sz="0" w:space="0" w:color="auto"/>
                        <w:bottom w:val="none" w:sz="0" w:space="0" w:color="auto"/>
                        <w:right w:val="none" w:sz="0" w:space="0" w:color="auto"/>
                      </w:divBdr>
                    </w:div>
                    <w:div w:id="1812212778">
                      <w:marLeft w:val="0"/>
                      <w:marRight w:val="0"/>
                      <w:marTop w:val="0"/>
                      <w:marBottom w:val="0"/>
                      <w:divBdr>
                        <w:top w:val="none" w:sz="0" w:space="0" w:color="auto"/>
                        <w:left w:val="none" w:sz="0" w:space="0" w:color="auto"/>
                        <w:bottom w:val="none" w:sz="0" w:space="0" w:color="auto"/>
                        <w:right w:val="none" w:sz="0" w:space="0" w:color="auto"/>
                      </w:divBdr>
                    </w:div>
                    <w:div w:id="1814827124">
                      <w:marLeft w:val="0"/>
                      <w:marRight w:val="0"/>
                      <w:marTop w:val="0"/>
                      <w:marBottom w:val="0"/>
                      <w:divBdr>
                        <w:top w:val="none" w:sz="0" w:space="0" w:color="auto"/>
                        <w:left w:val="none" w:sz="0" w:space="0" w:color="auto"/>
                        <w:bottom w:val="none" w:sz="0" w:space="0" w:color="auto"/>
                        <w:right w:val="none" w:sz="0" w:space="0" w:color="auto"/>
                      </w:divBdr>
                    </w:div>
                    <w:div w:id="1818179539">
                      <w:marLeft w:val="0"/>
                      <w:marRight w:val="0"/>
                      <w:marTop w:val="0"/>
                      <w:marBottom w:val="0"/>
                      <w:divBdr>
                        <w:top w:val="none" w:sz="0" w:space="0" w:color="auto"/>
                        <w:left w:val="none" w:sz="0" w:space="0" w:color="auto"/>
                        <w:bottom w:val="none" w:sz="0" w:space="0" w:color="auto"/>
                        <w:right w:val="none" w:sz="0" w:space="0" w:color="auto"/>
                      </w:divBdr>
                    </w:div>
                    <w:div w:id="1829900109">
                      <w:marLeft w:val="0"/>
                      <w:marRight w:val="0"/>
                      <w:marTop w:val="0"/>
                      <w:marBottom w:val="0"/>
                      <w:divBdr>
                        <w:top w:val="none" w:sz="0" w:space="0" w:color="auto"/>
                        <w:left w:val="none" w:sz="0" w:space="0" w:color="auto"/>
                        <w:bottom w:val="none" w:sz="0" w:space="0" w:color="auto"/>
                        <w:right w:val="none" w:sz="0" w:space="0" w:color="auto"/>
                      </w:divBdr>
                    </w:div>
                    <w:div w:id="1882131201">
                      <w:marLeft w:val="0"/>
                      <w:marRight w:val="0"/>
                      <w:marTop w:val="0"/>
                      <w:marBottom w:val="0"/>
                      <w:divBdr>
                        <w:top w:val="none" w:sz="0" w:space="0" w:color="auto"/>
                        <w:left w:val="none" w:sz="0" w:space="0" w:color="auto"/>
                        <w:bottom w:val="none" w:sz="0" w:space="0" w:color="auto"/>
                        <w:right w:val="none" w:sz="0" w:space="0" w:color="auto"/>
                      </w:divBdr>
                    </w:div>
                    <w:div w:id="1989439011">
                      <w:marLeft w:val="0"/>
                      <w:marRight w:val="0"/>
                      <w:marTop w:val="0"/>
                      <w:marBottom w:val="0"/>
                      <w:divBdr>
                        <w:top w:val="none" w:sz="0" w:space="0" w:color="auto"/>
                        <w:left w:val="none" w:sz="0" w:space="0" w:color="auto"/>
                        <w:bottom w:val="none" w:sz="0" w:space="0" w:color="auto"/>
                        <w:right w:val="none" w:sz="0" w:space="0" w:color="auto"/>
                      </w:divBdr>
                    </w:div>
                    <w:div w:id="1990551089">
                      <w:marLeft w:val="0"/>
                      <w:marRight w:val="0"/>
                      <w:marTop w:val="0"/>
                      <w:marBottom w:val="0"/>
                      <w:divBdr>
                        <w:top w:val="none" w:sz="0" w:space="0" w:color="auto"/>
                        <w:left w:val="none" w:sz="0" w:space="0" w:color="auto"/>
                        <w:bottom w:val="none" w:sz="0" w:space="0" w:color="auto"/>
                        <w:right w:val="none" w:sz="0" w:space="0" w:color="auto"/>
                      </w:divBdr>
                    </w:div>
                    <w:div w:id="2025207517">
                      <w:marLeft w:val="0"/>
                      <w:marRight w:val="0"/>
                      <w:marTop w:val="0"/>
                      <w:marBottom w:val="0"/>
                      <w:divBdr>
                        <w:top w:val="none" w:sz="0" w:space="0" w:color="auto"/>
                        <w:left w:val="none" w:sz="0" w:space="0" w:color="auto"/>
                        <w:bottom w:val="none" w:sz="0" w:space="0" w:color="auto"/>
                        <w:right w:val="none" w:sz="0" w:space="0" w:color="auto"/>
                      </w:divBdr>
                    </w:div>
                    <w:div w:id="2130270979">
                      <w:marLeft w:val="0"/>
                      <w:marRight w:val="0"/>
                      <w:marTop w:val="0"/>
                      <w:marBottom w:val="0"/>
                      <w:divBdr>
                        <w:top w:val="none" w:sz="0" w:space="0" w:color="auto"/>
                        <w:left w:val="none" w:sz="0" w:space="0" w:color="auto"/>
                        <w:bottom w:val="none" w:sz="0" w:space="0" w:color="auto"/>
                        <w:right w:val="none" w:sz="0" w:space="0" w:color="auto"/>
                      </w:divBdr>
                    </w:div>
                    <w:div w:id="2130855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902776">
          <w:marLeft w:val="0"/>
          <w:marRight w:val="0"/>
          <w:marTop w:val="0"/>
          <w:marBottom w:val="0"/>
          <w:divBdr>
            <w:top w:val="none" w:sz="0" w:space="0" w:color="auto"/>
            <w:left w:val="none" w:sz="0" w:space="0" w:color="auto"/>
            <w:bottom w:val="none" w:sz="0" w:space="0" w:color="auto"/>
            <w:right w:val="none" w:sz="0" w:space="0" w:color="auto"/>
          </w:divBdr>
          <w:divsChild>
            <w:div w:id="1649163633">
              <w:marLeft w:val="0"/>
              <w:marRight w:val="0"/>
              <w:marTop w:val="0"/>
              <w:marBottom w:val="0"/>
              <w:divBdr>
                <w:top w:val="none" w:sz="0" w:space="0" w:color="auto"/>
                <w:left w:val="none" w:sz="0" w:space="0" w:color="auto"/>
                <w:bottom w:val="none" w:sz="0" w:space="0" w:color="auto"/>
                <w:right w:val="none" w:sz="0" w:space="0" w:color="auto"/>
              </w:divBdr>
              <w:divsChild>
                <w:div w:id="2116049352">
                  <w:marLeft w:val="0"/>
                  <w:marRight w:val="0"/>
                  <w:marTop w:val="0"/>
                  <w:marBottom w:val="0"/>
                  <w:divBdr>
                    <w:top w:val="none" w:sz="0" w:space="0" w:color="auto"/>
                    <w:left w:val="none" w:sz="0" w:space="0" w:color="auto"/>
                    <w:bottom w:val="none" w:sz="0" w:space="0" w:color="auto"/>
                    <w:right w:val="none" w:sz="0" w:space="0" w:color="auto"/>
                  </w:divBdr>
                  <w:divsChild>
                    <w:div w:id="43911061">
                      <w:marLeft w:val="0"/>
                      <w:marRight w:val="0"/>
                      <w:marTop w:val="0"/>
                      <w:marBottom w:val="0"/>
                      <w:divBdr>
                        <w:top w:val="none" w:sz="0" w:space="0" w:color="auto"/>
                        <w:left w:val="none" w:sz="0" w:space="0" w:color="auto"/>
                        <w:bottom w:val="none" w:sz="0" w:space="0" w:color="auto"/>
                        <w:right w:val="none" w:sz="0" w:space="0" w:color="auto"/>
                      </w:divBdr>
                    </w:div>
                    <w:div w:id="65417429">
                      <w:marLeft w:val="0"/>
                      <w:marRight w:val="0"/>
                      <w:marTop w:val="0"/>
                      <w:marBottom w:val="0"/>
                      <w:divBdr>
                        <w:top w:val="none" w:sz="0" w:space="0" w:color="auto"/>
                        <w:left w:val="none" w:sz="0" w:space="0" w:color="auto"/>
                        <w:bottom w:val="none" w:sz="0" w:space="0" w:color="auto"/>
                        <w:right w:val="none" w:sz="0" w:space="0" w:color="auto"/>
                      </w:divBdr>
                    </w:div>
                    <w:div w:id="159590491">
                      <w:marLeft w:val="0"/>
                      <w:marRight w:val="0"/>
                      <w:marTop w:val="0"/>
                      <w:marBottom w:val="0"/>
                      <w:divBdr>
                        <w:top w:val="none" w:sz="0" w:space="0" w:color="auto"/>
                        <w:left w:val="none" w:sz="0" w:space="0" w:color="auto"/>
                        <w:bottom w:val="none" w:sz="0" w:space="0" w:color="auto"/>
                        <w:right w:val="none" w:sz="0" w:space="0" w:color="auto"/>
                      </w:divBdr>
                    </w:div>
                    <w:div w:id="160125649">
                      <w:marLeft w:val="0"/>
                      <w:marRight w:val="0"/>
                      <w:marTop w:val="0"/>
                      <w:marBottom w:val="0"/>
                      <w:divBdr>
                        <w:top w:val="none" w:sz="0" w:space="0" w:color="auto"/>
                        <w:left w:val="none" w:sz="0" w:space="0" w:color="auto"/>
                        <w:bottom w:val="none" w:sz="0" w:space="0" w:color="auto"/>
                        <w:right w:val="none" w:sz="0" w:space="0" w:color="auto"/>
                      </w:divBdr>
                    </w:div>
                    <w:div w:id="160968749">
                      <w:marLeft w:val="0"/>
                      <w:marRight w:val="0"/>
                      <w:marTop w:val="0"/>
                      <w:marBottom w:val="0"/>
                      <w:divBdr>
                        <w:top w:val="none" w:sz="0" w:space="0" w:color="auto"/>
                        <w:left w:val="none" w:sz="0" w:space="0" w:color="auto"/>
                        <w:bottom w:val="none" w:sz="0" w:space="0" w:color="auto"/>
                        <w:right w:val="none" w:sz="0" w:space="0" w:color="auto"/>
                      </w:divBdr>
                    </w:div>
                    <w:div w:id="198781253">
                      <w:marLeft w:val="0"/>
                      <w:marRight w:val="0"/>
                      <w:marTop w:val="0"/>
                      <w:marBottom w:val="0"/>
                      <w:divBdr>
                        <w:top w:val="none" w:sz="0" w:space="0" w:color="auto"/>
                        <w:left w:val="none" w:sz="0" w:space="0" w:color="auto"/>
                        <w:bottom w:val="none" w:sz="0" w:space="0" w:color="auto"/>
                        <w:right w:val="none" w:sz="0" w:space="0" w:color="auto"/>
                      </w:divBdr>
                    </w:div>
                    <w:div w:id="274363766">
                      <w:marLeft w:val="0"/>
                      <w:marRight w:val="0"/>
                      <w:marTop w:val="0"/>
                      <w:marBottom w:val="0"/>
                      <w:divBdr>
                        <w:top w:val="none" w:sz="0" w:space="0" w:color="auto"/>
                        <w:left w:val="none" w:sz="0" w:space="0" w:color="auto"/>
                        <w:bottom w:val="none" w:sz="0" w:space="0" w:color="auto"/>
                        <w:right w:val="none" w:sz="0" w:space="0" w:color="auto"/>
                      </w:divBdr>
                    </w:div>
                    <w:div w:id="323432186">
                      <w:marLeft w:val="0"/>
                      <w:marRight w:val="0"/>
                      <w:marTop w:val="0"/>
                      <w:marBottom w:val="0"/>
                      <w:divBdr>
                        <w:top w:val="none" w:sz="0" w:space="0" w:color="auto"/>
                        <w:left w:val="none" w:sz="0" w:space="0" w:color="auto"/>
                        <w:bottom w:val="none" w:sz="0" w:space="0" w:color="auto"/>
                        <w:right w:val="none" w:sz="0" w:space="0" w:color="auto"/>
                      </w:divBdr>
                    </w:div>
                    <w:div w:id="389504623">
                      <w:marLeft w:val="0"/>
                      <w:marRight w:val="0"/>
                      <w:marTop w:val="0"/>
                      <w:marBottom w:val="0"/>
                      <w:divBdr>
                        <w:top w:val="none" w:sz="0" w:space="0" w:color="auto"/>
                        <w:left w:val="none" w:sz="0" w:space="0" w:color="auto"/>
                        <w:bottom w:val="none" w:sz="0" w:space="0" w:color="auto"/>
                        <w:right w:val="none" w:sz="0" w:space="0" w:color="auto"/>
                      </w:divBdr>
                    </w:div>
                    <w:div w:id="392511379">
                      <w:marLeft w:val="0"/>
                      <w:marRight w:val="0"/>
                      <w:marTop w:val="0"/>
                      <w:marBottom w:val="0"/>
                      <w:divBdr>
                        <w:top w:val="none" w:sz="0" w:space="0" w:color="auto"/>
                        <w:left w:val="none" w:sz="0" w:space="0" w:color="auto"/>
                        <w:bottom w:val="none" w:sz="0" w:space="0" w:color="auto"/>
                        <w:right w:val="none" w:sz="0" w:space="0" w:color="auto"/>
                      </w:divBdr>
                    </w:div>
                    <w:div w:id="430320002">
                      <w:marLeft w:val="0"/>
                      <w:marRight w:val="0"/>
                      <w:marTop w:val="0"/>
                      <w:marBottom w:val="0"/>
                      <w:divBdr>
                        <w:top w:val="none" w:sz="0" w:space="0" w:color="auto"/>
                        <w:left w:val="none" w:sz="0" w:space="0" w:color="auto"/>
                        <w:bottom w:val="none" w:sz="0" w:space="0" w:color="auto"/>
                        <w:right w:val="none" w:sz="0" w:space="0" w:color="auto"/>
                      </w:divBdr>
                    </w:div>
                    <w:div w:id="455879484">
                      <w:marLeft w:val="0"/>
                      <w:marRight w:val="0"/>
                      <w:marTop w:val="0"/>
                      <w:marBottom w:val="0"/>
                      <w:divBdr>
                        <w:top w:val="none" w:sz="0" w:space="0" w:color="auto"/>
                        <w:left w:val="none" w:sz="0" w:space="0" w:color="auto"/>
                        <w:bottom w:val="none" w:sz="0" w:space="0" w:color="auto"/>
                        <w:right w:val="none" w:sz="0" w:space="0" w:color="auto"/>
                      </w:divBdr>
                    </w:div>
                    <w:div w:id="495193923">
                      <w:marLeft w:val="0"/>
                      <w:marRight w:val="0"/>
                      <w:marTop w:val="0"/>
                      <w:marBottom w:val="0"/>
                      <w:divBdr>
                        <w:top w:val="none" w:sz="0" w:space="0" w:color="auto"/>
                        <w:left w:val="none" w:sz="0" w:space="0" w:color="auto"/>
                        <w:bottom w:val="none" w:sz="0" w:space="0" w:color="auto"/>
                        <w:right w:val="none" w:sz="0" w:space="0" w:color="auto"/>
                      </w:divBdr>
                    </w:div>
                    <w:div w:id="616525754">
                      <w:marLeft w:val="0"/>
                      <w:marRight w:val="0"/>
                      <w:marTop w:val="0"/>
                      <w:marBottom w:val="0"/>
                      <w:divBdr>
                        <w:top w:val="none" w:sz="0" w:space="0" w:color="auto"/>
                        <w:left w:val="none" w:sz="0" w:space="0" w:color="auto"/>
                        <w:bottom w:val="none" w:sz="0" w:space="0" w:color="auto"/>
                        <w:right w:val="none" w:sz="0" w:space="0" w:color="auto"/>
                      </w:divBdr>
                    </w:div>
                    <w:div w:id="722143188">
                      <w:marLeft w:val="0"/>
                      <w:marRight w:val="0"/>
                      <w:marTop w:val="0"/>
                      <w:marBottom w:val="0"/>
                      <w:divBdr>
                        <w:top w:val="none" w:sz="0" w:space="0" w:color="auto"/>
                        <w:left w:val="none" w:sz="0" w:space="0" w:color="auto"/>
                        <w:bottom w:val="none" w:sz="0" w:space="0" w:color="auto"/>
                        <w:right w:val="none" w:sz="0" w:space="0" w:color="auto"/>
                      </w:divBdr>
                    </w:div>
                    <w:div w:id="805973055">
                      <w:marLeft w:val="0"/>
                      <w:marRight w:val="0"/>
                      <w:marTop w:val="0"/>
                      <w:marBottom w:val="0"/>
                      <w:divBdr>
                        <w:top w:val="none" w:sz="0" w:space="0" w:color="auto"/>
                        <w:left w:val="none" w:sz="0" w:space="0" w:color="auto"/>
                        <w:bottom w:val="none" w:sz="0" w:space="0" w:color="auto"/>
                        <w:right w:val="none" w:sz="0" w:space="0" w:color="auto"/>
                      </w:divBdr>
                    </w:div>
                    <w:div w:id="929240887">
                      <w:marLeft w:val="0"/>
                      <w:marRight w:val="0"/>
                      <w:marTop w:val="0"/>
                      <w:marBottom w:val="0"/>
                      <w:divBdr>
                        <w:top w:val="none" w:sz="0" w:space="0" w:color="auto"/>
                        <w:left w:val="none" w:sz="0" w:space="0" w:color="auto"/>
                        <w:bottom w:val="none" w:sz="0" w:space="0" w:color="auto"/>
                        <w:right w:val="none" w:sz="0" w:space="0" w:color="auto"/>
                      </w:divBdr>
                    </w:div>
                    <w:div w:id="937904688">
                      <w:marLeft w:val="0"/>
                      <w:marRight w:val="0"/>
                      <w:marTop w:val="0"/>
                      <w:marBottom w:val="0"/>
                      <w:divBdr>
                        <w:top w:val="none" w:sz="0" w:space="0" w:color="auto"/>
                        <w:left w:val="none" w:sz="0" w:space="0" w:color="auto"/>
                        <w:bottom w:val="none" w:sz="0" w:space="0" w:color="auto"/>
                        <w:right w:val="none" w:sz="0" w:space="0" w:color="auto"/>
                      </w:divBdr>
                    </w:div>
                    <w:div w:id="945310242">
                      <w:marLeft w:val="0"/>
                      <w:marRight w:val="0"/>
                      <w:marTop w:val="0"/>
                      <w:marBottom w:val="0"/>
                      <w:divBdr>
                        <w:top w:val="none" w:sz="0" w:space="0" w:color="auto"/>
                        <w:left w:val="none" w:sz="0" w:space="0" w:color="auto"/>
                        <w:bottom w:val="none" w:sz="0" w:space="0" w:color="auto"/>
                        <w:right w:val="none" w:sz="0" w:space="0" w:color="auto"/>
                      </w:divBdr>
                    </w:div>
                    <w:div w:id="983585756">
                      <w:marLeft w:val="0"/>
                      <w:marRight w:val="0"/>
                      <w:marTop w:val="0"/>
                      <w:marBottom w:val="0"/>
                      <w:divBdr>
                        <w:top w:val="none" w:sz="0" w:space="0" w:color="auto"/>
                        <w:left w:val="none" w:sz="0" w:space="0" w:color="auto"/>
                        <w:bottom w:val="none" w:sz="0" w:space="0" w:color="auto"/>
                        <w:right w:val="none" w:sz="0" w:space="0" w:color="auto"/>
                      </w:divBdr>
                    </w:div>
                    <w:div w:id="990208726">
                      <w:marLeft w:val="0"/>
                      <w:marRight w:val="0"/>
                      <w:marTop w:val="0"/>
                      <w:marBottom w:val="0"/>
                      <w:divBdr>
                        <w:top w:val="none" w:sz="0" w:space="0" w:color="auto"/>
                        <w:left w:val="none" w:sz="0" w:space="0" w:color="auto"/>
                        <w:bottom w:val="none" w:sz="0" w:space="0" w:color="auto"/>
                        <w:right w:val="none" w:sz="0" w:space="0" w:color="auto"/>
                      </w:divBdr>
                    </w:div>
                    <w:div w:id="1036389903">
                      <w:marLeft w:val="0"/>
                      <w:marRight w:val="0"/>
                      <w:marTop w:val="0"/>
                      <w:marBottom w:val="0"/>
                      <w:divBdr>
                        <w:top w:val="none" w:sz="0" w:space="0" w:color="auto"/>
                        <w:left w:val="none" w:sz="0" w:space="0" w:color="auto"/>
                        <w:bottom w:val="none" w:sz="0" w:space="0" w:color="auto"/>
                        <w:right w:val="none" w:sz="0" w:space="0" w:color="auto"/>
                      </w:divBdr>
                    </w:div>
                    <w:div w:id="1091589880">
                      <w:marLeft w:val="0"/>
                      <w:marRight w:val="0"/>
                      <w:marTop w:val="0"/>
                      <w:marBottom w:val="0"/>
                      <w:divBdr>
                        <w:top w:val="none" w:sz="0" w:space="0" w:color="auto"/>
                        <w:left w:val="none" w:sz="0" w:space="0" w:color="auto"/>
                        <w:bottom w:val="none" w:sz="0" w:space="0" w:color="auto"/>
                        <w:right w:val="none" w:sz="0" w:space="0" w:color="auto"/>
                      </w:divBdr>
                    </w:div>
                    <w:div w:id="1093626188">
                      <w:marLeft w:val="0"/>
                      <w:marRight w:val="0"/>
                      <w:marTop w:val="0"/>
                      <w:marBottom w:val="0"/>
                      <w:divBdr>
                        <w:top w:val="none" w:sz="0" w:space="0" w:color="auto"/>
                        <w:left w:val="none" w:sz="0" w:space="0" w:color="auto"/>
                        <w:bottom w:val="none" w:sz="0" w:space="0" w:color="auto"/>
                        <w:right w:val="none" w:sz="0" w:space="0" w:color="auto"/>
                      </w:divBdr>
                    </w:div>
                    <w:div w:id="1183477671">
                      <w:marLeft w:val="0"/>
                      <w:marRight w:val="0"/>
                      <w:marTop w:val="0"/>
                      <w:marBottom w:val="0"/>
                      <w:divBdr>
                        <w:top w:val="none" w:sz="0" w:space="0" w:color="auto"/>
                        <w:left w:val="none" w:sz="0" w:space="0" w:color="auto"/>
                        <w:bottom w:val="none" w:sz="0" w:space="0" w:color="auto"/>
                        <w:right w:val="none" w:sz="0" w:space="0" w:color="auto"/>
                      </w:divBdr>
                    </w:div>
                    <w:div w:id="1267033692">
                      <w:marLeft w:val="0"/>
                      <w:marRight w:val="0"/>
                      <w:marTop w:val="0"/>
                      <w:marBottom w:val="0"/>
                      <w:divBdr>
                        <w:top w:val="none" w:sz="0" w:space="0" w:color="auto"/>
                        <w:left w:val="none" w:sz="0" w:space="0" w:color="auto"/>
                        <w:bottom w:val="none" w:sz="0" w:space="0" w:color="auto"/>
                        <w:right w:val="none" w:sz="0" w:space="0" w:color="auto"/>
                      </w:divBdr>
                    </w:div>
                    <w:div w:id="1300918790">
                      <w:marLeft w:val="0"/>
                      <w:marRight w:val="0"/>
                      <w:marTop w:val="0"/>
                      <w:marBottom w:val="0"/>
                      <w:divBdr>
                        <w:top w:val="none" w:sz="0" w:space="0" w:color="auto"/>
                        <w:left w:val="none" w:sz="0" w:space="0" w:color="auto"/>
                        <w:bottom w:val="none" w:sz="0" w:space="0" w:color="auto"/>
                        <w:right w:val="none" w:sz="0" w:space="0" w:color="auto"/>
                      </w:divBdr>
                    </w:div>
                    <w:div w:id="1312830718">
                      <w:marLeft w:val="0"/>
                      <w:marRight w:val="0"/>
                      <w:marTop w:val="0"/>
                      <w:marBottom w:val="0"/>
                      <w:divBdr>
                        <w:top w:val="none" w:sz="0" w:space="0" w:color="auto"/>
                        <w:left w:val="none" w:sz="0" w:space="0" w:color="auto"/>
                        <w:bottom w:val="none" w:sz="0" w:space="0" w:color="auto"/>
                        <w:right w:val="none" w:sz="0" w:space="0" w:color="auto"/>
                      </w:divBdr>
                    </w:div>
                    <w:div w:id="1353846864">
                      <w:marLeft w:val="0"/>
                      <w:marRight w:val="0"/>
                      <w:marTop w:val="0"/>
                      <w:marBottom w:val="0"/>
                      <w:divBdr>
                        <w:top w:val="none" w:sz="0" w:space="0" w:color="auto"/>
                        <w:left w:val="none" w:sz="0" w:space="0" w:color="auto"/>
                        <w:bottom w:val="none" w:sz="0" w:space="0" w:color="auto"/>
                        <w:right w:val="none" w:sz="0" w:space="0" w:color="auto"/>
                      </w:divBdr>
                    </w:div>
                    <w:div w:id="1372919175">
                      <w:marLeft w:val="0"/>
                      <w:marRight w:val="0"/>
                      <w:marTop w:val="0"/>
                      <w:marBottom w:val="0"/>
                      <w:divBdr>
                        <w:top w:val="none" w:sz="0" w:space="0" w:color="auto"/>
                        <w:left w:val="none" w:sz="0" w:space="0" w:color="auto"/>
                        <w:bottom w:val="none" w:sz="0" w:space="0" w:color="auto"/>
                        <w:right w:val="none" w:sz="0" w:space="0" w:color="auto"/>
                      </w:divBdr>
                    </w:div>
                    <w:div w:id="1386830780">
                      <w:marLeft w:val="0"/>
                      <w:marRight w:val="0"/>
                      <w:marTop w:val="0"/>
                      <w:marBottom w:val="0"/>
                      <w:divBdr>
                        <w:top w:val="none" w:sz="0" w:space="0" w:color="auto"/>
                        <w:left w:val="none" w:sz="0" w:space="0" w:color="auto"/>
                        <w:bottom w:val="none" w:sz="0" w:space="0" w:color="auto"/>
                        <w:right w:val="none" w:sz="0" w:space="0" w:color="auto"/>
                      </w:divBdr>
                    </w:div>
                    <w:div w:id="1397053097">
                      <w:marLeft w:val="0"/>
                      <w:marRight w:val="0"/>
                      <w:marTop w:val="0"/>
                      <w:marBottom w:val="0"/>
                      <w:divBdr>
                        <w:top w:val="none" w:sz="0" w:space="0" w:color="auto"/>
                        <w:left w:val="none" w:sz="0" w:space="0" w:color="auto"/>
                        <w:bottom w:val="none" w:sz="0" w:space="0" w:color="auto"/>
                        <w:right w:val="none" w:sz="0" w:space="0" w:color="auto"/>
                      </w:divBdr>
                    </w:div>
                    <w:div w:id="1466779659">
                      <w:marLeft w:val="0"/>
                      <w:marRight w:val="0"/>
                      <w:marTop w:val="0"/>
                      <w:marBottom w:val="0"/>
                      <w:divBdr>
                        <w:top w:val="none" w:sz="0" w:space="0" w:color="auto"/>
                        <w:left w:val="none" w:sz="0" w:space="0" w:color="auto"/>
                        <w:bottom w:val="none" w:sz="0" w:space="0" w:color="auto"/>
                        <w:right w:val="none" w:sz="0" w:space="0" w:color="auto"/>
                      </w:divBdr>
                    </w:div>
                    <w:div w:id="1467239260">
                      <w:marLeft w:val="0"/>
                      <w:marRight w:val="0"/>
                      <w:marTop w:val="0"/>
                      <w:marBottom w:val="0"/>
                      <w:divBdr>
                        <w:top w:val="none" w:sz="0" w:space="0" w:color="auto"/>
                        <w:left w:val="none" w:sz="0" w:space="0" w:color="auto"/>
                        <w:bottom w:val="none" w:sz="0" w:space="0" w:color="auto"/>
                        <w:right w:val="none" w:sz="0" w:space="0" w:color="auto"/>
                      </w:divBdr>
                    </w:div>
                    <w:div w:id="1543903041">
                      <w:marLeft w:val="0"/>
                      <w:marRight w:val="0"/>
                      <w:marTop w:val="0"/>
                      <w:marBottom w:val="0"/>
                      <w:divBdr>
                        <w:top w:val="none" w:sz="0" w:space="0" w:color="auto"/>
                        <w:left w:val="none" w:sz="0" w:space="0" w:color="auto"/>
                        <w:bottom w:val="none" w:sz="0" w:space="0" w:color="auto"/>
                        <w:right w:val="none" w:sz="0" w:space="0" w:color="auto"/>
                      </w:divBdr>
                    </w:div>
                    <w:div w:id="1676690199">
                      <w:marLeft w:val="0"/>
                      <w:marRight w:val="0"/>
                      <w:marTop w:val="0"/>
                      <w:marBottom w:val="0"/>
                      <w:divBdr>
                        <w:top w:val="none" w:sz="0" w:space="0" w:color="auto"/>
                        <w:left w:val="none" w:sz="0" w:space="0" w:color="auto"/>
                        <w:bottom w:val="none" w:sz="0" w:space="0" w:color="auto"/>
                        <w:right w:val="none" w:sz="0" w:space="0" w:color="auto"/>
                      </w:divBdr>
                    </w:div>
                    <w:div w:id="1707413704">
                      <w:marLeft w:val="0"/>
                      <w:marRight w:val="0"/>
                      <w:marTop w:val="0"/>
                      <w:marBottom w:val="0"/>
                      <w:divBdr>
                        <w:top w:val="none" w:sz="0" w:space="0" w:color="auto"/>
                        <w:left w:val="none" w:sz="0" w:space="0" w:color="auto"/>
                        <w:bottom w:val="none" w:sz="0" w:space="0" w:color="auto"/>
                        <w:right w:val="none" w:sz="0" w:space="0" w:color="auto"/>
                      </w:divBdr>
                    </w:div>
                    <w:div w:id="1717510246">
                      <w:marLeft w:val="0"/>
                      <w:marRight w:val="0"/>
                      <w:marTop w:val="0"/>
                      <w:marBottom w:val="0"/>
                      <w:divBdr>
                        <w:top w:val="none" w:sz="0" w:space="0" w:color="auto"/>
                        <w:left w:val="none" w:sz="0" w:space="0" w:color="auto"/>
                        <w:bottom w:val="none" w:sz="0" w:space="0" w:color="auto"/>
                        <w:right w:val="none" w:sz="0" w:space="0" w:color="auto"/>
                      </w:divBdr>
                    </w:div>
                    <w:div w:id="1746684299">
                      <w:marLeft w:val="0"/>
                      <w:marRight w:val="0"/>
                      <w:marTop w:val="0"/>
                      <w:marBottom w:val="0"/>
                      <w:divBdr>
                        <w:top w:val="none" w:sz="0" w:space="0" w:color="auto"/>
                        <w:left w:val="none" w:sz="0" w:space="0" w:color="auto"/>
                        <w:bottom w:val="none" w:sz="0" w:space="0" w:color="auto"/>
                        <w:right w:val="none" w:sz="0" w:space="0" w:color="auto"/>
                      </w:divBdr>
                    </w:div>
                    <w:div w:id="1779373630">
                      <w:marLeft w:val="0"/>
                      <w:marRight w:val="0"/>
                      <w:marTop w:val="0"/>
                      <w:marBottom w:val="0"/>
                      <w:divBdr>
                        <w:top w:val="none" w:sz="0" w:space="0" w:color="auto"/>
                        <w:left w:val="none" w:sz="0" w:space="0" w:color="auto"/>
                        <w:bottom w:val="none" w:sz="0" w:space="0" w:color="auto"/>
                        <w:right w:val="none" w:sz="0" w:space="0" w:color="auto"/>
                      </w:divBdr>
                    </w:div>
                    <w:div w:id="1808207056">
                      <w:marLeft w:val="0"/>
                      <w:marRight w:val="0"/>
                      <w:marTop w:val="0"/>
                      <w:marBottom w:val="0"/>
                      <w:divBdr>
                        <w:top w:val="none" w:sz="0" w:space="0" w:color="auto"/>
                        <w:left w:val="none" w:sz="0" w:space="0" w:color="auto"/>
                        <w:bottom w:val="none" w:sz="0" w:space="0" w:color="auto"/>
                        <w:right w:val="none" w:sz="0" w:space="0" w:color="auto"/>
                      </w:divBdr>
                    </w:div>
                    <w:div w:id="1839926031">
                      <w:marLeft w:val="0"/>
                      <w:marRight w:val="0"/>
                      <w:marTop w:val="0"/>
                      <w:marBottom w:val="0"/>
                      <w:divBdr>
                        <w:top w:val="none" w:sz="0" w:space="0" w:color="auto"/>
                        <w:left w:val="none" w:sz="0" w:space="0" w:color="auto"/>
                        <w:bottom w:val="none" w:sz="0" w:space="0" w:color="auto"/>
                        <w:right w:val="none" w:sz="0" w:space="0" w:color="auto"/>
                      </w:divBdr>
                    </w:div>
                    <w:div w:id="1894728786">
                      <w:marLeft w:val="0"/>
                      <w:marRight w:val="0"/>
                      <w:marTop w:val="0"/>
                      <w:marBottom w:val="0"/>
                      <w:divBdr>
                        <w:top w:val="none" w:sz="0" w:space="0" w:color="auto"/>
                        <w:left w:val="none" w:sz="0" w:space="0" w:color="auto"/>
                        <w:bottom w:val="none" w:sz="0" w:space="0" w:color="auto"/>
                        <w:right w:val="none" w:sz="0" w:space="0" w:color="auto"/>
                      </w:divBdr>
                    </w:div>
                    <w:div w:id="1976517814">
                      <w:marLeft w:val="0"/>
                      <w:marRight w:val="0"/>
                      <w:marTop w:val="0"/>
                      <w:marBottom w:val="0"/>
                      <w:divBdr>
                        <w:top w:val="none" w:sz="0" w:space="0" w:color="auto"/>
                        <w:left w:val="none" w:sz="0" w:space="0" w:color="auto"/>
                        <w:bottom w:val="none" w:sz="0" w:space="0" w:color="auto"/>
                        <w:right w:val="none" w:sz="0" w:space="0" w:color="auto"/>
                      </w:divBdr>
                    </w:div>
                    <w:div w:id="2039156979">
                      <w:marLeft w:val="0"/>
                      <w:marRight w:val="0"/>
                      <w:marTop w:val="0"/>
                      <w:marBottom w:val="0"/>
                      <w:divBdr>
                        <w:top w:val="none" w:sz="0" w:space="0" w:color="auto"/>
                        <w:left w:val="none" w:sz="0" w:space="0" w:color="auto"/>
                        <w:bottom w:val="none" w:sz="0" w:space="0" w:color="auto"/>
                        <w:right w:val="none" w:sz="0" w:space="0" w:color="auto"/>
                      </w:divBdr>
                    </w:div>
                    <w:div w:id="213864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629349">
      <w:bodyDiv w:val="1"/>
      <w:marLeft w:val="0"/>
      <w:marRight w:val="0"/>
      <w:marTop w:val="0"/>
      <w:marBottom w:val="0"/>
      <w:divBdr>
        <w:top w:val="none" w:sz="0" w:space="0" w:color="auto"/>
        <w:left w:val="none" w:sz="0" w:space="0" w:color="auto"/>
        <w:bottom w:val="none" w:sz="0" w:space="0" w:color="auto"/>
        <w:right w:val="none" w:sz="0" w:space="0" w:color="auto"/>
      </w:divBdr>
    </w:div>
    <w:div w:id="2072657594">
      <w:bodyDiv w:val="1"/>
      <w:marLeft w:val="0"/>
      <w:marRight w:val="0"/>
      <w:marTop w:val="0"/>
      <w:marBottom w:val="0"/>
      <w:divBdr>
        <w:top w:val="none" w:sz="0" w:space="0" w:color="auto"/>
        <w:left w:val="none" w:sz="0" w:space="0" w:color="auto"/>
        <w:bottom w:val="none" w:sz="0" w:space="0" w:color="auto"/>
        <w:right w:val="none" w:sz="0" w:space="0" w:color="auto"/>
      </w:divBdr>
      <w:divsChild>
        <w:div w:id="234824159">
          <w:marLeft w:val="0"/>
          <w:marRight w:val="0"/>
          <w:marTop w:val="0"/>
          <w:marBottom w:val="0"/>
          <w:divBdr>
            <w:top w:val="none" w:sz="0" w:space="0" w:color="auto"/>
            <w:left w:val="none" w:sz="0" w:space="0" w:color="auto"/>
            <w:bottom w:val="none" w:sz="0" w:space="0" w:color="auto"/>
            <w:right w:val="none" w:sz="0" w:space="0" w:color="auto"/>
          </w:divBdr>
          <w:divsChild>
            <w:div w:id="69828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10.png"/><Relationship Id="rId21" Type="http://schemas.openxmlformats.org/officeDocument/2006/relationships/image" Target="media/image14.png"/><Relationship Id="rId42" Type="http://schemas.openxmlformats.org/officeDocument/2006/relationships/image" Target="media/image35.png"/><Relationship Id="rId63" Type="http://schemas.openxmlformats.org/officeDocument/2006/relationships/image" Target="media/image56.png"/><Relationship Id="rId84" Type="http://schemas.openxmlformats.org/officeDocument/2006/relationships/image" Target="media/image77.png"/><Relationship Id="rId138" Type="http://schemas.openxmlformats.org/officeDocument/2006/relationships/image" Target="media/image131.png"/><Relationship Id="rId159" Type="http://schemas.openxmlformats.org/officeDocument/2006/relationships/image" Target="media/image152.png"/><Relationship Id="rId170" Type="http://schemas.openxmlformats.org/officeDocument/2006/relationships/image" Target="media/image163.png"/><Relationship Id="rId107" Type="http://schemas.openxmlformats.org/officeDocument/2006/relationships/image" Target="media/image100.png"/><Relationship Id="rId11" Type="http://schemas.openxmlformats.org/officeDocument/2006/relationships/image" Target="media/image4.png"/><Relationship Id="rId32" Type="http://schemas.openxmlformats.org/officeDocument/2006/relationships/image" Target="media/image25.png"/><Relationship Id="rId53" Type="http://schemas.openxmlformats.org/officeDocument/2006/relationships/image" Target="media/image46.png"/><Relationship Id="rId74" Type="http://schemas.openxmlformats.org/officeDocument/2006/relationships/image" Target="media/image67.png"/><Relationship Id="rId128" Type="http://schemas.openxmlformats.org/officeDocument/2006/relationships/image" Target="media/image121.png"/><Relationship Id="rId149" Type="http://schemas.openxmlformats.org/officeDocument/2006/relationships/image" Target="media/image142.png"/><Relationship Id="rId5" Type="http://schemas.openxmlformats.org/officeDocument/2006/relationships/webSettings" Target="webSettings.xml"/><Relationship Id="rId95" Type="http://schemas.openxmlformats.org/officeDocument/2006/relationships/image" Target="media/image88.png"/><Relationship Id="rId160" Type="http://schemas.openxmlformats.org/officeDocument/2006/relationships/image" Target="media/image153.png"/><Relationship Id="rId22" Type="http://schemas.openxmlformats.org/officeDocument/2006/relationships/image" Target="media/image15.png"/><Relationship Id="rId43" Type="http://schemas.openxmlformats.org/officeDocument/2006/relationships/image" Target="media/image36.png"/><Relationship Id="rId64" Type="http://schemas.openxmlformats.org/officeDocument/2006/relationships/image" Target="media/image57.png"/><Relationship Id="rId118" Type="http://schemas.openxmlformats.org/officeDocument/2006/relationships/image" Target="media/image111.png"/><Relationship Id="rId139" Type="http://schemas.openxmlformats.org/officeDocument/2006/relationships/image" Target="media/image132.png"/><Relationship Id="rId85" Type="http://schemas.openxmlformats.org/officeDocument/2006/relationships/image" Target="media/image78.png"/><Relationship Id="rId150" Type="http://schemas.openxmlformats.org/officeDocument/2006/relationships/image" Target="media/image143.png"/><Relationship Id="rId171" Type="http://schemas.openxmlformats.org/officeDocument/2006/relationships/image" Target="media/image164.png"/><Relationship Id="rId12" Type="http://schemas.openxmlformats.org/officeDocument/2006/relationships/image" Target="media/image5.png"/><Relationship Id="rId33" Type="http://schemas.openxmlformats.org/officeDocument/2006/relationships/image" Target="media/image26.png"/><Relationship Id="rId108" Type="http://schemas.openxmlformats.org/officeDocument/2006/relationships/image" Target="media/image101.png"/><Relationship Id="rId129" Type="http://schemas.openxmlformats.org/officeDocument/2006/relationships/image" Target="media/image122.png"/><Relationship Id="rId54" Type="http://schemas.openxmlformats.org/officeDocument/2006/relationships/image" Target="media/image47.png"/><Relationship Id="rId75" Type="http://schemas.openxmlformats.org/officeDocument/2006/relationships/image" Target="media/image68.png"/><Relationship Id="rId96" Type="http://schemas.openxmlformats.org/officeDocument/2006/relationships/image" Target="media/image89.png"/><Relationship Id="rId140" Type="http://schemas.openxmlformats.org/officeDocument/2006/relationships/image" Target="media/image133.png"/><Relationship Id="rId161" Type="http://schemas.openxmlformats.org/officeDocument/2006/relationships/image" Target="media/image154.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pn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image" Target="media/image107.png"/><Relationship Id="rId119" Type="http://schemas.openxmlformats.org/officeDocument/2006/relationships/image" Target="media/image112.png"/><Relationship Id="rId44"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image" Target="media/image58.png"/><Relationship Id="rId81" Type="http://schemas.openxmlformats.org/officeDocument/2006/relationships/image" Target="media/image74.png"/><Relationship Id="rId86" Type="http://schemas.openxmlformats.org/officeDocument/2006/relationships/image" Target="media/image79.png"/><Relationship Id="rId130" Type="http://schemas.openxmlformats.org/officeDocument/2006/relationships/image" Target="media/image123.png"/><Relationship Id="rId135" Type="http://schemas.openxmlformats.org/officeDocument/2006/relationships/image" Target="media/image128.png"/><Relationship Id="rId151" Type="http://schemas.openxmlformats.org/officeDocument/2006/relationships/image" Target="media/image144.png"/><Relationship Id="rId156" Type="http://schemas.openxmlformats.org/officeDocument/2006/relationships/image" Target="media/image149.png"/><Relationship Id="rId172" Type="http://schemas.openxmlformats.org/officeDocument/2006/relationships/image" Target="media/image165.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image" Target="media/image118.png"/><Relationship Id="rId141" Type="http://schemas.openxmlformats.org/officeDocument/2006/relationships/image" Target="media/image134.png"/><Relationship Id="rId146" Type="http://schemas.openxmlformats.org/officeDocument/2006/relationships/image" Target="media/image139.png"/><Relationship Id="rId167" Type="http://schemas.openxmlformats.org/officeDocument/2006/relationships/image" Target="media/image160.pn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162" Type="http://schemas.openxmlformats.org/officeDocument/2006/relationships/image" Target="media/image15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png"/><Relationship Id="rId131" Type="http://schemas.openxmlformats.org/officeDocument/2006/relationships/image" Target="media/image124.png"/><Relationship Id="rId136" Type="http://schemas.openxmlformats.org/officeDocument/2006/relationships/image" Target="media/image129.png"/><Relationship Id="rId157" Type="http://schemas.openxmlformats.org/officeDocument/2006/relationships/image" Target="media/image150.png"/><Relationship Id="rId61" Type="http://schemas.openxmlformats.org/officeDocument/2006/relationships/image" Target="media/image54.png"/><Relationship Id="rId82" Type="http://schemas.openxmlformats.org/officeDocument/2006/relationships/image" Target="media/image75.png"/><Relationship Id="rId152" Type="http://schemas.openxmlformats.org/officeDocument/2006/relationships/image" Target="media/image145.png"/><Relationship Id="rId173" Type="http://schemas.openxmlformats.org/officeDocument/2006/relationships/image" Target="media/image166.png"/><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26" Type="http://schemas.openxmlformats.org/officeDocument/2006/relationships/image" Target="media/image119.png"/><Relationship Id="rId147" Type="http://schemas.openxmlformats.org/officeDocument/2006/relationships/image" Target="media/image140.png"/><Relationship Id="rId168" Type="http://schemas.openxmlformats.org/officeDocument/2006/relationships/image" Target="media/image161.png"/><Relationship Id="rId8" Type="http://schemas.openxmlformats.org/officeDocument/2006/relationships/image" Target="media/image1.emf"/><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image" Target="media/image114.png"/><Relationship Id="rId142" Type="http://schemas.openxmlformats.org/officeDocument/2006/relationships/image" Target="media/image135.png"/><Relationship Id="rId163" Type="http://schemas.openxmlformats.org/officeDocument/2006/relationships/image" Target="media/image156.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image" Target="media/image109.png"/><Relationship Id="rId137" Type="http://schemas.openxmlformats.org/officeDocument/2006/relationships/image" Target="media/image130.png"/><Relationship Id="rId158" Type="http://schemas.openxmlformats.org/officeDocument/2006/relationships/image" Target="media/image151.png"/><Relationship Id="rId20" Type="http://schemas.openxmlformats.org/officeDocument/2006/relationships/image" Target="media/image13.png"/><Relationship Id="rId41" Type="http://schemas.openxmlformats.org/officeDocument/2006/relationships/image" Target="media/image34.png"/><Relationship Id="rId62" Type="http://schemas.openxmlformats.org/officeDocument/2006/relationships/image" Target="media/image55.pn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32" Type="http://schemas.openxmlformats.org/officeDocument/2006/relationships/image" Target="media/image125.png"/><Relationship Id="rId153" Type="http://schemas.openxmlformats.org/officeDocument/2006/relationships/image" Target="media/image146.png"/><Relationship Id="rId174" Type="http://schemas.openxmlformats.org/officeDocument/2006/relationships/footer" Target="footer1.xml"/><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99.png"/><Relationship Id="rId127" Type="http://schemas.openxmlformats.org/officeDocument/2006/relationships/image" Target="media/image120.png"/><Relationship Id="rId10" Type="http://schemas.openxmlformats.org/officeDocument/2006/relationships/image" Target="media/image3.png"/><Relationship Id="rId31" Type="http://schemas.openxmlformats.org/officeDocument/2006/relationships/image" Target="media/image24.png"/><Relationship Id="rId52" Type="http://schemas.openxmlformats.org/officeDocument/2006/relationships/image" Target="media/image45.png"/><Relationship Id="rId73" Type="http://schemas.openxmlformats.org/officeDocument/2006/relationships/image" Target="media/image66.png"/><Relationship Id="rId78" Type="http://schemas.openxmlformats.org/officeDocument/2006/relationships/image" Target="media/image71.pn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43" Type="http://schemas.openxmlformats.org/officeDocument/2006/relationships/image" Target="media/image136.png"/><Relationship Id="rId148" Type="http://schemas.openxmlformats.org/officeDocument/2006/relationships/image" Target="media/image141.png"/><Relationship Id="rId164" Type="http://schemas.openxmlformats.org/officeDocument/2006/relationships/image" Target="media/image157.png"/><Relationship Id="rId169" Type="http://schemas.openxmlformats.org/officeDocument/2006/relationships/image" Target="media/image162.pn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9.png"/><Relationship Id="rId47" Type="http://schemas.openxmlformats.org/officeDocument/2006/relationships/image" Target="media/image40.png"/><Relationship Id="rId68" Type="http://schemas.openxmlformats.org/officeDocument/2006/relationships/image" Target="media/image61.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6.png"/><Relationship Id="rId154" Type="http://schemas.openxmlformats.org/officeDocument/2006/relationships/image" Target="media/image147.png"/><Relationship Id="rId175" Type="http://schemas.openxmlformats.org/officeDocument/2006/relationships/fontTable" Target="fontTable.xml"/><Relationship Id="rId16" Type="http://schemas.openxmlformats.org/officeDocument/2006/relationships/image" Target="media/image9.png"/><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44" Type="http://schemas.openxmlformats.org/officeDocument/2006/relationships/image" Target="media/image137.png"/><Relationship Id="rId90" Type="http://schemas.openxmlformats.org/officeDocument/2006/relationships/image" Target="media/image83.png"/><Relationship Id="rId165" Type="http://schemas.openxmlformats.org/officeDocument/2006/relationships/image" Target="media/image158.png"/><Relationship Id="rId27" Type="http://schemas.openxmlformats.org/officeDocument/2006/relationships/image" Target="media/image20.png"/><Relationship Id="rId48" Type="http://schemas.openxmlformats.org/officeDocument/2006/relationships/image" Target="media/image41.png"/><Relationship Id="rId69" Type="http://schemas.openxmlformats.org/officeDocument/2006/relationships/image" Target="media/image62.png"/><Relationship Id="rId113" Type="http://schemas.openxmlformats.org/officeDocument/2006/relationships/image" Target="media/image106.png"/><Relationship Id="rId134" Type="http://schemas.openxmlformats.org/officeDocument/2006/relationships/image" Target="media/image127.png"/><Relationship Id="rId80" Type="http://schemas.openxmlformats.org/officeDocument/2006/relationships/image" Target="media/image73.png"/><Relationship Id="rId155" Type="http://schemas.openxmlformats.org/officeDocument/2006/relationships/image" Target="media/image148.png"/><Relationship Id="rId176" Type="http://schemas.openxmlformats.org/officeDocument/2006/relationships/theme" Target="theme/theme1.xml"/><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24" Type="http://schemas.openxmlformats.org/officeDocument/2006/relationships/image" Target="media/image117.png"/><Relationship Id="rId70" Type="http://schemas.openxmlformats.org/officeDocument/2006/relationships/image" Target="media/image63.png"/><Relationship Id="rId91" Type="http://schemas.openxmlformats.org/officeDocument/2006/relationships/image" Target="media/image84.png"/><Relationship Id="rId145" Type="http://schemas.openxmlformats.org/officeDocument/2006/relationships/image" Target="media/image138.png"/><Relationship Id="rId166" Type="http://schemas.openxmlformats.org/officeDocument/2006/relationships/image" Target="media/image159.png"/></Relationships>
</file>

<file path=word/_rels/footnotes.xml.rels><?xml version="1.0" encoding="UTF-8" standalone="yes"?>
<Relationships xmlns="http://schemas.openxmlformats.org/package/2006/relationships"><Relationship Id="rId3" Type="http://schemas.openxmlformats.org/officeDocument/2006/relationships/hyperlink" Target="https://data.europa.eu/doi/10.2767/36063" TargetMode="External"/><Relationship Id="rId2" Type="http://schemas.openxmlformats.org/officeDocument/2006/relationships/hyperlink" Target="https://www.researchgate.net/publication/24135891" TargetMode="External"/><Relationship Id="rId1" Type="http://schemas.openxmlformats.org/officeDocument/2006/relationships/hyperlink" Target="https://doi.org/10.1016/j.jbusres.2019.09.05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966470-5F4D-4EF9-AAE3-DECE37D84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183</Pages>
  <Words>33719</Words>
  <Characters>192203</Characters>
  <Application>Microsoft Office Word</Application>
  <DocSecurity>0</DocSecurity>
  <Lines>1601</Lines>
  <Paragraphs>450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225472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Giovanni Giove</dc:creator>
  <cp:keywords/>
  <dc:description/>
  <cp:lastModifiedBy>Giovanni Giove</cp:lastModifiedBy>
  <cp:revision>2</cp:revision>
  <cp:lastPrinted>2024-02-19T00:05:00Z</cp:lastPrinted>
  <dcterms:created xsi:type="dcterms:W3CDTF">2024-05-01T11:48:00Z</dcterms:created>
  <dcterms:modified xsi:type="dcterms:W3CDTF">2024-05-01T11:48:00Z</dcterms:modified>
</cp:coreProperties>
</file>