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F9E0" w14:textId="4F7B9705" w:rsidR="00553D24" w:rsidRPr="00E6702C" w:rsidRDefault="00F84057" w:rsidP="00C72C15">
      <w:pPr>
        <w:pStyle w:val="Titolo1"/>
        <w:spacing w:before="0" w:after="360"/>
        <w:rPr>
          <w:sz w:val="72"/>
          <w:szCs w:val="72"/>
        </w:rPr>
      </w:pPr>
      <w:r>
        <w:rPr>
          <w:sz w:val="72"/>
          <w:szCs w:val="72"/>
        </w:rPr>
        <w:t>Abstract</w:t>
      </w:r>
    </w:p>
    <w:p w14:paraId="371426D3" w14:textId="2D7AC3C3" w:rsidR="006C511C" w:rsidRPr="00E6702C" w:rsidRDefault="00B46AB7" w:rsidP="00C72C15">
      <w:pPr>
        <w:spacing w:after="0" w:line="240" w:lineRule="auto"/>
        <w:jc w:val="both"/>
        <w:rPr>
          <w:sz w:val="24"/>
        </w:rPr>
      </w:pPr>
      <w:r w:rsidRPr="00E6702C">
        <w:rPr>
          <w:sz w:val="24"/>
        </w:rPr>
        <w:t xml:space="preserve">Alzheimer’s disease (AD) </w:t>
      </w:r>
      <w:r w:rsidR="00132DFF" w:rsidRPr="00E6702C">
        <w:rPr>
          <w:sz w:val="24"/>
        </w:rPr>
        <w:t>is</w:t>
      </w:r>
      <w:r w:rsidRPr="00E6702C">
        <w:rPr>
          <w:sz w:val="24"/>
        </w:rPr>
        <w:t xml:space="preserve"> the </w:t>
      </w:r>
      <w:r w:rsidR="0003570B" w:rsidRPr="00E6702C">
        <w:rPr>
          <w:sz w:val="24"/>
        </w:rPr>
        <w:t>leading</w:t>
      </w:r>
      <w:r w:rsidRPr="00E6702C">
        <w:rPr>
          <w:sz w:val="24"/>
        </w:rPr>
        <w:t xml:space="preserve"> cause of dementia</w:t>
      </w:r>
      <w:r w:rsidR="0003570B" w:rsidRPr="00E6702C">
        <w:rPr>
          <w:sz w:val="24"/>
        </w:rPr>
        <w:t xml:space="preserve">, affecting </w:t>
      </w:r>
      <w:r w:rsidRPr="00E6702C">
        <w:rPr>
          <w:sz w:val="24"/>
        </w:rPr>
        <w:t xml:space="preserve">approximately 60 million people </w:t>
      </w:r>
      <w:r w:rsidR="00132DFF" w:rsidRPr="00E6702C">
        <w:rPr>
          <w:sz w:val="24"/>
        </w:rPr>
        <w:t>worldwide</w:t>
      </w:r>
      <w:r w:rsidR="0003570B" w:rsidRPr="00E6702C">
        <w:rPr>
          <w:sz w:val="24"/>
        </w:rPr>
        <w:t xml:space="preserve">. </w:t>
      </w:r>
      <w:r w:rsidR="00132DFF" w:rsidRPr="00E6702C">
        <w:rPr>
          <w:sz w:val="24"/>
        </w:rPr>
        <w:t>Its</w:t>
      </w:r>
      <w:r w:rsidR="0003570B" w:rsidRPr="00E6702C">
        <w:rPr>
          <w:sz w:val="24"/>
        </w:rPr>
        <w:t xml:space="preserve"> main pathological hallmarks include a</w:t>
      </w:r>
      <w:r w:rsidRPr="00E6702C">
        <w:rPr>
          <w:sz w:val="24"/>
        </w:rPr>
        <w:t>myloid-</w:t>
      </w:r>
      <w:r w:rsidR="00A02572" w:rsidRPr="00E6702C">
        <w:rPr>
          <w:rFonts w:cs="Times New Roman"/>
          <w:sz w:val="24"/>
        </w:rPr>
        <w:t>β</w:t>
      </w:r>
      <w:r w:rsidR="0003570B" w:rsidRPr="00E6702C">
        <w:rPr>
          <w:rFonts w:cs="Times New Roman"/>
          <w:sz w:val="24"/>
        </w:rPr>
        <w:t xml:space="preserve"> (Aβ)</w:t>
      </w:r>
      <w:r w:rsidR="00A02572" w:rsidRPr="00E6702C">
        <w:rPr>
          <w:sz w:val="24"/>
        </w:rPr>
        <w:t xml:space="preserve"> aggregation, tau hyperphosphorylation, </w:t>
      </w:r>
      <w:r w:rsidR="006C511C" w:rsidRPr="00E6702C">
        <w:rPr>
          <w:sz w:val="24"/>
        </w:rPr>
        <w:t xml:space="preserve">and chronic </w:t>
      </w:r>
      <w:r w:rsidR="00A02572" w:rsidRPr="00E6702C">
        <w:rPr>
          <w:sz w:val="24"/>
        </w:rPr>
        <w:t>neuroinflammation</w:t>
      </w:r>
      <w:r w:rsidR="00542754" w:rsidRPr="00E6702C">
        <w:rPr>
          <w:sz w:val="24"/>
        </w:rPr>
        <w:t>, leading to</w:t>
      </w:r>
      <w:r w:rsidR="006C511C" w:rsidRPr="00E6702C">
        <w:rPr>
          <w:sz w:val="24"/>
        </w:rPr>
        <w:t xml:space="preserve"> </w:t>
      </w:r>
      <w:r w:rsidR="002009B2" w:rsidRPr="00E6702C">
        <w:rPr>
          <w:sz w:val="24"/>
        </w:rPr>
        <w:t>memory deficits, language difficulties, and impaired executive functions.</w:t>
      </w:r>
      <w:r w:rsidR="00A02572" w:rsidRPr="00E6702C">
        <w:rPr>
          <w:sz w:val="24"/>
        </w:rPr>
        <w:t xml:space="preserve"> </w:t>
      </w:r>
      <w:r w:rsidR="00542754" w:rsidRPr="00E6702C">
        <w:rPr>
          <w:sz w:val="24"/>
        </w:rPr>
        <w:t xml:space="preserve">Since the </w:t>
      </w:r>
      <w:r w:rsidR="002009B2" w:rsidRPr="00E6702C">
        <w:rPr>
          <w:sz w:val="24"/>
        </w:rPr>
        <w:t xml:space="preserve">current </w:t>
      </w:r>
      <w:r w:rsidR="00A02572" w:rsidRPr="00E6702C">
        <w:rPr>
          <w:sz w:val="24"/>
        </w:rPr>
        <w:t xml:space="preserve">therapeutic options </w:t>
      </w:r>
      <w:r w:rsidR="002009B2" w:rsidRPr="00E6702C">
        <w:rPr>
          <w:sz w:val="24"/>
        </w:rPr>
        <w:t xml:space="preserve">are largely symptomatic, </w:t>
      </w:r>
      <w:r w:rsidR="00542754" w:rsidRPr="00E6702C">
        <w:rPr>
          <w:sz w:val="24"/>
        </w:rPr>
        <w:t>there is the</w:t>
      </w:r>
      <w:r w:rsidR="002009B2" w:rsidRPr="00E6702C">
        <w:rPr>
          <w:sz w:val="24"/>
        </w:rPr>
        <w:t xml:space="preserve"> urgent need for novel disease-modifying strategies targeting multiple aspects of AD pathology. </w:t>
      </w:r>
      <w:r w:rsidR="00542754" w:rsidRPr="00E6702C">
        <w:rPr>
          <w:sz w:val="24"/>
        </w:rPr>
        <w:t>This thesis investigates two therapeutic approaches in preclinical AD models:</w:t>
      </w:r>
      <w:r w:rsidR="002009B2" w:rsidRPr="00E6702C">
        <w:rPr>
          <w:sz w:val="24"/>
        </w:rPr>
        <w:t xml:space="preserve"> </w:t>
      </w:r>
      <w:r w:rsidR="00542754" w:rsidRPr="00E6702C">
        <w:rPr>
          <w:sz w:val="24"/>
        </w:rPr>
        <w:t>(</w:t>
      </w:r>
      <w:r w:rsidR="002009B2" w:rsidRPr="00E6702C">
        <w:rPr>
          <w:sz w:val="24"/>
        </w:rPr>
        <w:t xml:space="preserve">1) the effects of growth hormone-releasing hormone (GHRH) </w:t>
      </w:r>
      <w:r w:rsidR="00542754" w:rsidRPr="00E6702C">
        <w:rPr>
          <w:sz w:val="24"/>
        </w:rPr>
        <w:t>and its agonist MR-409</w:t>
      </w:r>
      <w:r w:rsidR="002009B2" w:rsidRPr="00E6702C">
        <w:rPr>
          <w:sz w:val="24"/>
        </w:rPr>
        <w:t xml:space="preserve">, and </w:t>
      </w:r>
      <w:r w:rsidR="00542754" w:rsidRPr="00E6702C">
        <w:rPr>
          <w:sz w:val="24"/>
        </w:rPr>
        <w:t>(</w:t>
      </w:r>
      <w:r w:rsidR="002009B2" w:rsidRPr="00E6702C">
        <w:rPr>
          <w:sz w:val="24"/>
        </w:rPr>
        <w:t xml:space="preserve">2) mesenchymal stem cell (MSC)-derived extracellular vesicles (EVs) </w:t>
      </w:r>
    </w:p>
    <w:p w14:paraId="211D1BC5" w14:textId="563979A1" w:rsidR="00542754" w:rsidRPr="00E6702C" w:rsidRDefault="00542754" w:rsidP="00C72C15">
      <w:pPr>
        <w:spacing w:after="0" w:line="240" w:lineRule="auto"/>
        <w:jc w:val="both"/>
        <w:rPr>
          <w:sz w:val="24"/>
        </w:rPr>
      </w:pPr>
      <w:r w:rsidRPr="00E6702C">
        <w:rPr>
          <w:sz w:val="24"/>
        </w:rPr>
        <w:t>Beyond its endocrine functions, g</w:t>
      </w:r>
      <w:r w:rsidR="003C71DE" w:rsidRPr="00E6702C">
        <w:rPr>
          <w:sz w:val="24"/>
        </w:rPr>
        <w:t>rowth hormone-releasing hormone (GHRH) is a hypothalamic neuropeptide</w:t>
      </w:r>
      <w:r w:rsidRPr="00E6702C">
        <w:rPr>
          <w:sz w:val="24"/>
        </w:rPr>
        <w:t xml:space="preserve"> which </w:t>
      </w:r>
      <w:r w:rsidR="003C71DE" w:rsidRPr="00E6702C">
        <w:rPr>
          <w:sz w:val="24"/>
        </w:rPr>
        <w:t>exerts significant effects within the central nervous system (CNS)</w:t>
      </w:r>
      <w:r w:rsidRPr="00E6702C">
        <w:rPr>
          <w:sz w:val="24"/>
        </w:rPr>
        <w:t xml:space="preserve">. Indeed, </w:t>
      </w:r>
      <w:r w:rsidR="006C511C" w:rsidRPr="00E6702C">
        <w:rPr>
          <w:sz w:val="24"/>
        </w:rPr>
        <w:t>s</w:t>
      </w:r>
      <w:r w:rsidR="003C71DE" w:rsidRPr="00E6702C">
        <w:rPr>
          <w:sz w:val="24"/>
        </w:rPr>
        <w:t>ynthetic GHRH agonists</w:t>
      </w:r>
      <w:r w:rsidR="00760332" w:rsidRPr="00E6702C">
        <w:rPr>
          <w:sz w:val="24"/>
        </w:rPr>
        <w:t xml:space="preserve"> have shown </w:t>
      </w:r>
      <w:r w:rsidR="003C71DE" w:rsidRPr="00E6702C">
        <w:rPr>
          <w:sz w:val="24"/>
        </w:rPr>
        <w:t xml:space="preserve">neuroprotective effects </w:t>
      </w:r>
      <w:r w:rsidR="002C50F6" w:rsidRPr="00E6702C">
        <w:rPr>
          <w:sz w:val="24"/>
        </w:rPr>
        <w:t xml:space="preserve">in </w:t>
      </w:r>
      <w:r w:rsidR="003C71DE" w:rsidRPr="00E6702C">
        <w:rPr>
          <w:sz w:val="24"/>
        </w:rPr>
        <w:t xml:space="preserve">several neurological conditions, </w:t>
      </w:r>
      <w:r w:rsidR="006C511C" w:rsidRPr="00E6702C">
        <w:rPr>
          <w:sz w:val="24"/>
        </w:rPr>
        <w:t xml:space="preserve">thus </w:t>
      </w:r>
      <w:r w:rsidR="00760332" w:rsidRPr="00E6702C">
        <w:rPr>
          <w:sz w:val="24"/>
        </w:rPr>
        <w:t>positioning them as</w:t>
      </w:r>
      <w:r w:rsidR="003C71DE" w:rsidRPr="00E6702C">
        <w:rPr>
          <w:sz w:val="24"/>
        </w:rPr>
        <w:t xml:space="preserve"> promising candidate</w:t>
      </w:r>
      <w:r w:rsidR="00760332" w:rsidRPr="00E6702C">
        <w:rPr>
          <w:sz w:val="24"/>
        </w:rPr>
        <w:t>s</w:t>
      </w:r>
      <w:r w:rsidR="003C71DE" w:rsidRPr="00E6702C">
        <w:rPr>
          <w:sz w:val="24"/>
        </w:rPr>
        <w:t xml:space="preserve"> for the treatment of AD.</w:t>
      </w:r>
      <w:r w:rsidR="006C511C" w:rsidRPr="00E6702C">
        <w:rPr>
          <w:sz w:val="24"/>
        </w:rPr>
        <w:t xml:space="preserve"> To assess cellular response to GHRH stimulation, we used</w:t>
      </w:r>
      <w:r w:rsidR="00760332" w:rsidRPr="00E6702C">
        <w:rPr>
          <w:sz w:val="24"/>
        </w:rPr>
        <w:t xml:space="preserve"> n</w:t>
      </w:r>
      <w:r w:rsidR="003C71DE" w:rsidRPr="00E6702C">
        <w:rPr>
          <w:sz w:val="24"/>
        </w:rPr>
        <w:t>eural stem cells</w:t>
      </w:r>
      <w:r w:rsidR="00760332" w:rsidRPr="00E6702C">
        <w:rPr>
          <w:sz w:val="24"/>
        </w:rPr>
        <w:t xml:space="preserve"> (NSCs)</w:t>
      </w:r>
      <w:r w:rsidRPr="00E6702C">
        <w:rPr>
          <w:sz w:val="24"/>
        </w:rPr>
        <w:t>, and</w:t>
      </w:r>
      <w:r w:rsidR="00F84057">
        <w:rPr>
          <w:sz w:val="24"/>
        </w:rPr>
        <w:t xml:space="preserve">, </w:t>
      </w:r>
      <w:r w:rsidR="00F84057" w:rsidRPr="00E6702C">
        <w:rPr>
          <w:sz w:val="24"/>
        </w:rPr>
        <w:t>even in the presence of A</w:t>
      </w:r>
      <w:r w:rsidR="00F84057" w:rsidRPr="00E6702C">
        <w:rPr>
          <w:rFonts w:cs="Times New Roman"/>
          <w:sz w:val="24"/>
        </w:rPr>
        <w:t>β</w:t>
      </w:r>
      <w:r w:rsidR="00F84057">
        <w:rPr>
          <w:rFonts w:cs="Times New Roman"/>
          <w:sz w:val="24"/>
        </w:rPr>
        <w:t xml:space="preserve"> fragments</w:t>
      </w:r>
      <w:r w:rsidR="00F84057" w:rsidRPr="00E6702C">
        <w:rPr>
          <w:sz w:val="24"/>
        </w:rPr>
        <w:t xml:space="preserve">, </w:t>
      </w:r>
      <w:r w:rsidR="006C511C" w:rsidRPr="00E6702C">
        <w:rPr>
          <w:sz w:val="24"/>
        </w:rPr>
        <w:t xml:space="preserve">we observed improved cell </w:t>
      </w:r>
      <w:r w:rsidR="003C71DE" w:rsidRPr="00E6702C">
        <w:rPr>
          <w:sz w:val="24"/>
        </w:rPr>
        <w:t xml:space="preserve"> proliferation</w:t>
      </w:r>
      <w:r w:rsidR="006C511C" w:rsidRPr="00E6702C">
        <w:rPr>
          <w:sz w:val="24"/>
        </w:rPr>
        <w:t xml:space="preserve"> and </w:t>
      </w:r>
      <w:r w:rsidR="003C71DE" w:rsidRPr="00E6702C">
        <w:rPr>
          <w:sz w:val="24"/>
        </w:rPr>
        <w:t xml:space="preserve">viability, </w:t>
      </w:r>
      <w:r w:rsidR="006C511C" w:rsidRPr="00E6702C">
        <w:rPr>
          <w:sz w:val="24"/>
        </w:rPr>
        <w:t xml:space="preserve">decreased </w:t>
      </w:r>
      <w:r w:rsidR="003C71DE" w:rsidRPr="00E6702C">
        <w:rPr>
          <w:sz w:val="24"/>
        </w:rPr>
        <w:t>apoptosis, and</w:t>
      </w:r>
      <w:r w:rsidR="006C511C" w:rsidRPr="00E6702C">
        <w:rPr>
          <w:sz w:val="24"/>
        </w:rPr>
        <w:t xml:space="preserve"> </w:t>
      </w:r>
      <w:r w:rsidRPr="00E6702C">
        <w:rPr>
          <w:sz w:val="24"/>
        </w:rPr>
        <w:t xml:space="preserve">activated pro-survival and anti-inflammatory signaling pathways, including PI3K/Akt and GSK3β, which are implicated in tau phosphorylation. </w:t>
      </w:r>
      <w:r w:rsidR="00B850D9" w:rsidRPr="00E6702C">
        <w:rPr>
          <w:sz w:val="24"/>
        </w:rPr>
        <w:t>As f</w:t>
      </w:r>
      <w:r w:rsidR="003C71DE" w:rsidRPr="00E6702C">
        <w:rPr>
          <w:sz w:val="24"/>
        </w:rPr>
        <w:t xml:space="preserve">or </w:t>
      </w:r>
      <w:r w:rsidR="003C71DE" w:rsidRPr="00E6702C">
        <w:rPr>
          <w:i/>
          <w:iCs/>
          <w:sz w:val="24"/>
        </w:rPr>
        <w:t>in vivo</w:t>
      </w:r>
      <w:r w:rsidR="003C71DE" w:rsidRPr="00E6702C">
        <w:rPr>
          <w:sz w:val="24"/>
        </w:rPr>
        <w:t xml:space="preserve"> experiments, </w:t>
      </w:r>
      <w:r w:rsidRPr="00E6702C">
        <w:rPr>
          <w:sz w:val="24"/>
        </w:rPr>
        <w:t xml:space="preserve">the </w:t>
      </w:r>
      <w:r w:rsidR="00760332" w:rsidRPr="00E6702C">
        <w:rPr>
          <w:sz w:val="24"/>
        </w:rPr>
        <w:t xml:space="preserve">chronic treatment </w:t>
      </w:r>
      <w:r w:rsidR="00B850D9" w:rsidRPr="00E6702C">
        <w:rPr>
          <w:sz w:val="24"/>
        </w:rPr>
        <w:t xml:space="preserve">of 3-month-old 5xFAD with MR-409 determined </w:t>
      </w:r>
      <w:r w:rsidR="00760332" w:rsidRPr="00E6702C">
        <w:rPr>
          <w:sz w:val="24"/>
        </w:rPr>
        <w:t>reduced Aβ plaque burden</w:t>
      </w:r>
      <w:r w:rsidR="00B850D9" w:rsidRPr="00E6702C">
        <w:rPr>
          <w:sz w:val="24"/>
        </w:rPr>
        <w:t>,</w:t>
      </w:r>
      <w:r w:rsidR="00760332" w:rsidRPr="00E6702C">
        <w:rPr>
          <w:sz w:val="24"/>
        </w:rPr>
        <w:t xml:space="preserve"> attenuated microglial and astroglial activation, suppressed NF-κB–mediated </w:t>
      </w:r>
      <w:r w:rsidR="00B850D9" w:rsidRPr="00E6702C">
        <w:rPr>
          <w:sz w:val="24"/>
        </w:rPr>
        <w:t>inflammation, and</w:t>
      </w:r>
      <w:r w:rsidR="00760332" w:rsidRPr="00E6702C">
        <w:rPr>
          <w:sz w:val="24"/>
        </w:rPr>
        <w:t xml:space="preserve"> preserved neuronal survival. Collectively, these results highlight GHRH agonists as pleiotropic agents capable of simultaneously targeting multiple AD hallmarks</w:t>
      </w:r>
      <w:r w:rsidR="00B850D9" w:rsidRPr="00E6702C">
        <w:rPr>
          <w:sz w:val="24"/>
        </w:rPr>
        <w:t>.</w:t>
      </w:r>
    </w:p>
    <w:p w14:paraId="7D378950" w14:textId="106472EC" w:rsidR="00022A27" w:rsidRPr="00E6702C" w:rsidRDefault="00E6702C" w:rsidP="00C72C15">
      <w:pPr>
        <w:spacing w:after="0" w:line="240" w:lineRule="auto"/>
        <w:jc w:val="both"/>
        <w:rPr>
          <w:sz w:val="24"/>
        </w:rPr>
      </w:pPr>
      <w:r w:rsidRPr="00E6702C">
        <w:rPr>
          <w:sz w:val="24"/>
        </w:rPr>
        <w:t xml:space="preserve">The second projects investigates </w:t>
      </w:r>
      <w:r w:rsidR="0082629B" w:rsidRPr="00E6702C">
        <w:rPr>
          <w:sz w:val="24"/>
        </w:rPr>
        <w:t>MSC</w:t>
      </w:r>
      <w:r w:rsidRPr="00E6702C">
        <w:rPr>
          <w:sz w:val="24"/>
        </w:rPr>
        <w:t>-derived EVs, which mediate many of the regenerative and immunomodulatory effects of MSCs.</w:t>
      </w:r>
      <w:r w:rsidR="0082629B" w:rsidRPr="00E6702C">
        <w:rPr>
          <w:sz w:val="24"/>
        </w:rPr>
        <w:t xml:space="preserve"> </w:t>
      </w:r>
      <w:r w:rsidRPr="00E6702C">
        <w:rPr>
          <w:sz w:val="24"/>
        </w:rPr>
        <w:t xml:space="preserve">They </w:t>
      </w:r>
      <w:r w:rsidR="00022A27" w:rsidRPr="00E6702C">
        <w:rPr>
          <w:sz w:val="24"/>
        </w:rPr>
        <w:t xml:space="preserve">are small </w:t>
      </w:r>
      <w:r w:rsidR="00132DFF" w:rsidRPr="00E6702C">
        <w:rPr>
          <w:sz w:val="24"/>
        </w:rPr>
        <w:t>membrane-bound nanoparticles, which carry</w:t>
      </w:r>
      <w:r w:rsidR="00022A27" w:rsidRPr="00E6702C">
        <w:rPr>
          <w:sz w:val="24"/>
        </w:rPr>
        <w:t xml:space="preserve"> proteins, lipids, and nucleic acids</w:t>
      </w:r>
      <w:r>
        <w:rPr>
          <w:sz w:val="24"/>
        </w:rPr>
        <w:t xml:space="preserve"> and whose composition can change according to the functional state of the producing cells</w:t>
      </w:r>
      <w:r w:rsidR="00132DFF" w:rsidRPr="00E6702C">
        <w:rPr>
          <w:sz w:val="24"/>
        </w:rPr>
        <w:t>: this is why i</w:t>
      </w:r>
      <w:r w:rsidR="00022A27" w:rsidRPr="00E6702C">
        <w:rPr>
          <w:sz w:val="24"/>
        </w:rPr>
        <w:t>n this project,</w:t>
      </w:r>
      <w:r>
        <w:rPr>
          <w:sz w:val="24"/>
        </w:rPr>
        <w:t xml:space="preserve"> bone-marrow derived</w:t>
      </w:r>
      <w:r w:rsidR="00022A27" w:rsidRPr="00E6702C">
        <w:rPr>
          <w:sz w:val="24"/>
        </w:rPr>
        <w:t xml:space="preserve"> EVs </w:t>
      </w:r>
      <w:r>
        <w:rPr>
          <w:sz w:val="24"/>
        </w:rPr>
        <w:t xml:space="preserve">were </w:t>
      </w:r>
      <w:r w:rsidR="00022A27" w:rsidRPr="00E6702C">
        <w:rPr>
          <w:sz w:val="24"/>
        </w:rPr>
        <w:t xml:space="preserve">preconditioned via oxygen-glucose deprivation (OGD) or a cytokine cocktail (CYTO). While maintaining typical EV features and expression markers also after the preconditioning, proteomic analysis revealed distinct cargo profiles: CYTO-EVs were enriched in proteins related to anti-inflammatory pathways and extracellular matrix regulation, </w:t>
      </w:r>
      <w:r>
        <w:rPr>
          <w:sz w:val="24"/>
        </w:rPr>
        <w:t>while</w:t>
      </w:r>
      <w:r w:rsidR="00022A27" w:rsidRPr="00E6702C">
        <w:rPr>
          <w:sz w:val="24"/>
        </w:rPr>
        <w:t xml:space="preserve"> OGD-EVs contained proteins involved in proteostasis and protein turnover. </w:t>
      </w:r>
      <w:r>
        <w:rPr>
          <w:sz w:val="24"/>
        </w:rPr>
        <w:t xml:space="preserve">Following intranasal administration to 5xFAD mice, </w:t>
      </w:r>
      <w:r w:rsidR="00022A27" w:rsidRPr="00E6702C">
        <w:rPr>
          <w:sz w:val="24"/>
        </w:rPr>
        <w:t xml:space="preserve">EVs </w:t>
      </w:r>
      <w:r>
        <w:rPr>
          <w:sz w:val="24"/>
        </w:rPr>
        <w:t xml:space="preserve">reduced both neuroinflammation and amyloid deposition. </w:t>
      </w:r>
      <w:r w:rsidR="00A043F9">
        <w:rPr>
          <w:sz w:val="24"/>
        </w:rPr>
        <w:t>Unfortunately, we did not observed cognitive rescue after the treatment. To rule out the possibility that a positive effect could actually be masked by the severity of the phenotype typical of 5xFAD, we applied the same protocol to wild-type animals: both</w:t>
      </w:r>
      <w:r w:rsidR="00F84057">
        <w:rPr>
          <w:sz w:val="24"/>
        </w:rPr>
        <w:t xml:space="preserve"> types of</w:t>
      </w:r>
      <w:r w:rsidR="00A043F9">
        <w:rPr>
          <w:sz w:val="24"/>
        </w:rPr>
        <w:t xml:space="preserve"> EVs enhanced cognitive capabilities and </w:t>
      </w:r>
      <w:r w:rsidR="00C72C15">
        <w:rPr>
          <w:sz w:val="24"/>
        </w:rPr>
        <w:t xml:space="preserve">lowered </w:t>
      </w:r>
      <w:r w:rsidR="00A043F9">
        <w:rPr>
          <w:sz w:val="24"/>
        </w:rPr>
        <w:t xml:space="preserve">anxiety-related behaviours, which correlated with increased neuronal activation in different brain regions involved in memory formation and learning. </w:t>
      </w:r>
      <w:r w:rsidR="00022A27" w:rsidRPr="00E6702C">
        <w:rPr>
          <w:sz w:val="24"/>
        </w:rPr>
        <w:t xml:space="preserve">These findings demonstrate that MSC-derived EVs exert immunomodulatory and neurofunctional effects </w:t>
      </w:r>
      <w:r w:rsidR="00022A27" w:rsidRPr="00E6702C">
        <w:rPr>
          <w:i/>
          <w:iCs/>
          <w:sz w:val="24"/>
        </w:rPr>
        <w:t>in vivo</w:t>
      </w:r>
      <w:r w:rsidR="00022A27" w:rsidRPr="00E6702C">
        <w:rPr>
          <w:sz w:val="24"/>
        </w:rPr>
        <w:t xml:space="preserve"> and highlight the potential of EV-based therapies</w:t>
      </w:r>
      <w:r w:rsidR="002C50F6" w:rsidRPr="00E6702C">
        <w:rPr>
          <w:sz w:val="24"/>
        </w:rPr>
        <w:t xml:space="preserve"> - </w:t>
      </w:r>
      <w:r w:rsidR="00022A27" w:rsidRPr="00E6702C">
        <w:rPr>
          <w:sz w:val="24"/>
        </w:rPr>
        <w:t>particularly with non-invasive delivery routes</w:t>
      </w:r>
      <w:r w:rsidR="002C50F6" w:rsidRPr="00E6702C">
        <w:rPr>
          <w:sz w:val="24"/>
        </w:rPr>
        <w:t xml:space="preserve"> - </w:t>
      </w:r>
      <w:r w:rsidR="00022A27" w:rsidRPr="00E6702C">
        <w:rPr>
          <w:sz w:val="24"/>
        </w:rPr>
        <w:t>as promising strategies for neurodegenerative disorders.</w:t>
      </w:r>
    </w:p>
    <w:p w14:paraId="54607427" w14:textId="422ED310" w:rsidR="00241327" w:rsidRPr="00E6702C" w:rsidRDefault="00022A27" w:rsidP="00C72C15">
      <w:pPr>
        <w:spacing w:line="240" w:lineRule="auto"/>
        <w:jc w:val="both"/>
        <w:rPr>
          <w:sz w:val="24"/>
        </w:rPr>
      </w:pPr>
      <w:r w:rsidRPr="00E6702C">
        <w:rPr>
          <w:sz w:val="24"/>
        </w:rPr>
        <w:t xml:space="preserve">These findings demonstrate that both GHRH agonists and MSC-derived extracellular vesicles can simultaneously target multiple hallmarks of AD, including amyloid and tau pathology, neuroinflammation, and neuronal dysfunction. By modulating key molecular and cellular pathways, these approaches offer promising disease-modifying potential and </w:t>
      </w:r>
      <w:r w:rsidR="002C50F6" w:rsidRPr="00E6702C">
        <w:rPr>
          <w:sz w:val="24"/>
        </w:rPr>
        <w:t>emphasize</w:t>
      </w:r>
      <w:r w:rsidRPr="00E6702C">
        <w:rPr>
          <w:sz w:val="24"/>
        </w:rPr>
        <w:t xml:space="preserve"> the urgent need for therapies able to </w:t>
      </w:r>
      <w:r w:rsidR="002C50F6" w:rsidRPr="00E6702C">
        <w:rPr>
          <w:sz w:val="24"/>
        </w:rPr>
        <w:t xml:space="preserve">address the multifaceted complexity of AD. </w:t>
      </w:r>
    </w:p>
    <w:p w14:paraId="07EB2B68" w14:textId="77777777" w:rsidR="003C14A4" w:rsidRPr="00B46AB7" w:rsidRDefault="003C14A4" w:rsidP="00C72C15">
      <w:pPr>
        <w:spacing w:line="240" w:lineRule="auto"/>
        <w:rPr>
          <w:rFonts w:cs="Times New Roman"/>
        </w:rPr>
      </w:pPr>
    </w:p>
    <w:sectPr w:rsidR="003C14A4" w:rsidRPr="00B46AB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9E6"/>
    <w:rsid w:val="00022A27"/>
    <w:rsid w:val="0003570B"/>
    <w:rsid w:val="00041272"/>
    <w:rsid w:val="00132DFF"/>
    <w:rsid w:val="002009B2"/>
    <w:rsid w:val="00241327"/>
    <w:rsid w:val="002C50F6"/>
    <w:rsid w:val="0034198E"/>
    <w:rsid w:val="003C14A4"/>
    <w:rsid w:val="003C71DE"/>
    <w:rsid w:val="00542754"/>
    <w:rsid w:val="00553D24"/>
    <w:rsid w:val="005660C1"/>
    <w:rsid w:val="00597310"/>
    <w:rsid w:val="005C705F"/>
    <w:rsid w:val="00615D45"/>
    <w:rsid w:val="006A52F4"/>
    <w:rsid w:val="006C3863"/>
    <w:rsid w:val="006C511C"/>
    <w:rsid w:val="006E1A69"/>
    <w:rsid w:val="007074B1"/>
    <w:rsid w:val="00760332"/>
    <w:rsid w:val="00773A38"/>
    <w:rsid w:val="00796E0F"/>
    <w:rsid w:val="007F3975"/>
    <w:rsid w:val="0082629B"/>
    <w:rsid w:val="0095472D"/>
    <w:rsid w:val="00A02572"/>
    <w:rsid w:val="00A043F9"/>
    <w:rsid w:val="00B46AB7"/>
    <w:rsid w:val="00B850D9"/>
    <w:rsid w:val="00BA19E6"/>
    <w:rsid w:val="00C72C15"/>
    <w:rsid w:val="00D22B66"/>
    <w:rsid w:val="00E215B3"/>
    <w:rsid w:val="00E6702C"/>
    <w:rsid w:val="00F84057"/>
    <w:rsid w:val="00FC1756"/>
    <w:rsid w:val="00FD30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84DE"/>
  <w15:chartTrackingRefBased/>
  <w15:docId w15:val="{3082220E-E66B-45CA-BDE5-8A09C185E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46AB7"/>
    <w:rPr>
      <w:rFonts w:ascii="Times New Roman" w:hAnsi="Times New Roman"/>
      <w:sz w:val="22"/>
      <w:lang w:val="en-GB"/>
    </w:rPr>
  </w:style>
  <w:style w:type="paragraph" w:styleId="Titolo1">
    <w:name w:val="heading 1"/>
    <w:basedOn w:val="Normale"/>
    <w:next w:val="Normale"/>
    <w:link w:val="Titolo1Carattere"/>
    <w:uiPriority w:val="9"/>
    <w:qFormat/>
    <w:rsid w:val="003C14A4"/>
    <w:pPr>
      <w:keepNext/>
      <w:keepLines/>
      <w:spacing w:before="360" w:after="80" w:line="240" w:lineRule="auto"/>
      <w:jc w:val="both"/>
      <w:outlineLvl w:val="0"/>
    </w:pPr>
    <w:rPr>
      <w:rFonts w:eastAsiaTheme="majorEastAsia" w:cstheme="majorBidi"/>
      <w:b/>
      <w:color w:val="3A3A3A" w:themeColor="background2" w:themeShade="40"/>
      <w:sz w:val="36"/>
      <w:szCs w:val="40"/>
    </w:rPr>
  </w:style>
  <w:style w:type="paragraph" w:styleId="Titolo2">
    <w:name w:val="heading 2"/>
    <w:basedOn w:val="Normale"/>
    <w:next w:val="Normale"/>
    <w:link w:val="Titolo2Carattere"/>
    <w:uiPriority w:val="9"/>
    <w:unhideWhenUsed/>
    <w:qFormat/>
    <w:rsid w:val="00BA19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A19E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A19E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A19E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A19E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A19E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A19E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A19E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C14A4"/>
    <w:rPr>
      <w:rFonts w:ascii="Times New Roman" w:eastAsiaTheme="majorEastAsia" w:hAnsi="Times New Roman" w:cstheme="majorBidi"/>
      <w:b/>
      <w:color w:val="3A3A3A" w:themeColor="background2" w:themeShade="40"/>
      <w:sz w:val="36"/>
      <w:szCs w:val="40"/>
      <w:lang w:val="en-GB"/>
    </w:rPr>
  </w:style>
  <w:style w:type="character" w:customStyle="1" w:styleId="Titolo2Carattere">
    <w:name w:val="Titolo 2 Carattere"/>
    <w:basedOn w:val="Carpredefinitoparagrafo"/>
    <w:link w:val="Titolo2"/>
    <w:uiPriority w:val="9"/>
    <w:rsid w:val="00BA19E6"/>
    <w:rPr>
      <w:rFonts w:asciiTheme="majorHAnsi" w:eastAsiaTheme="majorEastAsia" w:hAnsiTheme="majorHAnsi" w:cstheme="majorBidi"/>
      <w:color w:val="0F4761" w:themeColor="accent1" w:themeShade="BF"/>
      <w:sz w:val="32"/>
      <w:szCs w:val="32"/>
      <w:lang w:val="en-GB"/>
    </w:rPr>
  </w:style>
  <w:style w:type="character" w:customStyle="1" w:styleId="Titolo3Carattere">
    <w:name w:val="Titolo 3 Carattere"/>
    <w:basedOn w:val="Carpredefinitoparagrafo"/>
    <w:link w:val="Titolo3"/>
    <w:uiPriority w:val="9"/>
    <w:semiHidden/>
    <w:rsid w:val="00BA19E6"/>
    <w:rPr>
      <w:rFonts w:eastAsiaTheme="majorEastAsia" w:cstheme="majorBidi"/>
      <w:color w:val="0F4761" w:themeColor="accent1" w:themeShade="BF"/>
      <w:sz w:val="28"/>
      <w:szCs w:val="28"/>
      <w:lang w:val="en-GB"/>
    </w:rPr>
  </w:style>
  <w:style w:type="character" w:customStyle="1" w:styleId="Titolo4Carattere">
    <w:name w:val="Titolo 4 Carattere"/>
    <w:basedOn w:val="Carpredefinitoparagrafo"/>
    <w:link w:val="Titolo4"/>
    <w:uiPriority w:val="9"/>
    <w:semiHidden/>
    <w:rsid w:val="00BA19E6"/>
    <w:rPr>
      <w:rFonts w:eastAsiaTheme="majorEastAsia" w:cstheme="majorBidi"/>
      <w:i/>
      <w:iCs/>
      <w:color w:val="0F4761" w:themeColor="accent1" w:themeShade="BF"/>
      <w:lang w:val="en-GB"/>
    </w:rPr>
  </w:style>
  <w:style w:type="character" w:customStyle="1" w:styleId="Titolo5Carattere">
    <w:name w:val="Titolo 5 Carattere"/>
    <w:basedOn w:val="Carpredefinitoparagrafo"/>
    <w:link w:val="Titolo5"/>
    <w:uiPriority w:val="9"/>
    <w:semiHidden/>
    <w:rsid w:val="00BA19E6"/>
    <w:rPr>
      <w:rFonts w:eastAsiaTheme="majorEastAsia" w:cstheme="majorBidi"/>
      <w:color w:val="0F4761" w:themeColor="accent1" w:themeShade="BF"/>
      <w:lang w:val="en-GB"/>
    </w:rPr>
  </w:style>
  <w:style w:type="character" w:customStyle="1" w:styleId="Titolo6Carattere">
    <w:name w:val="Titolo 6 Carattere"/>
    <w:basedOn w:val="Carpredefinitoparagrafo"/>
    <w:link w:val="Titolo6"/>
    <w:uiPriority w:val="9"/>
    <w:semiHidden/>
    <w:rsid w:val="00BA19E6"/>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BA19E6"/>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BA19E6"/>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BA19E6"/>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BA1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A19E6"/>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BA19E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A19E6"/>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BA19E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A19E6"/>
    <w:rPr>
      <w:i/>
      <w:iCs/>
      <w:color w:val="404040" w:themeColor="text1" w:themeTint="BF"/>
      <w:lang w:val="en-GB"/>
    </w:rPr>
  </w:style>
  <w:style w:type="paragraph" w:styleId="Paragrafoelenco">
    <w:name w:val="List Paragraph"/>
    <w:basedOn w:val="Normale"/>
    <w:uiPriority w:val="34"/>
    <w:qFormat/>
    <w:rsid w:val="00BA19E6"/>
    <w:pPr>
      <w:ind w:left="720"/>
      <w:contextualSpacing/>
    </w:pPr>
  </w:style>
  <w:style w:type="character" w:styleId="Enfasiintensa">
    <w:name w:val="Intense Emphasis"/>
    <w:basedOn w:val="Carpredefinitoparagrafo"/>
    <w:uiPriority w:val="21"/>
    <w:qFormat/>
    <w:rsid w:val="00BA19E6"/>
    <w:rPr>
      <w:i/>
      <w:iCs/>
      <w:color w:val="0F4761" w:themeColor="accent1" w:themeShade="BF"/>
    </w:rPr>
  </w:style>
  <w:style w:type="paragraph" w:styleId="Citazioneintensa">
    <w:name w:val="Intense Quote"/>
    <w:basedOn w:val="Normale"/>
    <w:next w:val="Normale"/>
    <w:link w:val="CitazioneintensaCarattere"/>
    <w:uiPriority w:val="30"/>
    <w:qFormat/>
    <w:rsid w:val="00BA19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A19E6"/>
    <w:rPr>
      <w:i/>
      <w:iCs/>
      <w:color w:val="0F4761" w:themeColor="accent1" w:themeShade="BF"/>
      <w:lang w:val="en-GB"/>
    </w:rPr>
  </w:style>
  <w:style w:type="character" w:styleId="Riferimentointenso">
    <w:name w:val="Intense Reference"/>
    <w:basedOn w:val="Carpredefinitoparagrafo"/>
    <w:uiPriority w:val="32"/>
    <w:qFormat/>
    <w:rsid w:val="00BA19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577</Words>
  <Characters>3292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Morello</dc:creator>
  <cp:keywords/>
  <dc:description/>
  <cp:lastModifiedBy>Giulia Morello</cp:lastModifiedBy>
  <cp:revision>19</cp:revision>
  <dcterms:created xsi:type="dcterms:W3CDTF">2026-03-09T13:14:00Z</dcterms:created>
  <dcterms:modified xsi:type="dcterms:W3CDTF">2026-06-26T08:05:00Z</dcterms:modified>
</cp:coreProperties>
</file>