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90F9C" w14:textId="6861F673" w:rsidR="00757124" w:rsidRPr="0081729D" w:rsidRDefault="00796FA9" w:rsidP="0081729D">
      <w:pPr>
        <w:spacing w:after="160" w:line="360" w:lineRule="auto"/>
        <w:ind w:left="170" w:right="227" w:firstLine="170"/>
        <w:contextualSpacing/>
        <w:jc w:val="center"/>
        <w:rPr>
          <w:rFonts w:ascii="Times New Roman" w:hAnsi="Times New Roman" w:cs="Times New Roman"/>
          <w:b/>
          <w:bCs/>
          <w:sz w:val="24"/>
          <w:szCs w:val="24"/>
          <w:lang w:eastAsia="en-US"/>
        </w:rPr>
      </w:pPr>
      <w:r w:rsidRPr="00796FA9">
        <w:rPr>
          <w:noProof/>
        </w:rPr>
        <w:drawing>
          <wp:inline distT="0" distB="0" distL="0" distR="0" wp14:anchorId="615CD21D" wp14:editId="72E5DBF3">
            <wp:extent cx="6120130" cy="8788400"/>
            <wp:effectExtent l="0" t="0" r="0" b="0"/>
            <wp:docPr id="143519188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788400"/>
                    </a:xfrm>
                    <a:prstGeom prst="rect">
                      <a:avLst/>
                    </a:prstGeom>
                    <a:noFill/>
                    <a:ln>
                      <a:noFill/>
                    </a:ln>
                  </pic:spPr>
                </pic:pic>
              </a:graphicData>
            </a:graphic>
          </wp:inline>
        </w:drawing>
      </w:r>
      <w:r w:rsidR="00E0221D" w:rsidRPr="0081729D">
        <w:rPr>
          <w:rFonts w:ascii="Times New Roman" w:hAnsi="Times New Roman" w:cs="Times New Roman"/>
          <w:sz w:val="24"/>
          <w:szCs w:val="24"/>
          <w:lang w:eastAsia="en-US"/>
        </w:rPr>
        <w:br w:type="page"/>
      </w:r>
    </w:p>
    <w:p w14:paraId="211BE83E"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82B7172"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12F60FE8"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476A82B7"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232938F3"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1AC75EF9"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44F86240"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CACBF67"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0A7B30CE"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7028D891"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7B6AF0A8"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0A08584F"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4718FFE0"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78BDC15"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023DA9AF"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1DA998BF"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03C865EF"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7535BCC5"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40E41DE7"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05009663"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516EA2CC"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AA05DCC"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7186D998"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5C268ABA"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47CD04F7"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1992CFE1"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494FBA1B"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24D005DE"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040F7D00"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315C018A"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5CA35ECB"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1D53EE0"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4885FCB"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6831876A" w14:textId="77777777" w:rsidR="00796FA9" w:rsidRDefault="00796FA9" w:rsidP="00374D10">
      <w:pPr>
        <w:spacing w:line="360" w:lineRule="auto"/>
        <w:ind w:left="170" w:right="227" w:firstLine="170"/>
        <w:contextualSpacing/>
        <w:jc w:val="both"/>
        <w:rPr>
          <w:rFonts w:ascii="Times New Roman" w:hAnsi="Times New Roman" w:cs="Times New Roman"/>
          <w:b/>
          <w:bCs/>
          <w:noProof/>
          <w:sz w:val="24"/>
          <w:szCs w:val="24"/>
        </w:rPr>
      </w:pPr>
    </w:p>
    <w:p w14:paraId="50768363" w14:textId="5ECFE282" w:rsidR="005F26D4" w:rsidRDefault="00D16C47" w:rsidP="00374D10">
      <w:pPr>
        <w:spacing w:line="360" w:lineRule="auto"/>
        <w:ind w:left="170" w:right="227" w:firstLine="170"/>
        <w:contextualSpacing/>
        <w:jc w:val="both"/>
        <w:rPr>
          <w:rFonts w:ascii="Times New Roman" w:hAnsi="Times New Roman" w:cs="Times New Roman"/>
          <w:b/>
          <w:bCs/>
          <w:noProof/>
          <w:sz w:val="24"/>
          <w:szCs w:val="24"/>
        </w:rPr>
      </w:pPr>
      <w:r w:rsidRPr="0081729D">
        <w:rPr>
          <w:rFonts w:ascii="Times New Roman" w:hAnsi="Times New Roman" w:cs="Times New Roman"/>
          <w:b/>
          <w:bCs/>
          <w:noProof/>
          <w:sz w:val="24"/>
          <w:szCs w:val="24"/>
        </w:rPr>
        <w:lastRenderedPageBreak/>
        <w:t>Indice.</w:t>
      </w:r>
    </w:p>
    <w:p w14:paraId="53F63A52" w14:textId="77777777" w:rsidR="006156E5" w:rsidRDefault="006156E5" w:rsidP="00374D10">
      <w:pPr>
        <w:spacing w:line="360" w:lineRule="auto"/>
        <w:ind w:left="170" w:right="227" w:firstLine="170"/>
        <w:contextualSpacing/>
        <w:jc w:val="both"/>
        <w:rPr>
          <w:rFonts w:ascii="Times New Roman" w:hAnsi="Times New Roman" w:cs="Times New Roman"/>
          <w:b/>
          <w:bCs/>
          <w:noProof/>
          <w:sz w:val="24"/>
          <w:szCs w:val="24"/>
        </w:rPr>
      </w:pPr>
    </w:p>
    <w:p w14:paraId="2D2A8A4B" w14:textId="1672C00D" w:rsidR="006156E5" w:rsidRPr="0081729D" w:rsidRDefault="006156E5" w:rsidP="00374D10">
      <w:pPr>
        <w:spacing w:line="360" w:lineRule="auto"/>
        <w:ind w:left="170" w:right="227" w:firstLine="170"/>
        <w:contextualSpacing/>
        <w:jc w:val="both"/>
        <w:rPr>
          <w:rFonts w:ascii="Times New Roman" w:hAnsi="Times New Roman" w:cs="Times New Roman"/>
          <w:b/>
          <w:bCs/>
          <w:noProof/>
          <w:sz w:val="24"/>
          <w:szCs w:val="24"/>
        </w:rPr>
      </w:pPr>
      <w:r>
        <w:rPr>
          <w:rFonts w:ascii="Times New Roman" w:hAnsi="Times New Roman" w:cs="Times New Roman"/>
          <w:b/>
          <w:bCs/>
          <w:noProof/>
          <w:sz w:val="24"/>
          <w:szCs w:val="24"/>
        </w:rPr>
        <w:t xml:space="preserve">Introduzione.                                                                                                           </w:t>
      </w:r>
    </w:p>
    <w:p w14:paraId="690CE9BA" w14:textId="77777777" w:rsidR="00D16C47" w:rsidRPr="0081729D" w:rsidRDefault="00D16C47" w:rsidP="00374D10">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I CAPITOLO</w:t>
      </w:r>
    </w:p>
    <w:p w14:paraId="2F6F6AA0" w14:textId="77777777" w:rsidR="00D16C47" w:rsidRPr="0081729D" w:rsidRDefault="00D16C47" w:rsidP="00374D10">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La rilevanza della transizione energetica nella ridefinizione dei meccanismi di applicazione del principio di sussidiarietà orizzontale nella politica europea.</w:t>
      </w:r>
    </w:p>
    <w:p w14:paraId="605A3EBC" w14:textId="729696EF" w:rsidR="00D16C47" w:rsidRPr="0081729D" w:rsidRDefault="00D16C47" w:rsidP="00374D10">
      <w:pPr>
        <w:numPr>
          <w:ilvl w:val="0"/>
          <w:numId w:val="4"/>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Il protagonismo dell’Unione Europea nelle politiche globali di transizione energetica: il </w:t>
      </w:r>
      <w:r w:rsidRPr="00CE5B3A">
        <w:rPr>
          <w:rFonts w:ascii="Times New Roman" w:eastAsia="Calibri" w:hAnsi="Times New Roman" w:cs="Times New Roman"/>
          <w:i/>
          <w:iCs/>
          <w:sz w:val="24"/>
          <w:szCs w:val="24"/>
          <w:lang w:eastAsia="en-US"/>
        </w:rPr>
        <w:t>Green Deal</w:t>
      </w:r>
      <w:r w:rsidRPr="0081729D">
        <w:rPr>
          <w:rFonts w:ascii="Times New Roman" w:eastAsia="Calibri" w:hAnsi="Times New Roman" w:cs="Times New Roman"/>
          <w:sz w:val="24"/>
          <w:szCs w:val="24"/>
          <w:lang w:eastAsia="en-US"/>
        </w:rPr>
        <w:t xml:space="preserve"> europeo come nuovo paradigma di sviluppo sostenibile</w:t>
      </w:r>
      <w:r w:rsidR="00CE5B3A">
        <w:rPr>
          <w:rFonts w:ascii="Times New Roman" w:eastAsia="Calibri" w:hAnsi="Times New Roman" w:cs="Times New Roman"/>
          <w:sz w:val="24"/>
          <w:szCs w:val="24"/>
          <w:lang w:eastAsia="en-US"/>
        </w:rPr>
        <w:t>……………………… p. 7</w:t>
      </w:r>
    </w:p>
    <w:p w14:paraId="01259E7F" w14:textId="0BD02BF8" w:rsidR="00D16C47" w:rsidRPr="0081729D" w:rsidRDefault="00D16C47" w:rsidP="00374D10">
      <w:pPr>
        <w:numPr>
          <w:ilvl w:val="0"/>
          <w:numId w:val="4"/>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resilienza ambientale e sociale a partire dal programma “</w:t>
      </w:r>
      <w:r w:rsidRPr="00CE5B3A">
        <w:rPr>
          <w:rFonts w:ascii="Times New Roman" w:eastAsia="Calibri" w:hAnsi="Times New Roman" w:cs="Times New Roman"/>
          <w:i/>
          <w:iCs/>
          <w:sz w:val="24"/>
          <w:szCs w:val="24"/>
          <w:lang w:eastAsia="en-US"/>
        </w:rPr>
        <w:t xml:space="preserve">Next Generation </w:t>
      </w:r>
      <w:proofErr w:type="gramStart"/>
      <w:r w:rsidRPr="00CE5B3A">
        <w:rPr>
          <w:rFonts w:ascii="Times New Roman" w:eastAsia="Calibri" w:hAnsi="Times New Roman" w:cs="Times New Roman"/>
          <w:i/>
          <w:iCs/>
          <w:sz w:val="24"/>
          <w:szCs w:val="24"/>
          <w:lang w:eastAsia="en-US"/>
        </w:rPr>
        <w:t>EU</w:t>
      </w:r>
      <w:r w:rsidRPr="0081729D">
        <w:rPr>
          <w:rFonts w:ascii="Times New Roman" w:eastAsia="Calibri" w:hAnsi="Times New Roman" w:cs="Times New Roman"/>
          <w:sz w:val="24"/>
          <w:szCs w:val="24"/>
          <w:lang w:eastAsia="en-US"/>
        </w:rPr>
        <w:t>”</w:t>
      </w:r>
      <w:r w:rsidR="00CE5B3A">
        <w:rPr>
          <w:rFonts w:ascii="Times New Roman" w:eastAsia="Calibri" w:hAnsi="Times New Roman" w:cs="Times New Roman"/>
          <w:sz w:val="24"/>
          <w:szCs w:val="24"/>
          <w:lang w:eastAsia="en-US"/>
        </w:rPr>
        <w:t>…</w:t>
      </w:r>
      <w:proofErr w:type="gramEnd"/>
      <w:r w:rsidR="00CE5B3A">
        <w:rPr>
          <w:rFonts w:ascii="Times New Roman" w:eastAsia="Calibri" w:hAnsi="Times New Roman" w:cs="Times New Roman"/>
          <w:sz w:val="24"/>
          <w:szCs w:val="24"/>
          <w:lang w:eastAsia="en-US"/>
        </w:rPr>
        <w:t>. p. 11</w:t>
      </w:r>
    </w:p>
    <w:p w14:paraId="1B3E2CB4" w14:textId="60477614" w:rsidR="00D16C47" w:rsidRPr="0081729D" w:rsidRDefault="00D16C47" w:rsidP="00374D10">
      <w:pPr>
        <w:numPr>
          <w:ilvl w:val="0"/>
          <w:numId w:val="4"/>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sussidiarietà orizzontale come struttura preesistente alla transizione: evoluzione storica e adattamento al nuovo paradigma energetico</w:t>
      </w:r>
      <w:r w:rsidR="00CE5B3A">
        <w:rPr>
          <w:rFonts w:ascii="Times New Roman" w:eastAsia="Calibri" w:hAnsi="Times New Roman" w:cs="Times New Roman"/>
          <w:sz w:val="24"/>
          <w:szCs w:val="24"/>
          <w:lang w:eastAsia="en-US"/>
        </w:rPr>
        <w:t>………………...………………………</w:t>
      </w:r>
      <w:proofErr w:type="gramStart"/>
      <w:r w:rsidR="00CE5B3A">
        <w:rPr>
          <w:rFonts w:ascii="Times New Roman" w:eastAsia="Calibri" w:hAnsi="Times New Roman" w:cs="Times New Roman"/>
          <w:sz w:val="24"/>
          <w:szCs w:val="24"/>
          <w:lang w:eastAsia="en-US"/>
        </w:rPr>
        <w:t>…….</w:t>
      </w:r>
      <w:proofErr w:type="gramEnd"/>
      <w:r w:rsidR="00CE5B3A">
        <w:rPr>
          <w:rFonts w:ascii="Times New Roman" w:eastAsia="Calibri" w:hAnsi="Times New Roman" w:cs="Times New Roman"/>
          <w:sz w:val="24"/>
          <w:szCs w:val="24"/>
          <w:lang w:eastAsia="en-US"/>
        </w:rPr>
        <w:t>. p.  15</w:t>
      </w:r>
    </w:p>
    <w:p w14:paraId="3B45C292" w14:textId="66C7EA04" w:rsidR="00D16C47" w:rsidRPr="0081729D" w:rsidRDefault="00D16C47" w:rsidP="00374D10">
      <w:pPr>
        <w:numPr>
          <w:ilvl w:val="0"/>
          <w:numId w:val="4"/>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sussidiarietà energetica alla prova della prassi: criticità applicative e distanza tra principio e cittadinanza attiva</w:t>
      </w:r>
      <w:r w:rsidR="00CE5B3A">
        <w:rPr>
          <w:rFonts w:ascii="Times New Roman" w:eastAsia="Calibri" w:hAnsi="Times New Roman" w:cs="Times New Roman"/>
          <w:sz w:val="24"/>
          <w:szCs w:val="24"/>
          <w:lang w:eastAsia="en-US"/>
        </w:rPr>
        <w:t>……………………………………………………………… p. 20</w:t>
      </w:r>
    </w:p>
    <w:p w14:paraId="7E461D76" w14:textId="4659802A" w:rsidR="00D16C47" w:rsidRPr="0081729D" w:rsidRDefault="00D16C47" w:rsidP="00374D10">
      <w:pPr>
        <w:numPr>
          <w:ilvl w:val="1"/>
          <w:numId w:val="5"/>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Asimmetrie sistemiche tra sussidiarietà iper-qualificata ed il processo di transizione come categoria giuridicamente </w:t>
      </w:r>
      <w:proofErr w:type="gramStart"/>
      <w:r w:rsidRPr="0081729D">
        <w:rPr>
          <w:rFonts w:ascii="Times New Roman" w:eastAsia="Calibri" w:hAnsi="Times New Roman" w:cs="Times New Roman"/>
          <w:sz w:val="24"/>
          <w:szCs w:val="24"/>
          <w:lang w:eastAsia="en-US"/>
        </w:rPr>
        <w:t>incompiuta.</w:t>
      </w:r>
      <w:r w:rsidR="00CE5B3A">
        <w:rPr>
          <w:rFonts w:ascii="Times New Roman" w:eastAsia="Calibri" w:hAnsi="Times New Roman" w:cs="Times New Roman"/>
          <w:sz w:val="24"/>
          <w:szCs w:val="24"/>
          <w:lang w:eastAsia="en-US"/>
        </w:rPr>
        <w:t>…</w:t>
      </w:r>
      <w:proofErr w:type="gramEnd"/>
      <w:r w:rsidR="00CE5B3A">
        <w:rPr>
          <w:rFonts w:ascii="Times New Roman" w:eastAsia="Calibri" w:hAnsi="Times New Roman" w:cs="Times New Roman"/>
          <w:sz w:val="24"/>
          <w:szCs w:val="24"/>
          <w:lang w:eastAsia="en-US"/>
        </w:rPr>
        <w:t>…………………………………………………….. p. 22</w:t>
      </w:r>
    </w:p>
    <w:p w14:paraId="62E525DC" w14:textId="3CC3BE34" w:rsidR="00D16C47" w:rsidRPr="0081729D" w:rsidRDefault="00D16C47" w:rsidP="00374D10">
      <w:pPr>
        <w:numPr>
          <w:ilvl w:val="0"/>
          <w:numId w:val="4"/>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transizione energetica, l’economia circolare e la sussidiarietà orizzontale: il cittadino - consumatore–prosumer come fulcro di un nuovo modello di sostenibilità partecipata</w:t>
      </w:r>
      <w:r w:rsidR="00CE5B3A">
        <w:rPr>
          <w:rFonts w:ascii="Times New Roman" w:eastAsia="Calibri" w:hAnsi="Times New Roman" w:cs="Times New Roman"/>
          <w:sz w:val="24"/>
          <w:szCs w:val="24"/>
          <w:lang w:eastAsia="en-US"/>
        </w:rPr>
        <w:t>…… p. 24</w:t>
      </w:r>
    </w:p>
    <w:p w14:paraId="0BEA5BA4" w14:textId="4EA3DE72" w:rsidR="00D16C47" w:rsidRPr="0081729D" w:rsidRDefault="00D16C47" w:rsidP="00374D10">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5.1 La dimensione sociale dell’energia ed il principio di “cittadinanza energetica” come nuova frontiera del diritto pubblico</w:t>
      </w:r>
      <w:r w:rsidR="00CE5B3A">
        <w:rPr>
          <w:rFonts w:ascii="Times New Roman" w:eastAsia="Calibri" w:hAnsi="Times New Roman" w:cs="Times New Roman"/>
          <w:sz w:val="24"/>
          <w:szCs w:val="24"/>
          <w:lang w:eastAsia="en-US"/>
        </w:rPr>
        <w:t>………………………………………………………………. p. 27</w:t>
      </w:r>
    </w:p>
    <w:p w14:paraId="38CA5994" w14:textId="67613A38" w:rsidR="00D16C47" w:rsidRPr="0081729D" w:rsidRDefault="00D16C47" w:rsidP="00374D10">
      <w:pPr>
        <w:numPr>
          <w:ilvl w:val="0"/>
          <w:numId w:val="4"/>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Tra accelerazione europea e incompletezza sistemica della transizione. Il ruolo dell’art. 9 Cost. come parametro di riequilibrio tra sussidiarietà, ambiente e cittadinanza attiva</w:t>
      </w:r>
      <w:r w:rsidR="00CE5B3A">
        <w:rPr>
          <w:rFonts w:ascii="Times New Roman" w:eastAsia="Calibri" w:hAnsi="Times New Roman" w:cs="Times New Roman"/>
          <w:sz w:val="24"/>
          <w:szCs w:val="24"/>
          <w:lang w:eastAsia="en-US"/>
        </w:rPr>
        <w:t>……... p. 28</w:t>
      </w:r>
    </w:p>
    <w:p w14:paraId="45DB42AE" w14:textId="77777777" w:rsidR="00D16C47" w:rsidRPr="0081729D" w:rsidRDefault="00D16C47" w:rsidP="00374D10">
      <w:pPr>
        <w:spacing w:after="160" w:line="360" w:lineRule="auto"/>
        <w:ind w:left="170" w:right="227" w:firstLine="170"/>
        <w:contextualSpacing/>
        <w:jc w:val="center"/>
        <w:rPr>
          <w:rFonts w:ascii="Times New Roman" w:eastAsia="Calibri" w:hAnsi="Times New Roman" w:cs="Times New Roman"/>
          <w:b/>
          <w:bCs/>
          <w:sz w:val="24"/>
          <w:szCs w:val="24"/>
          <w:lang w:eastAsia="en-US"/>
        </w:rPr>
      </w:pPr>
      <w:bookmarkStart w:id="0" w:name="_Hlk222233423"/>
      <w:r w:rsidRPr="0081729D">
        <w:rPr>
          <w:rFonts w:ascii="Times New Roman" w:eastAsia="Calibri" w:hAnsi="Times New Roman" w:cs="Times New Roman"/>
          <w:b/>
          <w:bCs/>
          <w:sz w:val="24"/>
          <w:szCs w:val="24"/>
          <w:lang w:eastAsia="en-US"/>
        </w:rPr>
        <w:t>CAPITOLO II</w:t>
      </w:r>
    </w:p>
    <w:p w14:paraId="0799E4BB" w14:textId="4D77DD1C" w:rsidR="00D16C47" w:rsidRPr="0081729D" w:rsidRDefault="00D16C47" w:rsidP="00374D10">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Le comunità energetiche rinnovabili tra disciplina europea, finalità di sostenibilità e assetto organizzativo</w:t>
      </w:r>
    </w:p>
    <w:p w14:paraId="0A6A5790" w14:textId="15A66A1E" w:rsidR="00D87791" w:rsidRPr="0081729D" w:rsidRDefault="00D87791" w:rsidP="00374D10">
      <w:pPr>
        <w:pStyle w:val="Paragrafoelenco"/>
        <w:numPr>
          <w:ilvl w:val="0"/>
          <w:numId w:val="8"/>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Premesse</w:t>
      </w:r>
      <w:r w:rsidR="00CE5B3A">
        <w:rPr>
          <w:rFonts w:ascii="Times New Roman" w:eastAsia="Calibri" w:hAnsi="Times New Roman" w:cs="Times New Roman"/>
          <w:sz w:val="24"/>
          <w:szCs w:val="24"/>
          <w:lang w:eastAsia="en-US"/>
        </w:rPr>
        <w:t>………………………………………………………………………</w:t>
      </w:r>
      <w:proofErr w:type="gramStart"/>
      <w:r w:rsidR="00CE5B3A">
        <w:rPr>
          <w:rFonts w:ascii="Times New Roman" w:eastAsia="Calibri" w:hAnsi="Times New Roman" w:cs="Times New Roman"/>
          <w:sz w:val="24"/>
          <w:szCs w:val="24"/>
          <w:lang w:eastAsia="en-US"/>
        </w:rPr>
        <w:t>…….</w:t>
      </w:r>
      <w:proofErr w:type="gramEnd"/>
      <w:r w:rsidR="00CE5B3A">
        <w:rPr>
          <w:rFonts w:ascii="Times New Roman" w:eastAsia="Calibri" w:hAnsi="Times New Roman" w:cs="Times New Roman"/>
          <w:sz w:val="24"/>
          <w:szCs w:val="24"/>
          <w:lang w:eastAsia="en-US"/>
        </w:rPr>
        <w:t xml:space="preserve">. p. </w:t>
      </w:r>
      <w:r w:rsidR="00885487">
        <w:rPr>
          <w:rFonts w:ascii="Times New Roman" w:eastAsia="Calibri" w:hAnsi="Times New Roman" w:cs="Times New Roman"/>
          <w:sz w:val="24"/>
          <w:szCs w:val="24"/>
          <w:lang w:eastAsia="en-US"/>
        </w:rPr>
        <w:t>32</w:t>
      </w:r>
    </w:p>
    <w:p w14:paraId="35E89368" w14:textId="58DD76A3" w:rsidR="00D16C47" w:rsidRPr="0081729D" w:rsidRDefault="00D16C47" w:rsidP="00374D10">
      <w:pPr>
        <w:pStyle w:val="Paragrafoelenco"/>
        <w:numPr>
          <w:ilvl w:val="0"/>
          <w:numId w:val="8"/>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Inquadramento sistematico: dalla disciplina europea (RED II e RED III) al suo recepimento nel D. Lgs. n. 199/2021</w:t>
      </w:r>
      <w:r w:rsidR="00885487">
        <w:rPr>
          <w:rFonts w:ascii="Times New Roman" w:eastAsia="Calibri" w:hAnsi="Times New Roman" w:cs="Times New Roman"/>
          <w:sz w:val="24"/>
          <w:szCs w:val="24"/>
          <w:lang w:eastAsia="en-US"/>
        </w:rPr>
        <w:t>……………………………………………………………………… p. 33</w:t>
      </w:r>
    </w:p>
    <w:p w14:paraId="366BBC79" w14:textId="40345ACC" w:rsidR="00D16C47" w:rsidRPr="0081729D" w:rsidRDefault="00D16C47" w:rsidP="00374D10">
      <w:pPr>
        <w:numPr>
          <w:ilvl w:val="0"/>
          <w:numId w:val="8"/>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Le diverse declinazioni della sostenibilità nel modello CER</w:t>
      </w:r>
      <w:r w:rsidR="00885487">
        <w:rPr>
          <w:rFonts w:ascii="Times New Roman" w:eastAsia="Calibri" w:hAnsi="Times New Roman" w:cs="Times New Roman"/>
          <w:sz w:val="24"/>
          <w:szCs w:val="24"/>
          <w:lang w:eastAsia="en-US"/>
        </w:rPr>
        <w:t>…………………………. p. 38</w:t>
      </w:r>
    </w:p>
    <w:p w14:paraId="24EEF19E" w14:textId="4B18DC50" w:rsidR="00374D10" w:rsidRDefault="00D16C47" w:rsidP="00374D10">
      <w:pPr>
        <w:pStyle w:val="Paragrafoelenco"/>
        <w:numPr>
          <w:ilvl w:val="1"/>
          <w:numId w:val="9"/>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i/>
          <w:iCs/>
          <w:sz w:val="24"/>
          <w:szCs w:val="24"/>
          <w:lang w:eastAsia="en-US"/>
        </w:rPr>
        <w:t>Sostenibilità sociale</w:t>
      </w:r>
      <w:r w:rsidRPr="0081729D">
        <w:rPr>
          <w:rFonts w:ascii="Times New Roman" w:eastAsia="Calibri" w:hAnsi="Times New Roman" w:cs="Times New Roman"/>
          <w:sz w:val="24"/>
          <w:szCs w:val="24"/>
          <w:lang w:eastAsia="en-US"/>
        </w:rPr>
        <w:t>: capitale relazionale e fiducia come presupposti dell’azione collettiva</w:t>
      </w:r>
      <w:r w:rsidR="00885487">
        <w:rPr>
          <w:rFonts w:ascii="Times New Roman" w:eastAsia="Calibri" w:hAnsi="Times New Roman" w:cs="Times New Roman"/>
          <w:sz w:val="24"/>
          <w:szCs w:val="24"/>
          <w:lang w:eastAsia="en-US"/>
        </w:rPr>
        <w:t>……………………………………………………………………………………. p. 39</w:t>
      </w:r>
    </w:p>
    <w:p w14:paraId="39BD6048" w14:textId="546CB31E" w:rsidR="00374D10" w:rsidRDefault="00D87791" w:rsidP="00374D10">
      <w:pPr>
        <w:pStyle w:val="Paragrafoelenco"/>
        <w:spacing w:after="160" w:line="360" w:lineRule="auto"/>
        <w:ind w:left="340" w:right="227"/>
        <w:contextualSpacing/>
        <w:jc w:val="both"/>
        <w:rPr>
          <w:rFonts w:ascii="Times New Roman" w:eastAsia="Calibri" w:hAnsi="Times New Roman" w:cs="Times New Roman"/>
          <w:sz w:val="24"/>
          <w:szCs w:val="24"/>
          <w:lang w:eastAsia="en-US"/>
        </w:rPr>
      </w:pPr>
      <w:r w:rsidRPr="00374D10">
        <w:rPr>
          <w:rFonts w:ascii="Times New Roman" w:eastAsia="Calibri" w:hAnsi="Times New Roman" w:cs="Times New Roman"/>
          <w:sz w:val="24"/>
          <w:szCs w:val="24"/>
          <w:lang w:eastAsia="en-US"/>
        </w:rPr>
        <w:t>3.2</w:t>
      </w:r>
      <w:r w:rsidRPr="00374D10">
        <w:rPr>
          <w:rFonts w:ascii="Times New Roman" w:eastAsia="Calibri" w:hAnsi="Times New Roman" w:cs="Times New Roman"/>
          <w:i/>
          <w:iCs/>
          <w:sz w:val="24"/>
          <w:szCs w:val="24"/>
          <w:lang w:eastAsia="en-US"/>
        </w:rPr>
        <w:t xml:space="preserve"> </w:t>
      </w:r>
      <w:r w:rsidR="00D16C47" w:rsidRPr="00374D10">
        <w:rPr>
          <w:rFonts w:ascii="Times New Roman" w:eastAsia="Calibri" w:hAnsi="Times New Roman" w:cs="Times New Roman"/>
          <w:i/>
          <w:iCs/>
          <w:sz w:val="24"/>
          <w:szCs w:val="24"/>
          <w:lang w:eastAsia="en-US"/>
        </w:rPr>
        <w:t>Sostenibilità ambientale</w:t>
      </w:r>
      <w:r w:rsidR="00D16C47" w:rsidRPr="00374D10">
        <w:rPr>
          <w:rFonts w:ascii="Times New Roman" w:eastAsia="Calibri" w:hAnsi="Times New Roman" w:cs="Times New Roman"/>
          <w:sz w:val="24"/>
          <w:szCs w:val="24"/>
          <w:lang w:eastAsia="en-US"/>
        </w:rPr>
        <w:t>: mutamento dei comportamenti energetici e responsabilità diffusa</w:t>
      </w:r>
      <w:r w:rsidR="00885487">
        <w:rPr>
          <w:rFonts w:ascii="Times New Roman" w:eastAsia="Calibri" w:hAnsi="Times New Roman" w:cs="Times New Roman"/>
          <w:sz w:val="24"/>
          <w:szCs w:val="24"/>
          <w:lang w:eastAsia="en-US"/>
        </w:rPr>
        <w:t>………………………………………………………………………………</w:t>
      </w:r>
      <w:proofErr w:type="gramStart"/>
      <w:r w:rsidR="00885487">
        <w:rPr>
          <w:rFonts w:ascii="Times New Roman" w:eastAsia="Calibri" w:hAnsi="Times New Roman" w:cs="Times New Roman"/>
          <w:sz w:val="24"/>
          <w:szCs w:val="24"/>
          <w:lang w:eastAsia="en-US"/>
        </w:rPr>
        <w:t>…….</w:t>
      </w:r>
      <w:proofErr w:type="gramEnd"/>
      <w:r w:rsidR="00885487">
        <w:rPr>
          <w:rFonts w:ascii="Times New Roman" w:eastAsia="Calibri" w:hAnsi="Times New Roman" w:cs="Times New Roman"/>
          <w:sz w:val="24"/>
          <w:szCs w:val="24"/>
          <w:lang w:eastAsia="en-US"/>
        </w:rPr>
        <w:t>. p. 42</w:t>
      </w:r>
    </w:p>
    <w:p w14:paraId="7FF84DF0" w14:textId="4DCB906B" w:rsidR="00D16C47" w:rsidRPr="0081729D" w:rsidRDefault="00D87791" w:rsidP="00374D10">
      <w:pPr>
        <w:pStyle w:val="Paragrafoelenco"/>
        <w:spacing w:after="160" w:line="360" w:lineRule="auto"/>
        <w:ind w:left="340" w:right="227"/>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3.3</w:t>
      </w:r>
      <w:r w:rsidRPr="0081729D">
        <w:rPr>
          <w:rFonts w:ascii="Times New Roman" w:eastAsia="Calibri" w:hAnsi="Times New Roman" w:cs="Times New Roman"/>
          <w:i/>
          <w:iCs/>
          <w:sz w:val="24"/>
          <w:szCs w:val="24"/>
          <w:lang w:eastAsia="en-US"/>
        </w:rPr>
        <w:t xml:space="preserve"> </w:t>
      </w:r>
      <w:r w:rsidR="00D16C47" w:rsidRPr="0081729D">
        <w:rPr>
          <w:rFonts w:ascii="Times New Roman" w:eastAsia="Calibri" w:hAnsi="Times New Roman" w:cs="Times New Roman"/>
          <w:i/>
          <w:iCs/>
          <w:sz w:val="24"/>
          <w:szCs w:val="24"/>
          <w:lang w:eastAsia="en-US"/>
        </w:rPr>
        <w:t>Sostenibilità economica</w:t>
      </w:r>
      <w:r w:rsidR="00D16C47" w:rsidRPr="0081729D">
        <w:rPr>
          <w:rFonts w:ascii="Times New Roman" w:eastAsia="Calibri" w:hAnsi="Times New Roman" w:cs="Times New Roman"/>
          <w:sz w:val="24"/>
          <w:szCs w:val="24"/>
          <w:lang w:eastAsia="en-US"/>
        </w:rPr>
        <w:t>: incentivi, sostegni e redistribuzione dei benefici</w:t>
      </w:r>
      <w:r w:rsidR="00885487">
        <w:rPr>
          <w:rFonts w:ascii="Times New Roman" w:eastAsia="Calibri" w:hAnsi="Times New Roman" w:cs="Times New Roman"/>
          <w:sz w:val="24"/>
          <w:szCs w:val="24"/>
          <w:lang w:eastAsia="en-US"/>
        </w:rPr>
        <w:t>…………………………………………………………………………………… p. 43</w:t>
      </w:r>
    </w:p>
    <w:p w14:paraId="73D2E3B9" w14:textId="608FBC9C" w:rsidR="00D16C47" w:rsidRPr="0081729D" w:rsidRDefault="00D16C47" w:rsidP="00374D10">
      <w:pPr>
        <w:numPr>
          <w:ilvl w:val="0"/>
          <w:numId w:val="8"/>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 requisiti oggettivi e soggettivi delle CER: lo scopo mutualistico e la prevalenza della finalità sociale sull’interesse economico</w:t>
      </w:r>
      <w:r w:rsidR="00885487">
        <w:rPr>
          <w:rFonts w:ascii="Times New Roman" w:eastAsia="Calibri" w:hAnsi="Times New Roman" w:cs="Times New Roman"/>
          <w:sz w:val="24"/>
          <w:szCs w:val="24"/>
          <w:lang w:eastAsia="en-US"/>
        </w:rPr>
        <w:t>……………………………………………………. p. 49</w:t>
      </w:r>
    </w:p>
    <w:p w14:paraId="7C773401" w14:textId="6F64B6C4" w:rsidR="00D16C47" w:rsidRPr="0081729D" w:rsidRDefault="00D87791" w:rsidP="00374D10">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4</w:t>
      </w:r>
      <w:r w:rsidR="00D16C47" w:rsidRPr="0081729D">
        <w:rPr>
          <w:rFonts w:ascii="Times New Roman" w:eastAsia="Calibri" w:hAnsi="Times New Roman" w:cs="Times New Roman"/>
          <w:sz w:val="24"/>
          <w:szCs w:val="24"/>
          <w:lang w:eastAsia="en-US"/>
        </w:rPr>
        <w:t>.1 Il carattere aperto e volontario delle CER, i diritti di partecipazione ed i poteri di controllo</w:t>
      </w:r>
      <w:r w:rsidR="00885487">
        <w:rPr>
          <w:rFonts w:ascii="Times New Roman" w:eastAsia="Calibri" w:hAnsi="Times New Roman" w:cs="Times New Roman"/>
          <w:sz w:val="24"/>
          <w:szCs w:val="24"/>
          <w:lang w:eastAsia="en-US"/>
        </w:rPr>
        <w:t>………………………………………………………………………………</w:t>
      </w:r>
      <w:proofErr w:type="gramStart"/>
      <w:r w:rsidR="00885487">
        <w:rPr>
          <w:rFonts w:ascii="Times New Roman" w:eastAsia="Calibri" w:hAnsi="Times New Roman" w:cs="Times New Roman"/>
          <w:sz w:val="24"/>
          <w:szCs w:val="24"/>
          <w:lang w:eastAsia="en-US"/>
        </w:rPr>
        <w:t>…….</w:t>
      </w:r>
      <w:proofErr w:type="gramEnd"/>
      <w:r w:rsidR="00885487">
        <w:rPr>
          <w:rFonts w:ascii="Times New Roman" w:eastAsia="Calibri" w:hAnsi="Times New Roman" w:cs="Times New Roman"/>
          <w:sz w:val="24"/>
          <w:szCs w:val="24"/>
          <w:lang w:eastAsia="en-US"/>
        </w:rPr>
        <w:t>. p. 53</w:t>
      </w:r>
    </w:p>
    <w:p w14:paraId="0412F7B0" w14:textId="50638E0B" w:rsidR="00D16C47" w:rsidRPr="0081729D" w:rsidRDefault="00D87791" w:rsidP="00374D10">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4</w:t>
      </w:r>
      <w:r w:rsidR="00D16C47" w:rsidRPr="0081729D">
        <w:rPr>
          <w:rFonts w:ascii="Times New Roman" w:eastAsia="Calibri" w:hAnsi="Times New Roman" w:cs="Times New Roman"/>
          <w:sz w:val="24"/>
          <w:szCs w:val="24"/>
          <w:lang w:eastAsia="en-US"/>
        </w:rPr>
        <w:t>.2 L’oggetto sociale delle Comunità Energetiche</w:t>
      </w:r>
      <w:r w:rsidR="00885487">
        <w:rPr>
          <w:rFonts w:ascii="Times New Roman" w:eastAsia="Calibri" w:hAnsi="Times New Roman" w:cs="Times New Roman"/>
          <w:sz w:val="24"/>
          <w:szCs w:val="24"/>
          <w:lang w:eastAsia="en-US"/>
        </w:rPr>
        <w:t>…………………………………</w:t>
      </w:r>
      <w:proofErr w:type="gramStart"/>
      <w:r w:rsidR="00885487">
        <w:rPr>
          <w:rFonts w:ascii="Times New Roman" w:eastAsia="Calibri" w:hAnsi="Times New Roman" w:cs="Times New Roman"/>
          <w:sz w:val="24"/>
          <w:szCs w:val="24"/>
          <w:lang w:eastAsia="en-US"/>
        </w:rPr>
        <w:t>…….</w:t>
      </w:r>
      <w:proofErr w:type="gramEnd"/>
      <w:r w:rsidR="00885487">
        <w:rPr>
          <w:rFonts w:ascii="Times New Roman" w:eastAsia="Calibri" w:hAnsi="Times New Roman" w:cs="Times New Roman"/>
          <w:sz w:val="24"/>
          <w:szCs w:val="24"/>
          <w:lang w:eastAsia="en-US"/>
        </w:rPr>
        <w:t>. p. 56</w:t>
      </w:r>
    </w:p>
    <w:p w14:paraId="66B4CF03" w14:textId="6693792A" w:rsidR="00D16C47" w:rsidRPr="0081729D" w:rsidRDefault="00D87791" w:rsidP="00374D10">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4.</w:t>
      </w:r>
      <w:r w:rsidR="00D16C47" w:rsidRPr="0081729D">
        <w:rPr>
          <w:rFonts w:ascii="Times New Roman" w:eastAsia="Calibri" w:hAnsi="Times New Roman" w:cs="Times New Roman"/>
          <w:sz w:val="24"/>
          <w:szCs w:val="24"/>
          <w:lang w:eastAsia="en-US"/>
        </w:rPr>
        <w:t>3 Statuti e prassi: riflessioni finali sulle CER</w:t>
      </w:r>
      <w:r w:rsidR="00885487">
        <w:rPr>
          <w:rFonts w:ascii="Times New Roman" w:eastAsia="Calibri" w:hAnsi="Times New Roman" w:cs="Times New Roman"/>
          <w:sz w:val="24"/>
          <w:szCs w:val="24"/>
          <w:lang w:eastAsia="en-US"/>
        </w:rPr>
        <w:t xml:space="preserve">…………………………………………… p. </w:t>
      </w:r>
      <w:r w:rsidR="001B6A78">
        <w:rPr>
          <w:rFonts w:ascii="Times New Roman" w:eastAsia="Calibri" w:hAnsi="Times New Roman" w:cs="Times New Roman"/>
          <w:sz w:val="24"/>
          <w:szCs w:val="24"/>
          <w:lang w:eastAsia="en-US"/>
        </w:rPr>
        <w:t>59</w:t>
      </w:r>
    </w:p>
    <w:p w14:paraId="41768925" w14:textId="3FC45A8C" w:rsidR="00D16C47" w:rsidRPr="0081729D" w:rsidRDefault="00D16C47" w:rsidP="00374D10">
      <w:pPr>
        <w:numPr>
          <w:ilvl w:val="0"/>
          <w:numId w:val="8"/>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Il funzionamento delle CER e il modello regolatorio virtuale</w:t>
      </w:r>
      <w:r w:rsidR="001B6A78">
        <w:rPr>
          <w:rFonts w:ascii="Times New Roman" w:eastAsia="Calibri" w:hAnsi="Times New Roman" w:cs="Times New Roman"/>
          <w:sz w:val="24"/>
          <w:szCs w:val="24"/>
          <w:lang w:eastAsia="en-US"/>
        </w:rPr>
        <w:t>………………………… p. 62</w:t>
      </w:r>
    </w:p>
    <w:p w14:paraId="7B782F39" w14:textId="66294F10" w:rsidR="00D16C47" w:rsidRPr="0081729D" w:rsidRDefault="00D16C47" w:rsidP="00374D10">
      <w:pPr>
        <w:numPr>
          <w:ilvl w:val="0"/>
          <w:numId w:val="8"/>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Le fasi di costituzione della CER</w:t>
      </w:r>
      <w:r w:rsidR="001B6A78">
        <w:rPr>
          <w:rFonts w:ascii="Times New Roman" w:eastAsia="Calibri" w:hAnsi="Times New Roman" w:cs="Times New Roman"/>
          <w:sz w:val="24"/>
          <w:szCs w:val="24"/>
          <w:lang w:eastAsia="en-US"/>
        </w:rPr>
        <w:t>……………………………………………………… p. 64</w:t>
      </w:r>
    </w:p>
    <w:bookmarkEnd w:id="0"/>
    <w:p w14:paraId="4CB8954B" w14:textId="77777777" w:rsidR="00D16C47" w:rsidRPr="0081729D" w:rsidRDefault="00D16C47" w:rsidP="00374D10">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Capitolo III</w:t>
      </w:r>
    </w:p>
    <w:p w14:paraId="60443430" w14:textId="77777777" w:rsidR="00D16C47" w:rsidRPr="0081729D" w:rsidRDefault="00D16C47" w:rsidP="00374D10">
      <w:pPr>
        <w:spacing w:after="160" w:line="360" w:lineRule="auto"/>
        <w:ind w:left="170" w:right="227" w:firstLine="170"/>
        <w:contextualSpacing/>
        <w:jc w:val="center"/>
        <w:rPr>
          <w:rFonts w:ascii="Times New Roman" w:eastAsia="Calibri" w:hAnsi="Times New Roman" w:cs="Times New Roman"/>
          <w:sz w:val="24"/>
          <w:szCs w:val="24"/>
          <w:lang w:eastAsia="en-US"/>
        </w:rPr>
      </w:pPr>
      <w:r w:rsidRPr="0081729D">
        <w:rPr>
          <w:rFonts w:ascii="Times New Roman" w:eastAsia="Calibri" w:hAnsi="Times New Roman" w:cs="Times New Roman"/>
          <w:b/>
          <w:bCs/>
          <w:sz w:val="24"/>
          <w:szCs w:val="24"/>
          <w:lang w:eastAsia="en-US"/>
        </w:rPr>
        <w:t>I Modelli di Costituzione delle CER: tra schemi privatistici e pubblicisti la centralità del principio di sussidiarietà</w:t>
      </w:r>
    </w:p>
    <w:p w14:paraId="3392FC64" w14:textId="3ACD9433" w:rsidR="00D16C47" w:rsidRPr="0081729D" w:rsidRDefault="00D16C47" w:rsidP="00374D10">
      <w:pPr>
        <w:numPr>
          <w:ilvl w:val="0"/>
          <w:numId w:val="6"/>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Profili critici dei modelli di costituzione “</w:t>
      </w:r>
      <w:r w:rsidRPr="0081729D">
        <w:rPr>
          <w:rFonts w:ascii="Times New Roman" w:eastAsia="Calibri" w:hAnsi="Times New Roman" w:cs="Times New Roman"/>
          <w:i/>
          <w:iCs/>
          <w:sz w:val="24"/>
          <w:szCs w:val="24"/>
          <w:lang w:eastAsia="en-US"/>
        </w:rPr>
        <w:t>bottom-up</w:t>
      </w:r>
      <w:r w:rsidRPr="0081729D">
        <w:rPr>
          <w:rFonts w:ascii="Times New Roman" w:eastAsia="Calibri" w:hAnsi="Times New Roman" w:cs="Times New Roman"/>
          <w:sz w:val="24"/>
          <w:szCs w:val="24"/>
          <w:lang w:eastAsia="en-US"/>
        </w:rPr>
        <w:t>” e “</w:t>
      </w:r>
      <w:r w:rsidRPr="0081729D">
        <w:rPr>
          <w:rFonts w:ascii="Times New Roman" w:eastAsia="Calibri" w:hAnsi="Times New Roman" w:cs="Times New Roman"/>
          <w:i/>
          <w:iCs/>
          <w:sz w:val="24"/>
          <w:szCs w:val="24"/>
          <w:lang w:eastAsia="en-US"/>
        </w:rPr>
        <w:t>top-down</w:t>
      </w:r>
      <w:r w:rsidRPr="0081729D">
        <w:rPr>
          <w:rFonts w:ascii="Times New Roman" w:eastAsia="Calibri" w:hAnsi="Times New Roman" w:cs="Times New Roman"/>
          <w:sz w:val="24"/>
          <w:szCs w:val="24"/>
          <w:lang w:eastAsia="en-US"/>
        </w:rPr>
        <w:t xml:space="preserve">” delle </w:t>
      </w:r>
      <w:proofErr w:type="spellStart"/>
      <w:r w:rsidRPr="0081729D">
        <w:rPr>
          <w:rFonts w:ascii="Times New Roman" w:eastAsia="Calibri" w:hAnsi="Times New Roman" w:cs="Times New Roman"/>
          <w:sz w:val="24"/>
          <w:szCs w:val="24"/>
          <w:lang w:eastAsia="en-US"/>
        </w:rPr>
        <w:t>Cer</w:t>
      </w:r>
      <w:proofErr w:type="spellEnd"/>
      <w:r w:rsidR="001B6A78">
        <w:rPr>
          <w:rFonts w:ascii="Times New Roman" w:eastAsia="Calibri" w:hAnsi="Times New Roman" w:cs="Times New Roman"/>
          <w:sz w:val="24"/>
          <w:szCs w:val="24"/>
          <w:lang w:eastAsia="en-US"/>
        </w:rPr>
        <w:t>……… p. 67</w:t>
      </w:r>
    </w:p>
    <w:p w14:paraId="28E951D6" w14:textId="1F4D5F61" w:rsidR="00D16C47" w:rsidRPr="0081729D" w:rsidRDefault="00D16C47" w:rsidP="00374D10">
      <w:pPr>
        <w:numPr>
          <w:ilvl w:val="0"/>
          <w:numId w:val="6"/>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Le forme organizzative a partecipazione pubblica nel Codice dei Contratti Pubblici: il partenariato pubblico-privato</w:t>
      </w:r>
      <w:r w:rsidR="001B6A78">
        <w:rPr>
          <w:rFonts w:ascii="Times New Roman" w:eastAsia="Calibri" w:hAnsi="Times New Roman" w:cs="Times New Roman"/>
          <w:sz w:val="24"/>
          <w:szCs w:val="24"/>
          <w:lang w:eastAsia="en-US"/>
        </w:rPr>
        <w:t xml:space="preserve">……………………………………………………………… p. </w:t>
      </w:r>
      <w:r w:rsidR="00C37813">
        <w:rPr>
          <w:rFonts w:ascii="Times New Roman" w:eastAsia="Calibri" w:hAnsi="Times New Roman" w:cs="Times New Roman"/>
          <w:sz w:val="24"/>
          <w:szCs w:val="24"/>
          <w:lang w:eastAsia="en-US"/>
        </w:rPr>
        <w:t>70</w:t>
      </w:r>
    </w:p>
    <w:p w14:paraId="19F5397D" w14:textId="0D1E0940" w:rsidR="00D16C47" w:rsidRPr="0081729D" w:rsidRDefault="00D16C47" w:rsidP="00374D10">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2.1 I contratti di rendimento energetico (</w:t>
      </w:r>
      <w:r w:rsidRPr="00C37813">
        <w:rPr>
          <w:rFonts w:ascii="Times New Roman" w:eastAsia="Calibri" w:hAnsi="Times New Roman" w:cs="Times New Roman"/>
          <w:i/>
          <w:iCs/>
          <w:sz w:val="24"/>
          <w:szCs w:val="24"/>
          <w:lang w:eastAsia="en-US"/>
        </w:rPr>
        <w:t xml:space="preserve">Energy Performance </w:t>
      </w:r>
      <w:proofErr w:type="spellStart"/>
      <w:r w:rsidRPr="00C37813">
        <w:rPr>
          <w:rFonts w:ascii="Times New Roman" w:eastAsia="Calibri" w:hAnsi="Times New Roman" w:cs="Times New Roman"/>
          <w:i/>
          <w:iCs/>
          <w:sz w:val="24"/>
          <w:szCs w:val="24"/>
          <w:lang w:eastAsia="en-US"/>
        </w:rPr>
        <w:t>Contract</w:t>
      </w:r>
      <w:proofErr w:type="spellEnd"/>
      <w:r w:rsidRPr="0081729D">
        <w:rPr>
          <w:rFonts w:ascii="Times New Roman" w:eastAsia="Calibri" w:hAnsi="Times New Roman" w:cs="Times New Roman"/>
          <w:sz w:val="24"/>
          <w:szCs w:val="24"/>
          <w:lang w:eastAsia="en-US"/>
        </w:rPr>
        <w:t xml:space="preserve"> – EPC) nel contesto delle CER</w:t>
      </w:r>
      <w:r w:rsidR="00C37813">
        <w:rPr>
          <w:rFonts w:ascii="Times New Roman" w:eastAsia="Calibri" w:hAnsi="Times New Roman" w:cs="Times New Roman"/>
          <w:sz w:val="24"/>
          <w:szCs w:val="24"/>
          <w:lang w:eastAsia="en-US"/>
        </w:rPr>
        <w:t>……………………………………………………………………………………. p. 75</w:t>
      </w:r>
    </w:p>
    <w:p w14:paraId="6FAB3378" w14:textId="77798BD7" w:rsidR="00D16C47" w:rsidRPr="0081729D" w:rsidRDefault="00D16C47" w:rsidP="00374D10">
      <w:pPr>
        <w:numPr>
          <w:ilvl w:val="0"/>
          <w:numId w:val="6"/>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partecipazione pubblica attraverso il Testo Unico delle Società a Partecipazione Pubblica</w:t>
      </w:r>
      <w:r w:rsidR="00C37813">
        <w:rPr>
          <w:rFonts w:ascii="Times New Roman" w:eastAsia="Calibri" w:hAnsi="Times New Roman" w:cs="Times New Roman"/>
          <w:sz w:val="24"/>
          <w:szCs w:val="24"/>
          <w:lang w:eastAsia="en-US"/>
        </w:rPr>
        <w:t>…………………………………………………………………………………… p. 78</w:t>
      </w:r>
    </w:p>
    <w:p w14:paraId="15E2723D" w14:textId="46584332" w:rsidR="00D16C47" w:rsidRPr="0081729D" w:rsidRDefault="00D16C47" w:rsidP="00374D10">
      <w:pPr>
        <w:numPr>
          <w:ilvl w:val="1"/>
          <w:numId w:val="6"/>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Prassi di controllo della Corte dei Conti</w:t>
      </w:r>
      <w:r w:rsidR="00C37813">
        <w:rPr>
          <w:rFonts w:ascii="Times New Roman" w:eastAsia="Calibri" w:hAnsi="Times New Roman" w:cs="Times New Roman"/>
          <w:sz w:val="24"/>
          <w:szCs w:val="24"/>
          <w:lang w:eastAsia="en-US"/>
        </w:rPr>
        <w:t>………………………………………………. p. 84</w:t>
      </w:r>
    </w:p>
    <w:p w14:paraId="2B455A84" w14:textId="7165FB35" w:rsidR="00D16C47" w:rsidRPr="0081729D" w:rsidRDefault="00D16C47" w:rsidP="00374D10">
      <w:pPr>
        <w:numPr>
          <w:ilvl w:val="0"/>
          <w:numId w:val="6"/>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Le forme organizzative privatistiche a confronto: le associazioni, le fondazioni e le cooperative</w:t>
      </w:r>
      <w:r w:rsidR="00C37813">
        <w:rPr>
          <w:rFonts w:ascii="Times New Roman" w:eastAsia="Calibri" w:hAnsi="Times New Roman" w:cs="Times New Roman"/>
          <w:sz w:val="24"/>
          <w:szCs w:val="24"/>
          <w:lang w:eastAsia="en-US"/>
        </w:rPr>
        <w:t>…………………………………………………………………………………. p. 86</w:t>
      </w:r>
    </w:p>
    <w:p w14:paraId="1EAE30F4" w14:textId="7C59BC01" w:rsidR="00D16C47" w:rsidRPr="0081729D" w:rsidRDefault="00D16C47" w:rsidP="00374D10">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4.1 I regimi fiscali dei modelli privatisti</w:t>
      </w:r>
      <w:r w:rsidR="00C37813">
        <w:rPr>
          <w:rFonts w:ascii="Times New Roman" w:eastAsia="Calibri" w:hAnsi="Times New Roman" w:cs="Times New Roman"/>
          <w:sz w:val="24"/>
          <w:szCs w:val="24"/>
          <w:lang w:eastAsia="en-US"/>
        </w:rPr>
        <w:t>…………………………………………………… p. 91</w:t>
      </w:r>
    </w:p>
    <w:p w14:paraId="44E47D24" w14:textId="43A383A2" w:rsidR="001C65CA" w:rsidRPr="001C65CA" w:rsidRDefault="00D16C47" w:rsidP="00374D10">
      <w:pPr>
        <w:numPr>
          <w:ilvl w:val="0"/>
          <w:numId w:val="6"/>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Possibile sinergia normativa tra CER e Servizi Pubblici</w:t>
      </w:r>
      <w:r w:rsidR="00C37813">
        <w:rPr>
          <w:rFonts w:ascii="Times New Roman" w:eastAsia="Calibri" w:hAnsi="Times New Roman" w:cs="Times New Roman"/>
          <w:sz w:val="24"/>
          <w:szCs w:val="24"/>
          <w:lang w:eastAsia="en-US"/>
        </w:rPr>
        <w:t>………………………………. p. 94</w:t>
      </w:r>
    </w:p>
    <w:p w14:paraId="37BEC848" w14:textId="77777777" w:rsidR="00D16C47" w:rsidRPr="00B17ED8" w:rsidRDefault="00D16C47" w:rsidP="00374D10">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B17ED8">
        <w:rPr>
          <w:rFonts w:ascii="Times New Roman" w:eastAsia="Calibri" w:hAnsi="Times New Roman" w:cs="Times New Roman"/>
          <w:b/>
          <w:bCs/>
          <w:sz w:val="24"/>
          <w:szCs w:val="24"/>
          <w:lang w:eastAsia="en-US"/>
        </w:rPr>
        <w:t>IV CAPITOLO</w:t>
      </w:r>
    </w:p>
    <w:p w14:paraId="1538531F" w14:textId="4352601C" w:rsidR="00285579" w:rsidRPr="00B17ED8" w:rsidRDefault="00736EEB" w:rsidP="00374D10">
      <w:pPr>
        <w:spacing w:after="160" w:line="360" w:lineRule="auto"/>
        <w:ind w:left="340" w:right="227"/>
        <w:contextualSpacing/>
        <w:jc w:val="center"/>
        <w:rPr>
          <w:rFonts w:ascii="Times New Roman" w:eastAsia="Calibri" w:hAnsi="Times New Roman" w:cs="Times New Roman"/>
          <w:sz w:val="24"/>
          <w:szCs w:val="24"/>
          <w:lang w:eastAsia="en-US"/>
        </w:rPr>
      </w:pPr>
      <w:r w:rsidRPr="00736EEB">
        <w:rPr>
          <w:rFonts w:ascii="Times New Roman" w:eastAsia="Calibri" w:hAnsi="Times New Roman" w:cs="Times New Roman"/>
          <w:b/>
          <w:bCs/>
          <w:sz w:val="24"/>
          <w:szCs w:val="24"/>
          <w:lang w:eastAsia="en-US"/>
        </w:rPr>
        <w:t>Governance territoriale delle comunità energetiche rinnovabili: sussidiarietà, prossimità e aree idonee nella transizione energetica</w:t>
      </w:r>
    </w:p>
    <w:p w14:paraId="369DB50C" w14:textId="6FE4ADE9" w:rsidR="00B17ED8" w:rsidRPr="00B17ED8" w:rsidRDefault="00B17ED8" w:rsidP="00374D10">
      <w:pPr>
        <w:pStyle w:val="Paragrafoelenco"/>
        <w:numPr>
          <w:ilvl w:val="0"/>
          <w:numId w:val="12"/>
        </w:numPr>
        <w:spacing w:after="160" w:line="360" w:lineRule="auto"/>
        <w:ind w:right="227"/>
        <w:contextualSpacing/>
        <w:jc w:val="both"/>
        <w:rPr>
          <w:rFonts w:ascii="Times New Roman" w:eastAsia="Calibri" w:hAnsi="Times New Roman" w:cs="Times New Roman"/>
          <w:sz w:val="24"/>
          <w:szCs w:val="24"/>
          <w:lang w:eastAsia="en-US"/>
        </w:rPr>
      </w:pPr>
      <w:r w:rsidRPr="00B17ED8">
        <w:rPr>
          <w:rFonts w:ascii="Times New Roman" w:eastAsia="Calibri" w:hAnsi="Times New Roman" w:cs="Times New Roman"/>
          <w:sz w:val="24"/>
          <w:szCs w:val="24"/>
          <w:lang w:eastAsia="en-US"/>
        </w:rPr>
        <w:t>Introduzione all’indagine: sussidiarietà verticale e orizzontale, pianificazione territoriale e ruolo dei Comuni nello sviluppo delle CER</w:t>
      </w:r>
      <w:r w:rsidR="0081712D">
        <w:rPr>
          <w:rFonts w:ascii="Times New Roman" w:eastAsia="Calibri" w:hAnsi="Times New Roman" w:cs="Times New Roman"/>
          <w:sz w:val="24"/>
          <w:szCs w:val="24"/>
          <w:lang w:eastAsia="en-US"/>
        </w:rPr>
        <w:t xml:space="preserve">…………………………………………. p. </w:t>
      </w:r>
      <w:r w:rsidR="00C1708D">
        <w:rPr>
          <w:rFonts w:ascii="Times New Roman" w:eastAsia="Calibri" w:hAnsi="Times New Roman" w:cs="Times New Roman"/>
          <w:sz w:val="24"/>
          <w:szCs w:val="24"/>
          <w:lang w:eastAsia="en-US"/>
        </w:rPr>
        <w:t>97</w:t>
      </w:r>
    </w:p>
    <w:p w14:paraId="7579787A" w14:textId="257357C0" w:rsidR="00B17ED8" w:rsidRPr="00B17ED8" w:rsidRDefault="00B17ED8" w:rsidP="00374D10">
      <w:pPr>
        <w:pStyle w:val="Paragrafoelenco"/>
        <w:numPr>
          <w:ilvl w:val="0"/>
          <w:numId w:val="12"/>
        </w:numPr>
        <w:spacing w:after="160" w:line="360" w:lineRule="auto"/>
        <w:ind w:right="227"/>
        <w:contextualSpacing/>
        <w:jc w:val="both"/>
        <w:rPr>
          <w:rFonts w:ascii="Times New Roman" w:eastAsia="Calibri" w:hAnsi="Times New Roman" w:cs="Times New Roman"/>
          <w:sz w:val="24"/>
          <w:szCs w:val="24"/>
          <w:lang w:eastAsia="en-US"/>
        </w:rPr>
      </w:pPr>
      <w:r w:rsidRPr="00B17ED8">
        <w:rPr>
          <w:rFonts w:ascii="Times New Roman" w:eastAsia="Calibri" w:hAnsi="Times New Roman" w:cs="Times New Roman"/>
          <w:sz w:val="24"/>
          <w:szCs w:val="24"/>
          <w:lang w:eastAsia="en-US"/>
        </w:rPr>
        <w:t>Il principio di prossimità territoriale nelle CER e la centralità della fase localizzativa degli impianti</w:t>
      </w:r>
      <w:r w:rsidR="00C1708D">
        <w:rPr>
          <w:rFonts w:ascii="Times New Roman" w:eastAsia="Calibri" w:hAnsi="Times New Roman" w:cs="Times New Roman"/>
          <w:sz w:val="24"/>
          <w:szCs w:val="24"/>
          <w:lang w:eastAsia="en-US"/>
        </w:rPr>
        <w:t>………………………………………………………………………………. p. 101</w:t>
      </w:r>
    </w:p>
    <w:p w14:paraId="48162DB1" w14:textId="048B8D56" w:rsidR="00B17ED8" w:rsidRPr="00B17ED8" w:rsidRDefault="00B17ED8" w:rsidP="00374D10">
      <w:pPr>
        <w:pStyle w:val="Paragrafoelenco"/>
        <w:numPr>
          <w:ilvl w:val="0"/>
          <w:numId w:val="12"/>
        </w:numPr>
        <w:spacing w:after="160" w:line="360" w:lineRule="auto"/>
        <w:ind w:right="227"/>
        <w:contextualSpacing/>
        <w:jc w:val="both"/>
        <w:rPr>
          <w:rFonts w:ascii="Times New Roman" w:eastAsia="Calibri" w:hAnsi="Times New Roman" w:cs="Times New Roman"/>
          <w:sz w:val="24"/>
          <w:szCs w:val="24"/>
          <w:lang w:eastAsia="en-US"/>
        </w:rPr>
      </w:pPr>
      <w:r w:rsidRPr="00B17ED8">
        <w:rPr>
          <w:rFonts w:ascii="Times New Roman" w:eastAsia="Calibri" w:hAnsi="Times New Roman" w:cs="Times New Roman"/>
          <w:sz w:val="24"/>
          <w:szCs w:val="24"/>
          <w:lang w:eastAsia="en-US"/>
        </w:rPr>
        <w:lastRenderedPageBreak/>
        <w:t>Le aree idonee nel d.lgs. 199/2021 e la trasformazione del modello di governo territoriale</w:t>
      </w:r>
      <w:r w:rsidR="00C1708D">
        <w:rPr>
          <w:rFonts w:ascii="Times New Roman" w:eastAsia="Calibri" w:hAnsi="Times New Roman" w:cs="Times New Roman"/>
          <w:sz w:val="24"/>
          <w:szCs w:val="24"/>
          <w:lang w:eastAsia="en-US"/>
        </w:rPr>
        <w:t>……………………………………………………………………………. p. 103</w:t>
      </w:r>
    </w:p>
    <w:p w14:paraId="3F31C6AE" w14:textId="422119A1" w:rsidR="00B17ED8" w:rsidRPr="00B17ED8" w:rsidRDefault="00B17ED8" w:rsidP="00374D10">
      <w:pPr>
        <w:pStyle w:val="Paragrafoelenco"/>
        <w:numPr>
          <w:ilvl w:val="0"/>
          <w:numId w:val="12"/>
        </w:numPr>
        <w:spacing w:after="160" w:line="360" w:lineRule="auto"/>
        <w:ind w:right="227"/>
        <w:contextualSpacing/>
        <w:jc w:val="both"/>
        <w:rPr>
          <w:rFonts w:ascii="Times New Roman" w:eastAsia="Calibri" w:hAnsi="Times New Roman" w:cs="Times New Roman"/>
          <w:sz w:val="24"/>
          <w:szCs w:val="24"/>
          <w:lang w:eastAsia="en-US"/>
        </w:rPr>
      </w:pPr>
      <w:r w:rsidRPr="00B17ED8">
        <w:rPr>
          <w:rFonts w:ascii="Times New Roman" w:eastAsia="Calibri" w:hAnsi="Times New Roman" w:cs="Times New Roman"/>
          <w:sz w:val="24"/>
          <w:szCs w:val="24"/>
          <w:lang w:eastAsia="en-US"/>
        </w:rPr>
        <w:t>La riserva di procedimento amministrativo e la progressiva compressione della discrezionalità territoriale</w:t>
      </w:r>
      <w:r w:rsidR="00C1708D">
        <w:rPr>
          <w:rFonts w:ascii="Times New Roman" w:eastAsia="Calibri" w:hAnsi="Times New Roman" w:cs="Times New Roman"/>
          <w:sz w:val="24"/>
          <w:szCs w:val="24"/>
          <w:lang w:eastAsia="en-US"/>
        </w:rPr>
        <w:t>…………………………………………………………… p. 107</w:t>
      </w:r>
    </w:p>
    <w:p w14:paraId="4013426D" w14:textId="69BA6E44" w:rsidR="00B17ED8" w:rsidRDefault="00B17ED8" w:rsidP="00374D10">
      <w:pPr>
        <w:pStyle w:val="Paragrafoelenco"/>
        <w:numPr>
          <w:ilvl w:val="0"/>
          <w:numId w:val="12"/>
        </w:numPr>
        <w:spacing w:after="160" w:line="360" w:lineRule="auto"/>
        <w:ind w:right="227"/>
        <w:contextualSpacing/>
        <w:jc w:val="both"/>
        <w:rPr>
          <w:rFonts w:ascii="Times New Roman" w:eastAsia="Calibri" w:hAnsi="Times New Roman" w:cs="Times New Roman"/>
          <w:sz w:val="24"/>
          <w:szCs w:val="24"/>
          <w:lang w:eastAsia="en-US"/>
        </w:rPr>
      </w:pPr>
      <w:r w:rsidRPr="00B17ED8">
        <w:rPr>
          <w:rFonts w:ascii="Times New Roman" w:eastAsia="Calibri" w:hAnsi="Times New Roman" w:cs="Times New Roman"/>
          <w:sz w:val="24"/>
          <w:szCs w:val="24"/>
          <w:lang w:eastAsia="en-US"/>
        </w:rPr>
        <w:t>Verso la centralità del principio di massima diffusione e la ridefinizione della gerarchia degli interessi</w:t>
      </w:r>
      <w:r w:rsidR="00C1708D">
        <w:rPr>
          <w:rFonts w:ascii="Times New Roman" w:eastAsia="Calibri" w:hAnsi="Times New Roman" w:cs="Times New Roman"/>
          <w:sz w:val="24"/>
          <w:szCs w:val="24"/>
          <w:lang w:eastAsia="en-US"/>
        </w:rPr>
        <w:t>………………………………………………………………………… p. 110</w:t>
      </w:r>
    </w:p>
    <w:p w14:paraId="69EB7C2F" w14:textId="77777777" w:rsidR="00C1708D" w:rsidRDefault="008B51B3" w:rsidP="00C1708D">
      <w:pPr>
        <w:pStyle w:val="Paragrafoelenco"/>
        <w:numPr>
          <w:ilvl w:val="0"/>
          <w:numId w:val="12"/>
        </w:numPr>
        <w:spacing w:after="160" w:line="360" w:lineRule="auto"/>
        <w:ind w:right="227"/>
        <w:contextualSpacing/>
        <w:jc w:val="both"/>
        <w:rPr>
          <w:rFonts w:ascii="Times New Roman" w:eastAsia="Calibri" w:hAnsi="Times New Roman" w:cs="Times New Roman"/>
          <w:sz w:val="24"/>
          <w:szCs w:val="24"/>
          <w:lang w:eastAsia="en-US"/>
        </w:rPr>
      </w:pPr>
      <w:r w:rsidRPr="008B51B3">
        <w:rPr>
          <w:rFonts w:ascii="Times New Roman" w:eastAsia="Calibri" w:hAnsi="Times New Roman" w:cs="Times New Roman"/>
          <w:sz w:val="24"/>
          <w:szCs w:val="24"/>
          <w:lang w:eastAsia="en-US"/>
        </w:rPr>
        <w:t>Casistica generale e bilancio complessivo</w:t>
      </w:r>
      <w:r w:rsidR="00C1708D">
        <w:rPr>
          <w:rFonts w:ascii="Times New Roman" w:eastAsia="Calibri" w:hAnsi="Times New Roman" w:cs="Times New Roman"/>
          <w:sz w:val="24"/>
          <w:szCs w:val="24"/>
          <w:lang w:eastAsia="en-US"/>
        </w:rPr>
        <w:t>……………………………………………. p. 119</w:t>
      </w:r>
    </w:p>
    <w:p w14:paraId="28067950" w14:textId="5983EFAC" w:rsidR="00C1708D" w:rsidRPr="00C1708D" w:rsidRDefault="00C1708D" w:rsidP="00C1708D">
      <w:pPr>
        <w:spacing w:after="160" w:line="360" w:lineRule="auto"/>
        <w:ind w:left="340" w:right="227"/>
        <w:contextualSpacing/>
        <w:rPr>
          <w:rFonts w:ascii="Times New Roman" w:eastAsia="Calibri" w:hAnsi="Times New Roman" w:cs="Times New Roman"/>
          <w:sz w:val="24"/>
          <w:szCs w:val="24"/>
          <w:lang w:eastAsia="en-US"/>
        </w:rPr>
      </w:pPr>
      <w:r w:rsidRPr="00C1708D">
        <w:rPr>
          <w:rFonts w:ascii="Times New Roman" w:eastAsia="Calibri" w:hAnsi="Times New Roman" w:cs="Times New Roman"/>
          <w:b/>
          <w:bCs/>
          <w:sz w:val="24"/>
          <w:szCs w:val="24"/>
          <w:lang w:eastAsia="en-US"/>
        </w:rPr>
        <w:t>Conclusioni</w:t>
      </w:r>
      <w:r w:rsidRPr="00C1708D">
        <w:rPr>
          <w:rFonts w:ascii="Times New Roman" w:eastAsia="Calibri" w:hAnsi="Times New Roman" w:cs="Times New Roman"/>
          <w:sz w:val="24"/>
          <w:szCs w:val="24"/>
          <w:lang w:eastAsia="en-US"/>
        </w:rPr>
        <w:t>.                                                                                                                       p. 127</w:t>
      </w:r>
    </w:p>
    <w:p w14:paraId="5AF5BAA1" w14:textId="448D576B" w:rsidR="00C1708D" w:rsidRPr="00C1708D" w:rsidRDefault="00C1708D" w:rsidP="00C1708D">
      <w:pPr>
        <w:spacing w:after="160" w:line="360" w:lineRule="auto"/>
        <w:ind w:left="340" w:right="227"/>
        <w:contextualSpacing/>
        <w:rPr>
          <w:rFonts w:ascii="Times New Roman" w:eastAsia="Calibri" w:hAnsi="Times New Roman" w:cs="Times New Roman"/>
          <w:sz w:val="24"/>
          <w:szCs w:val="24"/>
          <w:lang w:eastAsia="en-US"/>
        </w:rPr>
      </w:pPr>
      <w:r w:rsidRPr="00C1708D">
        <w:rPr>
          <w:rFonts w:ascii="Times New Roman" w:eastAsia="Calibri" w:hAnsi="Times New Roman" w:cs="Times New Roman"/>
          <w:b/>
          <w:bCs/>
          <w:sz w:val="24"/>
          <w:szCs w:val="24"/>
          <w:lang w:eastAsia="en-US"/>
        </w:rPr>
        <w:t>Bibliografia</w:t>
      </w:r>
      <w:r w:rsidR="006156E5">
        <w:rPr>
          <w:rFonts w:ascii="Times New Roman" w:eastAsia="Calibri" w:hAnsi="Times New Roman" w:cs="Times New Roman"/>
          <w:b/>
          <w:bCs/>
          <w:sz w:val="24"/>
          <w:szCs w:val="24"/>
          <w:lang w:eastAsia="en-US"/>
        </w:rPr>
        <w:t>.</w:t>
      </w:r>
      <w:r w:rsidRPr="00C1708D">
        <w:rPr>
          <w:rFonts w:ascii="Times New Roman" w:eastAsia="Calibri" w:hAnsi="Times New Roman" w:cs="Times New Roman"/>
          <w:b/>
          <w:bCs/>
          <w:sz w:val="24"/>
          <w:szCs w:val="24"/>
          <w:lang w:eastAsia="en-US"/>
        </w:rPr>
        <w:t xml:space="preserve">                                                                                                                       </w:t>
      </w:r>
      <w:r w:rsidRPr="00C1708D">
        <w:rPr>
          <w:rFonts w:ascii="Times New Roman" w:eastAsia="Calibri" w:hAnsi="Times New Roman" w:cs="Times New Roman"/>
          <w:sz w:val="24"/>
          <w:szCs w:val="24"/>
          <w:lang w:eastAsia="en-US"/>
        </w:rPr>
        <w:t>p. 130</w:t>
      </w:r>
    </w:p>
    <w:p w14:paraId="503842BE" w14:textId="200593F9" w:rsidR="00C1708D" w:rsidRDefault="00C1708D" w:rsidP="00C1708D">
      <w:pPr>
        <w:spacing w:after="160" w:line="360" w:lineRule="auto"/>
        <w:ind w:left="340" w:right="227"/>
        <w:contextualSpacing/>
        <w:rPr>
          <w:rFonts w:ascii="Times New Roman" w:eastAsia="Calibri" w:hAnsi="Times New Roman" w:cs="Times New Roman"/>
          <w:sz w:val="24"/>
          <w:szCs w:val="24"/>
          <w:lang w:eastAsia="en-US"/>
        </w:rPr>
      </w:pPr>
    </w:p>
    <w:p w14:paraId="10C685A0" w14:textId="2B01160E" w:rsidR="00B17ED8" w:rsidRDefault="00B17ED8" w:rsidP="00285579">
      <w:pPr>
        <w:spacing w:after="160" w:line="360" w:lineRule="auto"/>
        <w:ind w:left="340" w:right="227"/>
        <w:contextualSpacing/>
        <w:jc w:val="both"/>
        <w:rPr>
          <w:rFonts w:ascii="Times New Roman" w:eastAsia="Calibri" w:hAnsi="Times New Roman" w:cs="Times New Roman"/>
          <w:b/>
          <w:bCs/>
          <w:sz w:val="24"/>
          <w:szCs w:val="24"/>
          <w:lang w:eastAsia="en-US"/>
        </w:rPr>
      </w:pPr>
    </w:p>
    <w:p w14:paraId="1CB7DF2F" w14:textId="54F9C43F" w:rsidR="00736EEB" w:rsidRDefault="00736EEB" w:rsidP="008B51B3">
      <w:pPr>
        <w:spacing w:after="160" w:line="360" w:lineRule="auto"/>
        <w:ind w:right="227"/>
        <w:contextualSpacing/>
        <w:jc w:val="both"/>
        <w:rPr>
          <w:rFonts w:ascii="Times New Roman" w:eastAsia="Calibri" w:hAnsi="Times New Roman" w:cs="Times New Roman"/>
          <w:sz w:val="24"/>
          <w:szCs w:val="24"/>
          <w:lang w:eastAsia="en-US"/>
        </w:rPr>
      </w:pPr>
    </w:p>
    <w:p w14:paraId="3322ECDD"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514D1503"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5014837D"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66FE0ABD"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7B2EFFB9"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2E2B299E"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13CFFCE7"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1F49AD46"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6D75EDA1"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4E83F204"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0C556C27"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068B2885"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07512FEE"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66DC718F"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6193198F"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6B10D80F"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59E97CEE"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2D4B4D3B"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40CA840E"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07CBCF15"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50BC06AC"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3FB38D1C" w14:textId="77777777" w:rsidR="006156E5" w:rsidRDefault="006156E5" w:rsidP="008B51B3">
      <w:pPr>
        <w:spacing w:after="160" w:line="360" w:lineRule="auto"/>
        <w:ind w:right="227"/>
        <w:contextualSpacing/>
        <w:jc w:val="both"/>
        <w:rPr>
          <w:rFonts w:ascii="Times New Roman" w:eastAsia="Calibri" w:hAnsi="Times New Roman" w:cs="Times New Roman"/>
          <w:sz w:val="24"/>
          <w:szCs w:val="24"/>
          <w:lang w:eastAsia="en-US"/>
        </w:rPr>
      </w:pPr>
    </w:p>
    <w:p w14:paraId="0CEA8B3E" w14:textId="33780326" w:rsidR="00736EEB" w:rsidRDefault="00331474" w:rsidP="00285579">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b/>
          <w:bCs/>
          <w:sz w:val="24"/>
          <w:szCs w:val="24"/>
          <w:lang w:eastAsia="en-US"/>
        </w:rPr>
        <w:lastRenderedPageBreak/>
        <w:t>Introduzione</w:t>
      </w:r>
      <w:r>
        <w:rPr>
          <w:rFonts w:ascii="Times New Roman" w:eastAsia="Calibri" w:hAnsi="Times New Roman" w:cs="Times New Roman"/>
          <w:sz w:val="24"/>
          <w:szCs w:val="24"/>
          <w:lang w:eastAsia="en-US"/>
        </w:rPr>
        <w:t>.</w:t>
      </w:r>
    </w:p>
    <w:p w14:paraId="546F3DBD"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La presente tesi di dottorato si colloca nell’ambito del Corso di Dottorato in “</w:t>
      </w:r>
      <w:r w:rsidRPr="00331474">
        <w:rPr>
          <w:rFonts w:ascii="Times New Roman" w:eastAsia="Calibri" w:hAnsi="Times New Roman" w:cs="Times New Roman"/>
          <w:i/>
          <w:iCs/>
          <w:sz w:val="24"/>
          <w:szCs w:val="24"/>
          <w:lang w:eastAsia="en-US"/>
        </w:rPr>
        <w:t>Pubblica Amministrazione e imprese per lo sviluppo del territorio</w:t>
      </w:r>
      <w:r w:rsidRPr="00331474">
        <w:rPr>
          <w:rFonts w:ascii="Times New Roman" w:eastAsia="Calibri" w:hAnsi="Times New Roman" w:cs="Times New Roman"/>
          <w:sz w:val="24"/>
          <w:szCs w:val="24"/>
          <w:lang w:eastAsia="en-US"/>
        </w:rPr>
        <w:t>”, il cui obiettivo è l’approfondimento sistematico delle relazioni intercorrenti tra le amministrazioni pubbliche e i diversi attori economici coinvolti nei processi di sviluppo e valorizzazione territoriale. In tale prospettiva, assume particolare rilevanza l’analisi delle forme di cooperazione istituzionale e delle modalità di interazione tra soggetti pubblici e privati, nonché dei modelli di governance idonei a promuovere uno sviluppo sostenibile, inclusivo e coerente con le peculiarità dei contesti locali.</w:t>
      </w:r>
    </w:p>
    <w:p w14:paraId="4AA068D5"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Muovendo da tali premesse, la ricerca si propone di indagare le dinamiche collaborative tra istituzioni e operatori economici quali fattori abilitanti per l’elaborazione e l’attuazione di politiche pubbliche innovative, con specifico riguardo al settore energetico. In tale ambito, il coinvolgimento attivo delle comunità locali e dei soggetti privati si configura quale elemento sempre più determinante ai fini del conseguimento degli obiettivi di transizione ecologica.</w:t>
      </w:r>
    </w:p>
    <w:p w14:paraId="06E27FCF"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Invero, nel contesto della transizione energetica europea – connotato dall’esigenza di coniugare sostenibilità ambientale, sicurezza degli approvvigionamenti e partecipazione democratica – il principio di sussidiarietà assume un ruolo progressivamente centrale nella definizione e nell’attuazione delle politiche pubbliche. In particolare, la sussidiarietà in senso orizzontale, intesa quale valorizzazione dell’iniziativa autonoma dei cittadini, delle formazioni sociali e dei soggetti privati nella cura di interessi di rilievo generale, si configura come uno dei principali criteri ermeneutici per l’interpretazione delle recenti evoluzioni del diritto dell’Unione europea in materia energetica.</w:t>
      </w:r>
    </w:p>
    <w:p w14:paraId="3A4DE62A"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Alla luce di tali considerazioni, la presente indagine si propone di esaminare il rapporto tra il principio di sussidiarietà orizzontale e le politiche dell’Unione europea in materia di transizione energetica, assumendo le Comunità energetiche rinnovabili (CER) quale caso di studio paradigmatico, al fine di verificare in che misura tale principio trovi effettiva attuazione nell’ambito dell’ordinamento multilivello europeo.</w:t>
      </w:r>
    </w:p>
    <w:p w14:paraId="5983BB6A"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L’analisi si articola in quattro capitoli, ciascuno dei quali è volto ad approfondire specifici profili della tematica oggetto di indagine. Il primo capitolo è dedicato alla ricostruzione dell’evoluzione normativa delle politiche energetiche dell’Unione europea, con particolare riferimento all’emersione e al progressivo consolidamento del principio di sussidiarietà orizzontale, evidenziando il passaggio da un modello di governance accentrato a uno maggiormente policentrico e inclusivo, caratterizzato dalla valorizzazione del ruolo degli attori locali e dei corpi intermedi.</w:t>
      </w:r>
    </w:p>
    <w:p w14:paraId="2DB9A966"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lastRenderedPageBreak/>
        <w:t>Il secondo capitolo è incentrato sull’analisi della disciplina delle Comunità energetiche rinnovabili, di cui vengono esaminati i presupposti normativi e le finalità. In tale contesto, particolare attenzione è dedicata alle diverse declinazioni del concetto di sviluppo sostenibile, nonché all’individuazione dei requisiti soggettivi e oggettivi necessari per la costituzione di una CER, alla luce della normativa europea e della relativa disciplina nazionale di recepimento.</w:t>
      </w:r>
    </w:p>
    <w:p w14:paraId="46A48A5E"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Il terzo capitolo adotta una prospettiva trasversale, volta a esaminare le diverse forme giuridiche attraverso cui le CER possono essere costituite. In particolare, viene sviluppato un confronto tra modelli pubblicistici e privatistici, evidenziando come i primi non sempre risultino pienamente coerenti con i principi di autonomia, partecipazione e flessibilità che connotano tali configurazioni organizzative.</w:t>
      </w:r>
    </w:p>
    <w:p w14:paraId="315D0999" w14:textId="3308E7E6"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 xml:space="preserve">Il quarto capitolo è, infine, dedicato a una verifica complessiva del ruolo del principio di sussidiarietà, tanto in senso orizzontale quanto verticale, </w:t>
      </w:r>
      <w:r>
        <w:rPr>
          <w:rFonts w:ascii="Times New Roman" w:eastAsia="Calibri" w:hAnsi="Times New Roman" w:cs="Times New Roman"/>
          <w:sz w:val="24"/>
          <w:szCs w:val="24"/>
          <w:lang w:eastAsia="en-US"/>
        </w:rPr>
        <w:t xml:space="preserve">anche </w:t>
      </w:r>
      <w:r w:rsidRPr="00331474">
        <w:rPr>
          <w:rFonts w:ascii="Times New Roman" w:eastAsia="Calibri" w:hAnsi="Times New Roman" w:cs="Times New Roman"/>
          <w:sz w:val="24"/>
          <w:szCs w:val="24"/>
          <w:lang w:eastAsia="en-US"/>
        </w:rPr>
        <w:t>nell’ambito</w:t>
      </w:r>
      <w:r>
        <w:rPr>
          <w:rFonts w:ascii="Times New Roman" w:eastAsia="Calibri" w:hAnsi="Times New Roman" w:cs="Times New Roman"/>
          <w:sz w:val="24"/>
          <w:szCs w:val="24"/>
          <w:lang w:eastAsia="en-US"/>
        </w:rPr>
        <w:t xml:space="preserve"> pianificazione territoriale</w:t>
      </w:r>
      <w:r w:rsidRPr="00331474">
        <w:rPr>
          <w:rFonts w:ascii="Times New Roman" w:eastAsia="Calibri" w:hAnsi="Times New Roman" w:cs="Times New Roman"/>
          <w:sz w:val="24"/>
          <w:szCs w:val="24"/>
          <w:lang w:eastAsia="en-US"/>
        </w:rPr>
        <w:t xml:space="preserve">. In tale prospettiva, si intende accertare se esso costituisca effettivamente un elemento centrale della disciplina ovvero se, in presenza di esigenze concorrenti – quali il coordinamento unitario o la semplificazione amministrativa – tenda a subire forme di compressione. A tal fine, viene altresì esaminata l’evoluzione normativa in materia di pianificazione territoriale </w:t>
      </w:r>
      <w:r>
        <w:rPr>
          <w:rFonts w:ascii="Times New Roman" w:eastAsia="Calibri" w:hAnsi="Times New Roman" w:cs="Times New Roman"/>
          <w:sz w:val="24"/>
          <w:szCs w:val="24"/>
          <w:lang w:eastAsia="en-US"/>
        </w:rPr>
        <w:t xml:space="preserve">e di governance </w:t>
      </w:r>
      <w:r w:rsidRPr="00331474">
        <w:rPr>
          <w:rFonts w:ascii="Times New Roman" w:eastAsia="Calibri" w:hAnsi="Times New Roman" w:cs="Times New Roman"/>
          <w:sz w:val="24"/>
          <w:szCs w:val="24"/>
          <w:lang w:eastAsia="en-US"/>
        </w:rPr>
        <w:t>per lo sviluppo delle fonti rinnovabili, con particolare riferimento alla ridefinizione delle competenze tra Stato e Regioni</w:t>
      </w:r>
      <w:r>
        <w:rPr>
          <w:rFonts w:ascii="Times New Roman" w:eastAsia="Calibri" w:hAnsi="Times New Roman" w:cs="Times New Roman"/>
          <w:sz w:val="24"/>
          <w:szCs w:val="24"/>
          <w:lang w:eastAsia="en-US"/>
        </w:rPr>
        <w:t xml:space="preserve"> e alla possibile compressione del potere discrezionale</w:t>
      </w:r>
      <w:r w:rsidRPr="00331474">
        <w:rPr>
          <w:rFonts w:ascii="Times New Roman" w:eastAsia="Calibri" w:hAnsi="Times New Roman" w:cs="Times New Roman"/>
          <w:sz w:val="24"/>
          <w:szCs w:val="24"/>
          <w:lang w:eastAsia="en-US"/>
        </w:rPr>
        <w:t>.</w:t>
      </w:r>
    </w:p>
    <w:p w14:paraId="5945F711" w14:textId="77777777" w:rsidR="00331474" w:rsidRPr="00331474" w:rsidRDefault="00331474" w:rsidP="00331474">
      <w:pPr>
        <w:spacing w:after="160" w:line="360" w:lineRule="auto"/>
        <w:ind w:left="340" w:right="227"/>
        <w:contextualSpacing/>
        <w:jc w:val="both"/>
        <w:rPr>
          <w:rFonts w:ascii="Times New Roman" w:eastAsia="Calibri" w:hAnsi="Times New Roman" w:cs="Times New Roman"/>
          <w:sz w:val="24"/>
          <w:szCs w:val="24"/>
          <w:lang w:eastAsia="en-US"/>
        </w:rPr>
      </w:pPr>
      <w:r w:rsidRPr="00331474">
        <w:rPr>
          <w:rFonts w:ascii="Times New Roman" w:eastAsia="Calibri" w:hAnsi="Times New Roman" w:cs="Times New Roman"/>
          <w:sz w:val="24"/>
          <w:szCs w:val="24"/>
          <w:lang w:eastAsia="en-US"/>
        </w:rPr>
        <w:t>Attraverso il percorso delineato, la ricerca si propone di offrire un contributo alla comprensione delle dinamiche giuridiche sottese alla transizione energetica, mettendo in evidenza potenzialità e limiti del principio di sussidiarietà quale strumento di governo in un sistema complesso e multilivello quale quello dell’Unione europea.</w:t>
      </w:r>
    </w:p>
    <w:p w14:paraId="20191CAA" w14:textId="7E6D7A20"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48F31732" w14:textId="30CDBB3F"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5F9530CF" w14:textId="797E55A1"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7EA7F8EC" w14:textId="0D056442"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22E3E875" w14:textId="1C5997FD"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34288354" w14:textId="1142ECC2"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4F818DA4" w14:textId="77777777" w:rsidR="00736EEB" w:rsidRDefault="00736EEB"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399CB105" w14:textId="4B3FD86B" w:rsidR="00285579" w:rsidRDefault="00285579"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6B5E6546" w14:textId="77777777" w:rsidR="00285579" w:rsidRPr="00285579" w:rsidRDefault="00285579" w:rsidP="00285579">
      <w:pPr>
        <w:spacing w:after="160" w:line="360" w:lineRule="auto"/>
        <w:ind w:left="340" w:right="227"/>
        <w:contextualSpacing/>
        <w:jc w:val="both"/>
        <w:rPr>
          <w:rFonts w:ascii="Times New Roman" w:eastAsia="Calibri" w:hAnsi="Times New Roman" w:cs="Times New Roman"/>
          <w:sz w:val="24"/>
          <w:szCs w:val="24"/>
          <w:lang w:eastAsia="en-US"/>
        </w:rPr>
      </w:pPr>
    </w:p>
    <w:p w14:paraId="16B0166C" w14:textId="3823AB23" w:rsidR="00D16C47" w:rsidRDefault="00D16C47"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w:t>
      </w:r>
    </w:p>
    <w:p w14:paraId="4D36E492" w14:textId="77777777" w:rsidR="0081729D" w:rsidRDefault="0081729D" w:rsidP="00331474">
      <w:pPr>
        <w:spacing w:after="160" w:line="360" w:lineRule="auto"/>
        <w:ind w:right="227"/>
        <w:contextualSpacing/>
        <w:jc w:val="both"/>
        <w:rPr>
          <w:rFonts w:ascii="Times New Roman" w:eastAsia="Calibri" w:hAnsi="Times New Roman" w:cs="Times New Roman"/>
          <w:sz w:val="24"/>
          <w:szCs w:val="24"/>
          <w:lang w:eastAsia="en-US"/>
        </w:rPr>
      </w:pPr>
    </w:p>
    <w:p w14:paraId="612E3B66" w14:textId="77777777" w:rsidR="0081729D" w:rsidRDefault="0081729D"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1EAE3A67" w14:textId="4DEB9133" w:rsidR="009A7683" w:rsidRPr="0081729D" w:rsidRDefault="009A7683" w:rsidP="0081729D">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I CAPITOLO</w:t>
      </w:r>
    </w:p>
    <w:p w14:paraId="6A5B8340" w14:textId="3652F062" w:rsidR="00B96247" w:rsidRDefault="009A7683" w:rsidP="005E42A2">
      <w:pPr>
        <w:spacing w:after="160" w:line="360" w:lineRule="auto"/>
        <w:ind w:left="170" w:right="227" w:firstLine="170"/>
        <w:contextualSpacing/>
        <w:jc w:val="center"/>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La rilevanza della transizione energetica nella ridefinizione dei meccanismi di applicazione del principio di sussidiarietà orizzontale nella politica europea</w:t>
      </w:r>
    </w:p>
    <w:p w14:paraId="26DCB5B2" w14:textId="77777777" w:rsidR="005E42A2" w:rsidRPr="00B96247" w:rsidRDefault="005E42A2" w:rsidP="005E42A2">
      <w:pPr>
        <w:spacing w:after="160" w:line="240" w:lineRule="atLeast"/>
        <w:ind w:left="170" w:right="227" w:firstLine="170"/>
        <w:jc w:val="center"/>
        <w:rPr>
          <w:rFonts w:ascii="Times New Roman" w:eastAsia="Calibri" w:hAnsi="Times New Roman" w:cs="Times New Roman"/>
          <w:b/>
          <w:bCs/>
          <w:sz w:val="24"/>
          <w:szCs w:val="24"/>
          <w:lang w:eastAsia="en-US"/>
        </w:rPr>
      </w:pPr>
    </w:p>
    <w:sdt>
      <w:sdtPr>
        <w:rPr>
          <w:rFonts w:ascii="Times New Roman" w:eastAsia="Calibri" w:hAnsi="Times New Roman" w:cs="Times New Roman"/>
          <w:sz w:val="24"/>
          <w:szCs w:val="24"/>
          <w:lang w:eastAsia="en-US"/>
        </w:rPr>
        <w:id w:val="1207763909"/>
        <w:docPartObj>
          <w:docPartGallery w:val="Table of Contents"/>
          <w:docPartUnique/>
        </w:docPartObj>
      </w:sdtPr>
      <w:sdtEndPr>
        <w:rPr>
          <w:b/>
          <w:bCs/>
        </w:rPr>
      </w:sdtEndPr>
      <w:sdtContent>
        <w:p w14:paraId="53C72157" w14:textId="38A46B9C" w:rsidR="00B96247" w:rsidRPr="00B96247" w:rsidRDefault="00B96247" w:rsidP="005E42A2">
          <w:pPr>
            <w:spacing w:after="160" w:line="240" w:lineRule="atLeast"/>
            <w:ind w:left="170" w:right="227" w:firstLine="170"/>
            <w:jc w:val="both"/>
            <w:rPr>
              <w:rFonts w:ascii="Times New Roman" w:eastAsia="Calibri" w:hAnsi="Times New Roman" w:cs="Times New Roman"/>
              <w:b/>
              <w:bCs/>
              <w:sz w:val="24"/>
              <w:szCs w:val="24"/>
              <w:lang w:eastAsia="en-US"/>
            </w:rPr>
          </w:pPr>
          <w:r w:rsidRPr="00B96247">
            <w:rPr>
              <w:rFonts w:ascii="Times New Roman" w:eastAsia="Calibri" w:hAnsi="Times New Roman" w:cs="Times New Roman"/>
              <w:b/>
              <w:bCs/>
              <w:sz w:val="20"/>
              <w:szCs w:val="20"/>
              <w:lang w:eastAsia="en-US"/>
            </w:rPr>
            <w:t>Sommario:</w:t>
          </w:r>
          <w:r w:rsidRPr="00B96247">
            <w:rPr>
              <w:rFonts w:ascii="Times New Roman" w:eastAsia="Calibri" w:hAnsi="Times New Roman" w:cs="Times New Roman"/>
              <w:b/>
              <w:bCs/>
              <w:sz w:val="24"/>
              <w:szCs w:val="24"/>
              <w:lang w:eastAsia="en-US"/>
            </w:rPr>
            <w:t xml:space="preserve"> </w:t>
          </w:r>
          <w:r w:rsidRPr="00B96247">
            <w:rPr>
              <w:rFonts w:ascii="Times New Roman" w:eastAsia="Calibri" w:hAnsi="Times New Roman" w:cs="Times New Roman"/>
              <w:b/>
              <w:bCs/>
              <w:lang w:eastAsia="en-US"/>
            </w:rPr>
            <w:t>1. Il protagonismo dell’Unione Europea nelle politiche globali di transizione energetica: il Green Deal europeo come nuovo paradigma di sviluppo sostenibile; 2. La resilienza ambientale e sociale a partire dal programma “Next Generation EU”; 3. La sussidiarietà orizzontale come struttura preesistente alla transizione: evoluzione storica e adattamento al nuovo paradigma energetico; 4. La sussidiarietà energetica alla prova della prassi: criticità applicative e distanza tra principio e cittadinanza attiva; 4.1 Asimmetrie sistemiche tra sussidiarietà iper-qualificata ed il processo di transizione come categoria giuridicamente incompiuta; 5. La transizione energetica, l’economia circolare e la sussidiarietà orizzontale: il cittadino - consumatore–prosumer come fulcro di un nuovo modello di sostenibilità partecipata; 5.1 La dimensione sociale dell’energia ed il principio di “cittadinanza energetica” come nuova frontiera del diritto pubblico; 6</w:t>
          </w:r>
          <w:r>
            <w:rPr>
              <w:rFonts w:ascii="Times New Roman" w:eastAsia="Calibri" w:hAnsi="Times New Roman" w:cs="Times New Roman"/>
              <w:b/>
              <w:bCs/>
              <w:lang w:eastAsia="en-US"/>
            </w:rPr>
            <w:t xml:space="preserve">. Tra </w:t>
          </w:r>
          <w:r w:rsidRPr="00B96247">
            <w:rPr>
              <w:rFonts w:ascii="Times New Roman" w:eastAsia="Calibri" w:hAnsi="Times New Roman" w:cs="Times New Roman"/>
              <w:b/>
              <w:bCs/>
              <w:lang w:eastAsia="en-US"/>
            </w:rPr>
            <w:t>accelerazione europea e incompletezza sistemica della transizione. Il ruolo dell’art. 9 Cost. come parametro di riequilibrio tra sussidiarietà, ambiente e cittadinanza attiva</w:t>
          </w:r>
          <w:r>
            <w:rPr>
              <w:rFonts w:ascii="Times New Roman" w:eastAsia="Calibri" w:hAnsi="Times New Roman" w:cs="Times New Roman"/>
              <w:b/>
              <w:bCs/>
              <w:lang w:eastAsia="en-US"/>
            </w:rPr>
            <w:t>.</w:t>
          </w:r>
        </w:p>
        <w:p w14:paraId="1956F773" w14:textId="77777777" w:rsidR="00B96247" w:rsidRPr="00B96247" w:rsidRDefault="00B96247" w:rsidP="005E42A2">
          <w:pPr>
            <w:spacing w:after="160" w:line="240" w:lineRule="atLeast"/>
            <w:ind w:left="170" w:right="227" w:firstLine="170"/>
            <w:jc w:val="both"/>
            <w:rPr>
              <w:rFonts w:ascii="Times New Roman" w:eastAsia="Calibri" w:hAnsi="Times New Roman" w:cs="Times New Roman"/>
              <w:sz w:val="24"/>
              <w:szCs w:val="24"/>
              <w:lang w:eastAsia="en-US"/>
            </w:rPr>
          </w:pPr>
        </w:p>
        <w:p w14:paraId="6CF3947F" w14:textId="6A8E8AFC" w:rsidR="009A7683" w:rsidRPr="0081729D" w:rsidRDefault="00471AD1" w:rsidP="005E42A2">
          <w:pPr>
            <w:spacing w:after="160" w:line="240" w:lineRule="atLeast"/>
            <w:ind w:right="227"/>
            <w:jc w:val="both"/>
            <w:rPr>
              <w:rFonts w:ascii="Times New Roman" w:eastAsia="Calibri" w:hAnsi="Times New Roman" w:cs="Times New Roman"/>
              <w:sz w:val="24"/>
              <w:szCs w:val="24"/>
              <w:lang w:eastAsia="en-US"/>
            </w:rPr>
          </w:pPr>
        </w:p>
      </w:sdtContent>
    </w:sdt>
    <w:p w14:paraId="73D1CF06" w14:textId="4A91C2AF" w:rsidR="009A7683" w:rsidRPr="0081729D" w:rsidRDefault="009A7683"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0705CA72" w14:textId="77777777" w:rsidR="009A7683" w:rsidRPr="0081729D" w:rsidRDefault="009A7683" w:rsidP="005E42A2">
      <w:pPr>
        <w:spacing w:after="160" w:line="360" w:lineRule="auto"/>
        <w:ind w:right="227"/>
        <w:contextualSpacing/>
        <w:jc w:val="both"/>
        <w:rPr>
          <w:rFonts w:ascii="Times New Roman" w:eastAsia="Calibri" w:hAnsi="Times New Roman" w:cs="Times New Roman"/>
          <w:sz w:val="24"/>
          <w:szCs w:val="24"/>
          <w:lang w:eastAsia="en-US"/>
        </w:rPr>
      </w:pPr>
    </w:p>
    <w:p w14:paraId="16522153" w14:textId="4E4E09E5" w:rsidR="0081729D" w:rsidRPr="0081729D" w:rsidRDefault="00AF4341" w:rsidP="002B7A90">
      <w:pPr>
        <w:numPr>
          <w:ilvl w:val="0"/>
          <w:numId w:val="7"/>
        </w:numPr>
        <w:spacing w:after="160" w:line="360" w:lineRule="auto"/>
        <w:ind w:left="170" w:right="227" w:firstLine="170"/>
        <w:contextualSpacing/>
        <w:jc w:val="both"/>
        <w:rPr>
          <w:rFonts w:ascii="Times New Roman" w:eastAsia="Calibri" w:hAnsi="Times New Roman" w:cs="Times New Roman"/>
          <w:b/>
          <w:bCs/>
          <w:sz w:val="24"/>
          <w:szCs w:val="24"/>
          <w:lang w:eastAsia="en-US"/>
        </w:rPr>
      </w:pPr>
      <w:bookmarkStart w:id="1" w:name="_Toc223628400"/>
      <w:bookmarkStart w:id="2" w:name="_Hlk222230572"/>
      <w:r w:rsidRPr="0081729D">
        <w:rPr>
          <w:rFonts w:ascii="Times New Roman" w:eastAsia="Calibri" w:hAnsi="Times New Roman" w:cs="Times New Roman"/>
          <w:b/>
          <w:bCs/>
          <w:sz w:val="24"/>
          <w:szCs w:val="24"/>
          <w:lang w:eastAsia="en-US"/>
        </w:rPr>
        <w:t>Il protagonismo dell’Unione Europea nelle politiche globali di transizione energetica: il Green Deal europeo come nuovo paradigma di sviluppo sostenibile.</w:t>
      </w:r>
      <w:bookmarkEnd w:id="1"/>
    </w:p>
    <w:bookmarkEnd w:id="2"/>
    <w:p w14:paraId="6D6BE1D4"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b/>
          <w:bCs/>
          <w:sz w:val="24"/>
          <w:szCs w:val="24"/>
          <w:lang w:eastAsia="en-US"/>
        </w:rPr>
      </w:pPr>
      <w:r w:rsidRPr="0081729D">
        <w:rPr>
          <w:rFonts w:ascii="Times New Roman" w:eastAsia="Calibri" w:hAnsi="Times New Roman" w:cs="Times New Roman"/>
          <w:sz w:val="24"/>
          <w:szCs w:val="24"/>
          <w:lang w:eastAsia="en-US"/>
        </w:rPr>
        <w:t>I drammatici effetti derivanti dal cambiamento climatico hanno imposto, a carico di tutti gli Stati, una implementazione strutturale delle politiche per la salvaguardia dell’ambiente e per la protezione delle generazioni future. In tale prospettiva, l’Unione Europea si è progressivamente affermata come attore istituzionale di riferimento nella governance globale della transizione energetica, assumendo un ruolo di guida tanto nella produzione normativa, quanto nella definizione dei modelli amministrativi per l’attuazione dello sviluppo sostenibile.</w:t>
      </w:r>
      <w:r w:rsidRPr="0081729D">
        <w:rPr>
          <w:rFonts w:ascii="Times New Roman" w:eastAsia="Calibri" w:hAnsi="Times New Roman" w:cs="Times New Roman"/>
          <w:sz w:val="24"/>
          <w:szCs w:val="24"/>
          <w:vertAlign w:val="superscript"/>
          <w:lang w:eastAsia="en-US"/>
        </w:rPr>
        <w:footnoteReference w:id="1"/>
      </w:r>
      <w:r w:rsidRPr="0081729D">
        <w:rPr>
          <w:rFonts w:ascii="Times New Roman" w:eastAsia="Calibri" w:hAnsi="Times New Roman" w:cs="Times New Roman"/>
          <w:sz w:val="24"/>
          <w:szCs w:val="24"/>
          <w:lang w:eastAsia="en-US"/>
        </w:rPr>
        <w:t xml:space="preserve"> </w:t>
      </w:r>
    </w:p>
    <w:p w14:paraId="5EC37FF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 Ai fini del presente lavoro, appare pertanto indispensabile ripercorrere l’evoluzione del quadro normativo europeo, finalizzato all’individuazione di strategie e strumenti capaci di indirizzare il processo di transizione energetica ed ecologica secondo criteri di equità, partecipazione e integrazione multilivello.</w:t>
      </w:r>
    </w:p>
    <w:p w14:paraId="0D1133F9"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Muovendo dal presupposto secondo cui il raggiungimento della neutralità climatica rappresenta condizione necessaria per una crescita economica effettivamente sostenibile, il diritto </w:t>
      </w:r>
      <w:r w:rsidRPr="0081729D">
        <w:rPr>
          <w:rFonts w:ascii="Times New Roman" w:eastAsia="Calibri" w:hAnsi="Times New Roman" w:cs="Times New Roman"/>
          <w:sz w:val="24"/>
          <w:szCs w:val="24"/>
          <w:lang w:eastAsia="en-US"/>
        </w:rPr>
        <w:lastRenderedPageBreak/>
        <w:t>dell’Unione ha abbandonato l’idea di un bilanciamento tra sviluppo economico e tutela ambientale, riconoscendo a quest’ultima la natura di fattore strutturale e abilitante dello sviluppo stesso. Tale impostazione trova riscontro già nel Rapporto Brundtland del 1987,</w:t>
      </w:r>
      <w:r w:rsidRPr="0081729D">
        <w:rPr>
          <w:rFonts w:ascii="Times New Roman" w:eastAsia="Calibri" w:hAnsi="Times New Roman" w:cs="Times New Roman"/>
          <w:sz w:val="24"/>
          <w:szCs w:val="24"/>
          <w:vertAlign w:val="superscript"/>
          <w:lang w:eastAsia="en-US"/>
        </w:rPr>
        <w:t xml:space="preserve"> </w:t>
      </w:r>
      <w:r w:rsidRPr="0081729D">
        <w:rPr>
          <w:rFonts w:ascii="Times New Roman" w:eastAsia="Calibri" w:hAnsi="Times New Roman" w:cs="Times New Roman"/>
          <w:sz w:val="24"/>
          <w:szCs w:val="24"/>
          <w:vertAlign w:val="superscript"/>
          <w:lang w:eastAsia="en-US"/>
        </w:rPr>
        <w:footnoteReference w:id="2"/>
      </w:r>
      <w:r w:rsidRPr="001C65CA">
        <w:rPr>
          <w:rFonts w:ascii="Times New Roman" w:eastAsia="Calibri" w:hAnsi="Times New Roman" w:cs="Times New Roman"/>
          <w:sz w:val="24"/>
          <w:szCs w:val="24"/>
          <w:lang w:eastAsia="en-US"/>
        </w:rPr>
        <w:t xml:space="preserve"> </w:t>
      </w:r>
      <w:r w:rsidRPr="0081729D">
        <w:rPr>
          <w:rFonts w:ascii="Times New Roman" w:eastAsia="Calibri" w:hAnsi="Times New Roman" w:cs="Times New Roman"/>
          <w:sz w:val="24"/>
          <w:szCs w:val="24"/>
          <w:lang w:eastAsia="en-US"/>
        </w:rPr>
        <w:t>dove lo sviluppo sostenibile viene concepito come equilibrio dinamico tra bisogni presenti e tutela delle generazioni future, e successivamente nei Trattati dell’Unione, a partire dall’art. 2</w:t>
      </w:r>
      <w:r w:rsidRPr="0081729D">
        <w:rPr>
          <w:rFonts w:ascii="Times New Roman" w:eastAsia="Calibri" w:hAnsi="Times New Roman" w:cs="Times New Roman"/>
          <w:sz w:val="24"/>
          <w:szCs w:val="24"/>
          <w:vertAlign w:val="superscript"/>
          <w:lang w:eastAsia="en-US"/>
        </w:rPr>
        <w:footnoteReference w:id="3"/>
      </w:r>
      <w:r w:rsidRPr="0081729D">
        <w:rPr>
          <w:rFonts w:ascii="Times New Roman" w:eastAsia="Calibri" w:hAnsi="Times New Roman" w:cs="Times New Roman"/>
          <w:sz w:val="24"/>
          <w:szCs w:val="24"/>
          <w:lang w:eastAsia="en-US"/>
        </w:rPr>
        <w:t xml:space="preserve"> del Trattato di Amsterdam</w:t>
      </w:r>
      <w:r w:rsidRPr="0081729D">
        <w:rPr>
          <w:rFonts w:ascii="Times New Roman" w:eastAsia="Calibri" w:hAnsi="Times New Roman" w:cs="Times New Roman"/>
          <w:sz w:val="24"/>
          <w:szCs w:val="24"/>
          <w:vertAlign w:val="superscript"/>
          <w:lang w:eastAsia="en-US"/>
        </w:rPr>
        <w:footnoteReference w:id="4"/>
      </w:r>
      <w:r w:rsidRPr="0081729D">
        <w:rPr>
          <w:rFonts w:ascii="Times New Roman" w:eastAsia="Calibri" w:hAnsi="Times New Roman" w:cs="Times New Roman"/>
          <w:sz w:val="24"/>
          <w:szCs w:val="24"/>
          <w:lang w:eastAsia="en-US"/>
        </w:rPr>
        <w:t xml:space="preserve"> che introduce tra gli obiettivi dell’Unione la promozione del progresso economico e sociale “nel rispetto del principio dello sviluppo sostenibile”.</w:t>
      </w:r>
    </w:p>
    <w:p w14:paraId="680399F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Il concetto di sostenibilità, da principio programmatico, progressivamente si struttura come criterio ordinante dell’azione pubblica europea, trovando ulteriore conferma nell’Agenda 2030 e nell’Accordo di Parigi del 2015,</w:t>
      </w:r>
      <w:r w:rsidRPr="0081729D">
        <w:rPr>
          <w:rFonts w:ascii="Times New Roman" w:eastAsia="Calibri" w:hAnsi="Times New Roman" w:cs="Times New Roman"/>
          <w:sz w:val="24"/>
          <w:szCs w:val="24"/>
          <w:vertAlign w:val="superscript"/>
          <w:lang w:eastAsia="en-US"/>
        </w:rPr>
        <w:t xml:space="preserve"> </w:t>
      </w:r>
      <w:r w:rsidRPr="0081729D">
        <w:rPr>
          <w:rFonts w:ascii="Times New Roman" w:eastAsia="Calibri" w:hAnsi="Times New Roman" w:cs="Times New Roman"/>
          <w:sz w:val="24"/>
          <w:szCs w:val="24"/>
          <w:vertAlign w:val="superscript"/>
          <w:lang w:eastAsia="en-US"/>
        </w:rPr>
        <w:footnoteReference w:id="5"/>
      </w:r>
      <w:r w:rsidRPr="0081729D">
        <w:rPr>
          <w:rFonts w:ascii="Times New Roman" w:eastAsia="Calibri" w:hAnsi="Times New Roman" w:cs="Times New Roman"/>
          <w:sz w:val="24"/>
          <w:szCs w:val="24"/>
          <w:lang w:eastAsia="en-US"/>
        </w:rPr>
        <w:t xml:space="preserve">  in cui gli Stati firmatari – tra cui l’Unione Europea – si impegnano a perseguire politiche integrate per la riduzione delle emissioni di gas climalteranti e la diffusione delle energie rinnovabili. Ed è in tale contesto che le istituzioni UE hanno assunto un ruolo centrale e propulsivo, vincolandosi all’obiettivo della neutralità climatica entro il 2050.</w:t>
      </w:r>
    </w:p>
    <w:p w14:paraId="6D378A80"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Su tale base, la Commissione europea</w:t>
      </w:r>
      <w:r w:rsidRPr="0081729D">
        <w:rPr>
          <w:rFonts w:ascii="Times New Roman" w:eastAsia="Calibri" w:hAnsi="Times New Roman" w:cs="Times New Roman"/>
          <w:sz w:val="24"/>
          <w:szCs w:val="24"/>
          <w:vertAlign w:val="superscript"/>
          <w:lang w:eastAsia="en-US"/>
        </w:rPr>
        <w:footnoteReference w:id="6"/>
      </w:r>
      <w:r w:rsidRPr="0081729D">
        <w:rPr>
          <w:rFonts w:ascii="Times New Roman" w:eastAsia="Calibri" w:hAnsi="Times New Roman" w:cs="Times New Roman"/>
          <w:sz w:val="24"/>
          <w:szCs w:val="24"/>
          <w:lang w:eastAsia="en-US"/>
        </w:rPr>
        <w:t xml:space="preserve"> ha presentato nel 2019 il Green Deal europeo, quale quadro strategico per realizzare una trasformazione profonda del modello economico e produttivo europeo, volto a conciliare competitività, inclusione sociale e sostenibilità ambientale. Tale piano, infatti, non si limita a rappresentare un programma politico, ma si configura come paradigma giuridico e amministrativo di riorganizzazione del potere pubblico, atteso che, le sue misure mirano a ridurre le emissioni, trasformare i settori industriali e promuovere l’uso efficiente </w:t>
      </w:r>
      <w:r w:rsidRPr="0081729D">
        <w:rPr>
          <w:rFonts w:ascii="Times New Roman" w:eastAsia="Calibri" w:hAnsi="Times New Roman" w:cs="Times New Roman"/>
          <w:sz w:val="24"/>
          <w:szCs w:val="24"/>
          <w:lang w:eastAsia="en-US"/>
        </w:rPr>
        <w:lastRenderedPageBreak/>
        <w:t>delle risorse, ponendo la tutela dell’ambiente quale elemento trasversale alle politiche dell’energia, dei trasporti, dell’agricoltura, della finanza e dell’innovazione.</w:t>
      </w:r>
    </w:p>
    <w:p w14:paraId="06C9398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dimensione normativa del Green Deal è stata cristallizzata con il Regolamento (UE) 2021/1119 (</w:t>
      </w:r>
      <w:proofErr w:type="spellStart"/>
      <w:r w:rsidRPr="0081729D">
        <w:rPr>
          <w:rFonts w:ascii="Times New Roman" w:eastAsia="Calibri" w:hAnsi="Times New Roman" w:cs="Times New Roman"/>
          <w:i/>
          <w:iCs/>
          <w:sz w:val="24"/>
          <w:szCs w:val="24"/>
          <w:lang w:eastAsia="en-US"/>
        </w:rPr>
        <w:t>European</w:t>
      </w:r>
      <w:proofErr w:type="spellEnd"/>
      <w:r w:rsidRPr="0081729D">
        <w:rPr>
          <w:rFonts w:ascii="Times New Roman" w:eastAsia="Calibri" w:hAnsi="Times New Roman" w:cs="Times New Roman"/>
          <w:i/>
          <w:iCs/>
          <w:sz w:val="24"/>
          <w:szCs w:val="24"/>
          <w:lang w:eastAsia="en-US"/>
        </w:rPr>
        <w:t xml:space="preserve"> </w:t>
      </w:r>
      <w:proofErr w:type="spellStart"/>
      <w:r w:rsidRPr="0081729D">
        <w:rPr>
          <w:rFonts w:ascii="Times New Roman" w:eastAsia="Calibri" w:hAnsi="Times New Roman" w:cs="Times New Roman"/>
          <w:i/>
          <w:iCs/>
          <w:sz w:val="24"/>
          <w:szCs w:val="24"/>
          <w:lang w:eastAsia="en-US"/>
        </w:rPr>
        <w:t>Climate</w:t>
      </w:r>
      <w:proofErr w:type="spellEnd"/>
      <w:r w:rsidRPr="0081729D">
        <w:rPr>
          <w:rFonts w:ascii="Times New Roman" w:eastAsia="Calibri" w:hAnsi="Times New Roman" w:cs="Times New Roman"/>
          <w:i/>
          <w:iCs/>
          <w:sz w:val="24"/>
          <w:szCs w:val="24"/>
          <w:lang w:eastAsia="en-US"/>
        </w:rPr>
        <w:t xml:space="preserve"> </w:t>
      </w:r>
      <w:proofErr w:type="spellStart"/>
      <w:r w:rsidRPr="0081729D">
        <w:rPr>
          <w:rFonts w:ascii="Times New Roman" w:eastAsia="Calibri" w:hAnsi="Times New Roman" w:cs="Times New Roman"/>
          <w:i/>
          <w:iCs/>
          <w:sz w:val="24"/>
          <w:szCs w:val="24"/>
          <w:lang w:eastAsia="en-US"/>
        </w:rPr>
        <w:t>Law</w:t>
      </w:r>
      <w:proofErr w:type="spellEnd"/>
      <w:r w:rsidRPr="0081729D">
        <w:rPr>
          <w:rFonts w:ascii="Times New Roman" w:eastAsia="Calibri" w:hAnsi="Times New Roman" w:cs="Times New Roman"/>
          <w:sz w:val="24"/>
          <w:szCs w:val="24"/>
          <w:lang w:eastAsia="en-US"/>
        </w:rPr>
        <w:t>), che ha introdotto un obiettivo intermedio di riduzione delle emissioni di almeno il 55% entro il 2030 e ha imposto agli Stati membri obblighi giuridicamente vincolanti di adattamento delle politiche nazionali.</w:t>
      </w:r>
      <w:r w:rsidRPr="0081729D">
        <w:rPr>
          <w:rFonts w:ascii="Times New Roman" w:eastAsia="Calibri" w:hAnsi="Times New Roman" w:cs="Times New Roman"/>
          <w:sz w:val="24"/>
          <w:szCs w:val="24"/>
          <w:vertAlign w:val="superscript"/>
          <w:lang w:eastAsia="en-US"/>
        </w:rPr>
        <w:footnoteReference w:id="7"/>
      </w:r>
      <w:r w:rsidRPr="0081729D">
        <w:rPr>
          <w:rFonts w:ascii="Times New Roman" w:eastAsia="Calibri" w:hAnsi="Times New Roman" w:cs="Times New Roman"/>
          <w:sz w:val="24"/>
          <w:szCs w:val="24"/>
          <w:lang w:eastAsia="en-US"/>
        </w:rPr>
        <w:t xml:space="preserve"> In forza di tale Regolamento, la transizione ecologica e energetica si traduce in obblighi diretti a carico delle amministrazioni pubbliche, chiamate a conformare le proprie attività pianificatorie e regolatorie ai target climatici fissati dall’Unione. Emblematica, in tal senso, è la disciplina dei Piani nazionali integrati per l’energia e il clima (PNIEC) introdotti dal Regolamento (UE) 2018/1999 sulla governance dell’Unione dell’energia, che impone meccanismi di programmazione, monitoraggio e rendicontazione coerenti con gli obiettivi europei.</w:t>
      </w:r>
    </w:p>
    <w:p w14:paraId="70B1A32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Il Green Deal si pone, così, in linea di continuità con il principio di integrazione ambientale di cui all’art. 11 TFUE, che impone di incorporare le esigenze di tutela dell’ambiente in tutte le politiche dell’Unione e degli Stati membri, riconoscendo alla sostenibilità una funzione non più meramente correttiva ma costitutiva dell’azione pubblica.</w:t>
      </w:r>
      <w:r w:rsidRPr="0081729D">
        <w:rPr>
          <w:rFonts w:ascii="Times New Roman" w:eastAsia="Calibri" w:hAnsi="Times New Roman" w:cs="Times New Roman"/>
          <w:sz w:val="24"/>
          <w:szCs w:val="24"/>
          <w:vertAlign w:val="superscript"/>
          <w:lang w:eastAsia="en-US"/>
        </w:rPr>
        <w:footnoteReference w:id="8"/>
      </w:r>
      <w:r w:rsidRPr="0081729D">
        <w:rPr>
          <w:rFonts w:ascii="Times New Roman" w:eastAsia="Calibri" w:hAnsi="Times New Roman" w:cs="Times New Roman"/>
          <w:sz w:val="24"/>
          <w:szCs w:val="24"/>
          <w:lang w:eastAsia="en-US"/>
        </w:rPr>
        <w:t xml:space="preserve"> Attraverso tale impostazione la sostenibilità si eleva a parametro strutturale del diritto amministrativo europeo, destinato a ridefinire le modalità di esercizio dei poteri pubblici e di governo dell’economia anche attraverso i cittadini. In questa prospettiva, sussidiarietà orizzontale diviene così strumento di riequilibrio che tempera la centralizzazione decisionale europea, garantendo un modello di transizione in cui </w:t>
      </w:r>
      <w:r w:rsidRPr="0081729D">
        <w:rPr>
          <w:rFonts w:ascii="Times New Roman" w:eastAsia="Calibri" w:hAnsi="Times New Roman" w:cs="Times New Roman"/>
          <w:sz w:val="24"/>
          <w:szCs w:val="24"/>
          <w:lang w:eastAsia="en-US"/>
        </w:rPr>
        <w:lastRenderedPageBreak/>
        <w:t>l’effettività degli obiettivi ambientali si misura anche sulla capacità di coinvolgere le formazioni sociali nella cura dei beni comuni e nella realizzazione degli investimenti verdi.</w:t>
      </w:r>
      <w:r w:rsidRPr="0081729D">
        <w:rPr>
          <w:rFonts w:ascii="Times New Roman" w:eastAsia="Calibri" w:hAnsi="Times New Roman" w:cs="Times New Roman"/>
          <w:sz w:val="24"/>
          <w:szCs w:val="24"/>
          <w:vertAlign w:val="superscript"/>
          <w:lang w:eastAsia="en-US"/>
        </w:rPr>
        <w:footnoteReference w:id="9"/>
      </w:r>
    </w:p>
    <w:p w14:paraId="69CDBDBA"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centralità assunta dalla sostenibilità nel diritto dell’Unione evidenzia, tuttavia, come la transizione ecologica non possa essere perseguita esclusivamente attraverso strumenti normativi e programmatori, ma richieda anche adeguati meccanismi finanziari capaci di sostenere gli ingenti investimenti necessari alla trasformazione dei sistemi produttivi e infrastrutturali. In altri termini, alla dimensione regolatoria della transizione deve necessariamente affiancarsi una dimensione economico-finanziaria idonea a garantire l’effettività degli obiettivi climatici e ambientali fissati a livello europeo.</w:t>
      </w:r>
      <w:r w:rsidRPr="0081729D">
        <w:rPr>
          <w:rFonts w:ascii="Times New Roman" w:eastAsia="Calibri" w:hAnsi="Times New Roman" w:cs="Times New Roman"/>
          <w:sz w:val="24"/>
          <w:szCs w:val="24"/>
          <w:vertAlign w:val="superscript"/>
          <w:lang w:eastAsia="en-US"/>
        </w:rPr>
        <w:footnoteReference w:id="10"/>
      </w:r>
      <w:r w:rsidRPr="0081729D">
        <w:rPr>
          <w:rFonts w:ascii="Times New Roman" w:eastAsia="Calibri" w:hAnsi="Times New Roman" w:cs="Times New Roman"/>
          <w:sz w:val="24"/>
          <w:szCs w:val="24"/>
          <w:lang w:eastAsia="en-US"/>
        </w:rPr>
        <w:t xml:space="preserve"> Le crisi sistemiche che hanno interessato l’Unione negli ultimi anni – e in particolare la pandemia da Covid-19 – hanno rappresentato un momento di accelerazione istituzionale, inducendo le istituzioni europee a dotarsi di strumenti straordinari di intervento economico orientati alla ricostruzione sostenibile delle economie nazionali.</w:t>
      </w:r>
      <w:r w:rsidRPr="0081729D">
        <w:rPr>
          <w:rFonts w:ascii="Times New Roman" w:eastAsia="Calibri" w:hAnsi="Times New Roman" w:cs="Times New Roman"/>
          <w:sz w:val="24"/>
          <w:szCs w:val="24"/>
          <w:vertAlign w:val="superscript"/>
          <w:lang w:eastAsia="en-US"/>
        </w:rPr>
        <w:footnoteReference w:id="11"/>
      </w:r>
      <w:r w:rsidRPr="0081729D">
        <w:rPr>
          <w:rFonts w:ascii="Times New Roman" w:eastAsia="Calibri" w:hAnsi="Times New Roman" w:cs="Times New Roman"/>
          <w:sz w:val="24"/>
          <w:szCs w:val="24"/>
          <w:lang w:eastAsia="en-US"/>
        </w:rPr>
        <w:t xml:space="preserve"> La risposta dell’Unione non si è limitata, infatti, a una mera politica di sostegno congiunturale, ma ha assunto i tratti di un progetto strutturale di trasformazione del modello di sviluppo europeo, volto a coniugare ripresa economica, resilienza sociale e transizione ecologica.</w:t>
      </w:r>
    </w:p>
    <w:p w14:paraId="14F47465"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È in questo contesto che si inserisce il programma Next Generation EU, destinato a costituire il principale strumento finanziario attraverso cui rendere operativi, sul piano degli investimenti e delle riforme, gli obiettivi strategici delineati dal Green Deal europeo.</w:t>
      </w:r>
    </w:p>
    <w:p w14:paraId="012208C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11B79C14" w14:textId="7135C2CA" w:rsidR="00AF4341" w:rsidRPr="0081729D" w:rsidRDefault="00AF4341" w:rsidP="002B7A90">
      <w:pPr>
        <w:pStyle w:val="Paragrafoelenco"/>
        <w:numPr>
          <w:ilvl w:val="0"/>
          <w:numId w:val="7"/>
        </w:numPr>
        <w:spacing w:after="160" w:line="360" w:lineRule="auto"/>
        <w:ind w:left="170" w:right="227" w:firstLine="170"/>
        <w:contextualSpacing/>
        <w:jc w:val="both"/>
        <w:rPr>
          <w:rFonts w:ascii="Times New Roman" w:eastAsia="Calibri" w:hAnsi="Times New Roman" w:cs="Times New Roman"/>
          <w:b/>
          <w:bCs/>
          <w:sz w:val="24"/>
          <w:szCs w:val="24"/>
          <w:lang w:eastAsia="en-US"/>
        </w:rPr>
      </w:pPr>
      <w:bookmarkStart w:id="8" w:name="_Toc223628401"/>
      <w:bookmarkStart w:id="9" w:name="_Hlk222230547"/>
      <w:r w:rsidRPr="0081729D">
        <w:rPr>
          <w:rFonts w:ascii="Times New Roman" w:eastAsia="Calibri" w:hAnsi="Times New Roman" w:cs="Times New Roman"/>
          <w:b/>
          <w:bCs/>
          <w:sz w:val="24"/>
          <w:szCs w:val="24"/>
          <w:lang w:eastAsia="en-US"/>
        </w:rPr>
        <w:lastRenderedPageBreak/>
        <w:t>La resilienza ambientale e sociale a partire dal programma “</w:t>
      </w:r>
      <w:r w:rsidRPr="0081729D">
        <w:rPr>
          <w:rFonts w:ascii="Times New Roman" w:eastAsia="Calibri" w:hAnsi="Times New Roman" w:cs="Times New Roman"/>
          <w:b/>
          <w:bCs/>
          <w:i/>
          <w:iCs/>
          <w:sz w:val="24"/>
          <w:szCs w:val="24"/>
          <w:lang w:eastAsia="en-US"/>
        </w:rPr>
        <w:t>Next Generation EU</w:t>
      </w:r>
      <w:r w:rsidRPr="0081729D">
        <w:rPr>
          <w:rFonts w:ascii="Times New Roman" w:eastAsia="Calibri" w:hAnsi="Times New Roman" w:cs="Times New Roman"/>
          <w:b/>
          <w:bCs/>
          <w:sz w:val="24"/>
          <w:szCs w:val="24"/>
          <w:lang w:eastAsia="en-US"/>
        </w:rPr>
        <w:t>”.</w:t>
      </w:r>
      <w:bookmarkEnd w:id="8"/>
    </w:p>
    <w:bookmarkEnd w:id="9"/>
    <w:p w14:paraId="4BEB6051"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Nel quadro politico e istituzionale delineato dal Green Deal, il programma “Next Generation EU” (di seguito, NGEU)</w:t>
      </w:r>
      <w:r w:rsidRPr="0081729D">
        <w:rPr>
          <w:rFonts w:ascii="Times New Roman" w:eastAsia="Calibri" w:hAnsi="Times New Roman" w:cs="Times New Roman"/>
          <w:sz w:val="24"/>
          <w:szCs w:val="24"/>
          <w:vertAlign w:val="superscript"/>
          <w:lang w:eastAsia="en-US"/>
        </w:rPr>
        <w:t xml:space="preserve"> </w:t>
      </w:r>
      <w:r w:rsidRPr="0081729D">
        <w:rPr>
          <w:rFonts w:ascii="Times New Roman" w:eastAsia="Calibri" w:hAnsi="Times New Roman" w:cs="Times New Roman"/>
          <w:sz w:val="24"/>
          <w:szCs w:val="24"/>
          <w:vertAlign w:val="superscript"/>
          <w:lang w:eastAsia="en-US"/>
        </w:rPr>
        <w:footnoteReference w:id="12"/>
      </w:r>
      <w:r w:rsidRPr="0081729D">
        <w:rPr>
          <w:rFonts w:ascii="Times New Roman" w:eastAsia="Calibri" w:hAnsi="Times New Roman" w:cs="Times New Roman"/>
          <w:sz w:val="24"/>
          <w:szCs w:val="24"/>
          <w:lang w:eastAsia="en-US"/>
        </w:rPr>
        <w:t xml:space="preserve">  ha rappresentato un vero e proprio punto di svolta per l’evoluzione della capacità d’azione dell’Unione europea, introducendo una dimensione economico-finanziaria senza precedenti a sostegno della transizione verde e digitale, in risposta ai noti effetti della crisi pandemica e geopolitica. Il NGEU ha rafforzato il vincolo di solidarietà europea e ha inaugurato un inedito modello di integrazione fiscale e politica, configurando un debito comune destinato al finanziamento di riforme e investimenti orientati alla sostenibilità.</w:t>
      </w:r>
      <w:r w:rsidRPr="0081729D">
        <w:rPr>
          <w:rFonts w:ascii="Times New Roman" w:eastAsia="Calibri" w:hAnsi="Times New Roman" w:cs="Times New Roman"/>
          <w:sz w:val="24"/>
          <w:szCs w:val="24"/>
          <w:vertAlign w:val="superscript"/>
          <w:lang w:eastAsia="en-US"/>
        </w:rPr>
        <w:footnoteReference w:id="13"/>
      </w:r>
    </w:p>
    <w:p w14:paraId="1FDAD97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portata innovativa del programma non risiede soltanto nell’entità delle risorse mobilitate, ma soprattutto nella logica di condizionalità sostanziale che lo permea: un esempio paradigmatico della centralità ambientale si rinviene nelle condizioni di accesso ai fondi, subordinato all’adozione di piani nazionali coerenti con gli obiettivi del Green Deal e con il principio del </w:t>
      </w:r>
      <w:r w:rsidRPr="0081729D">
        <w:rPr>
          <w:rFonts w:ascii="Times New Roman" w:eastAsia="Calibri" w:hAnsi="Times New Roman" w:cs="Times New Roman"/>
          <w:i/>
          <w:iCs/>
          <w:sz w:val="24"/>
          <w:szCs w:val="24"/>
          <w:lang w:eastAsia="en-US"/>
        </w:rPr>
        <w:t xml:space="preserve">Do No </w:t>
      </w:r>
      <w:proofErr w:type="spellStart"/>
      <w:r w:rsidRPr="0081729D">
        <w:rPr>
          <w:rFonts w:ascii="Times New Roman" w:eastAsia="Calibri" w:hAnsi="Times New Roman" w:cs="Times New Roman"/>
          <w:i/>
          <w:iCs/>
          <w:sz w:val="24"/>
          <w:szCs w:val="24"/>
          <w:lang w:eastAsia="en-US"/>
        </w:rPr>
        <w:t>Significant</w:t>
      </w:r>
      <w:proofErr w:type="spellEnd"/>
      <w:r w:rsidRPr="0081729D">
        <w:rPr>
          <w:rFonts w:ascii="Times New Roman" w:eastAsia="Calibri" w:hAnsi="Times New Roman" w:cs="Times New Roman"/>
          <w:i/>
          <w:iCs/>
          <w:sz w:val="24"/>
          <w:szCs w:val="24"/>
          <w:lang w:eastAsia="en-US"/>
        </w:rPr>
        <w:t xml:space="preserve"> </w:t>
      </w:r>
      <w:proofErr w:type="spellStart"/>
      <w:r w:rsidRPr="0081729D">
        <w:rPr>
          <w:rFonts w:ascii="Times New Roman" w:eastAsia="Calibri" w:hAnsi="Times New Roman" w:cs="Times New Roman"/>
          <w:i/>
          <w:iCs/>
          <w:sz w:val="24"/>
          <w:szCs w:val="24"/>
          <w:lang w:eastAsia="en-US"/>
        </w:rPr>
        <w:t>Harm</w:t>
      </w:r>
      <w:proofErr w:type="spellEnd"/>
      <w:r w:rsidRPr="0081729D">
        <w:rPr>
          <w:rFonts w:ascii="Times New Roman" w:eastAsia="Calibri" w:hAnsi="Times New Roman" w:cs="Times New Roman"/>
          <w:b/>
          <w:bCs/>
          <w:sz w:val="24"/>
          <w:szCs w:val="24"/>
          <w:lang w:eastAsia="en-US"/>
        </w:rPr>
        <w:t xml:space="preserve"> </w:t>
      </w:r>
      <w:r w:rsidRPr="0081729D">
        <w:rPr>
          <w:rFonts w:ascii="Times New Roman" w:eastAsia="Calibri" w:hAnsi="Times New Roman" w:cs="Times New Roman"/>
          <w:sz w:val="24"/>
          <w:szCs w:val="24"/>
          <w:lang w:eastAsia="en-US"/>
        </w:rPr>
        <w:t>(DNSH), secondo cui le misure finanziate non devono arrecare danni significativi all’ambiente.</w:t>
      </w:r>
      <w:r w:rsidRPr="0081729D">
        <w:rPr>
          <w:rFonts w:ascii="Times New Roman" w:eastAsia="Calibri" w:hAnsi="Times New Roman" w:cs="Times New Roman"/>
          <w:sz w:val="24"/>
          <w:szCs w:val="24"/>
          <w:vertAlign w:val="superscript"/>
          <w:lang w:eastAsia="en-US"/>
        </w:rPr>
        <w:footnoteReference w:id="14"/>
      </w:r>
      <w:r w:rsidRPr="0081729D">
        <w:rPr>
          <w:rFonts w:ascii="Times New Roman" w:eastAsia="Calibri" w:hAnsi="Times New Roman" w:cs="Times New Roman"/>
          <w:sz w:val="24"/>
          <w:szCs w:val="24"/>
          <w:lang w:eastAsia="en-US"/>
        </w:rPr>
        <w:t xml:space="preserve"> Tale clausola conferma ancora una volta il passaggio alla cd. declinazione </w:t>
      </w:r>
      <w:r w:rsidRPr="0081729D">
        <w:rPr>
          <w:rFonts w:ascii="Times New Roman" w:eastAsia="Calibri" w:hAnsi="Times New Roman" w:cs="Times New Roman"/>
          <w:i/>
          <w:iCs/>
          <w:sz w:val="24"/>
          <w:szCs w:val="24"/>
          <w:lang w:eastAsia="en-US"/>
        </w:rPr>
        <w:t xml:space="preserve">forte </w:t>
      </w:r>
      <w:r w:rsidRPr="0081729D">
        <w:rPr>
          <w:rFonts w:ascii="Times New Roman" w:eastAsia="Calibri" w:hAnsi="Times New Roman" w:cs="Times New Roman"/>
          <w:sz w:val="24"/>
          <w:szCs w:val="24"/>
          <w:lang w:eastAsia="en-US"/>
        </w:rPr>
        <w:t>del principio di integrazione ambientale,</w:t>
      </w:r>
      <w:r w:rsidRPr="0081729D">
        <w:rPr>
          <w:rFonts w:ascii="Times New Roman" w:eastAsia="Calibri" w:hAnsi="Times New Roman" w:cs="Times New Roman"/>
          <w:sz w:val="24"/>
          <w:szCs w:val="24"/>
          <w:vertAlign w:val="superscript"/>
          <w:lang w:eastAsia="en-US"/>
        </w:rPr>
        <w:footnoteReference w:id="15"/>
      </w:r>
      <w:r w:rsidRPr="0081729D">
        <w:rPr>
          <w:rFonts w:ascii="Times New Roman" w:eastAsia="Calibri" w:hAnsi="Times New Roman" w:cs="Times New Roman"/>
          <w:sz w:val="24"/>
          <w:szCs w:val="24"/>
          <w:lang w:eastAsia="en-US"/>
        </w:rPr>
        <w:t xml:space="preserve"> in forza del quale la tutela dell’ambiente si configura come criterio trasversale e inderogabile nella selezione delle politiche e degli interventi pubblici, orientando l’azione amministrativa verso scelte compatibili con gli obiettivi climatici.</w:t>
      </w:r>
      <w:r w:rsidRPr="0081729D">
        <w:rPr>
          <w:rFonts w:ascii="Times New Roman" w:eastAsia="Calibri" w:hAnsi="Times New Roman" w:cs="Times New Roman"/>
          <w:sz w:val="24"/>
          <w:szCs w:val="24"/>
          <w:vertAlign w:val="superscript"/>
          <w:lang w:eastAsia="en-US"/>
        </w:rPr>
        <w:footnoteReference w:id="16"/>
      </w:r>
    </w:p>
    <w:p w14:paraId="29D621F2"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 xml:space="preserve">La centralità attribuita alla resilienza ambientale segna, infatti, il superamento della tradizionale concezione </w:t>
      </w:r>
      <w:r w:rsidRPr="0081729D">
        <w:rPr>
          <w:rFonts w:ascii="Times New Roman" w:eastAsia="Calibri" w:hAnsi="Times New Roman" w:cs="Times New Roman"/>
          <w:i/>
          <w:iCs/>
          <w:sz w:val="24"/>
          <w:szCs w:val="24"/>
          <w:lang w:eastAsia="en-US"/>
        </w:rPr>
        <w:t>debole</w:t>
      </w:r>
      <w:r w:rsidRPr="0081729D">
        <w:rPr>
          <w:rFonts w:ascii="Times New Roman" w:eastAsia="Calibri" w:hAnsi="Times New Roman" w:cs="Times New Roman"/>
          <w:sz w:val="24"/>
          <w:szCs w:val="24"/>
          <w:lang w:eastAsia="en-US"/>
        </w:rPr>
        <w:t xml:space="preserve"> del principio di integrazione, nella quale la protezione dell’ambiente era relegata a limite esterno dell’iniziativa economica, da bilanciare con altri interessi spesso ritenuti prevalenti ed in tale prospettiva, l’ambiente assumeva una funzione essenzialmente recessiva e strumentale. L’evoluzione dell’ordinamento europeo ha invece progressivamente consolidato una concezione forte dell’integrazione ambientale: la protezione dell’ecosistema diviene componente strutturale e indefettibile dell’azione pubblica, non più subordinata a logiche esclusivamente antropocentriche, ma elemento costitutivo del processo di transizione ecologica e della resilienza dei sistemi economici e sociali.</w:t>
      </w:r>
    </w:p>
    <w:p w14:paraId="16E107B9"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Il rafforzamento dell’integrazione ambientale si riflette così sul rapporto tra </w:t>
      </w:r>
      <w:r w:rsidRPr="0081729D">
        <w:rPr>
          <w:rFonts w:ascii="Times New Roman" w:eastAsia="Calibri" w:hAnsi="Times New Roman" w:cs="Times New Roman"/>
          <w:i/>
          <w:iCs/>
          <w:sz w:val="24"/>
          <w:szCs w:val="24"/>
          <w:lang w:eastAsia="en-US"/>
        </w:rPr>
        <w:t>sviluppo sostenibile</w:t>
      </w:r>
      <w:r w:rsidRPr="0081729D">
        <w:rPr>
          <w:rFonts w:ascii="Times New Roman" w:eastAsia="Calibri" w:hAnsi="Times New Roman" w:cs="Times New Roman"/>
          <w:sz w:val="24"/>
          <w:szCs w:val="24"/>
          <w:lang w:eastAsia="en-US"/>
        </w:rPr>
        <w:t xml:space="preserve"> e </w:t>
      </w:r>
      <w:r w:rsidRPr="0081729D">
        <w:rPr>
          <w:rFonts w:ascii="Times New Roman" w:eastAsia="Calibri" w:hAnsi="Times New Roman" w:cs="Times New Roman"/>
          <w:i/>
          <w:iCs/>
          <w:sz w:val="24"/>
          <w:szCs w:val="24"/>
          <w:lang w:eastAsia="en-US"/>
        </w:rPr>
        <w:t>sostenibilità ambientale</w:t>
      </w:r>
      <w:r w:rsidRPr="0081729D">
        <w:rPr>
          <w:rFonts w:ascii="Times New Roman" w:eastAsia="Calibri" w:hAnsi="Times New Roman" w:cs="Times New Roman"/>
          <w:sz w:val="24"/>
          <w:szCs w:val="24"/>
          <w:lang w:eastAsia="en-US"/>
        </w:rPr>
        <w:t xml:space="preserve">, contribuendo a chiarirne le rispettive funzioni anche negli ordinamenti interni. Ed invero, lo sviluppo sostenibile si configura quale principio ordinatore dell’azione pubblica, espressivo della finalità complessiva cui devono tendere le politiche dell’Unione e degli Stati membri; la sostenibilità ambientale opera, invece, come criterio </w:t>
      </w:r>
      <w:r w:rsidRPr="0081729D">
        <w:rPr>
          <w:rFonts w:ascii="Times New Roman" w:eastAsia="Calibri" w:hAnsi="Times New Roman" w:cs="Times New Roman"/>
          <w:i/>
          <w:iCs/>
          <w:sz w:val="24"/>
          <w:szCs w:val="24"/>
          <w:lang w:eastAsia="en-US"/>
        </w:rPr>
        <w:t xml:space="preserve">metodologico </w:t>
      </w:r>
      <w:r w:rsidRPr="0081729D">
        <w:rPr>
          <w:rFonts w:ascii="Times New Roman" w:eastAsia="Calibri" w:hAnsi="Times New Roman" w:cs="Times New Roman"/>
          <w:sz w:val="24"/>
          <w:szCs w:val="24"/>
          <w:lang w:eastAsia="en-US"/>
        </w:rPr>
        <w:t xml:space="preserve">attraverso cui individuare e strutturare le modalità concrete di perseguimento degli obiettivi ecologici. </w:t>
      </w:r>
    </w:p>
    <w:p w14:paraId="51F210A2"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Il principio di integrazione, in questa chiave, non si limita a imporre un coordinamento tra interessi settoriali, ma orienta in modo trasversale la progettazione, l’attuazione e la valutazione delle politiche pubbliche, facendo della sostenibilità lo strumento operativo mediante cui lo sviluppo sostenibile trova effettiva realizzazione e incide sull’organizzazione dell’azione amministrativa.</w:t>
      </w:r>
      <w:r w:rsidRPr="0081729D">
        <w:rPr>
          <w:rFonts w:ascii="Times New Roman" w:eastAsia="Calibri" w:hAnsi="Times New Roman" w:cs="Times New Roman"/>
          <w:sz w:val="24"/>
          <w:szCs w:val="24"/>
          <w:vertAlign w:val="superscript"/>
          <w:lang w:eastAsia="en-US"/>
        </w:rPr>
        <w:footnoteReference w:id="17"/>
      </w:r>
    </w:p>
    <w:p w14:paraId="4E74FB2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Un esempio paradigmatico di tale declinazione forte è offerto proprio dal NGEU, che subordina l’accesso alle risorse al rispetto di stringenti criteri ambientali, imponendo la destinazione di una quota significativa degli investimenti agli obiettivi climatici e la conformità al principio DNSH. All’interno del programma, il Piano Nazionale di Ripresa e Resilienza (PNRR) adottato da </w:t>
      </w:r>
      <w:r w:rsidRPr="0081729D">
        <w:rPr>
          <w:rFonts w:ascii="Times New Roman" w:eastAsia="Calibri" w:hAnsi="Times New Roman" w:cs="Times New Roman"/>
          <w:sz w:val="24"/>
          <w:szCs w:val="24"/>
          <w:lang w:eastAsia="en-US"/>
        </w:rPr>
        <w:lastRenderedPageBreak/>
        <w:t xml:space="preserve">ciascuno Stato membro costituisce lo strumento principale di recepimento e attuazione: esso definisce riforme e investimenti necessari per garantire una ripresa sostenibile e resiliente, integrando la dimensione ambientale quale criterio strutturale e vincolante della progettazione delle politiche pubbliche. </w:t>
      </w:r>
    </w:p>
    <w:p w14:paraId="78D4F5DD"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In tal senso, il PNRR italiano – al pari degli altri piani nazionali – rappresenta il luogo di concreta intersezione tra diritto europeo e diritto amministrativo interno, fungendo da laboratorio di adeguamento delle amministrazioni agli obiettivi climatici sovranazionali. Emblematica è, inoltre, la previsione dell’obbligo per ciascuno Stato membro di destinare almeno il 37% delle risorse complessive alla transizione verde, vincolo quantitativo che traduce in termini cogenti il rafforzamento del principio di sviluppo sostenibile e ridefinisce il rapporto tra crescita economica e tutela ambientale. In questa prospettiva, la sostenibilità cessa definitivamente di configurarsi come limite esterno all’azione produttiva e diviene condizione di legittimità e parametro strutturale degli interventi finanziati, segnando il compiuto passaggio dalla tutela </w:t>
      </w:r>
      <w:r w:rsidRPr="0081729D">
        <w:rPr>
          <w:rFonts w:ascii="Times New Roman" w:eastAsia="Calibri" w:hAnsi="Times New Roman" w:cs="Times New Roman"/>
          <w:i/>
          <w:iCs/>
          <w:sz w:val="24"/>
          <w:szCs w:val="24"/>
          <w:lang w:eastAsia="en-US"/>
        </w:rPr>
        <w:t>debole</w:t>
      </w:r>
      <w:r w:rsidRPr="0081729D">
        <w:rPr>
          <w:rFonts w:ascii="Times New Roman" w:eastAsia="Calibri" w:hAnsi="Times New Roman" w:cs="Times New Roman"/>
          <w:sz w:val="24"/>
          <w:szCs w:val="24"/>
          <w:lang w:eastAsia="en-US"/>
        </w:rPr>
        <w:t xml:space="preserve"> alla tutela</w:t>
      </w:r>
      <w:r w:rsidRPr="0081729D">
        <w:rPr>
          <w:rFonts w:ascii="Times New Roman" w:eastAsia="Calibri" w:hAnsi="Times New Roman" w:cs="Times New Roman"/>
          <w:i/>
          <w:iCs/>
          <w:sz w:val="24"/>
          <w:szCs w:val="24"/>
          <w:lang w:eastAsia="en-US"/>
        </w:rPr>
        <w:t xml:space="preserve"> forte</w:t>
      </w:r>
      <w:r w:rsidRPr="0081729D">
        <w:rPr>
          <w:rFonts w:ascii="Times New Roman" w:eastAsia="Calibri" w:hAnsi="Times New Roman" w:cs="Times New Roman"/>
          <w:sz w:val="24"/>
          <w:szCs w:val="24"/>
          <w:lang w:eastAsia="en-US"/>
        </w:rPr>
        <w:t xml:space="preserve"> dell’ambiente</w:t>
      </w:r>
      <w:r w:rsidRPr="0081729D">
        <w:rPr>
          <w:rFonts w:ascii="Times New Roman" w:eastAsia="Calibri" w:hAnsi="Times New Roman" w:cs="Times New Roman"/>
          <w:sz w:val="24"/>
          <w:szCs w:val="24"/>
          <w:vertAlign w:val="superscript"/>
          <w:lang w:eastAsia="en-US"/>
        </w:rPr>
        <w:footnoteReference w:id="18"/>
      </w:r>
      <w:r w:rsidRPr="0081729D">
        <w:rPr>
          <w:rFonts w:ascii="Times New Roman" w:eastAsia="Calibri" w:hAnsi="Times New Roman" w:cs="Times New Roman"/>
          <w:sz w:val="24"/>
          <w:szCs w:val="24"/>
          <w:lang w:eastAsia="en-US"/>
        </w:rPr>
        <w:t xml:space="preserve"> nell’ordinamento europeo.</w:t>
      </w:r>
    </w:p>
    <w:p w14:paraId="1CE91D8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disciplina del NGEU segna, pertanto, una trasformazione qualitativa del diritto amministrativo europeo, che dall’essere diritto delle procedure e dei controlli evolve verso un diritto della </w:t>
      </w:r>
      <w:r w:rsidRPr="0081729D">
        <w:rPr>
          <w:rFonts w:ascii="Times New Roman" w:eastAsia="Calibri" w:hAnsi="Times New Roman" w:cs="Times New Roman"/>
          <w:i/>
          <w:iCs/>
          <w:sz w:val="24"/>
          <w:szCs w:val="24"/>
          <w:lang w:eastAsia="en-US"/>
        </w:rPr>
        <w:t>programmazione strategica</w:t>
      </w:r>
      <w:r w:rsidRPr="0081729D">
        <w:rPr>
          <w:rFonts w:ascii="Times New Roman" w:eastAsia="Calibri" w:hAnsi="Times New Roman" w:cs="Times New Roman"/>
          <w:sz w:val="24"/>
          <w:szCs w:val="24"/>
          <w:lang w:eastAsia="en-US"/>
        </w:rPr>
        <w:t>, in cui la valutazione di sostenibilità e la coerenza climatica diventano requisiti di validità e di efficacia dell’azione amministrativa. L’approccio integrato tra economia verde, sviluppo sociale e partecipazione trova qui la sua massima espressione.</w:t>
      </w:r>
    </w:p>
    <w:p w14:paraId="361F1385"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Da questo punto di vista, il principio di sussidiarietà orizzontale risulta nuovamente centrale: l’elevato costo economico della transizione energetica e la complessità tecnico</w:t>
      </w:r>
      <w:r w:rsidRPr="0081729D">
        <w:rPr>
          <w:rFonts w:ascii="Times New Roman" w:eastAsia="Calibri" w:hAnsi="Times New Roman" w:cs="Times New Roman"/>
          <w:sz w:val="24"/>
          <w:szCs w:val="24"/>
          <w:lang w:eastAsia="en-US"/>
        </w:rPr>
        <w:noBreakHyphen/>
        <w:t xml:space="preserve">amministrativa delle riforme impongono la condivisione degli oneri tra istituzioni pubbliche, soggetti privati e comunità locali. L’Unione e gli Stati membri, pertanto, si orientano verso modelli di governance partecipativa, nei quali l’amministrazione agisce come coordinatore e facilitatore di iniziative civiche, piuttosto che come unico titolare della funzione di intervento. </w:t>
      </w:r>
    </w:p>
    <w:p w14:paraId="613CADB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In questo contesto si colloca il finanziamento e la promozione delle Comunità Energetiche Rinnovabili (CER), riconosciute dalla direttiva (UE) 2018/2001 (RED II) e ulteriormente sostenute dal PNRR con incentivi per 5,7 miliardi di euro, di cui 2,2 miliardi destinati specificamente a sostenere la produzione e la condivisione di energia elettrica da fonti rinnovabili. Le CER diventano così la traduzione concreta dei principi di resilienza e </w:t>
      </w:r>
      <w:r w:rsidRPr="0081729D">
        <w:rPr>
          <w:rFonts w:ascii="Times New Roman" w:eastAsia="Calibri" w:hAnsi="Times New Roman" w:cs="Times New Roman"/>
          <w:sz w:val="24"/>
          <w:szCs w:val="24"/>
          <w:lang w:eastAsia="en-US"/>
        </w:rPr>
        <w:lastRenderedPageBreak/>
        <w:t>partecipazione, consentendo di decentrare la funzione energetica, redistribuire i benefici economici e stimolare la partecipazione diretta dei cittadini alla transizione verde.</w:t>
      </w:r>
      <w:r w:rsidRPr="0081729D">
        <w:rPr>
          <w:rFonts w:ascii="Times New Roman" w:eastAsia="Calibri" w:hAnsi="Times New Roman" w:cs="Times New Roman"/>
          <w:sz w:val="24"/>
          <w:szCs w:val="24"/>
          <w:vertAlign w:val="superscript"/>
          <w:lang w:eastAsia="en-US"/>
        </w:rPr>
        <w:footnoteReference w:id="19"/>
      </w:r>
    </w:p>
    <w:p w14:paraId="6FE1C5A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Sotto il profilo dottrinale, tali processi riflettono il passaggio da un paradigma di politica pubblica incentrato sulla “gestione” dell’ambiente a un paradigma di “costruzione condivisa” della sostenibilità, nel quale la resilienza ambientale e sociale non costituisce soltanto un obiettivo politico, ma si configura come funzione amministrativa permanente.</w:t>
      </w:r>
      <w:r w:rsidRPr="0081729D">
        <w:rPr>
          <w:rFonts w:ascii="Times New Roman" w:eastAsia="Calibri" w:hAnsi="Times New Roman" w:cs="Times New Roman"/>
          <w:sz w:val="24"/>
          <w:szCs w:val="24"/>
          <w:vertAlign w:val="superscript"/>
          <w:lang w:eastAsia="en-US"/>
        </w:rPr>
        <w:footnoteReference w:id="20"/>
      </w:r>
      <w:r w:rsidRPr="0081729D">
        <w:rPr>
          <w:rFonts w:ascii="Times New Roman" w:eastAsia="Calibri" w:hAnsi="Times New Roman" w:cs="Times New Roman"/>
          <w:sz w:val="24"/>
          <w:szCs w:val="24"/>
          <w:lang w:eastAsia="en-US"/>
        </w:rPr>
        <w:t xml:space="preserve"> Il diritto amministrativo, nella sua funzione ordinatrice, assume così il compito di garantire equilibrio, trasparenza e partecipazione, traducendo le istanze europee di sostenibilità in strumenti concreti di governance policentrica.</w:t>
      </w:r>
    </w:p>
    <w:p w14:paraId="4368BF5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 questa prospettiva, la transizione energetica non si limita a ridefinire gli obiettivi delle politiche pubbliche,</w:t>
      </w:r>
      <w:r w:rsidRPr="0081729D">
        <w:rPr>
          <w:rFonts w:ascii="Times New Roman" w:eastAsia="Calibri" w:hAnsi="Times New Roman" w:cs="Times New Roman"/>
          <w:sz w:val="24"/>
          <w:szCs w:val="24"/>
          <w:vertAlign w:val="superscript"/>
          <w:lang w:eastAsia="en-US"/>
        </w:rPr>
        <w:footnoteReference w:id="21"/>
      </w:r>
      <w:r w:rsidRPr="0081729D">
        <w:rPr>
          <w:rFonts w:ascii="Times New Roman" w:eastAsia="Calibri" w:hAnsi="Times New Roman" w:cs="Times New Roman"/>
          <w:sz w:val="24"/>
          <w:szCs w:val="24"/>
          <w:lang w:eastAsia="en-US"/>
        </w:rPr>
        <w:t xml:space="preserve"> ma incide anche sulle modalità attraverso cui tali politiche vengono </w:t>
      </w:r>
      <w:r w:rsidRPr="0081729D">
        <w:rPr>
          <w:rFonts w:ascii="Times New Roman" w:eastAsia="Calibri" w:hAnsi="Times New Roman" w:cs="Times New Roman"/>
          <w:sz w:val="24"/>
          <w:szCs w:val="24"/>
          <w:lang w:eastAsia="en-US"/>
        </w:rPr>
        <w:lastRenderedPageBreak/>
        <w:t xml:space="preserve">progettate e attuate, valorizzando forme di cooperazione tra istituzioni pubbliche, soggetti privati e comunità locali. Proprio tale evoluzione riporta al centro del dibattito giuridico il principio di sussidiarietà, quale criterio di organizzazione dei rapporti tra amministrazione e società civile nella cura degli interessi generali. </w:t>
      </w:r>
    </w:p>
    <w:p w14:paraId="2481F3A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crescente rilevanza delle iniziative collettive nella produzione e nella gestione dell’energia rende infatti evidente come la transizione ecologica si innesti su un modello di amministrazione sempre meno gerarchico e sempre più collaborativo, nel quale l’effettività degli obiettivi ambientali dipende anche dalla capacità delle istituzioni di riconoscere e valorizzare l’autonoma iniziativa dei cittadini. </w:t>
      </w:r>
    </w:p>
    <w:p w14:paraId="286E2A16"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È proprio alla luce di tale trasformazione che appare necessario soffermarsi sul ruolo e sull’evoluzione del principio di sussidiarietà nell’ordinamento giuridico.</w:t>
      </w:r>
    </w:p>
    <w:p w14:paraId="25515999"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3CE700A0" w14:textId="0116E9F2" w:rsidR="00AF4341" w:rsidRPr="0081729D" w:rsidRDefault="00AF4341" w:rsidP="002B7A90">
      <w:pPr>
        <w:pStyle w:val="Paragrafoelenco"/>
        <w:numPr>
          <w:ilvl w:val="0"/>
          <w:numId w:val="7"/>
        </w:numPr>
        <w:spacing w:after="160" w:line="360" w:lineRule="auto"/>
        <w:ind w:left="170" w:right="227" w:firstLine="170"/>
        <w:contextualSpacing/>
        <w:jc w:val="both"/>
        <w:rPr>
          <w:rFonts w:ascii="Times New Roman" w:eastAsia="Calibri" w:hAnsi="Times New Roman" w:cs="Times New Roman"/>
          <w:sz w:val="24"/>
          <w:szCs w:val="24"/>
          <w:lang w:eastAsia="en-US"/>
        </w:rPr>
      </w:pPr>
      <w:bookmarkStart w:id="27" w:name="_Hlk222230505"/>
      <w:r w:rsidRPr="0081729D">
        <w:rPr>
          <w:rFonts w:ascii="Times New Roman" w:eastAsia="Calibri" w:hAnsi="Times New Roman" w:cs="Times New Roman"/>
          <w:b/>
          <w:bCs/>
          <w:sz w:val="24"/>
          <w:szCs w:val="24"/>
          <w:lang w:eastAsia="en-US"/>
        </w:rPr>
        <w:t>La sussidiarietà orizzontale come struttura preesistente alla transizione: evoluzione storica e adattamento al nuovo paradigma energetico</w:t>
      </w:r>
      <w:bookmarkEnd w:id="27"/>
      <w:r w:rsidRPr="0081729D">
        <w:rPr>
          <w:rFonts w:ascii="Times New Roman" w:eastAsia="Calibri" w:hAnsi="Times New Roman" w:cs="Times New Roman"/>
          <w:b/>
          <w:bCs/>
          <w:sz w:val="24"/>
          <w:szCs w:val="24"/>
          <w:lang w:eastAsia="en-US"/>
        </w:rPr>
        <w:t>.</w:t>
      </w:r>
    </w:p>
    <w:p w14:paraId="050FBCE4"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Alla luce delle trasformazioni descritte nel paragrafo precedente, la crescente valorizzazione delle iniziative sociali nella realizzazione delle politiche energetiche impone di interrogarsi sul ruolo che il principio di sussidiarietà assume nel nuovo assetto della governance ambientale ed energetica. Prima di affrontare le questioni relative alla distribuzione delle competenze, alla discrezionalità amministrativa nella pianificazione territoriale e agli assetti regolatori del settore, appare infatti necessario ricostruire il significato e l’evoluzione della sussidiarietà orizzontale, alla luce delle recenti trasformazioni normative e istituzionali.</w:t>
      </w:r>
      <w:r w:rsidRPr="0081729D">
        <w:rPr>
          <w:rFonts w:ascii="Times New Roman" w:eastAsia="Calibri" w:hAnsi="Times New Roman" w:cs="Times New Roman"/>
          <w:sz w:val="24"/>
          <w:szCs w:val="24"/>
          <w:vertAlign w:val="superscript"/>
          <w:lang w:eastAsia="en-US"/>
        </w:rPr>
        <w:footnoteReference w:id="22"/>
      </w:r>
      <w:r w:rsidRPr="0081729D">
        <w:rPr>
          <w:rFonts w:ascii="Times New Roman" w:eastAsia="Calibri" w:hAnsi="Times New Roman" w:cs="Times New Roman"/>
          <w:sz w:val="24"/>
          <w:szCs w:val="24"/>
          <w:lang w:eastAsia="en-US"/>
        </w:rPr>
        <w:t xml:space="preserve"> Tale passaggio risulta imprescindibile per comprendere il quadro concettuale entro cui si collocano le trasformazioni in atto nel settore energetico e, soprattutto, per cogliere come un principio giuridico già consolidato – la sussidiarietà – stia progressivamente adattandosi all’emersione di un nuovo valore giuridico, quello della transizione ecologica, la cui qualificazione normativa resta, allo stato, solo parzialmente compiuta.</w:t>
      </w:r>
      <w:r w:rsidRPr="0081729D">
        <w:rPr>
          <w:rFonts w:ascii="Times New Roman" w:eastAsia="Calibri" w:hAnsi="Times New Roman" w:cs="Times New Roman"/>
          <w:sz w:val="24"/>
          <w:szCs w:val="24"/>
          <w:vertAlign w:val="superscript"/>
          <w:lang w:eastAsia="en-US"/>
        </w:rPr>
        <w:footnoteReference w:id="23"/>
      </w:r>
      <w:r w:rsidRPr="0081729D">
        <w:rPr>
          <w:rFonts w:ascii="Times New Roman" w:eastAsia="Calibri" w:hAnsi="Times New Roman" w:cs="Times New Roman"/>
          <w:sz w:val="24"/>
          <w:szCs w:val="24"/>
          <w:lang w:eastAsia="en-US"/>
        </w:rPr>
        <w:t xml:space="preserve"> </w:t>
      </w:r>
    </w:p>
    <w:p w14:paraId="47CE243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La riflessione si inserisce, in particolare, all’interno di una ricostruzione che assume come dato di partenza la natura profondamente trasformativa delle politiche ambientali ed energetiche contemporanee. L’evoluzione della disciplina ambientale non viene letta come un mero ampliamento dell’apparato regolatorio, bensì come un processo capace di incidere sulle categorie portanti del diritto pubblico e, segnatamente, sulle modalità attraverso cui gli interessi generali vengono definiti, organizzati e perseguiti.</w:t>
      </w:r>
      <w:r w:rsidRPr="0081729D">
        <w:rPr>
          <w:rFonts w:ascii="Times New Roman" w:eastAsia="Calibri" w:hAnsi="Times New Roman" w:cs="Times New Roman"/>
          <w:sz w:val="24"/>
          <w:szCs w:val="24"/>
          <w:vertAlign w:val="superscript"/>
          <w:lang w:eastAsia="en-US"/>
        </w:rPr>
        <w:footnoteReference w:id="24"/>
      </w:r>
    </w:p>
    <w:p w14:paraId="4A50EE7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All’interno di questo quadro, tuttavia, è la sussidiarietà – principio dotato di riconoscimento costituzionale – a fungere da chiave interpretativa privilegiata per osservare tali trasformazioni: essa, infatti, precede logicamente e temporalmente la stessa emersione della “transizione” come categoria giuridica, e ne orienta sin d’ora le forme di concreta attuazione, in particolare nella dimensione orizzontale dei rapporti tra amministrazioni e società civile.</w:t>
      </w:r>
    </w:p>
    <w:p w14:paraId="1DD9D8FA"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formulazione originaria del principio, elaborata nel pensiero sociale cattolico e in particolare nell’enciclica </w:t>
      </w:r>
      <w:r w:rsidRPr="0081729D">
        <w:rPr>
          <w:rFonts w:ascii="Times New Roman" w:eastAsia="Calibri" w:hAnsi="Times New Roman" w:cs="Times New Roman"/>
          <w:i/>
          <w:iCs/>
          <w:sz w:val="24"/>
          <w:szCs w:val="24"/>
          <w:lang w:eastAsia="en-US"/>
        </w:rPr>
        <w:t>Quadragesimo Anno</w:t>
      </w:r>
      <w:r w:rsidRPr="0081729D">
        <w:rPr>
          <w:rFonts w:ascii="Times New Roman" w:eastAsia="Calibri" w:hAnsi="Times New Roman" w:cs="Times New Roman"/>
          <w:sz w:val="24"/>
          <w:szCs w:val="24"/>
          <w:lang w:eastAsia="en-US"/>
        </w:rPr>
        <w:t xml:space="preserve">, esprimeva già l’idea che i livelli superiori dell’organizzazione sociale dovessero sostenere – e non sostituire – l’iniziativa dei livelli inferiori. In quella fase la sussidiarietà era prevalentemente declinata in senso verticale, quale criterio di limitazione dell’intervento statale; nondimeno, essa conteneva già in </w:t>
      </w:r>
      <w:proofErr w:type="spellStart"/>
      <w:r w:rsidRPr="0081729D">
        <w:rPr>
          <w:rFonts w:ascii="Times New Roman" w:eastAsia="Calibri" w:hAnsi="Times New Roman" w:cs="Times New Roman"/>
          <w:sz w:val="24"/>
          <w:szCs w:val="24"/>
          <w:lang w:eastAsia="en-US"/>
        </w:rPr>
        <w:t>nuce</w:t>
      </w:r>
      <w:proofErr w:type="spellEnd"/>
      <w:r w:rsidRPr="0081729D">
        <w:rPr>
          <w:rFonts w:ascii="Times New Roman" w:eastAsia="Calibri" w:hAnsi="Times New Roman" w:cs="Times New Roman"/>
          <w:sz w:val="24"/>
          <w:szCs w:val="24"/>
          <w:lang w:eastAsia="en-US"/>
        </w:rPr>
        <w:t xml:space="preserve"> una concezione non accentrata dell’azione pubblica, fondata sul riconoscimento del ruolo delle formazioni sociali intermedie.</w:t>
      </w:r>
      <w:r w:rsidRPr="0081729D">
        <w:rPr>
          <w:rFonts w:ascii="Times New Roman" w:eastAsia="Calibri" w:hAnsi="Times New Roman" w:cs="Times New Roman"/>
          <w:sz w:val="24"/>
          <w:szCs w:val="24"/>
          <w:vertAlign w:val="superscript"/>
          <w:lang w:eastAsia="en-US"/>
        </w:rPr>
        <w:footnoteReference w:id="25"/>
      </w:r>
    </w:p>
    <w:p w14:paraId="49659EB3"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La successiva evoluzione del principio, maturata nel contesto europeo e soprattutto nell’ordinamento costituzionale italiano, non rappresenta dunque una rottura rispetto a tale impianto, bensì una sua rielaborazione funzionale alle trasformazioni economiche e sociali della contemporaneità. L’introduzione dell’art. 118, comma 4, Cost. ha segnato in questo senso un passaggio decisivo, attribuendo rilievo costituzionale all’autonoma iniziativa dei cittadini nello svolgimento di attività di interesse generale e riconoscendo espressamente la legittimità di forme di intervento “dal basso” nella cura dei beni comuni. Tale previsione ha contribuito a spostare l’asse del rapporto tra pubblici poteri e società civile, inaugurando una stagione in cui la partecipazione civica viene progressivamente istituzionalizzata e ricondotta all’interno di schemi giuridici riconoscibili.</w:t>
      </w:r>
      <w:r w:rsidRPr="0081729D">
        <w:rPr>
          <w:rFonts w:ascii="Times New Roman" w:eastAsia="Calibri" w:hAnsi="Times New Roman" w:cs="Times New Roman"/>
          <w:sz w:val="24"/>
          <w:szCs w:val="24"/>
          <w:vertAlign w:val="superscript"/>
          <w:lang w:eastAsia="en-US"/>
        </w:rPr>
        <w:footnoteReference w:id="26"/>
      </w:r>
      <w:r w:rsidRPr="0081729D">
        <w:rPr>
          <w:rFonts w:ascii="Times New Roman" w:eastAsia="Calibri" w:hAnsi="Times New Roman" w:cs="Times New Roman"/>
          <w:sz w:val="24"/>
          <w:szCs w:val="24"/>
          <w:lang w:eastAsia="en-US"/>
        </w:rPr>
        <w:t xml:space="preserve"> In questa prospettiva, il principio di sussidiarietà si presenta come una categoria già pienamente </w:t>
      </w:r>
      <w:proofErr w:type="spellStart"/>
      <w:r w:rsidRPr="0081729D">
        <w:rPr>
          <w:rFonts w:ascii="Times New Roman" w:eastAsia="Calibri" w:hAnsi="Times New Roman" w:cs="Times New Roman"/>
          <w:sz w:val="24"/>
          <w:szCs w:val="24"/>
          <w:lang w:eastAsia="en-US"/>
        </w:rPr>
        <w:t>normativizzato</w:t>
      </w:r>
      <w:proofErr w:type="spellEnd"/>
      <w:r w:rsidRPr="0081729D">
        <w:rPr>
          <w:rFonts w:ascii="Times New Roman" w:eastAsia="Calibri" w:hAnsi="Times New Roman" w:cs="Times New Roman"/>
          <w:sz w:val="24"/>
          <w:szCs w:val="24"/>
          <w:lang w:eastAsia="en-US"/>
        </w:rPr>
        <w:t xml:space="preserve"> al momento in cui la transizione energetica e climatica comincia ad affermarsi nel linguaggio delle politiche pubbliche: è dunque la transizione a innestarsi su un terreno assiologico e istituzionale preesistente, nel quale la collaborazione tra cittadini e pubbliche amministrazioni è già riconosciuta e, almeno in parte, disciplinata.</w:t>
      </w:r>
    </w:p>
    <w:p w14:paraId="5A86157D"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Si è così assistito a un graduale superamento del tradizionale paradigma</w:t>
      </w:r>
      <w:r w:rsidRPr="0081729D">
        <w:rPr>
          <w:rFonts w:ascii="Times New Roman" w:eastAsia="Calibri" w:hAnsi="Times New Roman" w:cs="Times New Roman"/>
          <w:i/>
          <w:iCs/>
          <w:sz w:val="24"/>
          <w:szCs w:val="24"/>
          <w:lang w:eastAsia="en-US"/>
        </w:rPr>
        <w:t xml:space="preserve"> bipolare</w:t>
      </w:r>
      <w:r w:rsidRPr="0081729D">
        <w:rPr>
          <w:rFonts w:ascii="Times New Roman" w:eastAsia="Calibri" w:hAnsi="Times New Roman" w:cs="Times New Roman"/>
          <w:sz w:val="24"/>
          <w:szCs w:val="24"/>
          <w:lang w:eastAsia="en-US"/>
        </w:rPr>
        <w:t xml:space="preserve"> pubblico-privato, dal quale non è conseguita un’abdicazione della funzione pubblica, quanto piuttosto una sua riconfigurazione secondo logiche di cooperazione, cogestione e coprogettazione nella tutela degli interessi pubblici e degli interessi diffusi.</w:t>
      </w:r>
      <w:r w:rsidRPr="0081729D">
        <w:rPr>
          <w:rFonts w:ascii="Times New Roman" w:eastAsia="Calibri" w:hAnsi="Times New Roman" w:cs="Times New Roman"/>
          <w:sz w:val="24"/>
          <w:szCs w:val="24"/>
          <w:vertAlign w:val="superscript"/>
          <w:lang w:eastAsia="en-US"/>
        </w:rPr>
        <w:footnoteReference w:id="27"/>
      </w:r>
      <w:r w:rsidRPr="0081729D">
        <w:rPr>
          <w:rFonts w:ascii="Times New Roman" w:eastAsia="Calibri" w:hAnsi="Times New Roman" w:cs="Times New Roman"/>
          <w:sz w:val="24"/>
          <w:szCs w:val="24"/>
          <w:lang w:eastAsia="en-US"/>
        </w:rPr>
        <w:t xml:space="preserve"> Anche nei modelli collaborativi fondati sull’esternalizzazione o sul partenariato pubblico-privato, come quelli disciplinati dal Codice dei contratti pubblici, l’amministrazione conserva infatti un ruolo direttivo e di indirizzo, orientando </w:t>
      </w:r>
      <w:r w:rsidRPr="0081729D">
        <w:rPr>
          <w:rFonts w:ascii="Times New Roman" w:eastAsia="Calibri" w:hAnsi="Times New Roman" w:cs="Times New Roman"/>
          <w:sz w:val="24"/>
          <w:szCs w:val="24"/>
          <w:lang w:eastAsia="en-US"/>
        </w:rPr>
        <w:lastRenderedPageBreak/>
        <w:t>l’azione dei soggetti privati al perseguimento di obiettivi sociali e ambientali predeterminati. Detti strumenti restano tuttavia ancorati a una logica prevalentemente contrattuale, nella quale il contributo dei privati si inserisce in un quadro definito – quasi - unilateralmente dalla pubblica amministrazione.</w:t>
      </w:r>
      <w:r w:rsidRPr="0081729D">
        <w:rPr>
          <w:rFonts w:ascii="Times New Roman" w:eastAsia="Calibri" w:hAnsi="Times New Roman" w:cs="Times New Roman"/>
          <w:sz w:val="24"/>
          <w:szCs w:val="24"/>
          <w:vertAlign w:val="superscript"/>
          <w:lang w:eastAsia="en-US"/>
        </w:rPr>
        <w:footnoteReference w:id="28"/>
      </w:r>
    </w:p>
    <w:p w14:paraId="64F33BC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A titolo esemplificativo, il modello bipolare, con funzione direttrice della PA, è confermato dal disposto dell’art. 57, comma 2, del d.lgs. 36/2023, che impone alle stazioni appaltanti e agli enti concedenti di contribuire al conseguimento degli obiettivi ambientali previsti dal Piano d’azione per la sostenibilità ambientale dei consumi nel settore della Pubblica Amministrazione, attraverso l’inserimento nella documentazione progettuale e di gara almeno delle specifiche tecniche e delle clausole contrattuali contenute nei Criteri Ambientali Minimi (CAM),</w:t>
      </w:r>
      <w:bookmarkStart w:id="30" w:name="_Hlk222134950"/>
      <w:r w:rsidRPr="0081729D">
        <w:rPr>
          <w:rFonts w:ascii="Times New Roman" w:eastAsia="Calibri" w:hAnsi="Times New Roman" w:cs="Times New Roman"/>
          <w:sz w:val="24"/>
          <w:szCs w:val="24"/>
          <w:vertAlign w:val="superscript"/>
          <w:lang w:eastAsia="en-US"/>
        </w:rPr>
        <w:t xml:space="preserve"> </w:t>
      </w:r>
      <w:r w:rsidRPr="0081729D">
        <w:rPr>
          <w:rFonts w:ascii="Times New Roman" w:eastAsia="Calibri" w:hAnsi="Times New Roman" w:cs="Times New Roman"/>
          <w:sz w:val="24"/>
          <w:szCs w:val="24"/>
          <w:vertAlign w:val="superscript"/>
          <w:lang w:eastAsia="en-US"/>
        </w:rPr>
        <w:footnoteReference w:id="29"/>
      </w:r>
      <w:bookmarkEnd w:id="30"/>
      <w:r w:rsidRPr="0081729D">
        <w:rPr>
          <w:rFonts w:ascii="Times New Roman" w:eastAsia="Calibri" w:hAnsi="Times New Roman" w:cs="Times New Roman"/>
          <w:sz w:val="24"/>
          <w:szCs w:val="24"/>
          <w:lang w:eastAsia="en-US"/>
        </w:rPr>
        <w:t xml:space="preserve"> definiti per specifiche categorie di appalti e concessioni. In tal modo, il principio di sussidiarietà si pone come trama giuridica entro cui si tenta di dare contenuto operativo alla transizione ecologica, pur restando evidente come l’effettiva capacità decisionale dei cittadini rimanga spesso mediata e compressa all’interno di schemi ancora fortemente diretti dal centro.</w:t>
      </w:r>
      <w:bookmarkStart w:id="31" w:name="_Hlk222135129"/>
      <w:r w:rsidRPr="0081729D">
        <w:rPr>
          <w:rFonts w:ascii="Times New Roman" w:eastAsia="Calibri" w:hAnsi="Times New Roman" w:cs="Times New Roman"/>
          <w:sz w:val="24"/>
          <w:szCs w:val="24"/>
          <w:vertAlign w:val="superscript"/>
          <w:lang w:eastAsia="en-US"/>
        </w:rPr>
        <w:footnoteReference w:id="30"/>
      </w:r>
      <w:bookmarkEnd w:id="31"/>
    </w:p>
    <w:p w14:paraId="6249BD5A"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In tale prospettiva, il modello sussidiario paritario – oggi largamente predominante – quale progressivo esito delle esperienze di amministrazione condivisa, rappresenta una fase ulteriormente evolutiva della sussidiarietà orizzontale, in quanto attribuisce rilievo giuridico alle iniziative collettive radicate nella capacità delle comunità di auto-organizzarsi e di assumere responsabilità dirette nella cura di beni e servizi di interesse pubblico.</w:t>
      </w:r>
    </w:p>
    <w:p w14:paraId="41F2010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È su questo sfondo, già normativamente consolidato, che matura l’idea di una sussidiarietà energetica, intesa non come semplice applicazione settoriale del principio di cui all’art. 118, comma 4, Cost., bensì come sua rielaborazione funzionale in un ambito – quello energetico – caratterizzato da elevata complessità tecnica, economica e istituzionale. In tale contesto, la transizione energetica non si limita a ridefinire gli obiettivi delle politiche pubbliche, ma incide anche sulle modalità di produzione e gestione dell’energia, favorendo l’emersione di modelli fondati sulla partecipazione attiva delle comunità locali e sulla valorizzazione delle risorse territoriali.</w:t>
      </w:r>
      <w:r w:rsidRPr="0081729D">
        <w:rPr>
          <w:rFonts w:ascii="Times New Roman" w:eastAsia="Calibri" w:hAnsi="Times New Roman" w:cs="Times New Roman"/>
          <w:sz w:val="24"/>
          <w:szCs w:val="24"/>
          <w:vertAlign w:val="superscript"/>
          <w:lang w:eastAsia="en-US"/>
        </w:rPr>
        <w:footnoteReference w:id="31"/>
      </w:r>
    </w:p>
    <w:p w14:paraId="7C1E79DA"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 questa prospettiva, la sussidiarietà energetica può essere intesa come uno spazio di sperimentazione avanzata di nuovi equilibri tra iniziativa civica e indirizzo pubblico. La valorizzazione delle risorse sociali diffuse, tuttavia, non può prescindere da un adeguato presidio istituzionale e regolatorio, chiamato a garantire coerenza sistemica, equità distributiva e tutela dell’interesse generale ambientale. Ne deriva una configurazione del principio che, pur ampliando gli spazi di partecipazione dei cittadini, continua a richiedere un ruolo attivo delle amministrazioni pubbliche nella definizione delle condizioni di esercizio della cittadinanza energetica per il raggiungimento di un risultato.</w:t>
      </w:r>
      <w:r w:rsidRPr="0081729D">
        <w:rPr>
          <w:rFonts w:ascii="Times New Roman" w:eastAsia="Calibri" w:hAnsi="Times New Roman" w:cs="Times New Roman"/>
          <w:sz w:val="24"/>
          <w:szCs w:val="24"/>
          <w:vertAlign w:val="superscript"/>
          <w:lang w:eastAsia="en-US"/>
        </w:rPr>
        <w:footnoteReference w:id="32"/>
      </w:r>
    </w:p>
    <w:p w14:paraId="38359A41"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È proprio nella tensione tra queste due dimensioni – apertura partecipativa e coordinamento istituzionale – che emergono le principali criticità applicative del modello sussidiario nel settore energetico. Se, sul piano teorico, la sussidiarietà energetica appare come una naturale evoluzione del principio costituzionale di cui all’art. 118, comma 4, Cost., sul piano della prassi essa incontra ostacoli significativi, legati tanto alla struttura istituzionale della governance energetica quanto alle modalità concrete di coinvolgimento delle comunità locali nei processi decisionali. Tali </w:t>
      </w:r>
      <w:r w:rsidRPr="0081729D">
        <w:rPr>
          <w:rFonts w:ascii="Times New Roman" w:eastAsia="Calibri" w:hAnsi="Times New Roman" w:cs="Times New Roman"/>
          <w:sz w:val="24"/>
          <w:szCs w:val="24"/>
          <w:lang w:eastAsia="en-US"/>
        </w:rPr>
        <w:lastRenderedPageBreak/>
        <w:t>criticità, che evidenziano la distanza tra il principio e la sua effettiva attuazione, costituiscono l’oggetto di analisi del paragrafo seguente.</w:t>
      </w:r>
    </w:p>
    <w:p w14:paraId="7B6B8567"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66E9BFCB" w14:textId="22199AF4" w:rsidR="00AF4341" w:rsidRPr="0081729D" w:rsidRDefault="00AF4341" w:rsidP="002B7A90">
      <w:pPr>
        <w:pStyle w:val="Paragrafoelenco"/>
        <w:numPr>
          <w:ilvl w:val="0"/>
          <w:numId w:val="7"/>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b/>
          <w:bCs/>
          <w:sz w:val="24"/>
          <w:szCs w:val="24"/>
          <w:lang w:eastAsia="en-US"/>
        </w:rPr>
        <w:t>La sussidiarietà energetica alla prova della prassi: criticità applicative e distanza tra principio e cittadinanza attiva</w:t>
      </w:r>
      <w:r w:rsidRPr="0081729D">
        <w:rPr>
          <w:rFonts w:ascii="Times New Roman" w:eastAsia="Calibri" w:hAnsi="Times New Roman" w:cs="Times New Roman"/>
          <w:sz w:val="24"/>
          <w:szCs w:val="24"/>
          <w:lang w:eastAsia="en-US"/>
        </w:rPr>
        <w:t>.</w:t>
      </w:r>
    </w:p>
    <w:p w14:paraId="306FC6D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sussidiarietà energetica, intesa come proiezione settoriale del principio di cui all’art. 118, comma 4, Cost., costituisce un significativo sviluppo della sussidiarietà orizzontale. Nella prassi, tuttavia, emergono criticità che ne limitano l’effettiva operatività e l’incidenza sui comportamenti sociali: nel settore energetico, infatti, il riconoscimento formale di spazi di partecipazione civica non sempre si traduce in possibilità reali di co-decisione, facendo emergere uno scarto tra elaborazione teorica e attuazione concreta.</w:t>
      </w:r>
    </w:p>
    <w:p w14:paraId="4B2C9FE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Tale disparità si accentua considerando che la sussidiarietà è oggi un principio giuridicamente consolidato, con una significativa stratificazione normativa e dottrinale, mentre la “transizione” – frequentemente ad essa collegata – resta una categoria solo parzialmente </w:t>
      </w:r>
      <w:proofErr w:type="spellStart"/>
      <w:r w:rsidRPr="0081729D">
        <w:rPr>
          <w:rFonts w:ascii="Times New Roman" w:eastAsia="Calibri" w:hAnsi="Times New Roman" w:cs="Times New Roman"/>
          <w:sz w:val="24"/>
          <w:szCs w:val="24"/>
          <w:lang w:eastAsia="en-US"/>
        </w:rPr>
        <w:t>giuridificata</w:t>
      </w:r>
      <w:proofErr w:type="spellEnd"/>
      <w:r w:rsidRPr="0081729D">
        <w:rPr>
          <w:rFonts w:ascii="Times New Roman" w:eastAsia="Calibri" w:hAnsi="Times New Roman" w:cs="Times New Roman"/>
          <w:sz w:val="24"/>
          <w:szCs w:val="24"/>
          <w:lang w:eastAsia="en-US"/>
        </w:rPr>
        <w:t>, ancora ancorata a un linguaggio politico-programmatico. L’asimmetria tra principio maturo e categoria ancora in definizione produce difficoltà applicative sia sul piano istituzionale sia su quello culturale e organizzativo. Le criticità riguardano, da un lato, la struttura istituzionale e normativa della materia energetica, storicamente verticale e accentrata; dall’altro, aspetti culturali e organizzativi che riducono la partecipazione civica a funzione secondaria nel processo decisionale. Il permanere della centralità statale e regionale nella governance energetica genera una distanza tra la retorica della cooperazione – alimentata dal tema sulla transizione e dal richiamo alla sussidiarietà – e la realtà dei rapporti di potere, comprimendo l’autonomia delle comunità locali e confinando i cittadini in ruoli prevalentemente consultivi.</w:t>
      </w:r>
    </w:p>
    <w:p w14:paraId="09FFC47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L’esperienza delle Comunità Energetiche Rinnovabili (CER) rappresenta l’esempio più evidente di questa frattura: pur incarnando la “democrazia energetica” auspicata dalle direttive europee</w:t>
      </w:r>
      <w:r w:rsidRPr="0081729D">
        <w:rPr>
          <w:rFonts w:ascii="Times New Roman" w:eastAsia="Calibri" w:hAnsi="Times New Roman" w:cs="Times New Roman"/>
          <w:sz w:val="24"/>
          <w:szCs w:val="24"/>
          <w:vertAlign w:val="superscript"/>
          <w:lang w:eastAsia="en-US"/>
        </w:rPr>
        <w:footnoteReference w:id="33"/>
      </w:r>
      <w:r w:rsidRPr="0081729D">
        <w:rPr>
          <w:rFonts w:ascii="Times New Roman" w:eastAsia="Calibri" w:hAnsi="Times New Roman" w:cs="Times New Roman"/>
          <w:sz w:val="24"/>
          <w:szCs w:val="24"/>
          <w:lang w:eastAsia="en-US"/>
        </w:rPr>
        <w:t xml:space="preserve"> (</w:t>
      </w:r>
      <w:proofErr w:type="spellStart"/>
      <w:r w:rsidRPr="0081729D">
        <w:rPr>
          <w:rFonts w:ascii="Times New Roman" w:eastAsia="Calibri" w:hAnsi="Times New Roman" w:cs="Times New Roman"/>
          <w:sz w:val="24"/>
          <w:szCs w:val="24"/>
          <w:lang w:eastAsia="en-US"/>
        </w:rPr>
        <w:t>Clean</w:t>
      </w:r>
      <w:proofErr w:type="spellEnd"/>
      <w:r w:rsidRPr="0081729D">
        <w:rPr>
          <w:rFonts w:ascii="Times New Roman" w:eastAsia="Calibri" w:hAnsi="Times New Roman" w:cs="Times New Roman"/>
          <w:sz w:val="24"/>
          <w:szCs w:val="24"/>
          <w:lang w:eastAsia="en-US"/>
        </w:rPr>
        <w:t xml:space="preserve"> Energy Package, </w:t>
      </w:r>
      <w:proofErr w:type="spellStart"/>
      <w:r w:rsidRPr="0081729D">
        <w:rPr>
          <w:rFonts w:ascii="Times New Roman" w:eastAsia="Calibri" w:hAnsi="Times New Roman" w:cs="Times New Roman"/>
          <w:sz w:val="24"/>
          <w:szCs w:val="24"/>
          <w:lang w:eastAsia="en-US"/>
        </w:rPr>
        <w:t>Fit</w:t>
      </w:r>
      <w:proofErr w:type="spellEnd"/>
      <w:r w:rsidRPr="0081729D">
        <w:rPr>
          <w:rFonts w:ascii="Times New Roman" w:eastAsia="Calibri" w:hAnsi="Times New Roman" w:cs="Times New Roman"/>
          <w:sz w:val="24"/>
          <w:szCs w:val="24"/>
          <w:lang w:eastAsia="en-US"/>
        </w:rPr>
        <w:t xml:space="preserve"> for 55) e trovando fondamento ideale nell’intreccio tra </w:t>
      </w:r>
      <w:r w:rsidRPr="0081729D">
        <w:rPr>
          <w:rFonts w:ascii="Times New Roman" w:eastAsia="Calibri" w:hAnsi="Times New Roman" w:cs="Times New Roman"/>
          <w:sz w:val="24"/>
          <w:szCs w:val="24"/>
          <w:lang w:eastAsia="en-US"/>
        </w:rPr>
        <w:lastRenderedPageBreak/>
        <w:t>sussidiarietà e transizione,</w:t>
      </w:r>
      <w:r w:rsidRPr="0081729D">
        <w:rPr>
          <w:rFonts w:ascii="Times New Roman" w:eastAsia="Calibri" w:hAnsi="Times New Roman" w:cs="Times New Roman"/>
          <w:sz w:val="24"/>
          <w:szCs w:val="24"/>
          <w:vertAlign w:val="superscript"/>
          <w:lang w:eastAsia="en-US"/>
        </w:rPr>
        <w:footnoteReference w:id="34"/>
      </w:r>
      <w:r w:rsidRPr="0081729D">
        <w:rPr>
          <w:rFonts w:ascii="Times New Roman" w:eastAsia="Calibri" w:hAnsi="Times New Roman" w:cs="Times New Roman"/>
          <w:sz w:val="24"/>
          <w:szCs w:val="24"/>
          <w:lang w:eastAsia="en-US"/>
        </w:rPr>
        <w:t xml:space="preserve"> la loro diffusione è ostacolata da eterogeneità regolatorie regionali, carenze amministrative e ritardi procedurali. Il cittadino-consumatore, formalmente abilitato a partecipare alla produzione e gestione dell’energia, resta subordinato a un sistema tecnico-burocratico che non controlla, assumendo un ruolo più di adesione che di co-decisione.</w:t>
      </w:r>
    </w:p>
    <w:p w14:paraId="34214873"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mancanza di coordinamento multilivello tra Stato, Regioni ed enti locali genera un quadro applicativo frammentato, in cui la sussidiarietà si riduce a principio programmatico, mentre la transizione continua a operare come etichetta unificante di politiche eterogenee, senza tradursi in un vero regime giuridico autonomo. Fattori culturali e sociali – come la concezione paternalistica del potere pubblico e la debole coscienza energetica collettiva – trasformano la partecipazione civica in pratiche episodiche e diseguali, incapaci di incidere sistematicamente sulle strategie di transizione.</w:t>
      </w:r>
    </w:p>
    <w:p w14:paraId="7BE52C3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complessità delle procedure autorizzative, la lentezza dei procedimenti e la limitata capacità organizzativa delle amministrazioni locali producono una sussidiarietà “mediata”, in cui l’iniziativa civica resta subordinata ai vincoli decisionali dell’apparato pubblico. Tale asimmetria compromette la legittimità e l’efficacia della transizione energetica.</w:t>
      </w:r>
    </w:p>
    <w:p w14:paraId="21DEC613"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sussidiarietà energetica assume così una duplice valenza: da un lato, costituisce uno strumento avanzato di </w:t>
      </w:r>
      <w:proofErr w:type="spellStart"/>
      <w:r w:rsidRPr="0081729D">
        <w:rPr>
          <w:rFonts w:ascii="Times New Roman" w:eastAsia="Calibri" w:hAnsi="Times New Roman" w:cs="Times New Roman"/>
          <w:sz w:val="24"/>
          <w:szCs w:val="24"/>
          <w:lang w:eastAsia="en-US"/>
        </w:rPr>
        <w:t>operativizzazione</w:t>
      </w:r>
      <w:proofErr w:type="spellEnd"/>
      <w:r w:rsidRPr="0081729D">
        <w:rPr>
          <w:rFonts w:ascii="Times New Roman" w:eastAsia="Calibri" w:hAnsi="Times New Roman" w:cs="Times New Roman"/>
          <w:sz w:val="24"/>
          <w:szCs w:val="24"/>
          <w:lang w:eastAsia="en-US"/>
        </w:rPr>
        <w:t xml:space="preserve"> del principio costituzionale in un settore strategico; dall’altro, evidenzia i limiti strutturali del principio quando applicato a una categoria – la transizione energetica – priva di statuto giuridico pienamente definito. Ne deriva una tensione sistemica tra principio consolidato e categoria fluida, che accentua la natura programmatica delle politiche partecipative e innalza il livello di astrazione del principio, con il rischio di ridurlo a mero riferimento retorico anziché a criterio operativo di regolazione dei rapporti tra amministrazione e società civile.</w:t>
      </w:r>
      <w:r w:rsidRPr="0081729D">
        <w:rPr>
          <w:rFonts w:ascii="Times New Roman" w:eastAsia="Calibri" w:hAnsi="Times New Roman" w:cs="Times New Roman"/>
          <w:sz w:val="24"/>
          <w:szCs w:val="24"/>
          <w:vertAlign w:val="superscript"/>
          <w:lang w:eastAsia="en-US"/>
        </w:rPr>
        <w:footnoteReference w:id="35"/>
      </w:r>
    </w:p>
    <w:p w14:paraId="7A619D71"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In questo scenario, la sussidiarietà energetica si configura non solo come strumento di democratizzazione della governance dell’energia, ma anche come laboratorio concettuale per valutare la capacità dell’ordinamento di tradurre in assetti giuridici concreti le istanze partecipative connesse alla transizione ecologica. Tale tensione costituisce il presupposto analitico per verificare se e in quale misura il diritto pubblico contemporaneo possa assorbire stabilmente la transizione all’interno delle proprie categorie sistematiche, costituendo il naturale raccordo con l’analisi che segue.</w:t>
      </w:r>
    </w:p>
    <w:p w14:paraId="0DE1F064"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2FCFD504" w14:textId="032EC558" w:rsidR="00AF4341" w:rsidRPr="0081729D" w:rsidRDefault="00E73495" w:rsidP="0081729D">
      <w:pPr>
        <w:pStyle w:val="Paragrafoelenco"/>
        <w:spacing w:after="160" w:line="360" w:lineRule="auto"/>
        <w:ind w:left="170" w:right="227" w:firstLine="170"/>
        <w:contextualSpacing/>
        <w:jc w:val="both"/>
        <w:rPr>
          <w:rFonts w:ascii="Times New Roman" w:eastAsia="Calibri" w:hAnsi="Times New Roman" w:cs="Times New Roman"/>
          <w:sz w:val="24"/>
          <w:szCs w:val="24"/>
          <w:vertAlign w:val="superscript"/>
          <w:lang w:eastAsia="en-US"/>
        </w:rPr>
      </w:pPr>
      <w:r w:rsidRPr="0081729D">
        <w:rPr>
          <w:rFonts w:ascii="Times New Roman" w:eastAsia="Calibri" w:hAnsi="Times New Roman" w:cs="Times New Roman"/>
          <w:b/>
          <w:bCs/>
          <w:sz w:val="24"/>
          <w:szCs w:val="24"/>
          <w:lang w:eastAsia="en-US"/>
        </w:rPr>
        <w:t xml:space="preserve">4.1 </w:t>
      </w:r>
      <w:r w:rsidR="00AF4341" w:rsidRPr="0081729D">
        <w:rPr>
          <w:rFonts w:ascii="Times New Roman" w:eastAsia="Calibri" w:hAnsi="Times New Roman" w:cs="Times New Roman"/>
          <w:b/>
          <w:bCs/>
          <w:sz w:val="24"/>
          <w:szCs w:val="24"/>
          <w:lang w:eastAsia="en-US"/>
        </w:rPr>
        <w:t>Asimmetrie sistemiche tra sussidiarietà iper-qualificata e transizione come categoria giuridicamente incompiuta.</w:t>
      </w:r>
      <w:r w:rsidR="00AF4341" w:rsidRPr="0081729D">
        <w:rPr>
          <w:rFonts w:ascii="Times New Roman" w:eastAsia="Calibri" w:hAnsi="Times New Roman" w:cs="Times New Roman"/>
          <w:sz w:val="24"/>
          <w:szCs w:val="24"/>
          <w:vertAlign w:val="superscript"/>
          <w:lang w:eastAsia="en-US"/>
        </w:rPr>
        <w:t xml:space="preserve"> </w:t>
      </w:r>
    </w:p>
    <w:p w14:paraId="532BC621"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Nel quadro così delineato, emerge con evidenza una marcata asimmetria tra la crescente densità concettuale della sussidiarietà — progressivamente evoluta fino alla sua recente configurazione in termini di sussidiarietà energetica — e la persistente carenza di una definizione giuridicamente rigorosa della transizione quale categoria normativa autonoma.</w:t>
      </w:r>
      <w:r w:rsidRPr="0081729D">
        <w:rPr>
          <w:rFonts w:ascii="Times New Roman" w:eastAsia="Calibri" w:hAnsi="Times New Roman" w:cs="Times New Roman"/>
          <w:sz w:val="24"/>
          <w:szCs w:val="24"/>
          <w:vertAlign w:val="superscript"/>
          <w:lang w:eastAsia="en-US"/>
        </w:rPr>
        <w:t xml:space="preserve"> </w:t>
      </w:r>
      <w:r w:rsidRPr="0081729D">
        <w:rPr>
          <w:rFonts w:ascii="Times New Roman" w:eastAsia="Calibri" w:hAnsi="Times New Roman" w:cs="Times New Roman"/>
          <w:sz w:val="24"/>
          <w:szCs w:val="24"/>
          <w:vertAlign w:val="superscript"/>
          <w:lang w:eastAsia="en-US"/>
        </w:rPr>
        <w:footnoteReference w:id="36"/>
      </w:r>
    </w:p>
    <w:p w14:paraId="515CCB5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Così, mentre la sussidiarietà, attraverso un processo di stratificazione normativa e dottrinale, ha assunto i tratti di un vero principio ordinante dell’azione pubblica e dell’organizzazione amministrativa, la nozione di transizione continua a sfuggire a una sistemazione dogmatica compiuta, rimanendo ancorata a un linguaggio prevalentemente politico e programmatico. Tale scarto evidenzia le difficoltà del diritto nel governare fenomeni complessi e processuali, nei quali il mutamento stesso diviene oggetto di regolazione.</w:t>
      </w:r>
    </w:p>
    <w:p w14:paraId="6FF26D6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Dalla riforma dell’art. 118 Cost. in poi, la sussidiarietà è stata oggetto di un processo di iper-qualificazione funzionale, trasformandosi da clausola di contenimento dell’intervento pubblico a principio di integrazione orizzontale e, nella declinazione energetica, a parametro conformativo dei rapporti tra istituzioni, mercato e cittadinanza attiva. La dottrina ha chiarito come detta evoluzione ne accentui la valenza teleologica,</w:t>
      </w:r>
      <w:r w:rsidRPr="0081729D">
        <w:rPr>
          <w:rFonts w:ascii="Times New Roman" w:eastAsia="Calibri" w:hAnsi="Times New Roman" w:cs="Times New Roman"/>
          <w:sz w:val="24"/>
          <w:szCs w:val="24"/>
          <w:vertAlign w:val="superscript"/>
          <w:lang w:eastAsia="en-US"/>
        </w:rPr>
        <w:footnoteReference w:id="37"/>
      </w:r>
      <w:r w:rsidRPr="0081729D">
        <w:rPr>
          <w:rFonts w:ascii="Times New Roman" w:eastAsia="Calibri" w:hAnsi="Times New Roman" w:cs="Times New Roman"/>
          <w:sz w:val="24"/>
          <w:szCs w:val="24"/>
          <w:lang w:eastAsia="en-US"/>
        </w:rPr>
        <w:t xml:space="preserve"> facendone veicolo di una concezione collaborativa dell’amministrazione e della cura dei beni comuni.</w:t>
      </w:r>
      <w:r w:rsidRPr="0081729D">
        <w:rPr>
          <w:rFonts w:ascii="Times New Roman" w:eastAsia="Calibri" w:hAnsi="Times New Roman" w:cs="Times New Roman"/>
          <w:sz w:val="24"/>
          <w:szCs w:val="24"/>
          <w:vertAlign w:val="superscript"/>
          <w:lang w:eastAsia="en-US"/>
        </w:rPr>
        <w:footnoteReference w:id="38"/>
      </w:r>
    </w:p>
    <w:p w14:paraId="425CC2B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Di contro, la categoria giuridica di “transizione” resta indeterminata: né il diritto dell’Unione né quello interno offrono una definizione unitaria o individuano un regime peculiare, limitandosi a un uso finalistico di locuzioni come “transizione verde”, “digitale”, “ecologica” o “energetica”. L’ambiguità semantica indebolisce la normatività della categoria, rendendola più descrittiva che prescrittiva e lasciando le forme partecipative (come nel caso delle CER) esposte a margini di incertezza che incidono direttamente sulla posizione dei cittadini nei procedimenti decisionali.</w:t>
      </w:r>
    </w:p>
    <w:p w14:paraId="7BA7CC42"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filosofia sistemica del diritto consente di leggere tale tensione come effetto della collisione tra codici comunicativi eterogenei: ogni sistema sociale si riproduce secondo un codice binario, ad esempio, nel diritto, esso è rappresentato dalla distinzione lecito/illecito,</w:t>
      </w:r>
      <w:r w:rsidRPr="0081729D">
        <w:rPr>
          <w:rFonts w:ascii="Times New Roman" w:eastAsia="Calibri" w:hAnsi="Times New Roman" w:cs="Times New Roman"/>
          <w:sz w:val="24"/>
          <w:szCs w:val="24"/>
          <w:vertAlign w:val="superscript"/>
          <w:lang w:eastAsia="en-US"/>
        </w:rPr>
        <w:footnoteReference w:id="39"/>
      </w:r>
      <w:r w:rsidRPr="0081729D">
        <w:rPr>
          <w:rFonts w:ascii="Times New Roman" w:eastAsia="Calibri" w:hAnsi="Times New Roman" w:cs="Times New Roman"/>
          <w:sz w:val="24"/>
          <w:szCs w:val="24"/>
          <w:lang w:eastAsia="en-US"/>
        </w:rPr>
        <w:t xml:space="preserve"> che stabilizza le aspettative normative. L’importazione di categorie concettuali esterne, come la transizione, rischia di compromettere la specificità cognitiva del diritto, generando comunicazioni spurie e semanticamente incerte.</w:t>
      </w:r>
      <w:r w:rsidRPr="0081729D">
        <w:rPr>
          <w:rFonts w:ascii="Times New Roman" w:eastAsia="Calibri" w:hAnsi="Times New Roman" w:cs="Times New Roman"/>
          <w:sz w:val="24"/>
          <w:szCs w:val="24"/>
          <w:vertAlign w:val="superscript"/>
          <w:lang w:eastAsia="en-US"/>
        </w:rPr>
        <w:footnoteReference w:id="40"/>
      </w:r>
    </w:p>
    <w:p w14:paraId="6F540CFD"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Affinché la transizione acquisisca rilievo giuridico effettivo, deve essere </w:t>
      </w:r>
      <w:proofErr w:type="spellStart"/>
      <w:r w:rsidRPr="0081729D">
        <w:rPr>
          <w:rFonts w:ascii="Times New Roman" w:eastAsia="Calibri" w:hAnsi="Times New Roman" w:cs="Times New Roman"/>
          <w:sz w:val="24"/>
          <w:szCs w:val="24"/>
          <w:lang w:eastAsia="en-US"/>
        </w:rPr>
        <w:t>giuridificata</w:t>
      </w:r>
      <w:proofErr w:type="spellEnd"/>
      <w:r w:rsidRPr="0081729D">
        <w:rPr>
          <w:rFonts w:ascii="Times New Roman" w:eastAsia="Calibri" w:hAnsi="Times New Roman" w:cs="Times New Roman"/>
          <w:sz w:val="24"/>
          <w:szCs w:val="24"/>
          <w:lang w:eastAsia="en-US"/>
        </w:rPr>
        <w:t>: definizione di funzioni, individuazione di soggetti responsabili, determinazione di procedure e parametri verificabili di risultato. Sotto questo profilo, il PNRR costituisce un laboratorio paradigmatico, traducendo la transizione in una sequenza di operazioni funzionalizzate al conseguimento di risultati, facendo del risultato il punto di convergenza tra dimensione politico-programmatica e responsabilità giuridica.</w:t>
      </w:r>
      <w:r w:rsidRPr="0081729D">
        <w:rPr>
          <w:rFonts w:ascii="Times New Roman" w:eastAsia="Calibri" w:hAnsi="Times New Roman" w:cs="Times New Roman"/>
          <w:sz w:val="24"/>
          <w:szCs w:val="24"/>
          <w:vertAlign w:val="superscript"/>
          <w:lang w:eastAsia="en-US"/>
        </w:rPr>
        <w:footnoteReference w:id="41"/>
      </w:r>
      <w:r w:rsidRPr="0081729D">
        <w:rPr>
          <w:rFonts w:ascii="Times New Roman" w:eastAsia="Calibri" w:hAnsi="Times New Roman" w:cs="Times New Roman"/>
          <w:sz w:val="24"/>
          <w:szCs w:val="24"/>
          <w:lang w:eastAsia="en-US"/>
        </w:rPr>
        <w:t xml:space="preserve"> La transizione, pertanto, può definirsi </w:t>
      </w:r>
      <w:r w:rsidRPr="0081729D">
        <w:rPr>
          <w:rFonts w:ascii="Times New Roman" w:eastAsia="Calibri" w:hAnsi="Times New Roman" w:cs="Times New Roman"/>
          <w:i/>
          <w:iCs/>
          <w:sz w:val="24"/>
          <w:szCs w:val="24"/>
          <w:lang w:eastAsia="en-US"/>
        </w:rPr>
        <w:t xml:space="preserve">forma della </w:t>
      </w:r>
      <w:r w:rsidRPr="0081729D">
        <w:rPr>
          <w:rFonts w:ascii="Times New Roman" w:eastAsia="Calibri" w:hAnsi="Times New Roman" w:cs="Times New Roman"/>
          <w:i/>
          <w:iCs/>
          <w:sz w:val="24"/>
          <w:szCs w:val="24"/>
          <w:lang w:eastAsia="en-US"/>
        </w:rPr>
        <w:lastRenderedPageBreak/>
        <w:t>funzione</w:t>
      </w:r>
      <w:r w:rsidRPr="0081729D">
        <w:rPr>
          <w:rFonts w:ascii="Times New Roman" w:eastAsia="Calibri" w:hAnsi="Times New Roman" w:cs="Times New Roman"/>
          <w:i/>
          <w:iCs/>
          <w:sz w:val="24"/>
          <w:szCs w:val="24"/>
          <w:vertAlign w:val="superscript"/>
          <w:lang w:eastAsia="en-US"/>
        </w:rPr>
        <w:footnoteReference w:id="42"/>
      </w:r>
      <w:r w:rsidRPr="0081729D">
        <w:rPr>
          <w:rFonts w:ascii="Times New Roman" w:eastAsia="Calibri" w:hAnsi="Times New Roman" w:cs="Times New Roman"/>
          <w:sz w:val="24"/>
          <w:szCs w:val="24"/>
          <w:lang w:eastAsia="en-US"/>
        </w:rPr>
        <w:t xml:space="preserve"> nella misura in cui il diritto è in grado di osservarla, disciplinarla e valutarla sulla base dell’effettività degli esiti perseguiti.</w:t>
      </w:r>
      <w:r w:rsidRPr="0081729D">
        <w:rPr>
          <w:rFonts w:ascii="Times New Roman" w:eastAsia="Calibri" w:hAnsi="Times New Roman" w:cs="Times New Roman"/>
          <w:sz w:val="24"/>
          <w:szCs w:val="24"/>
          <w:vertAlign w:val="superscript"/>
          <w:lang w:eastAsia="en-US"/>
        </w:rPr>
        <w:footnoteReference w:id="43"/>
      </w:r>
    </w:p>
    <w:p w14:paraId="0683406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744B221C" w14:textId="3E468D90" w:rsidR="00AF4341" w:rsidRPr="0081729D" w:rsidRDefault="00AF4341" w:rsidP="002B7A90">
      <w:pPr>
        <w:pStyle w:val="Paragrafoelenco"/>
        <w:numPr>
          <w:ilvl w:val="0"/>
          <w:numId w:val="7"/>
        </w:numPr>
        <w:spacing w:after="160" w:line="360" w:lineRule="auto"/>
        <w:ind w:left="170" w:right="227" w:firstLine="170"/>
        <w:contextualSpacing/>
        <w:jc w:val="both"/>
        <w:rPr>
          <w:rFonts w:ascii="Times New Roman" w:eastAsia="Calibri" w:hAnsi="Times New Roman" w:cs="Times New Roman"/>
          <w:b/>
          <w:bCs/>
          <w:sz w:val="24"/>
          <w:szCs w:val="24"/>
          <w:lang w:eastAsia="en-US"/>
        </w:rPr>
      </w:pPr>
      <w:bookmarkStart w:id="44" w:name="_Hlk222230393"/>
      <w:r w:rsidRPr="0081729D">
        <w:rPr>
          <w:rFonts w:ascii="Times New Roman" w:eastAsia="Calibri" w:hAnsi="Times New Roman" w:cs="Times New Roman"/>
          <w:b/>
          <w:bCs/>
          <w:sz w:val="24"/>
          <w:szCs w:val="24"/>
          <w:lang w:eastAsia="en-US"/>
        </w:rPr>
        <w:t>La transizione energetica, l’economia circolare e la sussidiarietà orizzontale: il cittadino - consumatore–</w:t>
      </w:r>
      <w:r w:rsidRPr="0081729D">
        <w:rPr>
          <w:rFonts w:ascii="Times New Roman" w:eastAsia="Calibri" w:hAnsi="Times New Roman" w:cs="Times New Roman"/>
          <w:b/>
          <w:bCs/>
          <w:i/>
          <w:iCs/>
          <w:sz w:val="24"/>
          <w:szCs w:val="24"/>
          <w:lang w:eastAsia="en-US"/>
        </w:rPr>
        <w:t>prosumer</w:t>
      </w:r>
      <w:r w:rsidRPr="0081729D">
        <w:rPr>
          <w:rFonts w:ascii="Times New Roman" w:eastAsia="Calibri" w:hAnsi="Times New Roman" w:cs="Times New Roman"/>
          <w:b/>
          <w:bCs/>
          <w:sz w:val="24"/>
          <w:szCs w:val="24"/>
          <w:lang w:eastAsia="en-US"/>
        </w:rPr>
        <w:t xml:space="preserve"> come fulcro di un nuovo modello di sostenibilità partecipata.</w:t>
      </w:r>
    </w:p>
    <w:bookmarkEnd w:id="44"/>
    <w:p w14:paraId="016872D4"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Il quadro delineato nei paragrafi precedenti evidenzia come la piena operatività della sussidiarietà energetica dipenda dalla capacità dell’ordinamento di </w:t>
      </w:r>
      <w:proofErr w:type="spellStart"/>
      <w:r w:rsidRPr="0081729D">
        <w:rPr>
          <w:rFonts w:ascii="Times New Roman" w:eastAsia="Calibri" w:hAnsi="Times New Roman" w:cs="Times New Roman"/>
          <w:sz w:val="24"/>
          <w:szCs w:val="24"/>
          <w:lang w:eastAsia="en-US"/>
        </w:rPr>
        <w:t>giuridificare</w:t>
      </w:r>
      <w:proofErr w:type="spellEnd"/>
      <w:r w:rsidRPr="0081729D">
        <w:rPr>
          <w:rFonts w:ascii="Times New Roman" w:eastAsia="Calibri" w:hAnsi="Times New Roman" w:cs="Times New Roman"/>
          <w:sz w:val="24"/>
          <w:szCs w:val="24"/>
          <w:lang w:eastAsia="en-US"/>
        </w:rPr>
        <w:t xml:space="preserve"> la transizione, trasformando una categoria ancora concettualmente fluida in una forma giuridica stabile e verificabile. La definizione chiara di funzioni, soggetti responsabili, procedure e parametri di risultato costituisce, infatti, presupposto indispensabile per tradurre i principi costituzionali in strumenti di governance effettiva e per garantire che la partecipazione civica non resti marginale o meramente consultiva.</w:t>
      </w:r>
    </w:p>
    <w:p w14:paraId="1F09DCCD"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 tale prospettiva, il cittadino non può essere considerato soltanto destinatario passivo delle politiche energetiche o ambientali, ma deve assumere un ruolo attivo e strutturale nella produzione, gestione e controllo dei processi di transizione. La sussidiarietà orizzontale si configura così come criterio regolativo della relazione tra istituzioni, mercato e società civile, traducendo in pratica il principio di corresponsabilizzazione diffusa previsto dall’art. 118 Cost., con particolare riferimento alle sfide poste dalla transizione ecologica ed energetica.</w:t>
      </w:r>
    </w:p>
    <w:p w14:paraId="58685746"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L’articolazione operativa di questa governance trova il suo pieno sviluppo nella convergenza tra transizione energetica, economia circolare e partecipazione attiva dei cittadini: un modello nel quale il cittadino–consumatore–prosumer diventa fulcro di un nuovo equilibrio tra diritti, doveri e responsabilità collettive, trasformando la teoria della sussidiarietà in prassi concreta. La progressiva interrelazione tra transizione energetica ed economia circolare segna una fase evolutiva decisiva nella configurazione del diritto amministrativo contemporaneo e del principio di sussidiarietà orizzontale, oggi cardine della governance multilivello europea. Se la transizione energetica costituisce l’infrastruttura tecnica e materiale del nuovo sviluppo sostenibile, </w:t>
      </w:r>
      <w:r w:rsidRPr="0081729D">
        <w:rPr>
          <w:rFonts w:ascii="Times New Roman" w:eastAsia="Calibri" w:hAnsi="Times New Roman" w:cs="Times New Roman"/>
          <w:sz w:val="24"/>
          <w:szCs w:val="24"/>
          <w:lang w:eastAsia="en-US"/>
        </w:rPr>
        <w:lastRenderedPageBreak/>
        <w:t>l’economia circolare ne fornisce la logica sistemica, la matrice culturale e la componente regolatoria, contribuendo alla definizione di un nuovo equilibrio tra libertà economica, solidarietà e responsabilità collettiva.</w:t>
      </w:r>
    </w:p>
    <w:p w14:paraId="35E9039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Come già evidenziato, entrambe le transizioni trovano fondamento nel principio dello sviluppo sostenibile, oggi radicato al livello costituzionale (art. 9, comma 2, Cost.) e unionale (artt. 3 TUE e 11 TFUE), che impone una rilettura teleologica dell’azione amministrativa. In tale contesto, la sussidiarietà orizzontale si presenta come criterio funzionale di distribuzione della sovranità e di corresponsabilizzazione diffusa nel perseguimento dell’interesse generale. L’autorità pubblica non si limita a regolare o controllare, bensì coordina le iniziative dei soggetti sociali garantendo che la cooperazione tra pubblico e privato diventi condizione costitutiva dell’effettività delle politiche di sostenibilità.</w:t>
      </w:r>
    </w:p>
    <w:p w14:paraId="473C84D6"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mancanza di una qualificazione giuridica uniforme della “transizione” appare ancor più rilevante nel confronto con il modello dell’economia circolare, che pur nella sua dimensione programmatica ha trovato una più chiara formalizzazione giuridica attraverso atti di diritto derivato, regolamenti, strategie e piani europei. La nozione di transizione – sia essa ecologica, energetica o digitale – resta concetto aperto, privo di un regime giuridico definito e di parametri di effettività verificabili, mentre l’economia circolare ha progressivamente acquisito un proprio linguaggio giuridico, capace di integrare discipline differenti, dal diritto ambientale a quello dei consumatori.</w:t>
      </w:r>
      <w:r w:rsidRPr="0081729D">
        <w:rPr>
          <w:rFonts w:ascii="Times New Roman" w:eastAsia="Calibri" w:hAnsi="Times New Roman" w:cs="Times New Roman"/>
          <w:sz w:val="24"/>
          <w:szCs w:val="24"/>
          <w:vertAlign w:val="superscript"/>
          <w:lang w:eastAsia="en-US"/>
        </w:rPr>
        <w:footnoteReference w:id="44"/>
      </w:r>
      <w:r w:rsidRPr="0081729D">
        <w:rPr>
          <w:rFonts w:ascii="Times New Roman" w:eastAsia="Calibri" w:hAnsi="Times New Roman" w:cs="Times New Roman"/>
          <w:sz w:val="24"/>
          <w:szCs w:val="24"/>
          <w:lang w:eastAsia="en-US"/>
        </w:rPr>
        <w:t xml:space="preserve"> Questa dissonanza semantica sottolinea la necessità di una ricomposizione sistematica attraverso la definizione di una “forma giuridica della transizione”, in grado di garantire coerenza normativa e consentire al principio di sussidiarietà di svolgere pienamente la sua funzione.</w:t>
      </w:r>
      <w:r w:rsidRPr="0081729D">
        <w:rPr>
          <w:rFonts w:ascii="Times New Roman" w:eastAsia="Calibri" w:hAnsi="Times New Roman" w:cs="Times New Roman"/>
          <w:sz w:val="24"/>
          <w:szCs w:val="24"/>
          <w:vertAlign w:val="superscript"/>
          <w:lang w:eastAsia="en-US"/>
        </w:rPr>
        <w:footnoteReference w:id="45"/>
      </w:r>
    </w:p>
    <w:p w14:paraId="77C0E7A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Proprio la centralità attribuita al cittadino–consumatore–prosumer risponde all’esigenza di colmare tale lacuna concettuale, traducendo in termini operativi la tensione tra produzione normativa e governance diffusa. Il cittadino non è più mero destinatario delle politiche pubbliche, ma soggetto che ne favorisce l’orientamento, protagonista di un modello di “amministrazione condivisa dell’energia e delle risorse”. Attraverso la responsabilizzazione giuridica del consumatore e la valorizzazione dei comportamenti virtuosi – riciclo, risparmio, condivisione, autoproduzione – si realizza una nuova forma di cittadinanza energetico-circolare, nella quale i diritti economici e sociali si accompagnano a doveri di cooperazione e di cura dell’ambiente.</w:t>
      </w:r>
      <w:r w:rsidRPr="0081729D">
        <w:rPr>
          <w:rFonts w:ascii="Times New Roman" w:eastAsia="Calibri" w:hAnsi="Times New Roman" w:cs="Times New Roman"/>
          <w:sz w:val="24"/>
          <w:szCs w:val="24"/>
          <w:vertAlign w:val="superscript"/>
          <w:lang w:eastAsia="en-US"/>
        </w:rPr>
        <w:footnoteReference w:id="46"/>
      </w:r>
    </w:p>
    <w:p w14:paraId="3E849AD5"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 questo quadro, la tutela del consumatore muta radicalmente: il tradizionale approccio protettivo, ispirato al principio di debolezza ed asimmetria contrattuale,</w:t>
      </w:r>
      <w:r w:rsidRPr="0081729D">
        <w:rPr>
          <w:rFonts w:ascii="Times New Roman" w:eastAsia="Calibri" w:hAnsi="Times New Roman" w:cs="Times New Roman"/>
          <w:sz w:val="24"/>
          <w:szCs w:val="24"/>
          <w:vertAlign w:val="superscript"/>
          <w:lang w:eastAsia="en-US"/>
        </w:rPr>
        <w:footnoteReference w:id="47"/>
      </w:r>
      <w:r w:rsidRPr="0081729D">
        <w:rPr>
          <w:rFonts w:ascii="Times New Roman" w:eastAsia="Calibri" w:hAnsi="Times New Roman" w:cs="Times New Roman"/>
          <w:sz w:val="24"/>
          <w:szCs w:val="24"/>
          <w:lang w:eastAsia="en-US"/>
        </w:rPr>
        <w:t xml:space="preserve"> viene progressivamente sostituito da una prospettiva di “responsabilizzazione attiva”, che riconosce al cittadino poteri decisionali e doveri di partecipazione nei processi di sostenibilità. La figura del prosumer, che produce e consuma energia, rappresenta la manifestazione più compiuta di questo passaggio, realizzando un nuovo equilibrio tra autonomia privata e interesse pubblico, tra mercato e comunità.</w:t>
      </w:r>
      <w:r w:rsidRPr="0081729D">
        <w:rPr>
          <w:rFonts w:ascii="Times New Roman" w:eastAsia="Calibri" w:hAnsi="Times New Roman" w:cs="Times New Roman"/>
          <w:sz w:val="24"/>
          <w:szCs w:val="24"/>
          <w:vertAlign w:val="superscript"/>
          <w:lang w:eastAsia="en-US"/>
        </w:rPr>
        <w:footnoteReference w:id="48"/>
      </w:r>
    </w:p>
    <w:p w14:paraId="0034C635"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Il parallelismo tra economia circolare e transizione energetica si riverbera anche sul piano della finanza sostenibile, dove il cittadino investitore diviene co-attore della transizione. Strumenti come la tassonomia</w:t>
      </w:r>
      <w:r w:rsidRPr="0081729D">
        <w:rPr>
          <w:rFonts w:ascii="Times New Roman" w:eastAsia="Calibri" w:hAnsi="Times New Roman" w:cs="Times New Roman"/>
          <w:sz w:val="24"/>
          <w:szCs w:val="24"/>
          <w:vertAlign w:val="superscript"/>
          <w:lang w:eastAsia="en-US"/>
        </w:rPr>
        <w:footnoteReference w:id="49"/>
      </w:r>
      <w:r w:rsidRPr="0081729D">
        <w:rPr>
          <w:rFonts w:ascii="Times New Roman" w:eastAsia="Calibri" w:hAnsi="Times New Roman" w:cs="Times New Roman"/>
          <w:sz w:val="24"/>
          <w:szCs w:val="24"/>
          <w:lang w:eastAsia="en-US"/>
        </w:rPr>
        <w:t xml:space="preserve"> delle attività ecosostenibili e la disclosure sugli investimenti responsabili </w:t>
      </w:r>
      <w:r w:rsidRPr="0081729D">
        <w:rPr>
          <w:rFonts w:ascii="Times New Roman" w:eastAsia="Calibri" w:hAnsi="Times New Roman" w:cs="Times New Roman"/>
          <w:sz w:val="24"/>
          <w:szCs w:val="24"/>
          <w:lang w:eastAsia="en-US"/>
        </w:rPr>
        <w:lastRenderedPageBreak/>
        <w:t>(Regolamenti UE 2019/2088 e 2020/852) rafforzano l’intervento dei soggetti privati, creando un legame tra responsabilità economica, sostenibilità ambientale e giustizia intergenerazionale.</w:t>
      </w:r>
      <w:r w:rsidRPr="0081729D">
        <w:rPr>
          <w:rFonts w:ascii="Times New Roman" w:eastAsia="Calibri" w:hAnsi="Times New Roman" w:cs="Times New Roman"/>
          <w:sz w:val="24"/>
          <w:szCs w:val="24"/>
          <w:vertAlign w:val="superscript"/>
          <w:lang w:eastAsia="en-US"/>
        </w:rPr>
        <w:footnoteReference w:id="50"/>
      </w:r>
    </w:p>
    <w:p w14:paraId="03A4972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Tuttavia, la piena operatività della sussidiarietà orizzontale richiede un adeguato apparato di garanzie e accountability. La mancanza di una definizione giuridica univoca della transizione può generare asimmetrie tra principi e strumenti applicativi, compromettendo la legittimità delle politiche green. Occorre quindi dotare la transizione di un regime giuridico tipizzato, in cui i meccanismi di partecipazione civica siano riconosciuti, contabilizzati e valutati come contributo effettivo all’interesse generale.</w:t>
      </w:r>
    </w:p>
    <w:p w14:paraId="5C4779FA"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La centralità del cittadino–prosumer apre la strada alla considerazione della dimensione sociale dell’energia e alla tutela delle disuguaglianze energetiche, ponendo le basi concettuali per il principio emergente di cittadinanza energetica, inteso come estensione dei diritti e dei doveri individuali alla dimensione collettiva della sostenibilità. Da questo punto di vista, transizione energetica, economia circolare e sussidiarietà orizzontale non costituiscono solo un cambiamento tecnico o programmatico, ma prefigurano un diritto pubblico delle transizioni che sia sociale, equo e inclusivo, concetto sviluppato nel prosieguo della ricerca.</w:t>
      </w:r>
    </w:p>
    <w:p w14:paraId="3D1F469F"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73E50A70" w14:textId="26BFD35C" w:rsidR="00AF4341" w:rsidRPr="0081729D" w:rsidRDefault="00240FA1" w:rsidP="002B7A90">
      <w:pPr>
        <w:pStyle w:val="Paragrafoelenco"/>
        <w:numPr>
          <w:ilvl w:val="1"/>
          <w:numId w:val="7"/>
        </w:numPr>
        <w:spacing w:after="160" w:line="360" w:lineRule="auto"/>
        <w:ind w:left="170" w:right="227" w:firstLine="170"/>
        <w:contextualSpacing/>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r w:rsidR="00AF4341" w:rsidRPr="0081729D">
        <w:rPr>
          <w:rFonts w:ascii="Times New Roman" w:eastAsia="Calibri" w:hAnsi="Times New Roman" w:cs="Times New Roman"/>
          <w:b/>
          <w:bCs/>
          <w:sz w:val="24"/>
          <w:szCs w:val="24"/>
          <w:lang w:eastAsia="en-US"/>
        </w:rPr>
        <w:t>La dimensione sociale dell’energia ed il principio di “cittadinanza energetica” come nuova frontiera del diritto pubblico.</w:t>
      </w:r>
    </w:p>
    <w:p w14:paraId="34CE723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Al centro dell’analisi si pone la dimensione sociale dell’energia e l’affermazione del principio di “cittadinanza energetica”, inteso come superamento del consumatore passivo e attribuzione ai cittadini di diritti e doveri funzionali a una transizione giusta e sostenibile. Questo principio si colloca in coerenza con i valori della giustizia energetica, che evidenzia come la povertà energetica costituisca una forma complessa di diseguaglianza, radicata in reddito, prezzi dell’energia, inefficienza degli edifici e limitata capacità di investimento, aggravata da deficit di giustizia procedurale e di riconoscimento.</w:t>
      </w:r>
    </w:p>
    <w:p w14:paraId="6F0131E6"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cittadinanza energetica va declinata come processo di empowerment, accrescendo la capacità di azione dei cittadini vulnerabili, attraverso una traiettoria progressiva: dalla mera partecipazione passiva come utenti del servizio energetico, all’integrazione delle esigenze sociali </w:t>
      </w:r>
      <w:r w:rsidRPr="0081729D">
        <w:rPr>
          <w:rFonts w:ascii="Times New Roman" w:eastAsia="Calibri" w:hAnsi="Times New Roman" w:cs="Times New Roman"/>
          <w:sz w:val="24"/>
          <w:szCs w:val="24"/>
          <w:lang w:eastAsia="en-US"/>
        </w:rPr>
        <w:lastRenderedPageBreak/>
        <w:t>nel sistema mediante strumenti di consulenza, informazione e sostegno mirato, fino alla trasformazione degli equilibri strutturali tramite forme di partecipazione attiva, tra cui autoproduzione, autoconsumo da fonti rinnovabili e collettivi di prosumer. Questa evoluzione trova riconoscimento normativo nelle Direttive UE 2018/2001 e 2019/944, che introducono figure soggettive nuove e spazi di partecipazione collettiva, combinando istanze neoliberali e collettiviste.</w:t>
      </w:r>
    </w:p>
    <w:p w14:paraId="1BE4370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Sotto il profilo teorico, la cittadinanza energetica si colloca all’intersezione tra la concezione liberale, centrata sui diritti soggettivi, e quella repubblicana, che valorizza il ruolo attivo dell’individuo nella comunità politica, configurandosi come insieme di diritti e doveri in materia energetica e richiedendo l’impegno collettivo verso la sostenibilità ambientale secondo una logica multilivello, analoga alla cittadinanza europea. La semplice partecipazione non garantisce automaticamente equità; è necessario verificare concretamente gli effetti distributivi, procedurali e cosmopoliti delle politiche energetiche.</w:t>
      </w:r>
    </w:p>
    <w:p w14:paraId="1D208FD1"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 tale prospettiva si colloca la democrazia energetica, distinta ma speculare rispetto alla cittadinanza energetica, orientata non solo alla responsabilizzazione individuale ma all’istituzionalizzazione di forme collettive di governance delle infrastrutture e alla ridefinizione dei rapporti di potere. Il diritto amministrativo assume così una funzione promozionale e conformativa, volta a rimuovere ostacoli finanziari, giuridici e informativi che limitano l’inclusione dei soggetti vulnerabili e a sostenere strumenti innovativi – consulenze personalizzate, intermediari di fiducia, living lab, meccanismi di finanziamento e semplificazioni procedurali – capaci di trasformare i poveri energetici da destinatari passivi a cittadini attivi, garantendo efficienza, sostenibilità ambientale, equità e coesione sociale.</w:t>
      </w:r>
      <w:bookmarkStart w:id="47" w:name="_Hlk222230363"/>
    </w:p>
    <w:p w14:paraId="053A1135"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1FB2CE49" w14:textId="4025581E" w:rsidR="00AF4341" w:rsidRPr="0081729D" w:rsidRDefault="00AF4341" w:rsidP="002B7A90">
      <w:pPr>
        <w:pStyle w:val="Paragrafoelenco"/>
        <w:numPr>
          <w:ilvl w:val="0"/>
          <w:numId w:val="7"/>
        </w:num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b/>
          <w:bCs/>
          <w:sz w:val="24"/>
          <w:szCs w:val="24"/>
          <w:lang w:eastAsia="en-US"/>
        </w:rPr>
        <w:t xml:space="preserve">Tra accelerazione europea e incompletezza sistemica della transizione. Il ruolo dell’art. 9 Cost. come parametro di riequilibrio tra sussidiarietà, ambiente e cittadinanza attiva. </w:t>
      </w:r>
      <w:bookmarkEnd w:id="47"/>
    </w:p>
    <w:p w14:paraId="29A08A8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Alla luce dell’analisi condotta nei paragrafi precedenti, è evidente come l’Unione europea abbia impresso un’accelerazione significativa al processo di integrazione delle politiche ambientali ed energetiche, con particolare riferimento alla transizione ecologica, all’economia circolare e alla promozione di una cittadinanza energetica attiva. Gli strumenti normativi introdotti a livello unionale testimoniano la volontà di costruire un modello di sviluppo sostenibile, fondato sull’efficienza ambientale, sulla partecipazione civica e sulla responsabilità intergenerazionale.</w:t>
      </w:r>
    </w:p>
    <w:p w14:paraId="0EF040BB"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lastRenderedPageBreak/>
        <w:t xml:space="preserve">Tuttavia, la piena operatività di tali politiche incontra limiti strutturali: il concetto di transizione – sia essa, ecologica, energetica o digitale – conserva una natura flessibile e polivalente, ricca di valenze politiche, ma priva di un inquadramento normativo unitario. </w:t>
      </w:r>
    </w:p>
    <w:p w14:paraId="31F002ED"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Parallelamente, l’economia circolare, pur contando su una regolazione più consolidata, soffre di frammentazione normativa e di eterogeneità delle fonti, spesso rappresentate da strumenti di </w:t>
      </w:r>
      <w:r w:rsidRPr="0081729D">
        <w:rPr>
          <w:rFonts w:ascii="Times New Roman" w:eastAsia="Calibri" w:hAnsi="Times New Roman" w:cs="Times New Roman"/>
          <w:i/>
          <w:iCs/>
          <w:sz w:val="24"/>
          <w:szCs w:val="24"/>
          <w:lang w:eastAsia="en-US"/>
        </w:rPr>
        <w:t xml:space="preserve">soft </w:t>
      </w:r>
      <w:proofErr w:type="spellStart"/>
      <w:r w:rsidRPr="0081729D">
        <w:rPr>
          <w:rFonts w:ascii="Times New Roman" w:eastAsia="Calibri" w:hAnsi="Times New Roman" w:cs="Times New Roman"/>
          <w:i/>
          <w:iCs/>
          <w:sz w:val="24"/>
          <w:szCs w:val="24"/>
          <w:lang w:eastAsia="en-US"/>
        </w:rPr>
        <w:t>law</w:t>
      </w:r>
      <w:proofErr w:type="spellEnd"/>
      <w:r w:rsidRPr="0081729D">
        <w:rPr>
          <w:rFonts w:ascii="Times New Roman" w:eastAsia="Calibri" w:hAnsi="Times New Roman" w:cs="Times New Roman"/>
          <w:sz w:val="24"/>
          <w:szCs w:val="24"/>
          <w:lang w:eastAsia="en-US"/>
        </w:rPr>
        <w:t xml:space="preserve"> o piani programmatici con limitata efficacia vincolante.</w:t>
      </w:r>
      <w:r w:rsidRPr="0081729D">
        <w:rPr>
          <w:rFonts w:ascii="Times New Roman" w:eastAsia="Calibri" w:hAnsi="Times New Roman" w:cs="Times New Roman"/>
          <w:sz w:val="24"/>
          <w:szCs w:val="24"/>
          <w:vertAlign w:val="superscript"/>
          <w:lang w:eastAsia="en-US"/>
        </w:rPr>
        <w:footnoteReference w:id="51"/>
      </w:r>
      <w:r w:rsidRPr="0081729D">
        <w:rPr>
          <w:rFonts w:ascii="Times New Roman" w:eastAsia="Calibri" w:hAnsi="Times New Roman" w:cs="Times New Roman"/>
          <w:sz w:val="24"/>
          <w:szCs w:val="24"/>
          <w:lang w:eastAsia="en-US"/>
        </w:rPr>
        <w:t xml:space="preserve"> In tale contesto, il principio di sussidiarietà orizzontale assume rilievo cardine quale criterio di cooperazione tra pubblico e privato, ma la sua concreta efficacia resta subordinata alla capacità attuativa dei diversi ordinamenti, risultando esposta a squilibri tra livelli istituzionali e complessità operative.</w:t>
      </w:r>
    </w:p>
    <w:p w14:paraId="5FAD1264"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La figura del cittadino–consumatore–prosumer, sviluppata nei paragrafi precedenti, rappresenta l’elemento cruciale per la realizzazione di una governance multilivello: essa incarna la partecipazione attiva, la responsabilità sociale e l’integrazione tra diritti individuali e doveri collettivi, costituendo il fulcro della cittadinanza energetica e della democrazia partecipativa. </w:t>
      </w:r>
    </w:p>
    <w:p w14:paraId="0DA76D6F"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In questo contesto, lo studio sulle Comunità Energetiche Rinnovabili (CER) diviene esempio emblematico della concreta applicazione dei principi europei e nazionali </w:t>
      </w:r>
      <w:proofErr w:type="spellStart"/>
      <w:r w:rsidRPr="0081729D">
        <w:rPr>
          <w:rFonts w:ascii="Times New Roman" w:eastAsia="Calibri" w:hAnsi="Times New Roman" w:cs="Times New Roman"/>
          <w:sz w:val="24"/>
          <w:szCs w:val="24"/>
          <w:lang w:eastAsia="en-US"/>
        </w:rPr>
        <w:t>nonchè</w:t>
      </w:r>
      <w:proofErr w:type="spellEnd"/>
      <w:r w:rsidRPr="0081729D">
        <w:rPr>
          <w:rFonts w:ascii="Times New Roman" w:eastAsia="Calibri" w:hAnsi="Times New Roman" w:cs="Times New Roman"/>
          <w:sz w:val="24"/>
          <w:szCs w:val="24"/>
          <w:lang w:eastAsia="en-US"/>
        </w:rPr>
        <w:t xml:space="preserve"> dei correlati mutamenti delle tradizionali categorie giuridiche ed economiche. La loro costituzione infatti coinvolge rilevanti profili di diritto privato – dalla scelta della forma giuridica alla gestione contrattuale e all’accesso agli incentivi – mentre il loro funzionamento richiede la piena operatività della sussidiarietà verticale, garantendo cooperazione tra amministrazioni locali, Stato e UE. </w:t>
      </w:r>
    </w:p>
    <w:p w14:paraId="6B1DEC66"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Le criticità che tuttavia si profilano sul piano applicativo per la compiuta realizzazione del piano UE in materia di CER potrebbero trovare una possibile soluzione anche attraverso un più incisivo ricorso ai principi costituzionali interni, e in particolare all’art. 9 della Costituzione, quale parametro di riferimento centrale, idoneo a orientare l’interpretazione e l’attuazione delle politiche pubbliche in materia di transizione energetica e sostenibilità ambientale.</w:t>
      </w:r>
    </w:p>
    <w:p w14:paraId="7603044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A seguito della riforma costituzionale del 2022,</w:t>
      </w:r>
      <w:r w:rsidRPr="0081729D">
        <w:rPr>
          <w:rFonts w:ascii="Times New Roman" w:eastAsia="Calibri" w:hAnsi="Times New Roman" w:cs="Times New Roman"/>
          <w:sz w:val="24"/>
          <w:szCs w:val="24"/>
          <w:vertAlign w:val="superscript"/>
          <w:lang w:eastAsia="en-US"/>
        </w:rPr>
        <w:footnoteReference w:id="52"/>
      </w:r>
      <w:r w:rsidRPr="0081729D">
        <w:rPr>
          <w:rFonts w:ascii="Times New Roman" w:eastAsia="Calibri" w:hAnsi="Times New Roman" w:cs="Times New Roman"/>
          <w:sz w:val="24"/>
          <w:szCs w:val="24"/>
          <w:lang w:eastAsia="en-US"/>
        </w:rPr>
        <w:t xml:space="preserve"> che ha elevato la tutela dell’ambiente, della biodiversità e degli ecosistemi a principio fondamentale dell’ordinamento, l’art. 9 Cost. esprime infatti un vincolo giuridico rafforzato per il legislatore e per l’amministrazione pubblica. La </w:t>
      </w:r>
      <w:r w:rsidRPr="0081729D">
        <w:rPr>
          <w:rFonts w:ascii="Times New Roman" w:eastAsia="Calibri" w:hAnsi="Times New Roman" w:cs="Times New Roman"/>
          <w:sz w:val="24"/>
          <w:szCs w:val="24"/>
          <w:lang w:eastAsia="en-US"/>
        </w:rPr>
        <w:lastRenderedPageBreak/>
        <w:t>previsione secondo cui tali beni devono essere tutelati “</w:t>
      </w:r>
      <w:r w:rsidRPr="0081729D">
        <w:rPr>
          <w:rFonts w:ascii="Times New Roman" w:eastAsia="Calibri" w:hAnsi="Times New Roman" w:cs="Times New Roman"/>
          <w:i/>
          <w:iCs/>
          <w:sz w:val="24"/>
          <w:szCs w:val="24"/>
          <w:lang w:eastAsia="en-US"/>
        </w:rPr>
        <w:t>anche nell’interesse delle generazioni future</w:t>
      </w:r>
      <w:r w:rsidRPr="0081729D">
        <w:rPr>
          <w:rFonts w:ascii="Times New Roman" w:eastAsia="Calibri" w:hAnsi="Times New Roman" w:cs="Times New Roman"/>
          <w:sz w:val="24"/>
          <w:szCs w:val="24"/>
          <w:lang w:eastAsia="en-US"/>
        </w:rPr>
        <w:t>” introduce una dimensione intergenerazionale della protezione ambientale, che impone alle istituzioni pubbliche di orientare le proprie scelte normative e amministrative verso modelli di sviluppo sostenibile e di gestione responsabile delle risorse naturali.</w:t>
      </w:r>
      <w:r w:rsidRPr="0081729D">
        <w:rPr>
          <w:rFonts w:ascii="Times New Roman" w:eastAsia="Calibri" w:hAnsi="Times New Roman" w:cs="Times New Roman"/>
          <w:sz w:val="24"/>
          <w:szCs w:val="24"/>
          <w:vertAlign w:val="superscript"/>
          <w:lang w:eastAsia="en-US"/>
        </w:rPr>
        <w:footnoteReference w:id="53"/>
      </w:r>
    </w:p>
    <w:p w14:paraId="6CC8287A"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roofErr w:type="spellStart"/>
      <w:r w:rsidRPr="0081729D">
        <w:rPr>
          <w:rFonts w:ascii="Times New Roman" w:eastAsia="Calibri" w:hAnsi="Times New Roman" w:cs="Times New Roman"/>
          <w:sz w:val="24"/>
          <w:szCs w:val="24"/>
          <w:lang w:eastAsia="en-US"/>
        </w:rPr>
        <w:t>Sicchè</w:t>
      </w:r>
      <w:proofErr w:type="spellEnd"/>
      <w:r w:rsidRPr="0081729D">
        <w:rPr>
          <w:rFonts w:ascii="Times New Roman" w:eastAsia="Calibri" w:hAnsi="Times New Roman" w:cs="Times New Roman"/>
          <w:sz w:val="24"/>
          <w:szCs w:val="24"/>
          <w:lang w:eastAsia="en-US"/>
        </w:rPr>
        <w:t xml:space="preserve"> la norma costituzionale è destinata a svolgere una funzione di criterio di bilanciamento tra diversi principi e interessi coinvolti nel processo di diffusione delle comunità energetiche: da un lato, la promozione della sussidiarietà e della partecipazione dei cittadini alla produzione e alla gestione dell’energia; dall’altro, la necessità di garantire elevati livelli di tutela ambientale e di assicurare la coerenza delle politiche energetiche con gli obiettivi della transizione ecologica. </w:t>
      </w:r>
    </w:p>
    <w:p w14:paraId="55C5C6EE"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In tale prospettiva, l’art. 9 Cost. può contribuire a colmare eventuali lacune o incertezze applicative della disciplina europea e nazionale sulle CER, offrendo un ulteriore criterio di orientamento nel perseguimento di un equilibrio dei diversi interessi coinvolti. </w:t>
      </w:r>
    </w:p>
    <w:p w14:paraId="1F6D86FC"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In particolare dal punto di vista della governance multilivello, la norma, consente di armonizzare sussidiarietà orizzontale e verticale, offrendo alle istituzioni nazionali e locali un quadro di riferimento per conciliare la distribuzione delle competenze tra amministrazioni centrali, enti territoriali e soggetti privati, in particolare cittadini–prosumer e CER. Il principio costituzionale funge quindi da strumento</w:t>
      </w:r>
      <w:r w:rsidRPr="0081729D">
        <w:rPr>
          <w:rFonts w:ascii="Times New Roman" w:eastAsia="Calibri" w:hAnsi="Times New Roman" w:cs="Times New Roman"/>
          <w:b/>
          <w:bCs/>
          <w:sz w:val="24"/>
          <w:szCs w:val="24"/>
          <w:lang w:eastAsia="en-US"/>
        </w:rPr>
        <w:t xml:space="preserve"> </w:t>
      </w:r>
      <w:r w:rsidRPr="0081729D">
        <w:rPr>
          <w:rFonts w:ascii="Times New Roman" w:eastAsia="Calibri" w:hAnsi="Times New Roman" w:cs="Times New Roman"/>
          <w:sz w:val="24"/>
          <w:szCs w:val="24"/>
          <w:lang w:eastAsia="en-US"/>
        </w:rPr>
        <w:t>di coordinamento tra livelli decisionali, riducendo la frammentazione normativa e valorizzando l’interazione tra pianificazione europea, politiche nazionali e iniziative locali.</w:t>
      </w:r>
    </w:p>
    <w:p w14:paraId="47E021F3"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Contemporaneamente, l’art. 9 Cost. promuove la cittadinanza attiva, riconoscendo e valorizzando il ruolo dei cittadini e dei </w:t>
      </w:r>
      <w:proofErr w:type="spellStart"/>
      <w:r w:rsidRPr="0081729D">
        <w:rPr>
          <w:rFonts w:ascii="Times New Roman" w:eastAsia="Calibri" w:hAnsi="Times New Roman" w:cs="Times New Roman"/>
          <w:sz w:val="24"/>
          <w:szCs w:val="24"/>
          <w:lang w:eastAsia="en-US"/>
        </w:rPr>
        <w:t>prosumers</w:t>
      </w:r>
      <w:proofErr w:type="spellEnd"/>
      <w:r w:rsidRPr="0081729D">
        <w:rPr>
          <w:rFonts w:ascii="Times New Roman" w:eastAsia="Calibri" w:hAnsi="Times New Roman" w:cs="Times New Roman"/>
          <w:sz w:val="24"/>
          <w:szCs w:val="24"/>
          <w:lang w:eastAsia="en-US"/>
        </w:rPr>
        <w:t xml:space="preserve"> non come destinatari passivi di politiche pubbliche, ma come attori responsabili capaci di incidere concretamente sulla pianificazione e gestione delle risorse energetiche. In tal senso, la norma costituzionale non solo sostiene la legittimazione delle CER, ma trasforma i cittadini in soggetti titolari di diritti e doveri funzionali a una transizione giusta e sostenibile, favorendo inclusione e distribuzione equa dei benefici derivanti dall’autoproduzione e autoconsumo di energia rinnovabile.</w:t>
      </w:r>
    </w:p>
    <w:p w14:paraId="7C834E27"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 xml:space="preserve">L’interazione tra art. 9 e art. 118 Cost. fornisce, dunque, un parametro interpretativo e operativo decisivo per il futuro sviluppo normativo: la combinazione dei principi di tutela ambientale, sussidiarietà e cittadinanza attiva può costituire la base per interventi legislativi volti a superare </w:t>
      </w:r>
      <w:r w:rsidRPr="0081729D">
        <w:rPr>
          <w:rFonts w:ascii="Times New Roman" w:eastAsia="Calibri" w:hAnsi="Times New Roman" w:cs="Times New Roman"/>
          <w:sz w:val="24"/>
          <w:szCs w:val="24"/>
          <w:lang w:eastAsia="en-US"/>
        </w:rPr>
        <w:lastRenderedPageBreak/>
        <w:t>le criticità delle CER, armonizzare i livelli decisionali, rendere effettivi gli incentivi e rafforzare il ruolo dei cittadini–prosumer come attori integrati della transizione energetica e circolare.</w:t>
      </w:r>
    </w:p>
    <w:p w14:paraId="545A1711"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Il parametro costituzionale delineato dall’art. 9 si configura quindi come principio guida trasversale, capace di rilegittimare i meccanismi partecipativi e di orientare la transizione verso un modello integrato, equo e sostenibile, nel quale l’azione pubblica e la responsabilità dei cittadini si intrecciano in una logica multilivello realmente operativa. La combinazione di questi principi consente di rafforzare la coerenza tra interventi settoriali, europei e nazionali e di valorizzare i cittadini–prosumer come soggetti attivi, titolari di diritti e doveri funzionali al raggiungimento di obiettivi di giustizia sociale e ambientale.</w:t>
      </w:r>
    </w:p>
    <w:p w14:paraId="1F33CC68" w14:textId="77777777"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r w:rsidRPr="0081729D">
        <w:rPr>
          <w:rFonts w:ascii="Times New Roman" w:eastAsia="Calibri" w:hAnsi="Times New Roman" w:cs="Times New Roman"/>
          <w:sz w:val="24"/>
          <w:szCs w:val="24"/>
          <w:lang w:eastAsia="en-US"/>
        </w:rPr>
        <w:t>Nel prosieguo avremo modo di indagare i diversi aspetti che riguardano le Comunità Energetiche e lo stato dell’arte, con particolare riferimento ai profili di diritto privato per la loro costituzione, alla sussidiarietà verticale nei rapporti tra amministrazioni e al ruolo dei cittadini/</w:t>
      </w:r>
      <w:proofErr w:type="spellStart"/>
      <w:r w:rsidRPr="0081729D">
        <w:rPr>
          <w:rFonts w:ascii="Times New Roman" w:eastAsia="Calibri" w:hAnsi="Times New Roman" w:cs="Times New Roman"/>
          <w:sz w:val="24"/>
          <w:szCs w:val="24"/>
          <w:lang w:eastAsia="en-US"/>
        </w:rPr>
        <w:t>prosumers</w:t>
      </w:r>
      <w:proofErr w:type="spellEnd"/>
      <w:r w:rsidRPr="0081729D">
        <w:rPr>
          <w:rFonts w:ascii="Times New Roman" w:eastAsia="Calibri" w:hAnsi="Times New Roman" w:cs="Times New Roman"/>
          <w:sz w:val="24"/>
          <w:szCs w:val="24"/>
          <w:lang w:eastAsia="en-US"/>
        </w:rPr>
        <w:t xml:space="preserve"> nel riconoscimento degli incentivi e nella gestione partecipata del sistema energetico.</w:t>
      </w:r>
    </w:p>
    <w:p w14:paraId="21357478" w14:textId="5CEF0E52"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5A0540E5" w14:textId="16977A9E"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4C47C8AE" w14:textId="78EA8769"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5859BCEE" w14:textId="05B1E4FC"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14AA47F4" w14:textId="79FCC0CA" w:rsidR="00AF4341" w:rsidRPr="0081729D" w:rsidRDefault="00AF4341"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707CF699" w14:textId="050D371C" w:rsidR="00826B59" w:rsidRPr="0081729D" w:rsidRDefault="00826B59"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6707D375" w14:textId="324828BD" w:rsidR="00826B59" w:rsidRPr="0081729D" w:rsidRDefault="00826B59"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154FB075" w14:textId="2D312B28" w:rsidR="00826B59" w:rsidRPr="0081729D" w:rsidRDefault="00826B59" w:rsidP="0081729D">
      <w:pPr>
        <w:spacing w:after="160" w:line="360" w:lineRule="auto"/>
        <w:ind w:left="170" w:right="227" w:firstLine="170"/>
        <w:contextualSpacing/>
        <w:jc w:val="both"/>
        <w:rPr>
          <w:rFonts w:ascii="Times New Roman" w:eastAsia="Calibri" w:hAnsi="Times New Roman" w:cs="Times New Roman"/>
          <w:sz w:val="24"/>
          <w:szCs w:val="24"/>
          <w:lang w:eastAsia="en-US"/>
        </w:rPr>
      </w:pPr>
    </w:p>
    <w:p w14:paraId="229ACA52" w14:textId="27505E5E"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514106ED" w14:textId="46B39694"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72A4757E" w14:textId="2A3C58CA"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6826F427" w14:textId="397173E7"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507848CC" w14:textId="318D98D2"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7E10288A" w14:textId="77777777" w:rsidR="00752CFE" w:rsidRPr="004F02EB" w:rsidRDefault="00752CFE" w:rsidP="005E42A2">
      <w:pPr>
        <w:spacing w:after="160" w:line="360" w:lineRule="auto"/>
        <w:contextualSpacing/>
        <w:jc w:val="both"/>
        <w:rPr>
          <w:rFonts w:ascii="Times New Roman" w:eastAsia="Calibri" w:hAnsi="Times New Roman" w:cs="Times New Roman"/>
          <w:sz w:val="24"/>
          <w:szCs w:val="24"/>
          <w:lang w:eastAsia="en-US"/>
        </w:rPr>
      </w:pPr>
    </w:p>
    <w:p w14:paraId="5773613C" w14:textId="0066243A"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698867FC" w14:textId="77777777" w:rsidR="005E42A2" w:rsidRPr="004F02EB" w:rsidRDefault="005E42A2" w:rsidP="005E42A2">
      <w:pPr>
        <w:spacing w:after="160" w:line="360" w:lineRule="auto"/>
        <w:contextualSpacing/>
        <w:jc w:val="both"/>
        <w:rPr>
          <w:rFonts w:ascii="Times New Roman" w:eastAsia="Calibri" w:hAnsi="Times New Roman" w:cs="Times New Roman"/>
          <w:sz w:val="24"/>
          <w:szCs w:val="24"/>
          <w:lang w:eastAsia="en-US"/>
        </w:rPr>
      </w:pPr>
    </w:p>
    <w:p w14:paraId="424E692B" w14:textId="55256811" w:rsidR="00826B59" w:rsidRDefault="00826B59" w:rsidP="00B96247">
      <w:pPr>
        <w:spacing w:after="160" w:line="360" w:lineRule="auto"/>
        <w:ind w:right="227"/>
        <w:contextualSpacing/>
        <w:jc w:val="both"/>
        <w:rPr>
          <w:rFonts w:ascii="Times New Roman" w:eastAsia="Calibri" w:hAnsi="Times New Roman" w:cs="Times New Roman"/>
          <w:sz w:val="24"/>
          <w:szCs w:val="24"/>
          <w:lang w:eastAsia="en-US"/>
        </w:rPr>
      </w:pPr>
    </w:p>
    <w:p w14:paraId="1C7115C5" w14:textId="77777777" w:rsidR="00010023" w:rsidRPr="004F02EB" w:rsidRDefault="00010023" w:rsidP="00B96247">
      <w:pPr>
        <w:spacing w:after="160" w:line="360" w:lineRule="auto"/>
        <w:ind w:right="227"/>
        <w:contextualSpacing/>
        <w:jc w:val="both"/>
        <w:rPr>
          <w:rFonts w:ascii="Times New Roman" w:eastAsia="Calibri" w:hAnsi="Times New Roman" w:cs="Times New Roman"/>
          <w:sz w:val="24"/>
          <w:szCs w:val="24"/>
          <w:lang w:eastAsia="en-US"/>
        </w:rPr>
      </w:pPr>
    </w:p>
    <w:p w14:paraId="554CC0E6" w14:textId="77777777" w:rsidR="006E178F" w:rsidRPr="004F02EB" w:rsidRDefault="006E178F" w:rsidP="00B96247">
      <w:pPr>
        <w:spacing w:after="160" w:line="360" w:lineRule="auto"/>
        <w:ind w:right="227"/>
        <w:contextualSpacing/>
        <w:rPr>
          <w:rFonts w:ascii="Times New Roman" w:eastAsia="Calibri" w:hAnsi="Times New Roman" w:cs="Times New Roman"/>
          <w:sz w:val="24"/>
          <w:szCs w:val="24"/>
          <w:lang w:eastAsia="en-US"/>
        </w:rPr>
      </w:pPr>
    </w:p>
    <w:p w14:paraId="44319053" w14:textId="77777777" w:rsidR="00C57281" w:rsidRDefault="00C57281" w:rsidP="00B96247">
      <w:pPr>
        <w:spacing w:line="360" w:lineRule="auto"/>
        <w:ind w:left="170" w:right="227" w:firstLine="170"/>
        <w:contextualSpacing/>
        <w:jc w:val="center"/>
        <w:rPr>
          <w:rFonts w:ascii="Times New Roman" w:hAnsi="Times New Roman" w:cs="Times New Roman"/>
          <w:b/>
          <w:bCs/>
          <w:sz w:val="24"/>
          <w:szCs w:val="24"/>
        </w:rPr>
      </w:pPr>
    </w:p>
    <w:p w14:paraId="71CF8064" w14:textId="1607CC33" w:rsidR="000C4083" w:rsidRPr="0081729D" w:rsidRDefault="00B17ED8" w:rsidP="00B96247">
      <w:pPr>
        <w:spacing w:line="360" w:lineRule="auto"/>
        <w:ind w:left="170" w:right="227" w:firstLine="170"/>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II </w:t>
      </w:r>
      <w:r w:rsidR="000C4083" w:rsidRPr="0081729D">
        <w:rPr>
          <w:rFonts w:ascii="Times New Roman" w:hAnsi="Times New Roman" w:cs="Times New Roman"/>
          <w:b/>
          <w:bCs/>
          <w:sz w:val="24"/>
          <w:szCs w:val="24"/>
        </w:rPr>
        <w:t>CAPITOLO</w:t>
      </w:r>
    </w:p>
    <w:p w14:paraId="407D7424" w14:textId="2D12B23D" w:rsidR="000C4083" w:rsidRDefault="000C4083" w:rsidP="00B96247">
      <w:pPr>
        <w:spacing w:line="360" w:lineRule="auto"/>
        <w:ind w:left="170" w:right="227" w:firstLine="170"/>
        <w:contextualSpacing/>
        <w:jc w:val="center"/>
        <w:rPr>
          <w:rFonts w:ascii="Times New Roman" w:hAnsi="Times New Roman" w:cs="Times New Roman"/>
          <w:b/>
          <w:bCs/>
          <w:sz w:val="24"/>
          <w:szCs w:val="24"/>
        </w:rPr>
      </w:pPr>
      <w:r w:rsidRPr="0081729D">
        <w:rPr>
          <w:rFonts w:ascii="Times New Roman" w:hAnsi="Times New Roman" w:cs="Times New Roman"/>
          <w:b/>
          <w:bCs/>
          <w:sz w:val="24"/>
          <w:szCs w:val="24"/>
        </w:rPr>
        <w:t>Comunità Energetiche Rinnovabili: disciplina giuridica, finalità mutualistiche e funzionamento del modello regolatorio</w:t>
      </w:r>
    </w:p>
    <w:p w14:paraId="414CA72D" w14:textId="34B63B18" w:rsidR="005E42A2" w:rsidRDefault="005E42A2" w:rsidP="00B96247">
      <w:pPr>
        <w:spacing w:line="360" w:lineRule="auto"/>
        <w:ind w:left="170" w:right="227" w:firstLine="170"/>
        <w:contextualSpacing/>
        <w:jc w:val="center"/>
        <w:rPr>
          <w:rFonts w:ascii="Times New Roman" w:hAnsi="Times New Roman" w:cs="Times New Roman"/>
          <w:b/>
          <w:bCs/>
          <w:sz w:val="24"/>
          <w:szCs w:val="24"/>
        </w:rPr>
      </w:pPr>
    </w:p>
    <w:sdt>
      <w:sdtPr>
        <w:rPr>
          <w:rFonts w:ascii="Times New Roman" w:hAnsi="Times New Roman" w:cs="Times New Roman"/>
          <w:b/>
          <w:bCs/>
        </w:rPr>
        <w:id w:val="-1488323281"/>
        <w:docPartObj>
          <w:docPartGallery w:val="Table of Contents"/>
          <w:docPartUnique/>
        </w:docPartObj>
      </w:sdtPr>
      <w:sdtEndPr/>
      <w:sdtContent>
        <w:p w14:paraId="1A304ED8" w14:textId="76832326" w:rsidR="005E42A2" w:rsidRPr="005E42A2" w:rsidRDefault="005E42A2" w:rsidP="005E42A2">
          <w:pPr>
            <w:ind w:left="170" w:right="227" w:firstLine="170"/>
            <w:jc w:val="both"/>
            <w:rPr>
              <w:rFonts w:ascii="Times New Roman" w:hAnsi="Times New Roman" w:cs="Times New Roman"/>
              <w:b/>
              <w:bCs/>
            </w:rPr>
          </w:pPr>
          <w:r w:rsidRPr="005E42A2">
            <w:rPr>
              <w:rFonts w:ascii="Times New Roman" w:hAnsi="Times New Roman" w:cs="Times New Roman"/>
              <w:b/>
              <w:bCs/>
              <w:sz w:val="20"/>
              <w:szCs w:val="20"/>
            </w:rPr>
            <w:t>Sommario</w:t>
          </w:r>
          <w:r w:rsidRPr="005E42A2">
            <w:rPr>
              <w:rFonts w:ascii="Times New Roman" w:hAnsi="Times New Roman" w:cs="Times New Roman"/>
              <w:b/>
              <w:bCs/>
            </w:rPr>
            <w:t>: 1. Premesse; 2. Inquadramento sistematico: la disciplina europea (Direttiva RED II e RED III) e il recepimento nel D.</w:t>
          </w:r>
          <w:r w:rsidR="00FD3784">
            <w:rPr>
              <w:rFonts w:ascii="Times New Roman" w:hAnsi="Times New Roman" w:cs="Times New Roman"/>
              <w:b/>
              <w:bCs/>
            </w:rPr>
            <w:t xml:space="preserve"> </w:t>
          </w:r>
          <w:r w:rsidRPr="005E42A2">
            <w:rPr>
              <w:rFonts w:ascii="Times New Roman" w:hAnsi="Times New Roman" w:cs="Times New Roman"/>
              <w:b/>
              <w:bCs/>
            </w:rPr>
            <w:t>Lgs. n. 199/2021; 3. Le diverse declinazioni della sostenibilità nel modello CER; 3.2 Sostenibilità ambientale: mutamento dei comportamenti energetici e responsabilità diffusa; 3.3 Sostenibilità economica: incentivi, sostegni e redistribuzione dei benefici; 4. I requisiti oggettivi e soggettivi delle CER: lo scopo mutualistico e la prevalenza della finalità sociale sull’interesse economico; 4.1 Il carattere aperto e volontario delle CER, i diritti di partecipazione ed i poteri di controllo; 4.2 L’oggetto sociale delle Comunità Energetiche; 5. Il funzionamento delle CER e il modello regolatorio virtuale; 6. Il funzionamento delle CER.</w:t>
          </w:r>
        </w:p>
        <w:p w14:paraId="304E9D09" w14:textId="25FA9B9B" w:rsidR="005E42A2" w:rsidRPr="005E42A2" w:rsidRDefault="005E42A2" w:rsidP="005E42A2">
          <w:pPr>
            <w:spacing w:line="360" w:lineRule="auto"/>
            <w:ind w:left="170" w:right="227" w:firstLine="170"/>
            <w:contextualSpacing/>
            <w:jc w:val="center"/>
            <w:rPr>
              <w:rFonts w:ascii="Times New Roman" w:hAnsi="Times New Roman" w:cs="Times New Roman"/>
              <w:b/>
              <w:bCs/>
            </w:rPr>
          </w:pPr>
        </w:p>
        <w:p w14:paraId="52EB2E9F" w14:textId="77777777" w:rsidR="005E42A2" w:rsidRPr="005E42A2" w:rsidRDefault="005E42A2" w:rsidP="005E42A2">
          <w:pPr>
            <w:spacing w:line="360" w:lineRule="auto"/>
            <w:ind w:left="170" w:right="227" w:firstLine="170"/>
            <w:contextualSpacing/>
            <w:jc w:val="center"/>
            <w:rPr>
              <w:rFonts w:ascii="Times New Roman" w:hAnsi="Times New Roman" w:cs="Times New Roman"/>
              <w:b/>
              <w:bCs/>
            </w:rPr>
          </w:pPr>
        </w:p>
        <w:p w14:paraId="5D834D06" w14:textId="50C7DBE0" w:rsidR="000C4083" w:rsidRPr="005E42A2" w:rsidRDefault="00471AD1" w:rsidP="005E42A2">
          <w:pPr>
            <w:spacing w:line="360" w:lineRule="auto"/>
            <w:ind w:left="170" w:right="227" w:firstLine="170"/>
            <w:contextualSpacing/>
            <w:jc w:val="center"/>
            <w:rPr>
              <w:rFonts w:ascii="Times New Roman" w:hAnsi="Times New Roman" w:cs="Times New Roman"/>
              <w:b/>
              <w:bCs/>
            </w:rPr>
          </w:pPr>
        </w:p>
      </w:sdtContent>
    </w:sdt>
    <w:p w14:paraId="3900D566" w14:textId="08CB9DA8" w:rsidR="00D87791" w:rsidRPr="0081729D" w:rsidRDefault="00D87791" w:rsidP="002B7A90">
      <w:pPr>
        <w:pStyle w:val="Paragrafoelenco"/>
        <w:numPr>
          <w:ilvl w:val="0"/>
          <w:numId w:val="10"/>
        </w:numPr>
        <w:spacing w:after="160"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Premesse.</w:t>
      </w:r>
    </w:p>
    <w:p w14:paraId="7007871D"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presente sezione è dedicata all’analisi del modello delle Comunità Energetiche Rinnovabili (CER), inteso come strumento attuativo di un sistema di governance energetica decentralizzato e a partecipazione democratica, con l’obiettivo di esaminare in modo sistematico i requisiti previsti dalla normativa vigente e di comprenderne le implicazioni sia sul piano teorico sia su quello applicativo. In particolare, l’indagine si concentrerà sul quadro giuridico delineato dalla disciplina europea — a partire dalla Direttiva RED II e dai successivi sviluppi normativi — e sul suo recepimento nell’ordinamento italiano attraverso il d.lgs. n. 199/2021, che rappresenta il principale riferimento regolatorio per la configurazione delle CER.</w:t>
      </w:r>
    </w:p>
    <w:p w14:paraId="6BD7544D"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Muovendo da tale inquadramento, il capitolo intende approfondire le caratteristiche strutturali e funzionali delle comunità energetiche, mettendo in luce come il processo evolutivo del principio di sussidiarietà orizzontale in chiave di transizione energetica che prende corpo attraverso l’implementazione delle CER si collochi su un cammino impervio all’intersezione tra obiettivi di sostenibilità ambientale, economica e sociale. In questa prospettiva, l’analisi non si limiterà a una ricostruzione formale della disciplina, ma prenderà in considerazione anche le dinamiche concrete di funzionamento delle CER, le modalità di partecipazione dei soggetti coinvolti e i meccanismi di distribuzione dei benefici derivanti dalla produzione e condivisione dell’energia rinnovabile, a valle del percorso di recepimento del diritto europea in quello nazionale.</w:t>
      </w:r>
    </w:p>
    <w:p w14:paraId="64F10FBC" w14:textId="06ABAFBC"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Lo scopo della trattazione è dunque duplice: da un lato, ricostruire i presupposti giuridici che definiscono la natura, la struttura e le finalità delle comunità energetiche; dall’altro, evidenziare </w:t>
      </w:r>
      <w:r w:rsidRPr="0081729D">
        <w:rPr>
          <w:rFonts w:ascii="Times New Roman" w:hAnsi="Times New Roman" w:cs="Times New Roman"/>
          <w:sz w:val="24"/>
          <w:szCs w:val="24"/>
        </w:rPr>
        <w:lastRenderedPageBreak/>
        <w:t>come tali requisiti si traducano nella pratica operativa, attraverso i modelli organizzativi adottati, il funzionamento del sistema regolatorio e le fasi di costituzione delle comunità stesse. In tal modo, il capitolo mira a offrire una lettura integrata del fenomeno delle CER, capace di coniugare l’analisi normativa con l’osservazione delle sue concrete modalità di attuazione.</w:t>
      </w:r>
    </w:p>
    <w:p w14:paraId="0EF59649" w14:textId="038162D1" w:rsidR="00D87791" w:rsidRPr="0081729D" w:rsidRDefault="00D87791" w:rsidP="002B7A90">
      <w:pPr>
        <w:pStyle w:val="Paragrafoelenco"/>
        <w:numPr>
          <w:ilvl w:val="0"/>
          <w:numId w:val="10"/>
        </w:numPr>
        <w:spacing w:after="160"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b/>
          <w:bCs/>
          <w:sz w:val="24"/>
          <w:szCs w:val="24"/>
        </w:rPr>
        <w:t>Inquadramento sistematico: la disciplina europea (Direttiva RED II e RED III) e il recepimento nel D.</w:t>
      </w:r>
      <w:r w:rsidR="0081729D" w:rsidRPr="0081729D">
        <w:rPr>
          <w:rFonts w:ascii="Times New Roman" w:hAnsi="Times New Roman" w:cs="Times New Roman"/>
          <w:b/>
          <w:bCs/>
          <w:sz w:val="24"/>
          <w:szCs w:val="24"/>
        </w:rPr>
        <w:t xml:space="preserve"> </w:t>
      </w:r>
      <w:r w:rsidRPr="0081729D">
        <w:rPr>
          <w:rFonts w:ascii="Times New Roman" w:hAnsi="Times New Roman" w:cs="Times New Roman"/>
          <w:b/>
          <w:bCs/>
          <w:sz w:val="24"/>
          <w:szCs w:val="24"/>
        </w:rPr>
        <w:t>Lgs. n. 199/2021</w:t>
      </w:r>
      <w:r w:rsidRPr="0081729D">
        <w:rPr>
          <w:rFonts w:ascii="Times New Roman" w:hAnsi="Times New Roman" w:cs="Times New Roman"/>
          <w:sz w:val="24"/>
          <w:szCs w:val="24"/>
        </w:rPr>
        <w:t>.</w:t>
      </w:r>
    </w:p>
    <w:p w14:paraId="7E933313"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L’indagine sulle comunità di energia rinnovabile si colloca, come già anticipato, nel solco di una più ampia riflessione sull’evoluzione del principio di sussidiarietà nel diritto dell’Unione europea e, in tale prospettiva, si è a più riprese ribadito che le CER rappresentano un terreno privilegiato di sperimentazione di forme nuove di governance energetica, nelle quali la produzione e la gestione dell’energia da fonti rinnovabili sono affidate alla partecipazione diretta di cittadini, piccole e medie imprese, enti del terzo settore e autorità locali. La transizione energetica assume così una dimensione non soltanto tecnologica o industriale, ma anche sociale e istituzionale.</w:t>
      </w:r>
    </w:p>
    <w:p w14:paraId="701B67D2"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Il quadro giuridico di riferimento è delineato dall’art. 22 della Direttiva (UE) 2018/2001, che individua nella comunità di energia rinnovabile un </w:t>
      </w:r>
      <w:r w:rsidRPr="0081729D">
        <w:rPr>
          <w:rFonts w:ascii="Times New Roman" w:hAnsi="Times New Roman" w:cs="Times New Roman"/>
          <w:i/>
          <w:iCs/>
          <w:sz w:val="24"/>
          <w:szCs w:val="24"/>
        </w:rPr>
        <w:t>soggetto giuridico</w:t>
      </w:r>
      <w:r w:rsidRPr="0081729D">
        <w:rPr>
          <w:rFonts w:ascii="Times New Roman" w:hAnsi="Times New Roman" w:cs="Times New Roman"/>
          <w:sz w:val="24"/>
          <w:szCs w:val="24"/>
        </w:rPr>
        <w:t xml:space="preserve"> fondato sulla partecipazione aperta e volontaria, effettivamente controllato da membri o azionisti situati in prossimità dei progetti e orientato, quale obiettivo principale, alla produzione di benefici ambientali, economici o sociali per i membri o per il territorio, piuttosto che alla distribuzione di utili finanziari. La scelta di non tipizzare una forma organizzativa specifica, ma di definire requisiti sostanziali e finalità prevalenti, rivela la volontà del legislatore europeo di privilegiare una qualificazione funzionale dell’ente, lasciando agli ordinamenti nazionali e agli attori locali un significativo margine di adattamento.</w:t>
      </w:r>
    </w:p>
    <w:p w14:paraId="666AD04F" w14:textId="4920FAEE"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L’apertura e l’inclusività costituiscono elementi strutturali del modello. La partecipazione dei soggetti individuati dalla direttiva non può essere subordinata a condizioni o procedure ingiustificate o discriminatorie, e gli Stati membri sono chiamati a garantire che anche i nuclei familiari a basso reddito o vulnerabili possano accedere alle comunità. Allo stesso tempo, per le imprese private, la partecipazione non deve tradursi nell’esercizio della loro attività commerciale o professionale principale, a presidio dell’autenticità solidaristica dell’istituto e per evitare che esso venga assorbito da logiche meramente lucrative.</w:t>
      </w:r>
      <w:r w:rsidR="001345A3" w:rsidRPr="0081729D">
        <w:rPr>
          <w:rFonts w:ascii="Times New Roman" w:hAnsi="Times New Roman" w:cs="Times New Roman"/>
          <w:sz w:val="24"/>
          <w:szCs w:val="24"/>
          <w:vertAlign w:val="superscript"/>
        </w:rPr>
        <w:t xml:space="preserve"> </w:t>
      </w:r>
      <w:r w:rsidR="001345A3" w:rsidRPr="0081729D">
        <w:rPr>
          <w:rFonts w:ascii="Times New Roman" w:hAnsi="Times New Roman" w:cs="Times New Roman"/>
          <w:sz w:val="24"/>
          <w:szCs w:val="24"/>
          <w:vertAlign w:val="superscript"/>
        </w:rPr>
        <w:footnoteReference w:id="54"/>
      </w:r>
      <w:r w:rsidRPr="0081729D">
        <w:rPr>
          <w:rFonts w:ascii="Times New Roman" w:hAnsi="Times New Roman" w:cs="Times New Roman"/>
          <w:sz w:val="24"/>
          <w:szCs w:val="24"/>
        </w:rPr>
        <w:t xml:space="preserve"> Si delinea così un equilibrio delicato tra apertura al mercato e tutela della finalità sociale.</w:t>
      </w:r>
    </w:p>
    <w:p w14:paraId="2AC64BA1"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Sotto il profilo funzionale, la direttiva riconosce alle comunità un insieme ampio di prerogative: esse possono produrre, consumare, immagazzinare e vendere energia rinnovabile, anche mediante accordi di compravendita; possono scambiare, all’interno della comunità, l’energia prodotta dalle proprie unità, mantenendo in capo ai membri i diritti e gli obblighi propri dei clienti finali; possono accedere ai mercati dell’energia, direttamente o tramite aggregazione, in condizioni non discriminatorie; possono inoltre fornire energia, servizi di aggregazione o altri servizi energetici commerciali. Contestualmente, viene imposto agli Stati membri di garantire che le comunità siano soggette a procedure eque, proporzionate e trasparenti, in particolare con riferimento ai regimi di registrazione e di autorizzazione, nonché a oneri di rete e prelievi coerenti con un’equa ripartizione dei costi del sistema, fondata su un’analisi costi-benefici trasparente delle risorse distribuite. È espressamente esclusa qualsiasi forma di trattamento discriminatorio nei confronti delle CER in quanto partecipanti al mercato, siano esse formate da consumatori finali, produttori, fornitori o altri operatori.</w:t>
      </w:r>
    </w:p>
    <w:p w14:paraId="14502CAB"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direttiva non si limita, tuttavia, a delineare diritti e garanzie meramente formali: essa impone agli Stati membri un obbligo di rimozione degli ostacoli normativi e amministrativi che possano frapporsi alla diffusione del modello e richiede l’adozione di misure di sostegno adeguate, nel rispetto della disciplina sugli aiuti di Stato di cui agli artt. 107 e 108 TFUE. In tale disegno ispirato ad una sorta di “principio di eguaglianza sostanziale” tra il modello comunitario di produzione da fonti rinnovabili e gli altri produttori energetici, la promozione delle comunità energetiche non è un’opzione discrezionale, ma un segmento integrante della strategia europea di transizione energetica.</w:t>
      </w:r>
    </w:p>
    <w:p w14:paraId="62CE530B"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 considerando della direttiva contribuiscono a chiarire la portata sistemica di tale scelta. Si prevede la possibilità di sostegni diretti per impianti di piccola taglia; si sottolinea il contributo delle comunità al miglioramento dell’efficienza energetica e al contrasto della povertà energetica; si evidenzia la loro capacità di favorire l’accettazione locale delle energie rinnovabili, di attrarre capitali privati e di rafforzare la partecipazione dei cittadini. In particolare, si afferma che consentire alle comunità di competere su un piano di parità con altri produttori contribuisce ad aumentare la partecipazione locale ai progetti e, di riflesso, ad accrescere l’accettazione sociale </w:t>
      </w:r>
      <w:r w:rsidRPr="0081729D">
        <w:rPr>
          <w:rFonts w:ascii="Times New Roman" w:hAnsi="Times New Roman" w:cs="Times New Roman"/>
          <w:sz w:val="24"/>
          <w:szCs w:val="24"/>
        </w:rPr>
        <w:lastRenderedPageBreak/>
        <w:t>delle rinnovabili. Analoga impostazione si rinviene nel considerando 14 della Direttiva (UE) 2023/2413, che, con riferimento agli impianti offshore, valorizza la partecipazione delle comunità come strumento per promuovere il consenso dell’opinione pubblica.</w:t>
      </w:r>
    </w:p>
    <w:p w14:paraId="2054AC4F"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L’assunto secondo cui la partecipazione diretta dei cittadini rafforzerebbe automaticamente l’accettazione sociale della transizione energetica appare, tuttavia, meritevole di un esame critico. La storia recente delle politiche di sostegno alle rinnovabili mostra come strumenti regolatori concepiti secondo una logica teoricamente coerente – si pensi ai certificati verdi o alle prime fasi del sistema europeo di scambio delle quote di emissione – non abbiano sempre prodotto gli effetti attesi. Il successo di un modello dipende da una molteplicità di fattori, spesso difficilmente prevedibili, che attengono alla stabilità normativa, alla semplicità procedurale, alla credibilità degli incentivi e alla capacità degli attori coinvolti di orientarsi in un contesto regolatorio complesso.</w:t>
      </w:r>
    </w:p>
    <w:p w14:paraId="6B6307F9"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caso delle comunità energetiche, la posta in gioco è ulteriormente elevata dal fatto che il potere pubblico si rivolge non più soltanto a operatori professionali, ma anche a soggetti finora estranei alle dinamiche del mercato energetico. Il coinvolgimento diretto di cittadini e realtà territoriali amplia il perimetro democratico della transizione, ma espone il modello al rischio che eventuali criticità applicative si traducano in una perdita di fiducia difficilmente recuperabile, soprattutto alla luce della stringente tempistica entro cui devono essere conseguiti gli obiettivi europei di decarbonizzazione.</w:t>
      </w:r>
    </w:p>
    <w:p w14:paraId="5135BAEA"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L’incremento della produzione da fonti rinnovabili costituisce infatti una priorità assoluta nella lotta al cambiamento climatico. Quanto maggiore è il contributo che si intende affidare alle comunità energetiche, tanto più rigorosa deve essere la valutazione circa l’effettiva idoneità del quadro regolatorio a sostenerne la diffusione. I benefici attesi – riduzione dei costi per i membri, contrasto alla povertà energetica, minore pressione sulle reti, creazione di occupazione locale, maggiore sicurezza degli approvvigionamenti, riduzione delle perdite – restano obiettivi potenziali, la cui realizzazione dipende dalla coerenza e dalla stabilità delle scelte normative nazionali.</w:t>
      </w:r>
    </w:p>
    <w:p w14:paraId="15508CBC"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 Italia, il recepimento della Direttiva (UE) 2018/2001 ha trovato compimento nel Decreto legislativo 8 novembre 2021, n. 199, il quale ha assimilato l’impostazione europea senza introdurre una figura organizzativa standardizzata. La normativa italiana conferma così la natura essenzialmente funzionale della comunità energetica rinnovabile (CER): essa non costituisce un nuovo soggetto giuridico in senso stretto, ma una qualificazione che può essere applicata a diverse strutture giuridiche, a condizione che siano rispettati i principi di partecipazione aperta, controllo effettivo, autonomia e finalità prevalentemente sociale ed energetica. Questa impostazione </w:t>
      </w:r>
      <w:r w:rsidRPr="0081729D">
        <w:rPr>
          <w:rFonts w:ascii="Times New Roman" w:hAnsi="Times New Roman" w:cs="Times New Roman"/>
          <w:sz w:val="24"/>
          <w:szCs w:val="24"/>
        </w:rPr>
        <w:lastRenderedPageBreak/>
        <w:t>sottolinea come l’energia debba costituire uno strumento per la realizzazione di benefici collettivi, piuttosto che un fine economico in sé, in coerenza con l’art. 31 del d.lgs. 199/2021.</w:t>
      </w:r>
    </w:p>
    <w:p w14:paraId="4E33C716"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percorso italiano delle CER, tuttavia, si caratterizza per un’evoluzione che precede il recepimento formale della direttiva europea, collocandosi in una traiettoria di valorizzazione progressiva del ruolo attivo dei consumatori nel sistema energetico nazionale. Il primo riferimento ufficiale si rintraccia nella Strategia Energetica Nazionale del 2017, approvata con decreto 10 novembre 2017 dal Ministero dello Sviluppo Economico e dal Ministero dell’Ambiente e della Tutela del Territorio e del Mare. In tale documento, le comunità energetiche venivano individuate come strumenti fondamentali per promuovere la partecipazione dei cittadini e favorire la decarbonizzazione, evidenziando sin da allora l’esigenza di un quadro regolatorio capace di integrare iniziative collettive locali nel mercato elettrico. Anche in assenza di una disciplina organica, la Strategia anticipava le finalità successive della normativa europea e italiana, tracciando la direzione verso un modello di governance energetica inclusivo, sostenibile e partecipativo.</w:t>
      </w:r>
    </w:p>
    <w:p w14:paraId="33697913"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Questa continuità tra iniziative nazionali preliminari e recepimento legislativo evidenzia come la definizione di CER in Italia non sia un mero adempimento formale, ma parte di un processo di costruzione graduale di strumenti istituzionali volti a valorizzare la partecipazione diretta dei cittadini e delle comunità locali alla transizione energetica.</w:t>
      </w:r>
    </w:p>
    <w:p w14:paraId="70569ED3" w14:textId="37FAF33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Un primo, seppur parziale, recepimento della normativa UE si è avuto con l’art. 42-bis del </w:t>
      </w:r>
      <w:r w:rsidR="0081729D" w:rsidRPr="0081729D">
        <w:rPr>
          <w:rFonts w:ascii="Times New Roman" w:hAnsi="Times New Roman" w:cs="Times New Roman"/>
          <w:sz w:val="24"/>
          <w:szCs w:val="24"/>
        </w:rPr>
        <w:t>D</w:t>
      </w:r>
      <w:r w:rsidRPr="0081729D">
        <w:rPr>
          <w:rFonts w:ascii="Times New Roman" w:hAnsi="Times New Roman" w:cs="Times New Roman"/>
          <w:sz w:val="24"/>
          <w:szCs w:val="24"/>
        </w:rPr>
        <w:t>.</w:t>
      </w:r>
      <w:r w:rsidR="0081729D" w:rsidRPr="0081729D">
        <w:rPr>
          <w:rFonts w:ascii="Times New Roman" w:hAnsi="Times New Roman" w:cs="Times New Roman"/>
          <w:sz w:val="24"/>
          <w:szCs w:val="24"/>
        </w:rPr>
        <w:t xml:space="preserve"> L</w:t>
      </w:r>
      <w:r w:rsidRPr="0081729D">
        <w:rPr>
          <w:rFonts w:ascii="Times New Roman" w:hAnsi="Times New Roman" w:cs="Times New Roman"/>
          <w:sz w:val="24"/>
          <w:szCs w:val="24"/>
        </w:rPr>
        <w:t xml:space="preserve">. 30 dicembre 2019, n. 162 (c.d. decreto Milleproroghe), convertito con modificazioni dalla l. 28 febbraio 2020, n. 8. Tale disposizione ha avviato una fase sperimentale, introducendo una definizione di comunità energetica rinnovabile e delineando un primo modello di autoconsumo collettivo su base “virtuale”, fondato sulla valorizzazione dell’energia condivisa entro il perimetro della medesima cabina secondaria e con impianti di potenza complessiva non superiore a 200 kW. </w:t>
      </w:r>
    </w:p>
    <w:p w14:paraId="4617E516"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disciplina transitoria è stata completata dalla delibera 318/2020/R/</w:t>
      </w:r>
      <w:proofErr w:type="spellStart"/>
      <w:r w:rsidRPr="0081729D">
        <w:rPr>
          <w:rFonts w:ascii="Times New Roman" w:hAnsi="Times New Roman" w:cs="Times New Roman"/>
          <w:sz w:val="24"/>
          <w:szCs w:val="24"/>
        </w:rPr>
        <w:t>eel</w:t>
      </w:r>
      <w:proofErr w:type="spellEnd"/>
      <w:r w:rsidRPr="0081729D">
        <w:rPr>
          <w:rFonts w:ascii="Times New Roman" w:hAnsi="Times New Roman" w:cs="Times New Roman"/>
          <w:sz w:val="24"/>
          <w:szCs w:val="24"/>
        </w:rPr>
        <w:t xml:space="preserve"> dell’ARERA, dal </w:t>
      </w:r>
      <w:proofErr w:type="spellStart"/>
      <w:r w:rsidRPr="0081729D">
        <w:rPr>
          <w:rFonts w:ascii="Times New Roman" w:hAnsi="Times New Roman" w:cs="Times New Roman"/>
          <w:sz w:val="24"/>
          <w:szCs w:val="24"/>
        </w:rPr>
        <w:t>d.m.</w:t>
      </w:r>
      <w:proofErr w:type="spellEnd"/>
      <w:r w:rsidRPr="0081729D">
        <w:rPr>
          <w:rFonts w:ascii="Times New Roman" w:hAnsi="Times New Roman" w:cs="Times New Roman"/>
          <w:sz w:val="24"/>
          <w:szCs w:val="24"/>
        </w:rPr>
        <w:t xml:space="preserve"> 16 settembre 2020 del MISE e dalle Regole tecniche del GSE del 2020, che hanno definito le modalità operative di accesso al servizio di valorizzazione e incentivazione dell’energia elettrica condivisa.</w:t>
      </w:r>
    </w:p>
    <w:p w14:paraId="1DBC4E24"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Il recepimento della Direttiva RED II, attraverso il Decreto legislativo 8 novembre 2021, n. 199, rappresenta un momento cruciale nella transizione energetica poiché, non solo ha superato il carattere sperimentale delle disposizioni precedenti, ma ha anche ampliato in modo significativo la definizione e l’ambito applicativo delle comunità energetiche rinnovabili (CER). </w:t>
      </w:r>
    </w:p>
    <w:p w14:paraId="5C0E8A0D"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Al contempo, il Decreto legislativo n. 210 dello stesso anno ha introdotto nel nostro ordinamento la figura della comunità energetica dei cittadini, un soggetto giuridico che fino ad allora era privo di regolazione.</w:t>
      </w:r>
    </w:p>
    <w:p w14:paraId="34D2FFCC" w14:textId="17890088"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Questi sviluppi normativi hanno avuto un impatto profondo, non limitandosi a ridefinire l'assetto delle CER, ma richiedendo anche una revisione sostanziale delle competenze ministeriali, tradizionalmente consolidate: infatti, le funzioni legate al settore energetico sono state trasferite dal Ministero dello Sviluppo Economico (MISE) al Ministero della Transizione Ecologica (MITE) nel 2021. A seguito di una successiva riorganizzazione amministrativa, il MITE è stato rinominato Ministero dell’Ambiente e della Sicurezza Energetica (MASE) secondo quanto stabilito dall’art. 4 del </w:t>
      </w:r>
      <w:proofErr w:type="spellStart"/>
      <w:r w:rsidRPr="0081729D">
        <w:rPr>
          <w:rFonts w:ascii="Times New Roman" w:hAnsi="Times New Roman" w:cs="Times New Roman"/>
          <w:sz w:val="24"/>
          <w:szCs w:val="24"/>
        </w:rPr>
        <w:t>d.l.</w:t>
      </w:r>
      <w:proofErr w:type="spellEnd"/>
      <w:r w:rsidRPr="0081729D">
        <w:rPr>
          <w:rFonts w:ascii="Times New Roman" w:hAnsi="Times New Roman" w:cs="Times New Roman"/>
          <w:sz w:val="24"/>
          <w:szCs w:val="24"/>
        </w:rPr>
        <w:t xml:space="preserve"> 173/2022. </w:t>
      </w:r>
    </w:p>
    <w:p w14:paraId="1DABFE3E"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Questo cambiamento segna un'importante revisione delle responsabilità ministeriali e rivela un mutamento paradigmatico nella governance energetica italiana, in risposta alle sfide presentate dalle istanze europee.</w:t>
      </w:r>
    </w:p>
    <w:p w14:paraId="6A454EC9"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Con il decreto 7 dicembre 2023, n. 414 (c.d. decreto CACER), entrato in vigore il 24 gennaio 2024, si è inteso regolare ulteriormente gli strumenti di incentivazione economica per l’energia elettrica rinnovabile autoconsumata. L’impatto di tali riforme risiede non solo nella formalizzazione delle CER, ma anche nel loro riconoscimento come soggetti autonomi finalizzati alla creazione di benefici ambientali, economici e sociali per i propri membri e per il territorio in cui operano, piuttosto che a una mera distribuzione di profitti. Le CER possono ora includere non solo persone fisiche, ma anche piccole e medie imprese, enti locali, associazioni e pubbliche amministrazioni, tutti attori che contribuiscono a un modello energetico più inclusivo e collaborativo.</w:t>
      </w:r>
    </w:p>
    <w:p w14:paraId="7FEC730C"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passaggio di competenze da un dicastero all’altro evidenzia la necessità di adattamento alla nuova realtà energetica, che richiede una amministrazione più flessibile orientata all’ascolto delle istanze locali. Si tratta di un approccio mirato a superare una gestione centralizzata storicamente dominante, promuovendo una prospettiva più partecipativa e decentralizzata in ossequio al principio di sussidiarietà orizzontale.</w:t>
      </w:r>
    </w:p>
    <w:p w14:paraId="2D068121"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Alla luce del quadro normativo ricostruito, emerge con chiarezza come la disciplina delle comunità energetiche rinnovabili non si limiti a regolare una specifica configurazione tecnica di produzione e condivisione dell’energia, ma si inserisca in un disegno più ampio di trasformazione della governance energetica europea e nazionale. La scelta del legislatore europeo, successivamente recepita dall’ordinamento italiano, di definire le CER attraverso requisiti funzionali e finalità prevalenti — piuttosto che mediante una tipizzazione organizzativa rigida — </w:t>
      </w:r>
      <w:r w:rsidRPr="0081729D">
        <w:rPr>
          <w:rFonts w:ascii="Times New Roman" w:hAnsi="Times New Roman" w:cs="Times New Roman"/>
          <w:sz w:val="24"/>
          <w:szCs w:val="24"/>
        </w:rPr>
        <w:lastRenderedPageBreak/>
        <w:t>riflette infatti la volontà di favorire modelli istituzionali flessibili, capaci di valorizzare l’iniziativa dei soggetti locali e di adattarsi alle diverse realtà territoriali.</w:t>
      </w:r>
    </w:p>
    <w:p w14:paraId="6D94ACDF"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questa prospettiva, il modello delle CER appare strettamente connesso al principio di sussidiarietà, inteso nella sua dimensione sia verticale sia orizzontale. Da un lato, il livello sovranazionale individua obiettivi e cornici regolatorie comuni, lasciando agli ordinamenti nazionali il compito di definire gli strumenti più idonei alla loro attuazione; dall’altro, viene riconosciuto un ruolo sempre più significativo ai soggetti della società civile — cittadini, enti locali, imprese e organizzazioni del terzo settore — quali protagonisti attivi della transizione energetica. Le comunità energetiche si collocano dunque in uno spazio intermedio tra istituzioni pubbliche e iniziativa privata, rappresentando una forma di organizzazione collettiva che traduce operativamente il principio di sussidiarietà attraverso la partecipazione diretta delle comunità territoriali alla produzione e alla gestione dell’energia.</w:t>
      </w:r>
    </w:p>
    <w:p w14:paraId="7BB8D7B3"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Proprio in ragione di tale impostazione, la disciplina delle CER non può essere compresa pienamente se non alla luce delle finalità sostanziali che essa intende perseguire. Il modello comunitario, infatti, non si esaurisce nella dimensione tecnico-energetica, ma è strutturalmente orientato alla generazione di benefici diffusi per il territorio e per i suoi membri, secondo una logica che integra obiettivi ambientali, sociali ed economici. La sostenibilità, pertanto, costituisce il principio ordinatore dell’intero impianto normativo e rappresenta il criterio attraverso cui valutare l’effettiva capacità delle comunità energetiche di contribuire alla transizione verso un sistema energetico più inclusivo, partecipativo e resiliente.</w:t>
      </w:r>
    </w:p>
    <w:p w14:paraId="66CF12C3" w14:textId="75DC41AA"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Muovendo da queste premesse, risulta dunque necessario approfondire le diverse declinazioni della sostenibilità che caratterizzano il modello delle comunità energetiche rinnovabili, al fine di comprendere come esse si traducano concretamente nelle dinamiche organizzative, nei rapporti tra i membri e nelle modalità di funzionamento delle CER.</w:t>
      </w:r>
    </w:p>
    <w:p w14:paraId="310FBDA6" w14:textId="5579BC39" w:rsidR="00D87791" w:rsidRPr="0081729D" w:rsidRDefault="00D87791" w:rsidP="002B7A90">
      <w:pPr>
        <w:pStyle w:val="Paragrafoelenco"/>
        <w:numPr>
          <w:ilvl w:val="0"/>
          <w:numId w:val="10"/>
        </w:numPr>
        <w:spacing w:after="160"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Le diverse declinazioni della sostenibilità nel modello CER.</w:t>
      </w:r>
    </w:p>
    <w:p w14:paraId="43EB57FB" w14:textId="76A1AEC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concetto di sostenibilità è stato oggetto di un'ampia riflessione nel corso del presente lavoro, evidenziando la sua importanza come punto di riferimento per le politiche pubbliche europee e nazionali, in particolare nell'ambito della transizione energetica. Come abbiamo già analizzato, la sostenibilità non si limita a essere un semplice obiettivo programmatico, ma è diventata un principio fondamentale che guida l'azione e l'organizzazione delle politiche energetiche e ambientali, specialmente nel contesto delle comunità energetiche rinnovabili</w:t>
      </w:r>
      <w:r w:rsidR="00826B59" w:rsidRPr="0081729D">
        <w:rPr>
          <w:rFonts w:ascii="Times New Roman" w:hAnsi="Times New Roman" w:cs="Times New Roman"/>
          <w:sz w:val="24"/>
          <w:szCs w:val="24"/>
        </w:rPr>
        <w:t>.</w:t>
      </w:r>
      <w:r w:rsidR="00826B59" w:rsidRPr="0081729D">
        <w:rPr>
          <w:rStyle w:val="Rimandonotaapidipagina"/>
          <w:rFonts w:ascii="Times New Roman" w:hAnsi="Times New Roman" w:cs="Times New Roman"/>
          <w:sz w:val="24"/>
          <w:szCs w:val="24"/>
        </w:rPr>
        <w:footnoteReference w:id="55"/>
      </w:r>
      <w:r w:rsidRPr="0081729D">
        <w:rPr>
          <w:rFonts w:ascii="Times New Roman" w:hAnsi="Times New Roman" w:cs="Times New Roman"/>
          <w:sz w:val="24"/>
          <w:szCs w:val="24"/>
        </w:rPr>
        <w:t xml:space="preserve"> È, quindi, </w:t>
      </w:r>
      <w:r w:rsidRPr="0081729D">
        <w:rPr>
          <w:rFonts w:ascii="Times New Roman" w:hAnsi="Times New Roman" w:cs="Times New Roman"/>
          <w:sz w:val="24"/>
          <w:szCs w:val="24"/>
        </w:rPr>
        <w:lastRenderedPageBreak/>
        <w:t>opportuno approfondire i diversi profili di sostenibilità a cui la normativa CER fa riferimento, poiché questi sono cruciali per comprendere come tali politiche possano effettivamente contribuire a un modello di sviluppo integrato e sostenibile</w:t>
      </w:r>
      <w:r w:rsidR="00826B59" w:rsidRPr="0081729D">
        <w:rPr>
          <w:rFonts w:ascii="Times New Roman" w:hAnsi="Times New Roman" w:cs="Times New Roman"/>
          <w:sz w:val="24"/>
          <w:szCs w:val="24"/>
        </w:rPr>
        <w:t>.</w:t>
      </w:r>
    </w:p>
    <w:p w14:paraId="369B0762"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 comunità energetiche, infatti, non solo mirano a produrre energia da fonti rinnovabili, ma anche a promuovere la coesione sociale, la responsabilità ambientale e la partecipazione attiva dei cittadini. Negli ultimi anni, si è assistito a un crescente riconoscimento della necessità di un approccio multidimensionale alla sostenibilità, che consideri le interazioni tra gli aspetti economici, sociali e ambientali. In particolare, la normativa CER deve affrontare le sfide poste dalla sostenibilità sociale, che rappresenta una dimensione fondamentale per il successo e la legittimazione delle iniziative locali nel settore energetico. Esplorare questi aspetti offre un'importante opportunità per analizzare come il concetto di sostenibilità si articola concretamente all'interno delle comunità energetiche e come queste possano fungere da modelli per future politiche.</w:t>
      </w:r>
    </w:p>
    <w:p w14:paraId="74771437" w14:textId="77777777" w:rsidR="00D87791" w:rsidRPr="0081729D" w:rsidRDefault="00D87791" w:rsidP="0081729D">
      <w:pPr>
        <w:pStyle w:val="Paragrafoelenco"/>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b/>
          <w:bCs/>
          <w:sz w:val="24"/>
          <w:szCs w:val="24"/>
        </w:rPr>
        <w:t>3.1</w:t>
      </w:r>
      <w:r w:rsidRPr="0081729D">
        <w:rPr>
          <w:rFonts w:ascii="Times New Roman" w:hAnsi="Times New Roman" w:cs="Times New Roman"/>
          <w:b/>
          <w:bCs/>
          <w:i/>
          <w:iCs/>
          <w:sz w:val="24"/>
          <w:szCs w:val="24"/>
        </w:rPr>
        <w:t xml:space="preserve"> </w:t>
      </w:r>
      <w:r w:rsidRPr="0081729D">
        <w:rPr>
          <w:rFonts w:ascii="Times New Roman" w:hAnsi="Times New Roman" w:cs="Times New Roman"/>
          <w:b/>
          <w:bCs/>
          <w:sz w:val="24"/>
          <w:szCs w:val="24"/>
        </w:rPr>
        <w:t>Sostenibilità sociale: capitale relazionale e fiducia come presupposti dell’azione collettiva.</w:t>
      </w:r>
    </w:p>
    <w:p w14:paraId="41A58866" w14:textId="69BCA7E4" w:rsidR="008F06DD"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contesto delle CER, la sostenibilità sociale riveste un ruolo cruciale, in quanto sottolinea l'importanza del capitale relazionale e della fiducia reciproca tra i membri di una comunità. Questi elementi non solo sono essenziali per il successo e la legittimazione dei progetti energetici, ma rappresentano anche la base per un coinvolgimento attivo e significativo dei cittadini.</w:t>
      </w:r>
      <w:r w:rsidR="00A35257" w:rsidRPr="0081729D">
        <w:rPr>
          <w:rStyle w:val="Rimandonotaapidipagina"/>
          <w:rFonts w:ascii="Times New Roman" w:hAnsi="Times New Roman" w:cs="Times New Roman"/>
          <w:sz w:val="24"/>
          <w:szCs w:val="24"/>
        </w:rPr>
        <w:footnoteReference w:id="56"/>
      </w:r>
      <w:r w:rsidRPr="0081729D">
        <w:rPr>
          <w:rFonts w:ascii="Times New Roman" w:hAnsi="Times New Roman" w:cs="Times New Roman"/>
          <w:sz w:val="24"/>
          <w:szCs w:val="24"/>
        </w:rPr>
        <w:t xml:space="preserve"> </w:t>
      </w:r>
    </w:p>
    <w:p w14:paraId="174F651D" w14:textId="05C7160C"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La partecipazione democratica deve, quindi, essere concepita come un principio intrinseco che promuove la costruzione di un capitale sociale robusto, in grado di rafforzare i legami comunitari e contribuire alla coesione sociale. L'interazione tra individui, sostenuta da relazioni di fiducia, si configura come un fattore determinante per generare una comunità solidale, in cui gli investimenti non riguardano solamente l'energia, ma anche il tessuto sociale che li sostiene.</w:t>
      </w:r>
      <w:r w:rsidR="00826B59" w:rsidRPr="0081729D">
        <w:rPr>
          <w:rStyle w:val="Rimandonotaapidipagina"/>
          <w:rFonts w:ascii="Times New Roman" w:hAnsi="Times New Roman" w:cs="Times New Roman"/>
          <w:sz w:val="24"/>
          <w:szCs w:val="24"/>
        </w:rPr>
        <w:footnoteReference w:id="57"/>
      </w:r>
    </w:p>
    <w:p w14:paraId="5BE6C8FF" w14:textId="13DFD7D6"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sostenibilità sociale diventa ancor più imperativa quando si considera il fenomeno della povertà energetica, una condizione che colpisce in modo particolare le fasce più vulnerabili della popolazione. La povertà energetica si manifesta quando le famiglie non sono in grado di accedere a servizi energetici adeguati, esponendole a gravi rischi economici e sociali. Pertanto, il riferimento alla sostenibilità sociale si rivela imprescindibile nel contesto delle CER, poiché impone la necessità di affrontare le disuguaglianze esistenti all’interno delle comunità e garantire che i benefici derivanti dalla transizione energetica siano accessibili a tutti, inclusi i gruppi vulnerabili. Questo porta a interrogarsi su come le CER possano evitare forme di esclusione o marginalizzazione, assicurando un accesso equo e una partecipazione attiva.</w:t>
      </w:r>
      <w:r w:rsidR="008F06DD" w:rsidRPr="0081729D">
        <w:rPr>
          <w:rStyle w:val="Rimandonotaapidipagina"/>
          <w:rFonts w:ascii="Times New Roman" w:hAnsi="Times New Roman" w:cs="Times New Roman"/>
          <w:sz w:val="24"/>
          <w:szCs w:val="24"/>
        </w:rPr>
        <w:footnoteReference w:id="58"/>
      </w:r>
    </w:p>
    <w:p w14:paraId="3FB9D912" w14:textId="1BEFCEAA"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fiducia reciproca si configura come una condizione abilitante per l’avvio e la prosperità delle CER, determinando la fluidità dell’adesione e facilitando la condivisione di consenso. Qui, il concetto di "capitale sociale relazionale" acquista un’importanza significativa, poiché favorisce la creazione di una cultura della cooperazione e dell’assistenza reciproca tra i membri della comunità. La capacità di condividere risorse, competenze e esperienze diventa cruciale in un contesto di transizione energetica, permettendo di affrontare in modo efficace le sfide legate all’innovazione e alla sostenibilità.</w:t>
      </w:r>
      <w:r w:rsidR="008F06DD" w:rsidRPr="0081729D">
        <w:rPr>
          <w:rStyle w:val="Rimandonotaapidipagina"/>
          <w:rFonts w:ascii="Times New Roman" w:hAnsi="Times New Roman" w:cs="Times New Roman"/>
          <w:sz w:val="24"/>
          <w:szCs w:val="24"/>
        </w:rPr>
        <w:footnoteReference w:id="59"/>
      </w:r>
    </w:p>
    <w:p w14:paraId="57C959BC" w14:textId="5268CF73"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Inoltre, un clima di fiducia favorisce un ambiente fertile per il trasferimento di conoscenze e l’apprendimento tecnico, condizioni che sono necessarie per mitigare i rischi connessi </w:t>
      </w:r>
      <w:r w:rsidRPr="0081729D">
        <w:rPr>
          <w:rFonts w:ascii="Times New Roman" w:hAnsi="Times New Roman" w:cs="Times New Roman"/>
          <w:sz w:val="24"/>
          <w:szCs w:val="24"/>
        </w:rPr>
        <w:lastRenderedPageBreak/>
        <w:t>all’innovazione e alla sperimentazione.</w:t>
      </w:r>
      <w:r w:rsidR="008F06DD" w:rsidRPr="0081729D">
        <w:rPr>
          <w:rStyle w:val="Rimandonotaapidipagina"/>
          <w:rFonts w:ascii="Times New Roman" w:hAnsi="Times New Roman" w:cs="Times New Roman"/>
          <w:sz w:val="24"/>
          <w:szCs w:val="24"/>
        </w:rPr>
        <w:footnoteReference w:id="60"/>
      </w:r>
      <w:r w:rsidRPr="0081729D">
        <w:rPr>
          <w:rFonts w:ascii="Times New Roman" w:hAnsi="Times New Roman" w:cs="Times New Roman"/>
          <w:sz w:val="24"/>
          <w:szCs w:val="24"/>
        </w:rPr>
        <w:t xml:space="preserve"> La fiducia non è solamente un aspetto relazionale, ma costituisce un presupposto giuridico che condiziona in modo diretto l’adesione e il sostegno ai progetti di CER. I promotori, siano essi attori privati o pubblici, svolgono un ruolo decisivo nel creare un legame fiduciario con il territorio, generando un contesto in cui i cittadini possano investire la loro fiducia nelle istituzioni e negli esperti coinvolti.</w:t>
      </w:r>
      <w:r w:rsidR="008F06DD" w:rsidRPr="0081729D">
        <w:rPr>
          <w:rStyle w:val="Rimandonotaapidipagina"/>
          <w:rFonts w:ascii="Times New Roman" w:hAnsi="Times New Roman" w:cs="Times New Roman"/>
          <w:sz w:val="24"/>
          <w:szCs w:val="24"/>
        </w:rPr>
        <w:footnoteReference w:id="61"/>
      </w:r>
    </w:p>
    <w:p w14:paraId="62846519" w14:textId="16D3B334"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processo di transizione da un modello tradizionale di produzione energetica a uno che valorizza le fonti rinnovabili, la certezza di competenza e responsabilità da parte degli esperti assume una dimensione cruciale. I promotori delle CER, spesso dotati di risorse economiche e tecniche limitate, si avvalgono frequentemente di collaborazioni con partner esterni, i quali possiedono una competenza approfondita e una solidità economica superiore.</w:t>
      </w:r>
      <w:r w:rsidR="008966FB" w:rsidRPr="0081729D">
        <w:rPr>
          <w:rStyle w:val="Rimandonotaapidipagina"/>
          <w:rFonts w:ascii="Times New Roman" w:hAnsi="Times New Roman" w:cs="Times New Roman"/>
          <w:sz w:val="24"/>
          <w:szCs w:val="24"/>
        </w:rPr>
        <w:footnoteReference w:id="62"/>
      </w:r>
      <w:r w:rsidRPr="0081729D">
        <w:rPr>
          <w:rFonts w:ascii="Times New Roman" w:hAnsi="Times New Roman" w:cs="Times New Roman"/>
          <w:sz w:val="24"/>
          <w:szCs w:val="24"/>
        </w:rPr>
        <w:t xml:space="preserve"> In questo modo si genera un “valore locale aggiunto”,</w:t>
      </w:r>
      <w:r w:rsidR="008966FB" w:rsidRPr="0081729D">
        <w:rPr>
          <w:rStyle w:val="Rimandonotaapidipagina"/>
          <w:rFonts w:ascii="Times New Roman" w:hAnsi="Times New Roman" w:cs="Times New Roman"/>
          <w:sz w:val="24"/>
          <w:szCs w:val="24"/>
        </w:rPr>
        <w:footnoteReference w:id="63"/>
      </w:r>
      <w:r w:rsidRPr="0081729D">
        <w:rPr>
          <w:rFonts w:ascii="Times New Roman" w:hAnsi="Times New Roman" w:cs="Times New Roman"/>
          <w:sz w:val="24"/>
          <w:szCs w:val="24"/>
        </w:rPr>
        <w:t xml:space="preserve"> che è percepito dalla comunità di investitori come un elemento distintivo, contribuendo a una risposta concreta alle esigenze dei consumatori attraverso l’inclusione attiva della comunità.</w:t>
      </w:r>
    </w:p>
    <w:p w14:paraId="0C276E31" w14:textId="67446DEF"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Pertanto, il coinvolgimento dei cittadini deve essere interpretato non solo come un'opzione economica, ma come un processo integrato che prepara il territorio e contribuisce a forgiare nuove politiche locali di sviluppo sostenibile. Questa prospettiva non si limita a perseguire obiettivi energetici, ma si radica nel rafforzamento del capitale sociale, riconoscendo che una comunità coesa è in grado di gestire più efficacemente le sfide associate alla transizione energetica.</w:t>
      </w:r>
      <w:r w:rsidR="00ED4B20" w:rsidRPr="0081729D">
        <w:rPr>
          <w:rStyle w:val="Rimandonotaapidipagina"/>
          <w:rFonts w:ascii="Times New Roman" w:hAnsi="Times New Roman" w:cs="Times New Roman"/>
          <w:sz w:val="24"/>
          <w:szCs w:val="24"/>
        </w:rPr>
        <w:footnoteReference w:id="64"/>
      </w:r>
    </w:p>
    <w:p w14:paraId="00CC3D8B" w14:textId="77777777" w:rsidR="008966FB"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 conclusione, la sostenibilità sociale deve essere riconosciuta come un fattore determinante per l’efficacia dei progetti di CER. Promuovendo un modello di sviluppo integrato che colleghi le dimensioni sociali, economiche ed ambientali in un’ottica di cooperazione e responsabilità collettiva, le CER possono non solo contribuire a raggiungere gli obiettivi di sostenibilità </w:t>
      </w:r>
      <w:r w:rsidRPr="0081729D">
        <w:rPr>
          <w:rFonts w:ascii="Times New Roman" w:hAnsi="Times New Roman" w:cs="Times New Roman"/>
          <w:sz w:val="24"/>
          <w:szCs w:val="24"/>
        </w:rPr>
        <w:lastRenderedPageBreak/>
        <w:t>ambientale, ma anche affrontare in modo diretto le problematiche della povertà energetica e l’in</w:t>
      </w:r>
      <w:r w:rsidR="00820CDE" w:rsidRPr="0081729D">
        <w:rPr>
          <w:rFonts w:ascii="Times New Roman" w:hAnsi="Times New Roman" w:cs="Times New Roman"/>
          <w:sz w:val="24"/>
          <w:szCs w:val="24"/>
        </w:rPr>
        <w:t>i</w:t>
      </w:r>
      <w:r w:rsidRPr="0081729D">
        <w:rPr>
          <w:rFonts w:ascii="Times New Roman" w:hAnsi="Times New Roman" w:cs="Times New Roman"/>
          <w:sz w:val="24"/>
          <w:szCs w:val="24"/>
        </w:rPr>
        <w:t>quità sociale.</w:t>
      </w:r>
      <w:r w:rsidR="008966FB" w:rsidRPr="0081729D">
        <w:rPr>
          <w:rStyle w:val="Rimandonotaapidipagina"/>
          <w:rFonts w:ascii="Times New Roman" w:hAnsi="Times New Roman" w:cs="Times New Roman"/>
          <w:sz w:val="24"/>
          <w:szCs w:val="24"/>
        </w:rPr>
        <w:footnoteReference w:id="65"/>
      </w:r>
      <w:r w:rsidRPr="0081729D">
        <w:rPr>
          <w:rFonts w:ascii="Times New Roman" w:hAnsi="Times New Roman" w:cs="Times New Roman"/>
          <w:sz w:val="24"/>
          <w:szCs w:val="24"/>
        </w:rPr>
        <w:t xml:space="preserve"> </w:t>
      </w:r>
    </w:p>
    <w:p w14:paraId="5FBAF5D0" w14:textId="4B8D24DE"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sfida principale resta quella di tradurre i principi di sostenibilità sociale in azioni concrete, garantendo così che le comunità energetiche non siano semplicemente progetti rivolti alla produzione di energia, ma diventino autentici strumenti di inclusione e giustizia sociale.</w:t>
      </w:r>
    </w:p>
    <w:p w14:paraId="22750641" w14:textId="77777777" w:rsidR="00D87791" w:rsidRPr="0081729D" w:rsidRDefault="00D87791" w:rsidP="0081729D">
      <w:pPr>
        <w:pStyle w:val="Paragrafoelenco"/>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b/>
          <w:bCs/>
          <w:sz w:val="24"/>
          <w:szCs w:val="24"/>
        </w:rPr>
        <w:t>3.2 Sostenibilità ambientale: mutamento dei comportamenti energetici e responsabilità diffusa.</w:t>
      </w:r>
    </w:p>
    <w:p w14:paraId="7E7DAF58" w14:textId="4A83DCF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 Il dibattito sulla sostenibilità ambientale ha recentemente evidenziato l'importanza di sviluppare una maggiore consapevolezza riguardo alle potenzialità provenienti dalla società civile e dalla promozione di comportamenti virtuosi. In questo contesto, la logica bottom-up emerge come un approccio cruciale per attivare i cittadini nel processo di sviluppo energetico. Le comunità ricercano figure la cui expertise tecnico-politica possa orientare e guidare la transizione verso pratiche più sostenibili.</w:t>
      </w:r>
      <w:r w:rsidR="008966FB" w:rsidRPr="0081729D">
        <w:rPr>
          <w:rStyle w:val="Rimandonotaapidipagina"/>
          <w:rFonts w:ascii="Times New Roman" w:hAnsi="Times New Roman" w:cs="Times New Roman"/>
          <w:sz w:val="24"/>
          <w:szCs w:val="24"/>
        </w:rPr>
        <w:footnoteReference w:id="66"/>
      </w:r>
      <w:r w:rsidR="008966FB" w:rsidRPr="0081729D">
        <w:rPr>
          <w:rFonts w:ascii="Times New Roman" w:hAnsi="Times New Roman" w:cs="Times New Roman"/>
          <w:sz w:val="24"/>
          <w:szCs w:val="24"/>
        </w:rPr>
        <w:t xml:space="preserve"> </w:t>
      </w:r>
      <w:r w:rsidRPr="0081729D">
        <w:rPr>
          <w:rFonts w:ascii="Times New Roman" w:hAnsi="Times New Roman" w:cs="Times New Roman"/>
          <w:sz w:val="24"/>
          <w:szCs w:val="24"/>
        </w:rPr>
        <w:t>Tuttavia, il cambiamento auspicato deve principalmente consumarsi all’interno delle mura domestiche, ricevendo impulso dalle pratiche sociali quotidiane che caratterizzano la vita di ciascun individuo.</w:t>
      </w:r>
    </w:p>
    <w:p w14:paraId="36BCCAF7"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consumo energetico non è un fenomeno limitato a transazioni in grandi entità di mercato, ma si manifesta principalmente nelle routine quotidiane dei cittadini. Di conseguenza, l’attivazione delle comunità energetiche rinnovabili (CER) deve anche tenere in considerazione una declinazione di sostenibilità ambientale ampliata. Questa non si limita alla pur importante riduzione delle emissioni di CO2 attraverso l’utilizzo di fonti rinnovabili, ma implica un approccio che favorisca anche il risparmio energetico e la ristrutturazione delle abitudini comportamentali degli individui.</w:t>
      </w:r>
    </w:p>
    <w:p w14:paraId="03C33349" w14:textId="405A0C71"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Allo stesso modo, la transizione verso un modello energetico sostenibile vede le CER come sistemi sociotecnici complessi. Questi sistemi, attraverso il consolidamento di nicchie innovative, influenzano il comportamento degli individui in allineamento con il principio di sostenibilità ambientale. Le attività connesse a tali pratiche quotidiane sono orientate al cambiamento, supportate da una nuova struttura normativa, dall’acquisizione di conoscenze e dall’implementazione di tecnologie innovative. L'intento non è soltanto di promuovere </w:t>
      </w:r>
      <w:r w:rsidRPr="0081729D">
        <w:rPr>
          <w:rFonts w:ascii="Times New Roman" w:hAnsi="Times New Roman" w:cs="Times New Roman"/>
          <w:sz w:val="24"/>
          <w:szCs w:val="24"/>
        </w:rPr>
        <w:lastRenderedPageBreak/>
        <w:t>l’adozione di pratiche più sostenibili, ma anche di influenzare culturalmente la società verso una maggiore responsabilità ambientale.</w:t>
      </w:r>
      <w:r w:rsidR="008966FB" w:rsidRPr="0081729D">
        <w:rPr>
          <w:rStyle w:val="Rimandonotaapidipagina"/>
          <w:rFonts w:ascii="Times New Roman" w:hAnsi="Times New Roman" w:cs="Times New Roman"/>
          <w:sz w:val="24"/>
          <w:szCs w:val="24"/>
        </w:rPr>
        <w:footnoteReference w:id="67"/>
      </w:r>
    </w:p>
    <w:p w14:paraId="72932AEB" w14:textId="509E3F1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questo scenario, appare evidente che il comportamento dei consumatori è fortemente influenzato dalla condivisione, dall’apprendimento e dal senso di appartenenza alla comunità. La comunità stessa funge da supporto cruciale per stili di vita che si allineano a valori condivisi, rendendo la dimensione sociale della sostenibilità non solo un aspetto accessorio, ma un pilastro fondamentale dell'intero processo. Quando i membri di una comunità si uniscono in uno sforzo comune verso obiettivi energetici sostenibili,</w:t>
      </w:r>
      <w:r w:rsidR="00ED4B20" w:rsidRPr="0081729D">
        <w:rPr>
          <w:rStyle w:val="Rimandonotaapidipagina"/>
          <w:rFonts w:ascii="Times New Roman" w:hAnsi="Times New Roman" w:cs="Times New Roman"/>
          <w:sz w:val="24"/>
          <w:szCs w:val="24"/>
        </w:rPr>
        <w:footnoteReference w:id="68"/>
      </w:r>
      <w:r w:rsidRPr="0081729D">
        <w:rPr>
          <w:rFonts w:ascii="Times New Roman" w:hAnsi="Times New Roman" w:cs="Times New Roman"/>
          <w:sz w:val="24"/>
          <w:szCs w:val="24"/>
        </w:rPr>
        <w:t xml:space="preserve"> si genera una dinamica di supporto reciproco che facilita l'accettazione e l'implementazione di tali pratiche.</w:t>
      </w:r>
    </w:p>
    <w:p w14:paraId="12E26A71" w14:textId="41A4A512"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sostenibilità ambientale, quindi, non può essere dissociata dalla dimensione sociale</w:t>
      </w:r>
      <w:r w:rsidR="009D76AE" w:rsidRPr="0081729D">
        <w:rPr>
          <w:rFonts w:ascii="Times New Roman" w:hAnsi="Times New Roman" w:cs="Times New Roman"/>
          <w:sz w:val="24"/>
          <w:szCs w:val="24"/>
        </w:rPr>
        <w:t>: l</w:t>
      </w:r>
      <w:r w:rsidRPr="0081729D">
        <w:rPr>
          <w:rFonts w:ascii="Times New Roman" w:hAnsi="Times New Roman" w:cs="Times New Roman"/>
          <w:sz w:val="24"/>
          <w:szCs w:val="24"/>
        </w:rPr>
        <w:t>a sua realizzazione dipende dalla capacità di costruire relazioni significative all'interno delle comunità, utilizzando il capitale sociale come un catalizzatore per un cambiamento effettivo. Questa sinergia tra dimensione sociale e ambientale promuove non solo l'adozione di tecnologie rinnovabili, ma anche la creazione di una cultura del consumo responsabile, contribuendo a una maggiore equità e giustizia sociale.</w:t>
      </w:r>
      <w:r w:rsidR="009D76AE" w:rsidRPr="0081729D">
        <w:rPr>
          <w:rStyle w:val="Rimandonotaapidipagina"/>
          <w:rFonts w:ascii="Times New Roman" w:hAnsi="Times New Roman" w:cs="Times New Roman"/>
          <w:sz w:val="24"/>
          <w:szCs w:val="24"/>
        </w:rPr>
        <w:footnoteReference w:id="69"/>
      </w:r>
    </w:p>
    <w:p w14:paraId="131A2847"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Anche in questa ipotesi, dunque, si arriva alla conclusione per cui il cambiamento nei comportamenti energetici è un presupposto fondamentale nel processo di transizione, che si fa sempre più urgente in un contesto di crescente crisi ambientale e politica. Ciò richiede non solo un decentramento amministrativo, come osservato nella parte relativa all'evoluzione normativa energetica, ma anche una condivisione crescente delle responsabilità di consumo tra i cittadini per tradurre in azioni concreta la retorica della sostenibilità.  </w:t>
      </w:r>
    </w:p>
    <w:p w14:paraId="6D87DA3F" w14:textId="77777777" w:rsidR="00D87791" w:rsidRPr="0081729D" w:rsidRDefault="00D87791" w:rsidP="0081729D">
      <w:pPr>
        <w:pStyle w:val="Paragrafoelenco"/>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b/>
          <w:bCs/>
          <w:sz w:val="24"/>
          <w:szCs w:val="24"/>
        </w:rPr>
        <w:t>3.3 Sostenibilità economica: incentivi, sostegni e redistribuzione dei benefici.</w:t>
      </w:r>
    </w:p>
    <w:p w14:paraId="0FCC9468" w14:textId="255F2841"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Passando infine all’aspetto economico della sostenibilità, è fondamentale considerare come la normativa riguardante le CER promuova politiche di welfare e no profit, incentivando l’erogazione di contributi pubblici che richiamano esplicitamente la sostenibilità sociale e ambientale. Si tratta di politiche che - come già osservato - si fondano su principi di fiducia e responsabilità diffusa, creando un contesto favorevole per il coinvolgimento attivo dei cittadini </w:t>
      </w:r>
      <w:r w:rsidRPr="0081729D">
        <w:rPr>
          <w:rFonts w:ascii="Times New Roman" w:hAnsi="Times New Roman" w:cs="Times New Roman"/>
          <w:sz w:val="24"/>
          <w:szCs w:val="24"/>
        </w:rPr>
        <w:lastRenderedPageBreak/>
        <w:t>nella transizione energetica. I progetti di CER sono stati descritti come sostenibili dal punto di vista economico, ma per verificarne la sostenibilità economica è essenziale analizzare la struttura di concessione e l’erogazione degli incentivi.</w:t>
      </w:r>
      <w:r w:rsidR="00771139" w:rsidRPr="0081729D">
        <w:rPr>
          <w:rStyle w:val="Rimandonotaapidipagina"/>
          <w:rFonts w:ascii="Times New Roman" w:hAnsi="Times New Roman" w:cs="Times New Roman"/>
          <w:sz w:val="24"/>
          <w:szCs w:val="24"/>
        </w:rPr>
        <w:footnoteReference w:id="70"/>
      </w:r>
    </w:p>
    <w:p w14:paraId="4F338652" w14:textId="76164F9A" w:rsidR="00DC2FC9"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questo quadro normativo, le istituzioni rivestono un ruolo cruciale, poiché la loro capacità di definire politiche di supporto coerenti aumenta la probabilità di investimenti nella creazione e nell'installazione di impianti rinnovabili.</w:t>
      </w:r>
      <w:r w:rsidR="009D76AE" w:rsidRPr="0081729D">
        <w:rPr>
          <w:rStyle w:val="Rimandonotaapidipagina"/>
          <w:rFonts w:ascii="Times New Roman" w:hAnsi="Times New Roman" w:cs="Times New Roman"/>
          <w:sz w:val="24"/>
          <w:szCs w:val="24"/>
        </w:rPr>
        <w:footnoteReference w:id="71"/>
      </w:r>
    </w:p>
    <w:p w14:paraId="36661473" w14:textId="3F2328E0"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Se inizialmente nella normativa i progetti pionieristici affrontavano un elevato livello di indeterminatezza economica, oggi le nuove iniziative in fase di sviluppo si fondano su un quadro normativo apparentemente più solido e definito. Tuttavia, nel corso del presente lavoro avremo modo di verificare siano ancora persistenti criticità significative. Numerosi progetti di CER faticano a decollare a causa della limitata disponibilità economica, malgrado le politiche di incentivazione finanziaria predisposte. Non tutti i soggetti interessati riescono ad accedere ai finanziamenti, e la diversità degli incentivi su base regionale, così come le loro fluttuazioni nel tempo, complicano ulteriormente la situazione.</w:t>
      </w:r>
      <w:r w:rsidR="00771139" w:rsidRPr="0081729D">
        <w:rPr>
          <w:rStyle w:val="Rimandonotaapidipagina"/>
          <w:rFonts w:ascii="Times New Roman" w:hAnsi="Times New Roman" w:cs="Times New Roman"/>
          <w:sz w:val="24"/>
          <w:szCs w:val="24"/>
        </w:rPr>
        <w:footnoteReference w:id="72"/>
      </w:r>
      <w:r w:rsidRPr="0081729D">
        <w:rPr>
          <w:rFonts w:ascii="Times New Roman" w:hAnsi="Times New Roman" w:cs="Times New Roman"/>
          <w:sz w:val="24"/>
          <w:szCs w:val="24"/>
        </w:rPr>
        <w:t xml:space="preserve"> Inoltre, l’impostazione rigida della ripartizione degli incentivi prescrive modalità che possono non rispondere sempre agli accordi iniziali tra i membri della comunità.</w:t>
      </w:r>
    </w:p>
    <w:p w14:paraId="052B623D"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 tal proposito, un particolare focus si pone sugli incentivi statali, leva fondamentale per l'installazione la diffusione dell’energia fotovoltaica, consentendo l’avvio e il consolidamento di progetti di comunità energetiche. La sostenibilità economica delle CER dipende, infatti, dalla </w:t>
      </w:r>
      <w:r w:rsidRPr="0081729D">
        <w:rPr>
          <w:rFonts w:ascii="Times New Roman" w:hAnsi="Times New Roman" w:cs="Times New Roman"/>
          <w:sz w:val="24"/>
          <w:szCs w:val="24"/>
        </w:rPr>
        <w:lastRenderedPageBreak/>
        <w:t>capacità di generare incentivi economici attraverso la produzione di energia rinnovabile, con l’effetto di creare benefici non solo per gli investitori, ma anche per i membri della comunità.</w:t>
      </w:r>
    </w:p>
    <w:p w14:paraId="6C646532"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Ebbene, nel quadro delineato dal recepimento della direttiva (UE) 2018/2001 (RED II) tramite il d.lgs. 199/2021, il Decreto del Ministero dell’Ambiente e della Sicurezza Energetica 7 dicembre 2023, n. 414 (c.d. decreto CACER), pubblicato il 24 gennaio 2024, assume una funzione centrale nell’attuazione operativa del nuovo sistema di sostegno alle comunità energetiche rinnovabili, disciplinando in modo puntuale le modalità di accesso agli incentivi economici e consolidando un regime di tariffe strutturato su un orizzonte di medio-lungo periodo, coerente con gli obiettivi nazionali di decarbonizzazione. </w:t>
      </w:r>
    </w:p>
    <w:p w14:paraId="628B215A"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Rispetto al previgente assetto – che limitava il perimetro incentivante alle configurazioni di potenza non superiore a 200 kW – il decreto attualmente in vigore amplia significativamente l’ambito applicativo, ammettendo agli incentivi impianti a fonti rinnovabili, ivi inclusi gli interventi di potenziamento, inseriti in configurazioni di CER, purché ciascun impianto, considerato singolarmente e comprensivo dell’eventuale incremento di potenza, non superi la soglia di 1 MW; resta dunque possibile che la potenza complessiva della comunità ecceda tale limite, mentre l’eventuale superamento della soglia da parte del singolo impianto comporta l’esclusione dalla tariffa incentivante, con riconoscimento del solo contributo di valorizzazione dell’energia autoconsumata.</w:t>
      </w:r>
    </w:p>
    <w:p w14:paraId="0E8B7302" w14:textId="6C6192A6"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L’accesso al meccanismo premiale è subordinato alla regolare costituzione della CER, da intendersi perfezionata quando l’atto costitutivo o lo statuto risultino conformi alle prescrizioni delle Regole Operative del GSE,</w:t>
      </w:r>
      <w:r w:rsidR="00787A3E">
        <w:rPr>
          <w:rStyle w:val="Rimandonotaapidipagina"/>
          <w:rFonts w:ascii="Times New Roman" w:hAnsi="Times New Roman" w:cs="Times New Roman"/>
          <w:sz w:val="24"/>
          <w:szCs w:val="24"/>
        </w:rPr>
        <w:footnoteReference w:id="73"/>
      </w:r>
      <w:r w:rsidRPr="0081729D">
        <w:rPr>
          <w:rFonts w:ascii="Times New Roman" w:hAnsi="Times New Roman" w:cs="Times New Roman"/>
          <w:sz w:val="24"/>
          <w:szCs w:val="24"/>
        </w:rPr>
        <w:t xml:space="preserve"> e alla condizione che gli impianti non siano entrati in esercizio prima di tale costituzione; per gli impianti entrati in esercizio tra il 16 dicembre 2021 e il 24 gennaio 2024 è richiesta, inoltre, la prova documentale – con data certa anteriore all’entrata in esercizio – dell’intenzione originaria di integrarli in una configurazione di CER, nonché la </w:t>
      </w:r>
      <w:r w:rsidRPr="0081729D">
        <w:rPr>
          <w:rFonts w:ascii="Times New Roman" w:hAnsi="Times New Roman" w:cs="Times New Roman"/>
          <w:sz w:val="24"/>
          <w:szCs w:val="24"/>
        </w:rPr>
        <w:lastRenderedPageBreak/>
        <w:t xml:space="preserve">presentazione della domanda di accesso alla tariffa entro 120 giorni dall’apertura del portale del GSE. </w:t>
      </w:r>
    </w:p>
    <w:p w14:paraId="16C7CA21"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Il decreto attua altresì le previsioni del d.lgs. 199/2021 in relazione alle risorse del PNRR, prevedendo un duplice strumento economico: da un lato, una tariffa incentivante riconosciuta per venti anni sull’energia prodotta e condivisa nell’ambito della medesima cabina primaria, con valore differenziato in base alla tecnologia; dall’altro, un contributo in conto capitale fino al 40% dei costi ammissibili per impianti realizzati nei comuni con popolazione inferiore a 5.000 abitanti. </w:t>
      </w:r>
    </w:p>
    <w:p w14:paraId="09A20286"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 benefici si estendono a tutte le principali tecnologie rinnovabili – tra cui fotovoltaico, eolico, idroelettrico e biomasse – nel rispetto dei requisiti tecnici stabiliti, e sono modulati in modo da privilegiare nuova capacità produttiva o interventi di potenziamento: la potenza degli impianti preesistenti non può infatti superare il 30% della potenza complessiva della configurazione e, sebbene tali impianti non accedano direttamente alla tariffa incentivante per la parte non oggetto di potenziamento, l’energia da essi immessa in rete rileva nel calcolo dell’energia condivisa e ai fini del contributo di valorizzazione, comprensivo della restituzione di componenti tariffarie definite da ARERA. </w:t>
      </w:r>
    </w:p>
    <w:p w14:paraId="27477A71"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L’impianto normativo, nel suo complesso, mira ad ampliare la platea dei soggetti coinvolti, promuovendo la generazione distribuita e l’autoconsumo virtuale, rafforzando la sostenibilità economica delle iniziative e favorendo l’inclusione territoriale, in particolare nei piccoli comuni e nelle aree interne, dove le CER possono svolgere una funzione di sviluppo locale e di contrasto alla povertà energetica; la stabilità ventennale della remunerazione dell’energia condivisa contribuisce inoltre a migliorare la bancabilità dei progetti rispetto alla fase sperimentale. </w:t>
      </w:r>
    </w:p>
    <w:p w14:paraId="7C30F785" w14:textId="435DFA28"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Permangono tuttavia profili critici: l’iter di accesso richiede un articolato coordinamento tra promotori, GSE e gestori di rete, con adempimenti tecnici e documentali che possono scoraggiare soggetti meno strutturati; la scelta di limitare l’incentivazione a impianti esclusivamente rinnovabili, escludendo co</w:t>
      </w:r>
      <w:r w:rsidR="00787A3E">
        <w:rPr>
          <w:rFonts w:ascii="Times New Roman" w:hAnsi="Times New Roman" w:cs="Times New Roman"/>
          <w:sz w:val="24"/>
          <w:szCs w:val="24"/>
        </w:rPr>
        <w:t>n</w:t>
      </w:r>
      <w:r w:rsidRPr="0081729D">
        <w:rPr>
          <w:rFonts w:ascii="Times New Roman" w:hAnsi="Times New Roman" w:cs="Times New Roman"/>
          <w:sz w:val="24"/>
          <w:szCs w:val="24"/>
        </w:rPr>
        <w:t xml:space="preserve">figurazioni ibride oltre determinate soglie, riduce la flessibilità progettuale; il vincolo della cabina primaria e il limite di 1 MW per singolo impianto, pur volti a preservare la dimensione locale e non speculativa delle CER, possono comprimere le economie di scala; infine, le tempistiche stringenti e la complessità procedurale connesse anche all’utilizzo dei fondi PNRR, unite a possibili difformità applicative a livello territoriale, generano margini di incertezza che incidono sulla scalabilità delle iniziative. </w:t>
      </w:r>
    </w:p>
    <w:p w14:paraId="7D94AB8A" w14:textId="571C17A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Ne deriva un quadro regolatorio che, pur configurandosi come strumento strategico per la promozione delle rinnovabili in forma comunitaria, necessita di un costante monitoraggio attuativo e di un progressivo snellimento delle procedure affinché le finalità di inclusione, </w:t>
      </w:r>
      <w:r w:rsidRPr="0081729D">
        <w:rPr>
          <w:rFonts w:ascii="Times New Roman" w:hAnsi="Times New Roman" w:cs="Times New Roman"/>
          <w:sz w:val="24"/>
          <w:szCs w:val="24"/>
        </w:rPr>
        <w:lastRenderedPageBreak/>
        <w:t>sostenibilità economica e transizione energetica possano trovare piena ed effettiva realizzazione.</w:t>
      </w:r>
      <w:r w:rsidR="009D76AE" w:rsidRPr="0081729D">
        <w:rPr>
          <w:rStyle w:val="Rimandonotaapidipagina"/>
          <w:rFonts w:ascii="Times New Roman" w:hAnsi="Times New Roman" w:cs="Times New Roman"/>
          <w:sz w:val="24"/>
          <w:szCs w:val="24"/>
        </w:rPr>
        <w:footnoteReference w:id="74"/>
      </w:r>
    </w:p>
    <w:p w14:paraId="4B85C1A5" w14:textId="5546B444"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concreta ed efficiente attuazione dell’impianto normativo che regolamenta la materia richiede il perseguimento di una serie di obiettivi convergenti: garantire la sostenibilità economica delle CER, strutturare un sistema di sostegni pubblici stabile e definire un modello di redistribuzione dei benefici energetici.</w:t>
      </w:r>
    </w:p>
    <w:p w14:paraId="6562C229"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Sotto il primo profilo, la sostenibilità economica si traduce nella prevedibilità e nella durata del meccanismo incentivante. Il decreto consolida un regime di tariffa riconosciuta per venti anni sull’energia prodotta e condivisa all’interno della medesima cabina primaria, estendendo la soglia di accesso fino a 1 MW per singolo impianto rispetto al precedente limite di 200 kW. Ciò consente una maggiore capacità produttiva e una pianificazione finanziaria più solida, pur mantenendo un presidio volto a evitare concentrazioni speculative. La possibilità di includere più impianti nella medesima configurazione, anche oltre la soglia complessiva di 1 MW, rafforza ulteriormente la struttura economica della comunità, garantendo flessibilità progettuale senza compromettere la dimensione locale.</w:t>
      </w:r>
    </w:p>
    <w:p w14:paraId="18BF9C54"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Quanto al secondo elemento – i sostegni – il decreto articola un sistema duale: da un lato, una tariffa incentivante sull’energia condivisa; dall’altro, un contributo in conto capitale fino al 40% dei costi ammissibili per impianti realizzati nei comuni con popolazione inferiore a 5.000 abitanti, finanziato con risorse del PNRR. Tale combinazione riduce il capitale iniziale necessario e stabilizza i ricavi, integrando gli incentivi in un meccanismo coerente che riduce il rischio economico e migliora la bancabilità dei progetti. La disciplina degli impianti preesistenti – che non possono superare il 30% della potenza complessiva della configurazione e non accedono direttamente alla tariffa per la parte non potenziata – risponde a una logica selettiva di sostegno, privilegiando la nuova capacità rinnovabile ma valorizzando l’energia immessa dagli impianti esistenti ai fini del calcolo dell’energia condivisa e del riconoscimento del contributo di valorizzazione.</w:t>
      </w:r>
    </w:p>
    <w:p w14:paraId="09DCF88B" w14:textId="77777777" w:rsidR="00D87791" w:rsidRPr="0081729D" w:rsidRDefault="00D87791" w:rsidP="0081729D">
      <w:pPr>
        <w:spacing w:line="360" w:lineRule="auto"/>
        <w:ind w:left="170" w:right="227" w:firstLine="170"/>
        <w:contextualSpacing/>
        <w:jc w:val="both"/>
        <w:rPr>
          <w:rFonts w:ascii="Times New Roman" w:eastAsia="Times New Roman" w:hAnsi="Times New Roman" w:cs="Times New Roman"/>
          <w:sz w:val="24"/>
          <w:szCs w:val="24"/>
        </w:rPr>
      </w:pPr>
      <w:r w:rsidRPr="0081729D">
        <w:rPr>
          <w:rFonts w:ascii="Times New Roman" w:hAnsi="Times New Roman" w:cs="Times New Roman"/>
          <w:sz w:val="24"/>
          <w:szCs w:val="24"/>
        </w:rPr>
        <w:t xml:space="preserve">Il terzo profilo, relativo alla redistribuzione dei benefici, emerge nella struttura stessa dell’incentivo sull’energia condivisa. La valorizzazione dell’energia autoconsumata collettivamente garantisce che il beneficio economico non si concentri esclusivamente sul singolo produttore, ma si diffonda tra i membri della comunità secondo regole statutarie conformi alle prescrizioni del GSE. L’ancoraggio alla cabina primaria e la dimensione locale della comunità rispondono a un’esigenza di radicamento territoriale del beneficio, coerente con finalità di </w:t>
      </w:r>
      <w:r w:rsidRPr="0081729D">
        <w:rPr>
          <w:rFonts w:ascii="Times New Roman" w:hAnsi="Times New Roman" w:cs="Times New Roman"/>
          <w:sz w:val="24"/>
          <w:szCs w:val="24"/>
        </w:rPr>
        <w:lastRenderedPageBreak/>
        <w:t>inclusione e coesione sociale, particolarmente rilevanti nei piccoli comuni destinatari del contributo PNRR.</w:t>
      </w:r>
      <w:r w:rsidRPr="0081729D">
        <w:rPr>
          <w:rFonts w:ascii="Times New Roman" w:eastAsia="Times New Roman" w:hAnsi="Times New Roman" w:cs="Times New Roman"/>
          <w:sz w:val="24"/>
          <w:szCs w:val="24"/>
        </w:rPr>
        <w:t xml:space="preserve"> </w:t>
      </w:r>
    </w:p>
    <w:p w14:paraId="7D379E8B" w14:textId="635EBF3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L’analisi delle diverse declinazioni della sostenibilità enucleate al presente paragrafo 3 consente di cogliere con maggiore chiarezza la logica complessiva che informa il modello delle comunità energetiche rinnovabili. Come emerso nei paragrafi precedenti, la dimensione sociale, quella ambientale e quella economica non rappresentano ambiti autonomi e separati, ma si integrano in un disegno unitario volto a promuovere forme più inclusive, partecipative e territorialmente radicate di produzione e gestione dell’energia. In tale prospettiva, le CER si configurano non soltanto come strumenti funzionali alla diffusione delle fonti rinnovabili, ma come dispositivi istituzionali attraverso i quali il legislatore europeo e nazionale intende favorire la partecipazione attiva delle comunità locali alla transizione energetica, in linea con una progressiva evoluzione della governance del settore verso modelli maggiormente policentrici e coerenti con il principio di sussidiarietà.</w:t>
      </w:r>
    </w:p>
    <w:p w14:paraId="59CA4796" w14:textId="4EFBF72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sostenibilità, dunque, non costituisce un obiettivo accessorio del modello comunitario, ma ne rappresenta il presupposto assiologico e il criterio interpretativo fondamentale</w:t>
      </w:r>
      <w:r w:rsidR="00787A3E">
        <w:rPr>
          <w:rFonts w:ascii="Times New Roman" w:hAnsi="Times New Roman" w:cs="Times New Roman"/>
          <w:sz w:val="24"/>
          <w:szCs w:val="24"/>
        </w:rPr>
        <w:t xml:space="preserve"> che </w:t>
      </w:r>
      <w:r w:rsidRPr="0081729D">
        <w:rPr>
          <w:rFonts w:ascii="Times New Roman" w:hAnsi="Times New Roman" w:cs="Times New Roman"/>
          <w:sz w:val="24"/>
          <w:szCs w:val="24"/>
        </w:rPr>
        <w:t>orienta l’intero impianto normativo delle CER</w:t>
      </w:r>
      <w:r w:rsidR="00787A3E">
        <w:rPr>
          <w:rFonts w:ascii="Times New Roman" w:hAnsi="Times New Roman" w:cs="Times New Roman"/>
          <w:sz w:val="24"/>
          <w:szCs w:val="24"/>
        </w:rPr>
        <w:t xml:space="preserve">, </w:t>
      </w:r>
      <w:r w:rsidRPr="0081729D">
        <w:rPr>
          <w:rFonts w:ascii="Times New Roman" w:hAnsi="Times New Roman" w:cs="Times New Roman"/>
          <w:sz w:val="24"/>
          <w:szCs w:val="24"/>
        </w:rPr>
        <w:t>strutturato proprio al fine di assicurare che l’attività di produzione, autoconsumo e condivisione dell’energia sia finalizzata alla generazione di benefici ambientali, sociali ed economici per i membri della comunità e per il territorio di riferimento.</w:t>
      </w:r>
      <w:r w:rsidR="009D76AE" w:rsidRPr="0081729D">
        <w:rPr>
          <w:rStyle w:val="Rimandonotaapidipagina"/>
          <w:rFonts w:ascii="Times New Roman" w:hAnsi="Times New Roman" w:cs="Times New Roman"/>
          <w:sz w:val="24"/>
          <w:szCs w:val="24"/>
        </w:rPr>
        <w:footnoteReference w:id="75"/>
      </w:r>
    </w:p>
    <w:p w14:paraId="40292088"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Proprio in questa prospettiva deve essere letta la disciplina dei requisiti giuridici delle comunità energetiche rinnovabili, attraverso la quale il legislatore ha inteso tradurre sul piano organizzativo e funzionale le finalità sopra richiamate. L’ordinamento, infatti, individua una serie di condizioni oggettive e soggettive che delimitano l’ambito di operatività delle CER e ne definiscono i tratti essenziali, ponendo particolare attenzione alla struttura partecipativa dell’ente, al carattere aperto e volontario dell’adesione e alla prevalenza dello scopo mutualistico e sociale rispetto a logiche meramente lucrative.</w:t>
      </w:r>
    </w:p>
    <w:p w14:paraId="001185DE" w14:textId="62259BCC"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Alla luce di tali premesse, appare dunque necessario esaminare più nel dettaglio i requisiti oggettivi e soggettivi previsti dalla normativa vigente, al fine di comprendere come il legislatore abbia configurato l’identità giuridica delle comunità energetiche rinnovabili e quali siano gli elementi che ne caratterizzano la struttura e il funzionamento.</w:t>
      </w:r>
    </w:p>
    <w:p w14:paraId="3B494381" w14:textId="36AEBAD8" w:rsidR="00D87791" w:rsidRPr="0081729D" w:rsidRDefault="00D87791" w:rsidP="002B7A90">
      <w:pPr>
        <w:pStyle w:val="Paragrafoelenco"/>
        <w:numPr>
          <w:ilvl w:val="0"/>
          <w:numId w:val="10"/>
        </w:numPr>
        <w:spacing w:after="160"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lastRenderedPageBreak/>
        <w:t>I requisiti oggettivi e soggettivi delle CER: lo scopo mutualistico e la prevalenza della finalità sociale sull’interesse economico.</w:t>
      </w:r>
    </w:p>
    <w:p w14:paraId="04AF8C00" w14:textId="6711B29F"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Nei paragrafi precedenti si è avuto modo di evidenziare come la disciplina CER riveli una natura intrinsecamente ibrida e stratificata che, in ragione della complessità del fenomeno, non si esaurisce nella sola dimensione pubblicistica.</w:t>
      </w:r>
      <w:r w:rsidR="00BD078D">
        <w:rPr>
          <w:rStyle w:val="Rimandonotaapidipagina"/>
          <w:rFonts w:ascii="Times New Roman" w:hAnsi="Times New Roman" w:cs="Times New Roman"/>
          <w:sz w:val="24"/>
          <w:szCs w:val="24"/>
        </w:rPr>
        <w:footnoteReference w:id="76"/>
      </w:r>
      <w:r w:rsidRPr="0081729D">
        <w:rPr>
          <w:rFonts w:ascii="Times New Roman" w:hAnsi="Times New Roman" w:cs="Times New Roman"/>
          <w:sz w:val="24"/>
          <w:szCs w:val="24"/>
        </w:rPr>
        <w:t xml:space="preserve"> Pur configurandosi quali strumenti di policy energetica funzionali all’attuazione degli obiettivi di decarbonizzazione e democratizzazione dell’energia, esse assumono sul piano giuridico la veste di enti collettivi dotati di autonoma soggettività, chiamati a operare sul mercato attraverso la produzione, gestione e condivisione di energia da fonti rinnovabili.</w:t>
      </w:r>
      <w:r w:rsidR="001345A3" w:rsidRPr="0081729D">
        <w:rPr>
          <w:rStyle w:val="Rimandonotaapidipagina"/>
          <w:rFonts w:ascii="Times New Roman" w:hAnsi="Times New Roman" w:cs="Times New Roman"/>
          <w:sz w:val="24"/>
          <w:szCs w:val="24"/>
        </w:rPr>
        <w:footnoteReference w:id="77"/>
      </w:r>
    </w:p>
    <w:p w14:paraId="5D9A9ED6" w14:textId="380F5DA1"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Ne discende che la loro disciplina intercetta trasversalmente il diritto commerciale, investendo profili centrali quali la scelta del tipo organizzativo, la delimitazione dell’oggetto sociale, la conformazione della causa e dello scopo, la distribuzione dei diritti amministrativi e patrimoniali tra i membri, nonché i limiti alla partecipazione e al controllo. La materia delle CER, pertanto, pur affondando le proprie radici nella regolazione pubblica del settore energetico, sollecita un’indagine che attiene direttamente all’autonomia privata organizzata e ai modelli tipici di esercizio collettivo dell’attività economica.</w:t>
      </w:r>
    </w:p>
    <w:p w14:paraId="0FCC527C" w14:textId="11D5F1BA"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Dopo aver esaminato le matrici economiche e sociologiche della transizione energetica e della sostenibilità — quali fondamenti ideali e funzionali dell’istituto — l’analisi deve ora concentrarsi su un piano più strettamente tecnico-giuridico. Occorre, in particolare, verificare quali siano i requisiti soggettivi e oggettivi imposti dalla normativa vigente per la qualificazione di un ente come comunità energetica rinnovabile e quali implicazioni sistematiche derivino dalla scelta del legislatore europeo e nazionale di non introdurre un nuovo tipo legale, bensì di configurare la CER quale qualifica giuridica innestata su modelli organizzativi preesistenti</w:t>
      </w:r>
    </w:p>
    <w:p w14:paraId="2C851140"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riferimento normativo primario è costituito dalla Direttiva (UE) 2018/2001, il cui art. 2, punto 16, definisce la comunità di energia rinnovabile come un “soggetto giuridico” (“</w:t>
      </w:r>
      <w:proofErr w:type="spellStart"/>
      <w:r w:rsidRPr="0081729D">
        <w:rPr>
          <w:rFonts w:ascii="Times New Roman" w:hAnsi="Times New Roman" w:cs="Times New Roman"/>
          <w:sz w:val="24"/>
          <w:szCs w:val="24"/>
        </w:rPr>
        <w:t>legal</w:t>
      </w:r>
      <w:proofErr w:type="spellEnd"/>
      <w:r w:rsidRPr="0081729D">
        <w:rPr>
          <w:rFonts w:ascii="Times New Roman" w:hAnsi="Times New Roman" w:cs="Times New Roman"/>
          <w:sz w:val="24"/>
          <w:szCs w:val="24"/>
        </w:rPr>
        <w:t xml:space="preserve"> </w:t>
      </w:r>
      <w:proofErr w:type="spellStart"/>
      <w:r w:rsidRPr="0081729D">
        <w:rPr>
          <w:rFonts w:ascii="Times New Roman" w:hAnsi="Times New Roman" w:cs="Times New Roman"/>
          <w:sz w:val="24"/>
          <w:szCs w:val="24"/>
        </w:rPr>
        <w:t>entity</w:t>
      </w:r>
      <w:proofErr w:type="spellEnd"/>
      <w:r w:rsidRPr="0081729D">
        <w:rPr>
          <w:rFonts w:ascii="Times New Roman" w:hAnsi="Times New Roman" w:cs="Times New Roman"/>
          <w:sz w:val="24"/>
          <w:szCs w:val="24"/>
        </w:rPr>
        <w:t>”), fondato su partecipazione aperta e volontaria, autonomo ed effettivamente controllato da membri o azionisti situati in prossimità degli impianti detenuti dalla comunità stessa. La medesima disposizione precisa che tali membri possono essere persone fisiche, piccole e medie imprese o autorità locali, comprese le amministrazioni comunali. L’art. 22 della direttiva, come già anticipato, ribadisce che la finalità primaria dell’ente deve consistere nel perseguimento di benefici ambientali, economici o sociali per i membri o per il territorio di riferimento, piuttosto che nella distribuzione di profitti finanziari.</w:t>
      </w:r>
    </w:p>
    <w:p w14:paraId="07F3928E" w14:textId="38F86402"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recepire tali coordinate, il Decreto legislativo 8 novembre 2021, n. 199 non ha introdotto un nuovo tipo legale di ente collettivo, ma ha riprodotto i requisiti sostanziali fissati a livello europeo, configurando la CER come una qualifica che si innesta su modelli organizzativi già esistenti nell’ordinamento.</w:t>
      </w:r>
      <w:r w:rsidR="001A4583" w:rsidRPr="0081729D">
        <w:rPr>
          <w:rStyle w:val="Rimandonotaapidipagina"/>
          <w:rFonts w:ascii="Times New Roman" w:hAnsi="Times New Roman" w:cs="Times New Roman"/>
          <w:sz w:val="24"/>
          <w:szCs w:val="24"/>
        </w:rPr>
        <w:footnoteReference w:id="78"/>
      </w:r>
      <w:r w:rsidRPr="0081729D">
        <w:rPr>
          <w:rFonts w:ascii="Times New Roman" w:hAnsi="Times New Roman" w:cs="Times New Roman"/>
          <w:sz w:val="24"/>
          <w:szCs w:val="24"/>
        </w:rPr>
        <w:t xml:space="preserve"> Ne consegue che la comunità energetica non coincide con una figura </w:t>
      </w:r>
      <w:r w:rsidRPr="0081729D">
        <w:rPr>
          <w:rFonts w:ascii="Times New Roman" w:hAnsi="Times New Roman" w:cs="Times New Roman"/>
          <w:sz w:val="24"/>
          <w:szCs w:val="24"/>
        </w:rPr>
        <w:lastRenderedPageBreak/>
        <w:t>tipica autonoma, bensì con un ente costituito secondo uno dei tipi previsti dal diritto comune — società, associazione, fondazione o altro ente dotato di personalità giuridica — purché conforme ai vincoli speciali imposti dalla disciplina di settore.</w:t>
      </w:r>
    </w:p>
    <w:p w14:paraId="2649FDF2" w14:textId="7E2E4106"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silenzio della normativa quanto all’individuazione di un elenco chiuso di forme giuridiche utilizzabili impone di interrogarsi se l’intero ventaglio degli enti collettivi contemplati dall’ordinamento sia astrattamente compatibile con l’acquisizione della qualifica di CER, ovvero se, alla luce dei vincoli relativi all’oggetto, allo scopo, alla compagine soggettiva e alla governance, taluni modelli debbano ritenersi strutturalmente incompatibili con la fisionomia normativa dell’istituto.</w:t>
      </w:r>
      <w:r w:rsidR="001C4115" w:rsidRPr="0081729D">
        <w:rPr>
          <w:rStyle w:val="Rimandonotaapidipagina"/>
          <w:rFonts w:ascii="Times New Roman" w:hAnsi="Times New Roman" w:cs="Times New Roman"/>
          <w:sz w:val="24"/>
          <w:szCs w:val="24"/>
        </w:rPr>
        <w:footnoteReference w:id="79"/>
      </w:r>
      <w:r w:rsidRPr="0081729D">
        <w:rPr>
          <w:rFonts w:ascii="Times New Roman" w:hAnsi="Times New Roman" w:cs="Times New Roman"/>
          <w:sz w:val="24"/>
          <w:szCs w:val="24"/>
        </w:rPr>
        <w:t xml:space="preserve"> La soluzione del quesito richiede un’analisi sistematica dei vincoli legali, articolabile lungo quattro direttrici fondamentali: l’oggetto dell’attività, lo scopo perseguito, i requisiti soggettivi di partecipazione e controllo, nonché la distribuzione dei diritti tra i membri.</w:t>
      </w:r>
      <w:r w:rsidR="00BD078D">
        <w:rPr>
          <w:rStyle w:val="Rimandonotaapidipagina"/>
          <w:rFonts w:ascii="Times New Roman" w:hAnsi="Times New Roman" w:cs="Times New Roman"/>
          <w:sz w:val="24"/>
          <w:szCs w:val="24"/>
        </w:rPr>
        <w:footnoteReference w:id="80"/>
      </w:r>
    </w:p>
    <w:p w14:paraId="7F9FF4C4" w14:textId="39AB5A52"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In tale contesto, il primo elemento sistematicamente rilevante è lo scopo mutualistico,</w:t>
      </w:r>
      <w:r w:rsidR="00D1521B" w:rsidRPr="0081729D">
        <w:rPr>
          <w:rStyle w:val="Rimandonotaapidipagina"/>
          <w:rFonts w:ascii="Times New Roman" w:hAnsi="Times New Roman" w:cs="Times New Roman"/>
          <w:sz w:val="24"/>
          <w:szCs w:val="24"/>
        </w:rPr>
        <w:footnoteReference w:id="81"/>
      </w:r>
      <w:r w:rsidRPr="0081729D">
        <w:rPr>
          <w:rFonts w:ascii="Times New Roman" w:hAnsi="Times New Roman" w:cs="Times New Roman"/>
          <w:sz w:val="24"/>
          <w:szCs w:val="24"/>
        </w:rPr>
        <w:t xml:space="preserve"> che rappresenta la chiave di volta per comprendere l’intero impianto normativo. Il mutualismo non si riduce alla mera assenza di lucro soggettivo</w:t>
      </w:r>
      <w:r w:rsidR="00EC5DF9" w:rsidRPr="0081729D">
        <w:rPr>
          <w:rFonts w:ascii="Times New Roman" w:hAnsi="Times New Roman" w:cs="Times New Roman"/>
          <w:sz w:val="24"/>
          <w:szCs w:val="24"/>
        </w:rPr>
        <w:t xml:space="preserve"> bensì</w:t>
      </w:r>
      <w:r w:rsidRPr="0081729D">
        <w:rPr>
          <w:rFonts w:ascii="Times New Roman" w:hAnsi="Times New Roman" w:cs="Times New Roman"/>
          <w:sz w:val="24"/>
          <w:szCs w:val="24"/>
        </w:rPr>
        <w:t xml:space="preserve"> implica la strutturale subordinazione dell’interesse economico individuale alla finalità collettiva. L’attività della CER, pur presentando tratti tipicamente imprenditoriali — organizzazione di mezzi, assunzione di rischio, produzione e scambio di energia — è teleologicamente orientata alla produzione di benefici condivisi. Il vantaggio economico conseguito dai singoli partecipanti (risparmio in bolletta, valorizzazione dell’energia eccedentaria, accesso agli incentivi) non costituisce il fine ultimo dell’ente, bensì uno strumento per rafforzare la comunità territoriale di riferimento.</w:t>
      </w:r>
    </w:p>
    <w:p w14:paraId="367E0AD3"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Sotto il profilo oggettivo, l’attività della CER consiste nella produzione, condivisione e gestione di energia da fonti rinnovabili, nonché nello svolgimento di attività accessorie e strumentali a tali finalità. Essa presuppone la presenza di impianti e di una platea di utenti connessi alla medesima infrastruttura di rete, così da consentire la condivisione dell’energia prodotta. Tuttavia, la connotazione imprenditoriale dell’attività deve essere coordinata con il vincolo teleologico imposto dall’art. 22 della direttiva, che esclude la preminenza dello scopo lucrativo e impone il perseguimento prioritario di benefici ambientali, economici o sociali.</w:t>
      </w:r>
    </w:p>
    <w:p w14:paraId="1C7211CD" w14:textId="0B4B8F2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Quanto ai requisiti soggettivi, l’art. 2, punto 16,</w:t>
      </w:r>
      <w:r w:rsidR="00D1521B" w:rsidRPr="0081729D">
        <w:rPr>
          <w:rFonts w:ascii="Times New Roman" w:hAnsi="Times New Roman" w:cs="Times New Roman"/>
          <w:sz w:val="24"/>
          <w:szCs w:val="24"/>
        </w:rPr>
        <w:t xml:space="preserve"> </w:t>
      </w:r>
      <w:r w:rsidRPr="0081729D">
        <w:rPr>
          <w:rFonts w:ascii="Times New Roman" w:hAnsi="Times New Roman" w:cs="Times New Roman"/>
          <w:sz w:val="24"/>
          <w:szCs w:val="24"/>
        </w:rPr>
        <w:t>circoscrive la platea dei membri a persone fisiche, PMI e autorità locali, richiedendo altresì che il controllo effettivo dell’ente resti in capo a soggetti radicati nel territorio di riferimento. Tale previsione esprime una chiara opzione di politica del diritto: evitare che la comunità sia dominata da grandi operatori energetici orientati al profitto e preservarne la dimensione territoriale e solidaristica. Il mutualismo si traduce così anche in un criterio di selezione della compagine sociale e di conformazione dei rapporti di potere interni.</w:t>
      </w:r>
    </w:p>
    <w:p w14:paraId="5F21B472"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Infine, la partecipazione deve essere aperta e volontaria e l’assetto di governance improntato a criteri di democraticità, con una distribuzione dei diritti amministrativi che non sia rigidamente </w:t>
      </w:r>
      <w:r w:rsidRPr="0081729D">
        <w:rPr>
          <w:rFonts w:ascii="Times New Roman" w:hAnsi="Times New Roman" w:cs="Times New Roman"/>
          <w:sz w:val="24"/>
          <w:szCs w:val="24"/>
        </w:rPr>
        <w:lastRenderedPageBreak/>
        <w:t>parametrata al mero apporto di capitale. In ciò si coglie un limite significativo alla piena operatività del principio capitalistico di proporzionalità tra investimento e potere decisionale. L’apertura della partecipazione, unita alla possibilità di recesso, garantisce la permeabilità dell’ente al contesto sociale locale e impedisce la cristallizzazione oligarchica del controllo.</w:t>
      </w:r>
    </w:p>
    <w:p w14:paraId="2B14647D" w14:textId="2934AFD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L’intreccio tra mutualismo, apertura e controllo territoriale consente di </w:t>
      </w:r>
      <w:r w:rsidR="00D1521B" w:rsidRPr="0081729D">
        <w:rPr>
          <w:rFonts w:ascii="Times New Roman" w:hAnsi="Times New Roman" w:cs="Times New Roman"/>
          <w:sz w:val="24"/>
          <w:szCs w:val="24"/>
        </w:rPr>
        <w:t>interpretar</w:t>
      </w:r>
      <w:r w:rsidRPr="0081729D">
        <w:rPr>
          <w:rFonts w:ascii="Times New Roman" w:hAnsi="Times New Roman" w:cs="Times New Roman"/>
          <w:sz w:val="24"/>
          <w:szCs w:val="24"/>
        </w:rPr>
        <w:t xml:space="preserve">e le CER come strumenti di attuazione della sussidiarietà orizzontale ex art. 118, quarto comma, </w:t>
      </w:r>
      <w:r w:rsidR="00D1521B" w:rsidRPr="0081729D">
        <w:rPr>
          <w:rFonts w:ascii="Times New Roman" w:hAnsi="Times New Roman" w:cs="Times New Roman"/>
          <w:sz w:val="24"/>
          <w:szCs w:val="24"/>
        </w:rPr>
        <w:t xml:space="preserve">realizzando </w:t>
      </w:r>
      <w:r w:rsidRPr="0081729D">
        <w:rPr>
          <w:rFonts w:ascii="Times New Roman" w:hAnsi="Times New Roman" w:cs="Times New Roman"/>
          <w:sz w:val="24"/>
          <w:szCs w:val="24"/>
        </w:rPr>
        <w:t>una forma di decentramento energetico</w:t>
      </w:r>
      <w:r w:rsidR="00D1521B" w:rsidRPr="0081729D">
        <w:rPr>
          <w:rFonts w:ascii="Times New Roman" w:hAnsi="Times New Roman" w:cs="Times New Roman"/>
          <w:sz w:val="24"/>
          <w:szCs w:val="24"/>
        </w:rPr>
        <w:t xml:space="preserve"> attraverso il quale</w:t>
      </w:r>
      <w:r w:rsidRPr="0081729D">
        <w:rPr>
          <w:rFonts w:ascii="Times New Roman" w:hAnsi="Times New Roman" w:cs="Times New Roman"/>
          <w:sz w:val="24"/>
          <w:szCs w:val="24"/>
        </w:rPr>
        <w:t xml:space="preserve"> la produzione è distribuita tra una pluralità di attori locali</w:t>
      </w:r>
      <w:r w:rsidR="00D1521B" w:rsidRPr="0081729D">
        <w:rPr>
          <w:rFonts w:ascii="Times New Roman" w:hAnsi="Times New Roman" w:cs="Times New Roman"/>
          <w:sz w:val="24"/>
          <w:szCs w:val="24"/>
        </w:rPr>
        <w:t>,</w:t>
      </w:r>
      <w:r w:rsidRPr="0081729D">
        <w:rPr>
          <w:rFonts w:ascii="Times New Roman" w:hAnsi="Times New Roman" w:cs="Times New Roman"/>
          <w:sz w:val="24"/>
          <w:szCs w:val="24"/>
        </w:rPr>
        <w:t xml:space="preserve"> le risorse rinnovabili diffuse sono valorizzate</w:t>
      </w:r>
      <w:r w:rsidR="00D1521B" w:rsidRPr="0081729D">
        <w:rPr>
          <w:rFonts w:ascii="Times New Roman" w:hAnsi="Times New Roman" w:cs="Times New Roman"/>
          <w:sz w:val="24"/>
          <w:szCs w:val="24"/>
        </w:rPr>
        <w:t xml:space="preserve">, </w:t>
      </w:r>
      <w:r w:rsidRPr="0081729D">
        <w:rPr>
          <w:rFonts w:ascii="Times New Roman" w:hAnsi="Times New Roman" w:cs="Times New Roman"/>
          <w:sz w:val="24"/>
          <w:szCs w:val="24"/>
        </w:rPr>
        <w:t>il potere economico lungo la filiera energetica viene redistribuito.</w:t>
      </w:r>
      <w:r w:rsidR="00D34771" w:rsidRPr="0081729D">
        <w:rPr>
          <w:rStyle w:val="Rimandonotaapidipagina"/>
          <w:rFonts w:ascii="Times New Roman" w:hAnsi="Times New Roman" w:cs="Times New Roman"/>
          <w:sz w:val="24"/>
          <w:szCs w:val="24"/>
        </w:rPr>
        <w:footnoteReference w:id="82"/>
      </w:r>
    </w:p>
    <w:p w14:paraId="46020413" w14:textId="6AB1F430" w:rsidR="00D1521B" w:rsidRPr="0081729D" w:rsidRDefault="00D1521B" w:rsidP="0081729D">
      <w:pPr>
        <w:spacing w:line="360" w:lineRule="auto"/>
        <w:ind w:left="170" w:right="227" w:firstLine="170"/>
        <w:contextualSpacing/>
        <w:jc w:val="both"/>
        <w:rPr>
          <w:rFonts w:ascii="Times New Roman" w:hAnsi="Times New Roman" w:cs="Times New Roman"/>
          <w:sz w:val="24"/>
          <w:szCs w:val="24"/>
        </w:rPr>
      </w:pPr>
      <w:r w:rsidRPr="00D1521B">
        <w:rPr>
          <w:rFonts w:ascii="Times New Roman" w:hAnsi="Times New Roman" w:cs="Times New Roman"/>
          <w:sz w:val="24"/>
          <w:szCs w:val="24"/>
        </w:rPr>
        <w:t>Dall’esame congiunto degli elementi considerati emerge che la qualifica di CER non può essere attribuita indistintamente a qualunque ente collettivo. Le società cooperative, per la loro causa mutualistica e per il principio del voto capitario, risultano strutturalmente più aderenti al modello normativo delle comunità energetiche rinnovabili</w:t>
      </w:r>
      <w:r w:rsidRPr="0081729D">
        <w:rPr>
          <w:rFonts w:ascii="Times New Roman" w:hAnsi="Times New Roman" w:cs="Times New Roman"/>
          <w:sz w:val="24"/>
          <w:szCs w:val="24"/>
        </w:rPr>
        <w:t>; in questo quadro,</w:t>
      </w:r>
      <w:r w:rsidRPr="00D1521B">
        <w:rPr>
          <w:rFonts w:ascii="Times New Roman" w:hAnsi="Times New Roman" w:cs="Times New Roman"/>
          <w:sz w:val="24"/>
          <w:szCs w:val="24"/>
        </w:rPr>
        <w:t xml:space="preserve"> anche la forma associativa può rivelarsi idonea, soprattutto quando l’attività economica svolta sia effettivamente strumentale a finalità solidaristiche e radicate nel territorio.</w:t>
      </w:r>
    </w:p>
    <w:p w14:paraId="47F1B45F" w14:textId="31523CAF" w:rsidR="00D1521B" w:rsidRPr="0081729D" w:rsidRDefault="00D1521B" w:rsidP="0081729D">
      <w:pPr>
        <w:spacing w:line="360" w:lineRule="auto"/>
        <w:ind w:left="170" w:right="227" w:firstLine="170"/>
        <w:contextualSpacing/>
        <w:jc w:val="both"/>
        <w:rPr>
          <w:rFonts w:ascii="Times New Roman" w:hAnsi="Times New Roman" w:cs="Times New Roman"/>
          <w:sz w:val="24"/>
          <w:szCs w:val="24"/>
        </w:rPr>
      </w:pPr>
      <w:r w:rsidRPr="00D1521B">
        <w:rPr>
          <w:rFonts w:ascii="Times New Roman" w:hAnsi="Times New Roman" w:cs="Times New Roman"/>
          <w:sz w:val="24"/>
          <w:szCs w:val="24"/>
        </w:rPr>
        <w:t>Viceversa, l’utilizzo di società lucrative tradizionali — quali società per azioni, società a responsabilità limitata o società di persone — presenta significative criticità sistematiche</w:t>
      </w:r>
      <w:r w:rsidRPr="0081729D">
        <w:rPr>
          <w:rFonts w:ascii="Times New Roman" w:hAnsi="Times New Roman" w:cs="Times New Roman"/>
          <w:sz w:val="24"/>
          <w:szCs w:val="24"/>
        </w:rPr>
        <w:t xml:space="preserve"> atteso che, l</w:t>
      </w:r>
      <w:r w:rsidRPr="00D1521B">
        <w:rPr>
          <w:rFonts w:ascii="Times New Roman" w:hAnsi="Times New Roman" w:cs="Times New Roman"/>
          <w:sz w:val="24"/>
          <w:szCs w:val="24"/>
        </w:rPr>
        <w:t xml:space="preserve">a causa tipica di tali forme, fondata sulla ripartizione degli utili in proporzione al capitale conferito, </w:t>
      </w:r>
      <w:r w:rsidRPr="0081729D">
        <w:rPr>
          <w:rFonts w:ascii="Times New Roman" w:hAnsi="Times New Roman" w:cs="Times New Roman"/>
          <w:sz w:val="24"/>
          <w:szCs w:val="24"/>
        </w:rPr>
        <w:t xml:space="preserve">difficilmente </w:t>
      </w:r>
      <w:r w:rsidRPr="00D1521B">
        <w:rPr>
          <w:rFonts w:ascii="Times New Roman" w:hAnsi="Times New Roman" w:cs="Times New Roman"/>
          <w:sz w:val="24"/>
          <w:szCs w:val="24"/>
        </w:rPr>
        <w:t>si concilia con il primato dei benefici ambientali e sociali imposto dalla disciplina delle CER. Ne deriva che</w:t>
      </w:r>
      <w:r w:rsidRPr="0081729D">
        <w:rPr>
          <w:rFonts w:ascii="Times New Roman" w:hAnsi="Times New Roman" w:cs="Times New Roman"/>
          <w:sz w:val="24"/>
          <w:szCs w:val="24"/>
        </w:rPr>
        <w:t xml:space="preserve"> </w:t>
      </w:r>
      <w:r w:rsidRPr="00D1521B">
        <w:rPr>
          <w:rFonts w:ascii="Times New Roman" w:hAnsi="Times New Roman" w:cs="Times New Roman"/>
          <w:sz w:val="24"/>
          <w:szCs w:val="24"/>
        </w:rPr>
        <w:t>l’impiego di tali modelli come veste giuridica di una CER</w:t>
      </w:r>
      <w:r w:rsidRPr="0081729D">
        <w:rPr>
          <w:rFonts w:ascii="Times New Roman" w:hAnsi="Times New Roman" w:cs="Times New Roman"/>
          <w:sz w:val="24"/>
          <w:szCs w:val="24"/>
        </w:rPr>
        <w:t xml:space="preserve">, </w:t>
      </w:r>
      <w:r w:rsidRPr="00D1521B">
        <w:rPr>
          <w:rFonts w:ascii="Times New Roman" w:hAnsi="Times New Roman" w:cs="Times New Roman"/>
          <w:sz w:val="24"/>
          <w:szCs w:val="24"/>
        </w:rPr>
        <w:t>richiede una rigorosa verifica di compatibilità statutaria e funzionale con i vincoli inderogabili della normativa speciale, affinché la finalità sociale conservi una effettiva prevalenza sugli interessi economici dei soci.</w:t>
      </w:r>
    </w:p>
    <w:p w14:paraId="0E8CECA3" w14:textId="77777777" w:rsidR="00D87791" w:rsidRPr="0081729D" w:rsidRDefault="00D87791" w:rsidP="0081729D">
      <w:pPr>
        <w:pStyle w:val="Paragrafoelenco"/>
        <w:spacing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4</w:t>
      </w:r>
      <w:r w:rsidRPr="0081729D">
        <w:rPr>
          <w:rFonts w:ascii="Times New Roman" w:hAnsi="Times New Roman" w:cs="Times New Roman"/>
          <w:sz w:val="24"/>
          <w:szCs w:val="24"/>
        </w:rPr>
        <w:t>.</w:t>
      </w:r>
      <w:r w:rsidRPr="0081729D">
        <w:rPr>
          <w:rFonts w:ascii="Times New Roman" w:hAnsi="Times New Roman" w:cs="Times New Roman"/>
          <w:b/>
          <w:bCs/>
          <w:sz w:val="24"/>
          <w:szCs w:val="24"/>
        </w:rPr>
        <w:t>1 Il carattere aperto e volontario delle CER, i diritti di partecipazione ed i poteri di controllo.</w:t>
      </w:r>
    </w:p>
    <w:p w14:paraId="72793B09" w14:textId="07444EDD" w:rsidR="000C4083"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Un elemento cruciale per la configurazione delle comunità energetiche rinnovabili riguarda l’osservanza dei principi di apertura e volontaria della partecipazione, strettamente correlati alla</w:t>
      </w:r>
      <w:r w:rsidRPr="0081729D">
        <w:rPr>
          <w:rFonts w:ascii="Times New Roman" w:hAnsi="Times New Roman" w:cs="Times New Roman"/>
          <w:b/>
          <w:bCs/>
          <w:sz w:val="24"/>
          <w:szCs w:val="24"/>
        </w:rPr>
        <w:t xml:space="preserve"> </w:t>
      </w:r>
      <w:r w:rsidRPr="0081729D">
        <w:rPr>
          <w:rFonts w:ascii="Times New Roman" w:hAnsi="Times New Roman" w:cs="Times New Roman"/>
          <w:sz w:val="24"/>
          <w:szCs w:val="24"/>
        </w:rPr>
        <w:t>ripartizione dei diritti tra i membri.</w:t>
      </w:r>
      <w:r w:rsidR="000C4083" w:rsidRPr="0081729D">
        <w:rPr>
          <w:rFonts w:ascii="Times New Roman" w:hAnsi="Times New Roman" w:cs="Times New Roman"/>
          <w:sz w:val="24"/>
          <w:szCs w:val="24"/>
        </w:rPr>
        <w:t xml:space="preserve"> </w:t>
      </w:r>
      <w:r w:rsidRPr="0081729D">
        <w:rPr>
          <w:rFonts w:ascii="Times New Roman" w:hAnsi="Times New Roman" w:cs="Times New Roman"/>
          <w:sz w:val="24"/>
          <w:szCs w:val="24"/>
        </w:rPr>
        <w:t>In primo luogo, occorre osservare che il Decreto legislativo 8 novembre 2021, n. 199 prevede espressamente che l’accesso alle CER debba essere “aperto”,</w:t>
      </w:r>
      <w:r w:rsidR="00740492" w:rsidRPr="0081729D">
        <w:rPr>
          <w:rStyle w:val="Rimandonotaapidipagina"/>
          <w:rFonts w:ascii="Times New Roman" w:hAnsi="Times New Roman" w:cs="Times New Roman"/>
          <w:sz w:val="24"/>
          <w:szCs w:val="24"/>
        </w:rPr>
        <w:footnoteReference w:id="83"/>
      </w:r>
      <w:r w:rsidRPr="0081729D">
        <w:rPr>
          <w:rFonts w:ascii="Times New Roman" w:hAnsi="Times New Roman" w:cs="Times New Roman"/>
          <w:sz w:val="24"/>
          <w:szCs w:val="24"/>
        </w:rPr>
        <w:t xml:space="preserve"> </w:t>
      </w:r>
      <w:r w:rsidRPr="0081729D">
        <w:rPr>
          <w:rFonts w:ascii="Times New Roman" w:hAnsi="Times New Roman" w:cs="Times New Roman"/>
          <w:sz w:val="24"/>
          <w:szCs w:val="24"/>
        </w:rPr>
        <w:lastRenderedPageBreak/>
        <w:t>mentre la direttiva RED II richiedeva altresì che la partecipazione fosse “volontaria”. Sebbene quest’ultimo aggettivo non sia stato riprodotto nel testo nazionale, è ragionevole interpretarlo come implicito, coerentemente con la ratio complessiva della disciplina italiana e con la finalità di garantire l’effettiva partecipazione dei membri. In termini applicativi, i principi di apertura e volontarietà si traducono nella possibilità per chiunque ne abbia interesse di aderire alla comunità e nella facoltà dei membri di recedere liberamente dall’ente.</w:t>
      </w:r>
      <w:r w:rsidR="008414C9">
        <w:rPr>
          <w:rStyle w:val="Rimandonotaapidipagina"/>
          <w:rFonts w:ascii="Times New Roman" w:hAnsi="Times New Roman" w:cs="Times New Roman"/>
          <w:sz w:val="24"/>
          <w:szCs w:val="24"/>
        </w:rPr>
        <w:footnoteReference w:id="84"/>
      </w:r>
      <w:r w:rsidRPr="0081729D">
        <w:rPr>
          <w:rFonts w:ascii="Times New Roman" w:hAnsi="Times New Roman" w:cs="Times New Roman"/>
          <w:sz w:val="24"/>
          <w:szCs w:val="24"/>
        </w:rPr>
        <w:t xml:space="preserve"> </w:t>
      </w:r>
    </w:p>
    <w:p w14:paraId="05DD9D1F" w14:textId="47C883E8"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Tali prerogative rafforzano il carattere inclusivo delle CER e concorrono a consolidare la dimensione comunitaria e territoriale dell’iniziativa, consentendo una partecipazione attiva alla gestione e alla condivisione dell’energia prodotta.</w:t>
      </w:r>
    </w:p>
    <w:p w14:paraId="21E16D0E" w14:textId="4D69E0FF"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Tuttavia, l’apertura non può essere intesa in senso assoluto o letterale, poiché un’interpretazione eccessivamente estesa inciderebbe sul modello costitutivo adottato dalla comunità — sia esso cooperativo, associativo o societario — con possibili effetti, in sede di recepimento nel diritto interno, di incompatibilità con le norme civilistiche o cooperative di riferimento. Come sarà approfondito nel corso dell’analisi, l’integrazione dei principi di apertura e volontarietà deve quindi conciliarsi con le caratteristiche strutturali e organizzative dell’ente prescelto (sia essa una associazione, cooperativa o altro modello di riferimento).</w:t>
      </w:r>
    </w:p>
    <w:p w14:paraId="1BD0DF2F" w14:textId="50AE01E1" w:rsidR="0081729D"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Sorge altresì la questione della inderogabilità dei principi:</w:t>
      </w:r>
      <w:r w:rsidR="0081729D" w:rsidRPr="0081729D">
        <w:rPr>
          <w:rStyle w:val="Rimandonotaapidipagina"/>
          <w:rFonts w:ascii="Times New Roman" w:hAnsi="Times New Roman" w:cs="Times New Roman"/>
          <w:sz w:val="24"/>
          <w:szCs w:val="24"/>
        </w:rPr>
        <w:t xml:space="preserve"> </w:t>
      </w:r>
      <w:r w:rsidRPr="0081729D">
        <w:rPr>
          <w:rFonts w:ascii="Times New Roman" w:hAnsi="Times New Roman" w:cs="Times New Roman"/>
          <w:sz w:val="24"/>
          <w:szCs w:val="24"/>
        </w:rPr>
        <w:t>in astratto, apertura e volontarietà appaiono finalizzati a tutelare l’interesse collettivo e a garantire la partecipazione attiva dei membri, configurandosi come limiti sostanziali alla concentrazione di potere decisionale</w:t>
      </w:r>
      <w:r w:rsidR="0081729D" w:rsidRPr="0081729D">
        <w:rPr>
          <w:rFonts w:ascii="Times New Roman" w:hAnsi="Times New Roman" w:cs="Times New Roman"/>
          <w:sz w:val="24"/>
          <w:szCs w:val="24"/>
        </w:rPr>
        <w:t>.</w:t>
      </w:r>
    </w:p>
    <w:p w14:paraId="7169D456" w14:textId="0E6034A9" w:rsidR="0081729D"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In concreto, la normativa non esclude la possibilità di prevedere limitazioni ragionevoli, funzionali alla sopravvivenza o al buon funzionamento della CER: esempi tipici di tali limitazioni possono riguardare finestre temporali per l’ingresso dei nuovi membri o contributi iniziali proporzionati alle esigenze dell’ente. La valutazione dell’ammissibilità di tali vincoli richiede un giudizio caso per caso, ponderando il principio generale con le concrete necessità organizzative.</w:t>
      </w:r>
    </w:p>
    <w:p w14:paraId="7D7E48C1" w14:textId="68892BFF"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Dal punto di vista tecnico-giuridico, un approccio interpretativo coerente consiste nel fare riferimento alle norme proprie del tipo di ente collettivo adottato dalla CER — norme consolidate dalla dottrina e dalla giurisprudenza — integrandole con i tre principi fondamentali delle comunità energetiche: apertura, volontarietà e democraticità. Quest’ultima si esplica, a titolo esemplificativo, tramite il voto capitario o assemblee articolate per categorie territoriali o funzionali dei membri, assicurando che le decisioni riflettano l’interesse collettivo e non siano dominate da una minoranza di soggetti. È evidente che, laddove il tipo di ente prescelto non </w:t>
      </w:r>
      <w:proofErr w:type="spellStart"/>
      <w:r w:rsidRPr="0081729D">
        <w:rPr>
          <w:rFonts w:ascii="Times New Roman" w:hAnsi="Times New Roman" w:cs="Times New Roman"/>
          <w:sz w:val="24"/>
          <w:szCs w:val="24"/>
        </w:rPr>
        <w:t>garantisca</w:t>
      </w:r>
      <w:proofErr w:type="spellEnd"/>
      <w:r w:rsidRPr="0081729D">
        <w:rPr>
          <w:rFonts w:ascii="Times New Roman" w:hAnsi="Times New Roman" w:cs="Times New Roman"/>
          <w:sz w:val="24"/>
          <w:szCs w:val="24"/>
        </w:rPr>
        <w:t xml:space="preserve"> automaticamente tali principi, sarà necessario inserirli nello statuto della CER mediante apposite previsioni regolamentari. Analogamente all’apertura e alla volontarietà, anche la democraticità può essere assicurata solo attraverso regole interne progettate in coerenza con la natura della comunità e con l’oggetto sociale perseguito.</w:t>
      </w:r>
    </w:p>
    <w:p w14:paraId="70BA1AE8"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 disciplina delle CER pone vincoli stringenti non solo sui requisiti di adesione, ma anche sulla distribuzione dei poteri di controllo. Possono diventare membri tutti i consumatori di energia, siano essi prosumer o utenti finali. Le imprese, invece, possono partecipare solo se la CER non costituisce la loro attività commerciale o industriale principale. </w:t>
      </w:r>
    </w:p>
    <w:p w14:paraId="2EA72DCB"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Di conseguenza, le imprese energetiche e le </w:t>
      </w:r>
      <w:proofErr w:type="spellStart"/>
      <w:r w:rsidRPr="0081729D">
        <w:rPr>
          <w:rFonts w:ascii="Times New Roman" w:hAnsi="Times New Roman" w:cs="Times New Roman"/>
          <w:sz w:val="24"/>
          <w:szCs w:val="24"/>
        </w:rPr>
        <w:t>ESCo</w:t>
      </w:r>
      <w:proofErr w:type="spellEnd"/>
      <w:r w:rsidRPr="0081729D">
        <w:rPr>
          <w:rFonts w:ascii="Times New Roman" w:hAnsi="Times New Roman" w:cs="Times New Roman"/>
          <w:sz w:val="24"/>
          <w:szCs w:val="24"/>
        </w:rPr>
        <w:t xml:space="preserve"> (Energy Service Company, di cui al decreto legislativo n. 115/2008) sono precluse dall’assumere la qualifica di membro, poiché per tali soggetti la partecipazione a una CER costituisce, per definizione, attività principale. La </w:t>
      </w:r>
      <w:r w:rsidRPr="0081729D">
        <w:rPr>
          <w:rFonts w:ascii="Times New Roman" w:hAnsi="Times New Roman" w:cs="Times New Roman"/>
          <w:i/>
          <w:iCs/>
          <w:sz w:val="24"/>
          <w:szCs w:val="24"/>
        </w:rPr>
        <w:t>ratio</w:t>
      </w:r>
      <w:r w:rsidRPr="0081729D">
        <w:rPr>
          <w:rFonts w:ascii="Times New Roman" w:hAnsi="Times New Roman" w:cs="Times New Roman"/>
          <w:sz w:val="24"/>
          <w:szCs w:val="24"/>
        </w:rPr>
        <w:t xml:space="preserve"> di tale previsione risiede nella necessità di garantire l’autonomia delle CER rispetto ai grandi operatori del settore, evitando che la comunità possa essere assoggettata a interessi commerciali esterni. Ciò non esclude che le imprese energetiche possano concludere rapporti contrattuali con le CER, fornendo servizi o partecipando a iniziative congiunte, attività spesso necessarie affinché le comunità possano operare efficacemente sul mercato.</w:t>
      </w:r>
    </w:p>
    <w:p w14:paraId="5E9493CB"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Diversamente, tutte le altre imprese non rientranti nel settore energetico principale possono divenire membri, senza vincoli territoriali, in coerenza con l’obiettivo di garantire la più ampia apertura possibile della partecipazione.</w:t>
      </w:r>
    </w:p>
    <w:p w14:paraId="04F6C4CA"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Per quanto riguarda i poteri di controllo, la normativa è più restrittiva: il controllo effettivo della CER può essere esercitato esclusivamente da persone fisiche, PMI, enti territoriali, autorità locali, enti di ricerca e formazione, enti religiosi e soggetti del terzo settore, purché tali soggetti siano </w:t>
      </w:r>
      <w:r w:rsidRPr="0081729D">
        <w:rPr>
          <w:rFonts w:ascii="Times New Roman" w:hAnsi="Times New Roman" w:cs="Times New Roman"/>
          <w:sz w:val="24"/>
          <w:szCs w:val="24"/>
        </w:rPr>
        <w:lastRenderedPageBreak/>
        <w:t>ubicati nel territorio dei comuni in cui sono collocati gli impianti della CER. Questa disposizione mira a garantire che le decisioni strategiche siano assunte da attori radicati localmente, preservando l’autonomia della comunità e favorendo l’accettazione dei progetti a livello locale. Ne consegue che, pur potendo alcune grandi imprese non energetiche aderire come membri, esse non possono assumere il controllo, a tutela dell’indipendenza dell’ente.</w:t>
      </w:r>
    </w:p>
    <w:p w14:paraId="2190BCF1" w14:textId="77777777" w:rsidR="000C4083"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Da tali vincoli derivano alcune osservazioni interpretative di rilievo:</w:t>
      </w:r>
      <w:r w:rsidR="000C4083" w:rsidRPr="0081729D">
        <w:rPr>
          <w:rFonts w:ascii="Times New Roman" w:hAnsi="Times New Roman" w:cs="Times New Roman"/>
          <w:sz w:val="24"/>
          <w:szCs w:val="24"/>
        </w:rPr>
        <w:t xml:space="preserve"> </w:t>
      </w:r>
    </w:p>
    <w:p w14:paraId="35F18AB1" w14:textId="77777777" w:rsidR="000C4083" w:rsidRPr="0081729D" w:rsidRDefault="000C4083"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1) </w:t>
      </w:r>
      <w:r w:rsidR="00D87791" w:rsidRPr="0081729D">
        <w:rPr>
          <w:rFonts w:ascii="Times New Roman" w:hAnsi="Times New Roman" w:cs="Times New Roman"/>
          <w:sz w:val="24"/>
          <w:szCs w:val="24"/>
        </w:rPr>
        <w:t>Numero minimo di membri: in assenza di una disposizione specifica, si applica il minimo legale previsto per il tipo di ente adottato; qualora la CER scenda al di sotto di tale soglia, è necessario scioglimento o trasformazione</w:t>
      </w:r>
      <w:r w:rsidRPr="0081729D">
        <w:rPr>
          <w:rFonts w:ascii="Times New Roman" w:hAnsi="Times New Roman" w:cs="Times New Roman"/>
          <w:sz w:val="24"/>
          <w:szCs w:val="24"/>
        </w:rPr>
        <w:t xml:space="preserve">. </w:t>
      </w:r>
    </w:p>
    <w:p w14:paraId="71758FC9" w14:textId="77777777" w:rsidR="000C4083" w:rsidRPr="0081729D" w:rsidRDefault="000C4083"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2) </w:t>
      </w:r>
      <w:r w:rsidR="00D87791" w:rsidRPr="0081729D">
        <w:rPr>
          <w:rFonts w:ascii="Times New Roman" w:hAnsi="Times New Roman" w:cs="Times New Roman"/>
          <w:sz w:val="24"/>
          <w:szCs w:val="24"/>
        </w:rPr>
        <w:t>Nozione di controllo: è ragionevole adottare la definizione di controllo prevista dal diritto societario nazionale, garantendo flessibilità interpretativa senza compromettere i vincoli territoriali e mutualistici.</w:t>
      </w:r>
      <w:r w:rsidRPr="0081729D">
        <w:rPr>
          <w:rFonts w:ascii="Times New Roman" w:hAnsi="Times New Roman" w:cs="Times New Roman"/>
          <w:sz w:val="24"/>
          <w:szCs w:val="24"/>
        </w:rPr>
        <w:t xml:space="preserve"> </w:t>
      </w:r>
    </w:p>
    <w:p w14:paraId="37D74B58" w14:textId="0E627029" w:rsidR="00D87791" w:rsidRPr="0081729D" w:rsidRDefault="000C4083"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3) </w:t>
      </w:r>
      <w:r w:rsidR="00D87791" w:rsidRPr="0081729D">
        <w:rPr>
          <w:rFonts w:ascii="Times New Roman" w:hAnsi="Times New Roman" w:cs="Times New Roman"/>
          <w:sz w:val="24"/>
          <w:szCs w:val="24"/>
        </w:rPr>
        <w:t>Controllo indiretto: nel caso in cui una CER sia controllata da una PMI locale, a sua volta controllata da un’impresa esterna, sembra coerente limitare il concetto di controllo ai rapporti diretti, preservando l’autonomia della comunità; analogamente, forme di coordinamento orizzontale tra CER, basate su decisioni collettive paritarie, appaiono compatibili con la normativa.</w:t>
      </w:r>
    </w:p>
    <w:p w14:paraId="59724EA7"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sintesi, i vincoli soggettivi e di controllo rafforzano l’assetto mutualistico e territoriale delle CER, assicurando che apertura, volontarietà e democraticità non restino principi formali, ma trovino concreta applicazione in un modello di governance che tutela l’autonomia dell’ente, promuove la partecipazione effettiva dei membri e orienta la gestione dell’energia al beneficio collettivo e territoriale.</w:t>
      </w:r>
    </w:p>
    <w:p w14:paraId="114034C9" w14:textId="28449A58" w:rsidR="00D87791" w:rsidRPr="0081729D" w:rsidRDefault="00D87791" w:rsidP="002B7A90">
      <w:pPr>
        <w:pStyle w:val="Paragrafoelenco"/>
        <w:numPr>
          <w:ilvl w:val="1"/>
          <w:numId w:val="5"/>
        </w:numPr>
        <w:spacing w:after="160"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 xml:space="preserve"> L’oggetto sociale delle Comunità Energetiche.</w:t>
      </w:r>
    </w:p>
    <w:p w14:paraId="6735CDDF" w14:textId="6FED424E"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Tra i requisiti oggettivi maggiormente discussi nella disciplina delle CER assume particolare rilievo la definizione del loro oggetto sociale.</w:t>
      </w:r>
      <w:r w:rsidR="006F0084">
        <w:rPr>
          <w:rStyle w:val="Rimandonotaapidipagina"/>
          <w:rFonts w:ascii="Times New Roman" w:hAnsi="Times New Roman" w:cs="Times New Roman"/>
          <w:sz w:val="24"/>
          <w:szCs w:val="24"/>
        </w:rPr>
        <w:footnoteReference w:id="85"/>
      </w:r>
      <w:r w:rsidRPr="0081729D">
        <w:rPr>
          <w:rFonts w:ascii="Times New Roman" w:hAnsi="Times New Roman" w:cs="Times New Roman"/>
          <w:sz w:val="24"/>
          <w:szCs w:val="24"/>
        </w:rPr>
        <w:t xml:space="preserve"> La normativa europea individua infatti con </w:t>
      </w:r>
      <w:r w:rsidRPr="0081729D">
        <w:rPr>
          <w:rFonts w:ascii="Times New Roman" w:hAnsi="Times New Roman" w:cs="Times New Roman"/>
          <w:sz w:val="24"/>
          <w:szCs w:val="24"/>
        </w:rPr>
        <w:lastRenderedPageBreak/>
        <w:t>sufficiente precisione l’ambito delle attività che tali soggetti sono chiamati a svolgere. In particolare, l’art. 22, paragrafo 2, della direttiva RED II stabilisce che gli Stati membri devono assicurare che le CER abbiano il diritto di: a) produrre, consumare, immagazzinare e vendere energia rinnovabile; b) scambiare, all’interno della stessa comunità, l’energia rinnovabile prodotta; c) accedere a tutti i mercati dell’energia.</w:t>
      </w:r>
    </w:p>
    <w:p w14:paraId="1627CF76" w14:textId="19DA102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Tale previsione normativa pone immediatamente un problema di qualificazione giuridica</w:t>
      </w:r>
      <w:r w:rsidR="008B07EE">
        <w:rPr>
          <w:rFonts w:ascii="Times New Roman" w:hAnsi="Times New Roman" w:cs="Times New Roman"/>
          <w:sz w:val="24"/>
          <w:szCs w:val="24"/>
        </w:rPr>
        <w:t>: l</w:t>
      </w:r>
      <w:r w:rsidRPr="0081729D">
        <w:rPr>
          <w:rFonts w:ascii="Times New Roman" w:hAnsi="Times New Roman" w:cs="Times New Roman"/>
          <w:sz w:val="24"/>
          <w:szCs w:val="24"/>
        </w:rPr>
        <w:t>e attività indicate dal legislatore europeo sembrano infatti corrispondere, almeno sotto il profilo funzionale, ai tratti tipici dell’impresa delineati dall’art. 2082 c.c. L’attività svolta da una CER consiste nella produzione e nello scambio di beni – nella specie, beni energetici – realizzati attraverso un’organizzazione di mezzi e risorse. Si pensi, ad esempio, alla progettazione, alla costruzione e alla manutenzione degli impianti di produzione energetica, nonché alla gestione delle infrastrutture necessarie alla distribuzione e condivisione dell’energia tra i membri della comunità.</w:t>
      </w:r>
    </w:p>
    <w:p w14:paraId="104EA77B" w14:textId="28652CA2" w:rsidR="00D87791"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Tale attività appare inoltre caratterizzata dal requisito dell’economicità, poiché la gestione della comunità energetica deve essere orientata quantomeno alla copertura dei costi attraverso i ricavi derivanti dalla produzione e dalla condivisione dell’energia. Sussiste, infine, anche il requisito della professionalità, in quanto le CER sono costituite proprio allo scopo di esercitare stabilmente tale attività. Sotto questo profilo, dunque, non sembra potersi escludere che le comunità energetiche rinnovabili possano essere ricondotte alla nozione civilistica di imprenditore.</w:t>
      </w:r>
    </w:p>
    <w:p w14:paraId="5E0BBF13" w14:textId="77777777"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Più precisamente, non trattandosi di attività agricola, l’attività esercitata dalle comunità energetiche rinnovabili dovrebbe qualificarsi come attività commerciale ai sensi dell’art. 2195 c.c. È altresì plausibile ritenere che tali soggetti rientrino nella categoria delle imprese commerciali non piccole, ai sensi dell’art. 2083 c.c., atteso che l’organizzazione produttiva si fonda prevalentemente sul capitale – necessario per la realizzazione e gestione degli impianti – piuttosto che sul lavoro personale dei partecipanti.</w:t>
      </w:r>
    </w:p>
    <w:p w14:paraId="03AE3417" w14:textId="77777777"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Tuttavia, una qualificazione meramente formale delle CER come imprese commerciali rischia di cogliere solo parzialmente la loro specificità giuridica. La disciplina europea e nazionale introduce, infatti, un elemento di significativa discontinuità rispetto al modello tradizionale dell’impresa: l’attività economica delle CER non è orientata alla massimizzazione del profitto, bensì al perseguimento di benefici ambientali, sociali ed economici a favore dei membri della comunità o del territorio di riferimento. In altri termini, pur avvalendosi di strumenti tipici dell’impresa, le CER sono strutturalmente finalizzate a un obiettivo collettivo e non lucrativo.</w:t>
      </w:r>
    </w:p>
    <w:p w14:paraId="4D111751" w14:textId="77777777"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 xml:space="preserve">Da questa qualificazione derivano importanti questioni interpretative. In primo luogo, occorre interrogarsi circa l’applicabilità integrale dello statuto dell’imprenditore commerciale alle CER; </w:t>
      </w:r>
      <w:r w:rsidRPr="009D438D">
        <w:rPr>
          <w:rFonts w:ascii="Times New Roman" w:hAnsi="Times New Roman" w:cs="Times New Roman"/>
          <w:sz w:val="24"/>
          <w:szCs w:val="24"/>
        </w:rPr>
        <w:lastRenderedPageBreak/>
        <w:t>in secondo luogo, si pone il problema di stabilire se esse possano svolgere attività ulteriori rispetto a quelle direttamente connesse alla produzione e alla condivisione dell’energia rinnovabile.</w:t>
      </w:r>
    </w:p>
    <w:p w14:paraId="23B86AC6" w14:textId="77777777"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Sul primo piano, una lettura formalistica conduce a ritenere che le CER, in quanto imprese commerciali non piccole, siano assoggettate alla disciplina generale dell’imprenditore commerciale, con tutti gli obblighi ad essa connessi, quali l’iscrizione nel registro delle imprese e la tenuta delle scritture contabili. Resta, tuttavia, inapplicabile la disciplina della liquidazione giudiziale laddove non siano superate le soglie dimensionali previste dal Codice della crisi d’impresa e dell’insolvenza (</w:t>
      </w:r>
      <w:proofErr w:type="spellStart"/>
      <w:r w:rsidRPr="009D438D">
        <w:rPr>
          <w:rFonts w:ascii="Times New Roman" w:hAnsi="Times New Roman" w:cs="Times New Roman"/>
          <w:sz w:val="24"/>
          <w:szCs w:val="24"/>
        </w:rPr>
        <w:t>D.Lgs.</w:t>
      </w:r>
      <w:proofErr w:type="spellEnd"/>
      <w:r w:rsidRPr="009D438D">
        <w:rPr>
          <w:rFonts w:ascii="Times New Roman" w:hAnsi="Times New Roman" w:cs="Times New Roman"/>
          <w:sz w:val="24"/>
          <w:szCs w:val="24"/>
        </w:rPr>
        <w:t xml:space="preserve"> n. 14/2019).</w:t>
      </w:r>
    </w:p>
    <w:p w14:paraId="6337968B" w14:textId="77777777" w:rsid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Tale impostazione, seppur formalmente coerente, appare tuttavia parzialmente insoddisfacente sul piano sistematico, considerato che le CER costituiscono uno strumento di politica energetica e ambientale finalizzato a promuovere la produzione diffusa di energia rinnovabile e la partecipazione attiva dei cittadini alla transizione energetica. In tale prospettiva, l’applicazione integrale dello statuto dell’imprenditore commerciale potrebbe risultare eccessivamente gravosa, soprattutto per le comunità di dimensioni contenute. Ne deriverebbe, dunque, la legittima considerazione, de iure condendo, di un regime normativo parzialmente differenziato, volto a semplificare gli adempimenti amministrativi e contabili delle CER e a favorirne la diffusione.</w:t>
      </w:r>
    </w:p>
    <w:p w14:paraId="108DE505" w14:textId="686FEA0B"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Pr>
          <w:rFonts w:ascii="Times New Roman" w:hAnsi="Times New Roman" w:cs="Times New Roman"/>
          <w:sz w:val="24"/>
          <w:szCs w:val="24"/>
        </w:rPr>
        <w:t xml:space="preserve">Quanto invece </w:t>
      </w:r>
      <w:r w:rsidRPr="009D438D">
        <w:rPr>
          <w:rFonts w:ascii="Times New Roman" w:hAnsi="Times New Roman" w:cs="Times New Roman"/>
          <w:sz w:val="24"/>
          <w:szCs w:val="24"/>
        </w:rPr>
        <w:t>alla possibilità per le comunità energetiche rinnovabili di svolgere attività ulteriori rispetto a</w:t>
      </w:r>
      <w:r>
        <w:rPr>
          <w:rFonts w:ascii="Times New Roman" w:hAnsi="Times New Roman" w:cs="Times New Roman"/>
          <w:sz w:val="24"/>
          <w:szCs w:val="24"/>
        </w:rPr>
        <w:t xml:space="preserve">i servizi </w:t>
      </w:r>
      <w:r w:rsidRPr="009D438D">
        <w:rPr>
          <w:rFonts w:ascii="Times New Roman" w:hAnsi="Times New Roman" w:cs="Times New Roman"/>
          <w:sz w:val="24"/>
          <w:szCs w:val="24"/>
        </w:rPr>
        <w:t>energetic</w:t>
      </w:r>
      <w:r>
        <w:rPr>
          <w:rFonts w:ascii="Times New Roman" w:hAnsi="Times New Roman" w:cs="Times New Roman"/>
          <w:sz w:val="24"/>
          <w:szCs w:val="24"/>
        </w:rPr>
        <w:t>i</w:t>
      </w:r>
      <w:r w:rsidRPr="009D438D">
        <w:rPr>
          <w:rFonts w:ascii="Times New Roman" w:hAnsi="Times New Roman" w:cs="Times New Roman"/>
          <w:sz w:val="24"/>
          <w:szCs w:val="24"/>
        </w:rPr>
        <w:t xml:space="preserve">, il quadro normativo vigente sembra consentire l’esercizio di attività accessorie o comunque funzionalmente connesse all’attività principale. </w:t>
      </w:r>
      <w:r>
        <w:rPr>
          <w:rFonts w:ascii="Times New Roman" w:hAnsi="Times New Roman" w:cs="Times New Roman"/>
          <w:sz w:val="24"/>
          <w:szCs w:val="24"/>
        </w:rPr>
        <w:t>Vi è da precisare</w:t>
      </w:r>
      <w:r w:rsidRPr="009D438D">
        <w:rPr>
          <w:rFonts w:ascii="Times New Roman" w:hAnsi="Times New Roman" w:cs="Times New Roman"/>
          <w:sz w:val="24"/>
          <w:szCs w:val="24"/>
        </w:rPr>
        <w:t>, tuttavia,</w:t>
      </w:r>
      <w:r>
        <w:rPr>
          <w:rFonts w:ascii="Times New Roman" w:hAnsi="Times New Roman" w:cs="Times New Roman"/>
          <w:sz w:val="24"/>
          <w:szCs w:val="24"/>
        </w:rPr>
        <w:t xml:space="preserve"> che</w:t>
      </w:r>
      <w:r w:rsidRPr="009D438D">
        <w:rPr>
          <w:rFonts w:ascii="Times New Roman" w:hAnsi="Times New Roman" w:cs="Times New Roman"/>
          <w:sz w:val="24"/>
          <w:szCs w:val="24"/>
        </w:rPr>
        <w:t xml:space="preserve"> una lettura eccessivamente restrittiva potrebbe risultare poco coerente con la ratio dell’istituto</w:t>
      </w:r>
      <w:r>
        <w:rPr>
          <w:rFonts w:ascii="Times New Roman" w:hAnsi="Times New Roman" w:cs="Times New Roman"/>
          <w:sz w:val="24"/>
          <w:szCs w:val="24"/>
        </w:rPr>
        <w:t xml:space="preserve"> </w:t>
      </w:r>
      <w:proofErr w:type="spellStart"/>
      <w:r>
        <w:rPr>
          <w:rFonts w:ascii="Times New Roman" w:hAnsi="Times New Roman" w:cs="Times New Roman"/>
          <w:sz w:val="24"/>
          <w:szCs w:val="24"/>
        </w:rPr>
        <w:t>giacchè</w:t>
      </w:r>
      <w:proofErr w:type="spellEnd"/>
      <w:r>
        <w:rPr>
          <w:rFonts w:ascii="Times New Roman" w:hAnsi="Times New Roman" w:cs="Times New Roman"/>
          <w:sz w:val="24"/>
          <w:szCs w:val="24"/>
        </w:rPr>
        <w:t xml:space="preserve"> l</w:t>
      </w:r>
      <w:r w:rsidRPr="009D438D">
        <w:rPr>
          <w:rFonts w:ascii="Times New Roman" w:hAnsi="Times New Roman" w:cs="Times New Roman"/>
          <w:sz w:val="24"/>
          <w:szCs w:val="24"/>
        </w:rPr>
        <w:t xml:space="preserve">e CER, infatti, </w:t>
      </w:r>
      <w:r>
        <w:rPr>
          <w:rFonts w:ascii="Times New Roman" w:hAnsi="Times New Roman" w:cs="Times New Roman"/>
          <w:sz w:val="24"/>
          <w:szCs w:val="24"/>
        </w:rPr>
        <w:t xml:space="preserve">si configurano anche </w:t>
      </w:r>
      <w:r w:rsidRPr="009D438D">
        <w:rPr>
          <w:rFonts w:ascii="Times New Roman" w:hAnsi="Times New Roman" w:cs="Times New Roman"/>
          <w:sz w:val="24"/>
          <w:szCs w:val="24"/>
        </w:rPr>
        <w:t>come strumenti di sviluppo e di coesione territoriale. Alla luce di tale finalità, appare opportuno ammettere che esse possano svolgere, accanto all’attività energetica, ulteriori attività economiche, anche non immediatamente connesse alla produzione e distribuzione di energia, purché tali attività risultino strumentali al rafforzamento della sostenibilità economica della comunità o al perseguimento di finalità sociali a beneficio del territorio di riferimento.</w:t>
      </w:r>
    </w:p>
    <w:p w14:paraId="2E97AB09" w14:textId="13EC0C1F"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 xml:space="preserve">Ne consegue che le forme giuridiche astrattamente utilizzabili per la costituzione di una comunità energetica rinnovabile siano tutte quelle idonee a consentire l’esercizio di un’attività economica organizzata. Tuttavia, come si vedrà nel prosieguo del lavoro, sebbene in astratto possano essere evocati diversi modelli organizzativi, la scelta concreta si riduce significativamente qualora si considerino alcune peculiarità degli istituti potenzialmente impiegabili, le quali </w:t>
      </w:r>
      <w:r>
        <w:rPr>
          <w:rFonts w:ascii="Times New Roman" w:hAnsi="Times New Roman" w:cs="Times New Roman"/>
          <w:sz w:val="24"/>
          <w:szCs w:val="24"/>
        </w:rPr>
        <w:t xml:space="preserve">sembrerebbero stridere con </w:t>
      </w:r>
      <w:r w:rsidRPr="009D438D">
        <w:rPr>
          <w:rFonts w:ascii="Times New Roman" w:hAnsi="Times New Roman" w:cs="Times New Roman"/>
          <w:sz w:val="24"/>
          <w:szCs w:val="24"/>
        </w:rPr>
        <w:t>lo scopo sociale prescritto dalla normativa</w:t>
      </w:r>
      <w:r>
        <w:rPr>
          <w:rFonts w:ascii="Times New Roman" w:hAnsi="Times New Roman" w:cs="Times New Roman"/>
          <w:sz w:val="24"/>
          <w:szCs w:val="24"/>
        </w:rPr>
        <w:t xml:space="preserve">, vale a dire, </w:t>
      </w:r>
      <w:r w:rsidRPr="009D438D">
        <w:rPr>
          <w:rFonts w:ascii="Times New Roman" w:hAnsi="Times New Roman" w:cs="Times New Roman"/>
          <w:sz w:val="24"/>
          <w:szCs w:val="24"/>
        </w:rPr>
        <w:t>quello di fornire benefici ambientali, economici o sociali ai membri della comunità o alle aree locali</w:t>
      </w:r>
      <w:r>
        <w:rPr>
          <w:rFonts w:ascii="Times New Roman" w:hAnsi="Times New Roman" w:cs="Times New Roman"/>
          <w:sz w:val="24"/>
          <w:szCs w:val="24"/>
        </w:rPr>
        <w:t xml:space="preserve"> di riferimento</w:t>
      </w:r>
      <w:r w:rsidRPr="009D438D">
        <w:rPr>
          <w:rFonts w:ascii="Times New Roman" w:hAnsi="Times New Roman" w:cs="Times New Roman"/>
          <w:sz w:val="24"/>
          <w:szCs w:val="24"/>
        </w:rPr>
        <w:t>.</w:t>
      </w:r>
    </w:p>
    <w:p w14:paraId="0B895748" w14:textId="77777777"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lastRenderedPageBreak/>
        <w:t>Dovendo pertanto escludersi un fine propriamente lucrativo, inteso come distribuzione prevalente degli utili, ne discende una conseguenza sistematica di rilievo: le CER non possono essere ricondotte al paradigma tipico delle società a scopo di lucro, risultando invece compatibili con forme organizzative caratterizzate da finalità mutualistiche, quali le società cooperative, ovvero da finalità altruistiche, quali associazioni e fondazioni.</w:t>
      </w:r>
    </w:p>
    <w:p w14:paraId="2EE624EC" w14:textId="77777777" w:rsidR="009D438D" w:rsidRPr="009D438D" w:rsidRDefault="009D438D" w:rsidP="009D438D">
      <w:pPr>
        <w:spacing w:line="360" w:lineRule="auto"/>
        <w:ind w:left="170" w:right="227" w:firstLine="170"/>
        <w:contextualSpacing/>
        <w:jc w:val="both"/>
        <w:rPr>
          <w:rFonts w:ascii="Times New Roman" w:hAnsi="Times New Roman" w:cs="Times New Roman"/>
          <w:sz w:val="24"/>
          <w:szCs w:val="24"/>
        </w:rPr>
      </w:pPr>
      <w:r w:rsidRPr="009D438D">
        <w:rPr>
          <w:rFonts w:ascii="Times New Roman" w:hAnsi="Times New Roman" w:cs="Times New Roman"/>
          <w:sz w:val="24"/>
          <w:szCs w:val="24"/>
        </w:rPr>
        <w:t>Resta, tuttavia, necessario approfondire, alla luce della disciplina civilistica e dei vincoli specificamente previsti dalla normativa sulle comunità energetiche, in che misura tali modelli organizzativi possano effettivamente adattarsi alla struttura e agli obiettivi dell’istituto. Nel prosieguo dell’analisi, si esamineranno dunque i profili di contiguità tra le CER e le categorie organizzative richiamate, nonché le eventuali criticità o incompatibilità emergenti sul piano funzionale e gestionale.</w:t>
      </w:r>
    </w:p>
    <w:p w14:paraId="7DDAA737" w14:textId="5B5E2926" w:rsidR="00D87791" w:rsidRPr="00752CFE" w:rsidRDefault="00D87791" w:rsidP="002B7A90">
      <w:pPr>
        <w:pStyle w:val="Paragrafoelenco"/>
        <w:numPr>
          <w:ilvl w:val="1"/>
          <w:numId w:val="5"/>
        </w:numPr>
        <w:spacing w:after="160" w:line="360" w:lineRule="auto"/>
        <w:ind w:left="170" w:right="227" w:firstLine="170"/>
        <w:contextualSpacing/>
        <w:jc w:val="both"/>
        <w:rPr>
          <w:rFonts w:ascii="Times New Roman" w:hAnsi="Times New Roman" w:cs="Times New Roman"/>
          <w:b/>
          <w:bCs/>
          <w:sz w:val="24"/>
          <w:szCs w:val="24"/>
        </w:rPr>
      </w:pPr>
      <w:r w:rsidRPr="00752CFE">
        <w:rPr>
          <w:rFonts w:ascii="Times New Roman" w:hAnsi="Times New Roman" w:cs="Times New Roman"/>
          <w:b/>
          <w:bCs/>
          <w:sz w:val="24"/>
          <w:szCs w:val="24"/>
        </w:rPr>
        <w:t>Statuti e prassi: riflessioni finali sulle CER.</w:t>
      </w:r>
    </w:p>
    <w:p w14:paraId="484DDB9F"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L’analisi sin qui condotta consente di trarre alcune considerazioni di carattere sistematico sulle caratteristiche che le comunità energetiche rinnovabili sembrerebbero dover presentare alla luce della disciplina vigente.</w:t>
      </w:r>
    </w:p>
    <w:p w14:paraId="6DEF394D" w14:textId="377FB9BE"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Partendo dalla ricostruzione </w:t>
      </w:r>
      <w:r w:rsidRPr="008D106D">
        <w:rPr>
          <w:rFonts w:ascii="Times New Roman" w:hAnsi="Times New Roman" w:cs="Times New Roman"/>
          <w:i/>
          <w:iCs/>
          <w:sz w:val="24"/>
          <w:szCs w:val="24"/>
        </w:rPr>
        <w:t>de iure condito</w:t>
      </w:r>
      <w:r w:rsidRPr="0081729D">
        <w:rPr>
          <w:rFonts w:ascii="Times New Roman" w:hAnsi="Times New Roman" w:cs="Times New Roman"/>
          <w:sz w:val="24"/>
          <w:szCs w:val="24"/>
        </w:rPr>
        <w:t xml:space="preserve"> della normativa proposta nei paragrafi precedenti, si può ipotizzare che le CER attualmente esistenti presentino alcune caratteristiche fondamentali.</w:t>
      </w:r>
      <w:r w:rsidR="008D106D">
        <w:rPr>
          <w:rStyle w:val="Rimandonotaapidipagina"/>
          <w:rFonts w:ascii="Times New Roman" w:hAnsi="Times New Roman" w:cs="Times New Roman"/>
          <w:sz w:val="24"/>
          <w:szCs w:val="24"/>
        </w:rPr>
        <w:footnoteReference w:id="86"/>
      </w:r>
      <w:r w:rsidRPr="0081729D">
        <w:rPr>
          <w:rFonts w:ascii="Times New Roman" w:hAnsi="Times New Roman" w:cs="Times New Roman"/>
          <w:sz w:val="24"/>
          <w:szCs w:val="24"/>
        </w:rPr>
        <w:t xml:space="preserve"> In primo luogo, qualora l’attività svolta venga qualificata come attività d’impresa commerciale non piccola, le comunità dovrebbero essere iscritte nel registro delle imprese. Rimane tuttavia incerta la possibilità di svolgere attività ulteriori rispetto a quelle strettamente connesse alla produzione e condivisione di energia rinnovabile, e il rapporto tra tali attività e lo scopo mutualistico o altruistico della comunità può risultare complesso da conciliare.</w:t>
      </w:r>
    </w:p>
    <w:p w14:paraId="0D763750"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Un ulteriore aspetto delicato riguarda il controllo della comunità, che secondo la normativa dovrebbe essere esercitato esclusivamente da soggetti situati nel medesimo territorio in cui sono collocati gli impianti, con l’esclusione delle imprese energetiche, le quali non potrebbero neppure assumere la qualità di membri. A ciò si aggiunge l’esigenza che tali configurazioni siano </w:t>
      </w:r>
      <w:r w:rsidRPr="0081729D">
        <w:rPr>
          <w:rFonts w:ascii="Times New Roman" w:hAnsi="Times New Roman" w:cs="Times New Roman"/>
          <w:sz w:val="24"/>
          <w:szCs w:val="24"/>
        </w:rPr>
        <w:lastRenderedPageBreak/>
        <w:t>caratterizzate da una struttura organizzativa improntata ai principi della partecipazione aperta, volontaria e democratica.</w:t>
      </w:r>
    </w:p>
    <w:p w14:paraId="0B34A0C1"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questo contesto, lo statuto dell’ente assume un ruolo di primaria rilevanza, costituendo lo strumento attraverso il quale i principi e i requisiti normativi, sia nazionali sia sovranazionali, vengono tradotti in regole operative e organizzative. Lo statuto non disciplina solo gli aspetti formali della vita dell’ente, ma definisce in modo concreto i rapporti giuridici tra i membri, stabilendo diritti e doveri, modalità di accesso alla comunità e criteri di gestione dell’attività energetica condivisa. Attraverso le clausole statutarie, i requisiti soggettivi e oggettivi trovano quindi concreta attuazione, garantendo il corretto funzionamento dell’ente e la coerenza della sua attività con le finalità delineate dal legislatore.</w:t>
      </w:r>
    </w:p>
    <w:p w14:paraId="7D07B16D"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Analizzando gli statuti delle prime CER costituite, è possibile verificare fino a che punto le soluzioni organizzative adottate nella prassi risultino coerenti con la ricostruzione teorica dell’istituto e con i requisiti previsti dalla normativa. L’esame empirico consente di individuare elementi significativi, utili a comprendere le difficoltà di attuazione e i margini di miglioramento dell’istituto.</w:t>
      </w:r>
    </w:p>
    <w:p w14:paraId="2B2E8DF9" w14:textId="052639FB" w:rsidR="00D87791" w:rsidRPr="0081729D" w:rsidRDefault="00E31573" w:rsidP="0081729D">
      <w:pPr>
        <w:spacing w:line="360" w:lineRule="auto"/>
        <w:ind w:left="170" w:right="227" w:firstLine="170"/>
        <w:contextualSpacing/>
        <w:jc w:val="both"/>
        <w:rPr>
          <w:rFonts w:ascii="Times New Roman" w:hAnsi="Times New Roman" w:cs="Times New Roman"/>
          <w:sz w:val="24"/>
          <w:szCs w:val="24"/>
        </w:rPr>
      </w:pPr>
      <w:r>
        <w:rPr>
          <w:rFonts w:ascii="Times New Roman" w:hAnsi="Times New Roman" w:cs="Times New Roman"/>
          <w:sz w:val="24"/>
          <w:szCs w:val="24"/>
        </w:rPr>
        <w:t>Invero, n</w:t>
      </w:r>
      <w:r w:rsidR="00D87791" w:rsidRPr="0081729D">
        <w:rPr>
          <w:rFonts w:ascii="Times New Roman" w:hAnsi="Times New Roman" w:cs="Times New Roman"/>
          <w:sz w:val="24"/>
          <w:szCs w:val="24"/>
        </w:rPr>
        <w:t>ella fase iniziale di applicazione della disciplina, e in particolare nel 2022, le iniziative attive erano poco più di un centinaio, con appena</w:t>
      </w:r>
      <w:r>
        <w:rPr>
          <w:rFonts w:ascii="Times New Roman" w:hAnsi="Times New Roman" w:cs="Times New Roman"/>
          <w:sz w:val="24"/>
          <w:szCs w:val="24"/>
        </w:rPr>
        <w:t xml:space="preserve"> quindici </w:t>
      </w:r>
      <w:r w:rsidR="00D87791" w:rsidRPr="0081729D">
        <w:rPr>
          <w:rFonts w:ascii="Times New Roman" w:hAnsi="Times New Roman" w:cs="Times New Roman"/>
          <w:sz w:val="24"/>
          <w:szCs w:val="24"/>
        </w:rPr>
        <w:t>accreditate presso il Gestore dei Servizi Energetici per accedere alle misure pubbliche di sostegno economico previste dalla normativa transitoria. Al 31 dicembre 2025, i dati GSE indicano una capacità installata complessiva di 174,5 MW, 1.805 configurazioni operative e 18.263 membri coinvolti. Sebbene questi numeri testimonino una crescita significativa, permangono difficoltà operative</w:t>
      </w:r>
      <w:r>
        <w:rPr>
          <w:rFonts w:ascii="Times New Roman" w:hAnsi="Times New Roman" w:cs="Times New Roman"/>
          <w:sz w:val="24"/>
          <w:szCs w:val="24"/>
        </w:rPr>
        <w:t>, peraltro di recente segnalate persino dalla Corte dei Conti Europea</w:t>
      </w:r>
      <w:r w:rsidR="00D87791" w:rsidRPr="0081729D">
        <w:rPr>
          <w:rFonts w:ascii="Times New Roman" w:hAnsi="Times New Roman" w:cs="Times New Roman"/>
          <w:sz w:val="24"/>
          <w:szCs w:val="24"/>
        </w:rPr>
        <w:t>,</w:t>
      </w:r>
      <w:r>
        <w:rPr>
          <w:rStyle w:val="Rimandonotaapidipagina"/>
          <w:rFonts w:ascii="Times New Roman" w:hAnsi="Times New Roman" w:cs="Times New Roman"/>
          <w:sz w:val="24"/>
          <w:szCs w:val="24"/>
        </w:rPr>
        <w:footnoteReference w:id="87"/>
      </w:r>
      <w:r w:rsidR="00D87791" w:rsidRPr="0081729D">
        <w:rPr>
          <w:rFonts w:ascii="Times New Roman" w:hAnsi="Times New Roman" w:cs="Times New Roman"/>
          <w:sz w:val="24"/>
          <w:szCs w:val="24"/>
        </w:rPr>
        <w:t xml:space="preserve"> mentre altre misure di politica energetica, come i Certificati Bianchi, hanno mostrato dinamiche positive nei primi mesi del 2025.</w:t>
      </w:r>
    </w:p>
    <w:p w14:paraId="3409482C" w14:textId="5341279D"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L’analisi degli statuti evidenzia alcune tendenze chiare</w:t>
      </w:r>
      <w:r w:rsidR="00C75668">
        <w:rPr>
          <w:rFonts w:ascii="Times New Roman" w:hAnsi="Times New Roman" w:cs="Times New Roman"/>
          <w:sz w:val="24"/>
          <w:szCs w:val="24"/>
        </w:rPr>
        <w:t xml:space="preserve"> e, cioè, che tutte</w:t>
      </w:r>
      <w:r w:rsidRPr="0081729D">
        <w:rPr>
          <w:rFonts w:ascii="Times New Roman" w:hAnsi="Times New Roman" w:cs="Times New Roman"/>
          <w:sz w:val="24"/>
          <w:szCs w:val="24"/>
        </w:rPr>
        <w:t xml:space="preserve"> le CER esaminate sono state costituite </w:t>
      </w:r>
      <w:r w:rsidRPr="0081729D">
        <w:rPr>
          <w:rFonts w:ascii="Times New Roman" w:hAnsi="Times New Roman" w:cs="Times New Roman"/>
          <w:i/>
          <w:iCs/>
          <w:sz w:val="24"/>
          <w:szCs w:val="24"/>
        </w:rPr>
        <w:t>ex novo</w:t>
      </w:r>
      <w:r w:rsidRPr="0081729D">
        <w:rPr>
          <w:rFonts w:ascii="Times New Roman" w:hAnsi="Times New Roman" w:cs="Times New Roman"/>
          <w:sz w:val="24"/>
          <w:szCs w:val="24"/>
        </w:rPr>
        <w:t>, dedicate specificamente alla produzione e condivisione di energia rinnovabile, senza integrazione con attività preesistenti. Tuttavia, in alcuni progetti futuri, la produzione energetica potrebbe essere affiancata ad attività già esistenti, sollevando questioni pratiche di compatibilità. Per quanto riguarda la partecipazione dei membri, l’identità dei singoli soggetti non è sempre verificabile, ma le clausole statutarie mostrano l’adozione generalizzata di regole che garantiscono apertura, volontarietà e democraticità, coerenti con i requisiti normativi.</w:t>
      </w:r>
    </w:p>
    <w:p w14:paraId="63229B18"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Un’altra evidenza riguarda la standardizzazione degli statuti: molti enti hanno adottato modelli predefiniti da associazioni di categoria, operatori tecnici o enti promotori. Questa omogeneità ha favorito la diffusione iniziale, semplificando la costituzione delle CER e riducendo l’incertezza interpretativa, ma al contempo riflette le difficoltà applicative dovute alle lacune e ambiguità del quadro normativo.</w:t>
      </w:r>
    </w:p>
    <w:p w14:paraId="41A4E320"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definitiva, la prassi conferma che le CER rappresentano un istituto ancora in fase di consolidamento. I limiti derivanti dalla configurazione dei requisiti soggettivi e oggettivi, unitamente alle incertezze normative, hanno rallentato la diffusione delle iniziative. Tuttavia, tali criticità non appaiono insuperabili: l’esperienza fin qui maturata suggerisce che, con correttivi normativi mirati e una maggiore chiarezza regolatoria, le comunità energetiche potrebbero diventare uno strumento efficace per promuovere la partecipazione dei cittadini alla transizione energetica e favorire modelli di produzione e consumo dell’energia più sostenibili e condivisi.</w:t>
      </w:r>
    </w:p>
    <w:p w14:paraId="6DAA22AE"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 considerazioni divisate nel presente paragrafo 3 consentono di delineare con maggiore chiarezza la fisionomia giuridica delle comunità energetiche rinnovabili, quali enti collettivi caratterizzati dalla compresenza di attività economica organizzata e finalità mutualistiche. La disciplina europea e nazionale ha infatti configurato le CER come soggetti dotati di autonomia, fondati su partecipazione aperta e controllo territoriale, orientati al perseguimento di benefici ambientali, economici e sociali per i membri e per il territorio, piuttosto che alla massimizzazione del profitto. In tale quadro, lo statuto assume un ruolo centrale, poiché traduce in regole operative i vincoli normativi relativi a oggetto, scopo, governance e distribuzione dei benefici, assicurando la concreta prevalenza della dimensione sociale sull’interesse meramente lucrativo.</w:t>
      </w:r>
    </w:p>
    <w:p w14:paraId="5806164E" w14:textId="73E913B2"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piena comprensione dell’istituto richiede tuttavia di considerare anche la sua dimensione funzionale, ossia le modalità attraverso cui la comunità opera all’interno del sistema elettrico nazionale e accede ai meccanismi di valorizzazione dell’energia condivisa. Tale profilo è disciplinato dall’Autorità di regolazione per energia, reti e ambiente (ARERA) attraverso il Testo Integrato dell’Autoconsumo Diffuso (TIAD), che ha introdotto il modello regolatorio virtuale quale strumento tecnico-giuridico di funzionamento delle CER.</w:t>
      </w:r>
    </w:p>
    <w:p w14:paraId="7C92A29F"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È dunque necessario analizzare il quadro regolatorio delineato da ARERA, con particolare riferimento al TIAD, e il sistema di calcolo dell’energia condivisa e dei relativi benefici economici, al fine di comprendere come la struttura giuridica delle comunità energetiche si traduca concretamente nel loro funzionamento operativo e nella distribuzione degli incentivi tra i membri.</w:t>
      </w:r>
    </w:p>
    <w:p w14:paraId="2075AA5F" w14:textId="2461C57B" w:rsidR="00D87791" w:rsidRPr="0081729D" w:rsidRDefault="00D87791" w:rsidP="0081729D">
      <w:pPr>
        <w:pStyle w:val="Paragrafoelenco"/>
        <w:spacing w:after="160"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b/>
          <w:bCs/>
          <w:sz w:val="24"/>
          <w:szCs w:val="24"/>
        </w:rPr>
        <w:t>5. Il funzionamento delle CER e il modello regolatorio virtuale.</w:t>
      </w:r>
    </w:p>
    <w:p w14:paraId="5D15B4AF"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Si è più volte ribadito che nel nostro ordinamento le CER si configurano come soggetti giuridici autonomi, dotati di statuto e regolamento interno, le cui competenze sono specificamente delineate in materia di distribuzione degli incentivi e di governance della comunità. In tale contesto, un profilo di particolare rilievo ai fini della presente analisi concerne il funzionamento operativo delle CER, il quale presuppone una conoscenza approfondita del modello regolatorio virtuale introdotto da ARERA, nonché dei concetti di energia condivisa e di energia autoconsumata, e delle quattro principali categorie di benefici economici riconoscibili alle comunità.</w:t>
      </w:r>
    </w:p>
    <w:p w14:paraId="24C183EE"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modello regolatorio virtuale, come delineato nel Testo Integrato delle disposizioni di ARERA (TIAD), consente la valorizzazione dell’autoconsumo energetico delle CER senza richiedere la realizzazione di nuove connessioni o infrastrutture elettriche, né l’installazione di ulteriori dispositivi di misura. In base a tale modello, gli scambi energetici avvengono tramite la rete pubblica di distribuzione esistente, permettendo la condivisione virtuale dell’energia tra gli impianti di produzione facenti parte della CER e i membri della medesima comunità. L’adozione di questo modello non esclude l’applicazione della normativa vigente nei confronti dei clienti finali e dei produttori coinvolti, assicurando la salvaguardia dei diritti acquisiti e il rispetto delle disposizioni regolatorie consolidate.</w:t>
      </w:r>
    </w:p>
    <w:p w14:paraId="2EEEF995"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Di particolare rilievo è l’erogazione dei benefici economici da parte del GSE: al Referente della CER viene riconosciuto il cd. contributo di valorizzazione, finalizzato alla restituzione della tariffa di trasmissione, calcolato sulla base dei benefici derivanti dall’autoconsumo diffuso nella rete pubblica, con riferimento all’area sottesa alla cabina primaria. Al medesimo Referente è altresì attribuito l’incentivo, come previsto dalla disciplina del MASE, parametrato all’energia effettivamente autoconsumata all’interno della stessa cabina primaria. </w:t>
      </w:r>
    </w:p>
    <w:p w14:paraId="20E9A4D8"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L’adozione del modello virtuale consente, pertanto, di evitare la gestione fisica della rete di distribuzione da parte della CER, diversamente da quanto previsto dal modello fisico, che impone infrastrutture proprie per lo scambio diretto di energia tra i membri. La normativa europea, pur riconoscendo la possibilità di adottare entrambe le soluzioni, stabilisce che, in caso di gestione </w:t>
      </w:r>
      <w:r w:rsidRPr="0081729D">
        <w:rPr>
          <w:rFonts w:ascii="Times New Roman" w:hAnsi="Times New Roman" w:cs="Times New Roman"/>
          <w:sz w:val="24"/>
          <w:szCs w:val="24"/>
        </w:rPr>
        <w:lastRenderedPageBreak/>
        <w:t>fisica della rete, la CER debba essere trattata conformemente ai requisiti dei concessionari e rispettare la regolazione di settore vigente.</w:t>
      </w:r>
    </w:p>
    <w:p w14:paraId="3E65B288"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Per una piena comprensione dei benefici economici riconoscibili alle CER, è necessario distinguere i concetti di energia condivisa, energia autoconsumata e energia incentivata: la prima, corrisponde al minimo tra l’energia prodotta dagli impianti della CER e quella effettivamente prelevata dai membri nella stessa zona di mercato; l’altra, invece, è definita come la quota di energia condivisa tra produttori e consumatori sottesi alla medesima cabina primaria. Infine, l’energia incentivata si riferisce alla porzione di energia autoconsumata proveniente da nuovi impianti rinnovabili fino a 1 MW di potenza. </w:t>
      </w:r>
    </w:p>
    <w:p w14:paraId="5E7EF0DC"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Passando al vaglio la struttura organizzativa di ciascuna CER, la normativa prevede almeno due membri con due punti di connessione distinti e la proprietà o il controllo sugli impianti di produzione. La disponibilità di impianti di terzi rileva esclusivamente ai fini dell’accesso agli incentivi e al contributo di valorizzazione, senza influire sulla libera gestione della vendita dell’energia prodotta. Il GSE, acquisiti dai distributori i dati di misura, procede al calcolo orario dell’energia condivisa e autoconsumata, erogando al Referente i contributi e gli incentivi spettanti, che questi ripartisce secondo le regole interne stabilite dalla comunità. Il modello regolatorio virtuale implica che l’energia prodotta non venga condivisa fisicamente tra i membri, ma esclusivamente in forma virtuale: l’energia in eccesso non autoconsumata fisicamente dai produttori viene immessa nella rete pubblica e messa a disposizione della CER per l’autoconsumo virtuale, incentivato per un periodo ventennale.</w:t>
      </w:r>
    </w:p>
    <w:p w14:paraId="46EAFF83"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Su base oraria, il GSE confronta l’energia prodotta netta, al netto dell’autoconsumo fisico, con l’energia prelevata dai membri della CER, determinando l’energia autoconsumata come il valore minimo tra le due grandezze. Su tale valore vengono calcolati contributo di valorizzazione e incentivi. A titolo esemplificativo, se alle ore 8:00 la produzione netta è pari a 60 kW e il consumo dei membri 50 kW, l’energia incentivata corrisponde a 50 kW; se invece a mezzogiorno la produzione netta è di 50 kW e i consumi 20 kW, l’energia incentivata sarà 20 kW.</w:t>
      </w:r>
    </w:p>
    <w:p w14:paraId="40592B64"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progettazione e l’organizzazione delle CER richiedono un bilanciamento accurato tra produttori e consumatori, al fine di armonizzare produzione e consumo in ciascun intervallo orario, massimizzando il valore economico complessivo della comunità. La capacità di coordinare produzione, consumo e accumulo, unitamente all’adozione del modello regolatorio virtuale, rappresenta il nucleo dell’efficienza operativa e della sostenibilità economica delle CER.</w:t>
      </w:r>
    </w:p>
    <w:p w14:paraId="37E27D43" w14:textId="77777777" w:rsidR="00D87791" w:rsidRPr="0081729D"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Il modello regolatorio virtuale italiano garantisce così la valorizzazione economica dell’energia autoconsumata e incentivata, senza necessità di infrastrutture di rete dedicate, conciliando la partecipazione attiva dei cittadini con l’efficienza e la sicurezza del sistema elettrico nazionale. </w:t>
      </w:r>
      <w:r w:rsidRPr="0081729D">
        <w:rPr>
          <w:rFonts w:ascii="Times New Roman" w:hAnsi="Times New Roman" w:cs="Times New Roman"/>
          <w:sz w:val="24"/>
          <w:szCs w:val="24"/>
        </w:rPr>
        <w:lastRenderedPageBreak/>
        <w:t>Esso non si limita a una gestione tecnica dell’energia, ma promuove dinamiche economiche e sociali riconducibili a una sussidiarietà orizzontale, in cui l’energia prodotta dai singoli membri alimenta il consumo collettivo, valorizzando sia il beneficio individuale sia quello comunitario. La combinazione di autoconsumo fisico, energia in eccesso immessa in rete e autoconsumo virtuale costituisce il meccanismo centrale attraverso cui le CER realizzano partecipazione, autonomia locale e coesione comunitaria.</w:t>
      </w:r>
    </w:p>
    <w:p w14:paraId="06EC3654" w14:textId="77777777" w:rsidR="00D87791" w:rsidRPr="0081729D" w:rsidRDefault="00D87791" w:rsidP="0081729D">
      <w:pPr>
        <w:spacing w:line="360" w:lineRule="auto"/>
        <w:ind w:left="170" w:right="227" w:firstLine="170"/>
        <w:contextualSpacing/>
        <w:jc w:val="both"/>
        <w:rPr>
          <w:rFonts w:ascii="Times New Roman" w:eastAsia="Times New Roman" w:hAnsi="Times New Roman" w:cs="Times New Roman"/>
          <w:sz w:val="24"/>
          <w:szCs w:val="24"/>
        </w:rPr>
      </w:pPr>
      <w:r w:rsidRPr="0081729D">
        <w:rPr>
          <w:rFonts w:ascii="Times New Roman" w:hAnsi="Times New Roman" w:cs="Times New Roman"/>
          <w:sz w:val="24"/>
          <w:szCs w:val="24"/>
        </w:rPr>
        <w:t>La governance della CER, basata su statuti interni, regola la ripartizione dei benefici economici, consentendo la redistribuzione tra i membri dei vantaggi derivanti dall’autoconsumo e dalla vendita dell’energia in eccesso. In tal modo, le CER si configurano come laboratori di sussidiarietà energetica, nei quali la valorizzazione economica individuale si armonizza con il vantaggio collettivo, grazie agli incentivi erogati dal GSE per venti anni, nel rispetto del TIAD e dei decreti legislativi n. 199/2021 e n. 210/2021.</w:t>
      </w:r>
    </w:p>
    <w:p w14:paraId="2EECF6D4" w14:textId="77777777" w:rsidR="00D87791" w:rsidRPr="0081729D" w:rsidRDefault="00D87791" w:rsidP="0081729D">
      <w:pPr>
        <w:spacing w:line="360" w:lineRule="auto"/>
        <w:ind w:left="170" w:right="227" w:firstLine="170"/>
        <w:contextualSpacing/>
        <w:jc w:val="both"/>
        <w:rPr>
          <w:rFonts w:ascii="Times New Roman" w:eastAsia="Times New Roman" w:hAnsi="Times New Roman" w:cs="Times New Roman"/>
          <w:sz w:val="24"/>
          <w:szCs w:val="24"/>
        </w:rPr>
      </w:pPr>
      <w:r w:rsidRPr="0081729D">
        <w:rPr>
          <w:rFonts w:ascii="Times New Roman" w:eastAsia="Times New Roman" w:hAnsi="Times New Roman" w:cs="Times New Roman"/>
          <w:sz w:val="24"/>
          <w:szCs w:val="24"/>
        </w:rPr>
        <w:t>L’analisi del modello regolatorio virtuale e dei meccanismi di valorizzazione dell’energia condivisa consente di delineare con maggiore precisione le modalità attraverso cui le comunità energetiche rinnovabili operano nel sistema elettrico nazionale. La disciplina introdotta da ARERA mediante il TIAD, in coordinamento con le previsioni normative primarie e con gli strumenti di incentivazione gestiti dal GSE, costituisce il quadro di riferimento entro cui le CER esplicano la propria funzione, realizzando la condivisione virtuale dell’energia e la conseguente attribuzione dei benefici economici, nel rispetto dell’assetto regolatorio del settore.</w:t>
      </w:r>
    </w:p>
    <w:p w14:paraId="3972A3AC" w14:textId="68D7A668" w:rsidR="005E42A2" w:rsidRDefault="00D87791" w:rsidP="0007598B">
      <w:pPr>
        <w:spacing w:line="360" w:lineRule="auto"/>
        <w:ind w:left="170" w:right="227" w:firstLine="170"/>
        <w:contextualSpacing/>
        <w:jc w:val="both"/>
        <w:rPr>
          <w:rFonts w:ascii="Times New Roman" w:eastAsia="Times New Roman" w:hAnsi="Times New Roman" w:cs="Times New Roman"/>
          <w:sz w:val="24"/>
          <w:szCs w:val="24"/>
        </w:rPr>
      </w:pPr>
      <w:r w:rsidRPr="0081729D">
        <w:rPr>
          <w:rFonts w:ascii="Times New Roman" w:eastAsia="Times New Roman" w:hAnsi="Times New Roman" w:cs="Times New Roman"/>
          <w:sz w:val="24"/>
          <w:szCs w:val="24"/>
        </w:rPr>
        <w:t>Accertate le condizioni tecniche e funzionali che consentono il concreto esercizio dell’attività comunitaria, risulta ora necessario soffermarsi sulla fase genetica dell’istituto. L’attenzione deve quindi essere rivolta alle modalità di costituzione delle comunità energetiche rinnovabili, esaminando l’iter procedurale che conduce alla loro formale istituzione, alla definizione dell’assetto statutario, alla individuazione dei soggetti coinvolti e alla successiva attivazione operativa, così da completare la ricostruzione del modello sia sotto il profilo organizzativo sia sotto quello funzionale.</w:t>
      </w:r>
    </w:p>
    <w:p w14:paraId="0D4EA76F" w14:textId="77777777" w:rsidR="005E42A2" w:rsidRPr="0081729D" w:rsidRDefault="005E42A2" w:rsidP="0081729D">
      <w:pPr>
        <w:spacing w:line="360" w:lineRule="auto"/>
        <w:ind w:left="170" w:right="227" w:firstLine="170"/>
        <w:contextualSpacing/>
        <w:jc w:val="both"/>
        <w:rPr>
          <w:rFonts w:ascii="Times New Roman" w:eastAsia="Times New Roman" w:hAnsi="Times New Roman" w:cs="Times New Roman"/>
          <w:sz w:val="24"/>
          <w:szCs w:val="24"/>
        </w:rPr>
      </w:pPr>
    </w:p>
    <w:p w14:paraId="6C151FA7" w14:textId="77777777" w:rsidR="00D87791" w:rsidRPr="0081729D" w:rsidRDefault="00D87791" w:rsidP="0081729D">
      <w:pPr>
        <w:pStyle w:val="Paragrafoelenco"/>
        <w:spacing w:line="360" w:lineRule="auto"/>
        <w:ind w:left="170" w:right="227" w:firstLine="170"/>
        <w:contextualSpacing/>
        <w:jc w:val="both"/>
        <w:rPr>
          <w:rFonts w:ascii="Times New Roman" w:eastAsia="Times New Roman" w:hAnsi="Times New Roman" w:cs="Times New Roman"/>
          <w:b/>
          <w:bCs/>
          <w:sz w:val="24"/>
          <w:szCs w:val="24"/>
        </w:rPr>
      </w:pPr>
      <w:r w:rsidRPr="0081729D">
        <w:rPr>
          <w:rFonts w:ascii="Times New Roman" w:eastAsia="Times New Roman" w:hAnsi="Times New Roman" w:cs="Times New Roman"/>
          <w:b/>
          <w:bCs/>
          <w:sz w:val="24"/>
          <w:szCs w:val="24"/>
        </w:rPr>
        <w:t>6. Le fasi di costituzione della CER.</w:t>
      </w:r>
    </w:p>
    <w:p w14:paraId="03E910DA" w14:textId="745C19F8" w:rsidR="0038131E" w:rsidRP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In conclusione della presente sezione, appare opportuno soffermarsi sull’analisi delle fasi di costituzione e realizzazione delle CER, le quali si articolano in un iter procedurale complesso, funzionale ad assicurare tanto la conformità al quadro normativo vigente quanto la piena operatività del modello organizzativo prescelto.</w:t>
      </w:r>
    </w:p>
    <w:p w14:paraId="1F382A7A" w14:textId="77777777" w:rsidR="0038131E" w:rsidRP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lastRenderedPageBreak/>
        <w:t>In tale prospettiva, il procedimento prende avvio dalla fase di ideazione e definizione del progetto, che si caratterizza per il coinvolgimento di una pluralità eterogenea di soggetti – tra cui residenti, imprese, enti pubblici e ulteriori stakeholder territoriali – accomunati dall’interesse a valutare le potenzialità e i benefici derivanti dall’implementazione della comunità energetica nel contesto locale di riferimento.</w:t>
      </w:r>
    </w:p>
    <w:p w14:paraId="17022A5A" w14:textId="368541D3" w:rsid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La fase iniziale di pianificazione si connota, altresì, per l’attivazione di strumenti partecipativi e deliberativi, quali incontri pubblici, seminari e workshop, finalizzati a promuovere la circolazione delle informazioni, il confronto tra i partecipanti e la progressiva emersione di un consenso condiviso in ordine agli obiettivi, alle modalità organizzative e alle prospettive di sviluppo dell’iniziativa.</w:t>
      </w:r>
    </w:p>
    <w:p w14:paraId="303B7A47" w14:textId="4EC0F4C6" w:rsidR="00D87791" w:rsidRDefault="00D87791"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Segue la valutazione della fattibilità del progetto, che comporta un’analisi approfondita di diversi fattori, tra cui le risorse rinnovabili disponibili nella zona, la domanda energetica attesa, le infrastrutture esistenti e i possibili vincoli tecnici, economici e ambientali. Tali analisi vengono condotte con il supporto di esperti del settore, al fine di garantire un approccio metodologicamente rigoroso e idoneo a determinare la realizzabilità dell’iniziativa.</w:t>
      </w:r>
    </w:p>
    <w:p w14:paraId="544866A9" w14:textId="77777777" w:rsidR="0038131E" w:rsidRP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Una volta accertata la fattibilità tecnico-economica dell’iniziativa, assume rilievo centrale l’individuazione dei siti destinati all’installazione degli impianti di produzione, siano essi collocati su coperture edilizie ovvero a terra, nel rispetto delle aree qualificate come idonee dalla normativa vigente. In tale ambito, la delimitazione del perimetro territoriale della comunità energetica rinnovabile deve essere effettuata tenendo in debita considerazione la localizzazione delle cabine primarie, elemento determinante ai fini della corretta configurazione del sistema di autoconsumo e della condivisione dell’energia prodotta.</w:t>
      </w:r>
    </w:p>
    <w:p w14:paraId="7897463F" w14:textId="77777777" w:rsidR="0038131E" w:rsidRP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La fase successiva attiene alla formalizzazione della comunità quale autonomo soggetto giuridico, mediante la predisposizione dello statuto e dell’eventuale regolamento interno, atti destinati a disciplinare gli assetti di governance, i criteri di ripartizione degli oneri e dei benefici economici, nonché le regole di funzionamento della CER. La scelta della forma giuridica più idonea risulta strettamente connessa alla composizione soggettiva della comunità e alla natura degli interessi coinvolti, mentre la partecipazione dei membri – siano essi consumatori o produttori di energia da fonti rinnovabili – può intervenire tanto nella fase costitutiva quanto in momenti successivi, secondo le modalità e le condizioni previste dallo statuto.</w:t>
      </w:r>
    </w:p>
    <w:p w14:paraId="78DB936D" w14:textId="77777777" w:rsidR="0038131E" w:rsidRP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 xml:space="preserve">In tale fase, si procede altresì alla designazione del referente della comunità energetica rinnovabile, quale soggetto incaricato della gestione dei rapporti economici interni e dell’interlocuzione con Gestore dei Servizi Energetici, cui competono funzioni essenziali ai fini del riconoscimento degli incentivi e della regolazione dei flussi energetici condivisi. Nell’ipotesi </w:t>
      </w:r>
      <w:r w:rsidRPr="0038131E">
        <w:rPr>
          <w:rFonts w:ascii="Times New Roman" w:hAnsi="Times New Roman" w:cs="Times New Roman"/>
          <w:sz w:val="24"/>
          <w:szCs w:val="24"/>
        </w:rPr>
        <w:lastRenderedPageBreak/>
        <w:t>in cui la comunità sia promossa o partecipata da enti pubblici, si impone inoltre il rispetto della disciplina in materia di evidenza pubblica per la selezione dei partner privati, nonché delle norme che regolano la partecipazione pubblica in organismi societari o associativi.</w:t>
      </w:r>
    </w:p>
    <w:p w14:paraId="5B7B3515" w14:textId="106EE14B" w:rsidR="0038131E" w:rsidRPr="0081729D"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Parallelamente, la pianificazione economico-finanziaria assume un ruolo centrale, atteso che la costituzione di una CER implica il sostenimento di investimenti iniziali spesso rilevanti. Il piano economico è, pertanto, chiamato a individuare le diverse fonti di finanziamento attivabili, tra cui contributi pubblici, strumenti di finanza agevolata, apporti dei membri, nonché forme di finanziamento di matrice privata, quali leasing, noleggio operativo degli impianti, campagne di crowdfunding o Power Purchase Agreement – PPA. Una simile attività programmatoria si rivela imprescindibile non solo per garantire la sostenibilità delle fasi di avvio, ma anche per assicurare la stabilità e la continuità operativa della comunità nel medio-lungo periodo.</w:t>
      </w:r>
    </w:p>
    <w:p w14:paraId="71B3FA42" w14:textId="77777777" w:rsidR="0038131E" w:rsidRPr="0038131E" w:rsidRDefault="0038131E" w:rsidP="0038131E">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La realizzazione degli impianti costituisce il momento operativo del progetto e segna il passaggio dalla fase di pianificazione a quella di effettiva produzione energetica. Tale stadio richiede il consenso esplicito dei partecipanti, il rilascio di tutte le autorizzazioni amministrative necessarie e il pieno rispetto della normativa tecnica e regolatoria vigente, in particolare per quanto concerne la connessione alla rete elettrica. La natura aperta delle comunità energetiche rinnovabili implica l’assenza di barriere finanziarie eccessive, favorendo la partecipazione anche di soggetti privi di significative risorse economiche. A tal fine, le comunità possono avvalersi di strumenti di finanziamento pubblico agevolato o del sostegno di investitori privati, nel rigoroso rispetto delle condizioni contrattuali e dei vincoli regolatori.</w:t>
      </w:r>
    </w:p>
    <w:p w14:paraId="5A842C64" w14:textId="77777777" w:rsidR="00490F58" w:rsidRPr="00490F58" w:rsidRDefault="0038131E" w:rsidP="00490F58">
      <w:pPr>
        <w:spacing w:line="360" w:lineRule="auto"/>
        <w:ind w:left="170" w:right="227" w:firstLine="170"/>
        <w:contextualSpacing/>
        <w:jc w:val="both"/>
        <w:rPr>
          <w:rFonts w:ascii="Times New Roman" w:hAnsi="Times New Roman" w:cs="Times New Roman"/>
          <w:sz w:val="24"/>
          <w:szCs w:val="24"/>
        </w:rPr>
      </w:pPr>
      <w:r w:rsidRPr="0038131E">
        <w:rPr>
          <w:rFonts w:ascii="Times New Roman" w:hAnsi="Times New Roman" w:cs="Times New Roman"/>
          <w:sz w:val="24"/>
          <w:szCs w:val="24"/>
        </w:rPr>
        <w:t xml:space="preserve">A seguito della realizzazione degli impianti, la comunità procede all’accesso ai servizi per l’autoconsumo diffuso mediante il </w:t>
      </w:r>
      <w:r w:rsidR="00490F58">
        <w:rPr>
          <w:rFonts w:ascii="Times New Roman" w:hAnsi="Times New Roman" w:cs="Times New Roman"/>
          <w:sz w:val="24"/>
          <w:szCs w:val="24"/>
        </w:rPr>
        <w:t>GS</w:t>
      </w:r>
      <w:r w:rsidRPr="0038131E">
        <w:rPr>
          <w:rFonts w:ascii="Times New Roman" w:hAnsi="Times New Roman" w:cs="Times New Roman"/>
          <w:sz w:val="24"/>
          <w:szCs w:val="24"/>
        </w:rPr>
        <w:t>E, formalizzando i contratti necessari per la corresponsione dei contributi economici previsti dalla normativa. Successivamente, le attività di gestione e monitoraggio assumono un ruolo centrale per garantire l’efficienza operativa della comunità, comprendendo la supervisione dei flussi di produzione e consumo energetico, la manutenzione degli impianti e la tempestiva risoluzione di eventuali criticità. Una gestione efficace consente di assicurare il rispetto dei principi di sostenibilità tecnica ed economica alla base delle comunità energetiche rinnovabili, valorizzando i benefici collettivi derivanti dalla condivisione e dall’autoconsumo dell’energia prodotta.</w:t>
      </w:r>
      <w:r w:rsidR="00490F58" w:rsidRPr="00490F58">
        <w:rPr>
          <w:rFonts w:ascii="Times New Roman" w:hAnsi="Times New Roman" w:cs="Times New Roman"/>
          <w:sz w:val="24"/>
          <w:szCs w:val="24"/>
        </w:rPr>
        <w:t xml:space="preserve"> </w:t>
      </w:r>
    </w:p>
    <w:p w14:paraId="3BC3D8CE" w14:textId="458D1F50" w:rsidR="00C57281" w:rsidRDefault="00490F58" w:rsidP="00F42101">
      <w:pPr>
        <w:spacing w:line="360" w:lineRule="auto"/>
        <w:ind w:left="170" w:right="227" w:firstLine="170"/>
        <w:contextualSpacing/>
        <w:jc w:val="both"/>
        <w:rPr>
          <w:rFonts w:ascii="Times New Roman" w:hAnsi="Times New Roman" w:cs="Times New Roman"/>
          <w:sz w:val="24"/>
          <w:szCs w:val="24"/>
        </w:rPr>
      </w:pPr>
      <w:r w:rsidRPr="00490F58">
        <w:rPr>
          <w:rFonts w:ascii="Times New Roman" w:hAnsi="Times New Roman" w:cs="Times New Roman"/>
          <w:sz w:val="24"/>
          <w:szCs w:val="24"/>
        </w:rPr>
        <w:t>Complessivamente, sebbene la procedura di costituzione e avvio di una comunità energetica rinnovabile si articoli in fasi distinte, stratificate e interdipendenti, ciascuna di esse è rilevante ai fini della piena e corretta realizzazione della comunità, nella quale ogni passaggio riveste un ruolo cruciale per garantire la piena operatività, la sostenibilità e una governance condivisa.</w:t>
      </w:r>
    </w:p>
    <w:p w14:paraId="2380467C" w14:textId="77777777" w:rsidR="00D200FB" w:rsidRDefault="00D200FB" w:rsidP="00D200FB">
      <w:pPr>
        <w:spacing w:line="360" w:lineRule="auto"/>
        <w:ind w:right="227"/>
        <w:contextualSpacing/>
        <w:rPr>
          <w:rFonts w:ascii="Times New Roman" w:hAnsi="Times New Roman" w:cs="Times New Roman"/>
          <w:sz w:val="24"/>
          <w:szCs w:val="24"/>
        </w:rPr>
      </w:pPr>
    </w:p>
    <w:p w14:paraId="2482FF42" w14:textId="77777777" w:rsidR="00736EEB" w:rsidRPr="00E90527" w:rsidRDefault="00736EEB" w:rsidP="00736EEB">
      <w:pPr>
        <w:spacing w:line="360" w:lineRule="auto"/>
        <w:ind w:right="227"/>
        <w:contextualSpacing/>
        <w:rPr>
          <w:rFonts w:ascii="Times New Roman" w:hAnsi="Times New Roman" w:cs="Times New Roman"/>
          <w:sz w:val="24"/>
          <w:szCs w:val="24"/>
        </w:rPr>
      </w:pPr>
    </w:p>
    <w:p w14:paraId="5CCA4B4C" w14:textId="77777777" w:rsidR="00437D0A" w:rsidRPr="0081729D" w:rsidRDefault="00437D0A" w:rsidP="00B96247">
      <w:pPr>
        <w:spacing w:line="360" w:lineRule="auto"/>
        <w:ind w:left="170" w:right="227" w:firstLine="170"/>
        <w:contextualSpacing/>
        <w:jc w:val="center"/>
        <w:rPr>
          <w:rFonts w:ascii="Times New Roman" w:hAnsi="Times New Roman" w:cs="Times New Roman"/>
          <w:b/>
          <w:bCs/>
          <w:sz w:val="24"/>
          <w:szCs w:val="24"/>
        </w:rPr>
      </w:pPr>
      <w:r w:rsidRPr="0081729D">
        <w:rPr>
          <w:rFonts w:ascii="Times New Roman" w:hAnsi="Times New Roman" w:cs="Times New Roman"/>
          <w:b/>
          <w:bCs/>
          <w:sz w:val="24"/>
          <w:szCs w:val="24"/>
        </w:rPr>
        <w:t>III CAPITOLO</w:t>
      </w:r>
    </w:p>
    <w:p w14:paraId="57B77A0D" w14:textId="77777777" w:rsidR="00437D0A" w:rsidRPr="0081729D" w:rsidRDefault="00437D0A" w:rsidP="00B96247">
      <w:pPr>
        <w:spacing w:line="360" w:lineRule="auto"/>
        <w:ind w:left="170" w:right="227" w:firstLine="170"/>
        <w:contextualSpacing/>
        <w:jc w:val="center"/>
        <w:rPr>
          <w:rFonts w:ascii="Times New Roman" w:hAnsi="Times New Roman" w:cs="Times New Roman"/>
          <w:b/>
          <w:bCs/>
          <w:sz w:val="24"/>
          <w:szCs w:val="24"/>
        </w:rPr>
      </w:pPr>
      <w:r w:rsidRPr="0081729D">
        <w:rPr>
          <w:rFonts w:ascii="Times New Roman" w:hAnsi="Times New Roman" w:cs="Times New Roman"/>
          <w:b/>
          <w:bCs/>
          <w:sz w:val="24"/>
          <w:szCs w:val="24"/>
        </w:rPr>
        <w:t>Modelli di Costituzione delle CER: tra schemi privatistici e pubblicisti la centralità del principio di sussidiarietà</w:t>
      </w:r>
    </w:p>
    <w:p w14:paraId="34D21D97" w14:textId="77777777" w:rsidR="00437D0A" w:rsidRPr="0081729D" w:rsidRDefault="00437D0A" w:rsidP="005E42A2">
      <w:pPr>
        <w:spacing w:line="240" w:lineRule="atLeast"/>
        <w:ind w:left="170" w:right="227" w:firstLine="170"/>
        <w:jc w:val="both"/>
        <w:rPr>
          <w:rFonts w:ascii="Times New Roman" w:hAnsi="Times New Roman" w:cs="Times New Roman"/>
          <w:b/>
          <w:bCs/>
          <w:sz w:val="24"/>
          <w:szCs w:val="24"/>
        </w:rPr>
      </w:pPr>
    </w:p>
    <w:sdt>
      <w:sdtPr>
        <w:rPr>
          <w:rFonts w:ascii="Times New Roman" w:eastAsiaTheme="minorEastAsia" w:hAnsi="Times New Roman" w:cs="Times New Roman"/>
          <w:color w:val="auto"/>
          <w:sz w:val="24"/>
          <w:szCs w:val="24"/>
        </w:rPr>
        <w:id w:val="-1414701464"/>
        <w:docPartObj>
          <w:docPartGallery w:val="Table of Contents"/>
          <w:docPartUnique/>
        </w:docPartObj>
      </w:sdtPr>
      <w:sdtEndPr>
        <w:rPr>
          <w:b/>
          <w:bCs/>
        </w:rPr>
      </w:sdtEndPr>
      <w:sdtContent>
        <w:p w14:paraId="7BC5EDAA" w14:textId="457385FE" w:rsidR="00437D0A" w:rsidRPr="005E42A2" w:rsidRDefault="00437D0A" w:rsidP="005E42A2">
          <w:pPr>
            <w:pStyle w:val="Titolosommario"/>
            <w:spacing w:line="240" w:lineRule="atLeast"/>
            <w:ind w:left="170" w:right="227" w:firstLine="170"/>
            <w:jc w:val="both"/>
            <w:rPr>
              <w:rFonts w:ascii="Times New Roman" w:hAnsi="Times New Roman" w:cs="Times New Roman"/>
              <w:b/>
              <w:bCs/>
              <w:sz w:val="22"/>
              <w:szCs w:val="22"/>
              <w:highlight w:val="yellow"/>
            </w:rPr>
          </w:pPr>
          <w:r w:rsidRPr="005E42A2">
            <w:rPr>
              <w:rFonts w:ascii="Times New Roman" w:hAnsi="Times New Roman" w:cs="Times New Roman"/>
              <w:b/>
              <w:bCs/>
              <w:color w:val="auto"/>
              <w:sz w:val="20"/>
              <w:szCs w:val="20"/>
            </w:rPr>
            <w:t>Sommario</w:t>
          </w:r>
          <w:r w:rsidRPr="005E42A2">
            <w:rPr>
              <w:rFonts w:ascii="Times New Roman" w:hAnsi="Times New Roman" w:cs="Times New Roman"/>
              <w:b/>
              <w:bCs/>
              <w:color w:val="auto"/>
              <w:sz w:val="22"/>
              <w:szCs w:val="22"/>
            </w:rPr>
            <w:t xml:space="preserve">: </w:t>
          </w:r>
          <w:r w:rsidR="00C57281">
            <w:rPr>
              <w:rFonts w:ascii="Times New Roman" w:hAnsi="Times New Roman" w:cs="Times New Roman"/>
              <w:b/>
              <w:bCs/>
              <w:color w:val="auto"/>
              <w:sz w:val="22"/>
              <w:szCs w:val="22"/>
            </w:rPr>
            <w:t xml:space="preserve">Premessa. </w:t>
          </w:r>
          <w:r w:rsidRPr="005E42A2">
            <w:rPr>
              <w:rFonts w:ascii="Times New Roman" w:hAnsi="Times New Roman" w:cs="Times New Roman"/>
              <w:b/>
              <w:bCs/>
              <w:color w:val="auto"/>
              <w:sz w:val="22"/>
              <w:szCs w:val="22"/>
            </w:rPr>
            <w:t>1</w:t>
          </w:r>
          <w:r w:rsidRPr="005E42A2">
            <w:rPr>
              <w:rFonts w:ascii="Times New Roman" w:eastAsiaTheme="minorHAnsi" w:hAnsi="Times New Roman" w:cs="Times New Roman"/>
              <w:b/>
              <w:bCs/>
              <w:color w:val="auto"/>
              <w:sz w:val="22"/>
              <w:szCs w:val="22"/>
              <w:lang w:eastAsia="en-US"/>
            </w:rPr>
            <w:t>. P</w:t>
          </w:r>
          <w:r w:rsidRPr="005E42A2">
            <w:rPr>
              <w:rFonts w:ascii="Times New Roman" w:hAnsi="Times New Roman" w:cs="Times New Roman"/>
              <w:b/>
              <w:bCs/>
              <w:color w:val="auto"/>
              <w:sz w:val="22"/>
              <w:szCs w:val="22"/>
            </w:rPr>
            <w:t>rofili critici dei modelli di costituzione “</w:t>
          </w:r>
          <w:r w:rsidRPr="005E42A2">
            <w:rPr>
              <w:rFonts w:ascii="Times New Roman" w:hAnsi="Times New Roman" w:cs="Times New Roman"/>
              <w:b/>
              <w:bCs/>
              <w:i/>
              <w:iCs/>
              <w:color w:val="auto"/>
              <w:sz w:val="22"/>
              <w:szCs w:val="22"/>
            </w:rPr>
            <w:t>bottom-up</w:t>
          </w:r>
          <w:r w:rsidRPr="005E42A2">
            <w:rPr>
              <w:rFonts w:ascii="Times New Roman" w:hAnsi="Times New Roman" w:cs="Times New Roman"/>
              <w:b/>
              <w:bCs/>
              <w:color w:val="auto"/>
              <w:sz w:val="22"/>
              <w:szCs w:val="22"/>
            </w:rPr>
            <w:t>” e “</w:t>
          </w:r>
          <w:r w:rsidRPr="005E42A2">
            <w:rPr>
              <w:rFonts w:ascii="Times New Roman" w:hAnsi="Times New Roman" w:cs="Times New Roman"/>
              <w:b/>
              <w:bCs/>
              <w:i/>
              <w:iCs/>
              <w:color w:val="auto"/>
              <w:sz w:val="22"/>
              <w:szCs w:val="22"/>
            </w:rPr>
            <w:t>top-down</w:t>
          </w:r>
          <w:r w:rsidRPr="005E42A2">
            <w:rPr>
              <w:rFonts w:ascii="Times New Roman" w:hAnsi="Times New Roman" w:cs="Times New Roman"/>
              <w:b/>
              <w:bCs/>
              <w:color w:val="auto"/>
              <w:sz w:val="22"/>
              <w:szCs w:val="22"/>
            </w:rPr>
            <w:t xml:space="preserve">” delle </w:t>
          </w:r>
          <w:proofErr w:type="spellStart"/>
          <w:r w:rsidRPr="005E42A2">
            <w:rPr>
              <w:rFonts w:ascii="Times New Roman" w:hAnsi="Times New Roman" w:cs="Times New Roman"/>
              <w:b/>
              <w:bCs/>
              <w:color w:val="auto"/>
              <w:sz w:val="22"/>
              <w:szCs w:val="22"/>
            </w:rPr>
            <w:t>Cer</w:t>
          </w:r>
          <w:proofErr w:type="spellEnd"/>
          <w:r w:rsidRPr="005E42A2">
            <w:rPr>
              <w:rFonts w:ascii="Times New Roman" w:hAnsi="Times New Roman" w:cs="Times New Roman"/>
              <w:b/>
              <w:bCs/>
              <w:color w:val="auto"/>
              <w:sz w:val="22"/>
              <w:szCs w:val="22"/>
            </w:rPr>
            <w:t xml:space="preserve">; 2. Le forme organizzative a partecipazione pubblica nel Codice dei Contratti Pubblici: il partenariato pubblico-privato; 2.1 I contratti di rendimento energetico (Energy Performance </w:t>
          </w:r>
          <w:proofErr w:type="spellStart"/>
          <w:r w:rsidRPr="005E42A2">
            <w:rPr>
              <w:rFonts w:ascii="Times New Roman" w:hAnsi="Times New Roman" w:cs="Times New Roman"/>
              <w:b/>
              <w:bCs/>
              <w:color w:val="auto"/>
              <w:sz w:val="22"/>
              <w:szCs w:val="22"/>
            </w:rPr>
            <w:t>Contract</w:t>
          </w:r>
          <w:proofErr w:type="spellEnd"/>
          <w:r w:rsidRPr="005E42A2">
            <w:rPr>
              <w:rFonts w:ascii="Times New Roman" w:hAnsi="Times New Roman" w:cs="Times New Roman"/>
              <w:b/>
              <w:bCs/>
              <w:color w:val="auto"/>
              <w:sz w:val="22"/>
              <w:szCs w:val="22"/>
            </w:rPr>
            <w:t xml:space="preserve"> – EPC) nel contesto delle CER;</w:t>
          </w:r>
          <w:r w:rsidRPr="005E42A2">
            <w:rPr>
              <w:rFonts w:ascii="Times New Roman" w:hAnsi="Times New Roman" w:cs="Times New Roman"/>
              <w:b/>
              <w:bCs/>
              <w:sz w:val="22"/>
              <w:szCs w:val="22"/>
            </w:rPr>
            <w:t xml:space="preserve"> </w:t>
          </w:r>
          <w:r w:rsidRPr="005E42A2">
            <w:rPr>
              <w:rFonts w:ascii="Times New Roman" w:hAnsi="Times New Roman" w:cs="Times New Roman"/>
              <w:b/>
              <w:bCs/>
              <w:color w:val="auto"/>
              <w:sz w:val="22"/>
              <w:szCs w:val="22"/>
            </w:rPr>
            <w:t>3.</w:t>
          </w:r>
          <w:r w:rsidRPr="005E42A2">
            <w:rPr>
              <w:rFonts w:ascii="Times New Roman" w:eastAsiaTheme="minorHAnsi" w:hAnsi="Times New Roman" w:cs="Times New Roman"/>
              <w:b/>
              <w:bCs/>
              <w:color w:val="auto"/>
              <w:sz w:val="22"/>
              <w:szCs w:val="22"/>
              <w:lang w:eastAsia="en-US"/>
            </w:rPr>
            <w:t xml:space="preserve"> </w:t>
          </w:r>
          <w:r w:rsidRPr="005E42A2">
            <w:rPr>
              <w:rFonts w:ascii="Times New Roman" w:hAnsi="Times New Roman" w:cs="Times New Roman"/>
              <w:b/>
              <w:bCs/>
              <w:color w:val="auto"/>
              <w:sz w:val="22"/>
              <w:szCs w:val="22"/>
            </w:rPr>
            <w:t>La partecipazione pubblica attraverso il Testo Unico delle Società a Partecipazione Pubblica; 3.1 Prassi di controllo della Corte dei Conti; 4. Le forme organizzative privatistiche a confronto: le associazioni, le fondazioni e le cooperative; 4.1 I regimi fiscali dei modelli privatisti. 5. Possibile sinergia normativa tra CER e Servizi Pubblici.</w:t>
          </w:r>
        </w:p>
        <w:p w14:paraId="733B7B5B" w14:textId="77777777" w:rsidR="00437D0A" w:rsidRPr="0081729D" w:rsidRDefault="00437D0A" w:rsidP="005E42A2">
          <w:pPr>
            <w:spacing w:line="240" w:lineRule="atLeast"/>
            <w:ind w:left="170" w:right="227" w:firstLine="170"/>
            <w:jc w:val="both"/>
            <w:rPr>
              <w:rFonts w:ascii="Times New Roman" w:hAnsi="Times New Roman" w:cs="Times New Roman"/>
              <w:sz w:val="24"/>
              <w:szCs w:val="24"/>
            </w:rPr>
          </w:pPr>
        </w:p>
        <w:p w14:paraId="6C8C9AAD" w14:textId="4BF841C7" w:rsidR="00437D0A" w:rsidRPr="0081729D" w:rsidRDefault="00471AD1" w:rsidP="005E42A2">
          <w:pPr>
            <w:spacing w:line="240" w:lineRule="atLeast"/>
            <w:ind w:left="170" w:right="227" w:firstLine="170"/>
            <w:jc w:val="both"/>
            <w:rPr>
              <w:rFonts w:ascii="Times New Roman" w:hAnsi="Times New Roman" w:cs="Times New Roman"/>
              <w:sz w:val="24"/>
              <w:szCs w:val="24"/>
            </w:rPr>
          </w:pPr>
        </w:p>
      </w:sdtContent>
    </w:sdt>
    <w:p w14:paraId="1F7F20D9" w14:textId="6B1BF095"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p>
    <w:p w14:paraId="35BA47FA" w14:textId="46680C86" w:rsidR="00D6596A" w:rsidRPr="0081729D" w:rsidRDefault="00D6596A" w:rsidP="00B96247">
      <w:pPr>
        <w:spacing w:line="360" w:lineRule="auto"/>
        <w:ind w:right="227"/>
        <w:contextualSpacing/>
        <w:jc w:val="both"/>
        <w:rPr>
          <w:rFonts w:ascii="Times New Roman" w:hAnsi="Times New Roman" w:cs="Times New Roman"/>
          <w:sz w:val="24"/>
          <w:szCs w:val="24"/>
        </w:rPr>
      </w:pPr>
    </w:p>
    <w:p w14:paraId="554D1A02" w14:textId="77777777" w:rsidR="00C57281" w:rsidRPr="00C57281" w:rsidRDefault="00C57281" w:rsidP="0081729D">
      <w:pPr>
        <w:spacing w:line="360" w:lineRule="auto"/>
        <w:ind w:left="170" w:right="227" w:firstLine="170"/>
        <w:contextualSpacing/>
        <w:jc w:val="both"/>
        <w:rPr>
          <w:rFonts w:ascii="Times New Roman" w:hAnsi="Times New Roman" w:cs="Times New Roman"/>
          <w:b/>
          <w:bCs/>
          <w:sz w:val="24"/>
          <w:szCs w:val="24"/>
        </w:rPr>
      </w:pPr>
      <w:r w:rsidRPr="00C57281">
        <w:rPr>
          <w:rFonts w:ascii="Times New Roman" w:hAnsi="Times New Roman" w:cs="Times New Roman"/>
          <w:b/>
          <w:bCs/>
          <w:sz w:val="24"/>
          <w:szCs w:val="24"/>
        </w:rPr>
        <w:t xml:space="preserve">Premessa. </w:t>
      </w:r>
    </w:p>
    <w:p w14:paraId="5DCFD468" w14:textId="7190A66A"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L’evoluzione normativa italiana mostra così un progressivo affinamento del modello, nel tentativo di coniugare apertura partecipativa, sostenibilità economica e integrazione nel mercato elettrico. Resta tuttavia centrale la verifica della sua effettiva capacità di tradurre l’ambizione europea in prassi operative stabili e accessibili, evitando che la complessità regolatoria si trasformi in un ostacolo alla diffusione di uno strumento concepito per democratizzare la transizione energetica. </w:t>
      </w:r>
    </w:p>
    <w:p w14:paraId="091470DA" w14:textId="18C62ED1" w:rsidR="00D6596A"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È proprio in questo spazio di pluralismo organizzativo, espressamente legittimato anche dai considerando della direttiva, che si colloca il nodo centrale del presente capitolo. La possibilità di scegliere qualsiasi forma giuridica, a condizione che l’entità sia in grado di agire in nome proprio ed esercitare diritti e obblighi con autonomia rispetto ai membri e agli operatori tradizionali, rende la questione delle forme di costituzione tutt’altro che neutrale. La configurazione prescelta incide sulla distribuzione del potere decisionale, sulla reale inclusione dei soggetti vulnerabili, sulla permeabilità alle logiche di mercato e, in ultima analisi, sulla capacità del modello di realizzare le finalità pubbliche che lo giustificano. In tale intersezione tra autonomia privata e interesse generale si misura concretamente la portata del principio di sussidiarietà nella transizione energetica contemporanea.</w:t>
      </w:r>
    </w:p>
    <w:p w14:paraId="05FEBEB4" w14:textId="18E6AA67" w:rsidR="005E42A2" w:rsidRDefault="005E42A2" w:rsidP="0081729D">
      <w:pPr>
        <w:spacing w:line="360" w:lineRule="auto"/>
        <w:ind w:left="170" w:right="227" w:firstLine="170"/>
        <w:contextualSpacing/>
        <w:jc w:val="both"/>
        <w:rPr>
          <w:rFonts w:ascii="Times New Roman" w:hAnsi="Times New Roman" w:cs="Times New Roman"/>
          <w:sz w:val="24"/>
          <w:szCs w:val="24"/>
        </w:rPr>
      </w:pPr>
    </w:p>
    <w:p w14:paraId="703A1137" w14:textId="77777777" w:rsidR="00D6596A" w:rsidRPr="0081729D" w:rsidRDefault="00D6596A" w:rsidP="00F42101">
      <w:pPr>
        <w:spacing w:line="360" w:lineRule="auto"/>
        <w:ind w:right="227"/>
        <w:contextualSpacing/>
        <w:jc w:val="both"/>
        <w:rPr>
          <w:rFonts w:ascii="Times New Roman" w:hAnsi="Times New Roman" w:cs="Times New Roman"/>
          <w:b/>
          <w:bCs/>
          <w:sz w:val="24"/>
          <w:szCs w:val="24"/>
        </w:rPr>
      </w:pPr>
    </w:p>
    <w:p w14:paraId="7EB369C1" w14:textId="77777777" w:rsidR="00D6596A" w:rsidRPr="0081729D" w:rsidRDefault="00D6596A" w:rsidP="002B7A90">
      <w:pPr>
        <w:pStyle w:val="Paragrafoelenco"/>
        <w:numPr>
          <w:ilvl w:val="0"/>
          <w:numId w:val="11"/>
        </w:numPr>
        <w:spacing w:after="160"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lastRenderedPageBreak/>
        <w:t>Modelli di costituzione “</w:t>
      </w:r>
      <w:r w:rsidRPr="0081729D">
        <w:rPr>
          <w:rFonts w:ascii="Times New Roman" w:hAnsi="Times New Roman" w:cs="Times New Roman"/>
          <w:b/>
          <w:bCs/>
          <w:i/>
          <w:iCs/>
          <w:sz w:val="24"/>
          <w:szCs w:val="24"/>
        </w:rPr>
        <w:t>bottom-up</w:t>
      </w:r>
      <w:r w:rsidRPr="0081729D">
        <w:rPr>
          <w:rFonts w:ascii="Times New Roman" w:hAnsi="Times New Roman" w:cs="Times New Roman"/>
          <w:b/>
          <w:bCs/>
          <w:sz w:val="24"/>
          <w:szCs w:val="24"/>
        </w:rPr>
        <w:t>” e “</w:t>
      </w:r>
      <w:r w:rsidRPr="0081729D">
        <w:rPr>
          <w:rFonts w:ascii="Times New Roman" w:hAnsi="Times New Roman" w:cs="Times New Roman"/>
          <w:b/>
          <w:bCs/>
          <w:i/>
          <w:iCs/>
          <w:sz w:val="24"/>
          <w:szCs w:val="24"/>
        </w:rPr>
        <w:t>top-down</w:t>
      </w:r>
      <w:r w:rsidRPr="0081729D">
        <w:rPr>
          <w:rFonts w:ascii="Times New Roman" w:hAnsi="Times New Roman" w:cs="Times New Roman"/>
          <w:b/>
          <w:bCs/>
          <w:sz w:val="24"/>
          <w:szCs w:val="24"/>
        </w:rPr>
        <w:t xml:space="preserve">” delle </w:t>
      </w:r>
      <w:proofErr w:type="spellStart"/>
      <w:r w:rsidRPr="0081729D">
        <w:rPr>
          <w:rFonts w:ascii="Times New Roman" w:hAnsi="Times New Roman" w:cs="Times New Roman"/>
          <w:b/>
          <w:bCs/>
          <w:sz w:val="24"/>
          <w:szCs w:val="24"/>
        </w:rPr>
        <w:t>Cer</w:t>
      </w:r>
      <w:proofErr w:type="spellEnd"/>
      <w:r w:rsidRPr="0081729D">
        <w:rPr>
          <w:rFonts w:ascii="Times New Roman" w:hAnsi="Times New Roman" w:cs="Times New Roman"/>
          <w:b/>
          <w:bCs/>
          <w:sz w:val="24"/>
          <w:szCs w:val="24"/>
        </w:rPr>
        <w:t>: premesse generali sull’indagine.</w:t>
      </w:r>
    </w:p>
    <w:p w14:paraId="43ED1E34"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corso del presente lavoro si è più volte fatto riferimento ai requisiti oggettivi e soggettivi delle comunità energetiche rinnovabili, evidenziandone il ruolo centrale nella definizione della loro configurazione giuridica e delle condizioni necessarie per l’accesso ai meccanismi di sostegno previsti dall’ordinamento. In questa fase dell’analisi appare pertanto opportuno soffermarsi più specificamente sulle modalità di costituzione delle CER e sui modelli organizzativi ritenuti ammissibili dal quadro normativo vigente.</w:t>
      </w:r>
    </w:p>
    <w:p w14:paraId="7AAC8BED"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L’esame delle forme di costituzione assume rilievo non solo sotto il profilo formale, ma anche con riguardo alle implicazioni che la scelta dell’assetto organizzativo produce sulla governance interna, sulla distribuzione dei poteri decisionali tra i membri e sulle modalità di ripartizione dei benefici derivanti dalla produzione e dalla condivisione dell’energia. Come già emerso nei paragrafi precedenti, la comunità energetica rinnovabile non è configurata dal legislatore come una figura giuridica tipica, ma come un modello organizzativo flessibile, suscettibile di essere realizzato attraverso diverse forme giuridiche, purché siano rispettati i requisiti sostanziali stabiliti dalla normativa di riferimento.</w:t>
      </w:r>
    </w:p>
    <w:p w14:paraId="4880F789"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Tale flessibilità rappresenta al tempo stesso uno degli elementi di maggiore innovatività dell’istituto e una potenziale fonte di criticità applicative. L’assenza di una tipizzazione legislativa delle forme organizzative ammissibili, infatti, favorisce l’adattabilità del modello alle specificità dei contesti territoriali e alle esigenze dei soggetti coinvolti, ma solleva al contempo questioni interpretative in ordine all’individuazione delle strutture giuridiche più idonee a garantire il rispetto dei principi che informano la disciplina delle CER, in particolare con riferimento alla prevalenza della finalità sociale rispetto a quella lucrativa, al carattere aperto e volontario della partecipazione e all’effettivo controllo esercitato dai membri della comunità.</w:t>
      </w:r>
    </w:p>
    <w:p w14:paraId="16A5271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questo quadro, la scelta della forma giuridica attraverso cui costituire la comunità energetica assume un rilievo decisivo ai fini della concreta attuazione del modello partecipativo delineato dal legislatore europeo e recepito nell’ordinamento nazionale, incidendo direttamente sulla capacità della comunità di perseguire gli obiettivi di sostenibilità ambientale, economica e sociale che ne costituiscono la finalità.</w:t>
      </w:r>
    </w:p>
    <w:p w14:paraId="58D9CC3D" w14:textId="5DAB473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Alla luce di tali premesse, l’analisi prosegue con l’esame dei possibili modelli giuridici che una CER può assumere, valutandone la configurazione alla luce della normativa europea e nazionale di riferimento. Successivamente, occorrerà verificare la compatibilità di tali modelli con le ipotesi in cui alla comunità energetica partecipi anche un ente locale, segnatamente il Comune, in qualità di membro. Tale verifica richiede un confronto con la disciplina contenuta nel Testo unico in </w:t>
      </w:r>
      <w:r w:rsidRPr="0081729D">
        <w:rPr>
          <w:rFonts w:ascii="Times New Roman" w:hAnsi="Times New Roman" w:cs="Times New Roman"/>
          <w:sz w:val="24"/>
          <w:szCs w:val="24"/>
        </w:rPr>
        <w:lastRenderedPageBreak/>
        <w:t>materia di società a partecipazione pubblica (TUSP),</w:t>
      </w:r>
      <w:r w:rsidR="008B07EE">
        <w:rPr>
          <w:rStyle w:val="Rimandonotaapidipagina"/>
          <w:rFonts w:ascii="Times New Roman" w:hAnsi="Times New Roman" w:cs="Times New Roman"/>
          <w:sz w:val="24"/>
          <w:szCs w:val="24"/>
        </w:rPr>
        <w:footnoteReference w:id="88"/>
      </w:r>
      <w:r w:rsidRPr="0081729D">
        <w:rPr>
          <w:rFonts w:ascii="Times New Roman" w:hAnsi="Times New Roman" w:cs="Times New Roman"/>
          <w:sz w:val="24"/>
          <w:szCs w:val="24"/>
        </w:rPr>
        <w:t xml:space="preserve"> di cui al d.lgs. 19 agosto 2016, n. 175, al fine di valutare se e in quale misura le diverse soluzioni organizzative risultino coerenti con i limiti e le condizioni posti dall’ordinamento per la partecipazione delle amministrazioni pubbliche a soggetti di diritto privato.</w:t>
      </w:r>
    </w:p>
    <w:p w14:paraId="367D180D"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Al centro del dibattito si pone il tema della natura giuridica delle Comunità Energetiche atteso che la disciplina sovranazionale - come è fisiologico per la fonte normativa adottata (direttiva europea) - non indica uno schema tipico costitutivo, rimettendo ai singoli Stati membri piena discrezionalità nell’individuare la qualificazione più conforme al diritto interno. Tuttavia all’ampio margine di libertà riservato al legislatore nazionale è corrisposta una lacuna normativa che si è sostanziata nella mancanza di indicazioni puntuali sui modelli organizzativi da adottare lasciando l’operatore economico in uno stato di incertezza tale da scoraggiare la diffusione delle Comunità Energetiche auspicate nei programmi europei. </w:t>
      </w:r>
    </w:p>
    <w:p w14:paraId="78108708"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quadro definitorio delineato dalle direttive europee consente di ricavare che la costituzione delle CER – qualificate come “</w:t>
      </w:r>
      <w:r w:rsidRPr="0081729D">
        <w:rPr>
          <w:rFonts w:ascii="Times New Roman" w:hAnsi="Times New Roman" w:cs="Times New Roman"/>
          <w:i/>
          <w:iCs/>
          <w:sz w:val="24"/>
          <w:szCs w:val="24"/>
        </w:rPr>
        <w:t>forme di cooperazione tra cittadini o attori locali</w:t>
      </w:r>
      <w:r w:rsidRPr="0081729D">
        <w:rPr>
          <w:rFonts w:ascii="Times New Roman" w:hAnsi="Times New Roman" w:cs="Times New Roman"/>
          <w:sz w:val="24"/>
          <w:szCs w:val="24"/>
        </w:rPr>
        <w:t>” (considerando n. 44 della direttiva 2019/944) – può avvenire attraverso un’aggregazione di persone fisiche e giuridiche operanti all’interno di un determinato contesto territoriale e finalizzata alla produzione di benefici ambientali, economici o sociali per i membri della comunità o per il territorio di riferimento. All’interno di tale definizione, assume particolare rilievo la possibilità di includere tra i partecipanti anche gli enti locali, riconoscendo così alle amministrazioni territoriali un ruolo potenzialmente significativo nella promozione e nello sviluppo delle comunità energetiche.</w:t>
      </w:r>
    </w:p>
    <w:p w14:paraId="2D1935B8"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Proprio con riferimento alla partecipazione degli enti pubblici emergono, tuttavia, le principali criticità applicative dell’istituto: se, infatti, la normativa europea si limita ad ammettere la presenza delle autorità locali tra i membri delle comunità energetiche, essa non fornisce indicazioni specifiche circa le modalità attraverso cui tale partecipazione debba essere organizzata né circa il modello giuridico più idoneo a disciplinare il rapporto tra soggetti pubblici e altri partecipanti alla comunità. Ne deriva la necessità di confrontare la disciplina delle CER </w:t>
      </w:r>
      <w:r w:rsidRPr="0081729D">
        <w:rPr>
          <w:rFonts w:ascii="Times New Roman" w:hAnsi="Times New Roman" w:cs="Times New Roman"/>
          <w:sz w:val="24"/>
          <w:szCs w:val="24"/>
        </w:rPr>
        <w:lastRenderedPageBreak/>
        <w:t>con i principi e i limiti che regolano l’azione amministrativa e la partecipazione delle pubbliche amministrazioni a soggetti di diritto privato.</w:t>
      </w:r>
    </w:p>
    <w:p w14:paraId="3B2E986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presenza di enti pubblici all’interno delle comunità energetiche solleva, infatti, una serie di questioni giuridiche che attengono, tra l’altro, alla compatibilità delle diverse forme organizzative con la disciplina della partecipazione pubblica, al rispetto dei principi di imparzialità e buon andamento dell’azione amministrativa, nonché alla corretta gestione delle risorse pubbliche eventualmente coinvolte nel progetto energetico. Tali problematiche risultano particolarmente rilevanti nelle ipotesi in cui la comunità energetica assuma la configurazione di un soggetto giuridico misto, nel quale si realizza una forma di cooperazione tra amministrazioni pubbliche e soggetti privati nell’ambito della gestione di attività energetiche condivise.</w:t>
      </w:r>
    </w:p>
    <w:p w14:paraId="059988F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 questo contesto, la prassi e la dottrina sono solite distinguere due principali modalità di partecipazione della pubblica amministrazione alle comunità energetiche: la prima è rappresentata dalla partecipazione diretta, comunemente qualificata come modello </w:t>
      </w:r>
      <w:r w:rsidRPr="0081729D">
        <w:rPr>
          <w:rFonts w:ascii="Times New Roman" w:hAnsi="Times New Roman" w:cs="Times New Roman"/>
          <w:i/>
          <w:iCs/>
          <w:sz w:val="24"/>
          <w:szCs w:val="24"/>
        </w:rPr>
        <w:t>top-down</w:t>
      </w:r>
      <w:r w:rsidRPr="0081729D">
        <w:rPr>
          <w:rFonts w:ascii="Times New Roman" w:hAnsi="Times New Roman" w:cs="Times New Roman"/>
          <w:sz w:val="24"/>
          <w:szCs w:val="24"/>
        </w:rPr>
        <w:t xml:space="preserve">, nella quale è l’ente pubblico – tipicamente il Comune – a promuovere e costituire la comunità energetica, assumendo un ruolo attivo nella definizione della struttura organizzativa e nella gestione dell’iniziativa; la seconda è rappresentata dalla partecipazione indiretta, definita come modello </w:t>
      </w:r>
      <w:r w:rsidRPr="0081729D">
        <w:rPr>
          <w:rFonts w:ascii="Times New Roman" w:hAnsi="Times New Roman" w:cs="Times New Roman"/>
          <w:i/>
          <w:iCs/>
          <w:sz w:val="24"/>
          <w:szCs w:val="24"/>
        </w:rPr>
        <w:t>bottom-up</w:t>
      </w:r>
      <w:r w:rsidRPr="0081729D">
        <w:rPr>
          <w:rFonts w:ascii="Times New Roman" w:hAnsi="Times New Roman" w:cs="Times New Roman"/>
          <w:sz w:val="24"/>
          <w:szCs w:val="24"/>
        </w:rPr>
        <w:t>, che ricorre quando l’amministrazione aderisce ad una comunità già costituita su iniziativa di soggetti privati oppure interviene in una fase successiva fornendo forme di supporto istituzionale allo sviluppo del progetto.</w:t>
      </w:r>
    </w:p>
    <w:p w14:paraId="6E28A553"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quest’ultima ipotesi, il contributo dell’amministrazione può manifestarsi attraverso diverse modalità, quali il supporto nella pianificazione territoriale degli impianti, la concessione in uso di superfici appartenenti al patrimonio pubblico per l’installazione degli impianti di produzione energetica, ovvero la messa a disposizione di impianti già realizzati ma non ancora entrati in esercizio.</w:t>
      </w:r>
    </w:p>
    <w:p w14:paraId="285B5E6F"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Si tratta, dunque, di due differenti modalità di coinvolgimento del soggetto pubblico nelle comunità energetiche rinnovabili che, proprio in ragione della presenza dell’amministrazione all’interno di strutture organizzative di natura generalmente privatistica, pongono rilevanti problemi di coordinamento con la disciplina pubblicistica di riferimento. Tali criticità, che incidono sulla concreta configurazione dei modelli organizzativi delle CER e sulla legittimità delle forme di partecipazione degli enti locali, saranno esaminate più diffusamente nel prosieguo della trattazione.</w:t>
      </w:r>
    </w:p>
    <w:p w14:paraId="544296C6" w14:textId="77777777" w:rsidR="00D6596A" w:rsidRDefault="00D6596A" w:rsidP="0081729D">
      <w:pPr>
        <w:spacing w:line="360" w:lineRule="auto"/>
        <w:ind w:left="170" w:right="227" w:firstLine="170"/>
        <w:contextualSpacing/>
        <w:jc w:val="both"/>
        <w:rPr>
          <w:rFonts w:ascii="Times New Roman" w:hAnsi="Times New Roman" w:cs="Times New Roman"/>
          <w:sz w:val="24"/>
          <w:szCs w:val="24"/>
        </w:rPr>
      </w:pPr>
    </w:p>
    <w:p w14:paraId="30005B45" w14:textId="77777777" w:rsidR="00FD3784" w:rsidRPr="0081729D" w:rsidRDefault="00FD3784" w:rsidP="0081729D">
      <w:pPr>
        <w:spacing w:line="360" w:lineRule="auto"/>
        <w:ind w:left="170" w:right="227" w:firstLine="170"/>
        <w:contextualSpacing/>
        <w:jc w:val="both"/>
        <w:rPr>
          <w:rFonts w:ascii="Times New Roman" w:hAnsi="Times New Roman" w:cs="Times New Roman"/>
          <w:sz w:val="24"/>
          <w:szCs w:val="24"/>
        </w:rPr>
      </w:pPr>
    </w:p>
    <w:p w14:paraId="199F0A9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ab/>
      </w:r>
      <w:r w:rsidRPr="006406FE">
        <w:rPr>
          <w:rFonts w:ascii="Times New Roman" w:hAnsi="Times New Roman" w:cs="Times New Roman"/>
          <w:b/>
          <w:bCs/>
          <w:sz w:val="24"/>
          <w:szCs w:val="24"/>
        </w:rPr>
        <w:t>2</w:t>
      </w:r>
      <w:r w:rsidRPr="0081729D">
        <w:rPr>
          <w:rFonts w:ascii="Times New Roman" w:hAnsi="Times New Roman" w:cs="Times New Roman"/>
          <w:b/>
          <w:bCs/>
          <w:sz w:val="24"/>
          <w:szCs w:val="24"/>
        </w:rPr>
        <w:t xml:space="preserve">. Le forme organizzative a partecipazione pubblica nel Codice dei Contratti Pubblici: il partenariato pubblico privato. </w:t>
      </w:r>
    </w:p>
    <w:p w14:paraId="05660279"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modello delineato dalla normativa europea e nazionale promuove, pertanto, una maggiore prossimità tra cittadini, imprese e pubbliche amministrazioni, in particolare a livello comunale, favorendo la costruzione di iniziative energetiche partecipate e radicate nel contesto locale. Tale assetto collaborativo comporta un ampliamento delle forme di partecipazione dei soggetti privati e della società civile, senza tuttavia ridurre le responsabilità degli enti pubblici, i quali continuano a svolgere un ruolo attivo nella promozione, nel coordinamento e nell’attuazione delle iniziative volte allo sviluppo delle comunità energetiche.</w:t>
      </w:r>
    </w:p>
    <w:p w14:paraId="3579979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questa prospettiva, gli enti locali – e in particolare i Comuni – assumono una funzione centrale nella diffusione delle CER, potendo intervenire con modalità differenti nella fase di costituzione e sviluppo delle iniziative. Come già anticipato, un’amministrazione comunale può infatti scegliere tra diverse opzioni operative: promuovere direttamente la costituzione di una comunità energetica e parteciparvi in qualità di membro, eventualmente assumendo anche il ruolo di produttore e consumatore di energia; costituire la comunità senza aderirvi direttamente, limitandosi a favorirne la creazione e lo sviluppo; oppure aderire successivamente ad una comunità energetica già costituita su iniziativa di soggetti privati o della società civile.</w:t>
      </w:r>
    </w:p>
    <w:p w14:paraId="14B9B8E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concreta realizzazione di tali iniziative può avvalersi, oltre che degli strumenti organizzativi previsti dalla disciplina delle CER, anche delle procedure e degli istituti contemplati dal diritto dei contratti pubblici. In particolare, il decreto legislativo 31 marzo 2023, n. 36 (Codice dei contratti pubblici) mette a disposizione delle amministrazioni una serie di strumenti utili per esplorare il mercato e individuare i soggetti privati con cui sviluppare progetti energetici condivisi.</w:t>
      </w:r>
    </w:p>
    <w:p w14:paraId="33F7341C"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Tra questi assume rilievo, in primo luogo, la procedura di manifestazione di interesse, che rappresenta uno strumento informativo preliminare volto a individuare gli operatori economici potenzialmente interessati a partecipare a successive procedure negoziate per l’affidamento di contratti pubblici. Attraverso la pubblicazione di un apposito avviso, l’amministrazione indica l’oggetto dell’iniziativa e invita i soggetti interessati a presentare la propria candidatura, al fine di essere eventualmente coinvolti nelle successive fasi della procedura.</w:t>
      </w:r>
    </w:p>
    <w:p w14:paraId="2D96E6DF"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Ai sensi dell’allegato I.1 del d.lgs. n. 36/2023, per operatore economico deve intendersi qualsiasi persona fisica o giuridica, pubblica o privata, anche priva di scopo di lucro, che offra sul mercato lavori, servizi o forniture. Tale definizione particolarmente ampia consente di includere, tra i potenziali soggetti coinvolti nello sviluppo delle comunità energetiche, non </w:t>
      </w:r>
      <w:r w:rsidRPr="0081729D">
        <w:rPr>
          <w:rFonts w:ascii="Times New Roman" w:hAnsi="Times New Roman" w:cs="Times New Roman"/>
          <w:sz w:val="24"/>
          <w:szCs w:val="24"/>
        </w:rPr>
        <w:lastRenderedPageBreak/>
        <w:t>soltanto imprese operanti nel settore energetico, ma anche cooperative, associazioni e altri enti del terzo settore.</w:t>
      </w:r>
    </w:p>
    <w:p w14:paraId="1123C48B"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contesto delle comunità energetiche, l’avviso di manifestazione di interesse può essere utilizzato dall’amministrazione comunale per individuare soggetti qualificati in grado di fornire supporto tecnico, giuridico ed economico nella fase di progettazione e implementazione della comunità. In particolare, tali soggetti possono essere chiamati a svolgere attività di consulenza nella definizione del modello organizzativo della CER, nella predisposizione dell’atto costitutivo e dello statuto, nella costruzione del modello economico-finanziario dell’iniziativa, nonché nella progettazione, realizzazione e gestione degli impianti di produzione energetica.</w:t>
      </w:r>
    </w:p>
    <w:p w14:paraId="2437BF9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alternativa, l’amministrazione può ricorrere alla pubblicazione di un bando o di un avviso finalizzato all’avvio di una procedura ristretta o di una procedura competitiva con negoziazione, ai sensi degli articoli 72 e 73 del Codice dei contratti pubblici. In tali ipotesi, l’indagine di mercato assume una funzione di preselezione degli operatori economici, i quali devono dimostrare sin dalla fase preliminare il possesso dei requisiti richiesti per la partecipazione alla procedura.</w:t>
      </w:r>
    </w:p>
    <w:p w14:paraId="09BD0AED" w14:textId="097FF0D4"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Una terza modalità è rappresentata dalle consultazioni preliminari di mercato, disciplinate dall’art. 77 del d.lgs. n. 36/2023. Si tratta di uno strumento volto a consentire alle amministrazioni aggiudicatrici di acquisire informazioni, dati ed elementi conoscitivi utili alla preparazione della futura procedura di gara, attraverso il confronto con operatori economici, esperti e altri soggetti potenzialmente interessati. A differenza delle procedure precedentemente menzionate, tali consultazioni non hanno carattere preselettivo, ma perseguono esclusivamente finalità conoscitive e preparatorie.</w:t>
      </w:r>
      <w:r w:rsidR="00D36132">
        <w:rPr>
          <w:rStyle w:val="Rimandonotaapidipagina"/>
          <w:rFonts w:ascii="Times New Roman" w:hAnsi="Times New Roman" w:cs="Times New Roman"/>
          <w:sz w:val="24"/>
          <w:szCs w:val="24"/>
        </w:rPr>
        <w:footnoteReference w:id="89"/>
      </w:r>
    </w:p>
    <w:p w14:paraId="3458D321"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Accanto a tali strumenti procedurali, un ruolo particolarmente significativo nello sviluppo delle comunità energetiche può essere svolto dal partenariato pubblico-privato (PPP), quale forma di cooperazione tra amministrazioni pubbliche e operatori economici finalizzata alla realizzazione di progetti di interesse pubblico. La produzione, l’accumulo e la gestione dell’energia da fonti rinnovabili rientrano infatti tra le attività che possono essere oggetto di operazioni di partenariato, in quanto riconducibili al perseguimento di finalità di interesse generale.</w:t>
      </w:r>
    </w:p>
    <w:p w14:paraId="4EA8793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Il nuovo Codice dei contratti pubblici definisce il partenariato pubblico-privato, all’art. 174, come un’operazione economica mediante la quale uno o più operatori economici collaborano con un ente concedente nell’ambito di un rapporto contrattuale di medio-lungo periodo finalizzato al conseguimento di un risultato di interesse pubblico. Tale definizione, che riprende in larga misura l’impostazione già delineata a livello europeo nel Libro Verde sul partenariato pubblico-privato del 2004, sottolinea la natura complessa e flessibile di tali operazioni, caratterizzate dalla partecipazione del soggetto privato alla progettazione, al finanziamento e alla gestione dell’iniziativa.</w:t>
      </w:r>
    </w:p>
    <w:p w14:paraId="303E55B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disciplina del PPP consente pertanto agli enti locali di avvalersi delle competenze tecniche e delle risorse finanziarie del settore privato per la realizzazione di progetti energetici innovativi, riducendo al contempo l’impatto delle iniziative sui bilanci pubblici. In particolare, il partenariato pubblico-privato può assumere diverse configurazioni, tra cui la concessione, la locazione finanziaria, il contratto di disponibilità e altri schemi contrattuali anche atipici, purché orientati al perseguimento di un risultato di interesse pubblico.</w:t>
      </w:r>
    </w:p>
    <w:p w14:paraId="626A6208"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Con riferimento alle comunità energetiche rinnovabili, il partenariato può assumere sia una forma contrattuale sia una forma istituzionalizzata. Nel primo caso, la collaborazione tra ente pubblico e operatori privati si realizza attraverso la stipula di contratti finalizzati alla progettazione, alla realizzazione o alla gestione degli impianti energetici. Nel secondo caso, invece, la cooperazione si concretizza nella creazione di un soggetto giuridico autonomo partecipato congiuntamente da amministrazioni pubbliche e soggetti privati.</w:t>
      </w:r>
    </w:p>
    <w:p w14:paraId="263FBAF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Quest’ultima ipotesi assume particolare rilievo nel contesto delle comunità energetiche, poiché la partecipazione di un ente locale come membro della comunità può configurare una forma di partenariato pubblico-privato di tipo istituzionalizzato. In tali casi, trova applicazione la disciplina contenuta nel Testo unico in materia di società a partecipazione pubblica (d.lgs. 19 agosto 2016, n. 175), cui il Codice dei contratti pubblici rinvia espressamente.</w:t>
      </w:r>
    </w:p>
    <w:p w14:paraId="75F4DC23"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Ulteriori strumenti operativi possono essere individuati nella finanza di progetto (project financing), disciplinata dagli articoli 193 e seguenti del d.lgs. n. 36/2023. Attraverso tale meccanismo, un operatore economico può presentare all’amministrazione una proposta di realizzazione e gestione di un’infrastruttura o di un servizio di interesse pubblico, assumendo l’onere del finanziamento e recuperando l’investimento attraverso i proventi derivanti dalla gestione dell’iniziativa. Questo modello può risultare particolarmente utile nei casi in cui l’ente pubblico non disponga delle risorse finanziarie necessarie per promuovere autonomamente la realizzazione degli impianti energetici destinati alla comunità.</w:t>
      </w:r>
    </w:p>
    <w:p w14:paraId="4DAE2A51"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Alla luce di quanto esposto, emerge come il quadro normativo vigente metta a disposizione degli enti locali una pluralità di strumenti giuridici idonei a favorire lo sviluppo delle comunità energetiche rinnovabili. Tuttavia, tali strumenti sono stati originariamente concepiti per ambiti diversi da quello specifico delle comunità energetiche e risultano pertanto solo parzialmente adattabili alle peculiarità di tali modelli organizzativi.</w:t>
      </w:r>
    </w:p>
    <w:p w14:paraId="2D9A4C2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Partendo dall’assoggettamento del modello energetico alle regole della contrattualistica pubblica, preme preliminarmente incardinare il discorso su due binari.</w:t>
      </w:r>
    </w:p>
    <w:p w14:paraId="13684F2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Occorre infatti distinguere il rapporto di partecipazione dell’ente pubblico al contratto associativo dal rapporto di servizio che a valle si instaura tra i membri della CER e la Pubblica Amministrazione medesima</w:t>
      </w:r>
      <w:r w:rsidRPr="0081729D">
        <w:rPr>
          <w:rFonts w:ascii="Times New Roman" w:hAnsi="Times New Roman" w:cs="Times New Roman"/>
          <w:sz w:val="24"/>
          <w:szCs w:val="24"/>
          <w:vertAlign w:val="superscript"/>
        </w:rPr>
        <w:footnoteReference w:id="90"/>
      </w:r>
      <w:r w:rsidRPr="0081729D">
        <w:rPr>
          <w:rFonts w:ascii="Times New Roman" w:hAnsi="Times New Roman" w:cs="Times New Roman"/>
          <w:sz w:val="24"/>
          <w:szCs w:val="24"/>
        </w:rPr>
        <w:t xml:space="preserve">. Mentre il primo profilo resta estraneo al raggio di applicazione del codice dei contratti pubblici (v. art. 13 e Allegato I.1 </w:t>
      </w:r>
      <w:proofErr w:type="spellStart"/>
      <w:r w:rsidRPr="0081729D">
        <w:rPr>
          <w:rFonts w:ascii="Times New Roman" w:hAnsi="Times New Roman" w:cs="Times New Roman"/>
          <w:sz w:val="24"/>
          <w:szCs w:val="24"/>
        </w:rPr>
        <w:t>D.Lgs.</w:t>
      </w:r>
      <w:proofErr w:type="spellEnd"/>
      <w:r w:rsidRPr="0081729D">
        <w:rPr>
          <w:rFonts w:ascii="Times New Roman" w:hAnsi="Times New Roman" w:cs="Times New Roman"/>
          <w:sz w:val="24"/>
          <w:szCs w:val="24"/>
        </w:rPr>
        <w:t xml:space="preserve"> n. 36/2023) non potendo la scelta dell’ente pubblico di partecipare alla comunità sussumersi nel quadro dei contratti commutativi a titolo oneroso; il secondo aspetto relativo ai rapporti contrattuali aventi ad oggetto la somministrazione di energia o la fornitura di servizi accessori in favore dei membri della CER (tra cui anche il soggetto pubblico) vi rientrerebbe in via astratta con il conseguente obbligo di ricorrere all’affidamento tramite gara pubblica.</w:t>
      </w:r>
    </w:p>
    <w:p w14:paraId="23B09276"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Tuttavia le regole dell’evidenza pubblica e i principi di libera concorrenza sembrano porsi in contrasto con la natura aperta e democratica del modello partecipativo delle </w:t>
      </w:r>
      <w:proofErr w:type="spellStart"/>
      <w:r w:rsidRPr="0081729D">
        <w:rPr>
          <w:rFonts w:ascii="Times New Roman" w:hAnsi="Times New Roman" w:cs="Times New Roman"/>
          <w:sz w:val="24"/>
          <w:szCs w:val="24"/>
        </w:rPr>
        <w:t>CERe</w:t>
      </w:r>
      <w:proofErr w:type="spellEnd"/>
      <w:r w:rsidRPr="0081729D">
        <w:rPr>
          <w:rFonts w:ascii="Times New Roman" w:hAnsi="Times New Roman" w:cs="Times New Roman"/>
          <w:sz w:val="24"/>
          <w:szCs w:val="24"/>
        </w:rPr>
        <w:t xml:space="preserve"> con il vincolo mutualistico che lega la comunità ai propri membri collocando i rapporti interni alla comunità al di fuori delle logiche del mercato</w:t>
      </w:r>
      <w:r w:rsidRPr="0081729D">
        <w:rPr>
          <w:rFonts w:ascii="Times New Roman" w:hAnsi="Times New Roman" w:cs="Times New Roman"/>
          <w:sz w:val="24"/>
          <w:szCs w:val="24"/>
          <w:vertAlign w:val="superscript"/>
        </w:rPr>
        <w:footnoteReference w:id="91"/>
      </w:r>
      <w:r w:rsidRPr="0081729D">
        <w:rPr>
          <w:rFonts w:ascii="Times New Roman" w:hAnsi="Times New Roman" w:cs="Times New Roman"/>
          <w:sz w:val="24"/>
          <w:szCs w:val="24"/>
        </w:rPr>
        <w:t>. Una soluzione prospettata in dottrina</w:t>
      </w:r>
      <w:r w:rsidRPr="0081729D">
        <w:rPr>
          <w:rFonts w:ascii="Times New Roman" w:hAnsi="Times New Roman" w:cs="Times New Roman"/>
          <w:sz w:val="24"/>
          <w:szCs w:val="24"/>
          <w:vertAlign w:val="superscript"/>
        </w:rPr>
        <w:footnoteReference w:id="92"/>
      </w:r>
      <w:r w:rsidRPr="0081729D">
        <w:rPr>
          <w:rFonts w:ascii="Times New Roman" w:hAnsi="Times New Roman" w:cs="Times New Roman"/>
          <w:sz w:val="24"/>
          <w:szCs w:val="24"/>
        </w:rPr>
        <w:t xml:space="preserve"> - al fine di giustificare una forma di affidamento diretto - potrebbe rinvenirsi nell’interpretare la normativa unionale sulle CER come derogatoria alle regole dell’evidenza pubblica ovvero nel considerare gli schemi costitutivi delle comunità alla stregua di contratti “esclusi” dall’ambito di applicazione del codice giacché relativi al settore dell’autoproduzione.</w:t>
      </w:r>
    </w:p>
    <w:p w14:paraId="47EF7AC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Nonostante vi siano diverse criticità in ordine alla sovrapposizione tra i vincoli UE e la ratio del codice dei contratti pubblici, tra gli strumenti più adatti – anche a giudizio della prassi applicativa sinora invalsa -  a regolare i rapporti tra CER ed il suo membro pubblico (si pensi alla realizzazione e successiva gestione dell’impianto ad energia rinnovabile ovvero alla somministrazione di servizi accessori) trova spazio il partenariato pubblico privato (soprattutto, di tipo contrattuale) regolato dall’art. 174 del codice dei contratti pubblici, che ha il vantaggio per la Pubblica Amministrazione interessata di spostare il rischio operativo relativo alla gestione dell’impianto fotovoltaico in capo al privato.</w:t>
      </w:r>
    </w:p>
    <w:p w14:paraId="494704A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Se a promuovere la nascita della Comunità energetica sia una Pubblica amministrazione il processo di attivazione della CER potrebbe muovere infatti da una forma di collaborazione con il privato formalizzata con la stipula di un contratto associativo (diverso dal tipo societario) e un contratto di PPP.</w:t>
      </w:r>
    </w:p>
    <w:p w14:paraId="448B6AD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Parimenti il privato potrebbe promuovere la CER all’interno di un </w:t>
      </w:r>
      <w:r w:rsidRPr="0081729D">
        <w:rPr>
          <w:rFonts w:ascii="Times New Roman" w:hAnsi="Times New Roman" w:cs="Times New Roman"/>
          <w:i/>
          <w:iCs/>
          <w:sz w:val="24"/>
          <w:szCs w:val="24"/>
        </w:rPr>
        <w:t>Project financing</w:t>
      </w:r>
      <w:r w:rsidRPr="0081729D">
        <w:rPr>
          <w:rFonts w:ascii="Times New Roman" w:hAnsi="Times New Roman" w:cs="Times New Roman"/>
          <w:sz w:val="24"/>
          <w:szCs w:val="24"/>
        </w:rPr>
        <w:t xml:space="preserve"> oppure essere incentivato a presentare offerte da una Amministrazione attraverso una procedura di dialogo competitivo o adottare una forma di gara innovativa come ad esempio un partenariato per l’innovazione quando per esempio le rivoluzioni tecnologiche proposte avessero ad oggetto lo sviluppo di impianti per la produzione di energie da biomasse.</w:t>
      </w:r>
      <w:r w:rsidRPr="0081729D">
        <w:rPr>
          <w:rFonts w:ascii="Times New Roman" w:hAnsi="Times New Roman" w:cs="Times New Roman"/>
          <w:sz w:val="24"/>
          <w:szCs w:val="24"/>
          <w:vertAlign w:val="superscript"/>
        </w:rPr>
        <w:footnoteReference w:id="93"/>
      </w:r>
    </w:p>
    <w:p w14:paraId="338F9074"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 prescindere tuttavia dallo schema di soggettività giuridica e dall’</w:t>
      </w:r>
      <w:r w:rsidRPr="0081729D">
        <w:rPr>
          <w:rFonts w:ascii="Times New Roman" w:hAnsi="Times New Roman" w:cs="Times New Roman"/>
          <w:i/>
          <w:iCs/>
          <w:sz w:val="24"/>
          <w:szCs w:val="24"/>
        </w:rPr>
        <w:t xml:space="preserve">iter </w:t>
      </w:r>
      <w:r w:rsidRPr="0081729D">
        <w:rPr>
          <w:rFonts w:ascii="Times New Roman" w:hAnsi="Times New Roman" w:cs="Times New Roman"/>
          <w:sz w:val="24"/>
          <w:szCs w:val="24"/>
        </w:rPr>
        <w:t xml:space="preserve">costitutivo prescelti, occorre sottolineare come sotto l’egida del meccanismo della </w:t>
      </w:r>
      <w:r w:rsidRPr="0081729D">
        <w:rPr>
          <w:rFonts w:ascii="Times New Roman" w:hAnsi="Times New Roman" w:cs="Times New Roman"/>
          <w:i/>
          <w:iCs/>
          <w:sz w:val="24"/>
          <w:szCs w:val="24"/>
        </w:rPr>
        <w:t>Energy Community</w:t>
      </w:r>
      <w:r w:rsidRPr="0081729D">
        <w:rPr>
          <w:rFonts w:ascii="Times New Roman" w:hAnsi="Times New Roman" w:cs="Times New Roman"/>
          <w:sz w:val="24"/>
          <w:szCs w:val="24"/>
        </w:rPr>
        <w:t xml:space="preserve"> a partecipazione mista promosso dall’UE possono vedersi realizzati moduli di effettiva “amministrazione condivisa” in cui enti locali, imprese e cittadini possono condividere una sinergia diffusa (e si potrebbe azzardare quasi paritaria) funzionale al raggiungimento di benefici ambientali, sociali ed economici.</w:t>
      </w:r>
    </w:p>
    <w:p w14:paraId="25A588C2" w14:textId="77777777" w:rsidR="00D6596A" w:rsidRPr="0081729D" w:rsidRDefault="00D6596A" w:rsidP="0081729D">
      <w:pPr>
        <w:pStyle w:val="Paragrafoelenco"/>
        <w:spacing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2.1 I contratti di rendimento energetico (</w:t>
      </w:r>
      <w:r w:rsidRPr="00717E4C">
        <w:rPr>
          <w:rFonts w:ascii="Times New Roman" w:hAnsi="Times New Roman" w:cs="Times New Roman"/>
          <w:b/>
          <w:bCs/>
          <w:i/>
          <w:iCs/>
          <w:sz w:val="24"/>
          <w:szCs w:val="24"/>
        </w:rPr>
        <w:t xml:space="preserve">Energy Performance </w:t>
      </w:r>
      <w:proofErr w:type="spellStart"/>
      <w:r w:rsidRPr="00717E4C">
        <w:rPr>
          <w:rFonts w:ascii="Times New Roman" w:hAnsi="Times New Roman" w:cs="Times New Roman"/>
          <w:b/>
          <w:bCs/>
          <w:i/>
          <w:iCs/>
          <w:sz w:val="24"/>
          <w:szCs w:val="24"/>
        </w:rPr>
        <w:t>Contract</w:t>
      </w:r>
      <w:proofErr w:type="spellEnd"/>
      <w:r w:rsidRPr="0081729D">
        <w:rPr>
          <w:rFonts w:ascii="Times New Roman" w:hAnsi="Times New Roman" w:cs="Times New Roman"/>
          <w:b/>
          <w:bCs/>
          <w:sz w:val="24"/>
          <w:szCs w:val="24"/>
        </w:rPr>
        <w:t xml:space="preserve"> – EPC) nel contesto della Pubblica Amministrazione.</w:t>
      </w:r>
    </w:p>
    <w:p w14:paraId="5A7C536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 xml:space="preserve">Nel quadro della progressiva attuazione delle politiche europee in materia di efficienza energetica e promozione delle fonti rinnovabili, i contratti di rendimento energetico, o Energy Performance </w:t>
      </w:r>
      <w:proofErr w:type="spellStart"/>
      <w:r w:rsidRPr="0081729D">
        <w:rPr>
          <w:rFonts w:ascii="Times New Roman" w:hAnsi="Times New Roman" w:cs="Times New Roman"/>
          <w:sz w:val="24"/>
          <w:szCs w:val="24"/>
        </w:rPr>
        <w:t>Contracts</w:t>
      </w:r>
      <w:proofErr w:type="spellEnd"/>
      <w:r w:rsidRPr="0081729D">
        <w:rPr>
          <w:rFonts w:ascii="Times New Roman" w:hAnsi="Times New Roman" w:cs="Times New Roman"/>
          <w:sz w:val="24"/>
          <w:szCs w:val="24"/>
        </w:rPr>
        <w:t xml:space="preserve"> (EPC), si configurano come strumenti giuridici e contrattuali di rilevante interesse per la realizzazione di interventi di efficientamento energetico nell’ambito della Pubblica Amministrazione e del mercato energetico nazionale. </w:t>
      </w:r>
    </w:p>
    <w:p w14:paraId="6E98FAA6"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 mutamenti strutturali delle direttive europee, in particolare la direttiva (UE) 2023/1791 sull’efficienza energetica (Energy </w:t>
      </w:r>
      <w:proofErr w:type="spellStart"/>
      <w:r w:rsidRPr="0081729D">
        <w:rPr>
          <w:rFonts w:ascii="Times New Roman" w:hAnsi="Times New Roman" w:cs="Times New Roman"/>
          <w:sz w:val="24"/>
          <w:szCs w:val="24"/>
        </w:rPr>
        <w:t>Efficiency</w:t>
      </w:r>
      <w:proofErr w:type="spellEnd"/>
      <w:r w:rsidRPr="0081729D">
        <w:rPr>
          <w:rFonts w:ascii="Times New Roman" w:hAnsi="Times New Roman" w:cs="Times New Roman"/>
          <w:sz w:val="24"/>
          <w:szCs w:val="24"/>
        </w:rPr>
        <w:t xml:space="preserve"> Directive – EED) e la recente “direttiva Case Green” in materia di riqualificazione del patrimonio edilizio, impongono obiettivi ambiziosi di riduzione dei consumi e decarbonizzazione, cui gli enti pubblici sono chiamati ad adeguarsi. Tuttavia, l’eterogeneità delle risorse economiche e delle capacità tecniche delle amministrazioni, soprattutto di quelle di dimensioni ridotte, limita la possibilità di attuare strategie sistemiche di efficientamento energetico. </w:t>
      </w:r>
    </w:p>
    <w:p w14:paraId="7DD496C8"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questo contesto, gli EPC rappresentano una risposta giuridica e organizzativa flessibile e performante, poiché permettono alla Pubblica Amministrazione di avvalersi della collaborazione con operatori privati specializzati, le Energy Service Company (ESCO), che assumono parte consistente dei rischi tecnici, gestionali e finanziari delle operazioni di riqualificazione. L’elemento qualificante di tali contratti risiede nella natura sinallagmatica di tipo prestazionale: la remunerazione dell’operatore privato è direttamente parametrata ai risultati conseguiti in termini di risparmio energetico e riduzione dei consumi, configurando l’EPC come una forma di partenariato pubblico-privato – ai sensi degli articoli 174 e seguenti del d.lgs. n. 36/2023 – in cui l’investimento iniziale è sostenuto dall’operatore economico, che recupera i costi attraverso la quota di risparmio generata nel corso della durata contrattuale. Ciò consente all’amministrazione di realizzare interventi di riqualificazione senza incidere in misura significativa sul proprio bilancio, con il vantaggio di trasferire parte dei rischi e delle competenze operative a soggetti tecnicamente qualificati.</w:t>
      </w:r>
    </w:p>
    <w:p w14:paraId="5FA966D3"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 struttura degli EPC, nella loro versione codificata come contratti atipici all’interno del sistema del partenariato pubblico-privato, presenta una natura composita: accanto alla componente di servizio e di investimento, può affiancarsi quella di fornitura del vettore energetico, il cui costo rappresenta la voce più esposta alle oscillazioni di mercato. Tale peculiarità rende la gestione della revisione prezzi e della salvaguardia dell’equilibrio contrattuale un tema centrale. </w:t>
      </w:r>
    </w:p>
    <w:p w14:paraId="00DA8359"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Le fluttuazioni del prezzo dell’energia e dei materiali, divenute strutturali a partire dal biennio 2021-2023 a causa delle crisi geopolitiche e macroeconomiche tutt’ora persistenti, possono infatti compromettere l’economicità dell’intervento, alterando la proporzione tra rischi assunti e utili </w:t>
      </w:r>
      <w:r w:rsidRPr="0081729D">
        <w:rPr>
          <w:rFonts w:ascii="Times New Roman" w:hAnsi="Times New Roman" w:cs="Times New Roman"/>
          <w:sz w:val="24"/>
          <w:szCs w:val="24"/>
        </w:rPr>
        <w:lastRenderedPageBreak/>
        <w:t xml:space="preserve">trasferibili all’operatore privato. A questo proposito, infatti, il Codice dei contratti pubblici del 2023, riconoscendo la centralità del principio di equilibrio contrattuale come espressione dei canoni di buona fede e di correttezza (art. 9 e art. 120, commi 7 e 8), ha reso obbligatoria la previsione di meccanismi di revisione dei prezzi nei contratti pubblici, anche a fronte di variazioni significative dei costi di produzione o delle forniture. </w:t>
      </w:r>
    </w:p>
    <w:p w14:paraId="59EDA6E0"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revisione prezzi – disciplinata all’art. 60 del Codice – si applica in aumento o in diminuzione, nel limite dell’80% della variazione accertata su base ISTAT e fino al 5% dell’importo complessivo, configurandosi come uno strumento di manutenzione economica del rapporto contrattuale. Tale previsione, integrata dagli articoli 189 e 192 per concessioni e riequilibrio del piano economico-finanziario, consente di contemperare le esigenze di stabilità della spesa pubblica con la necessità di garantire la sostenibilità operativa delle imprese coinvolte.</w:t>
      </w:r>
    </w:p>
    <w:p w14:paraId="0D27CC66"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 disparte il tema della revisione dei prezzi, meritevoli di ulteriore indagine sono le recenti linee guida pubblicate il 18 febbraio 2026 da </w:t>
      </w:r>
      <w:proofErr w:type="spellStart"/>
      <w:r w:rsidRPr="0081729D">
        <w:rPr>
          <w:rFonts w:ascii="Times New Roman" w:hAnsi="Times New Roman" w:cs="Times New Roman"/>
          <w:sz w:val="24"/>
          <w:szCs w:val="24"/>
        </w:rPr>
        <w:t>SolarPower</w:t>
      </w:r>
      <w:proofErr w:type="spellEnd"/>
      <w:r w:rsidRPr="0081729D">
        <w:rPr>
          <w:rFonts w:ascii="Times New Roman" w:hAnsi="Times New Roman" w:cs="Times New Roman"/>
          <w:sz w:val="24"/>
          <w:szCs w:val="24"/>
        </w:rPr>
        <w:t xml:space="preserve"> Europe, presentate all’evento Solar Quality Summit di Barcellona. Esse definiscono le migliori pratiche per lo sviluppo di impianti fotovoltaici con sistemi integrati di accumulo utility-scale, affrontando in modo organico sia la due diligence tecnica sia le diverse fasi di ingegneria, approvvigionamento e costruzione (EPC, Engineering, Procurement and Construction).</w:t>
      </w:r>
    </w:p>
    <w:p w14:paraId="4AD92F0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 linee guida si rivolgono a tutti i soggetti coinvolti nei progetti energetici: fornitori di servizi O&amp;M, consulenti tecnici, sviluppatori, finanziatori, investitori, istituti di credito, proprietari e gestori di asset, nonché fornitori di strumenti di monitoraggio. Il documento introduce un quadro unificato di valutazione della fattibilità tecnica, legale, ambientale e finanziaria, con l’obiettivo di prevenire squilibri contrattuali o rischi finanziari asimmetrici tra le parti, garantendo una gestione equilibrata dei rischi durante tutte le fasi del progetto.</w:t>
      </w:r>
    </w:p>
    <w:p w14:paraId="08ED4449"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particolare, la due diligence tecnica è concepita come un controllo continuo dello stato di salute del progetto, essenziale per identificare rischi tecnici, finanziari e legali, assicurare la conformità ai requisiti contrattuali e supportare decisioni consapevoli su finanziamento, costruzione e gestione.</w:t>
      </w:r>
    </w:p>
    <w:p w14:paraId="11614EDB"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 linee guida stabiliscono fasi precise di due diligence da seguire lungo l’intero ciclo di vita dell’impianto: progettazione, appalto EPC, approvvigionamento, costruzione, messa in servizio, esercizio, repowering, acquisizione di asset esistenti e dismissione.</w:t>
      </w:r>
    </w:p>
    <w:p w14:paraId="5D1AF316"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Inoltre, esse enfatizzano aspetti di sostenibilità e resilienza, fondamentali per prevenire effetti asimmetrici tra parti, ad esempio di approvvigionamento responsabile, audit e tracciabilità, comprese considerazioni ESG (ambientali, sociali e governance) ovvero l’utilizzo di tecnologie </w:t>
      </w:r>
      <w:r w:rsidRPr="0081729D">
        <w:rPr>
          <w:rFonts w:ascii="Times New Roman" w:hAnsi="Times New Roman" w:cs="Times New Roman"/>
          <w:sz w:val="24"/>
          <w:szCs w:val="24"/>
        </w:rPr>
        <w:lastRenderedPageBreak/>
        <w:t>innovative, come sistemi robotizzati per installazione moduli, per ridurre rischi operativi e carico umano.</w:t>
      </w:r>
    </w:p>
    <w:p w14:paraId="6DEC706D" w14:textId="77777777" w:rsidR="00D6596A" w:rsidRPr="00642E6E"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L’adozione di tali </w:t>
      </w:r>
      <w:r w:rsidRPr="0081729D">
        <w:rPr>
          <w:rFonts w:ascii="Times New Roman" w:hAnsi="Times New Roman" w:cs="Times New Roman"/>
          <w:i/>
          <w:iCs/>
          <w:sz w:val="24"/>
          <w:szCs w:val="24"/>
        </w:rPr>
        <w:t>best practice</w:t>
      </w:r>
      <w:r w:rsidRPr="0081729D">
        <w:rPr>
          <w:rFonts w:ascii="Times New Roman" w:hAnsi="Times New Roman" w:cs="Times New Roman"/>
          <w:sz w:val="24"/>
          <w:szCs w:val="24"/>
        </w:rPr>
        <w:t xml:space="preserve"> non si limita a migliorare la qualità tecnica ed economica dei progetti, ma ha una funzione preventiva e correttiva sul piano contrattuale, assicurando che le oscillazioni di mercato o i rischi operativi non si traducano in squilibri asimmetrici tra amministrazione pubblica e operatore privato. In tal modo, la disciplina degli EPC, integrata con i meccanismi di revisione prezzi e di riequilibrio economico-finanziario, promuove </w:t>
      </w:r>
      <w:r w:rsidRPr="00642E6E">
        <w:rPr>
          <w:rFonts w:ascii="Times New Roman" w:hAnsi="Times New Roman" w:cs="Times New Roman"/>
          <w:sz w:val="24"/>
          <w:szCs w:val="24"/>
        </w:rPr>
        <w:t>stabilità, equità e sostenibilità lungo tutto l’orizzonte temporale del contratto, consolidando un modello</w:t>
      </w:r>
      <w:r w:rsidRPr="0081729D">
        <w:rPr>
          <w:rFonts w:ascii="Times New Roman" w:hAnsi="Times New Roman" w:cs="Times New Roman"/>
          <w:sz w:val="24"/>
          <w:szCs w:val="24"/>
        </w:rPr>
        <w:t xml:space="preserve"> di governance pubblica-privata in grado di affrontare la volatilità dei mercati energetici, le sfide della transizione energetica e il rafforzamento </w:t>
      </w:r>
      <w:r w:rsidRPr="00642E6E">
        <w:rPr>
          <w:rFonts w:ascii="Times New Roman" w:hAnsi="Times New Roman" w:cs="Times New Roman"/>
          <w:sz w:val="24"/>
          <w:szCs w:val="24"/>
        </w:rPr>
        <w:t>delle comunità energetiche locali.</w:t>
      </w:r>
    </w:p>
    <w:p w14:paraId="22A1F2D8" w14:textId="77777777" w:rsidR="00D6596A" w:rsidRPr="00642E6E" w:rsidRDefault="00D6596A" w:rsidP="0081729D">
      <w:pPr>
        <w:spacing w:line="360" w:lineRule="auto"/>
        <w:ind w:left="170" w:right="227" w:firstLine="170"/>
        <w:contextualSpacing/>
        <w:jc w:val="both"/>
        <w:rPr>
          <w:rFonts w:ascii="Times New Roman" w:hAnsi="Times New Roman" w:cs="Times New Roman"/>
          <w:sz w:val="24"/>
          <w:szCs w:val="24"/>
        </w:rPr>
      </w:pPr>
    </w:p>
    <w:p w14:paraId="39EE1C04" w14:textId="77777777" w:rsidR="00D6596A" w:rsidRPr="0081729D" w:rsidRDefault="00D6596A" w:rsidP="0081729D">
      <w:pPr>
        <w:spacing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3.</w:t>
      </w:r>
      <w:r w:rsidRPr="0081729D">
        <w:rPr>
          <w:rFonts w:ascii="Times New Roman" w:hAnsi="Times New Roman" w:cs="Times New Roman"/>
          <w:sz w:val="24"/>
          <w:szCs w:val="24"/>
        </w:rPr>
        <w:t xml:space="preserve"> </w:t>
      </w:r>
      <w:r w:rsidRPr="0081729D">
        <w:rPr>
          <w:rFonts w:ascii="Times New Roman" w:hAnsi="Times New Roman" w:cs="Times New Roman"/>
          <w:b/>
          <w:bCs/>
          <w:sz w:val="24"/>
          <w:szCs w:val="24"/>
        </w:rPr>
        <w:t>La partecipazione pubblica attraverso il Testo Unico delle Società a Partecipazione Pubblica.</w:t>
      </w:r>
    </w:p>
    <w:p w14:paraId="7EB58D3B" w14:textId="77777777" w:rsidR="00D6596A" w:rsidRPr="0081729D" w:rsidRDefault="00D6596A" w:rsidP="0081729D">
      <w:pPr>
        <w:spacing w:line="360" w:lineRule="auto"/>
        <w:ind w:left="170" w:right="227" w:firstLine="170"/>
        <w:contextualSpacing/>
        <w:jc w:val="both"/>
        <w:rPr>
          <w:rFonts w:ascii="Times New Roman" w:hAnsi="Times New Roman" w:cs="Times New Roman"/>
          <w:b/>
          <w:bCs/>
          <w:sz w:val="24"/>
          <w:szCs w:val="24"/>
        </w:rPr>
      </w:pPr>
    </w:p>
    <w:p w14:paraId="15F8111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Il fenomeno dell’ingresso della componente pubblica nella partecipazione ha aperto il dibattito della dottrina (probabilmente con maggior clamore laddove si verta in ipotesi di costituzione </w:t>
      </w:r>
      <w:r w:rsidRPr="0081729D">
        <w:rPr>
          <w:rFonts w:ascii="Times New Roman" w:hAnsi="Times New Roman" w:cs="Times New Roman"/>
          <w:i/>
          <w:iCs/>
          <w:sz w:val="24"/>
          <w:szCs w:val="24"/>
        </w:rPr>
        <w:t>top down</w:t>
      </w:r>
      <w:r w:rsidRPr="0081729D">
        <w:rPr>
          <w:rFonts w:ascii="Times New Roman" w:hAnsi="Times New Roman" w:cs="Times New Roman"/>
          <w:sz w:val="24"/>
          <w:szCs w:val="24"/>
        </w:rPr>
        <w:t>) in ordine alle apparenti antinomie insorgenti tra la normativa europea in materia di CER e le regole imposte (nel caso in cui si opti per il modello societario) dal Testo Unico delle Società Pubbliche, ossia il d.lgs. 19 agosto 2016, n. 175 (di seguito, TUSP)</w:t>
      </w:r>
      <w:r w:rsidRPr="0081729D">
        <w:rPr>
          <w:rFonts w:ascii="Times New Roman" w:hAnsi="Times New Roman" w:cs="Times New Roman"/>
          <w:sz w:val="24"/>
          <w:szCs w:val="24"/>
          <w:vertAlign w:val="superscript"/>
        </w:rPr>
        <w:footnoteReference w:id="94"/>
      </w:r>
      <w:r w:rsidRPr="0081729D">
        <w:rPr>
          <w:rFonts w:ascii="Times New Roman" w:hAnsi="Times New Roman" w:cs="Times New Roman"/>
          <w:sz w:val="24"/>
          <w:szCs w:val="24"/>
        </w:rPr>
        <w:t xml:space="preserve"> con il correlato regime di aggravi procedurali in campo di acquisto, gestione o alienazione delle azioni, vigilanza, trasparenza e monitoraggio, nonché le disposizioni del codice dei contratti pubblici con i noti meccanismi di evidenza pubblica per la scelta del contraente.</w:t>
      </w:r>
      <w:r w:rsidRPr="0081729D">
        <w:rPr>
          <w:rFonts w:ascii="Times New Roman" w:hAnsi="Times New Roman" w:cs="Times New Roman"/>
          <w:sz w:val="24"/>
          <w:szCs w:val="24"/>
          <w:vertAlign w:val="superscript"/>
        </w:rPr>
        <w:footnoteReference w:id="95"/>
      </w:r>
      <w:r w:rsidRPr="0081729D">
        <w:rPr>
          <w:rFonts w:ascii="Times New Roman" w:hAnsi="Times New Roman" w:cs="Times New Roman"/>
          <w:sz w:val="24"/>
          <w:szCs w:val="24"/>
        </w:rPr>
        <w:t xml:space="preserve"> Tale normativa introduce un complesso sistema di limiti e condizioni volti a regolare la costituzione e la gestione di società partecipate da parte delle amministrazioni pubbliche, con l’obiettivo di garantire un uso efficiente delle risorse pubbliche e di evitare distorsioni dei meccanismi concorrenziali del mercato.</w:t>
      </w:r>
    </w:p>
    <w:p w14:paraId="68B44E2F" w14:textId="7B0DFC1A"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Ai sensi dell’art. 2, comma 1, lett. l), del TUSP, per “società” devono intendersi gli enti disciplinati dal titolo V del libro V del codice civile (società di persone e società di capitali) e dal </w:t>
      </w:r>
      <w:r w:rsidRPr="0081729D">
        <w:rPr>
          <w:rFonts w:ascii="Times New Roman" w:hAnsi="Times New Roman" w:cs="Times New Roman"/>
          <w:sz w:val="24"/>
          <w:szCs w:val="24"/>
        </w:rPr>
        <w:lastRenderedPageBreak/>
        <w:t>titolo VI, capo I (società cooperative), anche qualora abbiano come oggetto sociale lo svolgimento di attività consortili ai sensi dell’art. 2615-ter c.c.</w:t>
      </w:r>
      <w:r w:rsidR="00F02A21" w:rsidRPr="0081729D">
        <w:rPr>
          <w:rStyle w:val="Rimandonotaapidipagina"/>
          <w:rFonts w:ascii="Times New Roman" w:hAnsi="Times New Roman" w:cs="Times New Roman"/>
          <w:sz w:val="24"/>
          <w:szCs w:val="24"/>
        </w:rPr>
        <w:footnoteReference w:id="96"/>
      </w:r>
      <w:r w:rsidRPr="0081729D">
        <w:rPr>
          <w:rFonts w:ascii="Times New Roman" w:hAnsi="Times New Roman" w:cs="Times New Roman"/>
          <w:sz w:val="24"/>
          <w:szCs w:val="24"/>
        </w:rPr>
        <w:t xml:space="preserve"> L’ambito di applicazione della disciplina è delineato dall’art. 1 del decreto legislativo n. 175 del 2016, secondo cui le disposizioni del Testo unico si applicano alla costituzione di società da parte delle amministrazioni pubbliche nonché all’acquisto, al mantenimento e alla gestione di partecipazioni, dirette o indirette, in società a totale o parziale partecipazione pubblica.</w:t>
      </w:r>
    </w:p>
    <w:p w14:paraId="68284F11" w14:textId="7DB37F60"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Il concetto di partecipazione è definito dall’art. 2, comma 1, lett. f), del TUSP come la titolarità di rapporti che comportano la qualità di socio in una società ovvero la titolarità di strumenti finanziari che attribuiscono diritti amministrativi. La partecipazione può essere altresì indiretta, qualora sia detenuta da un’amministrazione pubblica tramite società o altri organismi sottoposti al controllo della medesima amministrazione, secondo quanto previsto dalla lett. g) della medesima disposizione</w:t>
      </w:r>
      <w:r w:rsidR="006F1CFF" w:rsidRPr="0081729D">
        <w:rPr>
          <w:rFonts w:ascii="Times New Roman" w:hAnsi="Times New Roman" w:cs="Times New Roman"/>
          <w:sz w:val="24"/>
          <w:szCs w:val="24"/>
        </w:rPr>
        <w:t>.</w:t>
      </w:r>
    </w:p>
    <w:p w14:paraId="6D6E31E3" w14:textId="39D8725D"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ratio della disciplina del Testo unico è chiaramente individuata dall’art. 1, comma 2, che identifica tra le finalità della normativa la promozione di una gestione efficiente delle partecipazioni pubbliche, la tutela e la promozione della concorrenza e del mercato, nonché la razionalizzazione e la riduzione della spesa pubblica. La partecipazione pubblica in società, infatti, può incidere sul corretto funzionamento delle dinamiche competitive e comportare un utilizzo di risorse finanziarie provenienti dal bilancio degli enti pubblici partecipanti. Per tale ragione, le disposizioni del TUSP si inseriscono nel più ampio contesto delle politiche di contenimento della spesa pubblica e di razionalizzazione delle partecipazioni societarie delle amministrazioni, volte a evitare un uso eccessivo o improprio dello strumento societario quale modalità di esercizio dell’azione amministrativa.</w:t>
      </w:r>
      <w:r w:rsidR="00747CD6" w:rsidRPr="0081729D">
        <w:rPr>
          <w:rStyle w:val="Rimandonotaapidipagina"/>
          <w:rFonts w:ascii="Times New Roman" w:hAnsi="Times New Roman" w:cs="Times New Roman"/>
          <w:sz w:val="24"/>
          <w:szCs w:val="24"/>
        </w:rPr>
        <w:footnoteReference w:id="97"/>
      </w:r>
    </w:p>
    <w:p w14:paraId="377CD531"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In ogni caso, il comma 3 dell’art. 1 del decreto legislativo n. 175 del 2016 chiarisce che, per tutto ciò che non sia espressamente derogato dal Testo unico, alle società a partecipazione </w:t>
      </w:r>
      <w:r w:rsidRPr="0081729D">
        <w:rPr>
          <w:rFonts w:ascii="Times New Roman" w:hAnsi="Times New Roman" w:cs="Times New Roman"/>
          <w:sz w:val="24"/>
          <w:szCs w:val="24"/>
        </w:rPr>
        <w:lastRenderedPageBreak/>
        <w:t>pubblica continuano ad applicarsi le norme del codice civile e le disposizioni generali di diritto privato.</w:t>
      </w:r>
    </w:p>
    <w:p w14:paraId="4B0B78DD" w14:textId="757788C6"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Per individuare i casi in cui un’amministrazione pubblica possa costituire o partecipare ad una società è necessario fare riferimento ai limiti previsti dall’art. 4 del TUSP</w:t>
      </w:r>
      <w:r w:rsidR="00144194">
        <w:rPr>
          <w:rFonts w:ascii="Times New Roman" w:hAnsi="Times New Roman" w:cs="Times New Roman"/>
          <w:sz w:val="24"/>
          <w:szCs w:val="24"/>
        </w:rPr>
        <w:t xml:space="preserve">, </w:t>
      </w:r>
      <w:r w:rsidRPr="0081729D">
        <w:rPr>
          <w:rFonts w:ascii="Times New Roman" w:hAnsi="Times New Roman" w:cs="Times New Roman"/>
          <w:sz w:val="24"/>
          <w:szCs w:val="24"/>
        </w:rPr>
        <w:t xml:space="preserve"> dispos</w:t>
      </w:r>
      <w:r w:rsidR="00144194">
        <w:rPr>
          <w:rFonts w:ascii="Times New Roman" w:hAnsi="Times New Roman" w:cs="Times New Roman"/>
          <w:sz w:val="24"/>
          <w:szCs w:val="24"/>
        </w:rPr>
        <w:t>i</w:t>
      </w:r>
      <w:r w:rsidRPr="0081729D">
        <w:rPr>
          <w:rFonts w:ascii="Times New Roman" w:hAnsi="Times New Roman" w:cs="Times New Roman"/>
          <w:sz w:val="24"/>
          <w:szCs w:val="24"/>
        </w:rPr>
        <w:t xml:space="preserve">zione </w:t>
      </w:r>
      <w:r w:rsidR="00144194">
        <w:rPr>
          <w:rFonts w:ascii="Times New Roman" w:hAnsi="Times New Roman" w:cs="Times New Roman"/>
          <w:sz w:val="24"/>
          <w:szCs w:val="24"/>
        </w:rPr>
        <w:t>in forza della quale è previsto</w:t>
      </w:r>
      <w:r w:rsidRPr="0081729D">
        <w:rPr>
          <w:rFonts w:ascii="Times New Roman" w:hAnsi="Times New Roman" w:cs="Times New Roman"/>
          <w:sz w:val="24"/>
          <w:szCs w:val="24"/>
        </w:rPr>
        <w:t xml:space="preserve"> che le società a partecipazione pubblica possono essere costituite o mantenute soltanto qualora le attività da esse svolte siano strettamente necessarie per il perseguimento delle finalità istituzionali dell’ente partecipante.</w:t>
      </w:r>
      <w:r w:rsidR="00144194">
        <w:rPr>
          <w:rStyle w:val="Rimandonotaapidipagina"/>
          <w:rFonts w:ascii="Times New Roman" w:hAnsi="Times New Roman" w:cs="Times New Roman"/>
          <w:sz w:val="24"/>
          <w:szCs w:val="24"/>
        </w:rPr>
        <w:footnoteReference w:id="98"/>
      </w:r>
      <w:r w:rsidRPr="0081729D">
        <w:rPr>
          <w:rFonts w:ascii="Times New Roman" w:hAnsi="Times New Roman" w:cs="Times New Roman"/>
          <w:sz w:val="24"/>
          <w:szCs w:val="24"/>
        </w:rPr>
        <w:t xml:space="preserve"> Con riguardo agli enti locali, la verifica della sussistenza di tali finalità deve essere effettuata alla luce delle funzioni attribuite ai Comuni dal decreto legislativo 18 agosto 2000, n. 267 (Testo unico delle leggi sull’ordinamento degli enti locali). In particolare, l’art. 3, comma 2, stabilisce che il Comune rappresenta la propria comunità, ne cura gli interessi e ne promuove lo sviluppo; mentre l’art. 13, comma 1, attribuisce all’ente comunale tutte le funzioni amministrative relative alla popolazione e al territorio comunale, con particolare riferimento ai settori dei servizi alla persona e alla comunità, dell’assetto e dell’utilizzazione del territorio e dello sviluppo economico.</w:t>
      </w:r>
    </w:p>
    <w:p w14:paraId="12289BBE" w14:textId="602BBEE1"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Alla luce di tali disposizioni, la promozione e la partecipazione a una comunità energetica rinnovabile possono essere ricondotte tra le finalità istituzionali dell’ente locale, in quanto tali iniziative sono idonee a generare rilevanti benefici economici, ambientali e sociali per il territorio, contribuendo allo sviluppo locale, alla diffusione delle fonti rinnovabili e alla riduzione della povertà energetica.</w:t>
      </w:r>
    </w:p>
    <w:p w14:paraId="3AEB7941" w14:textId="582D98C6"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Accanto al requisito della strumentalità rispetto alle finalità istituzionali dell’ente, l’art. 4 del TUSP individua ulteriori limiti con riferimento alle attività che possono essere svolte dalle società a partecipazione pubblica. In particolare, il comma 2 elenca le tipologie di attività che legittimano la partecipazione pubblica, tra le quali assumono rilievo: la produzione di servizi di interesse generale, ivi inclusa la realizzazione e la gestione delle reti e degli impianti funzionali a tali servizi; la progettazione e la realizzazione di opere pubbliche sulla base di accordi tra amministrazioni; nonché la realizzazione e la gestione di opere o servizi di interesse generale mediante contratti di partenariato pubblico-privato. Inoltre, il comma 7 della medesima disposizione ammette espressamente la possibilità per le amministrazioni pubbliche di costituire o partecipare a società aventi ad oggetto la produzione di energia da fonti rinnovabili. Tale </w:t>
      </w:r>
      <w:r w:rsidRPr="0081729D">
        <w:rPr>
          <w:rFonts w:ascii="Times New Roman" w:hAnsi="Times New Roman" w:cs="Times New Roman"/>
          <w:sz w:val="24"/>
          <w:szCs w:val="24"/>
        </w:rPr>
        <w:lastRenderedPageBreak/>
        <w:t>previsione consente di ritenere astrattamente compatibile con il quadro normativo del TUSP</w:t>
      </w:r>
      <w:r w:rsidR="00C93964">
        <w:rPr>
          <w:rStyle w:val="Rimandonotaapidipagina"/>
          <w:rFonts w:ascii="Times New Roman" w:hAnsi="Times New Roman" w:cs="Times New Roman"/>
          <w:sz w:val="24"/>
          <w:szCs w:val="24"/>
        </w:rPr>
        <w:footnoteReference w:id="99"/>
      </w:r>
      <w:r w:rsidRPr="0081729D">
        <w:rPr>
          <w:rFonts w:ascii="Times New Roman" w:hAnsi="Times New Roman" w:cs="Times New Roman"/>
          <w:sz w:val="24"/>
          <w:szCs w:val="24"/>
        </w:rPr>
        <w:t xml:space="preserve"> la partecipazione di un ente locale ad una comunità energetica rinnovabile strutturata nella forma di società, ad esempio nella forma di società cooperativa, che rappresenta uno dei modelli organizzativi più frequentemente adottati nella prassi applicativa delle CER.</w:t>
      </w:r>
    </w:p>
    <w:p w14:paraId="719A6CF8" w14:textId="16ADF20B" w:rsidR="006F1CFF"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Nel caso in cui un’amministrazione pubblica intenda costituire una società o acquisire una partecipazione societaria, l’art. 5 del TUSP prevede inoltre specifici obblighi procedurali e motivazionali.</w:t>
      </w:r>
      <w:r w:rsidR="006F1CFF" w:rsidRPr="0081729D">
        <w:rPr>
          <w:rFonts w:ascii="Times New Roman" w:hAnsi="Times New Roman" w:cs="Times New Roman"/>
          <w:sz w:val="24"/>
          <w:szCs w:val="24"/>
          <w:vertAlign w:val="superscript"/>
        </w:rPr>
        <w:footnoteReference w:id="100"/>
      </w:r>
    </w:p>
    <w:p w14:paraId="7697730C" w14:textId="7942651E"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 In particolare, l’atto deliberativo con cui l’amministrazione decide di procedere alla costituzione di una società o all’acquisto di una partecipazione deve contenere una motivazione </w:t>
      </w:r>
      <w:r w:rsidRPr="0081729D">
        <w:rPr>
          <w:rFonts w:ascii="Times New Roman" w:hAnsi="Times New Roman" w:cs="Times New Roman"/>
          <w:sz w:val="24"/>
          <w:szCs w:val="24"/>
        </w:rPr>
        <w:lastRenderedPageBreak/>
        <w:t>analitica che evidenzi la necessità del ricorso allo strumento societario per il perseguimento delle finalità istituzionali di cui all’art. 4. La deliberazione deve inoltre illustrare le ragioni che giustificano tale scelta anche sotto il profilo della convenienza economica e della sostenibilità finanziaria, nonché dimostrare la compatibilità dell’operazione con i principi di efficienza, efficacia ed economicità dell’azione amministrativa.</w:t>
      </w:r>
      <w:r w:rsidR="006F1CFF" w:rsidRPr="0081729D">
        <w:rPr>
          <w:rStyle w:val="Rimandonotaapidipagina"/>
          <w:rFonts w:ascii="Times New Roman" w:hAnsi="Times New Roman" w:cs="Times New Roman"/>
          <w:sz w:val="24"/>
          <w:szCs w:val="24"/>
        </w:rPr>
        <w:footnoteReference w:id="101"/>
      </w:r>
    </w:p>
    <w:p w14:paraId="2B259BA8"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normativa richiede altresì di verificare la compatibilità dell’intervento con la disciplina europea in materia di aiuti di Stato, al fine di evitare che l’impiego di risorse pubbliche determini indebiti vantaggi competitivi in favore delle imprese partecipate. L’atto deliberativo deve essere sottoposto, prima della sua adozione, a forme di consultazione pubblica secondo le modalità stabilite dagli statuti degli enti locali. Successivamente, l’atto deve essere trasmesso alla Corte dei conti e all’Autorità garante della concorrenza e del mercato. Ai sensi dell’art. 5, comma 3, del TUSP, come modificato dalla legge 5 agosto 2022, n. 118, la Corte dei conti dispone di un termine di sessanta giorni dalla ricezione dell’atto per pronunciarsi in merito alla legittimità e alla sostenibilità dell’operazione. Qualora la Corte non si pronunci entro tale termine, l’amministrazione può procedere all’attuazione della deliberazione. Nel caso in cui, invece, la Corte esprima un parere negativo, l’amministrazione può comunque procedere alla costituzione della società o all’acquisizione della partecipazione, purché fornisca una motivazione rafforzata che giustifichi le ragioni del discostamento dal parere espresso, dandone adeguata pubblicità sul proprio sito istituzionale.</w:t>
      </w:r>
    </w:p>
    <w:p w14:paraId="5CD13F1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Occorre tuttavia considerare che la disciplina del TUSP non trova applicazione in tutte le ipotesi di partecipazione delle amministrazioni pubbliche a soggetti di diritto privato. L’art. 1, comma 4, del decreto legislativo n. 175 del 2016 esclude infatti dall’ambito di applicazione del Testo unico la partecipazione delle amministrazioni in enti associativi diversi dalle società e dalle fondazioni, nonché nelle società di diritto singolare istituite da specifiche disposizioni legislative per l’esercizio di servizi di interesse generale o per il perseguimento di particolari missioni di pubblico interesse.</w:t>
      </w:r>
    </w:p>
    <w:p w14:paraId="626E44FF"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Tale impostazione è stata confermata anche dalla giurisprudenza contabile. In particolare, la Corte dei conti, Sezione regionale di controllo per la Lombardia, con la deliberazione n. 17/2023/PASP, ha dichiarato il non luogo a deliberare sull’istanza presentata dal Comune di Pozzolengo (BS) relativa alla costituzione della Comunità Energetica Rinnovabile Pozzolengo nella forma di associazione non riconosciuta ai sensi dell’art. 36 c.c., ritenendo che tale fattispecie </w:t>
      </w:r>
      <w:r w:rsidRPr="0081729D">
        <w:rPr>
          <w:rFonts w:ascii="Times New Roman" w:hAnsi="Times New Roman" w:cs="Times New Roman"/>
          <w:sz w:val="24"/>
          <w:szCs w:val="24"/>
        </w:rPr>
        <w:lastRenderedPageBreak/>
        <w:t>non rientrasse nell’ambito applicativo del TUSP, in quanto relativa ad un ente associativo e non ad una società partecipata.</w:t>
      </w:r>
    </w:p>
    <w:p w14:paraId="3B59DD34"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 deriva che, qualora un ente locale intenda costituire o aderire ad una comunità energetica organizzata nella forma di associazione o fondazione, la relativa operazione non sarà soggetta alla disciplina del Testo unico sulle società partecipate, ma esclusivamente alle disposizioni del codice civile relative agli enti associativi. Diversamente, nel caso in cui la comunità energetica assuma la forma giuridica di una società rientrante tra quelle indicate dall’art. 2 del TUSP, come ad esempio una società cooperativa, l’ente pubblico partecipante dovrà rispettare integralmente i limiti sostanziali e procedurali previsti dal decreto legislativo n. 175 del 2016.</w:t>
      </w:r>
    </w:p>
    <w:p w14:paraId="0187E35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Tornando al rapporto associativo PA – comunità, nel caso in cui la forma giuridica prescelta fosse quella societaria, un ulteriore profilo di contrasto si porrebbe rispetto alle disposizioni normative che governano le forme di coordinamento pubblico-privato istituzionalizzate. Ai sensi dell’art. 174, comma 4, dello stesso TUSP, infatti, è previsto che lo schema di cooperazione pubblico-privato istituzionalizzata si realizzi attraverso la creazione di un ente partecipato congiuntamente dalla parte privata e da quella pubblica, disciplinato dal citato TUSP e dalle altre norme speciali di settore.</w:t>
      </w:r>
    </w:p>
    <w:p w14:paraId="55286295"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Orbene, sebbene dal punto di vista del tipo societario il legislatore non escluda che le Amministrazioni Pubbliche possano partecipare a società, anche consortili, costituite in forma di società per azioni o di società a responsabilità limitata, e anche in forma cooperativa (v. art. 3 TUSP), è necessario evidenziare una potenziale conflittualità tra il requisito della partecipazione “a porte aperte” della CER e i presupposti normativi necessari per la costituzione delle società a partecipazione mista pubblico-privata.</w:t>
      </w:r>
    </w:p>
    <w:p w14:paraId="095AC4E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Difatti, l’art. 7 del TUSP stabilisce che, nei casi di partecipazione del socio privato all’atto costitutivo, la Pubblica amministrazione sia vincolata all’indizione di procedure ad evidenza pubblica. Inoltre, l’art. 17 del TUSP richiede che, nelle società costituite per la realizzazione e gestione di un’opera pubblica o di un servizio di interesse generale, come potrebbe essere il caso delle CER, la quota di partecipazione del soggetto privato non può essere inferiore al 30% e debba essere selezionata mediante procedura ad evidenza pubblica c.d. a doppio oggetto (sottoscrizione o acquisto di quote societarie da parte del privato e contestuale affidamento del contratto di appalto o di concessione). La durata della partecipazione privata alla società non può essere superiore alla durata dell’appalto o della concessione. Lo statuto deve prevedere, inoltre, meccanismi idonei a determinare lo scioglimento del rapporto societario in caso di risoluzione del contratto di servizio.</w:t>
      </w:r>
    </w:p>
    <w:p w14:paraId="7A407787"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 xml:space="preserve">Tuttavia, il carattere di partecipazione libera alla Comunità, richiesto dal legislatore dell’UE, sembra ostacolare la proposizione di un confronto competitivo per l’ammissione di un socio privato alla CER e contraddire il requisito di una gara a doppio oggetto per l’individuazione del socio privato. Questo perché il socio privato può essere già stato individuato (nelle ipotesi di costituzione bottom-up) oppure dovrebbe avere il diritto di accesso e recesso ad </w:t>
      </w:r>
      <w:proofErr w:type="spellStart"/>
      <w:r w:rsidRPr="0081729D">
        <w:rPr>
          <w:rFonts w:ascii="Times New Roman" w:hAnsi="Times New Roman" w:cs="Times New Roman"/>
          <w:sz w:val="24"/>
          <w:szCs w:val="24"/>
        </w:rPr>
        <w:t>nutum</w:t>
      </w:r>
      <w:proofErr w:type="spellEnd"/>
      <w:r w:rsidRPr="0081729D">
        <w:rPr>
          <w:rFonts w:ascii="Times New Roman" w:hAnsi="Times New Roman" w:cs="Times New Roman"/>
          <w:sz w:val="24"/>
          <w:szCs w:val="24"/>
        </w:rPr>
        <w:t xml:space="preserve"> dal contratto associativo.</w:t>
      </w:r>
    </w:p>
    <w:p w14:paraId="16367D4B"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Ancora una volta, l’interprete, a fronte del silenzio sul punto da parte della normativa italiana di recepimento, si trova davanti al bivio se applicare le chiare previsioni normative del TUSP o risolvere il contrasto normativo sulla base del principio di specialità/gerarchia delle fonti, considerando la normativa europea sulle CER come idonea a derogare a quella generale di diritto interno, che sembra ostare alla piena attuazione degli obiettivi auspicati dall’Unione europea nel contesto dello sviluppo del modello CER.</w:t>
      </w:r>
    </w:p>
    <w:p w14:paraId="4371547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Alla luce di tali considerazioni, la scelta della forma giuridica della comunità energetica assume un rilievo particolarmente significativo per gli enti locali interessati a partecipare a tali iniziative. La qualificazione della CER come ente associativo o come società determina, infatti, l’applicazione di regimi giuridici profondamente differenti, incidendo direttamente sulle procedure che l’amministrazione deve seguire per partecipare al progetto e sugli obblighi di controllo e di motivazione previsti dall’ordinamento.</w:t>
      </w:r>
    </w:p>
    <w:p w14:paraId="6DC2A8E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questa prospettiva, la questione della forma giuridica delle comunità energetiche non rappresenta soltanto un problema di qualificazione civilistica dell’ente, ma assume una più ampia rilevanza nell’ambito del diritto amministrativo e della disciplina delle partecipazioni pubbliche, incidendo sulle modalità attraverso cui gli enti locali possono concretamente promuovere e sostenere i processi di transizione energetica a livello territoriale. Pertanto, è fondamentale che gli enti locali considerino attentamente queste differenti dimensioni giuridiche nella scelta della forma organizzativa delle CER, al fine di garantire una partecipazione efficace e conforme all’ordinamento vigente.</w:t>
      </w:r>
    </w:p>
    <w:p w14:paraId="5FD79FC8" w14:textId="77777777" w:rsidR="00D6596A" w:rsidRPr="0081729D" w:rsidRDefault="00D6596A" w:rsidP="0081729D">
      <w:pPr>
        <w:pStyle w:val="Paragrafoelenco"/>
        <w:spacing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3.1. Prassi di controllo della Corte dei Conti.</w:t>
      </w:r>
    </w:p>
    <w:p w14:paraId="6E199618" w14:textId="4712B881"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Dopo aver esaminato gli aspetti squisitamente relativi alla compatibilità tra il TUSP e la normativa sulle CER, è opportuno analizzare più nel dettaglio la casistica che, nel corso degli anni, si è presentata in relazione ai controlli esercitati dalla Corte dei Conti. Questa analisi ha come obiettivo la verifica se tale attività possa contribuire ad attenuare alcune criticità o rischi della disciplina, garantendo al contempo una partecipazione legittima ed efficace delle pubbliche amministrazioni nelle CER.</w:t>
      </w:r>
    </w:p>
    <w:p w14:paraId="669FF9C6" w14:textId="343D0D99"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Il controllo della Corte dei Conti, infatti, si rivela fondamentale per assicurare che le amministrazioni locali non solo rispettino le disposizioni normative esistenti, ma anche che attuino scelte efficaci che favoriscano la transizione energetica. In base al Testo Unico in materia di società a partecipazione pubblica (TUSP), la Corte è chiamata a esaminare vari aspetti delle delibere comunali riguardanti la partecipazione alle CER, inclusa la necessità di fornire motivazioni chiare e ben articolate a sostegno delle decisioni assunte.</w:t>
      </w:r>
      <w:r w:rsidR="00925B9E">
        <w:rPr>
          <w:rStyle w:val="Rimandonotaapidipagina"/>
          <w:rFonts w:ascii="Times New Roman" w:hAnsi="Times New Roman" w:cs="Times New Roman"/>
          <w:sz w:val="24"/>
          <w:szCs w:val="24"/>
        </w:rPr>
        <w:footnoteReference w:id="102"/>
      </w:r>
    </w:p>
    <w:p w14:paraId="223DFFD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questo contesto, la delibera n. 16 del 3 novembre 2022 ha stabilito che la partecipazione degli enti pubblici in CER richiede il parere obbligatorio della Corte, anche quando le comunità siano costituite come enti del Terzo Settore. Questo evidenzia l'importanza di una supervisione adeguata sulle operazioni di partecipazione pubblica. Inoltre, la delibera n. 41/2025/G ha delineato uno scenario critico riguardo all'attuazione dei finanziamenti per le CER, mettendo in evidenza la necessità che le amministrazioni presentino una motivazione analitica relativa alla necessità della società per il perseguimento delle finalità istituzionali, assicurandone anche la compatibilità con i principi di efficienza e sostenibilità finanziaria. La Corte ha sottolineato l'importanza di dimostrare l’assenza di contrasto con le normative europee, in particolare in materia di aiuti di Stato.</w:t>
      </w:r>
    </w:p>
    <w:p w14:paraId="3F8DA07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Il parere n. 77/2023 della Corte Sezione regionale Toscana ribadisce che l’atto deliberativo deve contenere motivazioni chiare e dettagliate riguardo alla necessità di costituire una società per il raggiungimento degli obiettivi pubblici, seguendo le linee guida fissate nel TUSP. Qui, la Corte chiarisce che non è sufficiente motivare una scelta societaria in termini generali, ma è necessario fornire una giustificazione specifica rispetto alla coerenza della partecipazione con le finalità istituzionali.</w:t>
      </w:r>
    </w:p>
    <w:p w14:paraId="3751031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Di conseguenza, il monitoraggio da parte della Corte dei Conti gioca un ruolo fondamentale nel guidare la scelta delle pubbliche amministrazioni di partecipare a CER. La sua supervisione non solo garantisce conformità alle normative esistenti, ma offre anche linee guida per affrontare le sfide legate all'attuazione delle politiche energetiche sostenibili e alla realizzazione effettiva delle comunità energetiche in Italia. Pertanto, il controllo della Corte dei Conti si configura come strumento cruciale per qualificare e garantire la partecipazione efficace e legittima delle amministrazioni pubbliche nelle CER, tutelando sia gli interessi pubblici sia quelli specifici del mercato, a favore dello sviluppo delle comunità energetiche nel rispetto della legislazione vigente e degli indirizzi europei.</w:t>
      </w:r>
    </w:p>
    <w:p w14:paraId="39F1573D" w14:textId="77777777" w:rsidR="00D6596A" w:rsidRPr="0081729D" w:rsidRDefault="00D6596A" w:rsidP="0081729D">
      <w:pPr>
        <w:pStyle w:val="Paragrafoelenco"/>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b/>
          <w:bCs/>
          <w:sz w:val="24"/>
          <w:szCs w:val="24"/>
        </w:rPr>
        <w:t>4</w:t>
      </w:r>
      <w:r w:rsidRPr="0081729D">
        <w:rPr>
          <w:rFonts w:ascii="Times New Roman" w:hAnsi="Times New Roman" w:cs="Times New Roman"/>
          <w:sz w:val="24"/>
          <w:szCs w:val="24"/>
        </w:rPr>
        <w:t>.</w:t>
      </w:r>
      <w:r w:rsidRPr="0081729D">
        <w:rPr>
          <w:rFonts w:ascii="Times New Roman" w:hAnsi="Times New Roman" w:cs="Times New Roman"/>
          <w:b/>
          <w:bCs/>
          <w:sz w:val="24"/>
          <w:szCs w:val="24"/>
        </w:rPr>
        <w:t xml:space="preserve"> Le forme organizzative privatistiche: le associazioni, le fondazioni e le cooperative. </w:t>
      </w:r>
    </w:p>
    <w:p w14:paraId="7AAC819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Si procede ora con l’analisi delle principali forme giuridiche privatistiche, al fine di individuare quali possano risultare maggiormente conformi alle caratteristiche delle Comunità Energetiche Rinnovabili (CER) delineate a livello europeo e nazionale. In questo contesto, è opportuno ricordare che la costituzione di una CER può avvenire sia mediante la creazione di un nuovo soggetto giuridico sia attraverso la trasformazione di un soggetto già esistente, come previsto dagli articoli 42-bis e 2498 del Codice civile, che disciplinano rispettivamente la trasformazione degli enti non commerciali e delle società, permettendo di adattare la forma giuridica alle esigenze operative e patrimoniali della comunità.</w:t>
      </w:r>
    </w:p>
    <w:p w14:paraId="46F58F05"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L’associazione rappresenta una delle forme più diffuse per la costituzione di CER e trova disciplina negli articoli 14-42 del Codice civile. Essa è un soggetto collettivo composto da persone fisiche o giuridiche con finalità diverse dal lucro, perseguendo normalmente scopi altruistici o ideali e dedicandosi, come attività principale, a finalità non economiche. Il legislatore ammette comunque lo svolgimento di attività economiche, purché queste rimangano strumentali al perseguimento dello scopo principale, e vieta la ripartizione degli utili tra gli associati. Il Codice civile distingue tra associazioni riconosciute, disciplinate dagli articoli 14-35 c.c., e associazioni non riconosciute, regolate dagli articoli 36-42 c.c. Le prime, ottenendo il riconoscimento legale, acquisiscono personalità giuridica e, con essa, autonomia patrimoniale </w:t>
      </w:r>
      <w:r w:rsidRPr="0081729D">
        <w:rPr>
          <w:rFonts w:ascii="Times New Roman" w:hAnsi="Times New Roman" w:cs="Times New Roman"/>
          <w:sz w:val="24"/>
          <w:szCs w:val="24"/>
        </w:rPr>
        <w:lastRenderedPageBreak/>
        <w:t>perfetta: le obbligazioni contratte dall’associazione sono infatti coperte esclusivamente dal patrimonio dell’ente, senza che possa essere richiesto ai singoli associati il pagamento dei debiti. Questo principio, fondamentale ai fini della partecipazione pubblica nelle CER, assicura una chiara separazione tra il patrimonio dell’ente e quello dei soci, proteggendo gli amministratori e gli associati dai rischi patrimoniali derivanti dalle attività della comunità.</w:t>
      </w:r>
    </w:p>
    <w:p w14:paraId="557CA023"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 associazioni non riconosciute, al contrario, possiedono un’autonomia patrimoniale imperfetta. In tali casi, sebbene i debiti dell’associazione siano in primo luogo a carico del fondo comune, i soci o i rappresentanti legali possono essere chiamati a rispondere personalmente nel caso di insufficienza patrimoniale dell’ente. Questo aspetto limita la capacità di investimento della CER se si prevedono operazioni economiche di rilevante entità e impone cautela nella partecipazione di enti pubblici, per i quali la responsabilità patrimoniale diretta è incompatibile con il regime contabile e con le disposizioni del Testo unico delle società a partecipazione pubblica (TUSP). Per contro, le associazioni riconosciute offrono maggiore sicurezza agli enti pubblici, in quanto l’autonomia patrimoniale perfetta tutela il capitale pubblico e garantisce che eventuali obbligazioni siano soddisfatte esclusivamente dal patrimonio dell’associazione, in linea con i limiti imposti dall’art. 14 c.c. e con la funzione autorizzatoria del bilancio di previsione.</w:t>
      </w:r>
    </w:p>
    <w:p w14:paraId="29183915"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Dal punto di vista operativo, le associazioni riconosciute devono essere costituite mediante atto pubblico e ogni modifica dello statuto o dell’atto costitutivo richiede l’intervento notarile. Esse sono iscritte nel Registro delle persone giuridiche, istituito presso le prefetture o le regioni a seconda dell’ambito territoriale di operatività, garantendo formalmente il riconoscimento della personalità giuridica. Le associazioni non riconosciute, invece, possono essere costituite con strumenti più flessibili, come la scrittura privata autenticata o l’atto pubblico, con minori oneri notarili e amministrativi. Questo giustifica la ragione per cui le prime CER siano state costituite sotto prevalentemente con questa forma: la procedura di costituzione semplificata e la possibilità di coinvolgere soggetti pubblici senza incorrere negli oneri e nei vincoli previsti dal TUSP, a condizione che tali enti non assumano ruoli di rappresentanza legale che possano esporli a responsabilità patrimoniali.</w:t>
      </w:r>
    </w:p>
    <w:p w14:paraId="2152905B"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L’associazione, inoltre, risulta coerente con le caratteristiche tipiche delle CER, in quanto consente di svolgere attività economiche purché ancillari rispetto a quelle istituzionali e proibisce la ripartizione degli utili tra gli associati, garantendo la possibilità di perseguire un lucro oggettivo senza trasformarlo in lucro soggettivo. La normativa civile e del Terzo settore (d.lgs. 117/2017) prevede inoltre la libertà di ingresso e uscita dei soci: l’articolo 24 c.c. consente a ciascun associato di recedere liberamente, senza diritto alla restituzione dei contributi versati né al patrimonio dell’associazione, mentre il principio della “porta aperta” consente di richiedere </w:t>
      </w:r>
      <w:r w:rsidRPr="0081729D">
        <w:rPr>
          <w:rFonts w:ascii="Times New Roman" w:hAnsi="Times New Roman" w:cs="Times New Roman"/>
          <w:sz w:val="24"/>
          <w:szCs w:val="24"/>
        </w:rPr>
        <w:lastRenderedPageBreak/>
        <w:t>l’ammissione, pur senza obbligo dell’ente di accettare automaticamente nuovi soci. La governance si fonda sul principio democratico, con parità di diritti e doveri tra i membri; nel caso delle associazioni ETS, lo statuto può attribuire fino a cinque voti per associato in proporzione al numero di aderenti, con strumenti idonei a modulare la partecipazione in funzione delle dimensioni e delle risorse dei membri, in linea con i criteri di sussidiarietà orizzontale promossi dalla normativa europea e nazionale.</w:t>
      </w:r>
    </w:p>
    <w:p w14:paraId="7778AF99"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Quanto alle fondazioni di partecipazione rappresentano un’istituzione giuridica innovativa</w:t>
      </w:r>
      <w:r w:rsidRPr="0081729D">
        <w:rPr>
          <w:rFonts w:ascii="Times New Roman" w:eastAsia="Times New Roman" w:hAnsi="Times New Roman" w:cs="Times New Roman"/>
          <w:sz w:val="24"/>
          <w:szCs w:val="24"/>
        </w:rPr>
        <w:t xml:space="preserve"> </w:t>
      </w:r>
      <w:r w:rsidRPr="0081729D">
        <w:rPr>
          <w:rFonts w:ascii="Times New Roman" w:hAnsi="Times New Roman" w:cs="Times New Roman"/>
          <w:sz w:val="24"/>
          <w:szCs w:val="24"/>
        </w:rPr>
        <w:t>La fondazione di partecipazione rappresenta un modello giuridico atipico, sviluppato dai soggetti privati che, valendosi della libertà di associazione sancita dall’art. 18 della Costituzione e dagli artt. 14 e ss. c.c., hanno nel tempo definito una struttura finalizzata al perseguimento di scopi di interesse generale. Tale modello combina caratteristiche proprie della fondazione tradizionale con aspetti tipici delle associazioni, fungendo da strumento di cooperazione tra più soggetti che condividono obiettivi comuni. Pur non rientrando nella catalogazione tipica prevista dal Codice civile, disciplinato dall’art. 14 c.c., la fondazione di partecipazione può avvalersi dell’art. 1 del d.p.r. 10 febbraio 2000, n. 361, che consente il riconoscimento della personalità giuridica ad istituzioni private non altrimenti definite.</w:t>
      </w:r>
    </w:p>
    <w:p w14:paraId="6BF577C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L’atto costitutivo deve essere redatto in forma pubblica davanti a un notaio e contenere gli elementi previsti dall’art. 16 c.c., condizione necessaria per il riconoscimento formale della personalità giuridica. La fondazione può configurarsi come ente privato, come entità congiuntamente partecipata da soggetti pubblici o come struttura mista e rientra tra gli enti del Terzo Settore ai sensi del d.lgs. n. 117/2017, con possibilità di iscrizione al RUNTS e accesso alle tutele normative. Questa forma organizzativa è senza scopo di lucro e si propone di superare i limiti del modello tradizionale di fondazione, caratterizzato dal distacco dell’ente dal fondatore, da un finanziamento iniziale autosufficiente e da organi amministrativi gerarchicamente subordinati.</w:t>
      </w:r>
    </w:p>
    <w:p w14:paraId="43018049"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Gli elementi distintivi della fondazione di partecipazione comprendono: a) la presenza di più fondatori o partecipanti che apportano risorse materiali, finanziarie o professionali necessarie al perseguimento degli scopi comuni; b) il coinvolgimento attivo di tutti i partecipanti nella gestione dell’ente, attraverso organi strutturati per favorire la partecipazione collettiva nelle decisioni; c) la progressiva costruzione del patrimonio, che può aumentare con l’ingresso di nuovi soggetti oltre ai fondatori.</w:t>
      </w:r>
    </w:p>
    <w:p w14:paraId="2BA34CC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La disciplina patrimoniale distingue tra il fondo di dotazione, che deve rimanere intoccabile e garantisce la stabilità finanziaria dell’ente, e il fondo di gestione, destinato alle attività operative e alimentato da donazioni, rendite o contributi pubblici e privati. La governance segue il modello </w:t>
      </w:r>
      <w:r w:rsidRPr="0081729D">
        <w:rPr>
          <w:rFonts w:ascii="Times New Roman" w:hAnsi="Times New Roman" w:cs="Times New Roman"/>
          <w:sz w:val="24"/>
          <w:szCs w:val="24"/>
        </w:rPr>
        <w:lastRenderedPageBreak/>
        <w:t>della “democrazia imperfetta”: il peso dei voti può essere proporzionale all’entità del contributo o alla rappresentanza degli interessi collettivi. Ciò consente agli enti pubblici partecipanti di mantenere un ruolo decisionale proporzionato al proprio apporto, proteggendo le finalità pubbliche e l’interesse collettivo.</w:t>
      </w:r>
    </w:p>
    <w:p w14:paraId="32C478F5"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Per quanto riguarda le CER costituite mediante fondazione di partecipazione, questo modello appare pienamente coerente con i canoni europei in materia di comunità energetiche, poiché garantisce il perseguimento di finalità sociali e collettive, promuove la partecipazione attiva dei membri e limita qualsiasi distribuzione di utili, assicurando che le eventuali attività economiche siano esclusivamente strumentali al raggiungimento degli obiettivi statutari. La cooperazione tra soggetti pubblici e privati permette di canalizzare risorse, competenze e lavoro verso obiettivi condivisi, favorendo l’integrazione nel tessuto territoriale e stimolando un coinvolgimento reale dei partecipanti nella gestione della comunità energetica.</w:t>
      </w:r>
    </w:p>
    <w:p w14:paraId="3661179C"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 costi della gestione sono coperti dal patrimonio, il cui ammontare viene stabilito nell’atto costitutivo, e i fondatori partecipano attivamente alle decisioni con un peso proporzionato al contributo apportato. Il vincolo di destinazione del patrimonio agli scopi istituzionali, unito alla struttura inclusiva e collaborativa della governance, rende la fondazione di partecipazione uno strumento particolarmente idoneo per la costituzione di CER, in linea con i principi di sussidiarietà orizzontale e di interesse collettivo sanciti dalla normativa europea e nazionale.</w:t>
      </w:r>
    </w:p>
    <w:p w14:paraId="5386C4E7" w14:textId="77777777" w:rsidR="00864063" w:rsidRPr="00864063" w:rsidRDefault="00864063" w:rsidP="00864063">
      <w:pPr>
        <w:spacing w:line="360" w:lineRule="auto"/>
        <w:ind w:left="170" w:right="227" w:firstLine="170"/>
        <w:contextualSpacing/>
        <w:jc w:val="both"/>
        <w:rPr>
          <w:rFonts w:ascii="Times New Roman" w:hAnsi="Times New Roman" w:cs="Times New Roman"/>
          <w:sz w:val="24"/>
          <w:szCs w:val="24"/>
        </w:rPr>
      </w:pPr>
      <w:r w:rsidRPr="00864063">
        <w:rPr>
          <w:rFonts w:ascii="Times New Roman" w:hAnsi="Times New Roman" w:cs="Times New Roman"/>
          <w:sz w:val="24"/>
          <w:szCs w:val="24"/>
        </w:rPr>
        <w:t xml:space="preserve">In tale contesto, la fondazione risulta pienamente radicata nel territorio e nel sistema di welfare locale, assumendo una configurazione funzionale alla partecipazione attiva dei soggetti coinvolti. In particolare, la gestione del patrimonio non appare rimessa in via esclusiva agli organi dell’ente, ma si caratterizza per l’apertura a forme di coinvolgimento dei soggetti che contribuiscono alle attività, i quali possono prendere parte, secondo modalità statutarie, ai processi decisionali. Tale assetto si pone in linea con i principi sottesi alla disciplina delle comunità energetiche rinnovabili, che valorizzano l’effettiva partecipazione di cittadini e </w:t>
      </w:r>
      <w:proofErr w:type="spellStart"/>
      <w:r w:rsidRPr="00864063">
        <w:rPr>
          <w:rFonts w:ascii="Times New Roman" w:hAnsi="Times New Roman" w:cs="Times New Roman"/>
          <w:sz w:val="24"/>
          <w:szCs w:val="24"/>
        </w:rPr>
        <w:t>prosumers</w:t>
      </w:r>
      <w:proofErr w:type="spellEnd"/>
      <w:r w:rsidRPr="00864063">
        <w:rPr>
          <w:rFonts w:ascii="Times New Roman" w:hAnsi="Times New Roman" w:cs="Times New Roman"/>
          <w:sz w:val="24"/>
          <w:szCs w:val="24"/>
        </w:rPr>
        <w:t>. Ne deriva che il coinvolgimento congiunto di soggetti pubblici e privati consente di orientare la gestione della CER al perseguimento di finalità sociali e collettive, preservando, al contempo, la natura non lucrativa dell’ente.</w:t>
      </w:r>
    </w:p>
    <w:p w14:paraId="743CB665" w14:textId="77777777" w:rsidR="00864063" w:rsidRPr="00864063" w:rsidRDefault="00864063" w:rsidP="00864063">
      <w:pPr>
        <w:spacing w:line="360" w:lineRule="auto"/>
        <w:ind w:left="170" w:right="227" w:firstLine="170"/>
        <w:contextualSpacing/>
        <w:jc w:val="both"/>
        <w:rPr>
          <w:rFonts w:ascii="Times New Roman" w:hAnsi="Times New Roman" w:cs="Times New Roman"/>
          <w:sz w:val="24"/>
          <w:szCs w:val="24"/>
        </w:rPr>
      </w:pPr>
      <w:r w:rsidRPr="00864063">
        <w:rPr>
          <w:rFonts w:ascii="Times New Roman" w:hAnsi="Times New Roman" w:cs="Times New Roman"/>
          <w:sz w:val="24"/>
          <w:szCs w:val="24"/>
        </w:rPr>
        <w:t>Accanto al modello fondazionale, un ruolo di primaria rilevanza è assunto dalla società cooperativa, la quale si presta in modo particolarmente adeguato alla realizzazione delle comunità energetiche rinnovabili, richiedendo limitati adattamenti rispetto alla disciplina codicistica e risultando coerente con la logica mutualistica sottesa all’istituto. Tale modello, infatti, favorisce un approccio collaborativo, idoneo a promuovere l’integrazione sociale e lo sviluppo sostenibile su base territoriale.</w:t>
      </w:r>
    </w:p>
    <w:p w14:paraId="0284A4F3" w14:textId="267C17B3" w:rsidR="00864063" w:rsidRDefault="00864063" w:rsidP="00864063">
      <w:pPr>
        <w:spacing w:line="360" w:lineRule="auto"/>
        <w:ind w:left="170" w:right="227" w:firstLine="170"/>
        <w:contextualSpacing/>
        <w:jc w:val="both"/>
        <w:rPr>
          <w:rFonts w:ascii="Times New Roman" w:hAnsi="Times New Roman" w:cs="Times New Roman"/>
          <w:sz w:val="24"/>
          <w:szCs w:val="24"/>
        </w:rPr>
      </w:pPr>
      <w:r w:rsidRPr="00864063">
        <w:rPr>
          <w:rFonts w:ascii="Times New Roman" w:hAnsi="Times New Roman" w:cs="Times New Roman"/>
          <w:sz w:val="24"/>
          <w:szCs w:val="24"/>
        </w:rPr>
        <w:lastRenderedPageBreak/>
        <w:t>Sotto il profilo patrimoniale, le cooperative sono caratterizzate dal principio dell’autonomia patrimoniale perfetta, sancito dall’art. 2518 c.c., in forza del quale «per le obbligazioni sociali risponde esclusivamente la società con il proprio patrimonio». Inoltre, tra i modelli privatistici attualmente disponibili, la società cooperativa – disciplinata dagli artt. 2511-2545-ter c.c. e, in via residuale, dall’art. 2519, comma 1 c.c., mediante il rinvio alle norme sulle società per azioni in quanto compatibili – offre un assetto normativo organico e strutturato, idoneo a garantire certezza giuridica e stabilità organizzativa.</w:t>
      </w:r>
    </w:p>
    <w:p w14:paraId="6F94102C" w14:textId="212E266B"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cooperativa richiede un numero minimo di soci pari a nove, riducibile a tre nel caso di persone fisiche, e deve essere costituita per atto pubblico con deposito nel Registro delle imprese, ai sensi dell’art. 2521 c.c. Tale struttura permette di gestire collettivamente un’impresa a scopo mutualistico, distinguendosi dalle tradizionali società di capitali il cui fine prevalente è il profitto. In questo contesto, i principi di mutualità, solidarietà e democraticità costituiscono cardini essenziali della cooperativa, in linea con la missione delle CER di promuovere l’energia rinnovabile a livello comunitario. L’art. 45 della Costituzione italiana riconosce esplicitamente la funzione sociale della cooperazione, sottolineando la sua vocazione non speculativa e l’obiettivo di migliorare le condizioni di vita dei soci.</w:t>
      </w:r>
    </w:p>
    <w:p w14:paraId="1E3D487F"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Le cooperative a mutualità prevalente sono regolamentate in modo dettagliato: devono svolgere la loro attività prevalentemente a favore dei soci, i quali devono iscriversi in un apposito albo e depositare annualmente i bilanci. Queste cooperative beneficiano di agevolazioni fiscali rispetto alle cooperative non a mutualità prevalente. Per le CER, tuttavia, è importante osservare che è possibile perseguire, in via secondaria, obiettivi di lucro, consentendo la configurazione della comunità come cooperativa a mutualità non prevalente, purché siano rispettati i requisiti statutari previsti dall’art. 2514 c.c.</w:t>
      </w:r>
    </w:p>
    <w:p w14:paraId="3012E1D1"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governance delle cooperative si basa sul principio del voto capitario: ogni socio ha diritto a un voto in assemblea, indipendentemente dal capitale sottoscritto, garantendo così un approccio decisionale equo e democratico. È comunque previsto che soci persone giuridiche o sovventori possano avere un numero di voti superiore, fino a cinque, in modo da contemperare partecipazione e rappresentanza. Tuttavia, l’applicazione della disciplina del TUSP può comportare oneri amministrativi più gravosi per gli enti pubblici partecipanti, limitando talvolta il loro potere decisionale rispetto agli altri soci contribuenti. In particolare, i rappresentanti degli enti pubblici potrebbero non mantenere un’influenza proporzionale agli investimenti effettuati, complicando le dinamiche di voto all’interno della cooperativa.</w:t>
      </w:r>
    </w:p>
    <w:p w14:paraId="5F6DD2CF"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Le cooperative possono assumere anche qualifiche aggiuntive, come impresa sociale, società benefit o impresa di comunità, se rispettano le normative specifiche. Particolarmente adatta alle </w:t>
      </w:r>
      <w:r w:rsidRPr="0081729D">
        <w:rPr>
          <w:rFonts w:ascii="Times New Roman" w:hAnsi="Times New Roman" w:cs="Times New Roman"/>
          <w:sz w:val="24"/>
          <w:szCs w:val="24"/>
        </w:rPr>
        <w:lastRenderedPageBreak/>
        <w:t>CER è la “cooperativa di comunità”, basata sull’auto-organizzazione dei cittadini, finalizzata al miglioramento della qualità della vita e al vantaggio della collettività locale. Non è invece possibile costituire una CER come associazione temporanea di imprese (ATI) o raggruppamento temporaneo di imprese (RTI), in quanto queste forme non creano un soggetto giuridico autonomo.</w:t>
      </w:r>
    </w:p>
    <w:p w14:paraId="133D3EC5"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La cooperativa emerge così come una struttura flessibile e adattabile per lo sviluppo delle iniziative di energia rinnovabile, consentendo ai soci di partecipare attivamente alla realizzazione di obiettivi collettivi e favorendo l’accesso a risorse economiche e competenze. Rispetto ad associazioni e fondazioni, che si prestano meglio a progetti iniziali privi di finalità imprenditoriali, la cooperativa rappresenta un modello più dinamico e operativo, capace di affrontare in modo strutturato le sfide della transizione energetica e di supportare la crescita sostenibile della comunità energetica.</w:t>
      </w:r>
      <w:bookmarkStart w:id="52" w:name="_Hlk224390470"/>
    </w:p>
    <w:p w14:paraId="2F9DD0CD" w14:textId="77777777" w:rsidR="00D6596A" w:rsidRPr="0081729D" w:rsidRDefault="00D6596A" w:rsidP="0081729D">
      <w:pPr>
        <w:pStyle w:val="Paragrafoelenco"/>
        <w:spacing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 xml:space="preserve">4.1 I regimi fiscali dei modelli privatistici. </w:t>
      </w:r>
    </w:p>
    <w:p w14:paraId="54601C04"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 conclusione dell’analisi delle principali forme giuridiche utilizzabili per la costituzione di una comunità energetica rinnovabile (CER), appare opportuno soffermarsi brevemente sui profili fiscali connessi a tali modelli organizzativi. </w:t>
      </w:r>
    </w:p>
    <w:p w14:paraId="061FB39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Tale aspetto assume particolare rilevanza anche alla luce delle considerazioni svolte nei capitoli precedenti in merito al sistema degli incentivi e ai flussi economici generati dalla produzione e dalla condivisione dell’energia. La qualificazione fiscale dell’ente che costituisce la CER incide infatti sia sul trattamento dei ricavi derivanti dagli incentivi e dalla valorizzazione dell’energia condivisa sia sulla determinazione della base imponibile ai fini delle imposte sui redditi e dell’IVA, con conseguenze rilevanti per la sostenibilità economica del modello organizzativo prescelto.</w:t>
      </w:r>
    </w:p>
    <w:p w14:paraId="0939CEE0"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questa prospettiva, si prenderanno in considerazione in particolare quei modelli costitutivi che, nel corso degli ultimi anni, hanno conosciuto una maggiore diffusione nella prassi applicativa, ossia le forme associative, gli enti del Terzo settore e le società cooperative, proprio per le ragioni sopra illustrate con riferimento ai rispettivi regimi costitutivi e regolamentari.</w:t>
      </w:r>
    </w:p>
    <w:p w14:paraId="09C21622" w14:textId="0E9A5889"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Nel caso della forma associativa, dal punto di vista fiscale non esiste una disciplina unitaria specifica per gli enti associativi. Il relativo regime dipende dalla qualificazione dell’ente ai sensi dell’art. 73 del Testo unico delle imposte sui redditi (TUIR), che distingue tra enti commerciali ed enti non commerciali. La qualificazione dipende dall’oggetto principale dell’attività svolta: qualora l’ente abbia come attività principale o esclusiva l’esercizio di un’attività commerciale, esso sarà qualificato come ente commerciale; diversamente, qualora </w:t>
      </w:r>
      <w:r w:rsidR="00787A3E">
        <w:rPr>
          <w:rFonts w:ascii="Times New Roman" w:hAnsi="Times New Roman" w:cs="Times New Roman"/>
          <w:sz w:val="24"/>
          <w:szCs w:val="24"/>
        </w:rPr>
        <w:t xml:space="preserve">detta attività </w:t>
      </w:r>
      <w:r w:rsidRPr="0081729D">
        <w:rPr>
          <w:rFonts w:ascii="Times New Roman" w:hAnsi="Times New Roman" w:cs="Times New Roman"/>
          <w:sz w:val="24"/>
          <w:szCs w:val="24"/>
        </w:rPr>
        <w:t xml:space="preserve">non costituisca l’attività principale dell’ente, esso sarà qualificato come ente non commerciale. </w:t>
      </w:r>
    </w:p>
    <w:p w14:paraId="75D7D703"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Il criterio distintivo è quindi legato alla natura dell’attività istituzionale e alla sua eventuale dimensione economica, secondo quanto previsto dall’art. 55 TUIR. Inoltre, ai sensi dell’art. 149 TUIR, per mantenere la qualifica di ente non commerciale l’attività commerciale eventualmente svolta non deve risultare prevalente rispetto a quella istituzionale, sulla base di criteri quantitativi indicati dalla norma. Qualora tale requisito venga meno per un intero periodo d’imposta, si verifica una presunzione legale di perdita della qualifica di ente non commerciale. Se l’ente è qualificato come commerciale, l’intero reddito sarà determinato secondo le regole del reddito d’impresa e tutte le operazioni saranno considerate effettuate nell’esercizio di impresa, con conseguente rilevanza ai fini IVA e possibilità di detrazione dell’imposta sugli acquisti relativi ad operazioni imponibili. Se invece l’ente mantiene la qualifica di ente non commerciale, il reddito sarà determinato secondo le diverse categorie reddituali previste dall’art. 143 TUIR e l’IVA rileverà solo per le operazioni poste in essere nell’ambito di attività d’impresa. Nell’ambito degli enti associativi non commerciali assume inoltre rilievo l’art. 148 TUIR, che stabilisce la non imponibilità delle attività svolte dall’associazione nei confronti dei propri associati, salvo il caso in cui questi corrispondano specifici corrispettivi a fronte di prestazioni o cessioni di beni.</w:t>
      </w:r>
    </w:p>
    <w:p w14:paraId="746084EC"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Un ulteriore profilo riguarda le CER costituite come enti ETS, la produzione, l’accumulo e la condivisione di energia da fonti rinnovabili per finalità di autoconsumo sono state espressamente incluse tra le attività di interesse generale dall’art. 3-septies della legge 26 luglio 2023, n. 95, che ha modificato l’art. 5 del Codice del Terzo settore e l’art. 2 del d.lgs. 112/2017 relativo all’impresa sociale. Ne consegue che una CER può assumere la qualifica di ETS o di impresa sociale anche svolgendo ulteriori attività, purché nei limiti previsti dalle rispettive discipline settoriali (art. 6 d.lgs. 117/2017 per gli ETS e art. 2, comma 3, d.lgs. 112/2017 per le imprese sociali). </w:t>
      </w:r>
    </w:p>
    <w:p w14:paraId="35D8553C"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Tuttavia, sotto il profilo fiscale, la disciplina di favore prevista dal Codice del Terzo settore non è ancora pienamente operativa. L’efficacia di numerose disposizioni fiscali – tra cui quelle relative al regime degli ETS non commerciali, al regime forfettario e ad altre agevolazioni – è infatti subordinata all’autorizzazione della Commissione europea in materia di aiuti di Stato, come previsto dall’art. 101, comma 10, del Codice del Terzo settore. Fino al rilascio di tale autorizzazione, gli ETS continuano pertanto ad essere qualificati, anche ai fini fiscali, secondo i criteri previsti dal TUIR, ossia in base alla distinzione tra enti commerciali ed enti non commerciali. Per quanto riguarda invece le imprese sociali, la qualificazione stessa delle attività di interesse generale come attività d’impresa comporta normalmente la qualificazione dell’ente come commerciale ai fini fiscali.</w:t>
      </w:r>
    </w:p>
    <w:p w14:paraId="474AB03E"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lastRenderedPageBreak/>
        <w:t xml:space="preserve">Diverso è il quadro per le CER costituite in forma di società cooperativa, nelle quali lo scopo mutualistico si manifesta nella condivisione dell’energia prodotta e consumata dai soci, nonché nella redistribuzione dei benefici economici derivanti dagli incentivi e dai meccanismi di valorizzazione dell’energia condivisa. In tale contesto, il rapporto mutualistico si realizza attraverso lo scambio tra i dati energetici forniti dai membri e le utilità economiche restituite ai soci sotto forma di incentivi o tariffe energetiche. </w:t>
      </w:r>
    </w:p>
    <w:p w14:paraId="49F0CDEC" w14:textId="3429B0A9" w:rsidR="00F02A21"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Dal punto di vista contabile e fiscale, le somme che la cooperativa retrocede ai soci possono essere considerate costi della produzione per servizi ricevuti ai sensi dell’art. 2425, primo comma, lettera B</w:t>
      </w:r>
      <w:r w:rsidR="00F02A21" w:rsidRPr="0081729D">
        <w:rPr>
          <w:rFonts w:ascii="Times New Roman" w:hAnsi="Times New Roman" w:cs="Times New Roman"/>
          <w:sz w:val="24"/>
          <w:szCs w:val="24"/>
        </w:rPr>
        <w:t>, n. 7</w:t>
      </w:r>
      <w:r w:rsidRPr="0081729D">
        <w:rPr>
          <w:rFonts w:ascii="Times New Roman" w:hAnsi="Times New Roman" w:cs="Times New Roman"/>
          <w:sz w:val="24"/>
          <w:szCs w:val="24"/>
        </w:rPr>
        <w:t>, c.c., mentre i corrispettivi percepiti dal GSE o dalla vendita dell’energia costituiscono ricavi della gestione caratteristica da indicare nella voce A1 del conto economico</w:t>
      </w:r>
      <w:r w:rsidR="00F02A21" w:rsidRPr="0081729D">
        <w:rPr>
          <w:rFonts w:ascii="Times New Roman" w:hAnsi="Times New Roman" w:cs="Times New Roman"/>
          <w:sz w:val="24"/>
          <w:szCs w:val="24"/>
        </w:rPr>
        <w:t>, ossia, tra i valori di produzione devono essere ricompresi i ricavi delle vendite e delle prestazioni.</w:t>
      </w:r>
    </w:p>
    <w:p w14:paraId="17582560" w14:textId="302082EF"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Ai fini dell’imposizione sul reddito, le cooperative a mutualità prevalente beneficiano di specifiche agevolazioni fiscali, tra cui la parziale detassazione degli utili destinati a riserva indivisibile prevista dalla normativa fiscale. Tuttavia, nel contesto delle CER l’accumulazione di utili potrebbe non rappresentare un elemento centrale, in quanto l’obiettivo principale resta la redistribuzione dei benefici mutualistici ai membri. Per quanto riguarda i contributi pubblici, come quelli eventualmente percepiti nell’ambito del PNRR, essi concorrono generalmente alla formazione della base imponibile ai fini IRES. </w:t>
      </w:r>
    </w:p>
    <w:p w14:paraId="2B9E881A"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In ambito IVA, la prassi dell’Agenzia delle Entrate ha chiarito che alcune componenti economiche tipiche delle CER, come la tariffa incentivante o il ristoro di componenti tariffarie, sono escluse dal campo di applicazione dell’imposta per carenza del presupposto oggettivo, ai sensi dell’art. 2, comma 3, lettera a), del d.p.r. 633/1972. Diversamente, il corrispettivo derivante dalla vendita dell’energia sul mercato è soggetto a IVA, trattandosi di operazioni poste in essere da un soggetto che opera nell’esercizio di attività commerciale. Permangono tuttavia alcune incertezze interpretative con riferimento al trattamento fiscale delle somme distribuite ai soci a fronte dello scambio mutualistico, in particolare ai fini delle imposte sui redditi, mentre ai fini IVA tali somme non risultano imponibili qualora il socio sia un consumatore finale; al contrario, se il socio opera come impresa, l’apporto può essere qualificato come prestazione di servizi soggetta a imposta.</w:t>
      </w:r>
    </w:p>
    <w:p w14:paraId="7BD8181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Nel complesso, l’analisi dei profili fiscali conferma come la scelta della forma giuridica della CER incida in modo significativo sull’inquadramento tributario delle attività svolte e sulla gestione dei flussi economici derivanti dagli incentivi e dalla valorizzazione dell’energia condivisa. Tale aspetto assume rilievo anche in relazione al complesso sistema di accesso agli incentivi che caratterizza la disciplina delle comunità energetiche, il quale presuppone specifiche </w:t>
      </w:r>
      <w:r w:rsidRPr="0081729D">
        <w:rPr>
          <w:rFonts w:ascii="Times New Roman" w:hAnsi="Times New Roman" w:cs="Times New Roman"/>
          <w:sz w:val="24"/>
          <w:szCs w:val="24"/>
        </w:rPr>
        <w:lastRenderedPageBreak/>
        <w:t>modalità di gestione dei rapporti economici tra i membri della comunità e il soggetto gestore, nonché un’attenta organizzazione dei flussi finanziari derivanti dalle tariffe incentivanti e dagli eventuali contributi pubblici. Ne deriva che la valutazione del modello organizzativo più idoneo non può prescindere da un’attenta considerazione degli effetti fiscali connessi alle diverse configurazioni giuridiche, al fine di garantire non solo la conformità normativa, ma anche la sostenibilità economica dell’iniziativa nel lungo periodo.</w:t>
      </w:r>
    </w:p>
    <w:p w14:paraId="2C206772"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Sotto questo profilo, i profili fiscali assumono un rilievo che trascende la dimensione meramente tecnico-tributaria e si inserisce più ampiamente nel quadro dei principi costituzionali che informano la disciplina delle comunità energetiche. In particolare, la corretta configurazione del regime fiscale può contribuire in modo significativo alla concreta attuazione del principio di sussidiarietà orizzontale di cui all’art. 118, quarto comma, Cost., favorendo l’effettiva partecipazione dei cittadini, delle imprese e degli enti del Terzo settore alla realizzazione di iniziative di interesse generale quali quelle connesse alla produzione e alla condivisione di energia rinnovabile.</w:t>
      </w:r>
    </w:p>
    <w:p w14:paraId="722D5275" w14:textId="77777777"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 xml:space="preserve">Tale considerazione appare ancor più rilevante nei casi in cui la costituzione della comunità energetica avvenga secondo un modello </w:t>
      </w:r>
      <w:r w:rsidRPr="0081729D">
        <w:rPr>
          <w:rFonts w:ascii="Times New Roman" w:hAnsi="Times New Roman" w:cs="Times New Roman"/>
          <w:i/>
          <w:iCs/>
          <w:sz w:val="24"/>
          <w:szCs w:val="24"/>
        </w:rPr>
        <w:t>top-down</w:t>
      </w:r>
      <w:r w:rsidRPr="0081729D">
        <w:rPr>
          <w:rFonts w:ascii="Times New Roman" w:hAnsi="Times New Roman" w:cs="Times New Roman"/>
          <w:sz w:val="24"/>
          <w:szCs w:val="24"/>
        </w:rPr>
        <w:t>, promosso dall’ente locale o da altri soggetti istituzionali con l’obiettivo di attivare processi di partecipazione diffusa sul territorio. In questi contesti, infatti, la sostenibilità economica e fiscale dell’assetto organizzativo prescelto rappresenta una condizione essenziale affinché l’iniziativa pubblica riesca effettivamente a stimolare la partecipazione dei soggetti privati e della società civile, evitando che complessità amministrative o oneri tributari eccessivi possano costituire un disincentivo alla partecipazione.</w:t>
      </w:r>
    </w:p>
    <w:p w14:paraId="45F6626E" w14:textId="653D9E01" w:rsidR="00D6596A" w:rsidRPr="0081729D" w:rsidRDefault="00D6596A" w:rsidP="0081729D">
      <w:pPr>
        <w:spacing w:line="360" w:lineRule="auto"/>
        <w:ind w:left="170" w:right="227" w:firstLine="170"/>
        <w:contextualSpacing/>
        <w:jc w:val="both"/>
        <w:rPr>
          <w:rFonts w:ascii="Times New Roman" w:hAnsi="Times New Roman" w:cs="Times New Roman"/>
          <w:sz w:val="24"/>
          <w:szCs w:val="24"/>
        </w:rPr>
      </w:pPr>
      <w:r w:rsidRPr="0081729D">
        <w:rPr>
          <w:rFonts w:ascii="Times New Roman" w:hAnsi="Times New Roman" w:cs="Times New Roman"/>
          <w:sz w:val="24"/>
          <w:szCs w:val="24"/>
        </w:rPr>
        <w:t>Ne consegue che anche la dimensione fiscale deve essere letta come parte integrante dell’architettura giuridica delle comunità energetiche: una disciplina tributaria coerente e adeguata, coordinata con il sistema degli incentivi previsto dalla normativa nazionale ed europea, non solo favorisce la stabilità economica delle CER, ma contribuisce altresì a rafforzare quei meccanismi collaborativi tra pubbliche amministrazioni, cittadini e operatori economici che costituiscono il presupposto per una piena realizzazione della sussidiarietà orizzontale e per lo sviluppo di modelli energetici realmente partecipativi e radicati nelle comunità locali.</w:t>
      </w:r>
    </w:p>
    <w:p w14:paraId="182AF187" w14:textId="77777777" w:rsidR="00D6596A" w:rsidRPr="0081729D" w:rsidRDefault="00D6596A" w:rsidP="0081729D">
      <w:pPr>
        <w:pStyle w:val="Paragrafoelenco"/>
        <w:spacing w:line="360" w:lineRule="auto"/>
        <w:ind w:left="170" w:right="227" w:firstLine="170"/>
        <w:contextualSpacing/>
        <w:jc w:val="both"/>
        <w:rPr>
          <w:rFonts w:ascii="Times New Roman" w:hAnsi="Times New Roman" w:cs="Times New Roman"/>
          <w:b/>
          <w:bCs/>
          <w:sz w:val="24"/>
          <w:szCs w:val="24"/>
        </w:rPr>
      </w:pPr>
      <w:r w:rsidRPr="0081729D">
        <w:rPr>
          <w:rFonts w:ascii="Times New Roman" w:hAnsi="Times New Roman" w:cs="Times New Roman"/>
          <w:b/>
          <w:bCs/>
          <w:sz w:val="24"/>
          <w:szCs w:val="24"/>
        </w:rPr>
        <w:t>5. Possibile sinergia normativa tra CER e Servizi Pubblici.</w:t>
      </w:r>
    </w:p>
    <w:bookmarkEnd w:id="52"/>
    <w:p w14:paraId="35FD343C" w14:textId="45102A12" w:rsidR="00E76A3E" w:rsidRPr="00E76A3E" w:rsidRDefault="00E76A3E" w:rsidP="00E76A3E">
      <w:pPr>
        <w:spacing w:line="360" w:lineRule="auto"/>
        <w:ind w:left="170" w:right="227" w:firstLine="170"/>
        <w:contextualSpacing/>
        <w:jc w:val="both"/>
        <w:rPr>
          <w:rFonts w:ascii="Times New Roman" w:hAnsi="Times New Roman" w:cs="Times New Roman"/>
          <w:sz w:val="24"/>
          <w:szCs w:val="24"/>
        </w:rPr>
      </w:pPr>
      <w:r w:rsidRPr="00E76A3E">
        <w:rPr>
          <w:rFonts w:ascii="Times New Roman" w:hAnsi="Times New Roman" w:cs="Times New Roman"/>
          <w:sz w:val="24"/>
          <w:szCs w:val="24"/>
        </w:rPr>
        <w:t xml:space="preserve">L’analisi delle CER richiede una ricognizione articolata delle fonti pubblicistiche e privatistiche che ne disciplinano la costituzione e il funzionamento, con particolare attenzione tanto alla normativa del Terzo Settore quanto alla qualificazione giuridica dell’energia quale servizio di interesse generale. Le CER, infatti, si configurano come una realtà intrinsecamente ibrida, nella </w:t>
      </w:r>
      <w:r w:rsidRPr="00E76A3E">
        <w:rPr>
          <w:rFonts w:ascii="Times New Roman" w:hAnsi="Times New Roman" w:cs="Times New Roman"/>
          <w:sz w:val="24"/>
          <w:szCs w:val="24"/>
        </w:rPr>
        <w:lastRenderedPageBreak/>
        <w:t>quale si intrecciano logiche imprenditoriali, finalità civiche e obiettivi pubblicistici, rendendo necessaria una verifica della compatibilità e dell’integrazione tra diversi ambiti regolatori.</w:t>
      </w:r>
    </w:p>
    <w:p w14:paraId="4DC9BB8F" w14:textId="77777777" w:rsidR="00E76A3E" w:rsidRPr="00E76A3E" w:rsidRDefault="00E76A3E" w:rsidP="00E76A3E">
      <w:pPr>
        <w:spacing w:line="360" w:lineRule="auto"/>
        <w:ind w:left="170" w:right="227" w:firstLine="170"/>
        <w:contextualSpacing/>
        <w:jc w:val="both"/>
        <w:rPr>
          <w:rFonts w:ascii="Times New Roman" w:hAnsi="Times New Roman" w:cs="Times New Roman"/>
          <w:sz w:val="24"/>
          <w:szCs w:val="24"/>
        </w:rPr>
      </w:pPr>
      <w:r w:rsidRPr="00E76A3E">
        <w:rPr>
          <w:rFonts w:ascii="Times New Roman" w:hAnsi="Times New Roman" w:cs="Times New Roman"/>
          <w:sz w:val="24"/>
          <w:szCs w:val="24"/>
        </w:rPr>
        <w:t xml:space="preserve">Tradizionalmente, l’energia è stata qualificata quale bene mobile oggetto di scambio, secondo quanto disposto dall’art. 814 c.c., che include tra i beni mobili «le energie naturali che hanno valore economico», impostazione ribadita anche dalla giurisprudenza amministrativa. Sul piano eurounitario, la Corte di giustizia, nella nota pronuncia </w:t>
      </w:r>
      <w:r w:rsidRPr="00E76A3E">
        <w:rPr>
          <w:rFonts w:ascii="Times New Roman" w:hAnsi="Times New Roman" w:cs="Times New Roman"/>
          <w:i/>
          <w:iCs/>
          <w:sz w:val="24"/>
          <w:szCs w:val="24"/>
        </w:rPr>
        <w:t>Costa c. ENEL</w:t>
      </w:r>
      <w:r w:rsidRPr="00E76A3E">
        <w:rPr>
          <w:rFonts w:ascii="Times New Roman" w:hAnsi="Times New Roman" w:cs="Times New Roman"/>
          <w:sz w:val="24"/>
          <w:szCs w:val="24"/>
        </w:rPr>
        <w:t>, ha confermato la rilevanza economica del bene energia, sottolineando come tale qualificazione implichi l’applicazione delle regole del mercato interno e della concorrenza. Tale impostazione ha costituito il fondamento del processo di liberalizzazione del settore elettrico, segnato da una progressiva apertura al mercato e da una riduzione dell’intervento diretto dei pubblici poteri.</w:t>
      </w:r>
    </w:p>
    <w:p w14:paraId="4F2D4E04" w14:textId="77777777" w:rsidR="00E76A3E" w:rsidRPr="00E76A3E" w:rsidRDefault="00E76A3E" w:rsidP="00E76A3E">
      <w:pPr>
        <w:spacing w:line="360" w:lineRule="auto"/>
        <w:ind w:left="170" w:right="227" w:firstLine="170"/>
        <w:contextualSpacing/>
        <w:jc w:val="both"/>
        <w:rPr>
          <w:rFonts w:ascii="Times New Roman" w:hAnsi="Times New Roman" w:cs="Times New Roman"/>
          <w:sz w:val="24"/>
          <w:szCs w:val="24"/>
        </w:rPr>
      </w:pPr>
      <w:r w:rsidRPr="00E76A3E">
        <w:rPr>
          <w:rFonts w:ascii="Times New Roman" w:hAnsi="Times New Roman" w:cs="Times New Roman"/>
          <w:sz w:val="24"/>
          <w:szCs w:val="24"/>
        </w:rPr>
        <w:t>In questo contesto, le CER introducono un modello innovativo che consente di ripensare la gestione dell’energia anche in chiave di servizio pubblico partecipato. Attraverso il coinvolgimento attivo di cittadini, imprese ed enti del Terzo Settore, esse perseguono finalità di interesse generale, quali la riduzione della povertà energetica, l’incremento dell’efficienza energetica e la promozione di modelli sostenibili di produzione e consumo. Le CER si configurano, pertanto, come una “terza via” tra gestione pubblica e privata del servizio energetico, dando luogo a forme di organizzazione che combinano strumenti di mercato con logiche solidaristiche e partecipative.</w:t>
      </w:r>
    </w:p>
    <w:p w14:paraId="1816CCF7" w14:textId="77777777" w:rsidR="00E76A3E" w:rsidRPr="00E76A3E" w:rsidRDefault="00E76A3E" w:rsidP="00E76A3E">
      <w:pPr>
        <w:spacing w:line="360" w:lineRule="auto"/>
        <w:ind w:left="170" w:right="227" w:firstLine="170"/>
        <w:contextualSpacing/>
        <w:jc w:val="both"/>
        <w:rPr>
          <w:rFonts w:ascii="Times New Roman" w:hAnsi="Times New Roman" w:cs="Times New Roman"/>
          <w:sz w:val="24"/>
          <w:szCs w:val="24"/>
        </w:rPr>
      </w:pPr>
      <w:r w:rsidRPr="00E76A3E">
        <w:rPr>
          <w:rFonts w:ascii="Times New Roman" w:hAnsi="Times New Roman" w:cs="Times New Roman"/>
          <w:sz w:val="24"/>
          <w:szCs w:val="24"/>
        </w:rPr>
        <w:t>Sotto il profilo sistematico, tale fenomeno contribuisce a superare la tradizionale dicotomia tra concezione soggettiva e oggettiva del servizio pubblico: l’energia, pur rimanendo bene economico, viene progressivamente inserita in circuiti di gestione condivisa, nei quali il ruolo dei cittadini e delle formazioni sociali assume rilievo centrale, in coerenza con i principi costituzionali di cui agli artt. 43 e 118, comma 4, Cost.</w:t>
      </w:r>
    </w:p>
    <w:p w14:paraId="3DC1ED95" w14:textId="22EE90BF" w:rsidR="00E76A3E" w:rsidRPr="00E76A3E" w:rsidRDefault="00E76A3E" w:rsidP="00E76A3E">
      <w:pPr>
        <w:spacing w:line="360" w:lineRule="auto"/>
        <w:ind w:left="170" w:right="227" w:firstLine="170"/>
        <w:contextualSpacing/>
        <w:jc w:val="both"/>
        <w:rPr>
          <w:rFonts w:ascii="Times New Roman" w:hAnsi="Times New Roman" w:cs="Times New Roman"/>
          <w:sz w:val="24"/>
          <w:szCs w:val="24"/>
        </w:rPr>
      </w:pPr>
      <w:r w:rsidRPr="00E76A3E">
        <w:rPr>
          <w:rFonts w:ascii="Times New Roman" w:hAnsi="Times New Roman" w:cs="Times New Roman"/>
          <w:sz w:val="24"/>
          <w:szCs w:val="24"/>
        </w:rPr>
        <w:t>Le CER rappresentano così un punto di convergenza normativa tra diritto amministrativo, disciplina energetica e diritto del Terzo Settore</w:t>
      </w:r>
      <w:r w:rsidR="00864063">
        <w:rPr>
          <w:rFonts w:ascii="Times New Roman" w:hAnsi="Times New Roman" w:cs="Times New Roman"/>
          <w:sz w:val="24"/>
          <w:szCs w:val="24"/>
        </w:rPr>
        <w:t>: se da un lato il</w:t>
      </w:r>
      <w:r w:rsidRPr="00E76A3E">
        <w:rPr>
          <w:rFonts w:ascii="Times New Roman" w:hAnsi="Times New Roman" w:cs="Times New Roman"/>
          <w:sz w:val="24"/>
          <w:szCs w:val="24"/>
        </w:rPr>
        <w:t xml:space="preserve"> </w:t>
      </w:r>
      <w:r w:rsidR="00864063">
        <w:rPr>
          <w:rFonts w:ascii="Times New Roman" w:hAnsi="Times New Roman" w:cs="Times New Roman"/>
          <w:sz w:val="24"/>
          <w:szCs w:val="24"/>
        </w:rPr>
        <w:t>D</w:t>
      </w:r>
      <w:r w:rsidRPr="00E76A3E">
        <w:rPr>
          <w:rFonts w:ascii="Times New Roman" w:hAnsi="Times New Roman" w:cs="Times New Roman"/>
          <w:sz w:val="24"/>
          <w:szCs w:val="24"/>
        </w:rPr>
        <w:t>.</w:t>
      </w:r>
      <w:r w:rsidR="00864063">
        <w:rPr>
          <w:rFonts w:ascii="Times New Roman" w:hAnsi="Times New Roman" w:cs="Times New Roman"/>
          <w:sz w:val="24"/>
          <w:szCs w:val="24"/>
        </w:rPr>
        <w:t xml:space="preserve"> L</w:t>
      </w:r>
      <w:r w:rsidRPr="00E76A3E">
        <w:rPr>
          <w:rFonts w:ascii="Times New Roman" w:hAnsi="Times New Roman" w:cs="Times New Roman"/>
          <w:sz w:val="24"/>
          <w:szCs w:val="24"/>
        </w:rPr>
        <w:t xml:space="preserve">gs. 117/2017 valorizza il contributo degli enti non profit nello svolgimento di attività di interesse generale, </w:t>
      </w:r>
      <w:r w:rsidR="00864063">
        <w:rPr>
          <w:rFonts w:ascii="Times New Roman" w:hAnsi="Times New Roman" w:cs="Times New Roman"/>
          <w:sz w:val="24"/>
          <w:szCs w:val="24"/>
        </w:rPr>
        <w:t>dall’altro lato, invece, il D</w:t>
      </w:r>
      <w:r w:rsidRPr="00E76A3E">
        <w:rPr>
          <w:rFonts w:ascii="Times New Roman" w:hAnsi="Times New Roman" w:cs="Times New Roman"/>
          <w:sz w:val="24"/>
          <w:szCs w:val="24"/>
        </w:rPr>
        <w:t>.</w:t>
      </w:r>
      <w:r w:rsidR="00864063">
        <w:rPr>
          <w:rFonts w:ascii="Times New Roman" w:hAnsi="Times New Roman" w:cs="Times New Roman"/>
          <w:sz w:val="24"/>
          <w:szCs w:val="24"/>
        </w:rPr>
        <w:t xml:space="preserve"> L</w:t>
      </w:r>
      <w:r w:rsidRPr="00E76A3E">
        <w:rPr>
          <w:rFonts w:ascii="Times New Roman" w:hAnsi="Times New Roman" w:cs="Times New Roman"/>
          <w:sz w:val="24"/>
          <w:szCs w:val="24"/>
        </w:rPr>
        <w:t>gs. 201/2022 in materia di servizi pubblici locali di rilevanza economica introduce strumenti di co-programmazione e co-progettazione idonei a favorire forme di gestione condivisa. In tale prospettiva, le CER possono essere lette come strumenti attraverso cui gli enti locali promuovono modelli innovativi di servizio pubblico, capaci di integrare efficienza economica, sostenibilità ambientale e inclusione sociale.</w:t>
      </w:r>
    </w:p>
    <w:p w14:paraId="53C43C67" w14:textId="0BF95BBD" w:rsidR="00E76A3E" w:rsidRPr="00A6051A" w:rsidRDefault="00E76A3E" w:rsidP="00E76A3E">
      <w:pPr>
        <w:spacing w:line="360" w:lineRule="auto"/>
        <w:ind w:left="170" w:right="227" w:firstLine="170"/>
        <w:contextualSpacing/>
        <w:jc w:val="both"/>
        <w:rPr>
          <w:rFonts w:ascii="Times New Roman" w:hAnsi="Times New Roman" w:cs="Times New Roman"/>
          <w:sz w:val="24"/>
          <w:szCs w:val="24"/>
        </w:rPr>
      </w:pPr>
      <w:r w:rsidRPr="00E76A3E">
        <w:rPr>
          <w:rFonts w:ascii="Times New Roman" w:hAnsi="Times New Roman" w:cs="Times New Roman"/>
          <w:sz w:val="24"/>
          <w:szCs w:val="24"/>
        </w:rPr>
        <w:t>Permangono, tuttavia, alcune criticità</w:t>
      </w:r>
      <w:r w:rsidR="00864063">
        <w:rPr>
          <w:rFonts w:ascii="Times New Roman" w:hAnsi="Times New Roman" w:cs="Times New Roman"/>
          <w:sz w:val="24"/>
          <w:szCs w:val="24"/>
        </w:rPr>
        <w:t xml:space="preserve"> atteso che l</w:t>
      </w:r>
      <w:r w:rsidRPr="00E76A3E">
        <w:rPr>
          <w:rFonts w:ascii="Times New Roman" w:hAnsi="Times New Roman" w:cs="Times New Roman"/>
          <w:sz w:val="24"/>
          <w:szCs w:val="24"/>
        </w:rPr>
        <w:t xml:space="preserve">a qualificazione dell’energia come bene economico può entrare in tensione con la sua funzione di servizio di interesse generale, imponendo un delicato bilanciamento tra esigenze di mercato e finalità sociali. Analogamente, la </w:t>
      </w:r>
      <w:r w:rsidRPr="00E76A3E">
        <w:rPr>
          <w:rFonts w:ascii="Times New Roman" w:hAnsi="Times New Roman" w:cs="Times New Roman"/>
          <w:sz w:val="24"/>
          <w:szCs w:val="24"/>
        </w:rPr>
        <w:lastRenderedPageBreak/>
        <w:t xml:space="preserve">partecipazione di soggetti del Terzo Settore richiede un coordinamento con le regole della concorrenza e con i principi di trasparenza e responsabilità nella gestione collettiva. La stessa governance collaborativa presuppone assetti organizzativi adeguati e strumenti efficaci di </w:t>
      </w:r>
      <w:r w:rsidRPr="00A6051A">
        <w:rPr>
          <w:rFonts w:ascii="Times New Roman" w:hAnsi="Times New Roman" w:cs="Times New Roman"/>
          <w:sz w:val="24"/>
          <w:szCs w:val="24"/>
        </w:rPr>
        <w:t>controllo, al fine di evitare conflitti tra interessi pubblici e privati.</w:t>
      </w:r>
    </w:p>
    <w:p w14:paraId="04C38739" w14:textId="3D43E5D3" w:rsidR="00A6051A" w:rsidRPr="00A6051A" w:rsidRDefault="00A6051A" w:rsidP="00A6051A">
      <w:pPr>
        <w:spacing w:line="360" w:lineRule="auto"/>
        <w:ind w:left="170" w:right="227" w:firstLine="170"/>
        <w:contextualSpacing/>
        <w:jc w:val="both"/>
        <w:rPr>
          <w:rFonts w:ascii="Times New Roman" w:hAnsi="Times New Roman" w:cs="Times New Roman"/>
          <w:sz w:val="24"/>
          <w:szCs w:val="24"/>
        </w:rPr>
      </w:pPr>
      <w:r w:rsidRPr="00A6051A">
        <w:rPr>
          <w:rFonts w:ascii="Times New Roman" w:hAnsi="Times New Roman" w:cs="Times New Roman"/>
          <w:sz w:val="24"/>
          <w:szCs w:val="24"/>
        </w:rPr>
        <w:t>Ciononostante, le CER si delineano come un modello avanzato di gestione dei servizi pubblici locali, basato su logiche di decentramento funzionale e di corresponsabilità diffusa. Esse consentono, infatti, di ripensare il servizio pubblico non più come attività esclusivamente erogata dall’ente pubblico, ma come funzione realizzata “attraverso il pubblico”, mediante il coinvolgimento attivo della collettività, in coerenza con i principi costituzionali di autonomia locale, buon andamento e sussidiarietà orizzontale.</w:t>
      </w:r>
    </w:p>
    <w:p w14:paraId="5C2740F0" w14:textId="1C2CB650" w:rsidR="00A6051A" w:rsidRPr="00A6051A" w:rsidRDefault="00A6051A" w:rsidP="00A6051A">
      <w:pPr>
        <w:spacing w:line="360" w:lineRule="auto"/>
        <w:ind w:left="170" w:right="227" w:firstLine="170"/>
        <w:contextualSpacing/>
        <w:jc w:val="both"/>
        <w:rPr>
          <w:rFonts w:ascii="Times New Roman" w:hAnsi="Times New Roman" w:cs="Times New Roman"/>
          <w:sz w:val="24"/>
          <w:szCs w:val="24"/>
        </w:rPr>
      </w:pPr>
      <w:r w:rsidRPr="00A6051A">
        <w:rPr>
          <w:rFonts w:ascii="Times New Roman" w:hAnsi="Times New Roman" w:cs="Times New Roman"/>
          <w:sz w:val="24"/>
          <w:szCs w:val="24"/>
        </w:rPr>
        <w:t>In questa prospettiva, emerge una significativa sinergia tra la disciplina dei servizi pubblici e i modelli partecipativi emergenti: da un lato, le CER contribuiscono al superamento del paradigma tradizionale, gerarchico e centralizzato, della gestione dei servizi energetici; dall’altro</w:t>
      </w:r>
      <w:r w:rsidR="009A4043">
        <w:rPr>
          <w:rFonts w:ascii="Times New Roman" w:hAnsi="Times New Roman" w:cs="Times New Roman"/>
          <w:sz w:val="24"/>
          <w:szCs w:val="24"/>
        </w:rPr>
        <w:t>, tuttavia</w:t>
      </w:r>
      <w:r>
        <w:rPr>
          <w:rFonts w:ascii="Times New Roman" w:hAnsi="Times New Roman" w:cs="Times New Roman"/>
          <w:sz w:val="24"/>
          <w:szCs w:val="24"/>
        </w:rPr>
        <w:t xml:space="preserve">, </w:t>
      </w:r>
      <w:r w:rsidR="009A4043">
        <w:rPr>
          <w:rFonts w:ascii="Times New Roman" w:hAnsi="Times New Roman" w:cs="Times New Roman"/>
          <w:sz w:val="24"/>
          <w:szCs w:val="24"/>
        </w:rPr>
        <w:t xml:space="preserve">occorre ancora rimediare alle diverse </w:t>
      </w:r>
      <w:r w:rsidRPr="00A6051A">
        <w:rPr>
          <w:rFonts w:ascii="Times New Roman" w:hAnsi="Times New Roman" w:cs="Times New Roman"/>
          <w:sz w:val="24"/>
          <w:szCs w:val="24"/>
        </w:rPr>
        <w:t>questioni di coordinamento tra logiche di mercato, finalità collettive e assetti di governance condivisa. Ne deriva un quadro dinamico, caratterizzato dalla compresenza di convergenze e tensioni, che tuttavia appare idoneo a delineare un modello innovativo di servizio pubblico energetico, fondato sull’integrazione tra efficienza, sostenibilità e partecipazione civica.</w:t>
      </w:r>
    </w:p>
    <w:p w14:paraId="1E1946AA" w14:textId="5994879F" w:rsidR="004808EB" w:rsidRPr="00A6051A" w:rsidRDefault="004808EB" w:rsidP="004808EB">
      <w:pPr>
        <w:spacing w:line="360" w:lineRule="auto"/>
        <w:ind w:left="170" w:right="227" w:firstLine="170"/>
        <w:contextualSpacing/>
        <w:jc w:val="both"/>
        <w:rPr>
          <w:rFonts w:ascii="Times New Roman" w:hAnsi="Times New Roman" w:cs="Times New Roman"/>
          <w:sz w:val="24"/>
          <w:szCs w:val="24"/>
        </w:rPr>
      </w:pPr>
    </w:p>
    <w:p w14:paraId="3223B60E" w14:textId="1F0C0204" w:rsidR="004808EB" w:rsidRPr="00A6051A" w:rsidRDefault="004808EB" w:rsidP="004808EB">
      <w:pPr>
        <w:spacing w:line="360" w:lineRule="auto"/>
        <w:ind w:left="170" w:right="227" w:firstLine="170"/>
        <w:contextualSpacing/>
        <w:jc w:val="both"/>
        <w:rPr>
          <w:rFonts w:ascii="Times New Roman" w:hAnsi="Times New Roman" w:cs="Times New Roman"/>
          <w:sz w:val="24"/>
          <w:szCs w:val="24"/>
        </w:rPr>
      </w:pPr>
    </w:p>
    <w:p w14:paraId="2AB61F82" w14:textId="27E37FB7" w:rsidR="004808EB" w:rsidRDefault="004808EB" w:rsidP="004808EB">
      <w:pPr>
        <w:spacing w:line="360" w:lineRule="auto"/>
        <w:ind w:left="170" w:right="227" w:firstLine="170"/>
        <w:contextualSpacing/>
        <w:jc w:val="both"/>
        <w:rPr>
          <w:rFonts w:ascii="Times New Roman" w:hAnsi="Times New Roman" w:cs="Times New Roman"/>
          <w:b/>
          <w:bCs/>
          <w:sz w:val="24"/>
          <w:szCs w:val="24"/>
        </w:rPr>
      </w:pPr>
    </w:p>
    <w:p w14:paraId="5DA75FE1" w14:textId="791610C1" w:rsidR="004808EB" w:rsidRDefault="004808EB" w:rsidP="004808EB">
      <w:pPr>
        <w:spacing w:line="360" w:lineRule="auto"/>
        <w:ind w:left="170" w:right="227" w:firstLine="170"/>
        <w:contextualSpacing/>
        <w:jc w:val="both"/>
        <w:rPr>
          <w:rFonts w:ascii="Times New Roman" w:hAnsi="Times New Roman" w:cs="Times New Roman"/>
          <w:b/>
          <w:bCs/>
          <w:sz w:val="24"/>
          <w:szCs w:val="24"/>
        </w:rPr>
      </w:pPr>
    </w:p>
    <w:p w14:paraId="5E8DAA08" w14:textId="1F2A3924" w:rsidR="004808EB" w:rsidRDefault="004808EB" w:rsidP="004808EB">
      <w:pPr>
        <w:spacing w:line="360" w:lineRule="auto"/>
        <w:ind w:left="170" w:right="227" w:firstLine="170"/>
        <w:contextualSpacing/>
        <w:jc w:val="both"/>
        <w:rPr>
          <w:rFonts w:ascii="Times New Roman" w:hAnsi="Times New Roman" w:cs="Times New Roman"/>
          <w:b/>
          <w:bCs/>
          <w:sz w:val="24"/>
          <w:szCs w:val="24"/>
        </w:rPr>
      </w:pPr>
    </w:p>
    <w:p w14:paraId="31DEE083" w14:textId="4E57D18A" w:rsidR="004F02EB" w:rsidRDefault="004F02EB" w:rsidP="004808EB">
      <w:pPr>
        <w:spacing w:line="360" w:lineRule="auto"/>
        <w:ind w:left="170" w:right="227" w:firstLine="170"/>
        <w:contextualSpacing/>
        <w:jc w:val="both"/>
        <w:rPr>
          <w:rFonts w:ascii="Times New Roman" w:hAnsi="Times New Roman" w:cs="Times New Roman"/>
          <w:b/>
          <w:bCs/>
          <w:sz w:val="24"/>
          <w:szCs w:val="24"/>
        </w:rPr>
      </w:pPr>
    </w:p>
    <w:p w14:paraId="1A0E6DB5" w14:textId="369372AD" w:rsidR="004F02EB" w:rsidRDefault="004F02EB" w:rsidP="004808EB">
      <w:pPr>
        <w:spacing w:line="360" w:lineRule="auto"/>
        <w:ind w:left="170" w:right="227" w:firstLine="170"/>
        <w:contextualSpacing/>
        <w:jc w:val="both"/>
        <w:rPr>
          <w:rFonts w:ascii="Times New Roman" w:hAnsi="Times New Roman" w:cs="Times New Roman"/>
          <w:b/>
          <w:bCs/>
          <w:sz w:val="24"/>
          <w:szCs w:val="24"/>
        </w:rPr>
      </w:pPr>
    </w:p>
    <w:p w14:paraId="3E7F1EE4" w14:textId="68FE7732" w:rsidR="004F02EB" w:rsidRDefault="004F02EB" w:rsidP="00010023">
      <w:pPr>
        <w:spacing w:line="360" w:lineRule="auto"/>
        <w:ind w:right="227"/>
        <w:contextualSpacing/>
        <w:jc w:val="both"/>
        <w:rPr>
          <w:rFonts w:ascii="Times New Roman" w:hAnsi="Times New Roman" w:cs="Times New Roman"/>
          <w:b/>
          <w:bCs/>
          <w:sz w:val="24"/>
          <w:szCs w:val="24"/>
        </w:rPr>
      </w:pPr>
    </w:p>
    <w:p w14:paraId="3F19EE7D" w14:textId="60DEF97D" w:rsidR="004F02EB" w:rsidRDefault="004F02EB" w:rsidP="00C57281">
      <w:pPr>
        <w:spacing w:line="360" w:lineRule="auto"/>
        <w:ind w:right="227"/>
        <w:contextualSpacing/>
        <w:rPr>
          <w:rFonts w:ascii="Times New Roman" w:hAnsi="Times New Roman" w:cs="Times New Roman"/>
          <w:b/>
          <w:bCs/>
          <w:sz w:val="24"/>
          <w:szCs w:val="24"/>
        </w:rPr>
      </w:pPr>
    </w:p>
    <w:p w14:paraId="3BD39D39" w14:textId="77777777" w:rsidR="00FD3784" w:rsidRDefault="00FD3784" w:rsidP="00C57281">
      <w:pPr>
        <w:spacing w:line="360" w:lineRule="auto"/>
        <w:ind w:right="227"/>
        <w:contextualSpacing/>
        <w:rPr>
          <w:rFonts w:ascii="Times New Roman" w:hAnsi="Times New Roman" w:cs="Times New Roman"/>
          <w:b/>
          <w:bCs/>
          <w:sz w:val="24"/>
          <w:szCs w:val="24"/>
        </w:rPr>
      </w:pPr>
    </w:p>
    <w:p w14:paraId="731F6470" w14:textId="77777777" w:rsidR="00FD3784" w:rsidRDefault="00FD3784" w:rsidP="00C57281">
      <w:pPr>
        <w:spacing w:line="360" w:lineRule="auto"/>
        <w:ind w:right="227"/>
        <w:contextualSpacing/>
        <w:rPr>
          <w:rFonts w:ascii="Times New Roman" w:hAnsi="Times New Roman" w:cs="Times New Roman"/>
          <w:b/>
          <w:bCs/>
          <w:sz w:val="24"/>
          <w:szCs w:val="24"/>
        </w:rPr>
      </w:pPr>
    </w:p>
    <w:p w14:paraId="0B38DF07" w14:textId="77777777" w:rsidR="00FD3784" w:rsidRDefault="00FD3784" w:rsidP="00C57281">
      <w:pPr>
        <w:spacing w:line="360" w:lineRule="auto"/>
        <w:ind w:right="227"/>
        <w:contextualSpacing/>
        <w:rPr>
          <w:rFonts w:ascii="Times New Roman" w:hAnsi="Times New Roman" w:cs="Times New Roman"/>
          <w:b/>
          <w:bCs/>
          <w:sz w:val="24"/>
          <w:szCs w:val="24"/>
        </w:rPr>
      </w:pPr>
    </w:p>
    <w:p w14:paraId="26778CC2" w14:textId="77777777" w:rsidR="00FD3784" w:rsidRDefault="00FD3784" w:rsidP="00C57281">
      <w:pPr>
        <w:spacing w:line="360" w:lineRule="auto"/>
        <w:ind w:right="227"/>
        <w:contextualSpacing/>
        <w:rPr>
          <w:rFonts w:ascii="Times New Roman" w:hAnsi="Times New Roman" w:cs="Times New Roman"/>
          <w:b/>
          <w:bCs/>
          <w:sz w:val="24"/>
          <w:szCs w:val="24"/>
        </w:rPr>
      </w:pPr>
    </w:p>
    <w:p w14:paraId="19E59C02" w14:textId="77777777" w:rsidR="00FD3784" w:rsidRDefault="00FD3784" w:rsidP="00C57281">
      <w:pPr>
        <w:spacing w:line="360" w:lineRule="auto"/>
        <w:ind w:right="227"/>
        <w:contextualSpacing/>
        <w:rPr>
          <w:rFonts w:ascii="Times New Roman" w:hAnsi="Times New Roman" w:cs="Times New Roman"/>
          <w:b/>
          <w:bCs/>
          <w:sz w:val="24"/>
          <w:szCs w:val="24"/>
        </w:rPr>
      </w:pPr>
    </w:p>
    <w:p w14:paraId="1E0F8CB9" w14:textId="77777777" w:rsidR="00FD3784" w:rsidRDefault="00FD3784" w:rsidP="00C57281">
      <w:pPr>
        <w:spacing w:line="360" w:lineRule="auto"/>
        <w:ind w:right="227"/>
        <w:contextualSpacing/>
        <w:rPr>
          <w:rFonts w:ascii="Times New Roman" w:hAnsi="Times New Roman" w:cs="Times New Roman"/>
          <w:b/>
          <w:bCs/>
          <w:sz w:val="24"/>
          <w:szCs w:val="24"/>
        </w:rPr>
      </w:pPr>
    </w:p>
    <w:p w14:paraId="04B96D5C" w14:textId="77777777" w:rsidR="00FD3784" w:rsidRDefault="00FD3784" w:rsidP="00C57281">
      <w:pPr>
        <w:spacing w:line="360" w:lineRule="auto"/>
        <w:ind w:right="227"/>
        <w:contextualSpacing/>
        <w:rPr>
          <w:rFonts w:ascii="Times New Roman" w:hAnsi="Times New Roman" w:cs="Times New Roman"/>
          <w:b/>
          <w:bCs/>
          <w:sz w:val="24"/>
          <w:szCs w:val="24"/>
        </w:rPr>
      </w:pPr>
    </w:p>
    <w:p w14:paraId="4D7A2A6E" w14:textId="77777777" w:rsidR="00FD3784" w:rsidRDefault="00FD3784" w:rsidP="00C57281">
      <w:pPr>
        <w:spacing w:line="360" w:lineRule="auto"/>
        <w:ind w:right="227"/>
        <w:contextualSpacing/>
        <w:rPr>
          <w:rFonts w:ascii="Times New Roman" w:hAnsi="Times New Roman" w:cs="Times New Roman"/>
          <w:b/>
          <w:bCs/>
          <w:sz w:val="24"/>
          <w:szCs w:val="24"/>
        </w:rPr>
      </w:pPr>
    </w:p>
    <w:p w14:paraId="29DA569B" w14:textId="77777777" w:rsidR="00FD3784" w:rsidRDefault="00FD3784" w:rsidP="00C57281">
      <w:pPr>
        <w:spacing w:line="360" w:lineRule="auto"/>
        <w:ind w:right="227"/>
        <w:contextualSpacing/>
        <w:rPr>
          <w:rFonts w:ascii="Times New Roman" w:hAnsi="Times New Roman" w:cs="Times New Roman"/>
          <w:b/>
          <w:bCs/>
          <w:sz w:val="24"/>
          <w:szCs w:val="24"/>
        </w:rPr>
      </w:pPr>
    </w:p>
    <w:p w14:paraId="07230F3C" w14:textId="77777777" w:rsidR="00FD3784" w:rsidRDefault="00FD3784" w:rsidP="00C57281">
      <w:pPr>
        <w:spacing w:line="360" w:lineRule="auto"/>
        <w:ind w:right="227"/>
        <w:contextualSpacing/>
        <w:rPr>
          <w:rFonts w:ascii="Times New Roman" w:hAnsi="Times New Roman" w:cs="Times New Roman"/>
          <w:b/>
          <w:bCs/>
          <w:sz w:val="24"/>
          <w:szCs w:val="24"/>
        </w:rPr>
      </w:pPr>
    </w:p>
    <w:p w14:paraId="57FDC16B" w14:textId="77777777" w:rsidR="00FD3784" w:rsidRDefault="00FD3784" w:rsidP="00C57281">
      <w:pPr>
        <w:spacing w:line="360" w:lineRule="auto"/>
        <w:ind w:right="227"/>
        <w:contextualSpacing/>
        <w:rPr>
          <w:rFonts w:ascii="Times New Roman" w:hAnsi="Times New Roman" w:cs="Times New Roman"/>
          <w:b/>
          <w:bCs/>
          <w:sz w:val="24"/>
          <w:szCs w:val="24"/>
        </w:rPr>
      </w:pPr>
    </w:p>
    <w:p w14:paraId="2E52B39B" w14:textId="77777777" w:rsidR="00FD3784" w:rsidRDefault="00FD3784" w:rsidP="00C57281">
      <w:pPr>
        <w:spacing w:line="360" w:lineRule="auto"/>
        <w:ind w:right="227"/>
        <w:contextualSpacing/>
        <w:rPr>
          <w:rFonts w:ascii="Times New Roman" w:hAnsi="Times New Roman" w:cs="Times New Roman"/>
          <w:b/>
          <w:bCs/>
          <w:sz w:val="24"/>
          <w:szCs w:val="24"/>
        </w:rPr>
      </w:pPr>
    </w:p>
    <w:p w14:paraId="49025798" w14:textId="77777777" w:rsidR="00FD3784" w:rsidRDefault="00FD3784" w:rsidP="00C57281">
      <w:pPr>
        <w:spacing w:line="360" w:lineRule="auto"/>
        <w:ind w:right="227"/>
        <w:contextualSpacing/>
        <w:rPr>
          <w:rFonts w:ascii="Times New Roman" w:hAnsi="Times New Roman" w:cs="Times New Roman"/>
          <w:b/>
          <w:bCs/>
          <w:sz w:val="24"/>
          <w:szCs w:val="24"/>
        </w:rPr>
      </w:pPr>
    </w:p>
    <w:p w14:paraId="35EC8926" w14:textId="77777777" w:rsidR="00FD3784" w:rsidRDefault="00FD3784" w:rsidP="00C57281">
      <w:pPr>
        <w:spacing w:line="360" w:lineRule="auto"/>
        <w:ind w:right="227"/>
        <w:contextualSpacing/>
        <w:rPr>
          <w:rFonts w:ascii="Times New Roman" w:hAnsi="Times New Roman" w:cs="Times New Roman"/>
          <w:b/>
          <w:bCs/>
          <w:sz w:val="24"/>
          <w:szCs w:val="24"/>
        </w:rPr>
      </w:pPr>
    </w:p>
    <w:p w14:paraId="65162692" w14:textId="77777777" w:rsidR="004F02EB" w:rsidRDefault="004F02EB" w:rsidP="004808EB">
      <w:pPr>
        <w:spacing w:line="360" w:lineRule="auto"/>
        <w:ind w:left="170" w:right="227" w:firstLine="170"/>
        <w:contextualSpacing/>
        <w:jc w:val="center"/>
        <w:rPr>
          <w:rFonts w:ascii="Times New Roman" w:hAnsi="Times New Roman" w:cs="Times New Roman"/>
          <w:b/>
          <w:bCs/>
          <w:sz w:val="24"/>
          <w:szCs w:val="24"/>
        </w:rPr>
      </w:pPr>
    </w:p>
    <w:p w14:paraId="10F6802B" w14:textId="51C1D887" w:rsidR="004808EB" w:rsidRDefault="004808EB" w:rsidP="004808EB">
      <w:pPr>
        <w:spacing w:line="360" w:lineRule="auto"/>
        <w:ind w:left="170" w:right="227" w:firstLine="170"/>
        <w:contextualSpacing/>
        <w:jc w:val="center"/>
        <w:rPr>
          <w:rFonts w:ascii="Times New Roman" w:hAnsi="Times New Roman" w:cs="Times New Roman"/>
          <w:b/>
          <w:bCs/>
          <w:sz w:val="24"/>
          <w:szCs w:val="24"/>
        </w:rPr>
      </w:pPr>
      <w:r>
        <w:rPr>
          <w:rFonts w:ascii="Times New Roman" w:hAnsi="Times New Roman" w:cs="Times New Roman"/>
          <w:b/>
          <w:bCs/>
          <w:sz w:val="24"/>
          <w:szCs w:val="24"/>
        </w:rPr>
        <w:t>IV CAPITOLO</w:t>
      </w:r>
    </w:p>
    <w:p w14:paraId="149CA3AA" w14:textId="4D7B72EB" w:rsidR="00B17ED8" w:rsidRDefault="00B17ED8" w:rsidP="004808EB">
      <w:pPr>
        <w:spacing w:line="360" w:lineRule="auto"/>
        <w:ind w:left="170" w:right="227" w:firstLine="170"/>
        <w:contextualSpacing/>
        <w:jc w:val="center"/>
        <w:rPr>
          <w:rFonts w:ascii="Times New Roman" w:hAnsi="Times New Roman" w:cs="Times New Roman"/>
          <w:b/>
          <w:bCs/>
          <w:sz w:val="24"/>
          <w:szCs w:val="24"/>
        </w:rPr>
      </w:pPr>
      <w:r w:rsidRPr="004F02EB">
        <w:rPr>
          <w:rFonts w:ascii="Times New Roman" w:hAnsi="Times New Roman" w:cs="Times New Roman"/>
          <w:b/>
          <w:bCs/>
          <w:i/>
          <w:iCs/>
          <w:sz w:val="24"/>
          <w:szCs w:val="24"/>
        </w:rPr>
        <w:t>Governance</w:t>
      </w:r>
      <w:r w:rsidRPr="00B17ED8">
        <w:rPr>
          <w:rFonts w:ascii="Times New Roman" w:hAnsi="Times New Roman" w:cs="Times New Roman"/>
          <w:b/>
          <w:bCs/>
          <w:sz w:val="24"/>
          <w:szCs w:val="24"/>
        </w:rPr>
        <w:t xml:space="preserve"> territoriale delle comunità energetiche rinnovabili: sussidiarietà, prossimità e aree idonee nella transizione energetica</w:t>
      </w:r>
    </w:p>
    <w:sdt>
      <w:sdtPr>
        <w:rPr>
          <w:rFonts w:ascii="Times New Roman" w:eastAsiaTheme="minorEastAsia" w:hAnsi="Times New Roman" w:cs="Times New Roman"/>
          <w:color w:val="auto"/>
          <w:sz w:val="24"/>
          <w:szCs w:val="24"/>
        </w:rPr>
        <w:id w:val="706605331"/>
        <w:docPartObj>
          <w:docPartGallery w:val="Table of Contents"/>
          <w:docPartUnique/>
        </w:docPartObj>
      </w:sdtPr>
      <w:sdtEndPr>
        <w:rPr>
          <w:b/>
          <w:bCs/>
        </w:rPr>
      </w:sdtEndPr>
      <w:sdtContent>
        <w:p w14:paraId="36D72A15" w14:textId="74B30DE6" w:rsidR="00B17ED8" w:rsidRPr="00B17ED8" w:rsidRDefault="00B17ED8" w:rsidP="00B17ED8">
          <w:pPr>
            <w:pStyle w:val="Titolosommario"/>
            <w:spacing w:line="240" w:lineRule="atLeast"/>
            <w:ind w:left="720" w:right="227"/>
            <w:jc w:val="both"/>
            <w:rPr>
              <w:rFonts w:ascii="Times New Roman" w:eastAsiaTheme="minorHAnsi" w:hAnsi="Times New Roman" w:cs="Times New Roman"/>
              <w:b/>
              <w:bCs/>
              <w:color w:val="auto"/>
              <w:sz w:val="22"/>
              <w:szCs w:val="22"/>
              <w:lang w:eastAsia="en-US"/>
            </w:rPr>
          </w:pPr>
          <w:r w:rsidRPr="005E42A2">
            <w:rPr>
              <w:rFonts w:ascii="Times New Roman" w:hAnsi="Times New Roman" w:cs="Times New Roman"/>
              <w:b/>
              <w:bCs/>
              <w:color w:val="auto"/>
              <w:sz w:val="20"/>
              <w:szCs w:val="20"/>
            </w:rPr>
            <w:t>Sommario</w:t>
          </w:r>
          <w:r w:rsidRPr="005E42A2">
            <w:rPr>
              <w:rFonts w:ascii="Times New Roman" w:hAnsi="Times New Roman" w:cs="Times New Roman"/>
              <w:b/>
              <w:bCs/>
              <w:color w:val="auto"/>
              <w:sz w:val="22"/>
              <w:szCs w:val="22"/>
            </w:rPr>
            <w:t>: 1</w:t>
          </w:r>
          <w:r w:rsidRPr="005E42A2">
            <w:rPr>
              <w:rFonts w:ascii="Times New Roman" w:eastAsiaTheme="minorHAnsi" w:hAnsi="Times New Roman" w:cs="Times New Roman"/>
              <w:b/>
              <w:bCs/>
              <w:color w:val="auto"/>
              <w:sz w:val="22"/>
              <w:szCs w:val="22"/>
              <w:lang w:eastAsia="en-US"/>
            </w:rPr>
            <w:t xml:space="preserve">. </w:t>
          </w:r>
          <w:r w:rsidRPr="00B17ED8">
            <w:rPr>
              <w:rFonts w:ascii="Times New Roman" w:eastAsiaTheme="minorHAnsi" w:hAnsi="Times New Roman" w:cs="Times New Roman"/>
              <w:b/>
              <w:bCs/>
              <w:color w:val="auto"/>
              <w:sz w:val="22"/>
              <w:szCs w:val="22"/>
              <w:lang w:eastAsia="en-US"/>
            </w:rPr>
            <w:t>Introduzione all’indagine: sussidiarietà verticale e orizzontale, pianificazione territoriale e ruolo dei Comuni nello sviluppo delle CER; 2. Il principio di prossimità territoriale nelle CER e la centralità della fase localizzativa degli impianti; 3. Le aree idonee nel d.lgs. 199/2021 e la trasformazione del modello di governo territoriale; 4. La riserva di procedimento amministrativo e la progressiva compressione della discrezionalità territoriale; 5.</w:t>
          </w:r>
          <w:r>
            <w:rPr>
              <w:rFonts w:ascii="Times New Roman" w:eastAsiaTheme="minorHAnsi" w:hAnsi="Times New Roman" w:cs="Times New Roman"/>
              <w:b/>
              <w:bCs/>
              <w:color w:val="auto"/>
              <w:sz w:val="22"/>
              <w:szCs w:val="22"/>
              <w:lang w:eastAsia="en-US"/>
            </w:rPr>
            <w:t xml:space="preserve"> </w:t>
          </w:r>
          <w:r w:rsidRPr="00B17ED8">
            <w:rPr>
              <w:rFonts w:ascii="Times New Roman" w:eastAsiaTheme="minorHAnsi" w:hAnsi="Times New Roman" w:cs="Times New Roman"/>
              <w:b/>
              <w:bCs/>
              <w:color w:val="auto"/>
              <w:sz w:val="22"/>
              <w:szCs w:val="22"/>
              <w:lang w:eastAsia="en-US"/>
            </w:rPr>
            <w:t>Verso la centralità del principio di massima diffusione e la ridefinizione della gerarchia degli interessi</w:t>
          </w:r>
          <w:r w:rsidR="008B51B3">
            <w:rPr>
              <w:rFonts w:ascii="Times New Roman" w:eastAsiaTheme="minorHAnsi" w:hAnsi="Times New Roman" w:cs="Times New Roman"/>
              <w:b/>
              <w:bCs/>
              <w:color w:val="auto"/>
              <w:sz w:val="22"/>
              <w:szCs w:val="22"/>
              <w:lang w:eastAsia="en-US"/>
            </w:rPr>
            <w:t xml:space="preserve">; </w:t>
          </w:r>
          <w:bookmarkStart w:id="53" w:name="_Hlk225289484"/>
          <w:r w:rsidR="008B51B3">
            <w:rPr>
              <w:rFonts w:ascii="Times New Roman" w:eastAsiaTheme="minorHAnsi" w:hAnsi="Times New Roman" w:cs="Times New Roman"/>
              <w:b/>
              <w:bCs/>
              <w:color w:val="auto"/>
              <w:sz w:val="22"/>
              <w:szCs w:val="22"/>
              <w:lang w:eastAsia="en-US"/>
            </w:rPr>
            <w:t>6. Casistica generale e bilancio complessivo.</w:t>
          </w:r>
        </w:p>
        <w:bookmarkEnd w:id="53"/>
        <w:p w14:paraId="6C2F2C24" w14:textId="412840D4" w:rsidR="00B17ED8" w:rsidRPr="005E42A2" w:rsidRDefault="00B17ED8" w:rsidP="00B17ED8">
          <w:pPr>
            <w:pStyle w:val="Titolosommario"/>
            <w:spacing w:line="240" w:lineRule="atLeast"/>
            <w:ind w:left="170" w:right="227" w:firstLine="170"/>
            <w:jc w:val="both"/>
            <w:rPr>
              <w:rFonts w:ascii="Times New Roman" w:hAnsi="Times New Roman" w:cs="Times New Roman"/>
              <w:b/>
              <w:bCs/>
              <w:sz w:val="22"/>
              <w:szCs w:val="22"/>
              <w:highlight w:val="yellow"/>
            </w:rPr>
          </w:pPr>
        </w:p>
        <w:p w14:paraId="68BD499A" w14:textId="77777777" w:rsidR="00B17ED8" w:rsidRPr="0081729D" w:rsidRDefault="00B17ED8" w:rsidP="00B17ED8">
          <w:pPr>
            <w:spacing w:line="240" w:lineRule="atLeast"/>
            <w:ind w:left="170" w:right="227" w:firstLine="170"/>
            <w:jc w:val="both"/>
            <w:rPr>
              <w:rFonts w:ascii="Times New Roman" w:hAnsi="Times New Roman" w:cs="Times New Roman"/>
              <w:sz w:val="24"/>
              <w:szCs w:val="24"/>
            </w:rPr>
          </w:pPr>
        </w:p>
        <w:p w14:paraId="53208943" w14:textId="7A419974" w:rsidR="004808EB" w:rsidRPr="004808EB" w:rsidRDefault="00471AD1" w:rsidP="00D44180">
          <w:pPr>
            <w:spacing w:line="240" w:lineRule="atLeast"/>
            <w:ind w:right="227"/>
            <w:jc w:val="both"/>
            <w:rPr>
              <w:rFonts w:ascii="Times New Roman" w:hAnsi="Times New Roman" w:cs="Times New Roman"/>
              <w:b/>
              <w:bCs/>
              <w:sz w:val="24"/>
              <w:szCs w:val="24"/>
            </w:rPr>
          </w:pPr>
        </w:p>
      </w:sdtContent>
    </w:sdt>
    <w:p w14:paraId="77E92D7B" w14:textId="37ABC139" w:rsidR="004808EB" w:rsidRPr="004808EB" w:rsidRDefault="004808EB" w:rsidP="004808EB">
      <w:pPr>
        <w:spacing w:line="360" w:lineRule="auto"/>
        <w:ind w:left="720" w:right="227"/>
        <w:contextualSpacing/>
        <w:jc w:val="both"/>
        <w:rPr>
          <w:rFonts w:ascii="Times New Roman" w:hAnsi="Times New Roman" w:cs="Times New Roman"/>
          <w:b/>
          <w:bCs/>
          <w:sz w:val="24"/>
          <w:szCs w:val="24"/>
        </w:rPr>
      </w:pPr>
    </w:p>
    <w:p w14:paraId="75E89D58" w14:textId="77777777" w:rsidR="004808EB" w:rsidRDefault="004808EB" w:rsidP="004808EB">
      <w:pPr>
        <w:spacing w:line="360" w:lineRule="auto"/>
        <w:ind w:left="170" w:right="227" w:firstLine="170"/>
        <w:contextualSpacing/>
        <w:jc w:val="both"/>
        <w:rPr>
          <w:rFonts w:ascii="Times New Roman" w:hAnsi="Times New Roman" w:cs="Times New Roman"/>
          <w:b/>
          <w:bCs/>
          <w:sz w:val="24"/>
          <w:szCs w:val="24"/>
        </w:rPr>
      </w:pPr>
    </w:p>
    <w:p w14:paraId="64BD31C0" w14:textId="77777777" w:rsidR="004808EB" w:rsidRPr="00B17ED8" w:rsidRDefault="004808EB" w:rsidP="00D44180">
      <w:pPr>
        <w:spacing w:line="360" w:lineRule="auto"/>
        <w:ind w:right="227"/>
        <w:contextualSpacing/>
        <w:jc w:val="both"/>
        <w:rPr>
          <w:rFonts w:ascii="Times New Roman" w:hAnsi="Times New Roman" w:cs="Times New Roman"/>
          <w:b/>
          <w:bCs/>
          <w:sz w:val="24"/>
          <w:szCs w:val="24"/>
        </w:rPr>
      </w:pPr>
    </w:p>
    <w:p w14:paraId="54864753" w14:textId="77777777"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r w:rsidRPr="00B17ED8">
        <w:rPr>
          <w:rFonts w:ascii="Times New Roman" w:hAnsi="Times New Roman" w:cs="Times New Roman"/>
          <w:b/>
          <w:bCs/>
          <w:sz w:val="24"/>
          <w:szCs w:val="24"/>
          <w:lang w:eastAsia="en-US"/>
        </w:rPr>
        <w:t>1.</w:t>
      </w:r>
      <w:r w:rsidRPr="00B17ED8">
        <w:rPr>
          <w:rFonts w:ascii="Times New Roman" w:hAnsi="Times New Roman" w:cs="Times New Roman"/>
          <w:b/>
          <w:bCs/>
          <w:sz w:val="24"/>
          <w:szCs w:val="24"/>
          <w:lang w:eastAsia="en-US"/>
        </w:rPr>
        <w:tab/>
        <w:t>Introduzione all’indagine: sussidiarietà verticale e orizzontale, pianificazione territoriale e ruolo dei Comuni nello sviluppo delle CER</w:t>
      </w:r>
    </w:p>
    <w:p w14:paraId="3E6B2DB8"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Nella presente sezione, l’indagine si concentra sull’evoluzione del principio di sussidiarietà, tanto nella sua dimensione verticale quanto in quella orizzontale, quale criterio ordinatore delle politiche europee e nazionali in materia di energia da fonti rinnovabili. L’obiettivo è verificare in che modo la transizione energetica, attraverso gli strumenti della pianificazione territoriale e urbanistica, abbia progressivamente inciso sul riparto delle competenze tra i diversi livelli di governo e sul grado di coinvolgimento delle comunità locali nei processi decisionali.</w:t>
      </w:r>
    </w:p>
    <w:p w14:paraId="30C5BB45"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Tale prospettiva richiede, in via preliminare, la ricostruzione del quadro costituzionale di riferimento, con particolare riguardo agli artt. 117 e 118 Cost., nonché l’analisi della normativa di settore e della giurisprudenza costituzionale che ha contribuito a definire i confini tra funzione </w:t>
      </w:r>
      <w:r w:rsidRPr="00B17ED8">
        <w:rPr>
          <w:rFonts w:ascii="Times New Roman" w:hAnsi="Times New Roman" w:cs="Times New Roman"/>
          <w:sz w:val="24"/>
          <w:szCs w:val="24"/>
          <w:lang w:eastAsia="en-US"/>
        </w:rPr>
        <w:lastRenderedPageBreak/>
        <w:t>legislativa, amministrativa e procedimentale nella materia energetica. In particolare, l’art. 117, comma 3, Cost. qualifica la “produzione, trasporto e distribuzione dell’energia” come materia di competenza concorrente, attribuendo allo Stato la determinazione dei principi fondamentali e alle Regioni l’esercizio della potestà legislativa nel rispetto dei vincoli europei.</w:t>
      </w:r>
    </w:p>
    <w:p w14:paraId="145B90C6" w14:textId="77777777" w:rsidR="00E54EB5"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La disciplina delle fonti rinnovabili si configura, infatti, come uno dei più significativi esempi di regolazione multilivello, in cui l’indirizzo normativo trae origine a livello sovranazionale, si sviluppa nell’ordinamento dell’Unione europea e trova attuazione negli ordinamenti nazionali e regionali secondo un paradigma di policentrismo normativo</w:t>
      </w:r>
      <w:r w:rsidR="00E54EB5">
        <w:rPr>
          <w:rFonts w:ascii="Times New Roman" w:hAnsi="Times New Roman" w:cs="Times New Roman"/>
          <w:sz w:val="24"/>
          <w:szCs w:val="24"/>
          <w:lang w:eastAsia="en-US"/>
        </w:rPr>
        <w:t xml:space="preserve"> e di semplificazione procedimentale</w:t>
      </w:r>
      <w:r w:rsidRPr="00B17ED8">
        <w:rPr>
          <w:rFonts w:ascii="Times New Roman" w:hAnsi="Times New Roman" w:cs="Times New Roman"/>
          <w:sz w:val="24"/>
          <w:szCs w:val="24"/>
          <w:lang w:eastAsia="en-US"/>
        </w:rPr>
        <w:t>.</w:t>
      </w:r>
      <w:r w:rsidR="00E54EB5">
        <w:rPr>
          <w:rStyle w:val="Rimandonotaapidipagina"/>
          <w:rFonts w:ascii="Times New Roman" w:hAnsi="Times New Roman" w:cs="Times New Roman"/>
          <w:sz w:val="24"/>
          <w:szCs w:val="24"/>
          <w:lang w:eastAsia="en-US"/>
        </w:rPr>
        <w:footnoteReference w:id="103"/>
      </w:r>
      <w:r w:rsidRPr="00B17ED8">
        <w:rPr>
          <w:rFonts w:ascii="Times New Roman" w:hAnsi="Times New Roman" w:cs="Times New Roman"/>
          <w:sz w:val="24"/>
          <w:szCs w:val="24"/>
          <w:lang w:eastAsia="en-US"/>
        </w:rPr>
        <w:t xml:space="preserve"> </w:t>
      </w:r>
    </w:p>
    <w:p w14:paraId="2CAE0E39" w14:textId="17CDA5F8"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tale contesto, l’Unione europea, nell’ambito della competenza concorrente in materia energetica ai sensi degli artt. 4, lett. i), e 194 TFUE, orienta l’azione degli Stati membri mediante la fissazione di obiettivi vincolanti in tema di decarbonizzazione, efficienza energetica e sviluppo delle fonti rinnovabili.</w:t>
      </w:r>
      <w:r w:rsidR="00E54EB5">
        <w:rPr>
          <w:rStyle w:val="Rimandonotaapidipagina"/>
          <w:rFonts w:ascii="Times New Roman" w:hAnsi="Times New Roman" w:cs="Times New Roman"/>
          <w:sz w:val="24"/>
          <w:szCs w:val="24"/>
          <w:lang w:eastAsia="en-US"/>
        </w:rPr>
        <w:footnoteReference w:id="104"/>
      </w:r>
    </w:p>
    <w:p w14:paraId="2C64777A" w14:textId="3A217EAD"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lastRenderedPageBreak/>
        <w:t xml:space="preserve">L’attuazione interna di tali obiettivi si innesta su un sistema complesso, che non si esaurisce nella dialettica Stato–Regioni, ma coinvolge in misura crescente anche gli enti locali. In particolare, i Comuni assumono un ruolo centrale nella fase attuativa della pianificazione territoriale e nella localizzazione degli impianti, in virtù del principio di sussidiarietà verticale di cui all’art. 118 Cost. e delle funzioni loro attribuite dal </w:t>
      </w:r>
      <w:r w:rsidR="00E54EB5">
        <w:rPr>
          <w:rFonts w:ascii="Times New Roman" w:hAnsi="Times New Roman" w:cs="Times New Roman"/>
          <w:sz w:val="24"/>
          <w:szCs w:val="24"/>
          <w:lang w:eastAsia="en-US"/>
        </w:rPr>
        <w:t>D</w:t>
      </w:r>
      <w:r w:rsidRPr="00B17ED8">
        <w:rPr>
          <w:rFonts w:ascii="Times New Roman" w:hAnsi="Times New Roman" w:cs="Times New Roman"/>
          <w:sz w:val="24"/>
          <w:szCs w:val="24"/>
          <w:lang w:eastAsia="en-US"/>
        </w:rPr>
        <w:t>.lgs. 267/2000. In quanto enti più prossimi ai cittadini e al tessuto socio-economico locale, essi si configurano come i soggetti istituzionali maggiormente idonei a promuovere forme di amministrazione condivisa e processi partecipativi, funzionali allo sviluppo delle comunità energetiche rinnovabili (CER).</w:t>
      </w:r>
    </w:p>
    <w:p w14:paraId="254843D6"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La diffusione dell’autoconsumo collettivo e delle CER presuppone, infatti, un forte radicamento territoriale, nonché il coinvolgimento attivo delle comunità locali, elementi che trovano nel livello comunale il loro naturale punto di convergenza. In tale prospettiva, la sussidiarietà orizzontale si manifesta nella valorizzazione dell’iniziativa dei cittadini, singoli e associati, nella produzione e gestione dell’energia, secondo modelli collaborativi che affiancano l’azione pubblica.</w:t>
      </w:r>
    </w:p>
    <w:p w14:paraId="0EFA8EB9" w14:textId="7F7D8ACE" w:rsidR="007913C7" w:rsidRDefault="004808EB" w:rsidP="007913C7">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Su questo assetto si innestano, tuttavia, le più recenti evoluzioni normative,</w:t>
      </w:r>
      <w:r w:rsidR="00E54EB5">
        <w:rPr>
          <w:rStyle w:val="Rimandonotaapidipagina"/>
          <w:rFonts w:ascii="Times New Roman" w:hAnsi="Times New Roman" w:cs="Times New Roman"/>
          <w:sz w:val="24"/>
          <w:szCs w:val="24"/>
          <w:lang w:eastAsia="en-US"/>
        </w:rPr>
        <w:footnoteReference w:id="105"/>
      </w:r>
      <w:r w:rsidRPr="00B17ED8">
        <w:rPr>
          <w:rFonts w:ascii="Times New Roman" w:hAnsi="Times New Roman" w:cs="Times New Roman"/>
          <w:sz w:val="24"/>
          <w:szCs w:val="24"/>
          <w:lang w:eastAsia="en-US"/>
        </w:rPr>
        <w:t xml:space="preserve"> che incidono profondamente sul rapporto tra pianificazione, procedimento e distribuzione delle competenze. In particolare, il </w:t>
      </w:r>
      <w:r w:rsidR="00E54EB5">
        <w:rPr>
          <w:rFonts w:ascii="Times New Roman" w:hAnsi="Times New Roman" w:cs="Times New Roman"/>
          <w:sz w:val="24"/>
          <w:szCs w:val="24"/>
          <w:lang w:eastAsia="en-US"/>
        </w:rPr>
        <w:t>D</w:t>
      </w:r>
      <w:r w:rsidRPr="00B17ED8">
        <w:rPr>
          <w:rFonts w:ascii="Times New Roman" w:hAnsi="Times New Roman" w:cs="Times New Roman"/>
          <w:sz w:val="24"/>
          <w:szCs w:val="24"/>
          <w:lang w:eastAsia="en-US"/>
        </w:rPr>
        <w:t>.lgs. 199/2021 introduce una significativa discontinuità rispetto al precedente modello delineato dalle Linee guida del 2010, attribuendo alla legge regionale l’individuazione delle aree idonee all’installazione degli impianti.</w:t>
      </w:r>
    </w:p>
    <w:p w14:paraId="3E0C2806" w14:textId="103D51DC" w:rsidR="004808EB" w:rsidRPr="00B17ED8" w:rsidRDefault="004808EB" w:rsidP="007913C7">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 </w:t>
      </w:r>
      <w:r w:rsidR="007913C7">
        <w:rPr>
          <w:rFonts w:ascii="Times New Roman" w:hAnsi="Times New Roman" w:cs="Times New Roman"/>
          <w:sz w:val="24"/>
          <w:szCs w:val="24"/>
          <w:lang w:eastAsia="en-US"/>
        </w:rPr>
        <w:t>C</w:t>
      </w:r>
      <w:r w:rsidR="00377C7E">
        <w:rPr>
          <w:rFonts w:ascii="Times New Roman" w:hAnsi="Times New Roman" w:cs="Times New Roman"/>
          <w:sz w:val="24"/>
          <w:szCs w:val="24"/>
          <w:lang w:eastAsia="en-US"/>
        </w:rPr>
        <w:t>ome vedremo,</w:t>
      </w:r>
      <w:r w:rsidRPr="00B17ED8">
        <w:rPr>
          <w:rFonts w:ascii="Times New Roman" w:hAnsi="Times New Roman" w:cs="Times New Roman"/>
          <w:sz w:val="24"/>
          <w:szCs w:val="24"/>
          <w:lang w:eastAsia="en-US"/>
        </w:rPr>
        <w:t xml:space="preserve"> </w:t>
      </w:r>
      <w:r w:rsidR="007913C7">
        <w:rPr>
          <w:rFonts w:ascii="Times New Roman" w:hAnsi="Times New Roman" w:cs="Times New Roman"/>
          <w:sz w:val="24"/>
          <w:szCs w:val="24"/>
          <w:lang w:eastAsia="en-US"/>
        </w:rPr>
        <w:t xml:space="preserve">questa impostazione </w:t>
      </w:r>
      <w:r w:rsidRPr="00B17ED8">
        <w:rPr>
          <w:rFonts w:ascii="Times New Roman" w:hAnsi="Times New Roman" w:cs="Times New Roman"/>
          <w:sz w:val="24"/>
          <w:szCs w:val="24"/>
          <w:lang w:eastAsia="en-US"/>
        </w:rPr>
        <w:t xml:space="preserve">segna il superamento della cosiddetta “riserva di procedimento”, elaborata dalla Corte costituzionale in connessione con l’art. 97 Cost., quale garanzia del bilanciamento tra interessi pubblici e privati all’interno di un’istruttoria trasparente </w:t>
      </w:r>
      <w:r w:rsidRPr="00B17ED8">
        <w:rPr>
          <w:rFonts w:ascii="Times New Roman" w:hAnsi="Times New Roman" w:cs="Times New Roman"/>
          <w:sz w:val="24"/>
          <w:szCs w:val="24"/>
          <w:lang w:eastAsia="en-US"/>
        </w:rPr>
        <w:lastRenderedPageBreak/>
        <w:t>e partecipata.</w:t>
      </w:r>
      <w:r w:rsidR="007913C7">
        <w:rPr>
          <w:rFonts w:ascii="Times New Roman" w:hAnsi="Times New Roman" w:cs="Times New Roman"/>
          <w:sz w:val="24"/>
          <w:szCs w:val="24"/>
          <w:lang w:eastAsia="en-US"/>
        </w:rPr>
        <w:t xml:space="preserve"> </w:t>
      </w:r>
      <w:r w:rsidRPr="00B17ED8">
        <w:rPr>
          <w:rFonts w:ascii="Times New Roman" w:hAnsi="Times New Roman" w:cs="Times New Roman"/>
          <w:sz w:val="24"/>
          <w:szCs w:val="24"/>
          <w:lang w:eastAsia="en-US"/>
        </w:rPr>
        <w:t xml:space="preserve">Il nuovo assetto determina, dunque, uno spostamento del baricentro decisionale: mentre l’individuazione delle aree idonee è rimessa alla fonte legislativa regionale, la valutazione degli interessi antagonisti viene relegata alla fase autorizzatoria dei singoli impianti. </w:t>
      </w:r>
      <w:r w:rsidR="007913C7">
        <w:rPr>
          <w:rFonts w:ascii="Times New Roman" w:hAnsi="Times New Roman" w:cs="Times New Roman"/>
          <w:sz w:val="24"/>
          <w:szCs w:val="24"/>
          <w:lang w:eastAsia="en-US"/>
        </w:rPr>
        <w:t>In un’ottica complessiva possiamo ritenere</w:t>
      </w:r>
      <w:r w:rsidRPr="00B17ED8">
        <w:rPr>
          <w:rFonts w:ascii="Times New Roman" w:hAnsi="Times New Roman" w:cs="Times New Roman"/>
          <w:sz w:val="24"/>
          <w:szCs w:val="24"/>
          <w:lang w:eastAsia="en-US"/>
        </w:rPr>
        <w:t xml:space="preserve"> </w:t>
      </w:r>
      <w:r w:rsidR="007913C7">
        <w:rPr>
          <w:rFonts w:ascii="Times New Roman" w:hAnsi="Times New Roman" w:cs="Times New Roman"/>
          <w:sz w:val="24"/>
          <w:szCs w:val="24"/>
          <w:lang w:eastAsia="en-US"/>
        </w:rPr>
        <w:t xml:space="preserve">detta </w:t>
      </w:r>
      <w:r w:rsidRPr="00B17ED8">
        <w:rPr>
          <w:rFonts w:ascii="Times New Roman" w:hAnsi="Times New Roman" w:cs="Times New Roman"/>
          <w:sz w:val="24"/>
          <w:szCs w:val="24"/>
          <w:lang w:eastAsia="en-US"/>
        </w:rPr>
        <w:t xml:space="preserve">scelta coerente </w:t>
      </w:r>
      <w:r w:rsidR="00DE77DB">
        <w:rPr>
          <w:rFonts w:ascii="Times New Roman" w:hAnsi="Times New Roman" w:cs="Times New Roman"/>
          <w:sz w:val="24"/>
          <w:szCs w:val="24"/>
          <w:lang w:eastAsia="en-US"/>
        </w:rPr>
        <w:t xml:space="preserve">– almeno - </w:t>
      </w:r>
      <w:r w:rsidRPr="00B17ED8">
        <w:rPr>
          <w:rFonts w:ascii="Times New Roman" w:hAnsi="Times New Roman" w:cs="Times New Roman"/>
          <w:sz w:val="24"/>
          <w:szCs w:val="24"/>
          <w:lang w:eastAsia="en-US"/>
        </w:rPr>
        <w:t>con l’urgenza degli obiettivi climatici europei</w:t>
      </w:r>
      <w:r w:rsidR="00DE77DB">
        <w:rPr>
          <w:rFonts w:ascii="Times New Roman" w:hAnsi="Times New Roman" w:cs="Times New Roman"/>
          <w:sz w:val="24"/>
          <w:szCs w:val="24"/>
          <w:lang w:eastAsia="en-US"/>
        </w:rPr>
        <w:t xml:space="preserve"> sebbene</w:t>
      </w:r>
      <w:r w:rsidRPr="00B17ED8">
        <w:rPr>
          <w:rFonts w:ascii="Times New Roman" w:hAnsi="Times New Roman" w:cs="Times New Roman"/>
          <w:sz w:val="24"/>
          <w:szCs w:val="24"/>
          <w:lang w:eastAsia="en-US"/>
        </w:rPr>
        <w:t xml:space="preserve"> suscettibile di incidere sulle garanzie partecipative e sul ruolo delle amministrazioni</w:t>
      </w:r>
      <w:r w:rsidR="00377C7E">
        <w:rPr>
          <w:rFonts w:ascii="Times New Roman" w:hAnsi="Times New Roman" w:cs="Times New Roman"/>
          <w:sz w:val="24"/>
          <w:szCs w:val="24"/>
          <w:lang w:eastAsia="en-US"/>
        </w:rPr>
        <w:t xml:space="preserve"> </w:t>
      </w:r>
      <w:r w:rsidR="007913C7">
        <w:rPr>
          <w:rFonts w:ascii="Times New Roman" w:hAnsi="Times New Roman" w:cs="Times New Roman"/>
          <w:sz w:val="24"/>
          <w:szCs w:val="24"/>
          <w:lang w:eastAsia="en-US"/>
        </w:rPr>
        <w:t>locali.</w:t>
      </w:r>
    </w:p>
    <w:p w14:paraId="736830DD" w14:textId="6F28D50A"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Tale impostazione risulta ulteriormente rafforzata dal</w:t>
      </w:r>
      <w:r w:rsidR="00377C7E">
        <w:rPr>
          <w:rFonts w:ascii="Times New Roman" w:hAnsi="Times New Roman" w:cs="Times New Roman"/>
          <w:sz w:val="24"/>
          <w:szCs w:val="24"/>
          <w:lang w:eastAsia="en-US"/>
        </w:rPr>
        <w:t>la successiva riforma, ossia, il</w:t>
      </w:r>
      <w:r w:rsidRPr="00B17ED8">
        <w:rPr>
          <w:rFonts w:ascii="Times New Roman" w:hAnsi="Times New Roman" w:cs="Times New Roman"/>
          <w:sz w:val="24"/>
          <w:szCs w:val="24"/>
          <w:lang w:eastAsia="en-US"/>
        </w:rPr>
        <w:t xml:space="preserve"> Testo Unico sulle fonti rinnovabili</w:t>
      </w:r>
      <w:r w:rsidR="00E54EB5">
        <w:rPr>
          <w:rFonts w:ascii="Times New Roman" w:hAnsi="Times New Roman" w:cs="Times New Roman"/>
          <w:sz w:val="24"/>
          <w:szCs w:val="24"/>
          <w:lang w:eastAsia="en-US"/>
        </w:rPr>
        <w:t>, il D</w:t>
      </w:r>
      <w:r w:rsidRPr="00B17ED8">
        <w:rPr>
          <w:rFonts w:ascii="Times New Roman" w:hAnsi="Times New Roman" w:cs="Times New Roman"/>
          <w:sz w:val="24"/>
          <w:szCs w:val="24"/>
          <w:lang w:eastAsia="en-US"/>
        </w:rPr>
        <w:t>.lgs. 190/2024</w:t>
      </w:r>
      <w:r w:rsidR="00E54EB5">
        <w:rPr>
          <w:rFonts w:ascii="Times New Roman" w:hAnsi="Times New Roman" w:cs="Times New Roman"/>
          <w:sz w:val="24"/>
          <w:szCs w:val="24"/>
          <w:lang w:eastAsia="en-US"/>
        </w:rPr>
        <w:t xml:space="preserve"> (anche “TU FER”</w:t>
      </w:r>
      <w:r w:rsidRPr="00B17ED8">
        <w:rPr>
          <w:rFonts w:ascii="Times New Roman" w:hAnsi="Times New Roman" w:cs="Times New Roman"/>
          <w:sz w:val="24"/>
          <w:szCs w:val="24"/>
          <w:lang w:eastAsia="en-US"/>
        </w:rPr>
        <w:t>),</w:t>
      </w:r>
      <w:r w:rsidR="00E54EB5">
        <w:rPr>
          <w:rStyle w:val="Rimandonotaapidipagina"/>
          <w:rFonts w:ascii="Times New Roman" w:hAnsi="Times New Roman" w:cs="Times New Roman"/>
          <w:sz w:val="24"/>
          <w:szCs w:val="24"/>
          <w:lang w:eastAsia="en-US"/>
        </w:rPr>
        <w:footnoteReference w:id="106"/>
      </w:r>
      <w:r w:rsidRPr="00B17ED8">
        <w:rPr>
          <w:rFonts w:ascii="Times New Roman" w:hAnsi="Times New Roman" w:cs="Times New Roman"/>
          <w:sz w:val="24"/>
          <w:szCs w:val="24"/>
          <w:lang w:eastAsia="en-US"/>
        </w:rPr>
        <w:t xml:space="preserve"> il quale, nel perseguire l’obiettivo della massima diffusione degli impianti FER</w:t>
      </w:r>
      <w:r w:rsidR="00DE77DB">
        <w:rPr>
          <w:rFonts w:ascii="Times New Roman" w:hAnsi="Times New Roman" w:cs="Times New Roman"/>
          <w:sz w:val="24"/>
          <w:szCs w:val="24"/>
          <w:lang w:eastAsia="en-US"/>
        </w:rPr>
        <w:t xml:space="preserve"> di impronta europeista</w:t>
      </w:r>
      <w:r w:rsidRPr="00B17ED8">
        <w:rPr>
          <w:rFonts w:ascii="Times New Roman" w:hAnsi="Times New Roman" w:cs="Times New Roman"/>
          <w:sz w:val="24"/>
          <w:szCs w:val="24"/>
          <w:lang w:eastAsia="en-US"/>
        </w:rPr>
        <w:t xml:space="preserve">, accentua i processi di semplificazione procedurale e amplia il novero delle aree considerate idonee, riducendo gli spazi di discrezionalità amministrativa, in particolare a livello </w:t>
      </w:r>
      <w:r w:rsidR="00DE77DB">
        <w:rPr>
          <w:rFonts w:ascii="Times New Roman" w:hAnsi="Times New Roman" w:cs="Times New Roman"/>
          <w:sz w:val="24"/>
          <w:szCs w:val="24"/>
          <w:lang w:eastAsia="en-US"/>
        </w:rPr>
        <w:t>comunal</w:t>
      </w:r>
      <w:r w:rsidRPr="00B17ED8">
        <w:rPr>
          <w:rFonts w:ascii="Times New Roman" w:hAnsi="Times New Roman" w:cs="Times New Roman"/>
          <w:sz w:val="24"/>
          <w:szCs w:val="24"/>
          <w:lang w:eastAsia="en-US"/>
        </w:rPr>
        <w:t>e.</w:t>
      </w:r>
      <w:r w:rsidR="00E54EB5">
        <w:rPr>
          <w:rStyle w:val="Rimandonotaapidipagina"/>
          <w:rFonts w:ascii="Times New Roman" w:hAnsi="Times New Roman" w:cs="Times New Roman"/>
          <w:sz w:val="24"/>
          <w:szCs w:val="24"/>
          <w:lang w:eastAsia="en-US"/>
        </w:rPr>
        <w:footnoteReference w:id="107"/>
      </w:r>
      <w:r w:rsidRPr="00B17ED8">
        <w:rPr>
          <w:rFonts w:ascii="Times New Roman" w:hAnsi="Times New Roman" w:cs="Times New Roman"/>
          <w:sz w:val="24"/>
          <w:szCs w:val="24"/>
          <w:lang w:eastAsia="en-US"/>
        </w:rPr>
        <w:t xml:space="preserve"> La </w:t>
      </w:r>
      <w:r w:rsidRPr="00B17ED8">
        <w:rPr>
          <w:rFonts w:ascii="Times New Roman" w:hAnsi="Times New Roman" w:cs="Times New Roman"/>
          <w:sz w:val="24"/>
          <w:szCs w:val="24"/>
          <w:lang w:eastAsia="en-US"/>
        </w:rPr>
        <w:lastRenderedPageBreak/>
        <w:t>pianificazione territoriale tende così a configurarsi non più come sede di composizione e bilanciamento degli interessi, bensì come strumento attuativo di obiettivi normativamente predefiniti.</w:t>
      </w:r>
      <w:r w:rsidR="00E54EB5">
        <w:rPr>
          <w:rStyle w:val="Rimandonotaapidipagina"/>
          <w:rFonts w:ascii="Times New Roman" w:hAnsi="Times New Roman" w:cs="Times New Roman"/>
          <w:sz w:val="24"/>
          <w:szCs w:val="24"/>
          <w:lang w:eastAsia="en-US"/>
        </w:rPr>
        <w:footnoteReference w:id="108"/>
      </w:r>
    </w:p>
    <w:p w14:paraId="7F278172" w14:textId="16B8065F"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tale contesto, il principio di sussidiarietà verticale assume una configurazione prevalentemente gerarchica: l’Unione europea definisce il quadro vincolante; lo Stato stabilisce criteri uniformi e obiettivi</w:t>
      </w:r>
      <w:r w:rsidR="00DE77DB">
        <w:rPr>
          <w:rFonts w:ascii="Times New Roman" w:hAnsi="Times New Roman" w:cs="Times New Roman"/>
          <w:sz w:val="24"/>
          <w:szCs w:val="24"/>
          <w:lang w:eastAsia="en-US"/>
        </w:rPr>
        <w:t xml:space="preserve">, a cascata, </w:t>
      </w:r>
      <w:r w:rsidRPr="00B17ED8">
        <w:rPr>
          <w:rFonts w:ascii="Times New Roman" w:hAnsi="Times New Roman" w:cs="Times New Roman"/>
          <w:sz w:val="24"/>
          <w:szCs w:val="24"/>
          <w:lang w:eastAsia="en-US"/>
        </w:rPr>
        <w:t>le Regioni sono chiamate a conformarsi in tempi rapidi</w:t>
      </w:r>
      <w:r w:rsidR="00DE77DB">
        <w:rPr>
          <w:rFonts w:ascii="Times New Roman" w:hAnsi="Times New Roman" w:cs="Times New Roman"/>
          <w:sz w:val="24"/>
          <w:szCs w:val="24"/>
          <w:lang w:eastAsia="en-US"/>
        </w:rPr>
        <w:t>, mentre</w:t>
      </w:r>
      <w:r w:rsidRPr="00B17ED8">
        <w:rPr>
          <w:rFonts w:ascii="Times New Roman" w:hAnsi="Times New Roman" w:cs="Times New Roman"/>
          <w:sz w:val="24"/>
          <w:szCs w:val="24"/>
          <w:lang w:eastAsia="en-US"/>
        </w:rPr>
        <w:t xml:space="preserve"> gli enti locali partecipano principalmente in chiave attuativa e procedurale. </w:t>
      </w:r>
      <w:r w:rsidR="00DE77DB">
        <w:rPr>
          <w:rFonts w:ascii="Times New Roman" w:hAnsi="Times New Roman" w:cs="Times New Roman"/>
          <w:sz w:val="24"/>
          <w:szCs w:val="24"/>
          <w:lang w:eastAsia="en-US"/>
        </w:rPr>
        <w:t>In questo quadro l</w:t>
      </w:r>
      <w:r w:rsidRPr="00B17ED8">
        <w:rPr>
          <w:rFonts w:ascii="Times New Roman" w:hAnsi="Times New Roman" w:cs="Times New Roman"/>
          <w:sz w:val="24"/>
          <w:szCs w:val="24"/>
          <w:lang w:eastAsia="en-US"/>
        </w:rPr>
        <w:t xml:space="preserve">a sussidiarietà </w:t>
      </w:r>
      <w:r w:rsidR="00DE77DB">
        <w:rPr>
          <w:rFonts w:ascii="Times New Roman" w:hAnsi="Times New Roman" w:cs="Times New Roman"/>
          <w:sz w:val="24"/>
          <w:szCs w:val="24"/>
          <w:lang w:eastAsia="en-US"/>
        </w:rPr>
        <w:t>sembrerebbe tradursi</w:t>
      </w:r>
      <w:r w:rsidRPr="00B17ED8">
        <w:rPr>
          <w:rFonts w:ascii="Times New Roman" w:hAnsi="Times New Roman" w:cs="Times New Roman"/>
          <w:sz w:val="24"/>
          <w:szCs w:val="24"/>
          <w:lang w:eastAsia="en-US"/>
        </w:rPr>
        <w:t>, pertanto, in un meccanismo di coordinamento funzionale alla realizzazione delle politiche climatiche, piuttosto che in un criterio di effettiva allocazione autonoma delle funzioni</w:t>
      </w:r>
      <w:r w:rsidR="00377C7E">
        <w:rPr>
          <w:rFonts w:ascii="Times New Roman" w:hAnsi="Times New Roman" w:cs="Times New Roman"/>
          <w:sz w:val="24"/>
          <w:szCs w:val="24"/>
          <w:lang w:eastAsia="en-US"/>
        </w:rPr>
        <w:t xml:space="preserve"> esercitate dalle amministrazioni più prossime ai cittadini</w:t>
      </w:r>
      <w:r w:rsidRPr="00B17ED8">
        <w:rPr>
          <w:rFonts w:ascii="Times New Roman" w:hAnsi="Times New Roman" w:cs="Times New Roman"/>
          <w:sz w:val="24"/>
          <w:szCs w:val="24"/>
          <w:lang w:eastAsia="en-US"/>
        </w:rPr>
        <w:t>.</w:t>
      </w:r>
    </w:p>
    <w:p w14:paraId="299DF9A9" w14:textId="2CC3D63F"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Più articolata appare, invece, la declinazione della sussidiarietà orizzontale</w:t>
      </w:r>
      <w:r w:rsidR="00377C7E">
        <w:rPr>
          <w:rFonts w:ascii="Times New Roman" w:hAnsi="Times New Roman" w:cs="Times New Roman"/>
          <w:sz w:val="24"/>
          <w:szCs w:val="24"/>
          <w:lang w:eastAsia="en-US"/>
        </w:rPr>
        <w:t>: s</w:t>
      </w:r>
      <w:r w:rsidRPr="00B17ED8">
        <w:rPr>
          <w:rFonts w:ascii="Times New Roman" w:hAnsi="Times New Roman" w:cs="Times New Roman"/>
          <w:sz w:val="24"/>
          <w:szCs w:val="24"/>
          <w:lang w:eastAsia="en-US"/>
        </w:rPr>
        <w:t>e, da un lato, il sistema incentiva l’iniziativa privata e collettiva – anche attraverso lo sviluppo delle CER – dall’altro lato, la riduzione degli spazi procedimentali partecipativi nella fase pianificatoria limita le possibilità di incidenza effettiva delle comunità locali nelle scelte localizzative. Le criticità emerse nella prassi applicativa, ad esempio in relazione all’agrivoltaico, evidenziano come l’assenza di un’istruttoria approfondita e partecipata possa generare tensioni tra esigenze di sviluppo energetico e tutela del territorio.</w:t>
      </w:r>
    </w:p>
    <w:p w14:paraId="2C7F9CFD" w14:textId="687DB0DF"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Ne deriva un modello nel quale l’interesse alla decarbonizzazione tende ad assumere carattere prevalente, mentre gli altri interessi costituzionalmente rilevanti trovano spazio principalmente nella fase autorizzatoria, con margini di intervento progressivamente ridotti. </w:t>
      </w:r>
      <w:r w:rsidR="00377C7E">
        <w:rPr>
          <w:rFonts w:ascii="Times New Roman" w:hAnsi="Times New Roman" w:cs="Times New Roman"/>
          <w:sz w:val="24"/>
          <w:szCs w:val="24"/>
          <w:lang w:eastAsia="en-US"/>
        </w:rPr>
        <w:t>In questo quadro, l</w:t>
      </w:r>
      <w:r w:rsidRPr="00B17ED8">
        <w:rPr>
          <w:rFonts w:ascii="Times New Roman" w:hAnsi="Times New Roman" w:cs="Times New Roman"/>
          <w:sz w:val="24"/>
          <w:szCs w:val="24"/>
          <w:lang w:eastAsia="en-US"/>
        </w:rPr>
        <w:t>a pianificazione territoriale</w:t>
      </w:r>
      <w:r w:rsidR="00377C7E">
        <w:rPr>
          <w:rFonts w:ascii="Times New Roman" w:hAnsi="Times New Roman" w:cs="Times New Roman"/>
          <w:sz w:val="24"/>
          <w:szCs w:val="24"/>
          <w:lang w:eastAsia="en-US"/>
        </w:rPr>
        <w:t xml:space="preserve"> - così come originariamente intesa a seguito della Riforma del Titolo </w:t>
      </w:r>
      <w:r w:rsidR="00377C7E">
        <w:rPr>
          <w:rFonts w:ascii="Times New Roman" w:hAnsi="Times New Roman" w:cs="Times New Roman"/>
          <w:sz w:val="24"/>
          <w:szCs w:val="24"/>
          <w:lang w:eastAsia="en-US"/>
        </w:rPr>
        <w:lastRenderedPageBreak/>
        <w:t>V-</w:t>
      </w:r>
      <w:r w:rsidRPr="00B17ED8">
        <w:rPr>
          <w:rFonts w:ascii="Times New Roman" w:hAnsi="Times New Roman" w:cs="Times New Roman"/>
          <w:sz w:val="24"/>
          <w:szCs w:val="24"/>
          <w:lang w:eastAsia="en-US"/>
        </w:rPr>
        <w:t xml:space="preserve"> perde la sua funzione originaria di sede del bilanciamento, per assumere quella di</w:t>
      </w:r>
      <w:r w:rsidR="00724709">
        <w:rPr>
          <w:rFonts w:ascii="Times New Roman" w:hAnsi="Times New Roman" w:cs="Times New Roman"/>
          <w:sz w:val="24"/>
          <w:szCs w:val="24"/>
          <w:lang w:eastAsia="en-US"/>
        </w:rPr>
        <w:t xml:space="preserve"> mero</w:t>
      </w:r>
      <w:r w:rsidRPr="00B17ED8">
        <w:rPr>
          <w:rFonts w:ascii="Times New Roman" w:hAnsi="Times New Roman" w:cs="Times New Roman"/>
          <w:sz w:val="24"/>
          <w:szCs w:val="24"/>
          <w:lang w:eastAsia="en-US"/>
        </w:rPr>
        <w:t xml:space="preserve"> strumento di attuazione di priorità definite a livello sovraordinato.</w:t>
      </w:r>
      <w:r w:rsidR="00E54EB5">
        <w:rPr>
          <w:rStyle w:val="Rimandonotaapidipagina"/>
          <w:rFonts w:ascii="Times New Roman" w:hAnsi="Times New Roman" w:cs="Times New Roman"/>
          <w:sz w:val="24"/>
          <w:szCs w:val="24"/>
          <w:lang w:eastAsia="en-US"/>
        </w:rPr>
        <w:footnoteReference w:id="109"/>
      </w:r>
    </w:p>
    <w:p w14:paraId="36B67286" w14:textId="21D93E8C"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L’indagine si propone, dunque, di ricostruire criticamente questo mutamento, verificando in che misura la trasformazione del principio di sussidiarietà incida sulla governance energetica locale e sul ruolo dei Comuni, nonché sulle prospettive di sviluppo delle comunità energetiche rinnovabili nel quadro dell</w:t>
      </w:r>
      <w:r w:rsidR="00724709">
        <w:rPr>
          <w:rFonts w:ascii="Times New Roman" w:hAnsi="Times New Roman" w:cs="Times New Roman"/>
          <w:sz w:val="24"/>
          <w:szCs w:val="24"/>
          <w:lang w:eastAsia="en-US"/>
        </w:rPr>
        <w:t>’</w:t>
      </w:r>
      <w:r w:rsidRPr="00B17ED8">
        <w:rPr>
          <w:rFonts w:ascii="Times New Roman" w:hAnsi="Times New Roman" w:cs="Times New Roman"/>
          <w:sz w:val="24"/>
          <w:szCs w:val="24"/>
          <w:lang w:eastAsia="en-US"/>
        </w:rPr>
        <w:t>a</w:t>
      </w:r>
      <w:r w:rsidR="00724709">
        <w:rPr>
          <w:rFonts w:ascii="Times New Roman" w:hAnsi="Times New Roman" w:cs="Times New Roman"/>
          <w:sz w:val="24"/>
          <w:szCs w:val="24"/>
          <w:lang w:eastAsia="en-US"/>
        </w:rPr>
        <w:t>ttuale normativa sulla</w:t>
      </w:r>
      <w:r w:rsidRPr="00B17ED8">
        <w:rPr>
          <w:rFonts w:ascii="Times New Roman" w:hAnsi="Times New Roman" w:cs="Times New Roman"/>
          <w:sz w:val="24"/>
          <w:szCs w:val="24"/>
          <w:lang w:eastAsia="en-US"/>
        </w:rPr>
        <w:t xml:space="preserve"> pianificazione territoriale.</w:t>
      </w:r>
    </w:p>
    <w:p w14:paraId="7DC1D991" w14:textId="77777777"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p>
    <w:p w14:paraId="105445A4" w14:textId="77777777"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r w:rsidRPr="00B17ED8">
        <w:rPr>
          <w:rFonts w:ascii="Times New Roman" w:hAnsi="Times New Roman" w:cs="Times New Roman"/>
          <w:b/>
          <w:bCs/>
          <w:sz w:val="24"/>
          <w:szCs w:val="24"/>
          <w:lang w:eastAsia="en-US"/>
        </w:rPr>
        <w:t>2.</w:t>
      </w:r>
      <w:r w:rsidRPr="00B17ED8">
        <w:rPr>
          <w:rFonts w:ascii="Times New Roman" w:hAnsi="Times New Roman" w:cs="Times New Roman"/>
          <w:b/>
          <w:bCs/>
          <w:sz w:val="24"/>
          <w:szCs w:val="24"/>
          <w:lang w:eastAsia="en-US"/>
        </w:rPr>
        <w:tab/>
        <w:t>Il principio di prossimità territoriale nelle CER e la centralità della fase localizzativa degli impianti</w:t>
      </w:r>
    </w:p>
    <w:p w14:paraId="0C005895" w14:textId="0580E9A7" w:rsidR="004808EB" w:rsidRPr="00B17ED8" w:rsidRDefault="00724709" w:rsidP="00724709">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In parte si è anticipato che, ne</w:t>
      </w:r>
      <w:r w:rsidR="004808EB" w:rsidRPr="00B17ED8">
        <w:rPr>
          <w:rFonts w:ascii="Times New Roman" w:hAnsi="Times New Roman" w:cs="Times New Roman"/>
          <w:sz w:val="24"/>
          <w:szCs w:val="24"/>
          <w:lang w:eastAsia="en-US"/>
        </w:rPr>
        <w:t>ll’ambito del processo di realizzazione delle comunità energetiche rinnovabili, accanto alla fase di costituzione del soggetto giuridico e a quella di accesso ai meccanismi incentivanti, assume rilievo centrale la fase di individuazione del sito e di pianificazione degli impianti, nella quale si manifesta in modo particolarmente evidente il ruolo dell’amministrazione comunale. È in tale fase, infatti, che si concretizza il raccordo tra dimensione energetica e governo del territorio, rendendo operativi i principi che informano la disciplina delle CER.</w:t>
      </w:r>
    </w:p>
    <w:p w14:paraId="045301DB" w14:textId="1AB172C2"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questo contesto si colloca il principio di prossimità territoriale, il quale, lungi dal costituire un mero criterio organizzativo delle configurazioni di autoconsumo collettivo, si configura come parametro giuridico sostanziale idoneo a incidere sull’intera architettura delle comunità energetiche. Esso</w:t>
      </w:r>
      <w:r w:rsidR="00724709">
        <w:rPr>
          <w:rFonts w:ascii="Times New Roman" w:hAnsi="Times New Roman" w:cs="Times New Roman"/>
          <w:sz w:val="24"/>
          <w:szCs w:val="24"/>
          <w:lang w:eastAsia="en-US"/>
        </w:rPr>
        <w:t>, infatti,</w:t>
      </w:r>
      <w:r w:rsidRPr="00B17ED8">
        <w:rPr>
          <w:rFonts w:ascii="Times New Roman" w:hAnsi="Times New Roman" w:cs="Times New Roman"/>
          <w:sz w:val="24"/>
          <w:szCs w:val="24"/>
          <w:lang w:eastAsia="en-US"/>
        </w:rPr>
        <w:t xml:space="preserve"> impone che la produzione e il consumo di energia avvengano all’interno di un ambito territoriale definito e c</w:t>
      </w:r>
      <w:r w:rsidR="00724709">
        <w:rPr>
          <w:rFonts w:ascii="Times New Roman" w:hAnsi="Times New Roman" w:cs="Times New Roman"/>
          <w:sz w:val="24"/>
          <w:szCs w:val="24"/>
          <w:lang w:eastAsia="en-US"/>
        </w:rPr>
        <w:t>ircoscritto</w:t>
      </w:r>
      <w:r w:rsidRPr="00B17ED8">
        <w:rPr>
          <w:rFonts w:ascii="Times New Roman" w:hAnsi="Times New Roman" w:cs="Times New Roman"/>
          <w:sz w:val="24"/>
          <w:szCs w:val="24"/>
          <w:lang w:eastAsia="en-US"/>
        </w:rPr>
        <w:t>, determinando una stretta correlazione tra ubicazione degli impianti, composizione della comunità e distribuzione dei benefici energetici ed economici.</w:t>
      </w:r>
    </w:p>
    <w:p w14:paraId="7F7AEB19" w14:textId="4FCB4003"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Ne deriva che la fase localizzativa assume una funzione qualificante e non surrogabile: la scelta del sito non rappresenta una mera opzione tecnico-discrezionale, ma costituisce una condizione giuridica essenziale per l’esistenza stessa della CER e per il perseguimento delle finalità ambientali, economiche e sociali ad essa assegnate, in coerenza con l’art. 31 del d.lgs. </w:t>
      </w:r>
      <w:r w:rsidRPr="00B17ED8">
        <w:rPr>
          <w:rFonts w:ascii="Times New Roman" w:hAnsi="Times New Roman" w:cs="Times New Roman"/>
          <w:sz w:val="24"/>
          <w:szCs w:val="24"/>
          <w:lang w:eastAsia="en-US"/>
        </w:rPr>
        <w:lastRenderedPageBreak/>
        <w:t>199/2021.</w:t>
      </w:r>
      <w:r w:rsidR="00724709">
        <w:rPr>
          <w:rStyle w:val="Rimandonotaapidipagina"/>
          <w:rFonts w:ascii="Times New Roman" w:hAnsi="Times New Roman" w:cs="Times New Roman"/>
          <w:sz w:val="24"/>
          <w:szCs w:val="24"/>
          <w:lang w:eastAsia="en-US"/>
        </w:rPr>
        <w:footnoteReference w:id="110"/>
      </w:r>
      <w:r w:rsidRPr="00B17ED8">
        <w:rPr>
          <w:rFonts w:ascii="Times New Roman" w:hAnsi="Times New Roman" w:cs="Times New Roman"/>
          <w:sz w:val="24"/>
          <w:szCs w:val="24"/>
          <w:lang w:eastAsia="en-US"/>
        </w:rPr>
        <w:t>Il rispetto del principio di prossimità implica, infatti, che gli impianti siano collocati entro un perimetro coerente con la distribuzione dei consumatori e con l’assetto della rete elettrica locale, con particolare riferimento alla cabina primaria.</w:t>
      </w:r>
    </w:p>
    <w:p w14:paraId="299A154B"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È proprio in questa fase che il Comune assume un ruolo centrale, sia quale soggetto promotore dell’iniziativa, sia quale eventuale partecipante alla comunità energetica. In quanto ente esponenziale della collettività territoriale e titolare delle funzioni di governo del territorio, il Comune si configura come il livello istituzionale più idoneo a garantire l’effettiva attuazione del principio di prossimità, attraverso la conoscenza delle specificità locali e l’integrazione tra pianificazione urbanistica, fabbisogni energetici e disponibilità delle superfici.</w:t>
      </w:r>
    </w:p>
    <w:p w14:paraId="172FB7CA"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La funzione comunale si esplica, in particolare, nell’attività di individuazione dei siti idonei, nella verifica delle compatibilità urbanistiche e paesaggistiche, nonché nell’orientamento delle scelte localizzative in coerenza con gli strumenti di pianificazione vigenti. In tal senso, la prossimità territoriale si configura quale espressione concreta del principio di sussidiarietà verticale, poiché attribuisce al livello di governo più vicino ai cittadini il compito di tradurre, in termini operativi, gli indirizzi normativi definiti a livello statale e regionale.</w:t>
      </w:r>
    </w:p>
    <w:p w14:paraId="1CAA762F"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Tuttavia, l’effettività di tale ruolo presuppone un adeguato rafforzamento della capacità amministrativa dei Comuni, sotto il profilo sia organizzativo sia tecnico. La gestione della fase localizzativa e, più in generale, della pianificazione energetica locale richiede infatti la disponibilità di competenze specialistiche, la strutturazione di unità organizzative dedicate e l’integrazione tra le diverse funzioni amministrative coinvolte, in particolare quelle attinenti alla gestione del patrimonio pubblico, alla pianificazione urbanistica e ai procedimenti autorizzatori.</w:t>
      </w:r>
    </w:p>
    <w:p w14:paraId="5284AC95"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In questa prospettiva, assume rilievo strategico la capacità dell’ente di acquisire, organizzare e utilizzare dati energetici e territoriali, al fine di orientare in modo consapevole le scelte pianificatorie. La conoscenza dei consumi energetici del territorio, delle caratteristiche del </w:t>
      </w:r>
      <w:r w:rsidRPr="00B17ED8">
        <w:rPr>
          <w:rFonts w:ascii="Times New Roman" w:hAnsi="Times New Roman" w:cs="Times New Roman"/>
          <w:sz w:val="24"/>
          <w:szCs w:val="24"/>
          <w:lang w:eastAsia="en-US"/>
        </w:rPr>
        <w:lastRenderedPageBreak/>
        <w:t>patrimonio edilizio e infrastrutturale, nonché della distribuzione degli impianti esistenti, costituisce un presupposto imprescindibile per la definizione di strategie efficaci di sviluppo delle CER e per la corretta individuazione dei siti.</w:t>
      </w:r>
    </w:p>
    <w:p w14:paraId="46DDC338"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Parimenti, l’elaborazione di strumenti di programmazione integrata, quali piani energetici locali o masterplan degli investimenti, consente di collocare le iniziative di autoproduzione e autoconsumo all’interno di una visione organica dello sviluppo territoriale, coordinandole con gli interventi di efficientamento energetico, con la riqualificazione del patrimonio pubblico e con le altre politiche settoriali. In tal modo, la pianificazione energetica diviene parte integrante della più ampia attività di governo del territorio.</w:t>
      </w:r>
    </w:p>
    <w:p w14:paraId="4497152F"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Il rafforzamento della struttura amministrativa e della capacità programmatoria del Comune assume, inoltre, una rilevanza che trascende la singola iniziativa progettuale, incidendo sulla capacità dell’ente di orientare il mercato locale e di promuovere modelli virtuosi di sviluppo energetico. Il Comune, infatti, non si limita a svolgere funzioni autorizzatorie o di gestione, ma può assumere un ruolo propulsivo, favorendo la diffusione di soluzioni tecnologiche innovative e la partecipazione attiva di cittadini e imprese.</w:t>
      </w:r>
    </w:p>
    <w:p w14:paraId="73147DBE"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tale quadro, la predisposizione di adeguati strumenti di comunicazione e coinvolgimento della cittadinanza si rivela essenziale per dare concreta attuazione al principio di sussidiarietà orizzontale, stimolando la partecipazione ai progetti di autoconsumo collettivo e rafforzando il radicamento territoriale delle comunità energetiche.</w:t>
      </w:r>
    </w:p>
    <w:p w14:paraId="7428E1C6" w14:textId="7E18D840"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definitiva, la fase di individuazione del sito e di pianificazione degli impianti si configura come il momento nel quale convergono le diverse dimensioni – giuridica, tecnica e territoriale – che caratterizzano le CER. In essa, il principio di prossimità territoriale trova la sua più compiuta espressione, trasformando il Comune da mero ambito di insediamento degli impianti a soggetto attivo e centrale nella promozione e realizzazione della transizione energetica a livello locale.</w:t>
      </w:r>
    </w:p>
    <w:p w14:paraId="1A2D0531" w14:textId="77777777" w:rsidR="00B17ED8" w:rsidRPr="00B17ED8" w:rsidRDefault="00B17ED8" w:rsidP="00B17ED8">
      <w:pPr>
        <w:spacing w:line="360" w:lineRule="auto"/>
        <w:ind w:left="170" w:right="227" w:firstLine="227"/>
        <w:contextualSpacing/>
        <w:jc w:val="both"/>
        <w:rPr>
          <w:rFonts w:ascii="Times New Roman" w:hAnsi="Times New Roman" w:cs="Times New Roman"/>
          <w:sz w:val="24"/>
          <w:szCs w:val="24"/>
          <w:lang w:eastAsia="en-US"/>
        </w:rPr>
      </w:pPr>
    </w:p>
    <w:p w14:paraId="5F6A5D97" w14:textId="6F8167AB"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r w:rsidRPr="00B17ED8">
        <w:rPr>
          <w:rFonts w:ascii="Times New Roman" w:hAnsi="Times New Roman" w:cs="Times New Roman"/>
          <w:b/>
          <w:bCs/>
          <w:sz w:val="24"/>
          <w:szCs w:val="24"/>
          <w:lang w:eastAsia="en-US"/>
        </w:rPr>
        <w:t>3.</w:t>
      </w:r>
      <w:r w:rsidRPr="00B17ED8">
        <w:rPr>
          <w:rFonts w:ascii="Times New Roman" w:hAnsi="Times New Roman" w:cs="Times New Roman"/>
          <w:b/>
          <w:bCs/>
          <w:sz w:val="24"/>
          <w:szCs w:val="24"/>
          <w:lang w:eastAsia="en-US"/>
        </w:rPr>
        <w:tab/>
        <w:t>Le aree idonee nel d.lgs. 199/2021 e la trasformazione del modello di governo territoriale</w:t>
      </w:r>
      <w:r w:rsidR="00B17ED8" w:rsidRPr="00B17ED8">
        <w:rPr>
          <w:rFonts w:ascii="Times New Roman" w:hAnsi="Times New Roman" w:cs="Times New Roman"/>
          <w:sz w:val="24"/>
          <w:szCs w:val="24"/>
          <w:lang w:eastAsia="en-US"/>
        </w:rPr>
        <w:t>.</w:t>
      </w:r>
    </w:p>
    <w:p w14:paraId="0E956305" w14:textId="0A3ABE65"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Le considerazioni svolte in ordine alla centralità della fase localizzativa e al ruolo del Comune nella concreta attuazione delle comunità energetiche rinnovabili consentono di cogliere con maggiore evidenza la portata innovativa del </w:t>
      </w:r>
      <w:r w:rsidR="003F40C8">
        <w:rPr>
          <w:rFonts w:ascii="Times New Roman" w:hAnsi="Times New Roman" w:cs="Times New Roman"/>
          <w:sz w:val="24"/>
          <w:szCs w:val="24"/>
          <w:lang w:eastAsia="en-US"/>
        </w:rPr>
        <w:t>D</w:t>
      </w:r>
      <w:r w:rsidRPr="00B17ED8">
        <w:rPr>
          <w:rFonts w:ascii="Times New Roman" w:hAnsi="Times New Roman" w:cs="Times New Roman"/>
          <w:sz w:val="24"/>
          <w:szCs w:val="24"/>
          <w:lang w:eastAsia="en-US"/>
        </w:rPr>
        <w:t>.</w:t>
      </w:r>
      <w:r w:rsidR="003F40C8">
        <w:rPr>
          <w:rFonts w:ascii="Times New Roman" w:hAnsi="Times New Roman" w:cs="Times New Roman"/>
          <w:sz w:val="24"/>
          <w:szCs w:val="24"/>
          <w:lang w:eastAsia="en-US"/>
        </w:rPr>
        <w:t xml:space="preserve"> L</w:t>
      </w:r>
      <w:r w:rsidRPr="00B17ED8">
        <w:rPr>
          <w:rFonts w:ascii="Times New Roman" w:hAnsi="Times New Roman" w:cs="Times New Roman"/>
          <w:sz w:val="24"/>
          <w:szCs w:val="24"/>
          <w:lang w:eastAsia="en-US"/>
        </w:rPr>
        <w:t>gs. 8 novembre 2021, n. 199, il quale</w:t>
      </w:r>
      <w:r w:rsidR="00E54EB5">
        <w:rPr>
          <w:rFonts w:ascii="Times New Roman" w:hAnsi="Times New Roman" w:cs="Times New Roman"/>
          <w:sz w:val="24"/>
          <w:szCs w:val="24"/>
          <w:lang w:eastAsia="en-US"/>
        </w:rPr>
        <w:t>, inizialmente,</w:t>
      </w:r>
      <w:r w:rsidRPr="00B17ED8">
        <w:rPr>
          <w:rFonts w:ascii="Times New Roman" w:hAnsi="Times New Roman" w:cs="Times New Roman"/>
          <w:sz w:val="24"/>
          <w:szCs w:val="24"/>
          <w:lang w:eastAsia="en-US"/>
        </w:rPr>
        <w:t xml:space="preserve"> </w:t>
      </w:r>
      <w:r w:rsidR="00E54EB5">
        <w:rPr>
          <w:rFonts w:ascii="Times New Roman" w:hAnsi="Times New Roman" w:cs="Times New Roman"/>
          <w:sz w:val="24"/>
          <w:szCs w:val="24"/>
          <w:lang w:eastAsia="en-US"/>
        </w:rPr>
        <w:t>era</w:t>
      </w:r>
      <w:r w:rsidR="00082D44">
        <w:rPr>
          <w:rFonts w:ascii="Times New Roman" w:hAnsi="Times New Roman" w:cs="Times New Roman"/>
          <w:sz w:val="24"/>
          <w:szCs w:val="24"/>
          <w:lang w:eastAsia="en-US"/>
        </w:rPr>
        <w:t xml:space="preserve"> intervenuto </w:t>
      </w:r>
      <w:r w:rsidRPr="00B17ED8">
        <w:rPr>
          <w:rFonts w:ascii="Times New Roman" w:hAnsi="Times New Roman" w:cs="Times New Roman"/>
          <w:sz w:val="24"/>
          <w:szCs w:val="24"/>
          <w:lang w:eastAsia="en-US"/>
        </w:rPr>
        <w:t>in modo incisivo sul sistema delle aree idonee, ridefinendo in profondità le modalità di governo territoriale delle fonti rinnovabili.</w:t>
      </w:r>
      <w:r w:rsidR="003F40C8">
        <w:rPr>
          <w:rStyle w:val="Rimandonotaapidipagina"/>
          <w:rFonts w:ascii="Times New Roman" w:hAnsi="Times New Roman" w:cs="Times New Roman"/>
          <w:sz w:val="24"/>
          <w:szCs w:val="24"/>
          <w:lang w:eastAsia="en-US"/>
        </w:rPr>
        <w:footnoteReference w:id="111"/>
      </w:r>
    </w:p>
    <w:p w14:paraId="14045F48" w14:textId="0C7E66E5"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lastRenderedPageBreak/>
        <w:t xml:space="preserve">Il decreto, adottato in attuazione della direttiva (UE) 2018/2001, </w:t>
      </w:r>
      <w:r w:rsidR="00082D44">
        <w:rPr>
          <w:rFonts w:ascii="Times New Roman" w:hAnsi="Times New Roman" w:cs="Times New Roman"/>
          <w:sz w:val="24"/>
          <w:szCs w:val="24"/>
          <w:lang w:eastAsia="en-US"/>
        </w:rPr>
        <w:t xml:space="preserve">ha </w:t>
      </w:r>
      <w:r w:rsidRPr="00B17ED8">
        <w:rPr>
          <w:rFonts w:ascii="Times New Roman" w:hAnsi="Times New Roman" w:cs="Times New Roman"/>
          <w:sz w:val="24"/>
          <w:szCs w:val="24"/>
          <w:lang w:eastAsia="en-US"/>
        </w:rPr>
        <w:t>segna</w:t>
      </w:r>
      <w:r w:rsidR="00082D44">
        <w:rPr>
          <w:rFonts w:ascii="Times New Roman" w:hAnsi="Times New Roman" w:cs="Times New Roman"/>
          <w:sz w:val="24"/>
          <w:szCs w:val="24"/>
          <w:lang w:eastAsia="en-US"/>
        </w:rPr>
        <w:t>to</w:t>
      </w:r>
      <w:r w:rsidRPr="00B17ED8">
        <w:rPr>
          <w:rFonts w:ascii="Times New Roman" w:hAnsi="Times New Roman" w:cs="Times New Roman"/>
          <w:sz w:val="24"/>
          <w:szCs w:val="24"/>
          <w:lang w:eastAsia="en-US"/>
        </w:rPr>
        <w:t xml:space="preserve"> infatti il superamento del modello procedimentale delineato dal previgente assetto normativo, introducendo un sistema nel quale la pianificazione delle aree idonee assume una funzione strategica e vincolata rispetto agli obiettivi di decarbonizzazione. In tale prospettiva, l’art. 20 demanda</w:t>
      </w:r>
      <w:r w:rsidR="00E54EB5">
        <w:rPr>
          <w:rFonts w:ascii="Times New Roman" w:hAnsi="Times New Roman" w:cs="Times New Roman"/>
          <w:sz w:val="24"/>
          <w:szCs w:val="24"/>
          <w:lang w:eastAsia="en-US"/>
        </w:rPr>
        <w:t>va</w:t>
      </w:r>
      <w:r w:rsidRPr="00B17ED8">
        <w:rPr>
          <w:rFonts w:ascii="Times New Roman" w:hAnsi="Times New Roman" w:cs="Times New Roman"/>
          <w:sz w:val="24"/>
          <w:szCs w:val="24"/>
          <w:lang w:eastAsia="en-US"/>
        </w:rPr>
        <w:t xml:space="preserve"> a decreti interministeriali – adottati previa intesa in sede di Conferenza unificata – la definizione dei criteri e dei principi direttivi per l’individuazione, da parte delle Regioni, delle aree idonee e non idonee all’installazione degli impianti.</w:t>
      </w:r>
      <w:r w:rsidR="00E54EB5">
        <w:rPr>
          <w:rStyle w:val="Rimandonotaapidipagina"/>
          <w:rFonts w:ascii="Times New Roman" w:hAnsi="Times New Roman" w:cs="Times New Roman"/>
          <w:sz w:val="24"/>
          <w:szCs w:val="24"/>
          <w:lang w:eastAsia="en-US"/>
        </w:rPr>
        <w:footnoteReference w:id="112"/>
      </w:r>
    </w:p>
    <w:p w14:paraId="06C803EF" w14:textId="6EE97019"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lastRenderedPageBreak/>
        <w:t>Già sotto questo profilo emerge una significativa cesura rispetto al passato: la ricognizione delle aree non è più affidata a un procedimento amministrativo fondato su istruttorie regionali, ma a un processo normativo articolato su più livelli, nel quale la legge regionale si colloca quale atto di attuazione di criteri previamente stabiliti a livello statale.</w:t>
      </w:r>
      <w:r w:rsidR="00E54EB5" w:rsidRPr="00E54EB5">
        <w:rPr>
          <w:rStyle w:val="Rimandonotaapidipagina"/>
          <w:rFonts w:ascii="Times New Roman" w:hAnsi="Times New Roman" w:cs="Times New Roman"/>
          <w:sz w:val="24"/>
          <w:szCs w:val="24"/>
          <w:lang w:eastAsia="en-US"/>
        </w:rPr>
        <w:t xml:space="preserve"> </w:t>
      </w:r>
      <w:r w:rsidR="00E54EB5">
        <w:rPr>
          <w:rStyle w:val="Rimandonotaapidipagina"/>
          <w:rFonts w:ascii="Times New Roman" w:hAnsi="Times New Roman" w:cs="Times New Roman"/>
          <w:sz w:val="24"/>
          <w:szCs w:val="24"/>
          <w:lang w:eastAsia="en-US"/>
        </w:rPr>
        <w:footnoteReference w:id="113"/>
      </w:r>
      <w:r w:rsidRPr="00B17ED8">
        <w:rPr>
          <w:rFonts w:ascii="Times New Roman" w:hAnsi="Times New Roman" w:cs="Times New Roman"/>
          <w:sz w:val="24"/>
          <w:szCs w:val="24"/>
          <w:lang w:eastAsia="en-US"/>
        </w:rPr>
        <w:t xml:space="preserve"> La discrezionalità regionale risulta, pertanto, fortemente conformata, non solo dai principi enunciati nei decreti attuativi, ma anche dagli obiettivi quantitativi fissati a livello nazionale ed europeo.</w:t>
      </w:r>
    </w:p>
    <w:p w14:paraId="424B92D5" w14:textId="456647D4"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In particolare, il sistema si innesta sul quadro programmatorio definito dal Piano Nazionale Integrato per l’Energia e il Clima (PNIEC), mentre la ripartizione degli obiettivi tra le Regioni è stata ulteriormente specificata </w:t>
      </w:r>
      <w:r w:rsidR="00087971">
        <w:rPr>
          <w:rFonts w:ascii="Times New Roman" w:hAnsi="Times New Roman" w:cs="Times New Roman"/>
          <w:sz w:val="24"/>
          <w:szCs w:val="24"/>
          <w:lang w:eastAsia="en-US"/>
        </w:rPr>
        <w:t xml:space="preserve">- successivamente - </w:t>
      </w:r>
      <w:r w:rsidRPr="00B17ED8">
        <w:rPr>
          <w:rFonts w:ascii="Times New Roman" w:hAnsi="Times New Roman" w:cs="Times New Roman"/>
          <w:sz w:val="24"/>
          <w:szCs w:val="24"/>
          <w:lang w:eastAsia="en-US"/>
        </w:rPr>
        <w:t>dal D.M. 21 giugno 2024. Ne deriva che l’individuazione delle aree idonee non costituisce più espressione di una scelta politico-territoriale autonoma, ma rappresenta il risultato di un’attività vincolata al raggiungimento di target energetici predeterminati. In caso di inerzia regionale, è altresì previsto l’esercizio del potere sostitutivo statale, a conferma della natura cogente del sistema.</w:t>
      </w:r>
    </w:p>
    <w:p w14:paraId="684CD942" w14:textId="5EDAA02D"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Il nuovo modello</w:t>
      </w:r>
      <w:r w:rsidR="00E54EB5">
        <w:rPr>
          <w:rFonts w:ascii="Times New Roman" w:hAnsi="Times New Roman" w:cs="Times New Roman"/>
          <w:sz w:val="24"/>
          <w:szCs w:val="24"/>
          <w:lang w:eastAsia="en-US"/>
        </w:rPr>
        <w:t xml:space="preserve"> –parzialmente riproposto nell’attuale TU FER -, </w:t>
      </w:r>
      <w:r w:rsidRPr="00B17ED8">
        <w:rPr>
          <w:rFonts w:ascii="Times New Roman" w:hAnsi="Times New Roman" w:cs="Times New Roman"/>
          <w:sz w:val="24"/>
          <w:szCs w:val="24"/>
          <w:lang w:eastAsia="en-US"/>
        </w:rPr>
        <w:t>si caratterizza</w:t>
      </w:r>
      <w:r w:rsidR="00E54EB5">
        <w:rPr>
          <w:rFonts w:ascii="Times New Roman" w:hAnsi="Times New Roman" w:cs="Times New Roman"/>
          <w:sz w:val="24"/>
          <w:szCs w:val="24"/>
          <w:lang w:eastAsia="en-US"/>
        </w:rPr>
        <w:t>va</w:t>
      </w:r>
      <w:r w:rsidRPr="00B17ED8">
        <w:rPr>
          <w:rFonts w:ascii="Times New Roman" w:hAnsi="Times New Roman" w:cs="Times New Roman"/>
          <w:sz w:val="24"/>
          <w:szCs w:val="24"/>
          <w:lang w:eastAsia="en-US"/>
        </w:rPr>
        <w:t xml:space="preserve"> per l’anticipazione del bilanciamento tra interessi pubblici</w:t>
      </w:r>
      <w:r w:rsidR="00082D44">
        <w:rPr>
          <w:rFonts w:ascii="Times New Roman" w:hAnsi="Times New Roman" w:cs="Times New Roman"/>
          <w:sz w:val="24"/>
          <w:szCs w:val="24"/>
          <w:lang w:eastAsia="en-US"/>
        </w:rPr>
        <w:t xml:space="preserve"> da realizzare, non più e </w:t>
      </w:r>
      <w:r w:rsidRPr="00B17ED8">
        <w:rPr>
          <w:rFonts w:ascii="Times New Roman" w:hAnsi="Times New Roman" w:cs="Times New Roman"/>
          <w:sz w:val="24"/>
          <w:szCs w:val="24"/>
          <w:lang w:eastAsia="en-US"/>
        </w:rPr>
        <w:t>prevalentemente</w:t>
      </w:r>
      <w:r w:rsidR="00082D44">
        <w:rPr>
          <w:rFonts w:ascii="Times New Roman" w:hAnsi="Times New Roman" w:cs="Times New Roman"/>
          <w:sz w:val="24"/>
          <w:szCs w:val="24"/>
          <w:lang w:eastAsia="en-US"/>
        </w:rPr>
        <w:t>,</w:t>
      </w:r>
      <w:r w:rsidRPr="00B17ED8">
        <w:rPr>
          <w:rFonts w:ascii="Times New Roman" w:hAnsi="Times New Roman" w:cs="Times New Roman"/>
          <w:sz w:val="24"/>
          <w:szCs w:val="24"/>
          <w:lang w:eastAsia="en-US"/>
        </w:rPr>
        <w:t xml:space="preserve"> nella sede del procedimento autorizzatorio, ma </w:t>
      </w:r>
      <w:r w:rsidR="00082D44">
        <w:rPr>
          <w:rFonts w:ascii="Times New Roman" w:hAnsi="Times New Roman" w:cs="Times New Roman"/>
          <w:sz w:val="24"/>
          <w:szCs w:val="24"/>
          <w:lang w:eastAsia="en-US"/>
        </w:rPr>
        <w:t xml:space="preserve">traslato </w:t>
      </w:r>
      <w:r w:rsidRPr="00B17ED8">
        <w:rPr>
          <w:rFonts w:ascii="Times New Roman" w:hAnsi="Times New Roman" w:cs="Times New Roman"/>
          <w:sz w:val="24"/>
          <w:szCs w:val="24"/>
          <w:lang w:eastAsia="en-US"/>
        </w:rPr>
        <w:t xml:space="preserve">nella fase programmatoria, nella quale concorrono le diverse amministrazioni competenti alla tutela degli interessi ambientali, paesaggistici, agricoli e culturali. Tuttavia, tale bilanciamento si svolge entro un perimetro rigidamente delimitato dalla necessità di garantire il conseguimento degli obiettivi di </w:t>
      </w:r>
      <w:r w:rsidRPr="00B17ED8">
        <w:rPr>
          <w:rFonts w:ascii="Times New Roman" w:hAnsi="Times New Roman" w:cs="Times New Roman"/>
          <w:sz w:val="24"/>
          <w:szCs w:val="24"/>
          <w:lang w:eastAsia="en-US"/>
        </w:rPr>
        <w:lastRenderedPageBreak/>
        <w:t>decarbonizzazione, espressamente richiamata dall’art. 20, comma 5, quale vincolo per le valutazioni territoriali.</w:t>
      </w:r>
    </w:p>
    <w:p w14:paraId="673797AF" w14:textId="7BD16A2E"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In questa prospettiva, l’interesse alla produzione di energia da fonti rinnovabili assume una posizione tendenzialmente prevalente, incidendo sulla stessa struttura della pianificazione territoriale. La qualificazione di un’area come idonea comporta una presunzione relativa di compatibilità, idonea a incidere significativamente sul successivo procedimento autorizzatorio, il quale risulta caratterizzato da forme di semplificazione e accelerazione, quali la riduzione dei termini, </w:t>
      </w:r>
      <w:r w:rsidRPr="00082D44">
        <w:rPr>
          <w:rFonts w:ascii="Times New Roman" w:hAnsi="Times New Roman" w:cs="Times New Roman"/>
          <w:sz w:val="24"/>
          <w:szCs w:val="24"/>
          <w:lang w:eastAsia="en-US"/>
        </w:rPr>
        <w:t>la non vincolatività del</w:t>
      </w:r>
      <w:r w:rsidR="00082D44" w:rsidRPr="00082D44">
        <w:rPr>
          <w:rFonts w:ascii="Times New Roman" w:hAnsi="Times New Roman" w:cs="Times New Roman"/>
          <w:sz w:val="24"/>
          <w:szCs w:val="24"/>
          <w:lang w:eastAsia="en-US"/>
        </w:rPr>
        <w:t xml:space="preserve"> (l’obbligatorio)</w:t>
      </w:r>
      <w:r w:rsidRPr="00082D44">
        <w:rPr>
          <w:rFonts w:ascii="Times New Roman" w:hAnsi="Times New Roman" w:cs="Times New Roman"/>
          <w:sz w:val="24"/>
          <w:szCs w:val="24"/>
          <w:lang w:eastAsia="en-US"/>
        </w:rPr>
        <w:t xml:space="preserve"> parere paesaggistico e l’attenuazione delle valutazioni discrezionali.</w:t>
      </w:r>
      <w:r w:rsidR="00E54EB5">
        <w:rPr>
          <w:rStyle w:val="Rimandonotaapidipagina"/>
          <w:rFonts w:ascii="Times New Roman" w:hAnsi="Times New Roman" w:cs="Times New Roman"/>
          <w:sz w:val="24"/>
          <w:szCs w:val="24"/>
          <w:lang w:eastAsia="en-US"/>
        </w:rPr>
        <w:footnoteReference w:id="114"/>
      </w:r>
    </w:p>
    <w:p w14:paraId="5AC30531" w14:textId="317D0BA6"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Parallelamente, il legislatore ha ampliato il novero delle aree idonee “ex lege”, includendovi, tra l’altro, siti già compromessi o destinati a usi produttivi, quali cave, discariche, aree industriali dismesse e immobili pubblici.</w:t>
      </w:r>
      <w:r w:rsidR="00E54EB5">
        <w:rPr>
          <w:rStyle w:val="Rimandonotaapidipagina"/>
          <w:rFonts w:ascii="Times New Roman" w:hAnsi="Times New Roman" w:cs="Times New Roman"/>
          <w:sz w:val="24"/>
          <w:szCs w:val="24"/>
          <w:lang w:eastAsia="en-US"/>
        </w:rPr>
        <w:footnoteReference w:id="115"/>
      </w:r>
      <w:r w:rsidRPr="00B17ED8">
        <w:rPr>
          <w:rFonts w:ascii="Times New Roman" w:hAnsi="Times New Roman" w:cs="Times New Roman"/>
          <w:sz w:val="24"/>
          <w:szCs w:val="24"/>
          <w:lang w:eastAsia="en-US"/>
        </w:rPr>
        <w:t xml:space="preserve"> Tale scelta conferma l’intento di favorire una rapida diffusione degli impianti, orientando la localizzazione verso ambiti territoriali ritenuti, in via presuntiva, maggiormente compatibili.</w:t>
      </w:r>
    </w:p>
    <w:p w14:paraId="06AB02DE" w14:textId="3D5E147D"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L’assetto che ne deriva è quello di una pianificazione fortemente centralizzata e gerarchicamente strutturata, nella quale la legge regionale opera quale strumento di attuazione vincolata, mentre il procedimento amministrativo è relegato a una funzione residuale di verifica delle incompatibilità puntuali</w:t>
      </w:r>
      <w:r w:rsidR="00087971">
        <w:rPr>
          <w:rFonts w:ascii="Times New Roman" w:hAnsi="Times New Roman" w:cs="Times New Roman"/>
          <w:sz w:val="24"/>
          <w:szCs w:val="24"/>
          <w:lang w:eastAsia="en-US"/>
        </w:rPr>
        <w:t>, a scapito di qualsivoglia forma di esercizio del potere discrezionale</w:t>
      </w:r>
      <w:r w:rsidRPr="00B17ED8">
        <w:rPr>
          <w:rFonts w:ascii="Times New Roman" w:hAnsi="Times New Roman" w:cs="Times New Roman"/>
          <w:sz w:val="24"/>
          <w:szCs w:val="24"/>
          <w:lang w:eastAsia="en-US"/>
        </w:rPr>
        <w:t xml:space="preserve">. In tal senso, il </w:t>
      </w:r>
      <w:r w:rsidR="00E54EB5">
        <w:rPr>
          <w:rFonts w:ascii="Times New Roman" w:hAnsi="Times New Roman" w:cs="Times New Roman"/>
          <w:sz w:val="24"/>
          <w:szCs w:val="24"/>
          <w:lang w:eastAsia="en-US"/>
        </w:rPr>
        <w:t>D</w:t>
      </w:r>
      <w:r w:rsidRPr="00B17ED8">
        <w:rPr>
          <w:rFonts w:ascii="Times New Roman" w:hAnsi="Times New Roman" w:cs="Times New Roman"/>
          <w:sz w:val="24"/>
          <w:szCs w:val="24"/>
          <w:lang w:eastAsia="en-US"/>
        </w:rPr>
        <w:t>.lgs. 199/2021 reinterpreta l’istituto delle aree idonee non più come limite alla diffusione degli impianti, bensì come strumento di accelerazione della transizione energetica, in linea con la progressiva qualificazione delle fonti rinnovabili quale interesse pubblico prevalente.</w:t>
      </w:r>
    </w:p>
    <w:p w14:paraId="6999BEDC" w14:textId="77777777"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p>
    <w:p w14:paraId="4A3BF150" w14:textId="3FA234B0"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r w:rsidRPr="00B17ED8">
        <w:rPr>
          <w:rFonts w:ascii="Times New Roman" w:hAnsi="Times New Roman" w:cs="Times New Roman"/>
          <w:b/>
          <w:bCs/>
          <w:sz w:val="24"/>
          <w:szCs w:val="24"/>
          <w:lang w:eastAsia="en-US"/>
        </w:rPr>
        <w:lastRenderedPageBreak/>
        <w:t>4.</w:t>
      </w:r>
      <w:r w:rsidRPr="00B17ED8">
        <w:rPr>
          <w:rFonts w:ascii="Times New Roman" w:hAnsi="Times New Roman" w:cs="Times New Roman"/>
          <w:b/>
          <w:bCs/>
          <w:sz w:val="24"/>
          <w:szCs w:val="24"/>
          <w:lang w:eastAsia="en-US"/>
        </w:rPr>
        <w:tab/>
      </w:r>
      <w:r w:rsidR="00087971">
        <w:rPr>
          <w:rFonts w:ascii="Times New Roman" w:hAnsi="Times New Roman" w:cs="Times New Roman"/>
          <w:b/>
          <w:bCs/>
          <w:sz w:val="24"/>
          <w:szCs w:val="24"/>
          <w:lang w:eastAsia="en-US"/>
        </w:rPr>
        <w:t>La</w:t>
      </w:r>
      <w:r w:rsidRPr="00B17ED8">
        <w:rPr>
          <w:rFonts w:ascii="Times New Roman" w:hAnsi="Times New Roman" w:cs="Times New Roman"/>
          <w:b/>
          <w:bCs/>
          <w:sz w:val="24"/>
          <w:szCs w:val="24"/>
          <w:lang w:eastAsia="en-US"/>
        </w:rPr>
        <w:t xml:space="preserve"> riserva di procedimento amministrativo e la progressiva compressione della discrezionalità territoriale</w:t>
      </w:r>
      <w:r w:rsidRPr="00B17ED8">
        <w:rPr>
          <w:rFonts w:ascii="Times New Roman" w:hAnsi="Times New Roman" w:cs="Times New Roman"/>
          <w:sz w:val="24"/>
          <w:szCs w:val="24"/>
          <w:lang w:eastAsia="en-US"/>
        </w:rPr>
        <w:t>.</w:t>
      </w:r>
    </w:p>
    <w:p w14:paraId="78A55969"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La portata innovativa del modello delineato dal d.lgs. 199/2021 emerge con particolare evidenza se confrontata con l’elaborazione giurisprudenziale che, negli anni precedenti, aveva progressivamente valorizzato la centralità del procedimento amministrativo quale sede privilegiata del bilanciamento tra interessi pubblici contrapposti.</w:t>
      </w:r>
    </w:p>
    <w:p w14:paraId="7A63F8B1" w14:textId="339DE7B3" w:rsidR="004808EB" w:rsidRPr="00B17ED8" w:rsidRDefault="004808EB" w:rsidP="00E54EB5">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tale contesto, la Corte costituzionale aveva elaborato il principio della c.d. “riserva di procedimento amministrativo”,</w:t>
      </w:r>
      <w:r w:rsidR="003F40C8">
        <w:rPr>
          <w:rStyle w:val="Rimandonotaapidipagina"/>
          <w:rFonts w:ascii="Times New Roman" w:hAnsi="Times New Roman" w:cs="Times New Roman"/>
          <w:sz w:val="24"/>
          <w:szCs w:val="24"/>
          <w:lang w:eastAsia="en-US"/>
        </w:rPr>
        <w:footnoteReference w:id="116"/>
      </w:r>
      <w:r w:rsidRPr="00B17ED8">
        <w:rPr>
          <w:rFonts w:ascii="Times New Roman" w:hAnsi="Times New Roman" w:cs="Times New Roman"/>
          <w:sz w:val="24"/>
          <w:szCs w:val="24"/>
          <w:lang w:eastAsia="en-US"/>
        </w:rPr>
        <w:t xml:space="preserve"> muovendo dalla considerazione che la localizzazione degli impianti da fonti rinnovabili implica valutazioni complesse, strettamente connesse alle caratteristiche concrete del territorio e, pertanto, non suscettibili di essere integralmente predeterminate in via legislativa</w:t>
      </w:r>
      <w:r w:rsidR="006346FF">
        <w:rPr>
          <w:rFonts w:ascii="Times New Roman" w:hAnsi="Times New Roman" w:cs="Times New Roman"/>
          <w:sz w:val="24"/>
          <w:szCs w:val="24"/>
          <w:lang w:eastAsia="en-US"/>
        </w:rPr>
        <w:t>, ciò coerentemente con la ratio del procedimento amministrativo e, correlativamente, con l’applicazione del principio di sussidiarietà</w:t>
      </w:r>
      <w:r w:rsidRPr="00B17ED8">
        <w:rPr>
          <w:rFonts w:ascii="Times New Roman" w:hAnsi="Times New Roman" w:cs="Times New Roman"/>
          <w:sz w:val="24"/>
          <w:szCs w:val="24"/>
          <w:lang w:eastAsia="en-US"/>
        </w:rPr>
        <w:t>.</w:t>
      </w:r>
      <w:r w:rsidR="00E54EB5">
        <w:rPr>
          <w:rFonts w:ascii="Times New Roman" w:hAnsi="Times New Roman" w:cs="Times New Roman"/>
          <w:sz w:val="24"/>
          <w:szCs w:val="24"/>
          <w:lang w:eastAsia="en-US"/>
        </w:rPr>
        <w:t xml:space="preserve"> </w:t>
      </w:r>
      <w:r w:rsidRPr="00B17ED8">
        <w:rPr>
          <w:rFonts w:ascii="Times New Roman" w:hAnsi="Times New Roman" w:cs="Times New Roman"/>
          <w:sz w:val="24"/>
          <w:szCs w:val="24"/>
          <w:lang w:eastAsia="en-US"/>
        </w:rPr>
        <w:t>Il bilanciamento tra interessi costituzionalmente rilevanti – quali la tutela del paesaggio, dell’ambiente, della salute e lo sviluppo delle fonti rinnovabili – richiedeva, secondo tale impostazione, lo svolgimento di un’istruttoria approfondita, improntata ai principi di partecipazione, trasparenza e contraddittorio</w:t>
      </w:r>
      <w:r w:rsidR="006346FF">
        <w:rPr>
          <w:rFonts w:ascii="Times New Roman" w:hAnsi="Times New Roman" w:cs="Times New Roman"/>
          <w:sz w:val="24"/>
          <w:szCs w:val="24"/>
          <w:lang w:eastAsia="en-US"/>
        </w:rPr>
        <w:t>, da valutare caso per caso, e non anche attraverso impianti normativi rigidi e standardizzati</w:t>
      </w:r>
      <w:r w:rsidRPr="00B17ED8">
        <w:rPr>
          <w:rFonts w:ascii="Times New Roman" w:hAnsi="Times New Roman" w:cs="Times New Roman"/>
          <w:sz w:val="24"/>
          <w:szCs w:val="24"/>
          <w:lang w:eastAsia="en-US"/>
        </w:rPr>
        <w:t>.</w:t>
      </w:r>
      <w:r w:rsidR="003E1306">
        <w:rPr>
          <w:rStyle w:val="Rimandonotaapidipagina"/>
          <w:rFonts w:ascii="Times New Roman" w:hAnsi="Times New Roman" w:cs="Times New Roman"/>
          <w:sz w:val="24"/>
          <w:szCs w:val="24"/>
          <w:lang w:eastAsia="en-US"/>
        </w:rPr>
        <w:footnoteReference w:id="117"/>
      </w:r>
    </w:p>
    <w:p w14:paraId="68489FB3" w14:textId="66E7B954" w:rsidR="004808EB" w:rsidRPr="00B17ED8" w:rsidRDefault="004808EB" w:rsidP="00E317F0">
      <w:pPr>
        <w:spacing w:line="360" w:lineRule="auto"/>
        <w:ind w:left="170" w:right="227" w:firstLine="227"/>
        <w:contextualSpacing/>
        <w:jc w:val="both"/>
        <w:rPr>
          <w:rFonts w:ascii="Times New Roman" w:hAnsi="Times New Roman" w:cs="Times New Roman"/>
          <w:sz w:val="24"/>
          <w:szCs w:val="24"/>
          <w:lang w:eastAsia="en-US"/>
        </w:rPr>
      </w:pPr>
      <w:r w:rsidRPr="005B21DA">
        <w:rPr>
          <w:rFonts w:ascii="Times New Roman" w:hAnsi="Times New Roman" w:cs="Times New Roman"/>
          <w:sz w:val="24"/>
          <w:szCs w:val="24"/>
          <w:lang w:eastAsia="en-US"/>
        </w:rPr>
        <w:lastRenderedPageBreak/>
        <w:t>In questo quadro,</w:t>
      </w:r>
      <w:r w:rsidR="006346FF" w:rsidRPr="005B21DA">
        <w:rPr>
          <w:rFonts w:ascii="Times New Roman" w:hAnsi="Times New Roman" w:cs="Times New Roman"/>
          <w:sz w:val="24"/>
          <w:szCs w:val="24"/>
          <w:lang w:eastAsia="en-US"/>
        </w:rPr>
        <w:t xml:space="preserve"> infatti,</w:t>
      </w:r>
      <w:r w:rsidRPr="005B21DA">
        <w:rPr>
          <w:rFonts w:ascii="Times New Roman" w:hAnsi="Times New Roman" w:cs="Times New Roman"/>
          <w:sz w:val="24"/>
          <w:szCs w:val="24"/>
          <w:lang w:eastAsia="en-US"/>
        </w:rPr>
        <w:t xml:space="preserve"> veniva riconosciuto un ruolo centrale </w:t>
      </w:r>
      <w:r w:rsidR="00E317F0" w:rsidRPr="005B21DA">
        <w:rPr>
          <w:rFonts w:ascii="Times New Roman" w:hAnsi="Times New Roman" w:cs="Times New Roman"/>
          <w:sz w:val="24"/>
          <w:szCs w:val="24"/>
          <w:lang w:eastAsia="en-US"/>
        </w:rPr>
        <w:t>anche a</w:t>
      </w:r>
      <w:r w:rsidRPr="005B21DA">
        <w:rPr>
          <w:rFonts w:ascii="Times New Roman" w:hAnsi="Times New Roman" w:cs="Times New Roman"/>
          <w:sz w:val="24"/>
          <w:szCs w:val="24"/>
          <w:lang w:eastAsia="en-US"/>
        </w:rPr>
        <w:t>gli enti locali, e in particolare a</w:t>
      </w:r>
      <w:r w:rsidR="00E317F0" w:rsidRPr="005B21DA">
        <w:rPr>
          <w:rFonts w:ascii="Times New Roman" w:hAnsi="Times New Roman" w:cs="Times New Roman"/>
          <w:sz w:val="24"/>
          <w:szCs w:val="24"/>
          <w:lang w:eastAsia="en-US"/>
        </w:rPr>
        <w:t>i</w:t>
      </w:r>
      <w:r w:rsidRPr="005B21DA">
        <w:rPr>
          <w:rFonts w:ascii="Times New Roman" w:hAnsi="Times New Roman" w:cs="Times New Roman"/>
          <w:sz w:val="24"/>
          <w:szCs w:val="24"/>
          <w:lang w:eastAsia="en-US"/>
        </w:rPr>
        <w:t xml:space="preserve"> Comuni, in attuazione del principio di sussidiarietà verticale di cui all’art. 118 Cost. La loro partecipazione al procedimento autorizzatorio,</w:t>
      </w:r>
      <w:r w:rsidR="00E317F0" w:rsidRPr="005B21DA">
        <w:rPr>
          <w:rStyle w:val="Rimandonotaapidipagina"/>
          <w:rFonts w:ascii="Times New Roman" w:hAnsi="Times New Roman" w:cs="Times New Roman"/>
          <w:sz w:val="24"/>
          <w:szCs w:val="24"/>
          <w:lang w:eastAsia="en-US"/>
        </w:rPr>
        <w:footnoteReference w:id="118"/>
      </w:r>
      <w:r w:rsidRPr="005B21DA">
        <w:rPr>
          <w:rFonts w:ascii="Times New Roman" w:hAnsi="Times New Roman" w:cs="Times New Roman"/>
          <w:sz w:val="24"/>
          <w:szCs w:val="24"/>
          <w:lang w:eastAsia="en-US"/>
        </w:rPr>
        <w:t xml:space="preserve"> segnatamente nell’ambito della conferenza di servizi, non era considerata meramente consultiva, ma costituiva una garanzia essenziale per la rappresentazione degli interessi territoriali e per l’effettiva applicazione del principio di prossimità.</w:t>
      </w:r>
    </w:p>
    <w:p w14:paraId="45238A8A" w14:textId="039B4EC7" w:rsidR="004808EB" w:rsidRPr="00B17ED8" w:rsidRDefault="004808EB" w:rsidP="00E317F0">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La discrezionalità tecnica dell’amministrazione – e segnatamente degli enti territoriali – veniva così elevata a elemento strutturale del sistema, quale presidio della legalità sostanziale e strumento indispensabile per assicurare decisioni ragionevoli</w:t>
      </w:r>
      <w:r w:rsidR="006346FF">
        <w:rPr>
          <w:rFonts w:ascii="Times New Roman" w:hAnsi="Times New Roman" w:cs="Times New Roman"/>
          <w:sz w:val="24"/>
          <w:szCs w:val="24"/>
          <w:lang w:eastAsia="en-US"/>
        </w:rPr>
        <w:t xml:space="preserve">, </w:t>
      </w:r>
      <w:r w:rsidRPr="00B17ED8">
        <w:rPr>
          <w:rFonts w:ascii="Times New Roman" w:hAnsi="Times New Roman" w:cs="Times New Roman"/>
          <w:sz w:val="24"/>
          <w:szCs w:val="24"/>
          <w:lang w:eastAsia="en-US"/>
        </w:rPr>
        <w:t>proporzionate</w:t>
      </w:r>
      <w:r w:rsidR="006346FF">
        <w:rPr>
          <w:rFonts w:ascii="Times New Roman" w:hAnsi="Times New Roman" w:cs="Times New Roman"/>
          <w:sz w:val="24"/>
          <w:szCs w:val="24"/>
          <w:lang w:eastAsia="en-US"/>
        </w:rPr>
        <w:t xml:space="preserve"> e coerenti con le istanze del territorio interessato</w:t>
      </w:r>
      <w:r w:rsidRPr="00B17ED8">
        <w:rPr>
          <w:rFonts w:ascii="Times New Roman" w:hAnsi="Times New Roman" w:cs="Times New Roman"/>
          <w:sz w:val="24"/>
          <w:szCs w:val="24"/>
          <w:lang w:eastAsia="en-US"/>
        </w:rPr>
        <w:t>. Tale impostazione trovava conferma anche in ambiti diversi ma analogamente caratterizzati da elevata complessità tecnico-scientifica, nei quali la Corte ha ribadito la necessità di affidare le scelte pubbliche a procedimenti amministrativi adeguatamente istruiti.</w:t>
      </w:r>
      <w:r w:rsidR="00472152">
        <w:rPr>
          <w:rStyle w:val="Rimandonotaapidipagina"/>
          <w:rFonts w:ascii="Times New Roman" w:hAnsi="Times New Roman" w:cs="Times New Roman"/>
          <w:sz w:val="24"/>
          <w:szCs w:val="24"/>
          <w:lang w:eastAsia="en-US"/>
        </w:rPr>
        <w:footnoteReference w:id="119"/>
      </w:r>
    </w:p>
    <w:p w14:paraId="7F86BB47" w14:textId="5E07E29D"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Il nuovo quadro normativo, tuttavia, segna un progressivo superamento di tale paradigma</w:t>
      </w:r>
      <w:r w:rsidR="00E54EB5">
        <w:rPr>
          <w:rFonts w:ascii="Times New Roman" w:hAnsi="Times New Roman" w:cs="Times New Roman"/>
          <w:sz w:val="24"/>
          <w:szCs w:val="24"/>
          <w:lang w:eastAsia="en-US"/>
        </w:rPr>
        <w:t>: l</w:t>
      </w:r>
      <w:r w:rsidRPr="00B17ED8">
        <w:rPr>
          <w:rFonts w:ascii="Times New Roman" w:hAnsi="Times New Roman" w:cs="Times New Roman"/>
          <w:sz w:val="24"/>
          <w:szCs w:val="24"/>
          <w:lang w:eastAsia="en-US"/>
        </w:rPr>
        <w:t>a centralità del procedimento amministrativo risulta ridimensionata a favore di una pianificazione normativa anticipata, nella quale il bilanciamento tra interessi è operato “a monte” dal legislatore statale</w:t>
      </w:r>
      <w:r w:rsidR="006346FF">
        <w:rPr>
          <w:rFonts w:ascii="Times New Roman" w:hAnsi="Times New Roman" w:cs="Times New Roman"/>
          <w:sz w:val="24"/>
          <w:szCs w:val="24"/>
          <w:lang w:eastAsia="en-US"/>
        </w:rPr>
        <w:t xml:space="preserve"> ed a prescindere dalle peculiarità territoriali</w:t>
      </w:r>
      <w:r w:rsidRPr="00B17ED8">
        <w:rPr>
          <w:rFonts w:ascii="Times New Roman" w:hAnsi="Times New Roman" w:cs="Times New Roman"/>
          <w:sz w:val="24"/>
          <w:szCs w:val="24"/>
          <w:lang w:eastAsia="en-US"/>
        </w:rPr>
        <w:t xml:space="preserve">, </w:t>
      </w:r>
      <w:r w:rsidR="006346FF">
        <w:rPr>
          <w:rFonts w:ascii="Times New Roman" w:hAnsi="Times New Roman" w:cs="Times New Roman"/>
          <w:sz w:val="24"/>
          <w:szCs w:val="24"/>
          <w:lang w:eastAsia="en-US"/>
        </w:rPr>
        <w:t xml:space="preserve">attraverso una asettica </w:t>
      </w:r>
      <w:r w:rsidRPr="00B17ED8">
        <w:rPr>
          <w:rFonts w:ascii="Times New Roman" w:hAnsi="Times New Roman" w:cs="Times New Roman"/>
          <w:sz w:val="24"/>
          <w:szCs w:val="24"/>
          <w:lang w:eastAsia="en-US"/>
        </w:rPr>
        <w:t>attu</w:t>
      </w:r>
      <w:r w:rsidR="006346FF">
        <w:rPr>
          <w:rFonts w:ascii="Times New Roman" w:hAnsi="Times New Roman" w:cs="Times New Roman"/>
          <w:sz w:val="24"/>
          <w:szCs w:val="24"/>
          <w:lang w:eastAsia="en-US"/>
        </w:rPr>
        <w:t>a</w:t>
      </w:r>
      <w:r w:rsidRPr="00B17ED8">
        <w:rPr>
          <w:rFonts w:ascii="Times New Roman" w:hAnsi="Times New Roman" w:cs="Times New Roman"/>
          <w:sz w:val="24"/>
          <w:szCs w:val="24"/>
          <w:lang w:eastAsia="en-US"/>
        </w:rPr>
        <w:t>zione degli indirizzi dell’ordinamento dell’Unione europea e degli obiettivi di decarbonizzazione.</w:t>
      </w:r>
      <w:r w:rsidR="00A0626E">
        <w:rPr>
          <w:rStyle w:val="Rimandonotaapidipagina"/>
          <w:rFonts w:ascii="Times New Roman" w:hAnsi="Times New Roman" w:cs="Times New Roman"/>
          <w:sz w:val="24"/>
          <w:szCs w:val="24"/>
          <w:lang w:eastAsia="en-US"/>
        </w:rPr>
        <w:footnoteReference w:id="120"/>
      </w:r>
    </w:p>
    <w:p w14:paraId="6ECB8941" w14:textId="16689C9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lastRenderedPageBreak/>
        <w:t xml:space="preserve">La riforma degli artt. 9 e 41 Cost., </w:t>
      </w:r>
      <w:r w:rsidR="00E54EB5">
        <w:rPr>
          <w:rFonts w:ascii="Times New Roman" w:hAnsi="Times New Roman" w:cs="Times New Roman"/>
          <w:sz w:val="24"/>
          <w:szCs w:val="24"/>
          <w:lang w:eastAsia="en-US"/>
        </w:rPr>
        <w:t xml:space="preserve">come abbiamo avuto già modo di verificare, </w:t>
      </w:r>
      <w:r w:rsidRPr="00B17ED8">
        <w:rPr>
          <w:rFonts w:ascii="Times New Roman" w:hAnsi="Times New Roman" w:cs="Times New Roman"/>
          <w:sz w:val="24"/>
          <w:szCs w:val="24"/>
          <w:lang w:eastAsia="en-US"/>
        </w:rPr>
        <w:t xml:space="preserve">ha rafforzato il rilievo costituzionale della tutela dell’ambiente anche nell’interesse delle future generazioni, unitamente alla crescente qualificazione delle fonti rinnovabili come interesse pubblico prevalente, </w:t>
      </w:r>
      <w:r w:rsidR="00E54EB5">
        <w:rPr>
          <w:rFonts w:ascii="Times New Roman" w:hAnsi="Times New Roman" w:cs="Times New Roman"/>
          <w:sz w:val="24"/>
          <w:szCs w:val="24"/>
          <w:lang w:eastAsia="en-US"/>
        </w:rPr>
        <w:t xml:space="preserve">contribuendo </w:t>
      </w:r>
      <w:r w:rsidRPr="00B17ED8">
        <w:rPr>
          <w:rFonts w:ascii="Times New Roman" w:hAnsi="Times New Roman" w:cs="Times New Roman"/>
          <w:sz w:val="24"/>
          <w:szCs w:val="24"/>
          <w:lang w:eastAsia="en-US"/>
        </w:rPr>
        <w:t xml:space="preserve">a giustificare tale spostamento. Ne </w:t>
      </w:r>
      <w:r w:rsidR="00E54EB5">
        <w:rPr>
          <w:rFonts w:ascii="Times New Roman" w:hAnsi="Times New Roman" w:cs="Times New Roman"/>
          <w:sz w:val="24"/>
          <w:szCs w:val="24"/>
          <w:lang w:eastAsia="en-US"/>
        </w:rPr>
        <w:t>ciò è disces</w:t>
      </w:r>
      <w:r w:rsidRPr="00B17ED8">
        <w:rPr>
          <w:rFonts w:ascii="Times New Roman" w:hAnsi="Times New Roman" w:cs="Times New Roman"/>
          <w:sz w:val="24"/>
          <w:szCs w:val="24"/>
          <w:lang w:eastAsia="en-US"/>
        </w:rPr>
        <w:t>a una progressiva compressione dello spazio tradizionalmente riservato alla discrezionalità amministrativa, con particolare incidenza sul ruolo degli enti territoriali.</w:t>
      </w:r>
      <w:r w:rsidR="00F95A01">
        <w:rPr>
          <w:rStyle w:val="Rimandonotaapidipagina"/>
          <w:rFonts w:ascii="Times New Roman" w:hAnsi="Times New Roman" w:cs="Times New Roman"/>
          <w:sz w:val="24"/>
          <w:szCs w:val="24"/>
          <w:lang w:eastAsia="en-US"/>
        </w:rPr>
        <w:footnoteReference w:id="121"/>
      </w:r>
    </w:p>
    <w:p w14:paraId="115D6333" w14:textId="6FCF392D"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lastRenderedPageBreak/>
        <w:t>In questo nuovo assetto, il procedimento amministrativo non scompare, ma muta funzione</w:t>
      </w:r>
      <w:r w:rsidR="00E54EB5">
        <w:rPr>
          <w:rFonts w:ascii="Times New Roman" w:hAnsi="Times New Roman" w:cs="Times New Roman"/>
          <w:sz w:val="24"/>
          <w:szCs w:val="24"/>
          <w:lang w:eastAsia="en-US"/>
        </w:rPr>
        <w:t xml:space="preserve"> atteso che,</w:t>
      </w:r>
      <w:r w:rsidRPr="00B17ED8">
        <w:rPr>
          <w:rFonts w:ascii="Times New Roman" w:hAnsi="Times New Roman" w:cs="Times New Roman"/>
          <w:sz w:val="24"/>
          <w:szCs w:val="24"/>
          <w:lang w:eastAsia="en-US"/>
        </w:rPr>
        <w:t xml:space="preserve"> da sede principale del bilanciamento, diviene strumento di verifica residuale delle condizioni localizzative e di gestione delle incompatibilità specifiche. Analogamente, il ruolo dei Comuni risulta ridefinito: pur continuando a rappresentare il livello di governo più prossimo al territorio e il principale promotore delle comunità energetiche rinnovabili, essi vedono ridursi gli spazi di incidenza nella determinazione delle scelte localizzative, ormai fortemente condizionate dalla pianificazione sovraordinata.</w:t>
      </w:r>
    </w:p>
    <w:p w14:paraId="46B3543F" w14:textId="79B8F94E"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proofErr w:type="spellStart"/>
      <w:r w:rsidRPr="00B17ED8">
        <w:rPr>
          <w:rFonts w:ascii="Times New Roman" w:hAnsi="Times New Roman" w:cs="Times New Roman"/>
          <w:sz w:val="24"/>
          <w:szCs w:val="24"/>
          <w:lang w:eastAsia="en-US"/>
        </w:rPr>
        <w:t>Si</w:t>
      </w:r>
      <w:r w:rsidR="006346FF">
        <w:rPr>
          <w:rFonts w:ascii="Times New Roman" w:hAnsi="Times New Roman" w:cs="Times New Roman"/>
          <w:sz w:val="24"/>
          <w:szCs w:val="24"/>
          <w:lang w:eastAsia="en-US"/>
        </w:rPr>
        <w:t>c</w:t>
      </w:r>
      <w:r w:rsidR="00E54EB5">
        <w:rPr>
          <w:rFonts w:ascii="Times New Roman" w:hAnsi="Times New Roman" w:cs="Times New Roman"/>
          <w:sz w:val="24"/>
          <w:szCs w:val="24"/>
          <w:lang w:eastAsia="en-US"/>
        </w:rPr>
        <w:t>c</w:t>
      </w:r>
      <w:r w:rsidR="006346FF">
        <w:rPr>
          <w:rFonts w:ascii="Times New Roman" w:hAnsi="Times New Roman" w:cs="Times New Roman"/>
          <w:sz w:val="24"/>
          <w:szCs w:val="24"/>
          <w:lang w:eastAsia="en-US"/>
        </w:rPr>
        <w:t>hè</w:t>
      </w:r>
      <w:proofErr w:type="spellEnd"/>
      <w:r w:rsidR="006346FF">
        <w:rPr>
          <w:rFonts w:ascii="Times New Roman" w:hAnsi="Times New Roman" w:cs="Times New Roman"/>
          <w:sz w:val="24"/>
          <w:szCs w:val="24"/>
          <w:lang w:eastAsia="en-US"/>
        </w:rPr>
        <w:t xml:space="preserve"> si è progressivamente</w:t>
      </w:r>
      <w:r w:rsidRPr="00B17ED8">
        <w:rPr>
          <w:rFonts w:ascii="Times New Roman" w:hAnsi="Times New Roman" w:cs="Times New Roman"/>
          <w:sz w:val="24"/>
          <w:szCs w:val="24"/>
          <w:lang w:eastAsia="en-US"/>
        </w:rPr>
        <w:t xml:space="preserve"> delinea</w:t>
      </w:r>
      <w:r w:rsidR="006346FF">
        <w:rPr>
          <w:rFonts w:ascii="Times New Roman" w:hAnsi="Times New Roman" w:cs="Times New Roman"/>
          <w:sz w:val="24"/>
          <w:szCs w:val="24"/>
          <w:lang w:eastAsia="en-US"/>
        </w:rPr>
        <w:t xml:space="preserve">to </w:t>
      </w:r>
      <w:r w:rsidRPr="00B17ED8">
        <w:rPr>
          <w:rFonts w:ascii="Times New Roman" w:hAnsi="Times New Roman" w:cs="Times New Roman"/>
          <w:sz w:val="24"/>
          <w:szCs w:val="24"/>
          <w:lang w:eastAsia="en-US"/>
        </w:rPr>
        <w:t>un modello di sussidiarietà “discendente”, nel quale</w:t>
      </w:r>
      <w:r w:rsidR="00196B80">
        <w:rPr>
          <w:rFonts w:ascii="Times New Roman" w:hAnsi="Times New Roman" w:cs="Times New Roman"/>
          <w:sz w:val="24"/>
          <w:szCs w:val="24"/>
          <w:lang w:eastAsia="en-US"/>
        </w:rPr>
        <w:t xml:space="preserve">, </w:t>
      </w:r>
      <w:r w:rsidRPr="00B17ED8">
        <w:rPr>
          <w:rFonts w:ascii="Times New Roman" w:hAnsi="Times New Roman" w:cs="Times New Roman"/>
          <w:sz w:val="24"/>
          <w:szCs w:val="24"/>
          <w:lang w:eastAsia="en-US"/>
        </w:rPr>
        <w:t>le decisioni fondamentali sono assunte ai livelli superiori dell’ordinamento</w:t>
      </w:r>
      <w:r w:rsidR="00196B80">
        <w:rPr>
          <w:rFonts w:ascii="Times New Roman" w:hAnsi="Times New Roman" w:cs="Times New Roman"/>
          <w:sz w:val="24"/>
          <w:szCs w:val="24"/>
          <w:lang w:eastAsia="en-US"/>
        </w:rPr>
        <w:t>,</w:t>
      </w:r>
      <w:r w:rsidRPr="00B17ED8">
        <w:rPr>
          <w:rFonts w:ascii="Times New Roman" w:hAnsi="Times New Roman" w:cs="Times New Roman"/>
          <w:sz w:val="24"/>
          <w:szCs w:val="24"/>
          <w:lang w:eastAsia="en-US"/>
        </w:rPr>
        <w:t xml:space="preserve"> mentre</w:t>
      </w:r>
      <w:r w:rsidR="00196B80">
        <w:rPr>
          <w:rFonts w:ascii="Times New Roman" w:hAnsi="Times New Roman" w:cs="Times New Roman"/>
          <w:sz w:val="24"/>
          <w:szCs w:val="24"/>
          <w:lang w:eastAsia="en-US"/>
        </w:rPr>
        <w:t>,</w:t>
      </w:r>
      <w:r w:rsidRPr="00B17ED8">
        <w:rPr>
          <w:rFonts w:ascii="Times New Roman" w:hAnsi="Times New Roman" w:cs="Times New Roman"/>
          <w:sz w:val="24"/>
          <w:szCs w:val="24"/>
          <w:lang w:eastAsia="en-US"/>
        </w:rPr>
        <w:t xml:space="preserve"> agli enti territoriali</w:t>
      </w:r>
      <w:r w:rsidR="00196B80">
        <w:rPr>
          <w:rFonts w:ascii="Times New Roman" w:hAnsi="Times New Roman" w:cs="Times New Roman"/>
          <w:sz w:val="24"/>
          <w:szCs w:val="24"/>
          <w:lang w:eastAsia="en-US"/>
        </w:rPr>
        <w:t>,</w:t>
      </w:r>
      <w:r w:rsidRPr="00B17ED8">
        <w:rPr>
          <w:rFonts w:ascii="Times New Roman" w:hAnsi="Times New Roman" w:cs="Times New Roman"/>
          <w:sz w:val="24"/>
          <w:szCs w:val="24"/>
          <w:lang w:eastAsia="en-US"/>
        </w:rPr>
        <w:t xml:space="preserve"> è affidata prevalentemente una funzione attuativa e di adattamento alle specificità locali. Tale trasformazione </w:t>
      </w:r>
      <w:r w:rsidR="00D53989">
        <w:rPr>
          <w:rFonts w:ascii="Times New Roman" w:hAnsi="Times New Roman" w:cs="Times New Roman"/>
          <w:sz w:val="24"/>
          <w:szCs w:val="24"/>
          <w:lang w:eastAsia="en-US"/>
        </w:rPr>
        <w:t>non può che inc</w:t>
      </w:r>
      <w:r w:rsidRPr="00B17ED8">
        <w:rPr>
          <w:rFonts w:ascii="Times New Roman" w:hAnsi="Times New Roman" w:cs="Times New Roman"/>
          <w:sz w:val="24"/>
          <w:szCs w:val="24"/>
          <w:lang w:eastAsia="en-US"/>
        </w:rPr>
        <w:t>ide direttamente anche sull’operatività del principio di prossimità territoriale: se, da un lato, esso continua a costituire il presupposto funzionale delle comunità energetiche rinnovabili, dall’altro, la sua concreta attuazione risulta sempre più mediata e condizionata dalle scelte pianificatorie operate a livello statale e regionale.</w:t>
      </w:r>
    </w:p>
    <w:p w14:paraId="68B3E1FB" w14:textId="71128824"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In questa tensione tra partecipazione locale e programmazione centralizzata si colloca, dunque, la sfida attuale della governance energetica</w:t>
      </w:r>
      <w:r w:rsidR="00196B80">
        <w:rPr>
          <w:rFonts w:ascii="Times New Roman" w:hAnsi="Times New Roman" w:cs="Times New Roman"/>
          <w:sz w:val="24"/>
          <w:szCs w:val="24"/>
          <w:lang w:eastAsia="en-US"/>
        </w:rPr>
        <w:t>, vale a dire,</w:t>
      </w:r>
      <w:r w:rsidRPr="00B17ED8">
        <w:rPr>
          <w:rFonts w:ascii="Times New Roman" w:hAnsi="Times New Roman" w:cs="Times New Roman"/>
          <w:sz w:val="24"/>
          <w:szCs w:val="24"/>
          <w:lang w:eastAsia="en-US"/>
        </w:rPr>
        <w:t xml:space="preserve"> garantire che l’accelerazione della transizione energetica non si traduca in una compressione eccessiva delle istanze territoriali, ma consenta, al contrario, di valorizzare il ruolo dei Comuni quali attori fondamentali per la realizzazione di modelli energetici inclusivi e radicati nel territorio, quali le comunità energetiche rinnovabili.</w:t>
      </w:r>
    </w:p>
    <w:p w14:paraId="7F7CBF65" w14:textId="77777777" w:rsidR="004808EB" w:rsidRPr="00B17ED8" w:rsidRDefault="004808EB" w:rsidP="00B17ED8">
      <w:pPr>
        <w:spacing w:line="360" w:lineRule="auto"/>
        <w:ind w:left="170" w:right="227" w:firstLine="227"/>
        <w:contextualSpacing/>
        <w:jc w:val="both"/>
        <w:rPr>
          <w:rFonts w:ascii="Times New Roman" w:hAnsi="Times New Roman" w:cs="Times New Roman"/>
          <w:b/>
          <w:bCs/>
          <w:sz w:val="24"/>
          <w:szCs w:val="24"/>
          <w:lang w:eastAsia="en-US"/>
        </w:rPr>
      </w:pPr>
    </w:p>
    <w:p w14:paraId="57F14601" w14:textId="50507851"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b/>
          <w:bCs/>
          <w:sz w:val="24"/>
          <w:szCs w:val="24"/>
          <w:lang w:eastAsia="en-US"/>
        </w:rPr>
        <w:t>5.</w:t>
      </w:r>
      <w:r w:rsidRPr="00B17ED8">
        <w:rPr>
          <w:rFonts w:ascii="Times New Roman" w:hAnsi="Times New Roman" w:cs="Times New Roman"/>
          <w:b/>
          <w:bCs/>
          <w:sz w:val="24"/>
          <w:szCs w:val="24"/>
          <w:lang w:eastAsia="en-US"/>
        </w:rPr>
        <w:tab/>
        <w:t>Verso la centralità del principio di massima diffusione e la ridefinizione della gerarchia degli interessi</w:t>
      </w:r>
      <w:r w:rsidR="00B17ED8" w:rsidRPr="00B17ED8">
        <w:rPr>
          <w:rFonts w:ascii="Times New Roman" w:hAnsi="Times New Roman" w:cs="Times New Roman"/>
          <w:sz w:val="24"/>
          <w:szCs w:val="24"/>
          <w:lang w:eastAsia="en-US"/>
        </w:rPr>
        <w:t>.</w:t>
      </w:r>
    </w:p>
    <w:p w14:paraId="5E177CD0" w14:textId="54F8AA24"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L’evoluzione normativa sin qui ricostruita trova il proprio punto di approdo nel D.M. 21 giugno 2024 e </w:t>
      </w:r>
      <w:r w:rsidR="00D53989">
        <w:rPr>
          <w:rFonts w:ascii="Times New Roman" w:hAnsi="Times New Roman" w:cs="Times New Roman"/>
          <w:sz w:val="24"/>
          <w:szCs w:val="24"/>
          <w:lang w:eastAsia="en-US"/>
        </w:rPr>
        <w:t xml:space="preserve">nel </w:t>
      </w:r>
      <w:r w:rsidR="00E54EB5">
        <w:rPr>
          <w:rFonts w:ascii="Times New Roman" w:hAnsi="Times New Roman" w:cs="Times New Roman"/>
          <w:sz w:val="24"/>
          <w:szCs w:val="24"/>
          <w:lang w:eastAsia="en-US"/>
        </w:rPr>
        <w:t>D</w:t>
      </w:r>
      <w:r w:rsidRPr="00B17ED8">
        <w:rPr>
          <w:rFonts w:ascii="Times New Roman" w:hAnsi="Times New Roman" w:cs="Times New Roman"/>
          <w:sz w:val="24"/>
          <w:szCs w:val="24"/>
          <w:lang w:eastAsia="en-US"/>
        </w:rPr>
        <w:t>.lgs. 190/2024</w:t>
      </w:r>
      <w:r w:rsidR="00E54EB5">
        <w:rPr>
          <w:rFonts w:ascii="Times New Roman" w:hAnsi="Times New Roman" w:cs="Times New Roman"/>
          <w:sz w:val="24"/>
          <w:szCs w:val="24"/>
          <w:lang w:eastAsia="en-US"/>
        </w:rPr>
        <w:t>,</w:t>
      </w:r>
      <w:r w:rsidRPr="00B17ED8">
        <w:rPr>
          <w:rFonts w:ascii="Times New Roman" w:hAnsi="Times New Roman" w:cs="Times New Roman"/>
          <w:sz w:val="24"/>
          <w:szCs w:val="24"/>
          <w:lang w:eastAsia="en-US"/>
        </w:rPr>
        <w:t xml:space="preserve"> che rappresentano non soltanto un intervento di riordino della disciplina autorizzatoria, ma il consolidamento di un vero e proprio mutamento di paradigma nella governance energetica multilivello. In tale assetto, il principio di massima diffusione delle fonti rinnovabili assume una funzione ordinante dell’intero sistema, incidendo in modo diretto sulla configurazione dei rapporti tra pianificazione territoriale, tutela degli interessi costituzionali</w:t>
      </w:r>
      <w:r w:rsidR="00080127">
        <w:rPr>
          <w:rStyle w:val="Rimandonotaapidipagina"/>
          <w:rFonts w:ascii="Times New Roman" w:hAnsi="Times New Roman" w:cs="Times New Roman"/>
          <w:sz w:val="24"/>
          <w:szCs w:val="24"/>
          <w:lang w:eastAsia="en-US"/>
        </w:rPr>
        <w:footnoteReference w:id="122"/>
      </w:r>
      <w:r w:rsidRPr="00B17ED8">
        <w:rPr>
          <w:rFonts w:ascii="Times New Roman" w:hAnsi="Times New Roman" w:cs="Times New Roman"/>
          <w:sz w:val="24"/>
          <w:szCs w:val="24"/>
          <w:lang w:eastAsia="en-US"/>
        </w:rPr>
        <w:t xml:space="preserve"> e discrezionalità amministrativa.</w:t>
      </w:r>
    </w:p>
    <w:p w14:paraId="461C1958" w14:textId="7BD9E521"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lastRenderedPageBreak/>
        <w:t xml:space="preserve">Il Testo Unico FER recepisce e sistematizza le direttrici già tracciate dal d.lgs. 199/2021, inserendole in un quadro organico ispirato al modello europeo delle c.d. </w:t>
      </w:r>
      <w:proofErr w:type="spellStart"/>
      <w:r w:rsidRPr="00E54EB5">
        <w:rPr>
          <w:rFonts w:ascii="Times New Roman" w:hAnsi="Times New Roman" w:cs="Times New Roman"/>
          <w:i/>
          <w:iCs/>
          <w:sz w:val="24"/>
          <w:szCs w:val="24"/>
          <w:lang w:eastAsia="en-US"/>
        </w:rPr>
        <w:t>renewables</w:t>
      </w:r>
      <w:proofErr w:type="spellEnd"/>
      <w:r w:rsidRPr="00E54EB5">
        <w:rPr>
          <w:rFonts w:ascii="Times New Roman" w:hAnsi="Times New Roman" w:cs="Times New Roman"/>
          <w:i/>
          <w:iCs/>
          <w:sz w:val="24"/>
          <w:szCs w:val="24"/>
          <w:lang w:eastAsia="en-US"/>
        </w:rPr>
        <w:t xml:space="preserve"> </w:t>
      </w:r>
      <w:proofErr w:type="spellStart"/>
      <w:r w:rsidRPr="00E54EB5">
        <w:rPr>
          <w:rFonts w:ascii="Times New Roman" w:hAnsi="Times New Roman" w:cs="Times New Roman"/>
          <w:i/>
          <w:iCs/>
          <w:sz w:val="24"/>
          <w:szCs w:val="24"/>
          <w:lang w:eastAsia="en-US"/>
        </w:rPr>
        <w:t>acceleration</w:t>
      </w:r>
      <w:proofErr w:type="spellEnd"/>
      <w:r w:rsidRPr="00E54EB5">
        <w:rPr>
          <w:rFonts w:ascii="Times New Roman" w:hAnsi="Times New Roman" w:cs="Times New Roman"/>
          <w:i/>
          <w:iCs/>
          <w:sz w:val="24"/>
          <w:szCs w:val="24"/>
          <w:lang w:eastAsia="en-US"/>
        </w:rPr>
        <w:t xml:space="preserve"> </w:t>
      </w:r>
      <w:proofErr w:type="spellStart"/>
      <w:r w:rsidRPr="00E54EB5">
        <w:rPr>
          <w:rFonts w:ascii="Times New Roman" w:hAnsi="Times New Roman" w:cs="Times New Roman"/>
          <w:i/>
          <w:iCs/>
          <w:sz w:val="24"/>
          <w:szCs w:val="24"/>
          <w:lang w:eastAsia="en-US"/>
        </w:rPr>
        <w:t>areas</w:t>
      </w:r>
      <w:proofErr w:type="spellEnd"/>
      <w:r w:rsidRPr="00B17ED8">
        <w:rPr>
          <w:rFonts w:ascii="Times New Roman" w:hAnsi="Times New Roman" w:cs="Times New Roman"/>
          <w:sz w:val="24"/>
          <w:szCs w:val="24"/>
          <w:lang w:eastAsia="en-US"/>
        </w:rPr>
        <w:t>. La disciplina autorizzatoria viene razionalizzata attraverso una tipizzazione graduata dei titoli abilitativi – dall’edilizia libera, alla Procedura Abilitativa Semplificata (PAS), fino all’Autorizzazione Unica (AU)</w:t>
      </w:r>
      <w:r w:rsidR="00DD489A">
        <w:rPr>
          <w:rStyle w:val="Rimandonotaapidipagina"/>
          <w:rFonts w:ascii="Times New Roman" w:hAnsi="Times New Roman" w:cs="Times New Roman"/>
          <w:sz w:val="24"/>
          <w:szCs w:val="24"/>
          <w:lang w:eastAsia="en-US"/>
        </w:rPr>
        <w:footnoteReference w:id="123"/>
      </w:r>
      <w:r w:rsidRPr="00B17ED8">
        <w:rPr>
          <w:rFonts w:ascii="Times New Roman" w:hAnsi="Times New Roman" w:cs="Times New Roman"/>
          <w:sz w:val="24"/>
          <w:szCs w:val="24"/>
          <w:lang w:eastAsia="en-US"/>
        </w:rPr>
        <w:t xml:space="preserve"> – secondo un criterio di proporzionalità correlato all’impatto territoriale degli interventi. A tale articolazione si affianca un sistema di coordinamento con le principali procedure ambientali (VIA, </w:t>
      </w:r>
      <w:proofErr w:type="spellStart"/>
      <w:r w:rsidRPr="00B17ED8">
        <w:rPr>
          <w:rFonts w:ascii="Times New Roman" w:hAnsi="Times New Roman" w:cs="Times New Roman"/>
          <w:sz w:val="24"/>
          <w:szCs w:val="24"/>
          <w:lang w:eastAsia="en-US"/>
        </w:rPr>
        <w:t>VIncA</w:t>
      </w:r>
      <w:proofErr w:type="spellEnd"/>
      <w:r w:rsidRPr="00B17ED8">
        <w:rPr>
          <w:rFonts w:ascii="Times New Roman" w:hAnsi="Times New Roman" w:cs="Times New Roman"/>
          <w:sz w:val="24"/>
          <w:szCs w:val="24"/>
          <w:lang w:eastAsia="en-US"/>
        </w:rPr>
        <w:t>, AUA), volto a garantire l’integrazione tra esigenze di semplificazione e tutela degli interessi sensibili.</w:t>
      </w:r>
    </w:p>
    <w:p w14:paraId="3F052062" w14:textId="708153BF"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Tuttavia, al di là della razionalizzazione procedimentale, l’elemento qualificante del nuovo assetto risiede</w:t>
      </w:r>
      <w:r w:rsidR="00D53989">
        <w:rPr>
          <w:rFonts w:ascii="Times New Roman" w:hAnsi="Times New Roman" w:cs="Times New Roman"/>
          <w:sz w:val="24"/>
          <w:szCs w:val="24"/>
          <w:lang w:eastAsia="en-US"/>
        </w:rPr>
        <w:t>, anche in questo caso,</w:t>
      </w:r>
      <w:r w:rsidRPr="00B17ED8">
        <w:rPr>
          <w:rFonts w:ascii="Times New Roman" w:hAnsi="Times New Roman" w:cs="Times New Roman"/>
          <w:sz w:val="24"/>
          <w:szCs w:val="24"/>
          <w:lang w:eastAsia="en-US"/>
        </w:rPr>
        <w:t xml:space="preserve"> nella centralità attribuita alla pianificazione delle aree idonee</w:t>
      </w:r>
      <w:r w:rsidR="00EA64DC">
        <w:rPr>
          <w:rFonts w:ascii="Times New Roman" w:hAnsi="Times New Roman" w:cs="Times New Roman"/>
          <w:sz w:val="24"/>
          <w:szCs w:val="24"/>
          <w:lang w:eastAsia="en-US"/>
        </w:rPr>
        <w:t>: è</w:t>
      </w:r>
      <w:r w:rsidRPr="00B17ED8">
        <w:rPr>
          <w:rFonts w:ascii="Times New Roman" w:hAnsi="Times New Roman" w:cs="Times New Roman"/>
          <w:sz w:val="24"/>
          <w:szCs w:val="24"/>
          <w:lang w:eastAsia="en-US"/>
        </w:rPr>
        <w:t xml:space="preserve"> infatti in tale sede che si realizza la principale operazione di riequilibrio tra interessi pubblici,</w:t>
      </w:r>
      <w:r w:rsidR="00EA64DC">
        <w:rPr>
          <w:rStyle w:val="Rimandonotaapidipagina"/>
          <w:rFonts w:ascii="Times New Roman" w:hAnsi="Times New Roman" w:cs="Times New Roman"/>
          <w:sz w:val="24"/>
          <w:szCs w:val="24"/>
          <w:lang w:eastAsia="en-US"/>
        </w:rPr>
        <w:footnoteReference w:id="124"/>
      </w:r>
      <w:r w:rsidRPr="00B17ED8">
        <w:rPr>
          <w:rFonts w:ascii="Times New Roman" w:hAnsi="Times New Roman" w:cs="Times New Roman"/>
          <w:sz w:val="24"/>
          <w:szCs w:val="24"/>
          <w:lang w:eastAsia="en-US"/>
        </w:rPr>
        <w:t xml:space="preserve"> ormai orientata in senso marcatamente teleologico rispetto al conseguimento degli obiettivi di decarbonizzazione. All’interno delle aree idonee, il procedimento autorizzatorio risulta significativamente semplificato, sia sotto il profilo temporale sia quanto all’intensità delle </w:t>
      </w:r>
      <w:r w:rsidRPr="00B17ED8">
        <w:rPr>
          <w:rFonts w:ascii="Times New Roman" w:hAnsi="Times New Roman" w:cs="Times New Roman"/>
          <w:sz w:val="24"/>
          <w:szCs w:val="24"/>
          <w:lang w:eastAsia="en-US"/>
        </w:rPr>
        <w:lastRenderedPageBreak/>
        <w:t>valutazioni discrezionali, configurandosi come fase attuativa di scelte già in larga parte compiute a monte.</w:t>
      </w:r>
    </w:p>
    <w:p w14:paraId="42B81A28" w14:textId="74CE2CEB"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Il D.M. 21 giugno 2024, nel dare attuazione all’art. 20 del d.lgs. 199/2021, conferma tale impostazione, delineando un modello di sussidiarietà verticale di tipo discendente</w:t>
      </w:r>
      <w:r w:rsidR="00D53989">
        <w:rPr>
          <w:rFonts w:ascii="Times New Roman" w:hAnsi="Times New Roman" w:cs="Times New Roman"/>
          <w:sz w:val="24"/>
          <w:szCs w:val="24"/>
          <w:lang w:eastAsia="en-US"/>
        </w:rPr>
        <w:t xml:space="preserve">: </w:t>
      </w:r>
      <w:proofErr w:type="spellStart"/>
      <w:r w:rsidR="00D53989">
        <w:rPr>
          <w:rFonts w:ascii="Times New Roman" w:hAnsi="Times New Roman" w:cs="Times New Roman"/>
          <w:sz w:val="24"/>
          <w:szCs w:val="24"/>
          <w:lang w:eastAsia="en-US"/>
        </w:rPr>
        <w:t>sicchè</w:t>
      </w:r>
      <w:proofErr w:type="spellEnd"/>
      <w:r w:rsidR="00D53989">
        <w:rPr>
          <w:rFonts w:ascii="Times New Roman" w:hAnsi="Times New Roman" w:cs="Times New Roman"/>
          <w:sz w:val="24"/>
          <w:szCs w:val="24"/>
          <w:lang w:eastAsia="en-US"/>
        </w:rPr>
        <w:t>, l</w:t>
      </w:r>
      <w:r w:rsidRPr="00B17ED8">
        <w:rPr>
          <w:rFonts w:ascii="Times New Roman" w:hAnsi="Times New Roman" w:cs="Times New Roman"/>
          <w:sz w:val="24"/>
          <w:szCs w:val="24"/>
          <w:lang w:eastAsia="en-US"/>
        </w:rPr>
        <w:t>o Stato definisce i criteri generali, individua le categorie di aree e stabilisce la ripartizione degli obiettivi energetici; le Regioni sono chiamate a dare attuazione a tali indirizzi in un quadro fortemente vincolato; ai Comuni è affidato un ruolo prevalentemente funzionale, connesso alla verifica della compatibilità urbanistica e paesaggistica e all’integrazione territoriale degli impianti.</w:t>
      </w:r>
    </w:p>
    <w:p w14:paraId="2BD0401B" w14:textId="2ABD8CB9" w:rsidR="004808EB" w:rsidRPr="00B17ED8" w:rsidRDefault="00D53989" w:rsidP="00B17ED8">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Ci</w:t>
      </w:r>
      <w:r w:rsidR="00E54EB5">
        <w:rPr>
          <w:rFonts w:ascii="Times New Roman" w:hAnsi="Times New Roman" w:cs="Times New Roman"/>
          <w:sz w:val="24"/>
          <w:szCs w:val="24"/>
          <w:lang w:eastAsia="en-US"/>
        </w:rPr>
        <w:t>o</w:t>
      </w:r>
      <w:r>
        <w:rPr>
          <w:rFonts w:ascii="Times New Roman" w:hAnsi="Times New Roman" w:cs="Times New Roman"/>
          <w:sz w:val="24"/>
          <w:szCs w:val="24"/>
          <w:lang w:eastAsia="en-US"/>
        </w:rPr>
        <w:t>nonostante</w:t>
      </w:r>
      <w:r w:rsidR="004808EB" w:rsidRPr="00B17ED8">
        <w:rPr>
          <w:rFonts w:ascii="Times New Roman" w:hAnsi="Times New Roman" w:cs="Times New Roman"/>
          <w:sz w:val="24"/>
          <w:szCs w:val="24"/>
          <w:lang w:eastAsia="en-US"/>
        </w:rPr>
        <w:t>, il decreto evidenzia alcune criticità, in particolare sotto il profilo della incompletezza dei criteri tecnici. L’assenza di parametri puntuali relativi, ad esempio, alla massima occupazione del suolo o alla definizione delle aree compromesse ha determinato un significativo contenzioso, culminato nella pronuncia del TAR Lazio n. 9155/2025, che ha censurato parti rilevanti della disciplina per eccesso di delega e carenza di specificità. Tale intervento giurisdizionale conferma come, anche nel nuovo assetto, la necessità di garantire uniformità e ragionevolezza nelle scelte pianificatorie continui a rappresentare un limite imprescindibile all’esercizio del potere normativo.</w:t>
      </w:r>
    </w:p>
    <w:p w14:paraId="6F3821E6" w14:textId="49A15F16"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 xml:space="preserve">Il Testo Unico FER, inoltre, pur perseguendo una sistematizzazione complessiva della materia, non affronta in modo organico il tema delle comunità energetiche rinnovabili. Queste continuano a trovare la propria disciplina principale nell’art. 31 del </w:t>
      </w:r>
      <w:r w:rsidR="00E54EB5">
        <w:rPr>
          <w:rFonts w:ascii="Times New Roman" w:hAnsi="Times New Roman" w:cs="Times New Roman"/>
          <w:sz w:val="24"/>
          <w:szCs w:val="24"/>
          <w:lang w:eastAsia="en-US"/>
        </w:rPr>
        <w:t>D</w:t>
      </w:r>
      <w:r w:rsidRPr="00B17ED8">
        <w:rPr>
          <w:rFonts w:ascii="Times New Roman" w:hAnsi="Times New Roman" w:cs="Times New Roman"/>
          <w:sz w:val="24"/>
          <w:szCs w:val="24"/>
          <w:lang w:eastAsia="en-US"/>
        </w:rPr>
        <w:t>.lgs. 199/2021 e negli atti attuativi successivi, rimanendo sostanzialmente estranee al nuovo impianto pianificatorio delle aree idonee. Tale disallineamento evidenzia una frattura interna al sistema: mentre la produzione energetica è oggetto di una regolazione centralizzata e vincolata, le forme di autoconsumo collettivo e partecipativo restano ancorate a una logica parzialmente distinta, con evidenti difficoltà di coordinamento, soprattutto nella fase localizzativa.</w:t>
      </w:r>
    </w:p>
    <w:p w14:paraId="57796971" w14:textId="5312C4AC"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Sul piano giurisprudenziale, le più recenti pronunce della Corte costituzionale confermano e, al contempo, legittimano tale trasformazione. Se decisioni precedenti avevano valorizzato</w:t>
      </w:r>
      <w:r w:rsidR="00D53989">
        <w:rPr>
          <w:rFonts w:ascii="Times New Roman" w:hAnsi="Times New Roman" w:cs="Times New Roman"/>
          <w:sz w:val="24"/>
          <w:szCs w:val="24"/>
          <w:lang w:eastAsia="en-US"/>
        </w:rPr>
        <w:t xml:space="preserve"> – come si è detto -</w:t>
      </w:r>
      <w:r w:rsidRPr="00B17ED8">
        <w:rPr>
          <w:rFonts w:ascii="Times New Roman" w:hAnsi="Times New Roman" w:cs="Times New Roman"/>
          <w:sz w:val="24"/>
          <w:szCs w:val="24"/>
          <w:lang w:eastAsia="en-US"/>
        </w:rPr>
        <w:t xml:space="preserve"> la centralità del procedimento amministrativo quale sede del bilanciamento tra interessi, gli orientamenti più recenti riconoscono che tale bilanciamento può essere anticipato e in larga misura predeterminato dal legislatore, purché nel rispetto dei principi di ragionevolezza e proporzionalità. In questo senso, la Corte continua a censurare i divieti generalizzati e astratti, </w:t>
      </w:r>
      <w:r w:rsidRPr="00B17ED8">
        <w:rPr>
          <w:rFonts w:ascii="Times New Roman" w:hAnsi="Times New Roman" w:cs="Times New Roman"/>
          <w:sz w:val="24"/>
          <w:szCs w:val="24"/>
          <w:lang w:eastAsia="en-US"/>
        </w:rPr>
        <w:lastRenderedPageBreak/>
        <w:t>ma ammette una pianificazione fortemente orientata, nella quale l’interesse alla transizione energetica assume una posizione tendenzialmente prevalente.</w:t>
      </w:r>
      <w:r w:rsidR="00FF038D">
        <w:rPr>
          <w:rStyle w:val="Rimandonotaapidipagina"/>
          <w:rFonts w:ascii="Times New Roman" w:hAnsi="Times New Roman" w:cs="Times New Roman"/>
          <w:sz w:val="24"/>
          <w:szCs w:val="24"/>
          <w:lang w:eastAsia="en-US"/>
        </w:rPr>
        <w:footnoteReference w:id="125"/>
      </w:r>
    </w:p>
    <w:p w14:paraId="67CEFBAD" w14:textId="77777777" w:rsidR="004808EB" w:rsidRPr="00B17ED8" w:rsidRDefault="004808EB" w:rsidP="00B17ED8">
      <w:pPr>
        <w:spacing w:line="360" w:lineRule="auto"/>
        <w:ind w:left="170" w:right="227" w:firstLine="227"/>
        <w:contextualSpacing/>
        <w:jc w:val="both"/>
        <w:rPr>
          <w:rFonts w:ascii="Times New Roman" w:hAnsi="Times New Roman" w:cs="Times New Roman"/>
          <w:sz w:val="24"/>
          <w:szCs w:val="24"/>
          <w:lang w:eastAsia="en-US"/>
        </w:rPr>
      </w:pPr>
      <w:r w:rsidRPr="00B17ED8">
        <w:rPr>
          <w:rFonts w:ascii="Times New Roman" w:hAnsi="Times New Roman" w:cs="Times New Roman"/>
          <w:sz w:val="24"/>
          <w:szCs w:val="24"/>
          <w:lang w:eastAsia="en-US"/>
        </w:rPr>
        <w:t>Si assiste, dunque, alla progressiva emersione di una nuova gerarchia degli interessi, nella quale la promozione delle fonti rinnovabili – anche alla luce della riforma costituzionale degli artt. 9 e 41 Cost. – si configura come interesse pubblico primario, idoneo a condizionare e rimodulare gli altri interessi costituzionalmente rilevanti. La tutela del paesaggio, dell’ambiente e delle attività economiche non viene meno, ma è chiamata a operare entro un quadro nel quale l’obiettivo della decarbonizzazione costituisce il parametro di riferimento prevalente.</w:t>
      </w:r>
    </w:p>
    <w:p w14:paraId="1A15F4EA" w14:textId="3020C706" w:rsidR="009C2592" w:rsidRPr="009C2592" w:rsidRDefault="009C2592" w:rsidP="009C2592">
      <w:pPr>
        <w:spacing w:line="360" w:lineRule="auto"/>
        <w:ind w:left="170" w:right="227" w:firstLine="227"/>
        <w:contextualSpacing/>
        <w:jc w:val="both"/>
        <w:rPr>
          <w:rFonts w:ascii="Times New Roman" w:hAnsi="Times New Roman" w:cs="Times New Roman"/>
          <w:sz w:val="24"/>
          <w:szCs w:val="24"/>
          <w:lang w:eastAsia="en-US"/>
        </w:rPr>
      </w:pPr>
      <w:r w:rsidRPr="009C2592">
        <w:rPr>
          <w:rFonts w:ascii="Times New Roman" w:hAnsi="Times New Roman" w:cs="Times New Roman"/>
          <w:sz w:val="24"/>
          <w:szCs w:val="24"/>
          <w:lang w:eastAsia="en-US"/>
        </w:rPr>
        <w:t>In questo nuovo assetto, il procedimento amministrativo continua a operare, ma con una funzione diversa rispetto al passato</w:t>
      </w:r>
      <w:r>
        <w:rPr>
          <w:rFonts w:ascii="Times New Roman" w:hAnsi="Times New Roman" w:cs="Times New Roman"/>
          <w:sz w:val="24"/>
          <w:szCs w:val="24"/>
          <w:lang w:eastAsia="en-US"/>
        </w:rPr>
        <w:t>,</w:t>
      </w:r>
      <w:r w:rsidRPr="009C2592">
        <w:rPr>
          <w:rFonts w:ascii="Times New Roman" w:hAnsi="Times New Roman" w:cs="Times New Roman"/>
          <w:sz w:val="24"/>
          <w:szCs w:val="24"/>
          <w:lang w:eastAsia="en-US"/>
        </w:rPr>
        <w:t xml:space="preserve"> non più luogo privilegiato del bilanciamento tra interessi in conflitto bensì fase tecnica di conformazione e verifica delle scelte già definite a livello programmatorio. Dentro questa logica multilivello, il ruolo delle Regioni – e, in particolare, dei Comuni – emerge come decisivo non nella definizione degli obiettivi, ormai fissati a monte, ma nell’attuazione concreta dei vincoli e nella garanzia della loro esecuzione corretta sul territorio.</w:t>
      </w:r>
      <w:r w:rsidR="00A0626E">
        <w:rPr>
          <w:rStyle w:val="Rimandonotaapidipagina"/>
          <w:rFonts w:ascii="Times New Roman" w:hAnsi="Times New Roman" w:cs="Times New Roman"/>
          <w:sz w:val="24"/>
          <w:szCs w:val="24"/>
          <w:lang w:eastAsia="en-US"/>
        </w:rPr>
        <w:footnoteReference w:id="126"/>
      </w:r>
    </w:p>
    <w:p w14:paraId="24B64FDF" w14:textId="6254CE4D" w:rsidR="00670E3E" w:rsidRDefault="009C2592" w:rsidP="00D540B7">
      <w:pPr>
        <w:spacing w:line="360" w:lineRule="auto"/>
        <w:ind w:left="170" w:right="227" w:firstLine="227"/>
        <w:contextualSpacing/>
        <w:jc w:val="both"/>
        <w:rPr>
          <w:rFonts w:ascii="Times New Roman" w:hAnsi="Times New Roman" w:cs="Times New Roman"/>
          <w:sz w:val="24"/>
          <w:szCs w:val="24"/>
          <w:lang w:eastAsia="en-US"/>
        </w:rPr>
      </w:pPr>
      <w:r w:rsidRPr="009C2592">
        <w:rPr>
          <w:rFonts w:ascii="Times New Roman" w:hAnsi="Times New Roman" w:cs="Times New Roman"/>
          <w:sz w:val="24"/>
          <w:szCs w:val="24"/>
          <w:lang w:eastAsia="en-US"/>
        </w:rPr>
        <w:lastRenderedPageBreak/>
        <w:t>Il legislatore lo conferma con l’art. 11 e 11</w:t>
      </w:r>
      <w:r w:rsidRPr="009C2592">
        <w:rPr>
          <w:rFonts w:ascii="Times New Roman" w:hAnsi="Times New Roman" w:cs="Times New Roman"/>
          <w:sz w:val="24"/>
          <w:szCs w:val="24"/>
          <w:lang w:eastAsia="en-US"/>
        </w:rPr>
        <w:noBreakHyphen/>
        <w:t>bis del D.</w:t>
      </w:r>
      <w:r w:rsidR="00C178E2">
        <w:rPr>
          <w:rFonts w:ascii="Times New Roman" w:hAnsi="Times New Roman" w:cs="Times New Roman"/>
          <w:sz w:val="24"/>
          <w:szCs w:val="24"/>
          <w:lang w:eastAsia="en-US"/>
        </w:rPr>
        <w:t xml:space="preserve"> </w:t>
      </w:r>
      <w:r w:rsidRPr="009C2592">
        <w:rPr>
          <w:rFonts w:ascii="Times New Roman" w:hAnsi="Times New Roman" w:cs="Times New Roman"/>
          <w:sz w:val="24"/>
          <w:szCs w:val="24"/>
          <w:lang w:eastAsia="en-US"/>
        </w:rPr>
        <w:t>Lgs. 190/2024, che interviene esclusivamente su tempi e modalità dell’attuazione territoriale: le Regioni devono adottare gli atti di individuazione e pianificazione entro 120 giorni dall’entrata in vigore del decreto, mentre le Province autonome dispongono di 180 giorni, assicurando il coinvolgimento degli enti locali. È un coinvolgimento che non ha natura meramente consultiva, perché proprio ai Comuni, in ragione della loro prossimità e della conoscenza effettiva dei contesti rurali e paesaggistici, spetta il compito di verificare sul campo la coerenza tra pianificazione e realtà territoriale.</w:t>
      </w:r>
    </w:p>
    <w:p w14:paraId="0635A11F" w14:textId="22D01B5C" w:rsidR="009C2592" w:rsidRDefault="009C2592" w:rsidP="00670E3E">
      <w:pPr>
        <w:spacing w:line="360" w:lineRule="auto"/>
        <w:ind w:left="170" w:right="227" w:firstLine="227"/>
        <w:contextualSpacing/>
        <w:jc w:val="both"/>
        <w:rPr>
          <w:rFonts w:ascii="Times New Roman" w:hAnsi="Times New Roman" w:cs="Times New Roman"/>
          <w:sz w:val="24"/>
          <w:szCs w:val="24"/>
          <w:lang w:eastAsia="en-US"/>
        </w:rPr>
      </w:pPr>
      <w:r w:rsidRPr="009C2592">
        <w:rPr>
          <w:rFonts w:ascii="Times New Roman" w:hAnsi="Times New Roman" w:cs="Times New Roman"/>
          <w:sz w:val="24"/>
          <w:szCs w:val="24"/>
          <w:lang w:eastAsia="en-US"/>
        </w:rPr>
        <w:t>Questa impostazione è coerente con la natura territoriale della disciplina sulle aree idonee: le scelte pianificatorie regionali definiscono il quadro, ma sono i Comuni a garantirne l’effettività attraverso l’esercizio uniforme delle funzioni istruttorie, dei controlli successivi e delle verifiche sulla persistenza della vocazione dei siti individuati. L’operatività del fotovoltaico dipende dunque da una doppia linea di responsabilità: la cornice statale e regionale fissa gli obiettivi e i criteri, mentre l’attuazione locale – soprattutto comunale – assicura che tali scelte trovino concreta e corretta realizzazione nello spazio fisico in cui gli impianti vengono ad insistere</w:t>
      </w:r>
      <w:r>
        <w:rPr>
          <w:rFonts w:ascii="Times New Roman" w:hAnsi="Times New Roman" w:cs="Times New Roman"/>
          <w:sz w:val="24"/>
          <w:szCs w:val="24"/>
          <w:lang w:eastAsia="en-US"/>
        </w:rPr>
        <w:t>.</w:t>
      </w:r>
    </w:p>
    <w:p w14:paraId="0E772B4B" w14:textId="113F1F07" w:rsidR="009C2592" w:rsidRPr="009C2592" w:rsidRDefault="009C2592" w:rsidP="00670E3E">
      <w:pPr>
        <w:spacing w:line="360" w:lineRule="auto"/>
        <w:ind w:left="170" w:right="227" w:firstLine="227"/>
        <w:contextualSpacing/>
        <w:jc w:val="both"/>
        <w:rPr>
          <w:rFonts w:ascii="Times New Roman" w:hAnsi="Times New Roman" w:cs="Times New Roman"/>
          <w:sz w:val="24"/>
          <w:szCs w:val="24"/>
          <w:lang w:eastAsia="en-US"/>
        </w:rPr>
      </w:pPr>
      <w:r w:rsidRPr="009C2592">
        <w:rPr>
          <w:rFonts w:ascii="Times New Roman" w:hAnsi="Times New Roman" w:cs="Times New Roman"/>
          <w:sz w:val="24"/>
          <w:szCs w:val="24"/>
          <w:lang w:eastAsia="en-US"/>
        </w:rPr>
        <w:t xml:space="preserve">Il D.M. 2024 e il Testo Unico FER delineano il definitivo assestamento di un modello di governance energetica improntato alla piena internalizzazione, in sede nazionale e regionale, </w:t>
      </w:r>
      <w:r w:rsidRPr="009C2592">
        <w:rPr>
          <w:rFonts w:ascii="Times New Roman" w:hAnsi="Times New Roman" w:cs="Times New Roman"/>
          <w:sz w:val="24"/>
          <w:szCs w:val="24"/>
          <w:lang w:eastAsia="en-US"/>
        </w:rPr>
        <w:lastRenderedPageBreak/>
        <w:t>degli obiettivi sovranazionali in materia di decarbonizzazione. In tale prospettiva, la pianificazione territoriale risulta incardinata entro una logica di attuazione vincolata, espressiva di una sussidiarietà verticale discendente, nella quale le scelte fondamentali vengono definite a monte e affidate agli enti territoriali in termini eminentemente esecutivi.</w:t>
      </w:r>
      <w:r w:rsidR="00984F5D">
        <w:rPr>
          <w:rStyle w:val="Rimandonotaapidipagina"/>
          <w:rFonts w:ascii="Times New Roman" w:hAnsi="Times New Roman" w:cs="Times New Roman"/>
          <w:sz w:val="24"/>
          <w:szCs w:val="24"/>
          <w:lang w:eastAsia="en-US"/>
        </w:rPr>
        <w:footnoteReference w:id="127"/>
      </w:r>
      <w:r w:rsidRPr="009C2592">
        <w:rPr>
          <w:rFonts w:ascii="Times New Roman" w:hAnsi="Times New Roman" w:cs="Times New Roman"/>
          <w:sz w:val="24"/>
          <w:szCs w:val="24"/>
          <w:lang w:eastAsia="en-US"/>
        </w:rPr>
        <w:t xml:space="preserve"> La dimensione locale continua, nondimeno, a costituire il luogo privilegiato per l’integrazione delle istanze territoriali, ma cessa di essere sede di autonoma</w:t>
      </w:r>
      <w:r>
        <w:rPr>
          <w:rFonts w:ascii="Times New Roman" w:hAnsi="Times New Roman" w:cs="Times New Roman"/>
          <w:sz w:val="24"/>
          <w:szCs w:val="24"/>
          <w:lang w:eastAsia="en-US"/>
        </w:rPr>
        <w:t xml:space="preserve"> - e discrezionale</w:t>
      </w:r>
      <w:r w:rsidRPr="009C2592">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9C2592">
        <w:rPr>
          <w:rFonts w:ascii="Times New Roman" w:hAnsi="Times New Roman" w:cs="Times New Roman"/>
          <w:sz w:val="24"/>
          <w:szCs w:val="24"/>
          <w:lang w:eastAsia="en-US"/>
        </w:rPr>
        <w:t>conformazione delle politiche energetiche, assumendo un ruolo funzionale alla loro implementazione tecnica e al controllo della corretta esecuzione degli interventi.</w:t>
      </w:r>
    </w:p>
    <w:p w14:paraId="0CC49040" w14:textId="76A428F6" w:rsidR="009C2592" w:rsidRPr="009C2592" w:rsidRDefault="009C2592" w:rsidP="009C2592">
      <w:pPr>
        <w:spacing w:line="360" w:lineRule="auto"/>
        <w:ind w:left="170" w:right="227" w:firstLine="227"/>
        <w:contextualSpacing/>
        <w:jc w:val="both"/>
        <w:rPr>
          <w:rFonts w:ascii="Times New Roman" w:hAnsi="Times New Roman" w:cs="Times New Roman"/>
          <w:sz w:val="24"/>
          <w:szCs w:val="24"/>
          <w:lang w:eastAsia="en-US"/>
        </w:rPr>
      </w:pPr>
      <w:r w:rsidRPr="009C2592">
        <w:rPr>
          <w:rFonts w:ascii="Times New Roman" w:hAnsi="Times New Roman" w:cs="Times New Roman"/>
          <w:sz w:val="24"/>
          <w:szCs w:val="24"/>
          <w:lang w:eastAsia="en-US"/>
        </w:rPr>
        <w:t>In tale quadro, si impone una riflessione sulla effettiva capacità del principio di prossimità di conservare un significato operativo all’interno di una gerarchia degli interessi sempre più orientata alla massima diffusione delle fonti rinnovabili.</w:t>
      </w:r>
      <w:r w:rsidR="00D540B7">
        <w:rPr>
          <w:rStyle w:val="Rimandonotaapidipagina"/>
          <w:rFonts w:ascii="Times New Roman" w:hAnsi="Times New Roman" w:cs="Times New Roman"/>
          <w:sz w:val="24"/>
          <w:szCs w:val="24"/>
          <w:lang w:eastAsia="en-US"/>
        </w:rPr>
        <w:footnoteReference w:id="128"/>
      </w:r>
      <w:r w:rsidRPr="009C2592">
        <w:rPr>
          <w:rFonts w:ascii="Times New Roman" w:hAnsi="Times New Roman" w:cs="Times New Roman"/>
          <w:sz w:val="24"/>
          <w:szCs w:val="24"/>
          <w:lang w:eastAsia="en-US"/>
        </w:rPr>
        <w:t xml:space="preserve"> L’accentuata preminenza </w:t>
      </w:r>
      <w:r w:rsidRPr="009C2592">
        <w:rPr>
          <w:rFonts w:ascii="Times New Roman" w:hAnsi="Times New Roman" w:cs="Times New Roman"/>
          <w:sz w:val="24"/>
          <w:szCs w:val="24"/>
          <w:lang w:eastAsia="en-US"/>
        </w:rPr>
        <w:lastRenderedPageBreak/>
        <w:t>dell’interesse alla realizzazione dei target energetici, quale interesse pubblico prevalente, determina infatti una compressione progressiva degli spazi decisionali degli enti locali, chiamati principalmente a svolgere compiti di verifica, vigilanza e adeguamento delle scelte pianificatorie adottate ai livelli superiori.</w:t>
      </w:r>
    </w:p>
    <w:p w14:paraId="6BDE9CF9" w14:textId="0F24C8FC" w:rsidR="009C2592" w:rsidRPr="009C2592" w:rsidRDefault="009C2592" w:rsidP="009C2592">
      <w:pPr>
        <w:spacing w:line="360" w:lineRule="auto"/>
        <w:ind w:left="170" w:right="227" w:firstLine="227"/>
        <w:contextualSpacing/>
        <w:jc w:val="both"/>
        <w:rPr>
          <w:rFonts w:ascii="Times New Roman" w:hAnsi="Times New Roman" w:cs="Times New Roman"/>
          <w:sz w:val="24"/>
          <w:szCs w:val="24"/>
          <w:lang w:eastAsia="en-US"/>
        </w:rPr>
      </w:pPr>
      <w:r w:rsidRPr="009C2592">
        <w:rPr>
          <w:rFonts w:ascii="Times New Roman" w:hAnsi="Times New Roman" w:cs="Times New Roman"/>
          <w:sz w:val="24"/>
          <w:szCs w:val="24"/>
          <w:lang w:eastAsia="en-US"/>
        </w:rPr>
        <w:t>A ciò si aggiunge una criticità ulteriore</w:t>
      </w:r>
      <w:r>
        <w:rPr>
          <w:rFonts w:ascii="Times New Roman" w:hAnsi="Times New Roman" w:cs="Times New Roman"/>
          <w:sz w:val="24"/>
          <w:szCs w:val="24"/>
          <w:lang w:eastAsia="en-US"/>
        </w:rPr>
        <w:t xml:space="preserve"> e, cioè, che</w:t>
      </w:r>
      <w:r w:rsidRPr="009C2592">
        <w:rPr>
          <w:rFonts w:ascii="Times New Roman" w:hAnsi="Times New Roman" w:cs="Times New Roman"/>
          <w:sz w:val="24"/>
          <w:szCs w:val="24"/>
          <w:lang w:eastAsia="en-US"/>
        </w:rPr>
        <w:t xml:space="preserve"> lo strumento delle comunità energetiche rinnovabili, pur configurandosi quale soggetto collettivo non profit funzionalmente destinato alla promozione diffusa dell’energia fotovoltaica, non ha ricevuto un adeguato inquadramento nei successivi interventi normativi. Le CER, nonostante il loro riconoscimento nell’ordinamento eurounitario quale mezzo privilegiato di partecipazione dei cittadini alla transizione energetica, non trovano un ruolo definito nei procedimenti relativi alla individuazione delle aree idonee né un raccordo strutturale con le politiche di pianificazione regionale e con le funzioni amministrative attribuite ai Comuni.</w:t>
      </w:r>
    </w:p>
    <w:p w14:paraId="5A998754" w14:textId="77777777" w:rsidR="00A96F6C" w:rsidRDefault="009C2592" w:rsidP="00A96F6C">
      <w:pPr>
        <w:spacing w:line="360" w:lineRule="auto"/>
        <w:ind w:left="170" w:right="227" w:firstLine="227"/>
        <w:contextualSpacing/>
        <w:jc w:val="both"/>
        <w:rPr>
          <w:lang w:eastAsia="en-US"/>
        </w:rPr>
      </w:pPr>
      <w:r w:rsidRPr="009C2592">
        <w:rPr>
          <w:rFonts w:ascii="Times New Roman" w:hAnsi="Times New Roman" w:cs="Times New Roman"/>
          <w:sz w:val="24"/>
          <w:szCs w:val="24"/>
          <w:lang w:eastAsia="en-US"/>
        </w:rPr>
        <w:t>Ne deriva una significativa disarmonia sistemica: mentre il modello di governo delle rinnovabili procede verso un accentramento programmatico sempre più marcato, l’unico strumento idoneo a rafforzare la dimensione partecipativa e territoriale della transizione energetica rimane collocato ai margini della disciplina, privo di un’integrazione funzionale nei processi decisionali e attuativi che presiedono alla trasformazione del territorio.</w:t>
      </w:r>
      <w:r w:rsidR="00A96F6C" w:rsidRPr="00A96F6C">
        <w:rPr>
          <w:lang w:eastAsia="en-US"/>
        </w:rPr>
        <w:t xml:space="preserve"> </w:t>
      </w:r>
    </w:p>
    <w:p w14:paraId="7CF5489E" w14:textId="48EB5F2B" w:rsidR="00A96F6C" w:rsidRPr="00A96F6C" w:rsidRDefault="00A96F6C" w:rsidP="00A96F6C">
      <w:pPr>
        <w:spacing w:line="360" w:lineRule="auto"/>
        <w:ind w:left="170" w:right="227" w:firstLine="227"/>
        <w:contextualSpacing/>
        <w:jc w:val="both"/>
        <w:rPr>
          <w:rFonts w:ascii="Times New Roman" w:hAnsi="Times New Roman" w:cs="Times New Roman"/>
          <w:sz w:val="24"/>
          <w:szCs w:val="24"/>
          <w:lang w:eastAsia="en-US"/>
        </w:rPr>
      </w:pPr>
      <w:r w:rsidRPr="00A96F6C">
        <w:rPr>
          <w:rFonts w:ascii="Times New Roman" w:hAnsi="Times New Roman" w:cs="Times New Roman"/>
          <w:sz w:val="24"/>
          <w:szCs w:val="24"/>
          <w:lang w:eastAsia="en-US"/>
        </w:rPr>
        <w:lastRenderedPageBreak/>
        <w:t>Che sia in corso un’evoluzione normativa che, almeno sotto il profilo della pianificazione territoriale, continua a non confrontarsi in modo puntuale e organico con il fenomeno delle CER, è confermato dalla Legge 15 gennaio 2026, n. 4, la quale segna un passaggio rilevante nella disciplina delle cd. aree idonee per l’installazione di impianti a fonti rinnovabili</w:t>
      </w:r>
      <w:r>
        <w:rPr>
          <w:rFonts w:ascii="Times New Roman" w:hAnsi="Times New Roman" w:cs="Times New Roman"/>
          <w:sz w:val="24"/>
          <w:szCs w:val="24"/>
          <w:lang w:eastAsia="en-US"/>
        </w:rPr>
        <w:t xml:space="preserve"> e, segnatamente, per la filiera agrivoltaica</w:t>
      </w:r>
      <w:r w:rsidRPr="00A96F6C">
        <w:rPr>
          <w:rFonts w:ascii="Times New Roman" w:hAnsi="Times New Roman" w:cs="Times New Roman"/>
          <w:sz w:val="24"/>
          <w:szCs w:val="24"/>
          <w:lang w:eastAsia="en-US"/>
        </w:rPr>
        <w:t>. Il provvedimento, intervenendo sul Decreto legislativo 25 novembre 2024, n. 190, rafforza la funzione di riordino e stabilizzazione del quadro normativo, incidendo in modo significativo sui processi autorizzativi e sulla localizzazione degli impianti</w:t>
      </w:r>
      <w:r>
        <w:rPr>
          <w:rFonts w:ascii="Times New Roman" w:hAnsi="Times New Roman" w:cs="Times New Roman"/>
          <w:sz w:val="24"/>
          <w:szCs w:val="24"/>
          <w:lang w:eastAsia="en-US"/>
        </w:rPr>
        <w:t xml:space="preserve"> da terra per la produzione agricola</w:t>
      </w:r>
      <w:r w:rsidRPr="00A96F6C">
        <w:rPr>
          <w:rFonts w:ascii="Times New Roman" w:hAnsi="Times New Roman" w:cs="Times New Roman"/>
          <w:sz w:val="24"/>
          <w:szCs w:val="24"/>
          <w:lang w:eastAsia="en-US"/>
        </w:rPr>
        <w:t>.</w:t>
      </w:r>
    </w:p>
    <w:p w14:paraId="14A147E4" w14:textId="77777777" w:rsidR="00063A11" w:rsidRDefault="00A96F6C" w:rsidP="00063A11">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Anche in questa occasione trova</w:t>
      </w:r>
      <w:r w:rsidRPr="00A96F6C">
        <w:rPr>
          <w:rFonts w:ascii="Times New Roman" w:hAnsi="Times New Roman" w:cs="Times New Roman"/>
          <w:sz w:val="24"/>
          <w:szCs w:val="24"/>
          <w:lang w:eastAsia="en-US"/>
        </w:rPr>
        <w:t xml:space="preserve"> conferma la tendenza a ricondurre i Comuni a un ruolo prevalentemente istruttorio e attuativo, più che partecipativo nella definizione delle scelte pianificatorie, ormai fortemente accentrate. Tuttavia, tale ridimensionamento non può ritenersi assoluto</w:t>
      </w:r>
      <w:r>
        <w:rPr>
          <w:rFonts w:ascii="Times New Roman" w:hAnsi="Times New Roman" w:cs="Times New Roman"/>
          <w:sz w:val="24"/>
          <w:szCs w:val="24"/>
          <w:lang w:eastAsia="en-US"/>
        </w:rPr>
        <w:t xml:space="preserve"> atteso che la</w:t>
      </w:r>
      <w:r w:rsidRPr="00A96F6C">
        <w:rPr>
          <w:rFonts w:ascii="Times New Roman" w:hAnsi="Times New Roman" w:cs="Times New Roman"/>
          <w:sz w:val="24"/>
          <w:szCs w:val="24"/>
          <w:lang w:eastAsia="en-US"/>
        </w:rPr>
        <w:t xml:space="preserve"> previsione del rimedio oppositivo di cui all’art. 14-quinquies della legge 7 agosto 1990, n. 241, attivabile da Regioni e Province autonome nei casi in cui vengano in rilievo aree di elevato valore agricolo, introduce infatti una significativa clausola di salvaguardia. Essa consente all’ente territoriale di far valere, </w:t>
      </w:r>
      <w:r>
        <w:rPr>
          <w:rFonts w:ascii="Times New Roman" w:hAnsi="Times New Roman" w:cs="Times New Roman"/>
          <w:sz w:val="24"/>
          <w:szCs w:val="24"/>
          <w:lang w:eastAsia="en-US"/>
        </w:rPr>
        <w:t xml:space="preserve">perlomeno, </w:t>
      </w:r>
      <w:r w:rsidRPr="00A96F6C">
        <w:rPr>
          <w:rFonts w:ascii="Times New Roman" w:hAnsi="Times New Roman" w:cs="Times New Roman"/>
          <w:sz w:val="24"/>
          <w:szCs w:val="24"/>
          <w:lang w:eastAsia="en-US"/>
        </w:rPr>
        <w:t>nell’ambito della conferenza di servizi decisoria, un interesse pubblico qualificato e differenziato, connesso alla tutela del potenziale produttivo dei suoli, incidendo sul bilanciamento finale.</w:t>
      </w:r>
    </w:p>
    <w:p w14:paraId="68EFD6F3" w14:textId="0B36FA02" w:rsidR="00A96F6C" w:rsidRPr="00A96F6C" w:rsidRDefault="00063A11" w:rsidP="0064588F">
      <w:pPr>
        <w:spacing w:line="360" w:lineRule="auto"/>
        <w:ind w:left="170" w:right="227" w:firstLine="227"/>
        <w:contextualSpacing/>
        <w:jc w:val="both"/>
        <w:rPr>
          <w:rFonts w:ascii="Times New Roman" w:hAnsi="Times New Roman" w:cs="Times New Roman"/>
          <w:sz w:val="24"/>
          <w:szCs w:val="24"/>
          <w:lang w:eastAsia="en-US"/>
        </w:rPr>
      </w:pPr>
      <w:r w:rsidRPr="00063A11">
        <w:rPr>
          <w:rFonts w:ascii="Times New Roman" w:eastAsia="Times New Roman" w:hAnsi="Times New Roman" w:cs="Times New Roman"/>
          <w:sz w:val="24"/>
          <w:szCs w:val="24"/>
        </w:rPr>
        <w:t xml:space="preserve"> </w:t>
      </w:r>
      <w:r w:rsidRPr="00063A11">
        <w:rPr>
          <w:rFonts w:ascii="Times New Roman" w:hAnsi="Times New Roman" w:cs="Times New Roman"/>
          <w:sz w:val="24"/>
          <w:szCs w:val="24"/>
          <w:lang w:eastAsia="en-US"/>
        </w:rPr>
        <w:t>Altra considerazione riguarda l’inserimento espresso del riferimento alle aree agricole di particolare pregio, il quale assume una portata sistematica rilevante, in quanto esclude automatismi nella localizzazione degli impianti e impone un innalzamento dello standard istruttorio e motivazionale. Tale qualificazione riflette una precisa scelta del legislatore di attribuire un peso rafforzato all’interesse collettivo connesso alla tutela e alla valorizzazione della funzione produttiva del suolo agricolo, orientando in via preventiva l’esercizio della discrezionalità amministrativa</w:t>
      </w:r>
      <w:r w:rsidR="0064588F">
        <w:rPr>
          <w:rFonts w:ascii="Times New Roman" w:hAnsi="Times New Roman" w:cs="Times New Roman"/>
          <w:sz w:val="24"/>
          <w:szCs w:val="24"/>
          <w:lang w:eastAsia="en-US"/>
        </w:rPr>
        <w:t xml:space="preserve">. </w:t>
      </w:r>
      <w:r w:rsidRPr="00063A11">
        <w:rPr>
          <w:rFonts w:ascii="Times New Roman" w:hAnsi="Times New Roman" w:cs="Times New Roman"/>
          <w:sz w:val="24"/>
          <w:szCs w:val="24"/>
          <w:lang w:eastAsia="en-US"/>
        </w:rPr>
        <w:t>In tali ipotesi,</w:t>
      </w:r>
      <w:r w:rsidR="0064588F">
        <w:rPr>
          <w:rFonts w:ascii="Times New Roman" w:hAnsi="Times New Roman" w:cs="Times New Roman"/>
          <w:sz w:val="24"/>
          <w:szCs w:val="24"/>
          <w:lang w:eastAsia="en-US"/>
        </w:rPr>
        <w:t xml:space="preserve"> </w:t>
      </w:r>
      <w:r w:rsidR="0064588F">
        <w:rPr>
          <w:rFonts w:ascii="Times New Roman" w:hAnsi="Times New Roman" w:cs="Times New Roman"/>
          <w:sz w:val="24"/>
          <w:szCs w:val="24"/>
          <w:lang w:eastAsia="en-US"/>
        </w:rPr>
        <w:tab/>
        <w:t>infatti,</w:t>
      </w:r>
      <w:r w:rsidRPr="00063A11">
        <w:rPr>
          <w:rFonts w:ascii="Times New Roman" w:hAnsi="Times New Roman" w:cs="Times New Roman"/>
          <w:sz w:val="24"/>
          <w:szCs w:val="24"/>
          <w:lang w:eastAsia="en-US"/>
        </w:rPr>
        <w:t xml:space="preserve"> l’amministrazione procedente è chiamata a esplicitare in modo particolarmente rigoroso le ragioni del bilanciamento tra produzione energetica e salvaguardia della funzione agricola, soprattutto laddove quest’ultima presenti caratteri strategici o intensivi, non potendo limitarsi a un’applicazione meccanica dei criteri localizzativi propri del fotovoltaico tradizionale.</w:t>
      </w:r>
    </w:p>
    <w:p w14:paraId="6F21DF1D" w14:textId="5620806E" w:rsidR="00A96F6C" w:rsidRPr="00A96F6C" w:rsidRDefault="0064588F" w:rsidP="00A96F6C">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La </w:t>
      </w:r>
      <w:r w:rsidR="00A96F6C" w:rsidRPr="00A96F6C">
        <w:rPr>
          <w:rFonts w:ascii="Times New Roman" w:hAnsi="Times New Roman" w:cs="Times New Roman"/>
          <w:sz w:val="24"/>
          <w:szCs w:val="24"/>
          <w:lang w:eastAsia="en-US"/>
        </w:rPr>
        <w:t>riforma consolida</w:t>
      </w:r>
      <w:r>
        <w:rPr>
          <w:rFonts w:ascii="Times New Roman" w:hAnsi="Times New Roman" w:cs="Times New Roman"/>
          <w:sz w:val="24"/>
          <w:szCs w:val="24"/>
          <w:lang w:eastAsia="en-US"/>
        </w:rPr>
        <w:t xml:space="preserve"> quindi</w:t>
      </w:r>
      <w:r w:rsidR="00A96F6C" w:rsidRPr="00A96F6C">
        <w:rPr>
          <w:rFonts w:ascii="Times New Roman" w:hAnsi="Times New Roman" w:cs="Times New Roman"/>
          <w:sz w:val="24"/>
          <w:szCs w:val="24"/>
          <w:lang w:eastAsia="en-US"/>
        </w:rPr>
        <w:t xml:space="preserve"> la centralità dell’agrivoltaico quale categoria giuridica autonoma, distinta dal fotovoltaico tradizionale sotto il profilo funzionale. </w:t>
      </w:r>
      <w:r>
        <w:rPr>
          <w:rFonts w:ascii="Times New Roman" w:hAnsi="Times New Roman" w:cs="Times New Roman"/>
          <w:sz w:val="24"/>
          <w:szCs w:val="24"/>
          <w:lang w:eastAsia="en-US"/>
        </w:rPr>
        <w:t>Detta</w:t>
      </w:r>
      <w:r w:rsidR="00A96F6C" w:rsidRPr="00A96F6C">
        <w:rPr>
          <w:rFonts w:ascii="Times New Roman" w:hAnsi="Times New Roman" w:cs="Times New Roman"/>
          <w:sz w:val="24"/>
          <w:szCs w:val="24"/>
          <w:lang w:eastAsia="en-US"/>
        </w:rPr>
        <w:t xml:space="preserve"> distinzione, lungi dal tradursi in un regime semplificato, comporta al contrario un aggravio degli oneri in capo agli operatori economici, chiamati a dimostrare ex ante la reale integrazione tra attività agricola e produzione energetica. In questa direzione si collocano, tra l’altro, la previsione della dichiarazione asseverata e il rispetto della soglia dell’80% della PLV, quali strumenti volti a </w:t>
      </w:r>
      <w:r w:rsidR="00A96F6C" w:rsidRPr="00A96F6C">
        <w:rPr>
          <w:rFonts w:ascii="Times New Roman" w:hAnsi="Times New Roman" w:cs="Times New Roman"/>
          <w:sz w:val="24"/>
          <w:szCs w:val="24"/>
          <w:lang w:eastAsia="en-US"/>
        </w:rPr>
        <w:lastRenderedPageBreak/>
        <w:t>verificare preventivamente la continuità produttiva del fondo. Ne deriva una ulteriore burocratizzazione dell’iter autorizzatorio, che rafforza la dimensione tecnico-probatoria del procedimento.</w:t>
      </w:r>
    </w:p>
    <w:p w14:paraId="2D52BB47" w14:textId="50A5254E" w:rsidR="002304A0" w:rsidRPr="002304A0" w:rsidRDefault="002304A0" w:rsidP="002304A0">
      <w:pPr>
        <w:spacing w:line="360" w:lineRule="auto"/>
        <w:ind w:left="170" w:right="227" w:firstLine="227"/>
        <w:contextualSpacing/>
        <w:jc w:val="both"/>
        <w:rPr>
          <w:rFonts w:ascii="Times New Roman" w:hAnsi="Times New Roman" w:cs="Times New Roman"/>
          <w:sz w:val="24"/>
          <w:szCs w:val="24"/>
          <w:lang w:eastAsia="en-US"/>
        </w:rPr>
      </w:pPr>
      <w:r w:rsidRPr="002304A0">
        <w:rPr>
          <w:rFonts w:ascii="Times New Roman" w:hAnsi="Times New Roman" w:cs="Times New Roman"/>
          <w:sz w:val="24"/>
          <w:szCs w:val="24"/>
          <w:lang w:eastAsia="en-US"/>
        </w:rPr>
        <w:t>Alla luce di quanto sinora esposto, appare evidente come si stiano progressivamente affermando interessi pubblici specifici e differenziati che, inseriti in un quadro complessivo di valori, incidono in modo sempre più significativo sull’assetto decisionale, delineando una gerarchia degli interessi più articolata e puntuale. In tale contesto, la promozione delle fonti rinnovabili, pur in assenza di specifici riferimenti allo strumento delle CER, viene progressivamente conformata da esigenze ulteriori, quali la tutela della produttività agricola e la valorizzazione dei suoli, con tutte le implicazioni che ne derivano.</w:t>
      </w:r>
      <w:r w:rsidR="00FE74C1">
        <w:rPr>
          <w:rStyle w:val="Rimandonotaapidipagina"/>
          <w:rFonts w:ascii="Times New Roman" w:hAnsi="Times New Roman" w:cs="Times New Roman"/>
          <w:sz w:val="24"/>
          <w:szCs w:val="24"/>
          <w:lang w:eastAsia="en-US"/>
        </w:rPr>
        <w:footnoteReference w:id="129"/>
      </w:r>
    </w:p>
    <w:p w14:paraId="59E74B10" w14:textId="77777777" w:rsidR="002304A0" w:rsidRPr="002304A0" w:rsidRDefault="002304A0" w:rsidP="002304A0">
      <w:pPr>
        <w:spacing w:line="360" w:lineRule="auto"/>
        <w:ind w:left="170" w:right="227" w:firstLine="227"/>
        <w:contextualSpacing/>
        <w:jc w:val="both"/>
        <w:rPr>
          <w:rFonts w:ascii="Times New Roman" w:hAnsi="Times New Roman" w:cs="Times New Roman"/>
          <w:sz w:val="24"/>
          <w:szCs w:val="24"/>
          <w:lang w:eastAsia="en-US"/>
        </w:rPr>
      </w:pPr>
      <w:r w:rsidRPr="002304A0">
        <w:rPr>
          <w:rFonts w:ascii="Times New Roman" w:hAnsi="Times New Roman" w:cs="Times New Roman"/>
          <w:sz w:val="24"/>
          <w:szCs w:val="24"/>
          <w:lang w:eastAsia="en-US"/>
        </w:rPr>
        <w:t>In questa prospettiva, si impone una riflessione sulla possibilità che l’evoluzione del principio di sussidiarietà, anche nella sua dimensione orizzontale, possa recuperare spazi effettivi di operatività e partecipazione, contribuendo — quantomeno in via correttiva — a riequilibrare le possibili distorsioni derivanti dall’attuale assetto normativo, caratterizzato da una marcata centralizzazione delle scelte e da una limitata integrazione delle istanze territoriali e collettive.</w:t>
      </w:r>
    </w:p>
    <w:p w14:paraId="19378E77" w14:textId="77777777" w:rsidR="002304A0" w:rsidRPr="002304A0" w:rsidRDefault="002304A0" w:rsidP="002304A0">
      <w:pPr>
        <w:spacing w:line="360" w:lineRule="auto"/>
        <w:ind w:left="170" w:right="227" w:firstLine="227"/>
        <w:contextualSpacing/>
        <w:jc w:val="both"/>
        <w:rPr>
          <w:rFonts w:ascii="Times New Roman" w:hAnsi="Times New Roman" w:cs="Times New Roman"/>
          <w:sz w:val="24"/>
          <w:szCs w:val="24"/>
          <w:lang w:eastAsia="en-US"/>
        </w:rPr>
      </w:pPr>
      <w:r w:rsidRPr="002304A0">
        <w:rPr>
          <w:rFonts w:ascii="Times New Roman" w:hAnsi="Times New Roman" w:cs="Times New Roman"/>
          <w:sz w:val="24"/>
          <w:szCs w:val="24"/>
          <w:lang w:eastAsia="en-US"/>
        </w:rPr>
        <w:lastRenderedPageBreak/>
        <w:t>Coerentemente con quanto già esposto all’inizio del presente lavoro nella parte introduttiva relativa all’evoluzione del principio di sussidiarietà, possiamo ritenere che l’interpretazione dell’art. 9 Cost., in combinato disposto con l’art. 118 Cost., assuma una funzione di criterio di bilanciamento e di orientamento. Tale parametro consente di armonizzare sussidiarietà orizzontale e verticale, valorizzare la partecipazione dei cittadini–prosumer e garantire che le scelte amministrative e legislative tengano conto della protezione ambientale e della continuità produttiva dei suoli.</w:t>
      </w:r>
    </w:p>
    <w:p w14:paraId="0361230E" w14:textId="77777777" w:rsidR="002304A0" w:rsidRPr="002304A0" w:rsidRDefault="002304A0" w:rsidP="002304A0">
      <w:pPr>
        <w:spacing w:line="360" w:lineRule="auto"/>
        <w:ind w:left="170" w:right="227" w:firstLine="227"/>
        <w:contextualSpacing/>
        <w:jc w:val="both"/>
        <w:rPr>
          <w:rFonts w:ascii="Times New Roman" w:hAnsi="Times New Roman" w:cs="Times New Roman"/>
          <w:sz w:val="24"/>
          <w:szCs w:val="24"/>
          <w:lang w:eastAsia="en-US"/>
        </w:rPr>
      </w:pPr>
      <w:r w:rsidRPr="002304A0">
        <w:rPr>
          <w:rFonts w:ascii="Times New Roman" w:hAnsi="Times New Roman" w:cs="Times New Roman"/>
          <w:sz w:val="24"/>
          <w:szCs w:val="24"/>
          <w:lang w:eastAsia="en-US"/>
        </w:rPr>
        <w:t>Il parametro costituzionale funge quindi da strumento di coordinamento multilivello, capace di rilegittimare i meccanismi partecipativi, ridurre la frammentazione normativa e orientare la transizione energetica verso un modello integrato, equo e sostenibile, nel quale l’azione pubblica e la responsabilità dei cittadini si intrecciano in maniera effettiva.</w:t>
      </w:r>
    </w:p>
    <w:p w14:paraId="5638DF5D" w14:textId="544EE4BF" w:rsidR="009C2592" w:rsidRDefault="002304A0" w:rsidP="002304A0">
      <w:pPr>
        <w:spacing w:line="360" w:lineRule="auto"/>
        <w:ind w:left="170" w:right="227" w:firstLine="227"/>
        <w:contextualSpacing/>
        <w:jc w:val="both"/>
        <w:rPr>
          <w:rFonts w:ascii="Times New Roman" w:hAnsi="Times New Roman" w:cs="Times New Roman"/>
          <w:sz w:val="24"/>
          <w:szCs w:val="24"/>
          <w:lang w:eastAsia="en-US"/>
        </w:rPr>
      </w:pPr>
      <w:r w:rsidRPr="002304A0">
        <w:rPr>
          <w:rFonts w:ascii="Times New Roman" w:hAnsi="Times New Roman" w:cs="Times New Roman"/>
          <w:sz w:val="24"/>
          <w:szCs w:val="24"/>
          <w:lang w:eastAsia="en-US"/>
        </w:rPr>
        <w:t>In tale quadro, sebbene il sistema sia ancora stratificato e non del tutto organico, esso permette comunque di operare un bilanciamento dei diversi interessi nel contesto della promozione delle energie sostenibili, ivi incluse le CER, secondo due direttrici fondamentali: da un lato, il ruolo dei cittadini–prosumer, attori attivi della produzione e gestione dell’energia; dall’altro, il ruolo degli enti locali, che, pur operando in un contesto accentrato, conservano una funzione di prossimità territoriale essenziale per la mediazione tra interessi collettivi e specificità locali.</w:t>
      </w:r>
    </w:p>
    <w:p w14:paraId="71AA5F5B" w14:textId="77777777" w:rsidR="00331474" w:rsidRDefault="00331474" w:rsidP="002304A0">
      <w:pPr>
        <w:spacing w:line="360" w:lineRule="auto"/>
        <w:ind w:left="170" w:right="227" w:firstLine="227"/>
        <w:contextualSpacing/>
        <w:jc w:val="both"/>
        <w:rPr>
          <w:rFonts w:ascii="Times New Roman" w:hAnsi="Times New Roman" w:cs="Times New Roman"/>
          <w:sz w:val="24"/>
          <w:szCs w:val="24"/>
          <w:lang w:eastAsia="en-US"/>
        </w:rPr>
      </w:pPr>
    </w:p>
    <w:p w14:paraId="1142851E" w14:textId="100DE773" w:rsidR="001154A3" w:rsidRPr="00331474" w:rsidRDefault="00BE5E29" w:rsidP="00331474">
      <w:pPr>
        <w:spacing w:line="360" w:lineRule="auto"/>
        <w:ind w:left="170" w:right="227" w:firstLine="227"/>
        <w:contextualSpacing/>
        <w:jc w:val="both"/>
        <w:rPr>
          <w:rFonts w:ascii="Times New Roman" w:hAnsi="Times New Roman" w:cs="Times New Roman"/>
          <w:b/>
          <w:bCs/>
          <w:sz w:val="24"/>
          <w:szCs w:val="24"/>
          <w:lang w:eastAsia="en-US"/>
        </w:rPr>
      </w:pPr>
      <w:r w:rsidRPr="00BE5E29">
        <w:rPr>
          <w:rFonts w:ascii="Times New Roman" w:hAnsi="Times New Roman" w:cs="Times New Roman"/>
          <w:b/>
          <w:bCs/>
          <w:sz w:val="24"/>
          <w:szCs w:val="24"/>
          <w:lang w:eastAsia="en-US"/>
        </w:rPr>
        <w:t xml:space="preserve">6. </w:t>
      </w:r>
      <w:r>
        <w:rPr>
          <w:rFonts w:ascii="Times New Roman" w:hAnsi="Times New Roman" w:cs="Times New Roman"/>
          <w:b/>
          <w:bCs/>
          <w:sz w:val="24"/>
          <w:szCs w:val="24"/>
          <w:lang w:eastAsia="en-US"/>
        </w:rPr>
        <w:t>Casistica generale</w:t>
      </w:r>
      <w:r w:rsidR="001B382E">
        <w:rPr>
          <w:rFonts w:ascii="Times New Roman" w:hAnsi="Times New Roman" w:cs="Times New Roman"/>
          <w:b/>
          <w:bCs/>
          <w:sz w:val="24"/>
          <w:szCs w:val="24"/>
          <w:lang w:eastAsia="en-US"/>
        </w:rPr>
        <w:t xml:space="preserve"> e bilancio complessivo</w:t>
      </w:r>
      <w:r>
        <w:rPr>
          <w:rFonts w:ascii="Times New Roman" w:hAnsi="Times New Roman" w:cs="Times New Roman"/>
          <w:b/>
          <w:bCs/>
          <w:sz w:val="24"/>
          <w:szCs w:val="24"/>
          <w:lang w:eastAsia="en-US"/>
        </w:rPr>
        <w:t>.</w:t>
      </w:r>
    </w:p>
    <w:p w14:paraId="3FAC8A32" w14:textId="77777777" w:rsid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A conclusione di questo lavoro, e in coerenza con le tematiche affrontate nei paragrafi precedenti, si è ritenuto opportuno estendere l’indagine alla casistica applicativa, prendendo in esame alcune tra le principali leggi regionali adottate nei primi anni di sviluppo delle CER</w:t>
      </w:r>
      <w:r>
        <w:rPr>
          <w:rFonts w:ascii="Times New Roman" w:hAnsi="Times New Roman" w:cs="Times New Roman"/>
          <w:sz w:val="24"/>
          <w:szCs w:val="24"/>
          <w:lang w:eastAsia="en-US"/>
        </w:rPr>
        <w:t>.</w:t>
      </w:r>
    </w:p>
    <w:p w14:paraId="2CF7CDCA" w14:textId="75F5C685" w:rsid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L’obiettivo dell’analisi è di verificare, da un lato, </w:t>
      </w:r>
      <w:r w:rsidRPr="00331474">
        <w:rPr>
          <w:rFonts w:ascii="Times New Roman" w:hAnsi="Times New Roman" w:cs="Times New Roman"/>
          <w:sz w:val="24"/>
          <w:szCs w:val="24"/>
          <w:lang w:eastAsia="en-US"/>
        </w:rPr>
        <w:t>la tenuta dell’impianto teorico ricostruito e, dall’altro, di mettere in luce le diverse modalità con cui le Regioni hanno cercato di intervenire in un ambito caratterizzato, almeno nella fase iniziale, da una parziale assenza di linee guida unitarie</w:t>
      </w:r>
      <w:r>
        <w:rPr>
          <w:rFonts w:ascii="Times New Roman" w:hAnsi="Times New Roman" w:cs="Times New Roman"/>
          <w:sz w:val="24"/>
          <w:szCs w:val="24"/>
          <w:lang w:eastAsia="en-US"/>
        </w:rPr>
        <w:t xml:space="preserve">. </w:t>
      </w:r>
    </w:p>
    <w:p w14:paraId="4CCF349B" w14:textId="5EA71C1B" w:rsidR="00331474" w:rsidRP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Nella fase di abbrivio delle CER</w:t>
      </w:r>
      <w:r>
        <w:rPr>
          <w:rFonts w:ascii="Times New Roman" w:hAnsi="Times New Roman" w:cs="Times New Roman"/>
          <w:sz w:val="24"/>
          <w:szCs w:val="24"/>
          <w:lang w:eastAsia="en-US"/>
        </w:rPr>
        <w:t xml:space="preserve"> </w:t>
      </w:r>
      <w:r w:rsidRPr="00331474">
        <w:rPr>
          <w:rFonts w:ascii="Times New Roman" w:hAnsi="Times New Roman" w:cs="Times New Roman"/>
          <w:sz w:val="24"/>
          <w:szCs w:val="24"/>
          <w:lang w:eastAsia="en-US"/>
        </w:rPr>
        <w:t>non sono mancate iniziative regionali volte a colmare lacune normative, anche con riferimento alla pianificazione territoriale, al fine di adeguare la disciplina alle specifiche esigenze locali. Ciò pone, tuttavia, un problema di fondo: se e in che misura la normativa regionale possa introdurre ulteriori vincoli rispetto a quelli stabiliti a livello statale per la costituzione e il funzionamento delle comunità energetiche.</w:t>
      </w:r>
    </w:p>
    <w:p w14:paraId="38520E1D" w14:textId="2E1318E6" w:rsidR="00331474" w:rsidRP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 xml:space="preserve">Sotto questo profilo, l’analisi della giurisprudenza costituzionale conferma l’impostazione già delineata. Emblematica è la vicenda relativa alla </w:t>
      </w:r>
      <w:bookmarkStart w:id="79" w:name="_Hlk233884498"/>
      <w:r w:rsidRPr="00331474">
        <w:rPr>
          <w:rFonts w:ascii="Times New Roman" w:hAnsi="Times New Roman" w:cs="Times New Roman"/>
          <w:sz w:val="24"/>
          <w:szCs w:val="24"/>
          <w:lang w:eastAsia="en-US"/>
        </w:rPr>
        <w:t xml:space="preserve">legge della Regione Abruzzo n. 8 del 2022, </w:t>
      </w:r>
      <w:bookmarkEnd w:id="79"/>
      <w:r w:rsidRPr="00331474">
        <w:rPr>
          <w:rFonts w:ascii="Times New Roman" w:hAnsi="Times New Roman" w:cs="Times New Roman"/>
          <w:sz w:val="24"/>
          <w:szCs w:val="24"/>
          <w:lang w:eastAsia="en-US"/>
        </w:rPr>
        <w:t xml:space="preserve">impugnata dallo Stato dinanzi alla Corte costituzionale proprio per aver introdotto obblighi </w:t>
      </w:r>
      <w:r w:rsidRPr="00331474">
        <w:rPr>
          <w:rFonts w:ascii="Times New Roman" w:hAnsi="Times New Roman" w:cs="Times New Roman"/>
          <w:sz w:val="24"/>
          <w:szCs w:val="24"/>
          <w:lang w:eastAsia="en-US"/>
        </w:rPr>
        <w:lastRenderedPageBreak/>
        <w:t>ulteriori rispetto alla normativa nazionale. Con la sentenza n. 48 del 23 marzo 2023,</w:t>
      </w:r>
      <w:r>
        <w:rPr>
          <w:rFonts w:ascii="Times New Roman" w:hAnsi="Times New Roman" w:cs="Times New Roman"/>
          <w:sz w:val="24"/>
          <w:szCs w:val="24"/>
          <w:lang w:eastAsia="en-US"/>
        </w:rPr>
        <w:t xml:space="preserve"> infatti,</w:t>
      </w:r>
      <w:r w:rsidRPr="00331474">
        <w:rPr>
          <w:rFonts w:ascii="Times New Roman" w:hAnsi="Times New Roman" w:cs="Times New Roman"/>
          <w:sz w:val="24"/>
          <w:szCs w:val="24"/>
          <w:lang w:eastAsia="en-US"/>
        </w:rPr>
        <w:t xml:space="preserve"> la Corte ha dichiarato l’illegittimità costituzionale della disposizione che attribuiva alla Regione il potere di individuare requisiti e condizioni per la costituzione delle CER, rilevando come tali profili siano già compiutamente disciplinati dalla normativa statale, in conformità al principio europeo di massima apertura e partecipazione.</w:t>
      </w:r>
      <w:r w:rsidR="004F2ECD">
        <w:rPr>
          <w:rStyle w:val="Rimandonotaapidipagina"/>
          <w:rFonts w:ascii="Times New Roman" w:hAnsi="Times New Roman" w:cs="Times New Roman"/>
          <w:sz w:val="24"/>
          <w:szCs w:val="24"/>
          <w:lang w:eastAsia="en-US"/>
        </w:rPr>
        <w:footnoteReference w:id="130"/>
      </w:r>
      <w:r w:rsidRPr="00331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w:t>
      </w:r>
      <w:r w:rsidRPr="00331474">
        <w:rPr>
          <w:rFonts w:ascii="Times New Roman" w:hAnsi="Times New Roman" w:cs="Times New Roman"/>
          <w:sz w:val="24"/>
          <w:szCs w:val="24"/>
          <w:lang w:eastAsia="en-US"/>
        </w:rPr>
        <w:t>na prima considerazione in ordine alla tenuta dell’attuale impianto normativo sembra trovare conferma nella pronuncia della Corte costituzionale. Come già evidenziato nei paragrafi precedenti, infatti, l’obiettivo perseguito dal legislatore è quello di standardizzare, per quanto possibile, i parametri normativi, così da garantire una diffusione omogenea delle CER sull’intero territorio nazionale.</w:t>
      </w:r>
    </w:p>
    <w:p w14:paraId="3EF45184" w14:textId="77777777" w:rsidR="00331474" w:rsidRP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lastRenderedPageBreak/>
        <w:t>Ne deriva che le Regioni non possono intervenire su ambiti riservati alla competenza statale, in particolare con riferimento alla “produzione, trasporto e distribuzione nazionale dell’energia” ai sensi dell’art. 117, terzo comma, Cost., né introdurre vincoli o condizioni ulteriori idonei a ostacolare lo sviluppo delle comunità energetiche. In tale prospettiva, si assiste altresì a una significativa compressione del potere discrezionale regionale, a fronte di un accentramento in capo allo Stato della definizione dei requisiti e delle condizioni per la costituzione e il funzionamento delle CER, ritenuti essenziali per assicurare uniformità e coerenza del sistema.</w:t>
      </w:r>
    </w:p>
    <w:p w14:paraId="3DE80CC5" w14:textId="65D9B816" w:rsid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In questa prospettiva, emerge con chiarezza l’esigenza di preservare un quadro normativo unitario nei suoi principi fondamentali, entro il quale le autonomie regionali possano certamente esplicare funzioni di promozione e sostegno, senza tuttavia alterare l’equilibrio complessivo della disciplina.</w:t>
      </w:r>
    </w:p>
    <w:p w14:paraId="491082E0" w14:textId="77777777" w:rsidR="00331474" w:rsidRP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Quanto al secondo profilo oggetto di indagine, l’analisi mira a mettere in luce le diverse modalità attraverso cui le Regioni hanno tentato di intervenire in un settore che, almeno nella fase iniziale, risultava caratterizzato da una parziale assenza di linee guida unitarie.</w:t>
      </w:r>
    </w:p>
    <w:p w14:paraId="197998A1" w14:textId="77777777" w:rsidR="00331474" w:rsidRPr="00331474" w:rsidRDefault="00331474" w:rsidP="00331474">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In tale contesto, si avrà modo di osservare come alcune esperienze regionali, ritenute particolarmente virtuose, si siano orientate verso il modello delle cosiddette CER “a trazione pubblica”, promuovendo un coinvolgimento attivo degli enti locali nella costituzione e gestione delle comunità energetiche, anche mediante il ricorso a istituti di diritto pubblico, quali il partenariato, pur permanendo le criticità già evidenziate.</w:t>
      </w:r>
    </w:p>
    <w:p w14:paraId="064984B8" w14:textId="77777777" w:rsidR="00670E3E" w:rsidRDefault="00331474" w:rsidP="00670E3E">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 xml:space="preserve">Questa impostazione ha contribuito </w:t>
      </w:r>
      <w:r>
        <w:rPr>
          <w:rFonts w:ascii="Times New Roman" w:hAnsi="Times New Roman" w:cs="Times New Roman"/>
          <w:sz w:val="24"/>
          <w:szCs w:val="24"/>
          <w:lang w:eastAsia="en-US"/>
        </w:rPr>
        <w:t xml:space="preserve">a </w:t>
      </w:r>
      <w:r w:rsidRPr="00331474">
        <w:rPr>
          <w:rFonts w:ascii="Times New Roman" w:hAnsi="Times New Roman" w:cs="Times New Roman"/>
          <w:sz w:val="24"/>
          <w:szCs w:val="24"/>
          <w:lang w:eastAsia="en-US"/>
        </w:rPr>
        <w:t>rafforzare il ruolo delle amministrazioni comunali, ma anche a valorizzare le aree interne e meno urbanizzate del Paese, spesso caratterizzate da condizioni di marginalità economica e infrastrutturale, restituendo centralità ai territori nella promozione delle energie rinnovabili.</w:t>
      </w:r>
    </w:p>
    <w:p w14:paraId="72CBD97B" w14:textId="50E54309" w:rsidR="00331474" w:rsidRPr="00331474" w:rsidRDefault="00331474" w:rsidP="00670E3E">
      <w:pPr>
        <w:spacing w:line="360" w:lineRule="auto"/>
        <w:ind w:left="170" w:right="227" w:firstLine="227"/>
        <w:contextualSpacing/>
        <w:jc w:val="both"/>
        <w:rPr>
          <w:rFonts w:ascii="Times New Roman" w:hAnsi="Times New Roman" w:cs="Times New Roman"/>
          <w:sz w:val="24"/>
          <w:szCs w:val="24"/>
          <w:lang w:eastAsia="en-US"/>
        </w:rPr>
      </w:pPr>
      <w:r w:rsidRPr="00331474">
        <w:rPr>
          <w:rFonts w:ascii="Times New Roman" w:hAnsi="Times New Roman" w:cs="Times New Roman"/>
          <w:sz w:val="24"/>
          <w:szCs w:val="24"/>
          <w:lang w:eastAsia="en-US"/>
        </w:rPr>
        <w:t xml:space="preserve">Un esempio significativo di tale approccio è rappresentato dalla legge regionale dell’Emilia-Romagna n. 5 del 27 maggio 2022, con la quale si promuove e si sostiene attivamente lo sviluppo delle comunità energetiche rinnovabili, anche attraverso il coinvolgimento diretto degli enti territoriali. Una delle caratteristiche </w:t>
      </w:r>
      <w:r>
        <w:rPr>
          <w:rFonts w:ascii="Times New Roman" w:hAnsi="Times New Roman" w:cs="Times New Roman"/>
          <w:sz w:val="24"/>
          <w:szCs w:val="24"/>
          <w:lang w:eastAsia="en-US"/>
        </w:rPr>
        <w:t xml:space="preserve">principali </w:t>
      </w:r>
      <w:r w:rsidRPr="00331474">
        <w:rPr>
          <w:rFonts w:ascii="Times New Roman" w:hAnsi="Times New Roman" w:cs="Times New Roman"/>
          <w:sz w:val="24"/>
          <w:szCs w:val="24"/>
          <w:lang w:eastAsia="en-US"/>
        </w:rPr>
        <w:t>della legge regionale risiede nell’articolo 4, che offre un sostegno potenziato alle comunità energetiche rinnovabili che si distinguono per una forte componente sociale e territoriale</w:t>
      </w:r>
      <w:r>
        <w:rPr>
          <w:rFonts w:ascii="Times New Roman" w:hAnsi="Times New Roman" w:cs="Times New Roman"/>
          <w:sz w:val="24"/>
          <w:szCs w:val="24"/>
          <w:lang w:eastAsia="en-US"/>
        </w:rPr>
        <w:t xml:space="preserve">. </w:t>
      </w:r>
      <w:r w:rsidRPr="00331474">
        <w:rPr>
          <w:rFonts w:ascii="Times New Roman" w:hAnsi="Times New Roman" w:cs="Times New Roman"/>
          <w:sz w:val="24"/>
          <w:szCs w:val="24"/>
          <w:lang w:eastAsia="en-US"/>
        </w:rPr>
        <w:t xml:space="preserve">Questo approccio mira a premiare le iniziative che, oltre a essere sostenibili dal punto di vista ambientale, agiscono come veri e propri motori di cambiamento sociale, dando spazio a realtà che si fanno carico delle disuguaglianze economiche </w:t>
      </w:r>
      <w:r w:rsidRPr="00331474">
        <w:rPr>
          <w:rFonts w:ascii="Times New Roman" w:hAnsi="Times New Roman" w:cs="Times New Roman"/>
          <w:sz w:val="24"/>
          <w:szCs w:val="24"/>
          <w:lang w:eastAsia="en-US"/>
        </w:rPr>
        <w:lastRenderedPageBreak/>
        <w:t>e territoriali. Per beneficiare di questo sostegno, infatti, la comunità energetica deve possedere almeno una delle seguenti caratteristiche</w:t>
      </w:r>
      <w:r>
        <w:rPr>
          <w:rFonts w:ascii="Times New Roman" w:hAnsi="Times New Roman" w:cs="Times New Roman"/>
          <w:sz w:val="24"/>
          <w:szCs w:val="24"/>
          <w:lang w:eastAsia="en-US"/>
        </w:rPr>
        <w:t>:</w:t>
      </w:r>
      <w:r>
        <w:rPr>
          <w:rStyle w:val="Rimandonotaapidipagina"/>
          <w:rFonts w:ascii="Times New Roman" w:hAnsi="Times New Roman" w:cs="Times New Roman"/>
          <w:sz w:val="24"/>
          <w:szCs w:val="24"/>
          <w:lang w:eastAsia="en-US"/>
        </w:rPr>
        <w:footnoteReference w:id="131"/>
      </w:r>
      <w:r w:rsidRPr="00331474">
        <w:rPr>
          <w:rFonts w:ascii="Times New Roman" w:hAnsi="Times New Roman" w:cs="Times New Roman"/>
          <w:vanish/>
          <w:sz w:val="24"/>
          <w:szCs w:val="24"/>
          <w:lang w:eastAsia="en-US"/>
        </w:rPr>
        <w:t>Inizio modulo</w:t>
      </w:r>
    </w:p>
    <w:p w14:paraId="76FEAFB3" w14:textId="77777777" w:rsidR="00331474" w:rsidRPr="00331474" w:rsidRDefault="00331474" w:rsidP="00331474">
      <w:pPr>
        <w:spacing w:line="360" w:lineRule="auto"/>
        <w:ind w:left="170" w:right="227" w:firstLine="227"/>
        <w:contextualSpacing/>
        <w:jc w:val="both"/>
        <w:rPr>
          <w:rFonts w:ascii="Times New Roman" w:hAnsi="Times New Roman" w:cs="Times New Roman"/>
          <w:vanish/>
          <w:sz w:val="24"/>
          <w:szCs w:val="24"/>
          <w:lang w:eastAsia="en-US"/>
        </w:rPr>
      </w:pPr>
      <w:r w:rsidRPr="00331474">
        <w:rPr>
          <w:rFonts w:ascii="Times New Roman" w:hAnsi="Times New Roman" w:cs="Times New Roman"/>
          <w:vanish/>
          <w:sz w:val="24"/>
          <w:szCs w:val="24"/>
          <w:lang w:eastAsia="en-US"/>
        </w:rPr>
        <w:t>Fine modulo</w:t>
      </w:r>
    </w:p>
    <w:p w14:paraId="2C77C036" w14:textId="77777777" w:rsidR="00EB3E60" w:rsidRPr="00EB3E60" w:rsidRDefault="00EB3E60" w:rsidP="00EB3E60">
      <w:pPr>
        <w:numPr>
          <w:ilvl w:val="0"/>
          <w:numId w:val="14"/>
        </w:numPr>
        <w:spacing w:line="360" w:lineRule="auto"/>
        <w:ind w:right="227"/>
        <w:contextualSpacing/>
        <w:jc w:val="both"/>
        <w:rPr>
          <w:rFonts w:ascii="Times New Roman" w:hAnsi="Times New Roman" w:cs="Times New Roman"/>
          <w:sz w:val="24"/>
          <w:szCs w:val="24"/>
          <w:lang w:eastAsia="en-US"/>
        </w:rPr>
      </w:pPr>
      <w:r w:rsidRPr="00EB3E60">
        <w:rPr>
          <w:rFonts w:ascii="Times New Roman" w:hAnsi="Times New Roman" w:cs="Times New Roman"/>
          <w:sz w:val="24"/>
          <w:szCs w:val="24"/>
          <w:lang w:eastAsia="en-US"/>
        </w:rPr>
        <w:t xml:space="preserve">L’impegno degli enti locali che hanno già adottato strategie per l’adattamento ai cambiamenti climatici o che abbiano messo a disposizione spazi pubblici (come tetti di edifici pubblici) per l'installazione degli impianti, unendo la politica locale alla realizzazione pratica degli impianti energetici. </w:t>
      </w:r>
    </w:p>
    <w:p w14:paraId="09159E0E" w14:textId="77777777" w:rsidR="00EB3E60" w:rsidRPr="00EB3E60" w:rsidRDefault="00EB3E60" w:rsidP="00EB3E60">
      <w:pPr>
        <w:numPr>
          <w:ilvl w:val="0"/>
          <w:numId w:val="14"/>
        </w:numPr>
        <w:spacing w:line="360" w:lineRule="auto"/>
        <w:ind w:right="227"/>
        <w:contextualSpacing/>
        <w:jc w:val="both"/>
        <w:rPr>
          <w:rFonts w:ascii="Times New Roman" w:hAnsi="Times New Roman" w:cs="Times New Roman"/>
          <w:sz w:val="24"/>
          <w:szCs w:val="24"/>
          <w:lang w:eastAsia="en-US"/>
        </w:rPr>
      </w:pPr>
      <w:r w:rsidRPr="00EB3E60">
        <w:rPr>
          <w:rFonts w:ascii="Times New Roman" w:hAnsi="Times New Roman" w:cs="Times New Roman"/>
          <w:sz w:val="24"/>
          <w:szCs w:val="24"/>
          <w:lang w:eastAsia="en-US"/>
        </w:rPr>
        <w:t xml:space="preserve">La localizzazione nelle aree montane e interne, luoghi spesso dimenticati dalle politiche economiche, dove l’obiettivo non è solo generare energia, ma rinvigorire le comunità e contrastare l’abbandono e l’esodo di queste terre. </w:t>
      </w:r>
    </w:p>
    <w:p w14:paraId="1D5D28AC" w14:textId="77777777" w:rsidR="00EB3E60" w:rsidRPr="00EB3E60" w:rsidRDefault="00EB3E60" w:rsidP="00EB3E60">
      <w:pPr>
        <w:numPr>
          <w:ilvl w:val="0"/>
          <w:numId w:val="14"/>
        </w:numPr>
        <w:spacing w:line="360" w:lineRule="auto"/>
        <w:ind w:right="227"/>
        <w:contextualSpacing/>
        <w:jc w:val="both"/>
        <w:rPr>
          <w:rFonts w:ascii="Times New Roman" w:hAnsi="Times New Roman" w:cs="Times New Roman"/>
          <w:sz w:val="24"/>
          <w:szCs w:val="24"/>
          <w:lang w:eastAsia="en-US"/>
        </w:rPr>
      </w:pPr>
      <w:r w:rsidRPr="00EB3E60">
        <w:rPr>
          <w:rFonts w:ascii="Times New Roman" w:hAnsi="Times New Roman" w:cs="Times New Roman"/>
          <w:sz w:val="24"/>
          <w:szCs w:val="24"/>
          <w:lang w:eastAsia="en-US"/>
        </w:rPr>
        <w:t xml:space="preserve">La promozione di progetti di solidarietà e inclusione sociale, che vedano attivamente coinvolti enti locali e associazioni del Terzo Settore, a favore di una coesione sociale che renda la comunità energetica un simbolo di impegno collettivo. </w:t>
      </w:r>
    </w:p>
    <w:p w14:paraId="19EE210F" w14:textId="77777777" w:rsidR="00EB3E60" w:rsidRPr="00EB3E60" w:rsidRDefault="00EB3E60" w:rsidP="00EB3E60">
      <w:pPr>
        <w:spacing w:line="360" w:lineRule="auto"/>
        <w:ind w:left="170" w:right="227" w:firstLine="227"/>
        <w:contextualSpacing/>
        <w:jc w:val="both"/>
        <w:rPr>
          <w:rFonts w:ascii="Times New Roman" w:hAnsi="Times New Roman" w:cs="Times New Roman"/>
          <w:sz w:val="24"/>
          <w:szCs w:val="24"/>
          <w:lang w:eastAsia="en-US"/>
        </w:rPr>
      </w:pPr>
      <w:r w:rsidRPr="00EB3E60">
        <w:rPr>
          <w:rFonts w:ascii="Times New Roman" w:hAnsi="Times New Roman" w:cs="Times New Roman"/>
          <w:sz w:val="24"/>
          <w:szCs w:val="24"/>
          <w:lang w:eastAsia="en-US"/>
        </w:rPr>
        <w:t>Questa visione di integrazione non è solo un atto di sostenibilità ambientale, ma si trasforma in un vero e proprio strumento di giustizia sociale. Le CER diventano così protagoniste di una rivoluzione che si radica nei territori più fragili, in grado di cambiare le dinamiche socio-economiche, dando nuove opportunità a chi vive nelle aree svantaggiate e interne.</w:t>
      </w:r>
    </w:p>
    <w:p w14:paraId="023968F9" w14:textId="4F5FD8A3" w:rsidR="002A492D" w:rsidRPr="004C1A3C" w:rsidRDefault="00EB3E60" w:rsidP="007D2C64">
      <w:pPr>
        <w:spacing w:line="360" w:lineRule="auto"/>
        <w:ind w:left="170" w:right="227" w:firstLine="227"/>
        <w:contextualSpacing/>
        <w:jc w:val="both"/>
        <w:rPr>
          <w:rFonts w:ascii="Times New Roman" w:hAnsi="Times New Roman" w:cs="Times New Roman"/>
          <w:sz w:val="24"/>
          <w:szCs w:val="24"/>
          <w:lang w:eastAsia="en-US"/>
        </w:rPr>
      </w:pPr>
      <w:r w:rsidRPr="00EB3E60">
        <w:rPr>
          <w:rFonts w:ascii="Times New Roman" w:hAnsi="Times New Roman" w:cs="Times New Roman"/>
          <w:sz w:val="24"/>
          <w:szCs w:val="24"/>
          <w:lang w:eastAsia="en-US"/>
        </w:rPr>
        <w:t>In aggiunta, l’articolo 5 prevede la creazione di un Registro delle comunità energetiche rinnovabili della Regione Emilia-Romagna, un organo fondamentale per monitorare l’implementazione della legge e fornire al Tavolo tecnico permanente i dati necessari per una supervisione costante. Questo Registro, più di un semplice strumento di trasparenza, si configura come un centro nevralgico per raccogliere e analizzare informazioni cruciali, al fine di ottimizzare l’efficacia delle politiche regionali, garantendo che le comunità energetiche siano allineate agli obiettivi di sostenibilità e inclusività perseguiti dalla legge.</w:t>
      </w:r>
    </w:p>
    <w:p w14:paraId="3322D356" w14:textId="5D8A7DCA" w:rsidR="007D2C64" w:rsidRDefault="00331474" w:rsidP="007D2C64">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Altro esempio emblematico è la</w:t>
      </w:r>
      <w:r w:rsidR="004C1A3C" w:rsidRPr="00F33ED5">
        <w:rPr>
          <w:rFonts w:ascii="Times New Roman" w:hAnsi="Times New Roman" w:cs="Times New Roman"/>
          <w:sz w:val="24"/>
          <w:szCs w:val="24"/>
          <w:lang w:eastAsia="en-US"/>
        </w:rPr>
        <w:t xml:space="preserve"> </w:t>
      </w:r>
      <w:bookmarkStart w:id="83" w:name="_Hlk233884468"/>
      <w:r w:rsidR="004C1A3C" w:rsidRPr="00F33ED5">
        <w:rPr>
          <w:rFonts w:ascii="Times New Roman" w:hAnsi="Times New Roman" w:cs="Times New Roman"/>
          <w:sz w:val="24"/>
          <w:szCs w:val="24"/>
          <w:lang w:eastAsia="en-US"/>
        </w:rPr>
        <w:t xml:space="preserve">legge regionale </w:t>
      </w:r>
      <w:r>
        <w:rPr>
          <w:rFonts w:ascii="Times New Roman" w:hAnsi="Times New Roman" w:cs="Times New Roman"/>
          <w:sz w:val="24"/>
          <w:szCs w:val="24"/>
          <w:lang w:eastAsia="en-US"/>
        </w:rPr>
        <w:t xml:space="preserve">delle </w:t>
      </w:r>
      <w:r w:rsidR="004C1A3C" w:rsidRPr="00F33ED5">
        <w:rPr>
          <w:rFonts w:ascii="Times New Roman" w:hAnsi="Times New Roman" w:cs="Times New Roman"/>
          <w:sz w:val="24"/>
          <w:szCs w:val="24"/>
          <w:lang w:eastAsia="en-US"/>
        </w:rPr>
        <w:t>Marche, n. 10232, 11 giugno 2021</w:t>
      </w:r>
      <w:bookmarkEnd w:id="83"/>
      <w:r w:rsidR="004C1A3C" w:rsidRPr="00F33ED5">
        <w:rPr>
          <w:rFonts w:ascii="Times New Roman" w:hAnsi="Times New Roman" w:cs="Times New Roman"/>
          <w:sz w:val="24"/>
          <w:szCs w:val="24"/>
          <w:lang w:eastAsia="en-US"/>
        </w:rPr>
        <w:t>,</w:t>
      </w:r>
      <w:r w:rsidR="00F33ED5">
        <w:rPr>
          <w:rStyle w:val="Rimandonotaapidipagina"/>
          <w:rFonts w:ascii="Times New Roman" w:hAnsi="Times New Roman" w:cs="Times New Roman"/>
          <w:b/>
          <w:bCs/>
          <w:sz w:val="24"/>
          <w:szCs w:val="24"/>
          <w:lang w:eastAsia="en-US"/>
        </w:rPr>
        <w:footnoteReference w:id="132"/>
      </w:r>
      <w:r w:rsidR="00F33ED5">
        <w:rPr>
          <w:rFonts w:ascii="Times New Roman" w:hAnsi="Times New Roman" w:cs="Times New Roman"/>
          <w:sz w:val="24"/>
          <w:szCs w:val="24"/>
          <w:lang w:eastAsia="en-US"/>
        </w:rPr>
        <w:t xml:space="preserve"> </w:t>
      </w:r>
      <w:r w:rsidR="004C1A3C" w:rsidRPr="00F33ED5">
        <w:rPr>
          <w:rFonts w:ascii="Times New Roman" w:hAnsi="Times New Roman" w:cs="Times New Roman"/>
          <w:sz w:val="24"/>
          <w:szCs w:val="24"/>
          <w:lang w:eastAsia="en-US"/>
        </w:rPr>
        <w:t xml:space="preserve">che attribuisce un ruolo centrale ai comuni </w:t>
      </w:r>
      <w:r w:rsidR="00B934EA" w:rsidRPr="00F33ED5">
        <w:rPr>
          <w:rFonts w:ascii="Times New Roman" w:hAnsi="Times New Roman" w:cs="Times New Roman"/>
          <w:sz w:val="24"/>
          <w:szCs w:val="24"/>
          <w:lang w:eastAsia="en-US"/>
        </w:rPr>
        <w:t xml:space="preserve">sin dalla fase di costituzione </w:t>
      </w:r>
      <w:r w:rsidR="004C1A3C" w:rsidRPr="00F33ED5">
        <w:rPr>
          <w:rFonts w:ascii="Times New Roman" w:hAnsi="Times New Roman" w:cs="Times New Roman"/>
          <w:sz w:val="24"/>
          <w:szCs w:val="24"/>
          <w:lang w:eastAsia="en-US"/>
        </w:rPr>
        <w:t>CE</w:t>
      </w:r>
      <w:r w:rsidR="00B934EA" w:rsidRPr="00F33ED5">
        <w:rPr>
          <w:rFonts w:ascii="Times New Roman" w:hAnsi="Times New Roman" w:cs="Times New Roman"/>
          <w:sz w:val="24"/>
          <w:szCs w:val="24"/>
          <w:lang w:eastAsia="en-US"/>
        </w:rPr>
        <w:t>R, in particolare</w:t>
      </w:r>
      <w:r w:rsidR="004C1A3C" w:rsidRPr="00F33ED5">
        <w:rPr>
          <w:rFonts w:ascii="Times New Roman" w:hAnsi="Times New Roman" w:cs="Times New Roman"/>
          <w:sz w:val="24"/>
          <w:szCs w:val="24"/>
          <w:lang w:eastAsia="en-US"/>
        </w:rPr>
        <w:t xml:space="preserve">, </w:t>
      </w:r>
      <w:r w:rsidR="004C1A3C" w:rsidRPr="00F33ED5">
        <w:rPr>
          <w:rFonts w:ascii="Times New Roman" w:hAnsi="Times New Roman" w:cs="Times New Roman"/>
          <w:sz w:val="24"/>
          <w:szCs w:val="24"/>
          <w:lang w:eastAsia="en-US"/>
        </w:rPr>
        <w:lastRenderedPageBreak/>
        <w:t>l'articolo 3</w:t>
      </w:r>
      <w:r w:rsidR="00B934EA" w:rsidRPr="00F33ED5">
        <w:rPr>
          <w:rFonts w:ascii="Times New Roman" w:hAnsi="Times New Roman" w:cs="Times New Roman"/>
          <w:sz w:val="24"/>
          <w:szCs w:val="24"/>
          <w:lang w:eastAsia="en-US"/>
        </w:rPr>
        <w:t>,</w:t>
      </w:r>
      <w:r w:rsidR="004C1A3C" w:rsidRPr="00F33ED5">
        <w:rPr>
          <w:rFonts w:ascii="Times New Roman" w:hAnsi="Times New Roman" w:cs="Times New Roman"/>
          <w:sz w:val="24"/>
          <w:szCs w:val="24"/>
          <w:lang w:eastAsia="en-US"/>
        </w:rPr>
        <w:t xml:space="preserve"> stabilisce che «la </w:t>
      </w:r>
      <w:r w:rsidR="004C1A3C" w:rsidRPr="00F33ED5">
        <w:rPr>
          <w:rFonts w:ascii="Times New Roman" w:hAnsi="Times New Roman" w:cs="Times New Roman"/>
          <w:i/>
          <w:iCs/>
          <w:sz w:val="24"/>
          <w:szCs w:val="24"/>
          <w:lang w:eastAsia="en-US"/>
        </w:rPr>
        <w:t>CER può essere costituita anche su iniziativa di uno o più enti locali, i quali, mediante l'adozione di un protocollo d'intesa, redatto secondo lo schema-tipo predisposto dalla Giunta regionale, perseguono l’obiettivo di sostenere la diffusione e l'integrazione dei sistemi locali di produzione, consumo e accumulo di energia</w:t>
      </w:r>
      <w:r w:rsidR="004C1A3C" w:rsidRPr="00F33ED5">
        <w:rPr>
          <w:rFonts w:ascii="Times New Roman" w:hAnsi="Times New Roman" w:cs="Times New Roman"/>
          <w:sz w:val="24"/>
          <w:szCs w:val="24"/>
          <w:lang w:eastAsia="en-US"/>
        </w:rPr>
        <w:t xml:space="preserve">». </w:t>
      </w:r>
      <w:r w:rsidR="00F33ED5" w:rsidRPr="00F33ED5">
        <w:rPr>
          <w:rFonts w:ascii="Times New Roman" w:hAnsi="Times New Roman" w:cs="Times New Roman"/>
          <w:sz w:val="24"/>
          <w:szCs w:val="24"/>
          <w:lang w:eastAsia="en-US"/>
        </w:rPr>
        <w:t>In tal modo, l'amministrazione regionale non si limita semplicemente a incoraggiare la costituzione delle CER tramite gli enti locali, ma introduce il protocollo d'intesa come strumento amministrativo fondamentale per formalizzare l’impegno degli stessi enti locali. Questo strumento ha il pregio di semplificare la cooperazione tra i soggetti pubblici e privati, fornendo un quadro chiaro degli obiettivi comuni e delle modalità operative, sulla base di uno schema predisposto dalla Giunta regionale.</w:t>
      </w:r>
      <w:r w:rsidR="004F2ECD">
        <w:rPr>
          <w:rStyle w:val="Rimandonotaapidipagina"/>
          <w:rFonts w:ascii="Times New Roman" w:hAnsi="Times New Roman" w:cs="Times New Roman"/>
          <w:sz w:val="24"/>
          <w:szCs w:val="24"/>
          <w:lang w:eastAsia="en-US"/>
        </w:rPr>
        <w:footnoteReference w:id="133"/>
      </w:r>
    </w:p>
    <w:p w14:paraId="4029F9C3" w14:textId="7C02460C" w:rsidR="00F33ED5" w:rsidRPr="00F33ED5" w:rsidRDefault="007D2C64" w:rsidP="007D2C64">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Tra le </w:t>
      </w:r>
      <w:r w:rsidR="00F33ED5" w:rsidRPr="00F33ED5">
        <w:rPr>
          <w:rFonts w:ascii="Times New Roman" w:hAnsi="Times New Roman" w:cs="Times New Roman"/>
          <w:sz w:val="24"/>
          <w:szCs w:val="24"/>
          <w:lang w:eastAsia="en-US"/>
        </w:rPr>
        <w:t>misure più significative per il sostegno alla diffusione delle Comunità Energetiche Rinnovabili</w:t>
      </w:r>
      <w:r>
        <w:rPr>
          <w:rFonts w:ascii="Times New Roman" w:hAnsi="Times New Roman" w:cs="Times New Roman"/>
          <w:sz w:val="24"/>
          <w:szCs w:val="24"/>
          <w:lang w:eastAsia="en-US"/>
        </w:rPr>
        <w:t xml:space="preserve"> rileva il</w:t>
      </w:r>
      <w:r w:rsidR="00F33ED5" w:rsidRPr="00F33ED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c</w:t>
      </w:r>
      <w:r w:rsidR="00F33ED5" w:rsidRPr="00F33ED5">
        <w:rPr>
          <w:rFonts w:ascii="Times New Roman" w:hAnsi="Times New Roman" w:cs="Times New Roman"/>
          <w:sz w:val="24"/>
          <w:szCs w:val="24"/>
          <w:lang w:eastAsia="en-US"/>
        </w:rPr>
        <w:t>ontributo finanziario regionale per la loro costituzione e per la realizzazione degli impianti ad esse connessi. Questo intervento non si limita a un aiuto economico, ma include anche l'eliminazione di quegli ostacoli normativi e amministrativi che spesso costituiscono veri e propri freni al loro sviluppo, creando così un terreno più fertile per la crescita delle CER</w:t>
      </w:r>
      <w:r w:rsidR="00EB1DD6">
        <w:rPr>
          <w:rFonts w:ascii="Times New Roman" w:hAnsi="Times New Roman" w:cs="Times New Roman"/>
          <w:sz w:val="24"/>
          <w:szCs w:val="24"/>
          <w:lang w:eastAsia="en-US"/>
        </w:rPr>
        <w:t xml:space="preserve">. </w:t>
      </w:r>
      <w:r w:rsidR="00F33ED5" w:rsidRPr="00F33ED5">
        <w:rPr>
          <w:rFonts w:ascii="Times New Roman" w:hAnsi="Times New Roman" w:cs="Times New Roman"/>
          <w:sz w:val="24"/>
          <w:szCs w:val="24"/>
          <w:lang w:eastAsia="en-US"/>
        </w:rPr>
        <w:t>Al contempo, la Regione lancia anche iniziative di comunicazione, mirando a coinvolgere il più ampio numero possibile di consumatori, rendendoli partecipi di un cambiamento che riguarda il futuro di tutti.</w:t>
      </w:r>
    </w:p>
    <w:p w14:paraId="0F3CF24F" w14:textId="11DF2A30" w:rsidR="004A53C4" w:rsidRPr="004A53C4" w:rsidRDefault="00331474" w:rsidP="004A53C4">
      <w:pPr>
        <w:spacing w:line="360" w:lineRule="auto"/>
        <w:ind w:left="170" w:right="227" w:firstLine="22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Infine, </w:t>
      </w:r>
      <w:r w:rsidR="004A53C4" w:rsidRPr="004A53C4">
        <w:rPr>
          <w:rFonts w:ascii="Times New Roman" w:hAnsi="Times New Roman" w:cs="Times New Roman"/>
          <w:sz w:val="24"/>
          <w:szCs w:val="24"/>
          <w:lang w:eastAsia="en-US"/>
        </w:rPr>
        <w:t xml:space="preserve">merita attenzione ai fini dell'indagine </w:t>
      </w:r>
      <w:r>
        <w:rPr>
          <w:rFonts w:ascii="Times New Roman" w:hAnsi="Times New Roman" w:cs="Times New Roman"/>
          <w:sz w:val="24"/>
          <w:szCs w:val="24"/>
          <w:lang w:eastAsia="en-US"/>
        </w:rPr>
        <w:t>anche</w:t>
      </w:r>
      <w:r w:rsidR="004A53C4" w:rsidRPr="004A53C4">
        <w:rPr>
          <w:rFonts w:ascii="Times New Roman" w:hAnsi="Times New Roman" w:cs="Times New Roman"/>
          <w:sz w:val="24"/>
          <w:szCs w:val="24"/>
          <w:lang w:eastAsia="en-US"/>
        </w:rPr>
        <w:t xml:space="preserve"> </w:t>
      </w:r>
      <w:bookmarkStart w:id="84" w:name="_Hlk233884527"/>
      <w:r w:rsidR="004A53C4" w:rsidRPr="004A53C4">
        <w:rPr>
          <w:rFonts w:ascii="Times New Roman" w:hAnsi="Times New Roman" w:cs="Times New Roman"/>
          <w:sz w:val="24"/>
          <w:szCs w:val="24"/>
          <w:lang w:eastAsia="en-US"/>
        </w:rPr>
        <w:t>la Legge Regionale</w:t>
      </w:r>
      <w:r>
        <w:rPr>
          <w:rFonts w:ascii="Times New Roman" w:hAnsi="Times New Roman" w:cs="Times New Roman"/>
          <w:sz w:val="24"/>
          <w:szCs w:val="24"/>
          <w:lang w:eastAsia="en-US"/>
        </w:rPr>
        <w:t xml:space="preserve"> della</w:t>
      </w:r>
      <w:r w:rsidR="004A53C4" w:rsidRPr="004A53C4">
        <w:rPr>
          <w:rFonts w:ascii="Times New Roman" w:hAnsi="Times New Roman" w:cs="Times New Roman"/>
          <w:sz w:val="24"/>
          <w:szCs w:val="24"/>
          <w:lang w:eastAsia="en-US"/>
        </w:rPr>
        <w:t xml:space="preserve"> Toscana n. 42 del 28 novembre 2022</w:t>
      </w:r>
      <w:bookmarkEnd w:id="84"/>
      <w:r w:rsidR="004A53C4" w:rsidRPr="004A53C4">
        <w:rPr>
          <w:rFonts w:ascii="Times New Roman" w:hAnsi="Times New Roman" w:cs="Times New Roman"/>
          <w:sz w:val="24"/>
          <w:szCs w:val="24"/>
          <w:lang w:eastAsia="en-US"/>
        </w:rPr>
        <w:t>,</w:t>
      </w:r>
      <w:r w:rsidR="004A53C4">
        <w:rPr>
          <w:rStyle w:val="Rimandonotaapidipagina"/>
          <w:rFonts w:ascii="Times New Roman" w:hAnsi="Times New Roman" w:cs="Times New Roman"/>
          <w:sz w:val="24"/>
          <w:szCs w:val="24"/>
          <w:lang w:eastAsia="en-US"/>
        </w:rPr>
        <w:footnoteReference w:id="134"/>
      </w:r>
      <w:r w:rsidR="004A53C4" w:rsidRPr="004A53C4">
        <w:rPr>
          <w:rFonts w:ascii="Times New Roman" w:hAnsi="Times New Roman" w:cs="Times New Roman"/>
          <w:sz w:val="24"/>
          <w:szCs w:val="24"/>
          <w:lang w:eastAsia="en-US"/>
        </w:rPr>
        <w:t xml:space="preserve"> con la quale l'amministrazione regionale si impegna a favorire la costituzione delle Comunità Energetiche Rinnovabili (CER), mettendo a disposizione strumenti finanziari mirati all'interno di una programmazione che promuove la transizione ecologica ed energetica. Un aspetto centrale di questa legge è l'iniziativa volta a rafforzare le competenze professionali all'interno degli enti locali, con particolare attenzione alla formazione e all'aggiornamento continuo delle professionalità coinvolte. Questo intervento formativo è di fondamentale importanza, poiché, come emerso nel corso della presente analisi, la realizzazione di una CER comporta una serie di aspetti legati al monitoraggio, al controllo e anche alla gestione fiscale, che richiedono competenze specifiche. Questi aspetti sono cruciali per garantire l'affidabilità dei progetti e per incentivare gli investimenti a lungo termine da parte delle imprese, che necessitano di una gestione competente e trasparente.</w:t>
      </w:r>
    </w:p>
    <w:p w14:paraId="30287F7E" w14:textId="77777777" w:rsidR="004A53C4" w:rsidRPr="004A53C4" w:rsidRDefault="004A53C4" w:rsidP="004A53C4">
      <w:pPr>
        <w:spacing w:line="360" w:lineRule="auto"/>
        <w:ind w:left="170" w:right="227" w:firstLine="227"/>
        <w:contextualSpacing/>
        <w:jc w:val="both"/>
        <w:rPr>
          <w:rFonts w:ascii="Times New Roman" w:hAnsi="Times New Roman" w:cs="Times New Roman"/>
          <w:sz w:val="24"/>
          <w:szCs w:val="24"/>
          <w:lang w:eastAsia="en-US"/>
        </w:rPr>
      </w:pPr>
      <w:r w:rsidRPr="004A53C4">
        <w:rPr>
          <w:rFonts w:ascii="Times New Roman" w:hAnsi="Times New Roman" w:cs="Times New Roman"/>
          <w:sz w:val="24"/>
          <w:szCs w:val="24"/>
          <w:lang w:eastAsia="en-US"/>
        </w:rPr>
        <w:t>La Regione, dunque, riconosce l'importanza di dotare i tecnici e i professionisti locali delle competenze necessarie per progettare, gestire e sviluppare le comunità energetiche in modo efficace. L'obiettivo è creare una rete di esperti locali che possano supportare attivamente le amministrazioni comunali, trasformando i territori in protagonisti della transizione energetica e contribuendo a un cambiamento sostenibile e duraturo.</w:t>
      </w:r>
    </w:p>
    <w:p w14:paraId="1CAFC07E" w14:textId="140F47D7" w:rsidR="004A53C4" w:rsidRPr="004A53C4" w:rsidRDefault="004A53C4" w:rsidP="004A53C4">
      <w:pPr>
        <w:spacing w:line="360" w:lineRule="auto"/>
        <w:ind w:left="170" w:right="227" w:firstLine="227"/>
        <w:contextualSpacing/>
        <w:jc w:val="both"/>
        <w:rPr>
          <w:rFonts w:ascii="Times New Roman" w:hAnsi="Times New Roman" w:cs="Times New Roman"/>
          <w:sz w:val="24"/>
          <w:szCs w:val="24"/>
          <w:lang w:eastAsia="en-US"/>
        </w:rPr>
      </w:pPr>
      <w:r w:rsidRPr="004A53C4">
        <w:rPr>
          <w:rFonts w:ascii="Times New Roman" w:hAnsi="Times New Roman" w:cs="Times New Roman"/>
          <w:sz w:val="24"/>
          <w:szCs w:val="24"/>
          <w:lang w:eastAsia="en-US"/>
        </w:rPr>
        <w:t>La legge prevede anche il coinvolgimento attivo di associazioni di cittadini, consumatori e di categoria, impegnate nella diffusione e promozione delle CER</w:t>
      </w:r>
      <w:r>
        <w:rPr>
          <w:rFonts w:ascii="Times New Roman" w:hAnsi="Times New Roman" w:cs="Times New Roman"/>
          <w:sz w:val="24"/>
          <w:szCs w:val="24"/>
          <w:lang w:eastAsia="en-US"/>
        </w:rPr>
        <w:t xml:space="preserve"> attraverso la programmazione di </w:t>
      </w:r>
      <w:r w:rsidRPr="004A53C4">
        <w:rPr>
          <w:rFonts w:ascii="Times New Roman" w:hAnsi="Times New Roman" w:cs="Times New Roman"/>
          <w:sz w:val="24"/>
          <w:szCs w:val="24"/>
          <w:lang w:eastAsia="en-US"/>
        </w:rPr>
        <w:t>attività di sensibilizzazione e informazione diretta, tra cui consulenze energetiche a sportello e l'organizzazione di eventi divulgativi. La Regione, così, si fa promotrice di un'informazione capillare e di un'educazione energetica che coinvolga direttamente i cittadini, incentivando la loro partecipazione attiva nella creazione delle CER locali.</w:t>
      </w:r>
    </w:p>
    <w:p w14:paraId="3F4DEBC3" w14:textId="063F27E4" w:rsidR="004A53C4" w:rsidRDefault="004A53C4" w:rsidP="00331474">
      <w:pPr>
        <w:spacing w:line="360" w:lineRule="auto"/>
        <w:ind w:left="170" w:right="227" w:firstLine="227"/>
        <w:contextualSpacing/>
        <w:jc w:val="both"/>
        <w:rPr>
          <w:rFonts w:ascii="Times New Roman" w:hAnsi="Times New Roman" w:cs="Times New Roman"/>
          <w:sz w:val="24"/>
          <w:szCs w:val="24"/>
          <w:lang w:eastAsia="en-US"/>
        </w:rPr>
      </w:pPr>
      <w:r w:rsidRPr="004A53C4">
        <w:rPr>
          <w:rFonts w:ascii="Times New Roman" w:hAnsi="Times New Roman" w:cs="Times New Roman"/>
          <w:sz w:val="24"/>
          <w:szCs w:val="24"/>
          <w:lang w:eastAsia="en-US"/>
        </w:rPr>
        <w:t xml:space="preserve">Inoltre, la legge riconosce un supporto prioritario alle CER promosse da enti locali, cooperative di comunità e iniziative che coinvolgono soggetti vulnerabili, come quelli in situazione di povertà energetica o economicamente svantaggiati. Un aspetto distintivo della legge è l'attenzione alla progettazione inclusiva e socialmente responsabile delle CER, finalizzata a garantire un accesso equo alle opportunità offerte dalla transizione energetica. In questo modo, la legge si configura anche come uno strumento di contrasto alla povertà energetica, con particolare riferimento agli enti del Terzo Settore e agli enti di gestione dell'edilizia residenziale pubblica e sociale. La Regione, quindi, non solo promuove la sostenibilità ambientale, ma si impegna a fare della </w:t>
      </w:r>
      <w:r w:rsidRPr="004A53C4">
        <w:rPr>
          <w:rFonts w:ascii="Times New Roman" w:hAnsi="Times New Roman" w:cs="Times New Roman"/>
          <w:sz w:val="24"/>
          <w:szCs w:val="24"/>
          <w:lang w:eastAsia="en-US"/>
        </w:rPr>
        <w:lastRenderedPageBreak/>
        <w:t>transizione energetica un'opportunità concreta per le fasce più vulnerabili della popolazione, assicurando una distribuzione equa dei benefici derivanti dall'adozione delle energie rinnovabili.</w:t>
      </w:r>
    </w:p>
    <w:p w14:paraId="5561E873" w14:textId="77777777" w:rsidR="001B382E" w:rsidRPr="001B382E" w:rsidRDefault="001B382E" w:rsidP="001B382E">
      <w:pPr>
        <w:spacing w:line="360" w:lineRule="auto"/>
        <w:ind w:left="170" w:right="227" w:firstLine="227"/>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Le esperienze regionali analizzate consentono di trarre alcune conclusioni significative circa il ruolo delle autonomie territoriali nella prima fase di implementazione delle comunità energetiche rinnovabili. Gli interventi esaminati mostrano, da un lato, la vivacità normativa delle Regioni, spesso impegnate a colmare vuoti regolatori in un contesto privo, inizialmente, di linee guida nazionali chiare; dall’altro lato, evidenziano i limiti strutturali di un modello ancora privo di coordinamento verticale, incapace di assicurare un contributo sufficientemente omogeneo al raggiungimento degli obiettivi europei.</w:t>
      </w:r>
    </w:p>
    <w:p w14:paraId="281F6AF5" w14:textId="77C4A0AA" w:rsidR="001B382E" w:rsidRPr="001B382E" w:rsidRDefault="001B382E" w:rsidP="001B382E">
      <w:pPr>
        <w:spacing w:line="360" w:lineRule="auto"/>
        <w:ind w:left="170" w:right="227" w:firstLine="227"/>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Le iniziative di Abruzzo, Emilia</w:t>
      </w:r>
      <w:r w:rsidRPr="001B382E">
        <w:rPr>
          <w:rFonts w:ascii="Times New Roman" w:hAnsi="Times New Roman" w:cs="Times New Roman"/>
          <w:sz w:val="24"/>
          <w:szCs w:val="24"/>
          <w:lang w:eastAsia="en-US"/>
        </w:rPr>
        <w:noBreakHyphen/>
        <w:t xml:space="preserve">Romagna, Marche e Toscana mostrano infatti approcci diversi, tutti accomunati dal tentativo di favorire la nascita delle CER attraverso strumenti normativi e amministrativi di supporto. Tuttavia, proprio tali differenze territoriali hanno reso evidente come la frammentazione regolatoria possa trasformarsi in un ostacolo allo sviluppo uniforme del modello, soprattutto quando — come nel caso della legge abruzzese — la legislazione regionale eccede il margine consentito dalla competenza concorrente, invadendo ambiti riservati alla disciplina statale. </w:t>
      </w:r>
    </w:p>
    <w:p w14:paraId="5856F10D" w14:textId="1FC5E2B1" w:rsidR="001B382E" w:rsidRPr="001B382E" w:rsidRDefault="001B382E" w:rsidP="001B382E">
      <w:pPr>
        <w:spacing w:line="360" w:lineRule="auto"/>
        <w:ind w:left="170" w:right="227" w:firstLine="227"/>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Si tratta di iniziative apprezzabili, che hanno favorito la diffusione di progettualità locali, sostenuto i territori socialmente o demograficamente fragili e introdotto strumenti innovativi di governance. Tuttavia, proprio l’esame empirico delle prime applicazioni mostra come tali sforzi, pur meritori, non siano stati sufficienti a generare un impatto sistemico tale da contribuire in misura significativa al raggiungimento dei target imposti dalle direttive europee.</w:t>
      </w:r>
    </w:p>
    <w:p w14:paraId="1A6A5478" w14:textId="4D548DC9" w:rsidR="001B382E" w:rsidRPr="001B382E" w:rsidRDefault="001B382E" w:rsidP="001B382E">
      <w:pPr>
        <w:spacing w:line="360" w:lineRule="auto"/>
        <w:ind w:left="170" w:right="227" w:firstLine="227"/>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 xml:space="preserve">A fronte degli obiettivi ambiziosi fissati dal </w:t>
      </w:r>
      <w:proofErr w:type="spellStart"/>
      <w:r w:rsidRPr="001B382E">
        <w:rPr>
          <w:rFonts w:ascii="Times New Roman" w:hAnsi="Times New Roman" w:cs="Times New Roman"/>
          <w:sz w:val="24"/>
          <w:szCs w:val="24"/>
          <w:lang w:eastAsia="en-US"/>
        </w:rPr>
        <w:t>Clean</w:t>
      </w:r>
      <w:proofErr w:type="spellEnd"/>
      <w:r w:rsidRPr="001B382E">
        <w:rPr>
          <w:rFonts w:ascii="Times New Roman" w:hAnsi="Times New Roman" w:cs="Times New Roman"/>
          <w:sz w:val="24"/>
          <w:szCs w:val="24"/>
          <w:lang w:eastAsia="en-US"/>
        </w:rPr>
        <w:t xml:space="preserve"> Energy Package e dal pacchetto </w:t>
      </w:r>
      <w:proofErr w:type="spellStart"/>
      <w:r w:rsidRPr="001B382E">
        <w:rPr>
          <w:rFonts w:ascii="Times New Roman" w:hAnsi="Times New Roman" w:cs="Times New Roman"/>
          <w:i/>
          <w:iCs/>
          <w:sz w:val="24"/>
          <w:szCs w:val="24"/>
          <w:lang w:eastAsia="en-US"/>
        </w:rPr>
        <w:t>Fit</w:t>
      </w:r>
      <w:proofErr w:type="spellEnd"/>
      <w:r w:rsidRPr="001B382E">
        <w:rPr>
          <w:rFonts w:ascii="Times New Roman" w:hAnsi="Times New Roman" w:cs="Times New Roman"/>
          <w:i/>
          <w:iCs/>
          <w:sz w:val="24"/>
          <w:szCs w:val="24"/>
          <w:lang w:eastAsia="en-US"/>
        </w:rPr>
        <w:t xml:space="preserve"> for 55</w:t>
      </w:r>
      <w:r w:rsidRPr="001B382E">
        <w:rPr>
          <w:rFonts w:ascii="Times New Roman" w:hAnsi="Times New Roman" w:cs="Times New Roman"/>
          <w:sz w:val="24"/>
          <w:szCs w:val="24"/>
          <w:lang w:eastAsia="en-US"/>
        </w:rPr>
        <w:t xml:space="preserve">, il numero di CER effettivamente operative, il livello di maturazione dei progetti, la capacità amministrativa dei Comuni e l’omogeneità delle regole applicative risultano infatti ancora lontani dalla piena realizzazione di un modello di partecipazione energetica diffusa. </w:t>
      </w:r>
    </w:p>
    <w:p w14:paraId="7C3743C6" w14:textId="77777777" w:rsidR="001B382E" w:rsidRPr="001B382E" w:rsidRDefault="001B382E" w:rsidP="001B382E">
      <w:pPr>
        <w:spacing w:line="360" w:lineRule="auto"/>
        <w:ind w:left="170" w:right="227" w:firstLine="227"/>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Nel complesso, la casistica regionale conferma che, nonostante le buone pratiche avviate e gli sforzi di molte amministrazioni, la frammentazione delle iniziative e l’eterogeneità degli approcci non hanno permesso di soddisfare, neppure in parte significativa, la traiettoria accelerata richiesta dall’Unione europea. Manca ancora un quadro pienamente integrato di governance multilivello che consenta alle CER di assumere quel ruolo strutturale che le istituzioni europee avevano immaginato: strumenti centrali di partecipazione civica, riduzione delle emissioni, contrasto alla povertà energetica e valorizzazione delle aree interne.</w:t>
      </w:r>
    </w:p>
    <w:p w14:paraId="6F300E5E" w14:textId="7C1BE54A" w:rsidR="001B382E" w:rsidRPr="001B382E" w:rsidRDefault="001B382E" w:rsidP="001B382E">
      <w:pPr>
        <w:spacing w:line="360" w:lineRule="auto"/>
        <w:ind w:left="170" w:right="227" w:firstLine="227"/>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 xml:space="preserve">Queste considerazioni confermano, in definitiva, che la fase sperimentale ha prodotto un patrimonio prezioso di esperienze locali, ma non ha ancora raggiunto la massa critica necessaria </w:t>
      </w:r>
      <w:r w:rsidRPr="001B382E">
        <w:rPr>
          <w:rFonts w:ascii="Times New Roman" w:hAnsi="Times New Roman" w:cs="Times New Roman"/>
          <w:sz w:val="24"/>
          <w:szCs w:val="24"/>
          <w:lang w:eastAsia="en-US"/>
        </w:rPr>
        <w:lastRenderedPageBreak/>
        <w:t xml:space="preserve">a trasformare le CER in un pilastro effettivo della transizione energetica italiana. </w:t>
      </w:r>
      <w:r>
        <w:rPr>
          <w:rFonts w:ascii="Times New Roman" w:hAnsi="Times New Roman" w:cs="Times New Roman"/>
          <w:sz w:val="24"/>
          <w:szCs w:val="24"/>
          <w:lang w:eastAsia="en-US"/>
        </w:rPr>
        <w:t>Affinch</w:t>
      </w:r>
      <w:r w:rsidRPr="001B382E">
        <w:rPr>
          <w:rFonts w:ascii="Times New Roman" w:hAnsi="Times New Roman" w:cs="Times New Roman"/>
          <w:sz w:val="24"/>
          <w:szCs w:val="24"/>
          <w:lang w:eastAsia="en-US"/>
        </w:rPr>
        <w:t xml:space="preserve">é ciò avvenga, è indispensabile un coordinamento più stretto tra </w:t>
      </w:r>
      <w:r>
        <w:rPr>
          <w:rFonts w:ascii="Times New Roman" w:hAnsi="Times New Roman" w:cs="Times New Roman"/>
          <w:sz w:val="24"/>
          <w:szCs w:val="24"/>
          <w:lang w:eastAsia="en-US"/>
        </w:rPr>
        <w:t xml:space="preserve">UE, </w:t>
      </w:r>
      <w:r w:rsidRPr="001B382E">
        <w:rPr>
          <w:rFonts w:ascii="Times New Roman" w:hAnsi="Times New Roman" w:cs="Times New Roman"/>
          <w:sz w:val="24"/>
          <w:szCs w:val="24"/>
          <w:lang w:eastAsia="en-US"/>
        </w:rPr>
        <w:t>Stat</w:t>
      </w:r>
      <w:r>
        <w:rPr>
          <w:rFonts w:ascii="Times New Roman" w:hAnsi="Times New Roman" w:cs="Times New Roman"/>
          <w:sz w:val="24"/>
          <w:szCs w:val="24"/>
          <w:lang w:eastAsia="en-US"/>
        </w:rPr>
        <w:t>o e, per quanto di competenza,</w:t>
      </w:r>
      <w:r w:rsidRPr="001B382E">
        <w:rPr>
          <w:rFonts w:ascii="Times New Roman" w:hAnsi="Times New Roman" w:cs="Times New Roman"/>
          <w:sz w:val="24"/>
          <w:szCs w:val="24"/>
          <w:lang w:eastAsia="en-US"/>
        </w:rPr>
        <w:t xml:space="preserve"> Regioni, l’adozione di standard procedurali uniformi e un rafforzamento della capacità amministrativa locale, così da rendere realmente possibile il contributo delle CER al conseguimento dei target europei di neutralità climatica.</w:t>
      </w:r>
    </w:p>
    <w:p w14:paraId="6D253AEE" w14:textId="48529B05" w:rsidR="001B382E" w:rsidRDefault="001B382E" w:rsidP="00331474">
      <w:pPr>
        <w:spacing w:line="360" w:lineRule="auto"/>
        <w:ind w:left="170" w:right="227" w:firstLine="227"/>
        <w:contextualSpacing/>
        <w:jc w:val="both"/>
        <w:rPr>
          <w:rFonts w:ascii="Times New Roman" w:hAnsi="Times New Roman" w:cs="Times New Roman"/>
          <w:sz w:val="24"/>
          <w:szCs w:val="24"/>
          <w:lang w:eastAsia="en-US"/>
        </w:rPr>
      </w:pPr>
    </w:p>
    <w:p w14:paraId="2411F1A6" w14:textId="5F70372F" w:rsidR="001B382E" w:rsidRDefault="001B382E" w:rsidP="00331474">
      <w:pPr>
        <w:spacing w:line="360" w:lineRule="auto"/>
        <w:ind w:left="170" w:right="227" w:firstLine="227"/>
        <w:contextualSpacing/>
        <w:jc w:val="both"/>
        <w:rPr>
          <w:rFonts w:ascii="Times New Roman" w:hAnsi="Times New Roman" w:cs="Times New Roman"/>
          <w:sz w:val="24"/>
          <w:szCs w:val="24"/>
          <w:lang w:eastAsia="en-US"/>
        </w:rPr>
      </w:pPr>
    </w:p>
    <w:p w14:paraId="6F01E3A8" w14:textId="36879F37" w:rsidR="001B382E" w:rsidRDefault="001B382E" w:rsidP="00331474">
      <w:pPr>
        <w:spacing w:line="360" w:lineRule="auto"/>
        <w:ind w:left="170" w:right="227" w:firstLine="227"/>
        <w:contextualSpacing/>
        <w:jc w:val="both"/>
        <w:rPr>
          <w:rFonts w:ascii="Times New Roman" w:hAnsi="Times New Roman" w:cs="Times New Roman"/>
          <w:sz w:val="24"/>
          <w:szCs w:val="24"/>
          <w:lang w:eastAsia="en-US"/>
        </w:rPr>
      </w:pPr>
    </w:p>
    <w:p w14:paraId="78EF2893" w14:textId="77777777" w:rsidR="00AF796D" w:rsidRDefault="00AF796D" w:rsidP="00DF358B">
      <w:pPr>
        <w:spacing w:line="360" w:lineRule="auto"/>
        <w:ind w:right="227"/>
        <w:contextualSpacing/>
        <w:jc w:val="both"/>
        <w:rPr>
          <w:rFonts w:ascii="Times New Roman" w:hAnsi="Times New Roman" w:cs="Times New Roman"/>
          <w:b/>
          <w:bCs/>
          <w:sz w:val="24"/>
          <w:szCs w:val="24"/>
          <w:lang w:eastAsia="en-US"/>
        </w:rPr>
      </w:pPr>
    </w:p>
    <w:p w14:paraId="7CAF35AA" w14:textId="63C0DD1A" w:rsidR="001B382E" w:rsidRDefault="001B382E" w:rsidP="00331474">
      <w:pPr>
        <w:spacing w:line="360" w:lineRule="auto"/>
        <w:ind w:left="170" w:right="227" w:firstLine="227"/>
        <w:contextualSpacing/>
        <w:jc w:val="both"/>
        <w:rPr>
          <w:rFonts w:ascii="Times New Roman" w:hAnsi="Times New Roman" w:cs="Times New Roman"/>
          <w:b/>
          <w:bCs/>
          <w:sz w:val="24"/>
          <w:szCs w:val="24"/>
          <w:lang w:eastAsia="en-US"/>
        </w:rPr>
      </w:pPr>
      <w:r w:rsidRPr="001B382E">
        <w:rPr>
          <w:rFonts w:ascii="Times New Roman" w:hAnsi="Times New Roman" w:cs="Times New Roman"/>
          <w:b/>
          <w:bCs/>
          <w:sz w:val="24"/>
          <w:szCs w:val="24"/>
          <w:lang w:eastAsia="en-US"/>
        </w:rPr>
        <w:t>Conclusioni.</w:t>
      </w:r>
    </w:p>
    <w:p w14:paraId="2F4254C7"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 xml:space="preserve">L’indagine condotta ha mostrato come la transizione energetica non rappresenti soltanto un processo tecnologico o industriale, ma un fenomeno giuridico complesso, capace di incidere sulle categorie strutturali del diritto pubblico, sulla funzione amministrativa e sul rapporto tra istituzioni e società civile. L’Unione europea, attraverso il </w:t>
      </w:r>
      <w:r w:rsidRPr="001B382E">
        <w:rPr>
          <w:rFonts w:ascii="Times New Roman" w:hAnsi="Times New Roman" w:cs="Times New Roman"/>
          <w:i/>
          <w:iCs/>
          <w:sz w:val="24"/>
          <w:szCs w:val="24"/>
          <w:lang w:eastAsia="en-US"/>
        </w:rPr>
        <w:t>Green Deal</w:t>
      </w:r>
      <w:r w:rsidRPr="001B382E">
        <w:rPr>
          <w:rFonts w:ascii="Times New Roman" w:hAnsi="Times New Roman" w:cs="Times New Roman"/>
          <w:sz w:val="24"/>
          <w:szCs w:val="24"/>
          <w:lang w:eastAsia="en-US"/>
        </w:rPr>
        <w:t xml:space="preserve"> e il </w:t>
      </w:r>
      <w:r w:rsidRPr="001B382E">
        <w:rPr>
          <w:rFonts w:ascii="Times New Roman" w:hAnsi="Times New Roman" w:cs="Times New Roman"/>
          <w:i/>
          <w:iCs/>
          <w:sz w:val="24"/>
          <w:szCs w:val="24"/>
          <w:lang w:eastAsia="en-US"/>
        </w:rPr>
        <w:t>Next Generation EU</w:t>
      </w:r>
      <w:r w:rsidRPr="001B382E">
        <w:rPr>
          <w:rFonts w:ascii="Times New Roman" w:hAnsi="Times New Roman" w:cs="Times New Roman"/>
          <w:sz w:val="24"/>
          <w:szCs w:val="24"/>
          <w:lang w:eastAsia="en-US"/>
        </w:rPr>
        <w:t>, ha impresso un’accelerazione senza precedenti alla riconfigurazione dell’azione pubblica, trasformando la sostenibilità da obiettivo programmatico in parametro giuridicamente vincolante. Tale trasformazione ha avuto l’effetto di rendere centrale il principio di integrazione ambientale e, di riflesso, di riformulare il senso e la funzione della sussidiarietà, oggi chiamata a mettere in relazione la dimensione normativa sovranazionale con la capacità di attivazione delle comunità territoriali.</w:t>
      </w:r>
    </w:p>
    <w:p w14:paraId="1EBB123D"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In questo contesto, la sussidiarietà orizzontale emerge come uno dei principali criteri interpretativi delle politiche europee in materia energetica: essa costituisce il terreno su cui si innestano i nuovi modelli di governance collaborativa e rappresenta l’elemento che consente di conciliare gli obiettivi climatici con la partecipazione attiva dei cittadini. Tuttavia, accanto al processo di consolidamento di tale principio, la ricerca ha evidenziato l’incompletezza giuridica della “transizione”, categoria utilizzata dal legislatore europeo e nazionale in modo ampio e flessibile, ma ancora priva di una definizione normativa compiuta. Il rischio che ne deriva è quello di una tensione tra principio maturo e categoria fluida, con conseguenze sull’effettività degli strumenti partecipativi e sulla reale capacità delle politiche energetiche di coinvolgere i soggetti locali.</w:t>
      </w:r>
    </w:p>
    <w:p w14:paraId="09B76DA1"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 xml:space="preserve">La disciplina delle Comunità Energetiche Rinnovabili costituisce il banco di prova privilegiato di questa tensione. La normativa europea ha scelto di non imporre una tipizzazione rigida, ma di definire requisiti funzionali e finalità prevalenti, lasciando flessibilità agli Stati membri. Il recepimento italiano conferma tale scelta e configura le CER come soggetti autonomi fondati su apertura, finalità mutualistiche e controllo territoriale. Il modello, almeno sul piano teorico, si caratterizza per una forte carica innovativa: esso consente di democratizzare la produzione energetica, redistribuire benefici </w:t>
      </w:r>
      <w:r w:rsidRPr="001B382E">
        <w:rPr>
          <w:rFonts w:ascii="Times New Roman" w:hAnsi="Times New Roman" w:cs="Times New Roman"/>
          <w:sz w:val="24"/>
          <w:szCs w:val="24"/>
          <w:lang w:eastAsia="en-US"/>
        </w:rPr>
        <w:lastRenderedPageBreak/>
        <w:t>economici e ambientali e promuovere responsabilità collettive. Tuttavia, la ricerca ha evidenziato come la complessità amministrativa, l’evoluzione non sempre lineare degli incentivi, la disomogeneità delle prassi locali e la difficoltà di integrare la finalità mutualistica con modelli giuridici tradizionali rappresentino ostacoli ancora significativi.</w:t>
      </w:r>
    </w:p>
    <w:p w14:paraId="5CF56731"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L’analisi delle forme organizzative ha mostrato come associazioni, fondazioni di partecipazione e cooperative siano le configurazioni più congruenti con le finalità solidaristiche delle CER. Le società lucrative, al contrario, risultano difficilmente compatibili con la prevalenza degli obiettivi sociali su quelli economici. A ciò si aggiunge la questione della partecipazione degli enti pubblici: il Testo Unico delle Società a Partecipazione Pubblica e il Codice dei contratti pubblici impongono vincoli che rischiano di entrare in frizione con il principio di apertura e con l’essenza stessa del modello CER, specialmente nei casi in cui i Comuni svolgono un ruolo propulsivo. La necessità di conciliare sussidiarietà e legalità amministrativa genera così una tensione sistemica che richiede un intervento chiarificatore del legislatore nazionale.</w:t>
      </w:r>
    </w:p>
    <w:p w14:paraId="4D84BB5C"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Il tema della governance territoriale, affrontato nell’ultimo capitolo, ha rivelato un ulteriore elemento di complessità. Il passaggio dal modello fondato sulla “riserva di procedimento amministrativo”, elaborato dalla Corte costituzionale, a quello fondato sulla pianificazione normativa delle aree idonee, accentua il carattere gerarchico della transizione energetica. La localizzazione degli impianti FER, un tempo terreno privilegiato del bilanciamento amministrativo, viene ora anticipata dalla legge statale e regionale, con un significativo ridimensionamento degli spazi discrezionali dei Comuni, nonostante il loro ruolo di prossimità rimanga decisivo per la gestione e l’accettazione sociale degli interventi. Tale evoluzione, giustificata dall’urgenza climatica, rischia però di comprimere le istanze partecipative e di separare l’obiettivo energetico dalle specificità territoriali, con esiti non sempre coerenti con la logica della sussidiarietà.</w:t>
      </w:r>
    </w:p>
    <w:p w14:paraId="78149C39"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La casistica regionale ha confermato questa ambivalenza. Alcune Regioni hanno adottato norme innovative, capaci di favorire la diffusione delle CER, sostenere territori fragili, promuovere inclusione sociale e rafforzare competenze amministrative locali. Altre esperienze hanno invece evidenziato il pericolo di interventi eccedenti la competenza regionale o di modelli troppo rigidi, come dimostrano i conflitti con lo Stato risolti dalla Corte costituzionale. Tale eterogeneità, pur indice di vivacità istituzionale, denota la persistente difficoltà di costruire un quadro coerente che integri in modo efficace le esigenze dell’Unione europea, dello Stato e delle autonomie territoriali.</w:t>
      </w:r>
    </w:p>
    <w:p w14:paraId="49BA34D0" w14:textId="77777777" w:rsidR="001B382E" w:rsidRPr="001B382E" w:rsidRDefault="001B382E" w:rsidP="008B51B3">
      <w:pPr>
        <w:spacing w:line="360" w:lineRule="auto"/>
        <w:contextualSpacing/>
        <w:jc w:val="both"/>
        <w:rPr>
          <w:rFonts w:ascii="Times New Roman" w:hAnsi="Times New Roman" w:cs="Times New Roman"/>
          <w:sz w:val="24"/>
          <w:szCs w:val="24"/>
          <w:lang w:eastAsia="en-US"/>
        </w:rPr>
      </w:pPr>
      <w:r w:rsidRPr="001B382E">
        <w:rPr>
          <w:rFonts w:ascii="Times New Roman" w:hAnsi="Times New Roman" w:cs="Times New Roman"/>
          <w:sz w:val="24"/>
          <w:szCs w:val="24"/>
          <w:lang w:eastAsia="en-US"/>
        </w:rPr>
        <w:t xml:space="preserve">Nel loro insieme, le analisi svolte nei quattro capitoli mostrano dunque un quadro ricco di potenzialità ma ancora segnato da nodi sistemici irrisolti. Le CER rappresentano uno dei più significativi tentativi degli ultimi anni di coniugare transizione energetica, partecipazione civica e sviluppo territoriale, offrendo una risposta concreta alla sfida della decarbonizzazione e alla necessità di coinvolgere le </w:t>
      </w:r>
      <w:r w:rsidRPr="001B382E">
        <w:rPr>
          <w:rFonts w:ascii="Times New Roman" w:hAnsi="Times New Roman" w:cs="Times New Roman"/>
          <w:sz w:val="24"/>
          <w:szCs w:val="24"/>
          <w:lang w:eastAsia="en-US"/>
        </w:rPr>
        <w:lastRenderedPageBreak/>
        <w:t>comunità locali. Tuttavia, affinché possano davvero assolvere alla funzione assegnata loro dal legislatore europeo, è necessario un ulteriore sforzo di coordinamento normativo, capace di rafforzare la certezza del quadro regolatorio, valorizzare il ruolo dei Comuni nella pianificazione e integrare la disciplina delle CER nel nuovo assetto delle aree idonee.</w:t>
      </w:r>
    </w:p>
    <w:p w14:paraId="0788DE04" w14:textId="77777777" w:rsidR="001B382E" w:rsidRPr="001B382E" w:rsidRDefault="001B382E" w:rsidP="008B51B3">
      <w:pPr>
        <w:spacing w:line="360" w:lineRule="auto"/>
        <w:ind w:right="227"/>
        <w:contextualSpacing/>
        <w:jc w:val="both"/>
        <w:rPr>
          <w:rFonts w:ascii="Times New Roman" w:hAnsi="Times New Roman" w:cs="Times New Roman"/>
          <w:b/>
          <w:bCs/>
          <w:sz w:val="24"/>
          <w:szCs w:val="24"/>
          <w:lang w:eastAsia="en-US"/>
        </w:rPr>
      </w:pPr>
      <w:r w:rsidRPr="001B382E">
        <w:rPr>
          <w:rFonts w:ascii="Times New Roman" w:hAnsi="Times New Roman" w:cs="Times New Roman"/>
          <w:sz w:val="24"/>
          <w:szCs w:val="24"/>
          <w:lang w:eastAsia="en-US"/>
        </w:rPr>
        <w:t>Alla luce del combinato disposto degli artt. 9 e 118 Cost., la strada sembra tracciata: la transizione energetica può essere efficace solo se sarà anche sociale e territoriale. Il legislatore nazionale è dunque chiamato a rendere la sussidiarietà non un semplice riferimento retorico, ma un principio operativo capace di trasformare le comunità locali in protagoniste della transizione. Le CER, in questa prospettiva, rappresentano un laboratorio avanzato per misurare la capacità dell’ordinamento di coniugare accelerazione normativa, equità territoriale e partecipazione diffusa. La loro piena maturazione darà conto non soltanto dello stato della transizione energetica, ma anche della qualità democratica del processo che la sostiene</w:t>
      </w:r>
      <w:r w:rsidRPr="001B382E">
        <w:rPr>
          <w:rFonts w:ascii="Times New Roman" w:hAnsi="Times New Roman" w:cs="Times New Roman"/>
          <w:b/>
          <w:bCs/>
          <w:sz w:val="24"/>
          <w:szCs w:val="24"/>
          <w:lang w:eastAsia="en-US"/>
        </w:rPr>
        <w:t>.</w:t>
      </w:r>
    </w:p>
    <w:p w14:paraId="68B444B8" w14:textId="40BD4AF4" w:rsidR="001B382E" w:rsidRDefault="001B382E" w:rsidP="00331474">
      <w:pPr>
        <w:spacing w:line="360" w:lineRule="auto"/>
        <w:ind w:left="170" w:right="227" w:firstLine="227"/>
        <w:contextualSpacing/>
        <w:jc w:val="both"/>
        <w:rPr>
          <w:rFonts w:ascii="Times New Roman" w:hAnsi="Times New Roman" w:cs="Times New Roman"/>
          <w:b/>
          <w:bCs/>
          <w:sz w:val="24"/>
          <w:szCs w:val="24"/>
          <w:lang w:eastAsia="en-US"/>
        </w:rPr>
      </w:pPr>
    </w:p>
    <w:p w14:paraId="38F147C3" w14:textId="1B5AC481"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04315957" w14:textId="743D153A"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66643BDE" w14:textId="2E599FC5"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3F532687" w14:textId="73F9DA56"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533A1884" w14:textId="76CB62C8"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739982E5" w14:textId="633F8F4A"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1868ECB7" w14:textId="0C4DF25D"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25579102" w14:textId="2B62CE8C"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089A9C04" w14:textId="2E60000C"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33EEA7D9" w14:textId="65AA015A"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4602CB83" w14:textId="7446370E"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44BB0574" w14:textId="55CD063C"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3575167F" w14:textId="2EBE9794"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60C9C6BB" w14:textId="37D9D617"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3AF7083F" w14:textId="32043533"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6679B6F9" w14:textId="666D594E"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0C07DFEE" w14:textId="252651BA"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4A1A231D" w14:textId="67C1E181"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13F50721" w14:textId="3A1F3ABB"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5B1CE52F" w14:textId="77777777" w:rsidR="00DF358B" w:rsidRDefault="00DF358B" w:rsidP="00331474">
      <w:pPr>
        <w:spacing w:line="360" w:lineRule="auto"/>
        <w:ind w:left="170" w:right="227" w:firstLine="227"/>
        <w:contextualSpacing/>
        <w:jc w:val="both"/>
        <w:rPr>
          <w:rFonts w:ascii="Times New Roman" w:hAnsi="Times New Roman" w:cs="Times New Roman"/>
          <w:b/>
          <w:bCs/>
          <w:sz w:val="24"/>
          <w:szCs w:val="24"/>
          <w:lang w:eastAsia="en-US"/>
        </w:rPr>
      </w:pPr>
    </w:p>
    <w:p w14:paraId="035F6242" w14:textId="7D492D67" w:rsidR="00D200FB" w:rsidRDefault="00D200FB" w:rsidP="00331474">
      <w:pPr>
        <w:spacing w:line="360" w:lineRule="auto"/>
        <w:ind w:left="170" w:right="227" w:firstLine="227"/>
        <w:contextualSpacing/>
        <w:jc w:val="both"/>
        <w:rPr>
          <w:rFonts w:ascii="Times New Roman" w:hAnsi="Times New Roman" w:cs="Times New Roman"/>
          <w:b/>
          <w:bCs/>
          <w:sz w:val="24"/>
          <w:szCs w:val="24"/>
          <w:lang w:eastAsia="en-US"/>
        </w:rPr>
      </w:pPr>
    </w:p>
    <w:p w14:paraId="56363F95" w14:textId="7A322293" w:rsidR="00D200FB" w:rsidRDefault="00D200FB" w:rsidP="009C4D6A">
      <w:pPr>
        <w:spacing w:line="360" w:lineRule="auto"/>
        <w:ind w:right="227"/>
        <w:contextualSpacing/>
        <w:jc w:val="both"/>
        <w:rPr>
          <w:rFonts w:ascii="Times New Roman" w:hAnsi="Times New Roman" w:cs="Times New Roman"/>
          <w:b/>
          <w:bCs/>
          <w:sz w:val="24"/>
          <w:szCs w:val="24"/>
          <w:lang w:eastAsia="en-US"/>
        </w:rPr>
      </w:pPr>
    </w:p>
    <w:p w14:paraId="098F5D07" w14:textId="77777777" w:rsidR="00D200FB" w:rsidRPr="0081729D" w:rsidRDefault="00D200FB" w:rsidP="008B51B3">
      <w:pPr>
        <w:spacing w:after="160" w:line="360" w:lineRule="auto"/>
        <w:ind w:right="227"/>
        <w:contextualSpacing/>
        <w:jc w:val="both"/>
        <w:rPr>
          <w:rFonts w:ascii="Times New Roman" w:eastAsia="Calibri" w:hAnsi="Times New Roman" w:cs="Times New Roman"/>
          <w:sz w:val="24"/>
          <w:szCs w:val="24"/>
          <w:lang w:eastAsia="en-US"/>
        </w:rPr>
      </w:pPr>
    </w:p>
    <w:p w14:paraId="209211B5"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7A71E539"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37A3BAE9"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68CCA094"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67DBD282"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4A0D72CF"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1B60E6DC" w14:textId="77777777" w:rsidR="00DF358B" w:rsidRDefault="00DF358B" w:rsidP="00D200FB">
      <w:pPr>
        <w:spacing w:after="160" w:line="360" w:lineRule="auto"/>
        <w:ind w:left="170"/>
        <w:contextualSpacing/>
        <w:jc w:val="both"/>
        <w:rPr>
          <w:rFonts w:ascii="Times New Roman" w:eastAsia="Calibri" w:hAnsi="Times New Roman" w:cs="Times New Roman"/>
          <w:b/>
          <w:bCs/>
          <w:sz w:val="24"/>
          <w:szCs w:val="24"/>
          <w:lang w:eastAsia="en-US"/>
        </w:rPr>
      </w:pPr>
    </w:p>
    <w:p w14:paraId="5BF095AE" w14:textId="00FA3F74" w:rsidR="00D200FB" w:rsidRPr="0081729D" w:rsidRDefault="00D200FB" w:rsidP="00D200FB">
      <w:pPr>
        <w:spacing w:after="160" w:line="360" w:lineRule="auto"/>
        <w:ind w:left="170"/>
        <w:contextualSpacing/>
        <w:jc w:val="both"/>
        <w:rPr>
          <w:rFonts w:ascii="Times New Roman" w:eastAsia="Calibri" w:hAnsi="Times New Roman" w:cs="Times New Roman"/>
          <w:b/>
          <w:bCs/>
          <w:sz w:val="24"/>
          <w:szCs w:val="24"/>
          <w:lang w:eastAsia="en-US"/>
        </w:rPr>
      </w:pPr>
      <w:r w:rsidRPr="0081729D">
        <w:rPr>
          <w:rFonts w:ascii="Times New Roman" w:eastAsia="Calibri" w:hAnsi="Times New Roman" w:cs="Times New Roman"/>
          <w:b/>
          <w:bCs/>
          <w:sz w:val="24"/>
          <w:szCs w:val="24"/>
          <w:lang w:eastAsia="en-US"/>
        </w:rPr>
        <w:t>Bibliografia.</w:t>
      </w:r>
    </w:p>
    <w:p w14:paraId="37AB20A2" w14:textId="6FABF620" w:rsidR="00D200FB" w:rsidRPr="004932F3"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G. ALPA</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Consumatore (protezione del)</w:t>
      </w:r>
      <w:r w:rsidRPr="004932F3">
        <w:rPr>
          <w:rFonts w:ascii="Times New Roman" w:hAnsi="Times New Roman" w:cs="Times New Roman"/>
          <w:sz w:val="24"/>
          <w:szCs w:val="24"/>
        </w:rPr>
        <w:t xml:space="preserve">, in </w:t>
      </w:r>
      <w:r w:rsidRPr="004932F3">
        <w:rPr>
          <w:rFonts w:ascii="Times New Roman" w:hAnsi="Times New Roman" w:cs="Times New Roman"/>
          <w:i/>
          <w:iCs/>
          <w:sz w:val="24"/>
          <w:szCs w:val="24"/>
        </w:rPr>
        <w:t>Digesto delle discipline privatistiche</w:t>
      </w:r>
      <w:r w:rsidRPr="004932F3">
        <w:rPr>
          <w:rFonts w:ascii="Times New Roman" w:hAnsi="Times New Roman" w:cs="Times New Roman"/>
          <w:sz w:val="24"/>
          <w:szCs w:val="24"/>
        </w:rPr>
        <w:t>, Sez. civ., vol. III, Torino, 1988, pp. 542-565.</w:t>
      </w:r>
    </w:p>
    <w:p w14:paraId="3B0FBA53" w14:textId="77777777" w:rsidR="00D200FB" w:rsidRPr="004932F3"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G. ALPA</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Le clausole abusive nei contratti dei consumatori</w:t>
      </w:r>
      <w:r w:rsidRPr="004932F3">
        <w:rPr>
          <w:rFonts w:ascii="Times New Roman" w:hAnsi="Times New Roman" w:cs="Times New Roman"/>
          <w:sz w:val="24"/>
          <w:szCs w:val="24"/>
        </w:rPr>
        <w:t xml:space="preserve">, in </w:t>
      </w:r>
      <w:r w:rsidRPr="004932F3">
        <w:rPr>
          <w:rFonts w:ascii="Times New Roman" w:hAnsi="Times New Roman" w:cs="Times New Roman"/>
          <w:i/>
          <w:iCs/>
          <w:sz w:val="24"/>
          <w:szCs w:val="24"/>
        </w:rPr>
        <w:t>Contratto e impresa</w:t>
      </w:r>
      <w:r w:rsidRPr="004932F3">
        <w:rPr>
          <w:rFonts w:ascii="Times New Roman" w:hAnsi="Times New Roman" w:cs="Times New Roman"/>
          <w:sz w:val="24"/>
          <w:szCs w:val="24"/>
        </w:rPr>
        <w:t>, 1993, pp. 635-658.</w:t>
      </w:r>
    </w:p>
    <w:p w14:paraId="656BC2F7" w14:textId="77777777" w:rsidR="00D200FB" w:rsidRPr="004932F3"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S. AMOROSINO</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La “dialettica” tra tutela del paesaggio e produzione di energia da fonti rinnovabili a tutela dell’ambiente atmosferico</w:t>
      </w:r>
      <w:r w:rsidRPr="004932F3">
        <w:rPr>
          <w:rFonts w:ascii="Times New Roman" w:hAnsi="Times New Roman" w:cs="Times New Roman"/>
          <w:sz w:val="24"/>
          <w:szCs w:val="24"/>
        </w:rPr>
        <w:t xml:space="preserve">, in </w:t>
      </w:r>
      <w:r w:rsidRPr="004932F3">
        <w:rPr>
          <w:rFonts w:ascii="Times New Roman" w:hAnsi="Times New Roman" w:cs="Times New Roman"/>
          <w:i/>
          <w:iCs/>
          <w:sz w:val="24"/>
          <w:szCs w:val="24"/>
        </w:rPr>
        <w:t>Riv. giur. ed.</w:t>
      </w:r>
      <w:r w:rsidRPr="004932F3">
        <w:rPr>
          <w:rFonts w:ascii="Times New Roman" w:hAnsi="Times New Roman" w:cs="Times New Roman"/>
          <w:sz w:val="24"/>
          <w:szCs w:val="24"/>
        </w:rPr>
        <w:t>, 2022, 4, 261.</w:t>
      </w:r>
    </w:p>
    <w:p w14:paraId="72235C23" w14:textId="77777777" w:rsidR="00D200FB"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L. AMMANNATI</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Una nuova governance</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per la transizione energetica dell’Unione europea. Soluzioni ambigue in un contesto conflittuale</w:t>
      </w:r>
      <w:r w:rsidRPr="004932F3">
        <w:rPr>
          <w:rFonts w:ascii="Times New Roman" w:hAnsi="Times New Roman" w:cs="Times New Roman"/>
          <w:sz w:val="24"/>
          <w:szCs w:val="24"/>
        </w:rPr>
        <w:t xml:space="preserve">, in L. Ammannati (a cura di), </w:t>
      </w:r>
      <w:r w:rsidRPr="004932F3">
        <w:rPr>
          <w:rFonts w:ascii="Times New Roman" w:hAnsi="Times New Roman" w:cs="Times New Roman"/>
          <w:i/>
          <w:iCs/>
          <w:sz w:val="24"/>
          <w:szCs w:val="24"/>
        </w:rPr>
        <w:t>La transizione energetica</w:t>
      </w:r>
      <w:r w:rsidRPr="004932F3">
        <w:rPr>
          <w:rFonts w:ascii="Times New Roman" w:hAnsi="Times New Roman" w:cs="Times New Roman"/>
          <w:sz w:val="24"/>
          <w:szCs w:val="24"/>
        </w:rPr>
        <w:t xml:space="preserve">, Torino, 2018; id., </w:t>
      </w:r>
      <w:r w:rsidRPr="004932F3">
        <w:rPr>
          <w:rFonts w:ascii="Times New Roman" w:hAnsi="Times New Roman" w:cs="Times New Roman"/>
          <w:i/>
          <w:iCs/>
          <w:sz w:val="24"/>
          <w:szCs w:val="24"/>
        </w:rPr>
        <w:t xml:space="preserve">Transizione energetica, </w:t>
      </w:r>
      <w:r w:rsidRPr="004932F3">
        <w:rPr>
          <w:rFonts w:ascii="Times New Roman" w:hAnsi="Times New Roman" w:cs="Times New Roman"/>
          <w:sz w:val="24"/>
          <w:szCs w:val="24"/>
        </w:rPr>
        <w:t>“</w:t>
      </w:r>
      <w:r w:rsidRPr="004932F3">
        <w:rPr>
          <w:rFonts w:ascii="Times New Roman" w:hAnsi="Times New Roman" w:cs="Times New Roman"/>
          <w:i/>
          <w:iCs/>
          <w:sz w:val="24"/>
          <w:szCs w:val="24"/>
        </w:rPr>
        <w:t xml:space="preserve">just </w:t>
      </w:r>
      <w:proofErr w:type="spellStart"/>
      <w:r w:rsidRPr="004932F3">
        <w:rPr>
          <w:rFonts w:ascii="Times New Roman" w:hAnsi="Times New Roman" w:cs="Times New Roman"/>
          <w:i/>
          <w:iCs/>
          <w:sz w:val="24"/>
          <w:szCs w:val="24"/>
        </w:rPr>
        <w:t>transition</w:t>
      </w:r>
      <w:proofErr w:type="spellEnd"/>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e finanza</w:t>
      </w:r>
      <w:r w:rsidRPr="004932F3">
        <w:rPr>
          <w:rFonts w:ascii="Times New Roman" w:hAnsi="Times New Roman" w:cs="Times New Roman"/>
          <w:sz w:val="24"/>
          <w:szCs w:val="24"/>
        </w:rPr>
        <w:t xml:space="preserve">, in </w:t>
      </w:r>
      <w:r w:rsidRPr="004932F3">
        <w:rPr>
          <w:rFonts w:ascii="Times New Roman" w:hAnsi="Times New Roman" w:cs="Times New Roman"/>
          <w:i/>
          <w:iCs/>
          <w:sz w:val="24"/>
          <w:szCs w:val="24"/>
        </w:rPr>
        <w:t>Rivista Trimestrale di Diritto dell’Economia</w:t>
      </w:r>
      <w:r w:rsidRPr="004932F3">
        <w:rPr>
          <w:rFonts w:ascii="Times New Roman" w:hAnsi="Times New Roman" w:cs="Times New Roman"/>
          <w:sz w:val="24"/>
          <w:szCs w:val="24"/>
        </w:rPr>
        <w:t>, 2022, 1, 289.</w:t>
      </w:r>
    </w:p>
    <w:p w14:paraId="1396F9B4" w14:textId="77777777" w:rsidR="00E436A9" w:rsidRPr="00E436A9" w:rsidRDefault="00E436A9" w:rsidP="00E436A9">
      <w:pPr>
        <w:spacing w:line="360" w:lineRule="auto"/>
        <w:ind w:left="170"/>
        <w:contextualSpacing/>
        <w:jc w:val="both"/>
        <w:rPr>
          <w:rFonts w:ascii="Times New Roman" w:hAnsi="Times New Roman" w:cs="Times New Roman"/>
          <w:sz w:val="24"/>
          <w:szCs w:val="24"/>
        </w:rPr>
      </w:pPr>
      <w:r w:rsidRPr="00E436A9">
        <w:rPr>
          <w:rFonts w:ascii="Times New Roman" w:hAnsi="Times New Roman" w:cs="Times New Roman"/>
          <w:b/>
          <w:bCs/>
          <w:sz w:val="24"/>
          <w:szCs w:val="24"/>
        </w:rPr>
        <w:t>A. ANGELICI – G. FERRI,</w:t>
      </w:r>
      <w:r w:rsidRPr="00E436A9">
        <w:rPr>
          <w:rFonts w:ascii="Times New Roman" w:hAnsi="Times New Roman" w:cs="Times New Roman"/>
          <w:sz w:val="24"/>
          <w:szCs w:val="24"/>
        </w:rPr>
        <w:t xml:space="preserve"> </w:t>
      </w:r>
      <w:r w:rsidRPr="00E436A9">
        <w:rPr>
          <w:rFonts w:ascii="Times New Roman" w:hAnsi="Times New Roman" w:cs="Times New Roman"/>
          <w:i/>
          <w:iCs/>
          <w:sz w:val="24"/>
          <w:szCs w:val="24"/>
        </w:rPr>
        <w:t>Manuale di diritto commerciale</w:t>
      </w:r>
      <w:r w:rsidRPr="00E436A9">
        <w:rPr>
          <w:rFonts w:ascii="Times New Roman" w:hAnsi="Times New Roman" w:cs="Times New Roman"/>
          <w:sz w:val="24"/>
          <w:szCs w:val="24"/>
        </w:rPr>
        <w:t>, 2020.</w:t>
      </w:r>
    </w:p>
    <w:p w14:paraId="5192A5D2" w14:textId="77777777" w:rsidR="00D200FB" w:rsidRPr="004932F3"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A. ARCURI</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 xml:space="preserve">La sussidiarietà performativa, </w:t>
      </w:r>
      <w:proofErr w:type="spellStart"/>
      <w:r w:rsidRPr="004932F3">
        <w:rPr>
          <w:rFonts w:ascii="Times New Roman" w:hAnsi="Times New Roman" w:cs="Times New Roman"/>
          <w:i/>
          <w:iCs/>
          <w:sz w:val="24"/>
          <w:szCs w:val="24"/>
        </w:rPr>
        <w:t>ri</w:t>
      </w:r>
      <w:proofErr w:type="spellEnd"/>
      <w:r w:rsidRPr="004932F3">
        <w:rPr>
          <w:rFonts w:ascii="Times New Roman" w:hAnsi="Times New Roman" w:cs="Times New Roman"/>
          <w:i/>
          <w:iCs/>
          <w:sz w:val="24"/>
          <w:szCs w:val="24"/>
        </w:rPr>
        <w:noBreakHyphen/>
        <w:t>fondata per l’ambiente. Le coordinate per la ridefinizione di un principio nel caso di studio delle comunità energetiche rinnovabili (CER)</w:t>
      </w:r>
      <w:r w:rsidRPr="004932F3">
        <w:rPr>
          <w:rFonts w:ascii="Times New Roman" w:hAnsi="Times New Roman" w:cs="Times New Roman"/>
          <w:sz w:val="24"/>
          <w:szCs w:val="24"/>
        </w:rPr>
        <w:t>, Bologna, 2025.</w:t>
      </w:r>
    </w:p>
    <w:p w14:paraId="01F053EB" w14:textId="77777777" w:rsidR="00D200FB" w:rsidRPr="004932F3" w:rsidRDefault="00D200FB" w:rsidP="00D200FB">
      <w:pPr>
        <w:spacing w:line="360" w:lineRule="auto"/>
        <w:ind w:left="170"/>
        <w:contextualSpacing/>
        <w:jc w:val="both"/>
        <w:rPr>
          <w:rFonts w:ascii="Times New Roman" w:hAnsi="Times New Roman" w:cs="Times New Roman"/>
          <w:sz w:val="24"/>
          <w:szCs w:val="24"/>
          <w:lang w:val="fr-FR"/>
        </w:rPr>
      </w:pPr>
      <w:r w:rsidRPr="004932F3">
        <w:rPr>
          <w:rFonts w:ascii="Times New Roman" w:hAnsi="Times New Roman" w:cs="Times New Roman"/>
          <w:b/>
          <w:bCs/>
          <w:sz w:val="24"/>
          <w:szCs w:val="24"/>
          <w:lang w:val="fr-FR"/>
        </w:rPr>
        <w:t>M. ARRANZ PADILLA, P. CANFORA, M. DRI, O. POLIDORI, N. PICKARD GARCIA, S. OSTOJIC</w:t>
      </w:r>
      <w:r w:rsidRPr="004932F3">
        <w:rPr>
          <w:rFonts w:ascii="Times New Roman" w:hAnsi="Times New Roman" w:cs="Times New Roman"/>
          <w:sz w:val="24"/>
          <w:szCs w:val="24"/>
          <w:lang w:val="fr-FR"/>
        </w:rPr>
        <w:t xml:space="preserve">, </w:t>
      </w:r>
      <w:proofErr w:type="spellStart"/>
      <w:r w:rsidRPr="004932F3">
        <w:rPr>
          <w:rFonts w:ascii="Times New Roman" w:hAnsi="Times New Roman" w:cs="Times New Roman"/>
          <w:i/>
          <w:iCs/>
          <w:sz w:val="24"/>
          <w:szCs w:val="24"/>
          <w:lang w:val="fr-FR"/>
        </w:rPr>
        <w:t>Development</w:t>
      </w:r>
      <w:proofErr w:type="spellEnd"/>
      <w:r w:rsidRPr="004932F3">
        <w:rPr>
          <w:rFonts w:ascii="Times New Roman" w:hAnsi="Times New Roman" w:cs="Times New Roman"/>
          <w:i/>
          <w:iCs/>
          <w:sz w:val="24"/>
          <w:szCs w:val="24"/>
          <w:lang w:val="fr-FR"/>
        </w:rPr>
        <w:t xml:space="preserve"> of the EU </w:t>
      </w:r>
      <w:proofErr w:type="spellStart"/>
      <w:r w:rsidRPr="004932F3">
        <w:rPr>
          <w:rFonts w:ascii="Times New Roman" w:hAnsi="Times New Roman" w:cs="Times New Roman"/>
          <w:i/>
          <w:iCs/>
          <w:sz w:val="24"/>
          <w:szCs w:val="24"/>
          <w:lang w:val="fr-FR"/>
        </w:rPr>
        <w:t>Sustainable</w:t>
      </w:r>
      <w:proofErr w:type="spellEnd"/>
      <w:r w:rsidRPr="004932F3">
        <w:rPr>
          <w:rFonts w:ascii="Times New Roman" w:hAnsi="Times New Roman" w:cs="Times New Roman"/>
          <w:i/>
          <w:iCs/>
          <w:sz w:val="24"/>
          <w:szCs w:val="24"/>
          <w:lang w:val="fr-FR"/>
        </w:rPr>
        <w:t xml:space="preserve"> Finance </w:t>
      </w:r>
      <w:proofErr w:type="spellStart"/>
      <w:r w:rsidRPr="004932F3">
        <w:rPr>
          <w:rFonts w:ascii="Times New Roman" w:hAnsi="Times New Roman" w:cs="Times New Roman"/>
          <w:i/>
          <w:iCs/>
          <w:sz w:val="24"/>
          <w:szCs w:val="24"/>
          <w:lang w:val="fr-FR"/>
        </w:rPr>
        <w:t>Taxonomy</w:t>
      </w:r>
      <w:proofErr w:type="spellEnd"/>
      <w:r w:rsidRPr="004932F3">
        <w:rPr>
          <w:rFonts w:ascii="Times New Roman" w:hAnsi="Times New Roman" w:cs="Times New Roman"/>
          <w:sz w:val="24"/>
          <w:szCs w:val="24"/>
          <w:lang w:val="fr-FR"/>
        </w:rPr>
        <w:t xml:space="preserve">, Luxembourg, Publications Office of the </w:t>
      </w:r>
      <w:proofErr w:type="spellStart"/>
      <w:r w:rsidRPr="004932F3">
        <w:rPr>
          <w:rFonts w:ascii="Times New Roman" w:hAnsi="Times New Roman" w:cs="Times New Roman"/>
          <w:sz w:val="24"/>
          <w:szCs w:val="24"/>
          <w:lang w:val="fr-FR"/>
        </w:rPr>
        <w:t>European</w:t>
      </w:r>
      <w:proofErr w:type="spellEnd"/>
      <w:r w:rsidRPr="004932F3">
        <w:rPr>
          <w:rFonts w:ascii="Times New Roman" w:hAnsi="Times New Roman" w:cs="Times New Roman"/>
          <w:sz w:val="24"/>
          <w:szCs w:val="24"/>
          <w:lang w:val="fr-FR"/>
        </w:rPr>
        <w:t xml:space="preserve"> Union, 2022.</w:t>
      </w:r>
    </w:p>
    <w:p w14:paraId="7BCFFDB0" w14:textId="77777777" w:rsidR="00D200FB" w:rsidRPr="004932F3"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G. ARENA</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Cittadini attivi. Un altro modo di pensare l’Italia</w:t>
      </w:r>
      <w:r w:rsidRPr="004932F3">
        <w:rPr>
          <w:rFonts w:ascii="Times New Roman" w:hAnsi="Times New Roman" w:cs="Times New Roman"/>
          <w:sz w:val="24"/>
          <w:szCs w:val="24"/>
        </w:rPr>
        <w:t>, Roma-Bari, Laterza, 2006; S</w:t>
      </w:r>
      <w:r w:rsidRPr="004932F3">
        <w:rPr>
          <w:rFonts w:ascii="Times New Roman" w:hAnsi="Times New Roman" w:cs="Times New Roman"/>
          <w:i/>
          <w:iCs/>
          <w:sz w:val="24"/>
          <w:szCs w:val="24"/>
        </w:rPr>
        <w:t>ussidiarietà e solidarietà</w:t>
      </w:r>
      <w:r w:rsidRPr="004932F3">
        <w:rPr>
          <w:rFonts w:ascii="Times New Roman" w:hAnsi="Times New Roman" w:cs="Times New Roman"/>
          <w:sz w:val="24"/>
          <w:szCs w:val="24"/>
        </w:rPr>
        <w:t xml:space="preserve">, in </w:t>
      </w:r>
      <w:r w:rsidRPr="004932F3">
        <w:rPr>
          <w:rFonts w:ascii="Times New Roman" w:hAnsi="Times New Roman" w:cs="Times New Roman"/>
          <w:i/>
          <w:iCs/>
          <w:sz w:val="24"/>
          <w:szCs w:val="24"/>
        </w:rPr>
        <w:t>Diritto romano attuale</w:t>
      </w:r>
      <w:r w:rsidRPr="004932F3">
        <w:rPr>
          <w:rFonts w:ascii="Times New Roman" w:hAnsi="Times New Roman" w:cs="Times New Roman"/>
          <w:sz w:val="24"/>
          <w:szCs w:val="24"/>
        </w:rPr>
        <w:t xml:space="preserve">, 2004, 6, p. 89-104; id. </w:t>
      </w:r>
      <w:r w:rsidRPr="004932F3">
        <w:rPr>
          <w:rFonts w:ascii="Times New Roman" w:hAnsi="Times New Roman" w:cs="Times New Roman"/>
          <w:i/>
          <w:iCs/>
          <w:sz w:val="24"/>
          <w:szCs w:val="24"/>
        </w:rPr>
        <w:t xml:space="preserve">La sussidiarietà nella Caritas in </w:t>
      </w:r>
      <w:proofErr w:type="spellStart"/>
      <w:r w:rsidRPr="004932F3">
        <w:rPr>
          <w:rFonts w:ascii="Times New Roman" w:hAnsi="Times New Roman" w:cs="Times New Roman"/>
          <w:i/>
          <w:iCs/>
          <w:sz w:val="24"/>
          <w:szCs w:val="24"/>
        </w:rPr>
        <w:t>veritate</w:t>
      </w:r>
      <w:proofErr w:type="spellEnd"/>
      <w:r w:rsidRPr="004932F3">
        <w:rPr>
          <w:rFonts w:ascii="Times New Roman" w:hAnsi="Times New Roman" w:cs="Times New Roman"/>
          <w:sz w:val="24"/>
          <w:szCs w:val="24"/>
        </w:rPr>
        <w:t xml:space="preserve">, in </w:t>
      </w:r>
      <w:proofErr w:type="spellStart"/>
      <w:r w:rsidRPr="004932F3">
        <w:rPr>
          <w:rFonts w:ascii="Times New Roman" w:hAnsi="Times New Roman" w:cs="Times New Roman"/>
          <w:sz w:val="24"/>
          <w:szCs w:val="24"/>
        </w:rPr>
        <w:t>Labsus</w:t>
      </w:r>
      <w:proofErr w:type="spellEnd"/>
      <w:r w:rsidRPr="004932F3">
        <w:rPr>
          <w:rFonts w:ascii="Times New Roman" w:hAnsi="Times New Roman" w:cs="Times New Roman"/>
          <w:sz w:val="24"/>
          <w:szCs w:val="24"/>
        </w:rPr>
        <w:t xml:space="preserve"> – Laboratorio per la sussidiarietà, </w:t>
      </w:r>
      <w:hyperlink r:id="rId9" w:history="1">
        <w:r w:rsidRPr="004932F3">
          <w:rPr>
            <w:rStyle w:val="Collegamentoipertestuale"/>
            <w:rFonts w:ascii="Times New Roman" w:hAnsi="Times New Roman" w:cs="Times New Roman"/>
            <w:sz w:val="24"/>
            <w:szCs w:val="24"/>
          </w:rPr>
          <w:t>https://www.labsus.org</w:t>
        </w:r>
      </w:hyperlink>
      <w:r w:rsidRPr="004932F3">
        <w:rPr>
          <w:rFonts w:ascii="Times New Roman" w:hAnsi="Times New Roman" w:cs="Times New Roman"/>
          <w:sz w:val="24"/>
          <w:szCs w:val="24"/>
        </w:rPr>
        <w:t xml:space="preserve">,2009; id, </w:t>
      </w:r>
      <w:r w:rsidRPr="004932F3">
        <w:rPr>
          <w:rFonts w:ascii="Times New Roman" w:hAnsi="Times New Roman" w:cs="Times New Roman"/>
          <w:i/>
          <w:iCs/>
          <w:sz w:val="24"/>
          <w:szCs w:val="24"/>
        </w:rPr>
        <w:t>Un nuovo diritto per l’amministrazione condivisa dei beni comuni</w:t>
      </w:r>
      <w:r w:rsidRPr="004932F3">
        <w:rPr>
          <w:rFonts w:ascii="Times New Roman" w:hAnsi="Times New Roman" w:cs="Times New Roman"/>
          <w:sz w:val="24"/>
          <w:szCs w:val="24"/>
        </w:rPr>
        <w:t xml:space="preserve">, in </w:t>
      </w:r>
      <w:r w:rsidRPr="004932F3">
        <w:rPr>
          <w:rFonts w:ascii="Times New Roman" w:hAnsi="Times New Roman" w:cs="Times New Roman"/>
          <w:i/>
          <w:iCs/>
          <w:sz w:val="24"/>
          <w:szCs w:val="24"/>
        </w:rPr>
        <w:t>La città come bene comune</w:t>
      </w:r>
      <w:r w:rsidRPr="004932F3">
        <w:rPr>
          <w:rFonts w:ascii="Times New Roman" w:hAnsi="Times New Roman" w:cs="Times New Roman"/>
          <w:sz w:val="24"/>
          <w:szCs w:val="24"/>
        </w:rPr>
        <w:t xml:space="preserve">, Napoli, Edizioni Scientifiche Italiane, 2019, p. 33-47; id. </w:t>
      </w:r>
      <w:r w:rsidRPr="004932F3">
        <w:rPr>
          <w:rFonts w:ascii="Times New Roman" w:hAnsi="Times New Roman" w:cs="Times New Roman"/>
          <w:i/>
          <w:iCs/>
          <w:sz w:val="24"/>
          <w:szCs w:val="24"/>
        </w:rPr>
        <w:t>Sussidiarietà orizzontale e Terzo Settore</w:t>
      </w:r>
      <w:r w:rsidRPr="004932F3">
        <w:rPr>
          <w:rFonts w:ascii="Times New Roman" w:hAnsi="Times New Roman" w:cs="Times New Roman"/>
          <w:sz w:val="24"/>
          <w:szCs w:val="24"/>
        </w:rPr>
        <w:t xml:space="preserve">, in Impresa sociale, </w:t>
      </w:r>
      <w:hyperlink r:id="rId10" w:tgtFrame="_new" w:history="1">
        <w:r w:rsidRPr="004932F3">
          <w:rPr>
            <w:rStyle w:val="Collegamentoipertestuale"/>
            <w:rFonts w:ascii="Times New Roman" w:hAnsi="Times New Roman" w:cs="Times New Roman"/>
            <w:sz w:val="24"/>
            <w:szCs w:val="24"/>
          </w:rPr>
          <w:t>https://www.labsus.org</w:t>
        </w:r>
      </w:hyperlink>
      <w:r w:rsidRPr="004932F3">
        <w:rPr>
          <w:rFonts w:ascii="Times New Roman" w:hAnsi="Times New Roman" w:cs="Times New Roman"/>
          <w:sz w:val="24"/>
          <w:szCs w:val="24"/>
        </w:rPr>
        <w:t xml:space="preserve">, 2020; </w:t>
      </w:r>
      <w:r w:rsidRPr="004932F3">
        <w:rPr>
          <w:rFonts w:ascii="Times New Roman" w:hAnsi="Times New Roman" w:cs="Times New Roman"/>
          <w:sz w:val="24"/>
          <w:szCs w:val="24"/>
        </w:rPr>
        <w:br/>
      </w:r>
      <w:r w:rsidRPr="004932F3">
        <w:rPr>
          <w:rFonts w:ascii="Times New Roman" w:hAnsi="Times New Roman" w:cs="Times New Roman"/>
          <w:b/>
          <w:bCs/>
          <w:sz w:val="24"/>
          <w:szCs w:val="24"/>
        </w:rPr>
        <w:lastRenderedPageBreak/>
        <w:t>G. ARENA</w:t>
      </w:r>
      <w:r w:rsidRPr="004932F3">
        <w:rPr>
          <w:rFonts w:ascii="Times New Roman" w:hAnsi="Times New Roman" w:cs="Times New Roman"/>
          <w:sz w:val="24"/>
          <w:szCs w:val="24"/>
        </w:rPr>
        <w:t xml:space="preserve">, </w:t>
      </w:r>
      <w:r w:rsidRPr="004932F3">
        <w:rPr>
          <w:rFonts w:ascii="Times New Roman" w:hAnsi="Times New Roman" w:cs="Times New Roman"/>
          <w:b/>
          <w:bCs/>
          <w:sz w:val="24"/>
          <w:szCs w:val="24"/>
        </w:rPr>
        <w:t>C. IAIONE</w:t>
      </w:r>
      <w:r w:rsidRPr="004932F3">
        <w:rPr>
          <w:rFonts w:ascii="Times New Roman" w:hAnsi="Times New Roman" w:cs="Times New Roman"/>
          <w:sz w:val="24"/>
          <w:szCs w:val="24"/>
        </w:rPr>
        <w:t xml:space="preserve"> (a cura di), </w:t>
      </w:r>
      <w:r w:rsidRPr="004932F3">
        <w:rPr>
          <w:rFonts w:ascii="Times New Roman" w:hAnsi="Times New Roman" w:cs="Times New Roman"/>
          <w:i/>
          <w:iCs/>
          <w:sz w:val="24"/>
          <w:szCs w:val="24"/>
        </w:rPr>
        <w:t>L’Italia dei beni comuni</w:t>
      </w:r>
      <w:r w:rsidRPr="004932F3">
        <w:rPr>
          <w:rFonts w:ascii="Times New Roman" w:hAnsi="Times New Roman" w:cs="Times New Roman"/>
          <w:sz w:val="24"/>
          <w:szCs w:val="24"/>
        </w:rPr>
        <w:t xml:space="preserve">, Roma, Carocci, 2012; id., </w:t>
      </w:r>
      <w:r w:rsidRPr="004932F3">
        <w:rPr>
          <w:rFonts w:ascii="Times New Roman" w:hAnsi="Times New Roman" w:cs="Times New Roman"/>
          <w:b/>
          <w:bCs/>
          <w:sz w:val="24"/>
          <w:szCs w:val="24"/>
        </w:rPr>
        <w:t>ARENA, G., IAIONE C.</w:t>
      </w:r>
      <w:r w:rsidRPr="004932F3">
        <w:rPr>
          <w:rFonts w:ascii="Times New Roman" w:hAnsi="Times New Roman" w:cs="Times New Roman"/>
          <w:sz w:val="24"/>
          <w:szCs w:val="24"/>
        </w:rPr>
        <w:t xml:space="preserve"> (a cura di), </w:t>
      </w:r>
      <w:r w:rsidRPr="004932F3">
        <w:rPr>
          <w:rFonts w:ascii="Times New Roman" w:hAnsi="Times New Roman" w:cs="Times New Roman"/>
          <w:i/>
          <w:iCs/>
          <w:sz w:val="24"/>
          <w:szCs w:val="24"/>
        </w:rPr>
        <w:t>L’età della condivisione</w:t>
      </w:r>
      <w:r w:rsidRPr="004932F3">
        <w:rPr>
          <w:rFonts w:ascii="Times New Roman" w:hAnsi="Times New Roman" w:cs="Times New Roman"/>
          <w:sz w:val="24"/>
          <w:szCs w:val="24"/>
        </w:rPr>
        <w:t>, Roma, Carocci, 2015.</w:t>
      </w:r>
    </w:p>
    <w:p w14:paraId="7544464B" w14:textId="77777777" w:rsidR="00D200FB"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G. ARENA</w:t>
      </w:r>
      <w:r w:rsidRPr="004932F3">
        <w:rPr>
          <w:rFonts w:ascii="Times New Roman" w:hAnsi="Times New Roman" w:cs="Times New Roman"/>
          <w:sz w:val="24"/>
          <w:szCs w:val="24"/>
        </w:rPr>
        <w:t xml:space="preserve">, </w:t>
      </w:r>
      <w:r w:rsidRPr="004932F3">
        <w:rPr>
          <w:rFonts w:ascii="Times New Roman" w:hAnsi="Times New Roman" w:cs="Times New Roman"/>
          <w:b/>
          <w:bCs/>
          <w:sz w:val="24"/>
          <w:szCs w:val="24"/>
        </w:rPr>
        <w:t>F. CORTESE</w:t>
      </w:r>
      <w:r w:rsidRPr="004932F3">
        <w:rPr>
          <w:rFonts w:ascii="Times New Roman" w:hAnsi="Times New Roman" w:cs="Times New Roman"/>
          <w:sz w:val="24"/>
          <w:szCs w:val="24"/>
        </w:rPr>
        <w:t xml:space="preserve"> (a cura di), </w:t>
      </w:r>
      <w:r w:rsidRPr="004932F3">
        <w:rPr>
          <w:rFonts w:ascii="Times New Roman" w:hAnsi="Times New Roman" w:cs="Times New Roman"/>
          <w:i/>
          <w:iCs/>
          <w:sz w:val="24"/>
          <w:szCs w:val="24"/>
        </w:rPr>
        <w:t>Per governare insieme: il federalismo come metodo</w:t>
      </w:r>
      <w:r w:rsidRPr="004932F3">
        <w:rPr>
          <w:rFonts w:ascii="Times New Roman" w:hAnsi="Times New Roman" w:cs="Times New Roman"/>
          <w:sz w:val="24"/>
          <w:szCs w:val="24"/>
        </w:rPr>
        <w:t>, Padova, CEDAM, 2011.</w:t>
      </w:r>
      <w:r w:rsidRPr="004932F3">
        <w:rPr>
          <w:rFonts w:ascii="Times New Roman" w:hAnsi="Times New Roman" w:cs="Times New Roman"/>
          <w:sz w:val="24"/>
          <w:szCs w:val="24"/>
        </w:rPr>
        <w:br/>
      </w:r>
      <w:r w:rsidRPr="004932F3">
        <w:rPr>
          <w:rFonts w:ascii="Times New Roman" w:hAnsi="Times New Roman" w:cs="Times New Roman"/>
          <w:b/>
          <w:bCs/>
          <w:sz w:val="24"/>
          <w:szCs w:val="24"/>
        </w:rPr>
        <w:t>G. ARENA</w:t>
      </w:r>
      <w:r w:rsidRPr="004932F3">
        <w:rPr>
          <w:rFonts w:ascii="Times New Roman" w:hAnsi="Times New Roman" w:cs="Times New Roman"/>
          <w:sz w:val="24"/>
          <w:szCs w:val="24"/>
        </w:rPr>
        <w:t xml:space="preserve">, </w:t>
      </w:r>
      <w:r w:rsidRPr="004932F3">
        <w:rPr>
          <w:rFonts w:ascii="Times New Roman" w:hAnsi="Times New Roman" w:cs="Times New Roman"/>
          <w:b/>
          <w:bCs/>
          <w:sz w:val="24"/>
          <w:szCs w:val="24"/>
        </w:rPr>
        <w:t>G. COTTURRI</w:t>
      </w:r>
      <w:r w:rsidRPr="004932F3">
        <w:rPr>
          <w:rFonts w:ascii="Times New Roman" w:hAnsi="Times New Roman" w:cs="Times New Roman"/>
          <w:sz w:val="24"/>
          <w:szCs w:val="24"/>
        </w:rPr>
        <w:t xml:space="preserve"> (a cura di), </w:t>
      </w:r>
      <w:r w:rsidRPr="004932F3">
        <w:rPr>
          <w:rFonts w:ascii="Times New Roman" w:hAnsi="Times New Roman" w:cs="Times New Roman"/>
          <w:i/>
          <w:iCs/>
          <w:sz w:val="24"/>
          <w:szCs w:val="24"/>
        </w:rPr>
        <w:t>Il valore aggiunto. Come la sussidiarietà può salvare l’Italia</w:t>
      </w:r>
      <w:r w:rsidRPr="004932F3">
        <w:rPr>
          <w:rFonts w:ascii="Times New Roman" w:hAnsi="Times New Roman" w:cs="Times New Roman"/>
          <w:sz w:val="24"/>
          <w:szCs w:val="24"/>
        </w:rPr>
        <w:t>, Roma, Carocci, 2010.</w:t>
      </w:r>
    </w:p>
    <w:p w14:paraId="29ACFC45" w14:textId="0E358EB6" w:rsidR="006F1FA6" w:rsidRPr="004932F3" w:rsidRDefault="006F1FA6" w:rsidP="006F1FA6">
      <w:pPr>
        <w:spacing w:line="360" w:lineRule="auto"/>
        <w:ind w:left="170"/>
        <w:contextualSpacing/>
        <w:jc w:val="both"/>
        <w:rPr>
          <w:rFonts w:ascii="Times New Roman" w:hAnsi="Times New Roman" w:cs="Times New Roman"/>
          <w:sz w:val="24"/>
          <w:szCs w:val="24"/>
        </w:rPr>
      </w:pPr>
      <w:r w:rsidRPr="006F1FA6">
        <w:rPr>
          <w:rFonts w:ascii="Times New Roman" w:hAnsi="Times New Roman" w:cs="Times New Roman"/>
          <w:b/>
          <w:bCs/>
          <w:sz w:val="24"/>
          <w:szCs w:val="24"/>
        </w:rPr>
        <w:t xml:space="preserve">AROZZI REGGIANI, </w:t>
      </w:r>
      <w:r w:rsidRPr="006F1FA6">
        <w:rPr>
          <w:rFonts w:ascii="Times New Roman" w:hAnsi="Times New Roman" w:cs="Times New Roman"/>
          <w:i/>
          <w:iCs/>
          <w:sz w:val="24"/>
          <w:szCs w:val="24"/>
        </w:rPr>
        <w:t>Il principio di massima diffusione delle energie rinnovabili e il bilanciamento tra valori costituzionalmente rilevanti nella disciplina delle c.d. “aree idonee”</w:t>
      </w:r>
      <w:r w:rsidRPr="006F1FA6">
        <w:rPr>
          <w:rFonts w:ascii="Times New Roman" w:hAnsi="Times New Roman" w:cs="Times New Roman"/>
          <w:sz w:val="24"/>
          <w:szCs w:val="24"/>
        </w:rPr>
        <w:t xml:space="preserve">, in </w:t>
      </w:r>
      <w:r w:rsidRPr="006F1FA6">
        <w:rPr>
          <w:rFonts w:ascii="Times New Roman" w:hAnsi="Times New Roman" w:cs="Times New Roman"/>
          <w:i/>
          <w:iCs/>
          <w:sz w:val="24"/>
          <w:szCs w:val="24"/>
        </w:rPr>
        <w:t>Rivista giuridica dell’ambiente</w:t>
      </w:r>
      <w:r w:rsidRPr="006F1FA6">
        <w:rPr>
          <w:rFonts w:ascii="Times New Roman" w:hAnsi="Times New Roman" w:cs="Times New Roman"/>
          <w:sz w:val="24"/>
          <w:szCs w:val="24"/>
        </w:rPr>
        <w:t xml:space="preserve">, n. 3, 2022, pp. 597 ss. </w:t>
      </w:r>
    </w:p>
    <w:p w14:paraId="574997AB" w14:textId="77777777" w:rsidR="00D200FB" w:rsidRPr="004932F3"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G. AMATO – B. CASINI (a cura di)</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Sussidiarietà. Origini, sviluppi e prospettive</w:t>
      </w:r>
      <w:r w:rsidRPr="004932F3">
        <w:rPr>
          <w:rFonts w:ascii="Times New Roman" w:hAnsi="Times New Roman" w:cs="Times New Roman"/>
          <w:sz w:val="24"/>
          <w:szCs w:val="24"/>
        </w:rPr>
        <w:t>, Il Mulino, Bologna, 2009.</w:t>
      </w:r>
    </w:p>
    <w:p w14:paraId="3D4C4EAB" w14:textId="4761205C" w:rsidR="00D200FB" w:rsidRDefault="00D200FB" w:rsidP="00D200FB">
      <w:pPr>
        <w:spacing w:line="360" w:lineRule="auto"/>
        <w:ind w:left="170"/>
        <w:contextualSpacing/>
        <w:jc w:val="both"/>
        <w:rPr>
          <w:rFonts w:ascii="Times New Roman" w:hAnsi="Times New Roman" w:cs="Times New Roman"/>
          <w:sz w:val="24"/>
          <w:szCs w:val="24"/>
        </w:rPr>
      </w:pPr>
      <w:r w:rsidRPr="004932F3">
        <w:rPr>
          <w:rFonts w:ascii="Times New Roman" w:hAnsi="Times New Roman" w:cs="Times New Roman"/>
          <w:b/>
          <w:bCs/>
          <w:sz w:val="24"/>
          <w:szCs w:val="24"/>
        </w:rPr>
        <w:t>L. AVITABILE</w:t>
      </w:r>
      <w:r w:rsidRPr="004932F3">
        <w:rPr>
          <w:rFonts w:ascii="Times New Roman" w:hAnsi="Times New Roman" w:cs="Times New Roman"/>
          <w:sz w:val="24"/>
          <w:szCs w:val="24"/>
        </w:rPr>
        <w:t xml:space="preserve">, </w:t>
      </w:r>
      <w:r w:rsidRPr="004932F3">
        <w:rPr>
          <w:rFonts w:ascii="Times New Roman" w:hAnsi="Times New Roman" w:cs="Times New Roman"/>
          <w:i/>
          <w:iCs/>
          <w:sz w:val="24"/>
          <w:szCs w:val="24"/>
        </w:rPr>
        <w:t xml:space="preserve">Diritto e osservatore. Un’interpretazione di Jasper in costante riferimento a Luhmann, </w:t>
      </w:r>
      <w:r w:rsidRPr="004932F3">
        <w:rPr>
          <w:rFonts w:ascii="Times New Roman" w:hAnsi="Times New Roman" w:cs="Times New Roman"/>
          <w:sz w:val="24"/>
          <w:szCs w:val="24"/>
        </w:rPr>
        <w:t xml:space="preserve">Milano, 1998.  </w:t>
      </w:r>
    </w:p>
    <w:p w14:paraId="43D3DEC8" w14:textId="4956078C" w:rsidR="00E436A9" w:rsidRDefault="00E436A9" w:rsidP="00D200FB">
      <w:pPr>
        <w:spacing w:line="360" w:lineRule="auto"/>
        <w:ind w:left="170"/>
        <w:contextualSpacing/>
        <w:jc w:val="both"/>
        <w:rPr>
          <w:rFonts w:ascii="Times New Roman" w:hAnsi="Times New Roman" w:cs="Times New Roman"/>
          <w:sz w:val="24"/>
          <w:szCs w:val="24"/>
        </w:rPr>
      </w:pPr>
      <w:r w:rsidRPr="00E436A9">
        <w:rPr>
          <w:rFonts w:ascii="Times New Roman" w:hAnsi="Times New Roman" w:cs="Times New Roman"/>
          <w:b/>
          <w:bCs/>
          <w:sz w:val="24"/>
          <w:szCs w:val="24"/>
        </w:rPr>
        <w:t>AA.VV.,</w:t>
      </w:r>
      <w:r w:rsidRPr="00E436A9">
        <w:rPr>
          <w:rFonts w:ascii="Times New Roman" w:hAnsi="Times New Roman" w:cs="Times New Roman"/>
          <w:sz w:val="24"/>
          <w:szCs w:val="24"/>
        </w:rPr>
        <w:t xml:space="preserve"> </w:t>
      </w:r>
      <w:r w:rsidRPr="00E436A9">
        <w:rPr>
          <w:rFonts w:ascii="Times New Roman" w:hAnsi="Times New Roman" w:cs="Times New Roman"/>
          <w:i/>
          <w:iCs/>
          <w:sz w:val="24"/>
          <w:szCs w:val="24"/>
        </w:rPr>
        <w:t>Diritto commerciale interno e internazionale. Governance e mercati. Studi in onore di Paolo Montalenti,</w:t>
      </w:r>
      <w:r w:rsidRPr="00E436A9">
        <w:rPr>
          <w:rFonts w:ascii="Times New Roman" w:hAnsi="Times New Roman" w:cs="Times New Roman"/>
          <w:sz w:val="24"/>
          <w:szCs w:val="24"/>
        </w:rPr>
        <w:t xml:space="preserve"> </w:t>
      </w:r>
      <w:r w:rsidRPr="00E436A9">
        <w:rPr>
          <w:rFonts w:ascii="Times New Roman" w:hAnsi="Times New Roman" w:cs="Times New Roman"/>
          <w:i/>
          <w:iCs/>
          <w:sz w:val="24"/>
          <w:szCs w:val="24"/>
        </w:rPr>
        <w:t>raccolta di studi</w:t>
      </w:r>
      <w:r w:rsidRPr="00E436A9">
        <w:rPr>
          <w:rFonts w:ascii="Times New Roman" w:hAnsi="Times New Roman" w:cs="Times New Roman"/>
          <w:sz w:val="24"/>
          <w:szCs w:val="24"/>
        </w:rPr>
        <w:t>, 2020.</w:t>
      </w:r>
    </w:p>
    <w:p w14:paraId="1FDFDE92" w14:textId="77777777" w:rsidR="004B431F" w:rsidRDefault="004B431F" w:rsidP="004B431F">
      <w:pPr>
        <w:spacing w:line="360" w:lineRule="auto"/>
        <w:ind w:left="170"/>
        <w:contextualSpacing/>
        <w:jc w:val="both"/>
        <w:rPr>
          <w:rFonts w:ascii="Times New Roman" w:hAnsi="Times New Roman" w:cs="Times New Roman"/>
          <w:sz w:val="24"/>
          <w:szCs w:val="24"/>
        </w:rPr>
      </w:pPr>
      <w:r w:rsidRPr="004B431F">
        <w:rPr>
          <w:rFonts w:ascii="Times New Roman" w:hAnsi="Times New Roman" w:cs="Times New Roman"/>
          <w:b/>
          <w:bCs/>
          <w:sz w:val="24"/>
          <w:szCs w:val="24"/>
        </w:rPr>
        <w:t>A. BAROZZI REGGIANI</w:t>
      </w:r>
      <w:r w:rsidRPr="004B431F">
        <w:rPr>
          <w:rFonts w:ascii="Times New Roman" w:hAnsi="Times New Roman" w:cs="Times New Roman"/>
          <w:sz w:val="24"/>
          <w:szCs w:val="24"/>
        </w:rPr>
        <w:t xml:space="preserve">, </w:t>
      </w:r>
      <w:r w:rsidRPr="004B431F">
        <w:rPr>
          <w:rFonts w:ascii="Times New Roman" w:hAnsi="Times New Roman" w:cs="Times New Roman"/>
          <w:i/>
          <w:iCs/>
          <w:sz w:val="24"/>
          <w:szCs w:val="24"/>
        </w:rPr>
        <w:t>Il principio di massima diffusione delle energie rinnovabili e il bilanciamento tra valori costituzionalmente rilevanti nella disciplina delle c.d. “aree idonee</w:t>
      </w:r>
      <w:r w:rsidRPr="004B431F">
        <w:rPr>
          <w:rFonts w:ascii="Times New Roman" w:hAnsi="Times New Roman" w:cs="Times New Roman"/>
          <w:sz w:val="24"/>
          <w:szCs w:val="24"/>
        </w:rPr>
        <w:t xml:space="preserve">”, in </w:t>
      </w:r>
      <w:r w:rsidRPr="004B431F">
        <w:rPr>
          <w:rFonts w:ascii="Times New Roman" w:hAnsi="Times New Roman" w:cs="Times New Roman"/>
          <w:i/>
          <w:iCs/>
          <w:sz w:val="24"/>
          <w:szCs w:val="24"/>
        </w:rPr>
        <w:t>Rivista giuridica dell’ambiente</w:t>
      </w:r>
      <w:r w:rsidRPr="004B431F">
        <w:rPr>
          <w:rFonts w:ascii="Times New Roman" w:hAnsi="Times New Roman" w:cs="Times New Roman"/>
          <w:sz w:val="24"/>
          <w:szCs w:val="24"/>
        </w:rPr>
        <w:t>, n. 3, 2022.</w:t>
      </w:r>
    </w:p>
    <w:p w14:paraId="0998B82D" w14:textId="63ED40E8" w:rsidR="002728F8" w:rsidRPr="00FE74C1" w:rsidRDefault="002728F8" w:rsidP="004B431F">
      <w:pPr>
        <w:spacing w:line="360" w:lineRule="auto"/>
        <w:ind w:left="170"/>
        <w:contextualSpacing/>
        <w:jc w:val="both"/>
        <w:rPr>
          <w:rFonts w:ascii="Times New Roman" w:hAnsi="Times New Roman" w:cs="Times New Roman"/>
          <w:sz w:val="24"/>
          <w:szCs w:val="24"/>
          <w:lang w:val="en-US"/>
        </w:rPr>
      </w:pPr>
      <w:r w:rsidRPr="002728F8">
        <w:rPr>
          <w:rFonts w:ascii="Times New Roman" w:hAnsi="Times New Roman" w:cs="Times New Roman"/>
          <w:b/>
          <w:bCs/>
          <w:sz w:val="24"/>
          <w:szCs w:val="24"/>
        </w:rPr>
        <w:t>A. BATTISTI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Quale transizione energetica? Il ruolo delle fonti alternative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 xml:space="preserve">Est-Ovest. </w:t>
      </w:r>
      <w:proofErr w:type="spellStart"/>
      <w:r w:rsidRPr="002728F8">
        <w:rPr>
          <w:rFonts w:ascii="Times New Roman" w:hAnsi="Times New Roman" w:cs="Times New Roman"/>
          <w:i/>
          <w:iCs/>
          <w:sz w:val="24"/>
          <w:szCs w:val="24"/>
          <w:lang w:val="en-US"/>
        </w:rPr>
        <w:t>Rivista</w:t>
      </w:r>
      <w:proofErr w:type="spellEnd"/>
      <w:r w:rsidRPr="002728F8">
        <w:rPr>
          <w:rFonts w:ascii="Times New Roman" w:hAnsi="Times New Roman" w:cs="Times New Roman"/>
          <w:i/>
          <w:iCs/>
          <w:sz w:val="24"/>
          <w:szCs w:val="24"/>
          <w:lang w:val="en-US"/>
        </w:rPr>
        <w:t xml:space="preserve"> </w:t>
      </w:r>
      <w:proofErr w:type="spellStart"/>
      <w:r w:rsidRPr="002728F8">
        <w:rPr>
          <w:rFonts w:ascii="Times New Roman" w:hAnsi="Times New Roman" w:cs="Times New Roman"/>
          <w:i/>
          <w:iCs/>
          <w:sz w:val="24"/>
          <w:szCs w:val="24"/>
          <w:lang w:val="en-US"/>
        </w:rPr>
        <w:t>interdisciplinare</w:t>
      </w:r>
      <w:proofErr w:type="spellEnd"/>
      <w:r w:rsidRPr="002728F8">
        <w:rPr>
          <w:rFonts w:ascii="Times New Roman" w:hAnsi="Times New Roman" w:cs="Times New Roman"/>
          <w:i/>
          <w:iCs/>
          <w:sz w:val="24"/>
          <w:szCs w:val="24"/>
          <w:lang w:val="en-US"/>
        </w:rPr>
        <w:t xml:space="preserve"> di </w:t>
      </w:r>
      <w:proofErr w:type="spellStart"/>
      <w:r w:rsidRPr="002728F8">
        <w:rPr>
          <w:rFonts w:ascii="Times New Roman" w:hAnsi="Times New Roman" w:cs="Times New Roman"/>
          <w:i/>
          <w:iCs/>
          <w:sz w:val="24"/>
          <w:szCs w:val="24"/>
          <w:lang w:val="en-US"/>
        </w:rPr>
        <w:t>studi</w:t>
      </w:r>
      <w:proofErr w:type="spellEnd"/>
      <w:r w:rsidRPr="002728F8">
        <w:rPr>
          <w:rFonts w:ascii="Times New Roman" w:hAnsi="Times New Roman" w:cs="Times New Roman"/>
          <w:i/>
          <w:iCs/>
          <w:sz w:val="24"/>
          <w:szCs w:val="24"/>
          <w:lang w:val="en-US"/>
        </w:rPr>
        <w:t xml:space="preserve"> </w:t>
      </w:r>
      <w:proofErr w:type="spellStart"/>
      <w:r w:rsidRPr="002728F8">
        <w:rPr>
          <w:rFonts w:ascii="Times New Roman" w:hAnsi="Times New Roman" w:cs="Times New Roman"/>
          <w:i/>
          <w:iCs/>
          <w:sz w:val="24"/>
          <w:szCs w:val="24"/>
          <w:lang w:val="en-US"/>
        </w:rPr>
        <w:t>sull’integrazione</w:t>
      </w:r>
      <w:proofErr w:type="spellEnd"/>
      <w:r w:rsidRPr="002728F8">
        <w:rPr>
          <w:rFonts w:ascii="Times New Roman" w:hAnsi="Times New Roman" w:cs="Times New Roman"/>
          <w:i/>
          <w:iCs/>
          <w:sz w:val="24"/>
          <w:szCs w:val="24"/>
          <w:lang w:val="en-US"/>
        </w:rPr>
        <w:t xml:space="preserve"> </w:t>
      </w:r>
      <w:proofErr w:type="spellStart"/>
      <w:r w:rsidRPr="002728F8">
        <w:rPr>
          <w:rFonts w:ascii="Times New Roman" w:hAnsi="Times New Roman" w:cs="Times New Roman"/>
          <w:i/>
          <w:iCs/>
          <w:sz w:val="24"/>
          <w:szCs w:val="24"/>
          <w:lang w:val="en-US"/>
        </w:rPr>
        <w:t>europea</w:t>
      </w:r>
      <w:proofErr w:type="spellEnd"/>
      <w:r w:rsidRPr="002728F8">
        <w:rPr>
          <w:rFonts w:ascii="Times New Roman" w:hAnsi="Times New Roman" w:cs="Times New Roman"/>
          <w:sz w:val="24"/>
          <w:szCs w:val="24"/>
          <w:lang w:val="en-US"/>
        </w:rPr>
        <w:t>, 2009, 3.</w:t>
      </w:r>
    </w:p>
    <w:p w14:paraId="42DE5F2E" w14:textId="77777777" w:rsidR="002728F8" w:rsidRPr="002728F8" w:rsidRDefault="002728F8" w:rsidP="002728F8">
      <w:pPr>
        <w:spacing w:line="360" w:lineRule="auto"/>
        <w:ind w:left="170"/>
        <w:contextualSpacing/>
        <w:jc w:val="both"/>
        <w:rPr>
          <w:rFonts w:ascii="Times New Roman" w:hAnsi="Times New Roman" w:cs="Times New Roman"/>
          <w:sz w:val="24"/>
          <w:szCs w:val="24"/>
          <w:lang w:val="en-US"/>
        </w:rPr>
      </w:pPr>
      <w:r w:rsidRPr="002728F8">
        <w:rPr>
          <w:rFonts w:ascii="Times New Roman" w:hAnsi="Times New Roman" w:cs="Times New Roman"/>
          <w:b/>
          <w:bCs/>
          <w:sz w:val="24"/>
          <w:szCs w:val="24"/>
          <w:lang w:val="en-US"/>
        </w:rPr>
        <w:t>T. BAUWENS, J. DEFOURNY</w:t>
      </w:r>
      <w:r w:rsidRPr="002728F8">
        <w:rPr>
          <w:rFonts w:ascii="Times New Roman" w:hAnsi="Times New Roman" w:cs="Times New Roman"/>
          <w:sz w:val="24"/>
          <w:szCs w:val="24"/>
          <w:lang w:val="en-US"/>
        </w:rPr>
        <w:t xml:space="preserve">, </w:t>
      </w:r>
      <w:r w:rsidRPr="002728F8">
        <w:rPr>
          <w:rFonts w:ascii="Times New Roman" w:hAnsi="Times New Roman" w:cs="Times New Roman"/>
          <w:i/>
          <w:iCs/>
          <w:sz w:val="24"/>
          <w:szCs w:val="24"/>
          <w:lang w:val="en-US"/>
        </w:rPr>
        <w:t>Social capital and mutual versus public benefit: the case of renewable energy cooperatives</w:t>
      </w:r>
      <w:r w:rsidRPr="002728F8">
        <w:rPr>
          <w:rFonts w:ascii="Times New Roman" w:hAnsi="Times New Roman" w:cs="Times New Roman"/>
          <w:sz w:val="24"/>
          <w:szCs w:val="24"/>
          <w:lang w:val="en-US"/>
        </w:rPr>
        <w:t xml:space="preserve">, in </w:t>
      </w:r>
      <w:r w:rsidRPr="002728F8">
        <w:rPr>
          <w:rFonts w:ascii="Times New Roman" w:hAnsi="Times New Roman" w:cs="Times New Roman"/>
          <w:i/>
          <w:iCs/>
          <w:sz w:val="24"/>
          <w:szCs w:val="24"/>
          <w:lang w:val="en-US"/>
        </w:rPr>
        <w:t>Annals of Public and Cooperative Economics</w:t>
      </w:r>
      <w:r w:rsidRPr="002728F8">
        <w:rPr>
          <w:rFonts w:ascii="Times New Roman" w:hAnsi="Times New Roman" w:cs="Times New Roman"/>
          <w:sz w:val="24"/>
          <w:szCs w:val="24"/>
          <w:lang w:val="en-US"/>
        </w:rPr>
        <w:t>, 2017, 88, 203–232.</w:t>
      </w:r>
    </w:p>
    <w:p w14:paraId="67F63077" w14:textId="77777777" w:rsid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G. BECATTINI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Lo sviluppo locale</w:t>
      </w:r>
      <w:r w:rsidRPr="002728F8">
        <w:rPr>
          <w:rFonts w:ascii="Times New Roman" w:hAnsi="Times New Roman" w:cs="Times New Roman"/>
          <w:sz w:val="24"/>
          <w:szCs w:val="24"/>
        </w:rPr>
        <w:t>, IRIS-Incontri sullo sviluppo locale, Artimino, 1999.</w:t>
      </w:r>
    </w:p>
    <w:p w14:paraId="0D5E5190" w14:textId="013ECAB3" w:rsidR="004B431F" w:rsidRPr="002728F8" w:rsidRDefault="004B431F" w:rsidP="002728F8">
      <w:pPr>
        <w:spacing w:line="360" w:lineRule="auto"/>
        <w:ind w:left="170"/>
        <w:contextualSpacing/>
        <w:jc w:val="both"/>
        <w:rPr>
          <w:rFonts w:ascii="Times New Roman" w:hAnsi="Times New Roman" w:cs="Times New Roman"/>
          <w:sz w:val="24"/>
          <w:szCs w:val="24"/>
        </w:rPr>
      </w:pPr>
      <w:r w:rsidRPr="004B431F">
        <w:rPr>
          <w:rFonts w:ascii="Times New Roman" w:hAnsi="Times New Roman" w:cs="Times New Roman"/>
          <w:b/>
          <w:bCs/>
          <w:sz w:val="24"/>
          <w:szCs w:val="24"/>
        </w:rPr>
        <w:t>G. BELLOMO</w:t>
      </w:r>
      <w:r w:rsidRPr="004B431F">
        <w:rPr>
          <w:rFonts w:ascii="Times New Roman" w:hAnsi="Times New Roman" w:cs="Times New Roman"/>
          <w:sz w:val="24"/>
          <w:szCs w:val="24"/>
        </w:rPr>
        <w:t xml:space="preserve">, </w:t>
      </w:r>
      <w:r w:rsidRPr="004B431F">
        <w:rPr>
          <w:rFonts w:ascii="Times New Roman" w:hAnsi="Times New Roman" w:cs="Times New Roman"/>
          <w:i/>
          <w:iCs/>
          <w:sz w:val="24"/>
          <w:szCs w:val="24"/>
        </w:rPr>
        <w:t>I modelli di conservazione e valorizzazione nelle aree naturali protette: profili italiani e comparat</w:t>
      </w:r>
      <w:r w:rsidRPr="004B431F">
        <w:rPr>
          <w:rFonts w:ascii="Times New Roman" w:hAnsi="Times New Roman" w:cs="Times New Roman"/>
          <w:sz w:val="24"/>
          <w:szCs w:val="24"/>
        </w:rPr>
        <w:t xml:space="preserve">i, in </w:t>
      </w:r>
      <w:r w:rsidRPr="004B431F">
        <w:rPr>
          <w:rFonts w:ascii="Times New Roman" w:hAnsi="Times New Roman" w:cs="Times New Roman"/>
          <w:i/>
          <w:iCs/>
          <w:sz w:val="24"/>
          <w:szCs w:val="24"/>
        </w:rPr>
        <w:t>Rivista giuridica dell’ambiente</w:t>
      </w:r>
      <w:r w:rsidRPr="004B431F">
        <w:rPr>
          <w:rFonts w:ascii="Times New Roman" w:hAnsi="Times New Roman" w:cs="Times New Roman"/>
          <w:sz w:val="24"/>
          <w:szCs w:val="24"/>
        </w:rPr>
        <w:t>, n. 2, 2008, p. 291.</w:t>
      </w:r>
    </w:p>
    <w:p w14:paraId="6AAE2D61"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A. BELTRAN</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Energia e democrazia politica. Qualche spunto storico</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Ricerche di storia politica</w:t>
      </w:r>
      <w:r w:rsidRPr="002728F8">
        <w:rPr>
          <w:rFonts w:ascii="Times New Roman" w:hAnsi="Times New Roman" w:cs="Times New Roman"/>
          <w:sz w:val="24"/>
          <w:szCs w:val="24"/>
        </w:rPr>
        <w:t>, 2018, 1, 51 ss.</w:t>
      </w:r>
    </w:p>
    <w:p w14:paraId="370FCE83"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G. BELLANTUONO</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Contratti e regolazione nel settore elettrico. Un confronto fra Italia e Regno Unito</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Mercato Concorrenza Regole</w:t>
      </w:r>
      <w:r w:rsidRPr="002728F8">
        <w:rPr>
          <w:rFonts w:ascii="Times New Roman" w:hAnsi="Times New Roman" w:cs="Times New Roman"/>
          <w:sz w:val="24"/>
          <w:szCs w:val="24"/>
        </w:rPr>
        <w:t>, 2006, 2, 285–314.</w:t>
      </w:r>
    </w:p>
    <w:p w14:paraId="74723D1F"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M. BENVENUTI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Per un diritto amministrativo paritario</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Studi in memoria di Enrico Guicciardi</w:t>
      </w:r>
      <w:r w:rsidRPr="002728F8">
        <w:rPr>
          <w:rFonts w:ascii="Times New Roman" w:hAnsi="Times New Roman" w:cs="Times New Roman"/>
          <w:sz w:val="24"/>
          <w:szCs w:val="24"/>
        </w:rPr>
        <w:t xml:space="preserve">, Padova, 1975, p. 807 ss.; id., </w:t>
      </w:r>
      <w:r w:rsidRPr="002728F8">
        <w:rPr>
          <w:rFonts w:ascii="Times New Roman" w:hAnsi="Times New Roman" w:cs="Times New Roman"/>
          <w:i/>
          <w:iCs/>
          <w:sz w:val="24"/>
          <w:szCs w:val="24"/>
        </w:rPr>
        <w:t>Diritti sociali</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Digesto pubbl.</w:t>
      </w:r>
      <w:r w:rsidRPr="002728F8">
        <w:rPr>
          <w:rFonts w:ascii="Times New Roman" w:hAnsi="Times New Roman" w:cs="Times New Roman"/>
          <w:sz w:val="24"/>
          <w:szCs w:val="24"/>
        </w:rPr>
        <w:t>, Torino, 2012, p. 15.</w:t>
      </w:r>
    </w:p>
    <w:p w14:paraId="5D9FBDAE"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A. BERNARDONI, C. BORZAGA, J. SFORZI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Comunità energetiche rinnovabili. Una sfida per le imprese sociali e di comunità</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Impresa sociale</w:t>
      </w:r>
      <w:r w:rsidRPr="002728F8">
        <w:rPr>
          <w:rFonts w:ascii="Times New Roman" w:hAnsi="Times New Roman" w:cs="Times New Roman"/>
          <w:sz w:val="24"/>
          <w:szCs w:val="24"/>
        </w:rPr>
        <w:t>, 2022, 77.</w:t>
      </w:r>
    </w:p>
    <w:p w14:paraId="543C99F2"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lastRenderedPageBreak/>
        <w:t>M. BERNARDI, R. MICCÙ</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Premesse ad uno studio sulle Energy communities</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Federalismi.it</w:t>
      </w:r>
      <w:r w:rsidRPr="002728F8">
        <w:rPr>
          <w:rFonts w:ascii="Times New Roman" w:hAnsi="Times New Roman" w:cs="Times New Roman"/>
          <w:sz w:val="24"/>
          <w:szCs w:val="24"/>
        </w:rPr>
        <w:t>, 2022, 4, p. 603.</w:t>
      </w:r>
    </w:p>
    <w:p w14:paraId="33EABBAC"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N. BERTI, A. BONAITI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Aspetti e problemi delle recenti riforme in tema di realizzazione degli impianti di produzione di energia da fonti rinnovabili</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AmbienteDiritto.it</w:t>
      </w:r>
      <w:r w:rsidRPr="002728F8">
        <w:rPr>
          <w:rFonts w:ascii="Times New Roman" w:hAnsi="Times New Roman" w:cs="Times New Roman"/>
          <w:sz w:val="24"/>
          <w:szCs w:val="24"/>
        </w:rPr>
        <w:t>, n. 1, 2023.</w:t>
      </w:r>
    </w:p>
    <w:p w14:paraId="4F2E7865"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D. BESSONE</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Società commerciali: nozione di società, oggetto, scopo mutualistico e scopo di lucro</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Diritto &amp; Diritti</w:t>
      </w:r>
      <w:r w:rsidRPr="002728F8">
        <w:rPr>
          <w:rFonts w:ascii="Times New Roman" w:hAnsi="Times New Roman" w:cs="Times New Roman"/>
          <w:sz w:val="24"/>
          <w:szCs w:val="24"/>
        </w:rPr>
        <w:t>, 2003.</w:t>
      </w:r>
    </w:p>
    <w:p w14:paraId="44CD9C66"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C. BEVILACQUA</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Le comunità energetiche tra governance e sviluppo locale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Amministrazione in Cammino</w:t>
      </w:r>
      <w:r w:rsidRPr="002728F8">
        <w:rPr>
          <w:rFonts w:ascii="Times New Roman" w:hAnsi="Times New Roman" w:cs="Times New Roman"/>
          <w:sz w:val="24"/>
          <w:szCs w:val="24"/>
        </w:rPr>
        <w:t xml:space="preserve">, 2020, 13; id., </w:t>
      </w:r>
      <w:r w:rsidRPr="002728F8">
        <w:rPr>
          <w:rFonts w:ascii="Times New Roman" w:hAnsi="Times New Roman" w:cs="Times New Roman"/>
          <w:i/>
          <w:iCs/>
          <w:sz w:val="24"/>
          <w:szCs w:val="24"/>
        </w:rPr>
        <w:t>Le comunità energetiche tra governance e sviluppo locale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Amministrazione in cammino</w:t>
      </w:r>
      <w:r w:rsidRPr="002728F8">
        <w:rPr>
          <w:rFonts w:ascii="Times New Roman" w:hAnsi="Times New Roman" w:cs="Times New Roman"/>
          <w:sz w:val="24"/>
          <w:szCs w:val="24"/>
        </w:rPr>
        <w:t>, 2020, 1.</w:t>
      </w:r>
    </w:p>
    <w:p w14:paraId="1EF5C980"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P. BEVILACQUA</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La terra è finita. Breve storia dell’ambiente</w:t>
      </w:r>
      <w:r w:rsidRPr="002728F8">
        <w:rPr>
          <w:rFonts w:ascii="Times New Roman" w:hAnsi="Times New Roman" w:cs="Times New Roman"/>
          <w:sz w:val="24"/>
          <w:szCs w:val="24"/>
        </w:rPr>
        <w:t>, Laterza, Roma-Bari, 2006.</w:t>
      </w:r>
    </w:p>
    <w:p w14:paraId="5640022C"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M. BIANCHI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Le cooperative di comunità come nuovi agenti di aggregazione sociale e sviluppo locale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Impresa Sociale</w:t>
      </w:r>
      <w:r w:rsidRPr="002728F8">
        <w:rPr>
          <w:rFonts w:ascii="Times New Roman" w:hAnsi="Times New Roman" w:cs="Times New Roman"/>
          <w:sz w:val="24"/>
          <w:szCs w:val="24"/>
        </w:rPr>
        <w:t>, 2021, 2.</w:t>
      </w:r>
    </w:p>
    <w:p w14:paraId="70A0478B"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R. BIN</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La sussidiarietà “orizzontale”: alla ricerca dei soggetti privati</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Le Istituzioni del federalismo</w:t>
      </w:r>
      <w:r w:rsidRPr="002728F8">
        <w:rPr>
          <w:rFonts w:ascii="Times New Roman" w:hAnsi="Times New Roman" w:cs="Times New Roman"/>
          <w:sz w:val="24"/>
          <w:szCs w:val="24"/>
        </w:rPr>
        <w:t>, 1999.</w:t>
      </w:r>
    </w:p>
    <w:p w14:paraId="4FE59F79"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M. BOLOGNESI, A. MAGNAGHI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Verso le comunità energetiche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Scienze del territorio</w:t>
      </w:r>
      <w:r w:rsidRPr="002728F8">
        <w:rPr>
          <w:rFonts w:ascii="Times New Roman" w:hAnsi="Times New Roman" w:cs="Times New Roman"/>
          <w:sz w:val="24"/>
          <w:szCs w:val="24"/>
        </w:rPr>
        <w:t>, 2020.</w:t>
      </w:r>
    </w:p>
    <w:p w14:paraId="3723C817"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L. BONESIO</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Il progetto di paesaggio nell’approccio territorialista</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Contesti: città, territori, progetti</w:t>
      </w:r>
      <w:r w:rsidRPr="002728F8">
        <w:rPr>
          <w:rFonts w:ascii="Times New Roman" w:hAnsi="Times New Roman" w:cs="Times New Roman"/>
          <w:sz w:val="24"/>
          <w:szCs w:val="24"/>
        </w:rPr>
        <w:t>, 2010, 2, 55–61.</w:t>
      </w:r>
    </w:p>
    <w:p w14:paraId="72BFD9BE"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H. BONURA, G. FONDERICO,</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Il socio pubblico e le società partecipate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Rivista di diritto ed economia dei comuni</w:t>
      </w:r>
      <w:r w:rsidRPr="002728F8">
        <w:rPr>
          <w:rFonts w:ascii="Times New Roman" w:hAnsi="Times New Roman" w:cs="Times New Roman"/>
          <w:sz w:val="24"/>
          <w:szCs w:val="24"/>
        </w:rPr>
        <w:t xml:space="preserve">, 2023, 2, 58 ss.; id., </w:t>
      </w:r>
      <w:r w:rsidRPr="002728F8">
        <w:rPr>
          <w:rFonts w:ascii="Times New Roman" w:hAnsi="Times New Roman" w:cs="Times New Roman"/>
          <w:i/>
          <w:iCs/>
          <w:sz w:val="24"/>
          <w:szCs w:val="24"/>
        </w:rPr>
        <w:t>Le partecipazioni pubbliche</w:t>
      </w:r>
      <w:r w:rsidRPr="002728F8">
        <w:rPr>
          <w:rFonts w:ascii="Times New Roman" w:hAnsi="Times New Roman" w:cs="Times New Roman"/>
          <w:sz w:val="24"/>
          <w:szCs w:val="24"/>
        </w:rPr>
        <w:t xml:space="preserve">, in B.G. Mattarella - E. D’Alterio (a cura di), </w:t>
      </w:r>
      <w:r w:rsidRPr="002728F8">
        <w:rPr>
          <w:rFonts w:ascii="Times New Roman" w:hAnsi="Times New Roman" w:cs="Times New Roman"/>
          <w:i/>
          <w:iCs/>
          <w:sz w:val="24"/>
          <w:szCs w:val="24"/>
        </w:rPr>
        <w:t>La riforma della pubblica amministrazione</w:t>
      </w:r>
      <w:r w:rsidRPr="002728F8">
        <w:rPr>
          <w:rFonts w:ascii="Times New Roman" w:hAnsi="Times New Roman" w:cs="Times New Roman"/>
          <w:sz w:val="24"/>
          <w:szCs w:val="24"/>
        </w:rPr>
        <w:t xml:space="preserve">, Il Sole 24 Ore, 2017, p. 345 ss.; id., H. BONURA, G. FONDERICO, </w:t>
      </w:r>
      <w:r w:rsidRPr="002728F8">
        <w:rPr>
          <w:rFonts w:ascii="Times New Roman" w:hAnsi="Times New Roman" w:cs="Times New Roman"/>
          <w:i/>
          <w:iCs/>
          <w:sz w:val="24"/>
          <w:szCs w:val="24"/>
        </w:rPr>
        <w:t>Brevi note su società pubbliche e libertà d’iniziativa economica delle pubbliche amministrazioni a due anni dall’entrata in vigore del Testo unico</w:t>
      </w:r>
      <w:r w:rsidRPr="002728F8">
        <w:rPr>
          <w:rFonts w:ascii="Times New Roman" w:hAnsi="Times New Roman" w:cs="Times New Roman"/>
          <w:sz w:val="24"/>
          <w:szCs w:val="24"/>
        </w:rPr>
        <w:t xml:space="preserve">, in V. Cerulli Irelli - M. Libertini (a cura di), </w:t>
      </w:r>
      <w:r w:rsidRPr="002728F8">
        <w:rPr>
          <w:rFonts w:ascii="Times New Roman" w:hAnsi="Times New Roman" w:cs="Times New Roman"/>
          <w:i/>
          <w:iCs/>
          <w:sz w:val="24"/>
          <w:szCs w:val="24"/>
        </w:rPr>
        <w:t>Iniziativa economica pubblica e società partecipate</w:t>
      </w:r>
      <w:r w:rsidRPr="002728F8">
        <w:rPr>
          <w:rFonts w:ascii="Times New Roman" w:hAnsi="Times New Roman" w:cs="Times New Roman"/>
          <w:sz w:val="24"/>
          <w:szCs w:val="24"/>
        </w:rPr>
        <w:t xml:space="preserve">, Egea, 2019, p. 81 ss.; id., H. BONURA, M. VILLANI, </w:t>
      </w:r>
      <w:r w:rsidRPr="002728F8">
        <w:rPr>
          <w:rFonts w:ascii="Times New Roman" w:hAnsi="Times New Roman" w:cs="Times New Roman"/>
          <w:i/>
          <w:iCs/>
          <w:sz w:val="24"/>
          <w:szCs w:val="24"/>
        </w:rPr>
        <w:t>Ancora sull’eccezionalità del ricorso all’in house: una possibile rilettura alla luce della giurisprudenza più recente</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Rivista della Corte dei conti</w:t>
      </w:r>
      <w:r w:rsidRPr="002728F8">
        <w:rPr>
          <w:rFonts w:ascii="Times New Roman" w:hAnsi="Times New Roman" w:cs="Times New Roman"/>
          <w:sz w:val="24"/>
          <w:szCs w:val="24"/>
        </w:rPr>
        <w:t xml:space="preserve">, n. 3/2020, parte I, p. 18 ss.; id., </w:t>
      </w:r>
      <w:r w:rsidRPr="002728F8">
        <w:rPr>
          <w:rFonts w:ascii="Times New Roman" w:hAnsi="Times New Roman" w:cs="Times New Roman"/>
          <w:i/>
          <w:iCs/>
          <w:sz w:val="24"/>
          <w:szCs w:val="24"/>
        </w:rPr>
        <w:t>Le partecipazioni societarie delle pubbliche amministrazioni, tra esigenze e suggestioni: appunti per un tentativo di ricostruzione del fenomeno</w:t>
      </w:r>
      <w:r w:rsidRPr="002728F8">
        <w:rPr>
          <w:rFonts w:ascii="Times New Roman" w:hAnsi="Times New Roman" w:cs="Times New Roman"/>
          <w:sz w:val="24"/>
          <w:szCs w:val="24"/>
        </w:rPr>
        <w:t xml:space="preserve">, Atti del Convegno in memoria di Fabio Viola, in </w:t>
      </w:r>
      <w:r w:rsidRPr="002728F8">
        <w:rPr>
          <w:rFonts w:ascii="Times New Roman" w:hAnsi="Times New Roman" w:cs="Times New Roman"/>
          <w:i/>
          <w:iCs/>
          <w:sz w:val="24"/>
          <w:szCs w:val="24"/>
        </w:rPr>
        <w:t>Rivista dell’Economia dei Comuni</w:t>
      </w:r>
      <w:r w:rsidRPr="002728F8">
        <w:rPr>
          <w:rFonts w:ascii="Times New Roman" w:hAnsi="Times New Roman" w:cs="Times New Roman"/>
          <w:sz w:val="24"/>
          <w:szCs w:val="24"/>
        </w:rPr>
        <w:t>, 2024, 1, p. 138 ss.</w:t>
      </w:r>
    </w:p>
    <w:p w14:paraId="4511417D"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B. BOSCHETTI,</w:t>
      </w:r>
      <w:r w:rsidRPr="002728F8">
        <w:rPr>
          <w:rFonts w:ascii="Times New Roman" w:hAnsi="Times New Roman" w:cs="Times New Roman"/>
          <w:sz w:val="24"/>
          <w:szCs w:val="24"/>
        </w:rPr>
        <w:t xml:space="preserve"> </w:t>
      </w:r>
      <w:r w:rsidRPr="002728F8">
        <w:rPr>
          <w:rFonts w:ascii="Times New Roman" w:hAnsi="Times New Roman" w:cs="Times New Roman"/>
          <w:i/>
          <w:iCs/>
          <w:sz w:val="24"/>
          <w:szCs w:val="24"/>
        </w:rPr>
        <w:t>Transizione digitale e amministrazione (eco)sistemica</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Studi parlamentari e politica costituzionale</w:t>
      </w:r>
      <w:r w:rsidRPr="002728F8">
        <w:rPr>
          <w:rFonts w:ascii="Times New Roman" w:hAnsi="Times New Roman" w:cs="Times New Roman"/>
          <w:sz w:val="24"/>
          <w:szCs w:val="24"/>
        </w:rPr>
        <w:t>, 209, 2021, p. 53.</w:t>
      </w:r>
    </w:p>
    <w:p w14:paraId="420A2ECD"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 xml:space="preserve">G. BOTTAZZI, </w:t>
      </w:r>
      <w:r w:rsidRPr="002728F8">
        <w:rPr>
          <w:rFonts w:ascii="Times New Roman" w:hAnsi="Times New Roman" w:cs="Times New Roman"/>
          <w:i/>
          <w:iCs/>
          <w:sz w:val="24"/>
          <w:szCs w:val="24"/>
        </w:rPr>
        <w:t>Ripensando lo sviluppo locale</w:t>
      </w:r>
      <w:r w:rsidRPr="002728F8">
        <w:rPr>
          <w:rFonts w:ascii="Times New Roman" w:hAnsi="Times New Roman" w:cs="Times New Roman"/>
          <w:sz w:val="24"/>
          <w:szCs w:val="24"/>
        </w:rPr>
        <w:t xml:space="preserve">, in F.P. Cerase (a cura di), </w:t>
      </w:r>
      <w:r w:rsidRPr="002728F8">
        <w:rPr>
          <w:rFonts w:ascii="Times New Roman" w:hAnsi="Times New Roman" w:cs="Times New Roman"/>
          <w:i/>
          <w:iCs/>
          <w:sz w:val="24"/>
          <w:szCs w:val="24"/>
        </w:rPr>
        <w:t>Lo sviluppo possibile</w:t>
      </w:r>
      <w:r w:rsidRPr="002728F8">
        <w:rPr>
          <w:rFonts w:ascii="Times New Roman" w:hAnsi="Times New Roman" w:cs="Times New Roman"/>
          <w:sz w:val="24"/>
          <w:szCs w:val="24"/>
        </w:rPr>
        <w:t>, Milano, FrancoAngeli, 2005.</w:t>
      </w:r>
    </w:p>
    <w:p w14:paraId="1BB258E0" w14:textId="77777777" w:rsidR="002728F8" w:rsidRPr="002728F8" w:rsidRDefault="002728F8" w:rsidP="002728F8">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sz w:val="24"/>
          <w:szCs w:val="24"/>
        </w:rPr>
        <w:lastRenderedPageBreak/>
        <w:t xml:space="preserve">M. BRESSO, </w:t>
      </w:r>
      <w:r w:rsidRPr="002728F8">
        <w:rPr>
          <w:rFonts w:ascii="Times New Roman" w:hAnsi="Times New Roman" w:cs="Times New Roman"/>
          <w:i/>
          <w:iCs/>
          <w:sz w:val="24"/>
          <w:szCs w:val="24"/>
        </w:rPr>
        <w:t>Economia ecologica. La transizione ambientale verso uno sviluppo sostenibile</w:t>
      </w:r>
      <w:r w:rsidRPr="002728F8">
        <w:rPr>
          <w:rFonts w:ascii="Times New Roman" w:hAnsi="Times New Roman" w:cs="Times New Roman"/>
          <w:sz w:val="24"/>
          <w:szCs w:val="24"/>
        </w:rPr>
        <w:t>, Jaca Book, 2021.</w:t>
      </w:r>
    </w:p>
    <w:p w14:paraId="1385458F" w14:textId="77777777" w:rsidR="00D465D3" w:rsidRDefault="002728F8" w:rsidP="00D465D3">
      <w:pPr>
        <w:spacing w:line="360" w:lineRule="auto"/>
        <w:ind w:left="170"/>
        <w:contextualSpacing/>
        <w:jc w:val="both"/>
        <w:rPr>
          <w:rFonts w:ascii="Times New Roman" w:hAnsi="Times New Roman" w:cs="Times New Roman"/>
          <w:sz w:val="24"/>
          <w:szCs w:val="24"/>
        </w:rPr>
      </w:pPr>
      <w:r w:rsidRPr="002728F8">
        <w:rPr>
          <w:rFonts w:ascii="Times New Roman" w:hAnsi="Times New Roman" w:cs="Times New Roman"/>
          <w:b/>
          <w:bCs/>
          <w:sz w:val="24"/>
          <w:szCs w:val="24"/>
        </w:rPr>
        <w:t xml:space="preserve">E. BRUTI LIBERATI, </w:t>
      </w:r>
      <w:r w:rsidRPr="002728F8">
        <w:rPr>
          <w:rFonts w:ascii="Times New Roman" w:hAnsi="Times New Roman" w:cs="Times New Roman"/>
          <w:i/>
          <w:iCs/>
          <w:sz w:val="24"/>
          <w:szCs w:val="24"/>
        </w:rPr>
        <w:t>Accordi pubblici</w:t>
      </w:r>
      <w:r w:rsidRPr="002728F8">
        <w:rPr>
          <w:rFonts w:ascii="Times New Roman" w:hAnsi="Times New Roman" w:cs="Times New Roman"/>
          <w:sz w:val="24"/>
          <w:szCs w:val="24"/>
        </w:rPr>
        <w:t xml:space="preserve">, in </w:t>
      </w:r>
      <w:r w:rsidRPr="002728F8">
        <w:rPr>
          <w:rFonts w:ascii="Times New Roman" w:hAnsi="Times New Roman" w:cs="Times New Roman"/>
          <w:i/>
          <w:iCs/>
          <w:sz w:val="24"/>
          <w:szCs w:val="24"/>
        </w:rPr>
        <w:t>Enciclopedia del diritto</w:t>
      </w:r>
      <w:r w:rsidRPr="002728F8">
        <w:rPr>
          <w:rFonts w:ascii="Times New Roman" w:hAnsi="Times New Roman" w:cs="Times New Roman"/>
          <w:sz w:val="24"/>
          <w:szCs w:val="24"/>
        </w:rPr>
        <w:t>, V, Milano.</w:t>
      </w:r>
    </w:p>
    <w:p w14:paraId="7F0134EB" w14:textId="4BF436F8" w:rsidR="00D465D3" w:rsidRPr="00506CC7" w:rsidRDefault="00D465D3" w:rsidP="00506CC7">
      <w:pPr>
        <w:spacing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fr-FR"/>
        </w:rPr>
        <w:t>M.J. BURKE, J.C. STEPHENS</w:t>
      </w:r>
      <w:r w:rsidRPr="00D465D3">
        <w:rPr>
          <w:rFonts w:ascii="Times New Roman" w:hAnsi="Times New Roman" w:cs="Times New Roman"/>
          <w:sz w:val="24"/>
          <w:szCs w:val="24"/>
          <w:lang w:val="fr-FR"/>
        </w:rPr>
        <w:t xml:space="preserve">, </w:t>
      </w:r>
      <w:r w:rsidRPr="00D465D3">
        <w:rPr>
          <w:rFonts w:ascii="Times New Roman" w:hAnsi="Times New Roman" w:cs="Times New Roman"/>
          <w:i/>
          <w:iCs/>
          <w:sz w:val="24"/>
          <w:szCs w:val="24"/>
          <w:lang w:val="fr-FR"/>
        </w:rPr>
        <w:t xml:space="preserve">Energy </w:t>
      </w:r>
      <w:proofErr w:type="spellStart"/>
      <w:proofErr w:type="gramStart"/>
      <w:r w:rsidRPr="00D465D3">
        <w:rPr>
          <w:rFonts w:ascii="Times New Roman" w:hAnsi="Times New Roman" w:cs="Times New Roman"/>
          <w:i/>
          <w:iCs/>
          <w:sz w:val="24"/>
          <w:szCs w:val="24"/>
          <w:lang w:val="fr-FR"/>
        </w:rPr>
        <w:t>democracy</w:t>
      </w:r>
      <w:proofErr w:type="spellEnd"/>
      <w:r w:rsidRPr="00D465D3">
        <w:rPr>
          <w:rFonts w:ascii="Times New Roman" w:hAnsi="Times New Roman" w:cs="Times New Roman"/>
          <w:i/>
          <w:iCs/>
          <w:sz w:val="24"/>
          <w:szCs w:val="24"/>
          <w:lang w:val="fr-FR"/>
        </w:rPr>
        <w:t>:</w:t>
      </w:r>
      <w:proofErr w:type="gramEnd"/>
      <w:r w:rsidRPr="00D465D3">
        <w:rPr>
          <w:rFonts w:ascii="Times New Roman" w:hAnsi="Times New Roman" w:cs="Times New Roman"/>
          <w:i/>
          <w:iCs/>
          <w:sz w:val="24"/>
          <w:szCs w:val="24"/>
          <w:lang w:val="fr-FR"/>
        </w:rPr>
        <w:t xml:space="preserve"> goals and </w:t>
      </w:r>
      <w:proofErr w:type="spellStart"/>
      <w:r w:rsidRPr="00D465D3">
        <w:rPr>
          <w:rFonts w:ascii="Times New Roman" w:hAnsi="Times New Roman" w:cs="Times New Roman"/>
          <w:i/>
          <w:iCs/>
          <w:sz w:val="24"/>
          <w:szCs w:val="24"/>
          <w:lang w:val="fr-FR"/>
        </w:rPr>
        <w:t>policy</w:t>
      </w:r>
      <w:proofErr w:type="spellEnd"/>
      <w:r w:rsidRPr="00D465D3">
        <w:rPr>
          <w:rFonts w:ascii="Times New Roman" w:hAnsi="Times New Roman" w:cs="Times New Roman"/>
          <w:i/>
          <w:iCs/>
          <w:sz w:val="24"/>
          <w:szCs w:val="24"/>
          <w:lang w:val="fr-FR"/>
        </w:rPr>
        <w:t xml:space="preserve"> instruments for socio-</w:t>
      </w:r>
      <w:proofErr w:type="spellStart"/>
      <w:r w:rsidRPr="00D465D3">
        <w:rPr>
          <w:rFonts w:ascii="Times New Roman" w:hAnsi="Times New Roman" w:cs="Times New Roman"/>
          <w:i/>
          <w:iCs/>
          <w:sz w:val="24"/>
          <w:szCs w:val="24"/>
          <w:lang w:val="fr-FR"/>
        </w:rPr>
        <w:t>technical</w:t>
      </w:r>
      <w:proofErr w:type="spellEnd"/>
      <w:r w:rsidRPr="00D465D3">
        <w:rPr>
          <w:rFonts w:ascii="Times New Roman" w:hAnsi="Times New Roman" w:cs="Times New Roman"/>
          <w:i/>
          <w:iCs/>
          <w:sz w:val="24"/>
          <w:szCs w:val="24"/>
          <w:lang w:val="fr-FR"/>
        </w:rPr>
        <w:t xml:space="preserve"> transitions</w:t>
      </w:r>
      <w:r w:rsidRPr="00D465D3">
        <w:rPr>
          <w:rFonts w:ascii="Times New Roman" w:hAnsi="Times New Roman" w:cs="Times New Roman"/>
          <w:sz w:val="24"/>
          <w:szCs w:val="24"/>
          <w:lang w:val="fr-FR"/>
        </w:rPr>
        <w:t xml:space="preserve">, in </w:t>
      </w:r>
      <w:r w:rsidRPr="00D465D3">
        <w:rPr>
          <w:rFonts w:ascii="Times New Roman" w:hAnsi="Times New Roman" w:cs="Times New Roman"/>
          <w:i/>
          <w:iCs/>
          <w:sz w:val="24"/>
          <w:szCs w:val="24"/>
          <w:lang w:val="fr-FR"/>
        </w:rPr>
        <w:t xml:space="preserve">Energy </w:t>
      </w:r>
      <w:proofErr w:type="spellStart"/>
      <w:r w:rsidRPr="00D465D3">
        <w:rPr>
          <w:rFonts w:ascii="Times New Roman" w:hAnsi="Times New Roman" w:cs="Times New Roman"/>
          <w:i/>
          <w:iCs/>
          <w:sz w:val="24"/>
          <w:szCs w:val="24"/>
          <w:lang w:val="fr-FR"/>
        </w:rPr>
        <w:t>Research</w:t>
      </w:r>
      <w:proofErr w:type="spellEnd"/>
      <w:r w:rsidRPr="00D465D3">
        <w:rPr>
          <w:rFonts w:ascii="Times New Roman" w:hAnsi="Times New Roman" w:cs="Times New Roman"/>
          <w:i/>
          <w:iCs/>
          <w:sz w:val="24"/>
          <w:szCs w:val="24"/>
          <w:lang w:val="fr-FR"/>
        </w:rPr>
        <w:t xml:space="preserve"> and Social Science</w:t>
      </w:r>
      <w:r w:rsidRPr="00D465D3">
        <w:rPr>
          <w:rFonts w:ascii="Times New Roman" w:hAnsi="Times New Roman" w:cs="Times New Roman"/>
          <w:sz w:val="24"/>
          <w:szCs w:val="24"/>
          <w:lang w:val="fr-FR"/>
        </w:rPr>
        <w:t>, 2017, 35.</w:t>
      </w:r>
    </w:p>
    <w:p w14:paraId="281F1D4E"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lang w:val="en-US"/>
        </w:rPr>
      </w:pPr>
      <w:r w:rsidRPr="00D465D3">
        <w:rPr>
          <w:rFonts w:ascii="Times New Roman" w:hAnsi="Times New Roman" w:cs="Times New Roman"/>
          <w:b/>
          <w:bCs/>
          <w:sz w:val="24"/>
          <w:szCs w:val="24"/>
        </w:rPr>
        <w:t>M. CAFAGNO, F. FONDERICO</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Riflessione economica e modelli di azione amministrativa a tutela dell’ambiente</w:t>
      </w:r>
      <w:r w:rsidRPr="00D465D3">
        <w:rPr>
          <w:rFonts w:ascii="Times New Roman" w:hAnsi="Times New Roman" w:cs="Times New Roman"/>
          <w:sz w:val="24"/>
          <w:szCs w:val="24"/>
        </w:rPr>
        <w:t xml:space="preserve">, in P. Dell’Anno, E. Picozza (a cura di), </w:t>
      </w:r>
      <w:r w:rsidRPr="00D465D3">
        <w:rPr>
          <w:rFonts w:ascii="Times New Roman" w:hAnsi="Times New Roman" w:cs="Times New Roman"/>
          <w:i/>
          <w:iCs/>
          <w:sz w:val="24"/>
          <w:szCs w:val="24"/>
        </w:rPr>
        <w:t xml:space="preserve">Trattato di diritto dell’ambiente. </w:t>
      </w:r>
      <w:proofErr w:type="spellStart"/>
      <w:r w:rsidRPr="00D465D3">
        <w:rPr>
          <w:rFonts w:ascii="Times New Roman" w:hAnsi="Times New Roman" w:cs="Times New Roman"/>
          <w:i/>
          <w:iCs/>
          <w:sz w:val="24"/>
          <w:szCs w:val="24"/>
          <w:lang w:val="en-US"/>
        </w:rPr>
        <w:t>Principi</w:t>
      </w:r>
      <w:proofErr w:type="spellEnd"/>
      <w:r w:rsidRPr="00D465D3">
        <w:rPr>
          <w:rFonts w:ascii="Times New Roman" w:hAnsi="Times New Roman" w:cs="Times New Roman"/>
          <w:i/>
          <w:iCs/>
          <w:sz w:val="24"/>
          <w:szCs w:val="24"/>
          <w:lang w:val="en-US"/>
        </w:rPr>
        <w:t xml:space="preserve"> </w:t>
      </w:r>
      <w:proofErr w:type="spellStart"/>
      <w:r w:rsidRPr="00D465D3">
        <w:rPr>
          <w:rFonts w:ascii="Times New Roman" w:hAnsi="Times New Roman" w:cs="Times New Roman"/>
          <w:i/>
          <w:iCs/>
          <w:sz w:val="24"/>
          <w:szCs w:val="24"/>
          <w:lang w:val="en-US"/>
        </w:rPr>
        <w:t>generali</w:t>
      </w:r>
      <w:proofErr w:type="spellEnd"/>
      <w:r w:rsidRPr="00D465D3">
        <w:rPr>
          <w:rFonts w:ascii="Times New Roman" w:hAnsi="Times New Roman" w:cs="Times New Roman"/>
          <w:sz w:val="24"/>
          <w:szCs w:val="24"/>
          <w:lang w:val="en-US"/>
        </w:rPr>
        <w:t>, I, Padova, 2012, p. 534 ss.</w:t>
      </w:r>
    </w:p>
    <w:p w14:paraId="4CB3FB92" w14:textId="77777777" w:rsidR="00D465D3" w:rsidRP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C. CAMPBELL</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The craft consumer</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Journal of Consumer Culture</w:t>
      </w:r>
      <w:r w:rsidRPr="00D465D3">
        <w:rPr>
          <w:rFonts w:ascii="Times New Roman" w:hAnsi="Times New Roman" w:cs="Times New Roman"/>
          <w:sz w:val="24"/>
          <w:szCs w:val="24"/>
          <w:lang w:val="en-US"/>
        </w:rPr>
        <w:t>, 2005, 5, 131–153.</w:t>
      </w:r>
    </w:p>
    <w:p w14:paraId="2FC6FFC2" w14:textId="77777777" w:rsidR="00D465D3" w:rsidRPr="00D465D3" w:rsidRDefault="00D465D3" w:rsidP="00D465D3">
      <w:pPr>
        <w:spacing w:after="160" w:line="360" w:lineRule="auto"/>
        <w:ind w:left="170"/>
        <w:contextualSpacing/>
        <w:jc w:val="both"/>
        <w:rPr>
          <w:rFonts w:ascii="Times New Roman" w:hAnsi="Times New Roman" w:cs="Times New Roman"/>
          <w:sz w:val="24"/>
          <w:szCs w:val="24"/>
        </w:rPr>
      </w:pPr>
      <w:r w:rsidRPr="00D465D3">
        <w:rPr>
          <w:rFonts w:ascii="Times New Roman" w:hAnsi="Times New Roman" w:cs="Times New Roman"/>
          <w:sz w:val="24"/>
          <w:szCs w:val="24"/>
        </w:rPr>
        <w:t xml:space="preserve">C. CAMPOBASSO, </w:t>
      </w:r>
      <w:r w:rsidRPr="00D465D3">
        <w:rPr>
          <w:rFonts w:ascii="Times New Roman" w:hAnsi="Times New Roman" w:cs="Times New Roman"/>
          <w:i/>
          <w:iCs/>
          <w:sz w:val="24"/>
          <w:szCs w:val="24"/>
        </w:rPr>
        <w:t>Diritto commerciale. Volume II: Diritto delle società</w:t>
      </w:r>
      <w:r w:rsidRPr="00D465D3">
        <w:rPr>
          <w:rFonts w:ascii="Times New Roman" w:hAnsi="Times New Roman" w:cs="Times New Roman"/>
          <w:sz w:val="24"/>
          <w:szCs w:val="24"/>
        </w:rPr>
        <w:t>, manuale, 2019.</w:t>
      </w:r>
    </w:p>
    <w:p w14:paraId="004E88A7"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lang w:val="en-US"/>
        </w:rPr>
      </w:pPr>
      <w:r w:rsidRPr="00D465D3">
        <w:rPr>
          <w:rFonts w:ascii="Times New Roman" w:hAnsi="Times New Roman" w:cs="Times New Roman"/>
          <w:b/>
          <w:bCs/>
          <w:sz w:val="24"/>
          <w:szCs w:val="24"/>
          <w:lang w:val="en-US"/>
        </w:rPr>
        <w:t>C. CANDELISE, G. RUGGIERI</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Status and evolution of the community energy sector in Italy</w:t>
      </w:r>
      <w:r w:rsidRPr="00D465D3">
        <w:rPr>
          <w:rFonts w:ascii="Times New Roman" w:hAnsi="Times New Roman" w:cs="Times New Roman"/>
          <w:sz w:val="24"/>
          <w:szCs w:val="24"/>
          <w:lang w:val="en-US"/>
        </w:rPr>
        <w:t xml:space="preserve">, 1892; id., </w:t>
      </w:r>
      <w:r w:rsidRPr="00D465D3">
        <w:rPr>
          <w:rFonts w:ascii="Times New Roman" w:hAnsi="Times New Roman" w:cs="Times New Roman"/>
          <w:i/>
          <w:iCs/>
          <w:sz w:val="24"/>
          <w:szCs w:val="24"/>
          <w:lang w:val="en-US"/>
        </w:rPr>
        <w:t>The community energy sector in Italy</w:t>
      </w:r>
      <w:r w:rsidRPr="00D465D3">
        <w:rPr>
          <w:rFonts w:ascii="Times New Roman" w:hAnsi="Times New Roman" w:cs="Times New Roman"/>
          <w:sz w:val="24"/>
          <w:szCs w:val="24"/>
          <w:lang w:val="en-US"/>
        </w:rPr>
        <w:t>, in Coenen, Hoppe (a cura di), 2021.</w:t>
      </w:r>
    </w:p>
    <w:p w14:paraId="5FDD139B" w14:textId="77777777" w:rsidR="00D465D3" w:rsidRP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I. CAMPOS, E. MARÍN-GONZÁLEZ</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People in transitions</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Energy Research &amp; Social Science</w:t>
      </w:r>
      <w:r w:rsidRPr="00D465D3">
        <w:rPr>
          <w:rFonts w:ascii="Times New Roman" w:hAnsi="Times New Roman" w:cs="Times New Roman"/>
          <w:sz w:val="24"/>
          <w:szCs w:val="24"/>
          <w:lang w:val="en-US"/>
        </w:rPr>
        <w:t>, 2020, 69.</w:t>
      </w:r>
    </w:p>
    <w:p w14:paraId="3F461034" w14:textId="1D306312" w:rsid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I. CAMPOS, M. KORSNES, N. LABANCA, P. BERTOLDI</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 xml:space="preserve">Can Renewable Energy </w:t>
      </w:r>
      <w:proofErr w:type="spellStart"/>
      <w:r w:rsidRPr="00D465D3">
        <w:rPr>
          <w:rFonts w:ascii="Times New Roman" w:hAnsi="Times New Roman" w:cs="Times New Roman"/>
          <w:i/>
          <w:iCs/>
          <w:sz w:val="24"/>
          <w:szCs w:val="24"/>
          <w:lang w:val="en-US"/>
        </w:rPr>
        <w:t>Prosumerism</w:t>
      </w:r>
      <w:proofErr w:type="spellEnd"/>
      <w:r w:rsidRPr="00D465D3">
        <w:rPr>
          <w:rFonts w:ascii="Times New Roman" w:hAnsi="Times New Roman" w:cs="Times New Roman"/>
          <w:i/>
          <w:iCs/>
          <w:sz w:val="24"/>
          <w:szCs w:val="24"/>
          <w:lang w:val="en-US"/>
        </w:rPr>
        <w:t xml:space="preserve"> Cater for Sufficiency and </w:t>
      </w:r>
      <w:proofErr w:type="gramStart"/>
      <w:r w:rsidRPr="00D465D3">
        <w:rPr>
          <w:rFonts w:ascii="Times New Roman" w:hAnsi="Times New Roman" w:cs="Times New Roman"/>
          <w:i/>
          <w:iCs/>
          <w:sz w:val="24"/>
          <w:szCs w:val="24"/>
          <w:lang w:val="en-US"/>
        </w:rPr>
        <w:t>Inclusion?</w:t>
      </w:r>
      <w:r w:rsidRPr="00D465D3">
        <w:rPr>
          <w:rFonts w:ascii="Times New Roman" w:hAnsi="Times New Roman" w:cs="Times New Roman"/>
          <w:sz w:val="24"/>
          <w:szCs w:val="24"/>
          <w:lang w:val="en-US"/>
        </w:rPr>
        <w:t>,</w:t>
      </w:r>
      <w:proofErr w:type="gramEnd"/>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Renewable and Sustainable Energy Reviews</w:t>
      </w:r>
      <w:r w:rsidRPr="00D465D3">
        <w:rPr>
          <w:rFonts w:ascii="Times New Roman" w:hAnsi="Times New Roman" w:cs="Times New Roman"/>
          <w:sz w:val="24"/>
          <w:szCs w:val="24"/>
          <w:lang w:val="en-US"/>
        </w:rPr>
        <w:t>, 2024.</w:t>
      </w:r>
    </w:p>
    <w:p w14:paraId="645572AB" w14:textId="68DB89AB" w:rsidR="00D36132" w:rsidRPr="00D465D3" w:rsidRDefault="00D36132" w:rsidP="00D465D3">
      <w:pPr>
        <w:spacing w:after="160" w:line="360" w:lineRule="auto"/>
        <w:ind w:left="170"/>
        <w:contextualSpacing/>
        <w:jc w:val="both"/>
        <w:rPr>
          <w:rFonts w:ascii="Times New Roman" w:hAnsi="Times New Roman" w:cs="Times New Roman"/>
          <w:sz w:val="24"/>
          <w:szCs w:val="24"/>
          <w:lang w:val="en-US"/>
        </w:rPr>
      </w:pPr>
      <w:r w:rsidRPr="00D36132">
        <w:rPr>
          <w:rFonts w:ascii="Times New Roman" w:hAnsi="Times New Roman" w:cs="Times New Roman"/>
          <w:b/>
          <w:bCs/>
          <w:sz w:val="24"/>
          <w:szCs w:val="24"/>
        </w:rPr>
        <w:t>E. CARUSO</w:t>
      </w:r>
      <w:bookmarkStart w:id="85" w:name="_GoBack"/>
      <w:r w:rsidRPr="00D36132">
        <w:rPr>
          <w:rFonts w:ascii="Times New Roman" w:hAnsi="Times New Roman" w:cs="Times New Roman"/>
          <w:sz w:val="24"/>
          <w:szCs w:val="24"/>
        </w:rPr>
        <w:t xml:space="preserve">, </w:t>
      </w:r>
      <w:bookmarkEnd w:id="85"/>
      <w:r w:rsidRPr="00D36132">
        <w:rPr>
          <w:rFonts w:ascii="Times New Roman" w:hAnsi="Times New Roman" w:cs="Times New Roman"/>
          <w:i/>
          <w:iCs/>
          <w:sz w:val="24"/>
          <w:szCs w:val="24"/>
        </w:rPr>
        <w:t>La funzione sociale dei contratti pubblici</w:t>
      </w:r>
      <w:r w:rsidRPr="00D36132">
        <w:rPr>
          <w:rFonts w:ascii="Times New Roman" w:hAnsi="Times New Roman" w:cs="Times New Roman"/>
          <w:sz w:val="24"/>
          <w:szCs w:val="24"/>
        </w:rPr>
        <w:t xml:space="preserve">, </w:t>
      </w:r>
      <w:proofErr w:type="spellStart"/>
      <w:r w:rsidRPr="00D36132">
        <w:rPr>
          <w:rFonts w:ascii="Times New Roman" w:hAnsi="Times New Roman" w:cs="Times New Roman"/>
          <w:sz w:val="24"/>
          <w:szCs w:val="24"/>
        </w:rPr>
        <w:t>Jovene</w:t>
      </w:r>
      <w:proofErr w:type="spellEnd"/>
      <w:r w:rsidRPr="00D36132">
        <w:rPr>
          <w:rFonts w:ascii="Times New Roman" w:hAnsi="Times New Roman" w:cs="Times New Roman"/>
          <w:sz w:val="24"/>
          <w:szCs w:val="24"/>
        </w:rPr>
        <w:t>, 2020</w:t>
      </w:r>
      <w:r>
        <w:rPr>
          <w:rFonts w:ascii="Times New Roman" w:hAnsi="Times New Roman" w:cs="Times New Roman"/>
          <w:sz w:val="24"/>
          <w:szCs w:val="24"/>
        </w:rPr>
        <w:t>.</w:t>
      </w:r>
    </w:p>
    <w:p w14:paraId="7DE87C85"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G. CARROSIO</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La comunità nelle comunità energetiche</w:t>
      </w:r>
      <w:r w:rsidRPr="00D465D3">
        <w:rPr>
          <w:rFonts w:ascii="Times New Roman" w:hAnsi="Times New Roman" w:cs="Times New Roman"/>
          <w:sz w:val="24"/>
          <w:szCs w:val="24"/>
        </w:rPr>
        <w:t xml:space="preserve">, in </w:t>
      </w:r>
      <w:proofErr w:type="spellStart"/>
      <w:r w:rsidRPr="00D465D3">
        <w:rPr>
          <w:rFonts w:ascii="Times New Roman" w:hAnsi="Times New Roman" w:cs="Times New Roman"/>
          <w:i/>
          <w:iCs/>
          <w:sz w:val="24"/>
          <w:szCs w:val="24"/>
        </w:rPr>
        <w:t>Parolechiave</w:t>
      </w:r>
      <w:proofErr w:type="spellEnd"/>
      <w:r w:rsidRPr="00D465D3">
        <w:rPr>
          <w:rFonts w:ascii="Times New Roman" w:hAnsi="Times New Roman" w:cs="Times New Roman"/>
          <w:sz w:val="24"/>
          <w:szCs w:val="24"/>
        </w:rPr>
        <w:t>, 2024, 147–158.</w:t>
      </w:r>
    </w:p>
    <w:p w14:paraId="5AFDEE27"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S. CASSESE</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Stato e mercato dopo privatizzazioni e “deregulation”</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Riv. trim. dir. pubbl.</w:t>
      </w:r>
      <w:r w:rsidRPr="00D465D3">
        <w:rPr>
          <w:rFonts w:ascii="Times New Roman" w:hAnsi="Times New Roman" w:cs="Times New Roman"/>
          <w:sz w:val="24"/>
          <w:szCs w:val="24"/>
        </w:rPr>
        <w:t>, 1991, p. 378 ss.</w:t>
      </w:r>
    </w:p>
    <w:p w14:paraId="5AA6477A" w14:textId="77777777" w:rsid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F. CASTELLACCI et al</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Advances and challenges in innovation studies</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Journal of Economic Issues</w:t>
      </w:r>
      <w:r w:rsidRPr="00D465D3">
        <w:rPr>
          <w:rFonts w:ascii="Times New Roman" w:hAnsi="Times New Roman" w:cs="Times New Roman"/>
          <w:sz w:val="24"/>
          <w:szCs w:val="24"/>
          <w:lang w:val="en-US"/>
        </w:rPr>
        <w:t>, 2005, 381–387.</w:t>
      </w:r>
    </w:p>
    <w:p w14:paraId="5D4DA5E8" w14:textId="36B262EE" w:rsidR="00201A0E" w:rsidRPr="00D465D3" w:rsidRDefault="0067267E" w:rsidP="00201A0E">
      <w:pPr>
        <w:spacing w:after="160" w:line="360" w:lineRule="auto"/>
        <w:ind w:left="170"/>
        <w:contextualSpacing/>
        <w:jc w:val="both"/>
        <w:rPr>
          <w:rFonts w:ascii="Times New Roman" w:hAnsi="Times New Roman" w:cs="Times New Roman"/>
          <w:sz w:val="24"/>
          <w:szCs w:val="24"/>
        </w:rPr>
      </w:pPr>
      <w:r w:rsidRPr="0067267E">
        <w:rPr>
          <w:rFonts w:ascii="Times New Roman" w:hAnsi="Times New Roman" w:cs="Times New Roman"/>
          <w:b/>
          <w:bCs/>
          <w:sz w:val="24"/>
          <w:szCs w:val="24"/>
        </w:rPr>
        <w:t xml:space="preserve">M.C. CAVALLARO, </w:t>
      </w:r>
      <w:r w:rsidRPr="0067267E">
        <w:rPr>
          <w:rFonts w:ascii="Times New Roman" w:hAnsi="Times New Roman" w:cs="Times New Roman"/>
          <w:i/>
          <w:iCs/>
          <w:sz w:val="24"/>
          <w:szCs w:val="24"/>
        </w:rPr>
        <w:t>Il giusto procedimento come principio costituzionale</w:t>
      </w:r>
      <w:r w:rsidRPr="0067267E">
        <w:rPr>
          <w:rFonts w:ascii="Times New Roman" w:hAnsi="Times New Roman" w:cs="Times New Roman"/>
          <w:sz w:val="24"/>
          <w:szCs w:val="24"/>
        </w:rPr>
        <w:t xml:space="preserve">, in </w:t>
      </w:r>
      <w:r w:rsidRPr="0067267E">
        <w:rPr>
          <w:rFonts w:ascii="Times New Roman" w:hAnsi="Times New Roman" w:cs="Times New Roman"/>
          <w:i/>
          <w:iCs/>
          <w:sz w:val="24"/>
          <w:szCs w:val="24"/>
        </w:rPr>
        <w:t>Il Foro Amministrativ</w:t>
      </w:r>
      <w:r w:rsidRPr="0067267E">
        <w:rPr>
          <w:rFonts w:ascii="Times New Roman" w:hAnsi="Times New Roman" w:cs="Times New Roman"/>
          <w:sz w:val="24"/>
          <w:szCs w:val="24"/>
        </w:rPr>
        <w:t>o, 2001.</w:t>
      </w:r>
    </w:p>
    <w:p w14:paraId="3810F015" w14:textId="77777777" w:rsid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A.R. CEDDIA, S. ORICCHIO, G. BARBERIO, C. INNELLA</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A Systematic Literature Review Exploring the Nexus Between Circular Economy and Communities</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Frontiers in Sustainable Cities</w:t>
      </w:r>
      <w:r w:rsidRPr="00D465D3">
        <w:rPr>
          <w:rFonts w:ascii="Times New Roman" w:hAnsi="Times New Roman" w:cs="Times New Roman"/>
          <w:sz w:val="24"/>
          <w:szCs w:val="24"/>
          <w:lang w:val="en-US"/>
        </w:rPr>
        <w:t>, 2024.</w:t>
      </w:r>
    </w:p>
    <w:p w14:paraId="03A7E8CB" w14:textId="6EAC8ADB" w:rsidR="0067267E" w:rsidRPr="00D465D3" w:rsidRDefault="0067267E" w:rsidP="00D465D3">
      <w:pPr>
        <w:spacing w:after="160" w:line="360" w:lineRule="auto"/>
        <w:ind w:left="170"/>
        <w:contextualSpacing/>
        <w:jc w:val="both"/>
        <w:rPr>
          <w:rFonts w:ascii="Times New Roman" w:hAnsi="Times New Roman" w:cs="Times New Roman"/>
          <w:sz w:val="24"/>
          <w:szCs w:val="24"/>
        </w:rPr>
      </w:pPr>
      <w:r w:rsidRPr="0067267E">
        <w:rPr>
          <w:rFonts w:ascii="Times New Roman" w:hAnsi="Times New Roman" w:cs="Times New Roman"/>
          <w:b/>
          <w:bCs/>
          <w:sz w:val="24"/>
          <w:szCs w:val="24"/>
        </w:rPr>
        <w:t>B. CELATI</w:t>
      </w:r>
      <w:r w:rsidRPr="0067267E">
        <w:rPr>
          <w:rFonts w:ascii="Times New Roman" w:hAnsi="Times New Roman" w:cs="Times New Roman"/>
          <w:sz w:val="24"/>
          <w:szCs w:val="24"/>
        </w:rPr>
        <w:t xml:space="preserve">, </w:t>
      </w:r>
      <w:r w:rsidRPr="0067267E">
        <w:rPr>
          <w:rFonts w:ascii="Times New Roman" w:hAnsi="Times New Roman" w:cs="Times New Roman"/>
          <w:i/>
          <w:iCs/>
          <w:sz w:val="24"/>
          <w:szCs w:val="24"/>
        </w:rPr>
        <w:t>La localizzazione degli impianti energetici da fonti rinnovabili nel difficile bilanciamento tra interessi locali e finalità di tipo sistemico</w:t>
      </w:r>
      <w:r w:rsidRPr="0067267E">
        <w:rPr>
          <w:rFonts w:ascii="Times New Roman" w:hAnsi="Times New Roman" w:cs="Times New Roman"/>
          <w:sz w:val="24"/>
          <w:szCs w:val="24"/>
        </w:rPr>
        <w:t xml:space="preserve">, in </w:t>
      </w:r>
      <w:r w:rsidRPr="0067267E">
        <w:rPr>
          <w:rFonts w:ascii="Times New Roman" w:hAnsi="Times New Roman" w:cs="Times New Roman"/>
          <w:i/>
          <w:iCs/>
          <w:sz w:val="24"/>
          <w:szCs w:val="24"/>
        </w:rPr>
        <w:t>Le Regioni</w:t>
      </w:r>
      <w:r w:rsidRPr="0067267E">
        <w:rPr>
          <w:rFonts w:ascii="Times New Roman" w:hAnsi="Times New Roman" w:cs="Times New Roman"/>
          <w:sz w:val="24"/>
          <w:szCs w:val="24"/>
        </w:rPr>
        <w:t>, n. 5, 2023.</w:t>
      </w:r>
    </w:p>
    <w:p w14:paraId="7CD72A85"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G.P. CELLA</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Le tre forme dello scambio</w:t>
      </w:r>
      <w:r w:rsidRPr="00D465D3">
        <w:rPr>
          <w:rFonts w:ascii="Times New Roman" w:hAnsi="Times New Roman" w:cs="Times New Roman"/>
          <w:sz w:val="24"/>
          <w:szCs w:val="24"/>
        </w:rPr>
        <w:t>, Bologna, Il Mulino, 1997.</w:t>
      </w:r>
    </w:p>
    <w:p w14:paraId="658728CD" w14:textId="77777777" w:rsidR="00D465D3" w:rsidRDefault="00D465D3" w:rsidP="00D465D3">
      <w:pPr>
        <w:spacing w:after="160" w:line="360" w:lineRule="auto"/>
        <w:ind w:left="170"/>
        <w:contextualSpacing/>
        <w:jc w:val="both"/>
        <w:rPr>
          <w:rFonts w:ascii="Times New Roman" w:hAnsi="Times New Roman" w:cs="Times New Roman"/>
          <w:sz w:val="24"/>
          <w:szCs w:val="24"/>
        </w:rPr>
      </w:pPr>
      <w:r w:rsidRPr="00D465D3">
        <w:rPr>
          <w:rFonts w:ascii="Times New Roman" w:hAnsi="Times New Roman" w:cs="Times New Roman"/>
          <w:b/>
          <w:bCs/>
          <w:sz w:val="24"/>
          <w:szCs w:val="24"/>
        </w:rPr>
        <w:t>D. CERSOSIMO, G. WOLLEB</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Politiche pubbliche e contesti istituzionali</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Stato e Mercato</w:t>
      </w:r>
      <w:r w:rsidRPr="00D465D3">
        <w:rPr>
          <w:rFonts w:ascii="Times New Roman" w:hAnsi="Times New Roman" w:cs="Times New Roman"/>
          <w:sz w:val="24"/>
          <w:szCs w:val="24"/>
        </w:rPr>
        <w:t xml:space="preserve">, 2001; id., </w:t>
      </w:r>
      <w:r w:rsidRPr="00D465D3">
        <w:rPr>
          <w:rFonts w:ascii="Times New Roman" w:hAnsi="Times New Roman" w:cs="Times New Roman"/>
          <w:i/>
          <w:iCs/>
          <w:sz w:val="24"/>
          <w:szCs w:val="24"/>
        </w:rPr>
        <w:t>Economie dal basso</w:t>
      </w:r>
      <w:r w:rsidRPr="00D465D3">
        <w:rPr>
          <w:rFonts w:ascii="Times New Roman" w:hAnsi="Times New Roman" w:cs="Times New Roman"/>
          <w:sz w:val="24"/>
          <w:szCs w:val="24"/>
        </w:rPr>
        <w:t>, Roma, Donzelli, 2006.</w:t>
      </w:r>
    </w:p>
    <w:p w14:paraId="6489F9FC" w14:textId="6BADC4F9" w:rsidR="0067267E" w:rsidRPr="00D465D3" w:rsidRDefault="0067267E" w:rsidP="00D465D3">
      <w:pPr>
        <w:spacing w:after="160" w:line="360" w:lineRule="auto"/>
        <w:ind w:left="170"/>
        <w:contextualSpacing/>
        <w:jc w:val="both"/>
        <w:rPr>
          <w:rFonts w:ascii="Times New Roman" w:hAnsi="Times New Roman" w:cs="Times New Roman"/>
          <w:sz w:val="24"/>
          <w:szCs w:val="24"/>
        </w:rPr>
      </w:pPr>
      <w:r w:rsidRPr="0067267E">
        <w:rPr>
          <w:rFonts w:ascii="Times New Roman" w:hAnsi="Times New Roman" w:cs="Times New Roman"/>
          <w:b/>
          <w:bCs/>
          <w:sz w:val="24"/>
          <w:szCs w:val="24"/>
        </w:rPr>
        <w:lastRenderedPageBreak/>
        <w:t xml:space="preserve">V. CERULLI IRELLI, </w:t>
      </w:r>
      <w:r w:rsidRPr="0067267E">
        <w:rPr>
          <w:rFonts w:ascii="Times New Roman" w:hAnsi="Times New Roman" w:cs="Times New Roman"/>
          <w:i/>
          <w:iCs/>
          <w:sz w:val="24"/>
          <w:szCs w:val="24"/>
        </w:rPr>
        <w:t>Per uno statuto costituzionale sulla pubblica amministrazione (da alcune sentenze costituzionali del Presidente Coraggio)</w:t>
      </w:r>
      <w:r w:rsidRPr="0067267E">
        <w:rPr>
          <w:rFonts w:ascii="Times New Roman" w:hAnsi="Times New Roman" w:cs="Times New Roman"/>
          <w:sz w:val="24"/>
          <w:szCs w:val="24"/>
        </w:rPr>
        <w:t xml:space="preserve">, in </w:t>
      </w:r>
      <w:r w:rsidRPr="0067267E">
        <w:rPr>
          <w:rFonts w:ascii="Times New Roman" w:hAnsi="Times New Roman" w:cs="Times New Roman"/>
          <w:i/>
          <w:iCs/>
          <w:sz w:val="24"/>
          <w:szCs w:val="24"/>
        </w:rPr>
        <w:t>Rivista Italiana di Diritto Pubblico Comunitario</w:t>
      </w:r>
      <w:r w:rsidRPr="0067267E">
        <w:rPr>
          <w:rFonts w:ascii="Times New Roman" w:hAnsi="Times New Roman" w:cs="Times New Roman"/>
          <w:sz w:val="24"/>
          <w:szCs w:val="24"/>
        </w:rPr>
        <w:t xml:space="preserve">, </w:t>
      </w:r>
      <w:proofErr w:type="spellStart"/>
      <w:r w:rsidRPr="0067267E">
        <w:rPr>
          <w:rFonts w:ascii="Times New Roman" w:hAnsi="Times New Roman" w:cs="Times New Roman"/>
          <w:sz w:val="24"/>
          <w:szCs w:val="24"/>
        </w:rPr>
        <w:t>nn</w:t>
      </w:r>
      <w:proofErr w:type="spellEnd"/>
      <w:r w:rsidRPr="0067267E">
        <w:rPr>
          <w:rFonts w:ascii="Times New Roman" w:hAnsi="Times New Roman" w:cs="Times New Roman"/>
          <w:sz w:val="24"/>
          <w:szCs w:val="24"/>
        </w:rPr>
        <w:t>. 2-3, 2022; ora anche in Costituzione e amministrazione, Saggi II, Giappichelli, Torino, 2024.</w:t>
      </w:r>
    </w:p>
    <w:p w14:paraId="0D351D50"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lang w:val="en-US"/>
        </w:rPr>
      </w:pPr>
      <w:r w:rsidRPr="00D465D3">
        <w:rPr>
          <w:rFonts w:ascii="Times New Roman" w:hAnsi="Times New Roman" w:cs="Times New Roman"/>
          <w:b/>
          <w:bCs/>
          <w:sz w:val="24"/>
          <w:szCs w:val="24"/>
          <w:lang w:val="en-US"/>
        </w:rPr>
        <w:t>A. CHEL, G. KAUSHIK</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Renewable energy for sustainable agriculture</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Agronomy for Sustainable Development</w:t>
      </w:r>
      <w:r w:rsidRPr="00D465D3">
        <w:rPr>
          <w:rFonts w:ascii="Times New Roman" w:hAnsi="Times New Roman" w:cs="Times New Roman"/>
          <w:sz w:val="24"/>
          <w:szCs w:val="24"/>
          <w:lang w:val="en-US"/>
        </w:rPr>
        <w:t>, 2011, 31, 91–118.</w:t>
      </w:r>
    </w:p>
    <w:p w14:paraId="49B23B90"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K. CHOJNACKI</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Sussidiarietà e società</w:t>
      </w:r>
      <w:r w:rsidRPr="00D465D3">
        <w:rPr>
          <w:rFonts w:ascii="Times New Roman" w:hAnsi="Times New Roman" w:cs="Times New Roman"/>
          <w:sz w:val="24"/>
          <w:szCs w:val="24"/>
        </w:rPr>
        <w:t xml:space="preserve">, </w:t>
      </w:r>
      <w:proofErr w:type="spellStart"/>
      <w:r w:rsidRPr="00D465D3">
        <w:rPr>
          <w:rFonts w:ascii="Times New Roman" w:hAnsi="Times New Roman" w:cs="Times New Roman"/>
          <w:sz w:val="24"/>
          <w:szCs w:val="24"/>
        </w:rPr>
        <w:t>Frusino</w:t>
      </w:r>
      <w:proofErr w:type="spellEnd"/>
      <w:r w:rsidRPr="00D465D3">
        <w:rPr>
          <w:rFonts w:ascii="Times New Roman" w:hAnsi="Times New Roman" w:cs="Times New Roman"/>
          <w:sz w:val="24"/>
          <w:szCs w:val="24"/>
        </w:rPr>
        <w:t>, 1999.</w:t>
      </w:r>
    </w:p>
    <w:p w14:paraId="55A3D150"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M. CIAN</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Diritto commerciale. Volume III: La nozione di società e i principi generali</w:t>
      </w:r>
      <w:r w:rsidRPr="00D465D3">
        <w:rPr>
          <w:rFonts w:ascii="Times New Roman" w:hAnsi="Times New Roman" w:cs="Times New Roman"/>
          <w:sz w:val="24"/>
          <w:szCs w:val="24"/>
        </w:rPr>
        <w:t>, 2021.</w:t>
      </w:r>
    </w:p>
    <w:p w14:paraId="08A1C747"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A. CIARINI, S. NERI</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Innovazione sociale</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La Rivista delle Politiche Sociali</w:t>
      </w:r>
      <w:r w:rsidRPr="00D465D3">
        <w:rPr>
          <w:rFonts w:ascii="Times New Roman" w:hAnsi="Times New Roman" w:cs="Times New Roman"/>
          <w:sz w:val="24"/>
          <w:szCs w:val="24"/>
        </w:rPr>
        <w:t>, 2019, 1, 9–22.</w:t>
      </w:r>
    </w:p>
    <w:p w14:paraId="4166A0C5"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D. CILIO et al</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 xml:space="preserve">Promotion and governance of </w:t>
      </w:r>
      <w:proofErr w:type="spellStart"/>
      <w:r w:rsidRPr="00D465D3">
        <w:rPr>
          <w:rFonts w:ascii="Times New Roman" w:hAnsi="Times New Roman" w:cs="Times New Roman"/>
          <w:i/>
          <w:iCs/>
          <w:sz w:val="24"/>
          <w:szCs w:val="24"/>
        </w:rPr>
        <w:t>renewable</w:t>
      </w:r>
      <w:proofErr w:type="spellEnd"/>
      <w:r w:rsidRPr="00D465D3">
        <w:rPr>
          <w:rFonts w:ascii="Times New Roman" w:hAnsi="Times New Roman" w:cs="Times New Roman"/>
          <w:i/>
          <w:iCs/>
          <w:sz w:val="24"/>
          <w:szCs w:val="24"/>
        </w:rPr>
        <w:t xml:space="preserve"> energy communities</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Cultura della Sostenibilità</w:t>
      </w:r>
      <w:r w:rsidRPr="00D465D3">
        <w:rPr>
          <w:rFonts w:ascii="Times New Roman" w:hAnsi="Times New Roman" w:cs="Times New Roman"/>
          <w:sz w:val="24"/>
          <w:szCs w:val="24"/>
        </w:rPr>
        <w:t>, 2024, 45–59.</w:t>
      </w:r>
    </w:p>
    <w:p w14:paraId="19328554"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F. CINTIOLI</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Risultato amministrativo, discrezionalità e PNRR: una proposta per il Giudice</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Giustizia-amministrativa</w:t>
      </w:r>
      <w:r w:rsidRPr="00D465D3">
        <w:rPr>
          <w:rFonts w:ascii="Times New Roman" w:hAnsi="Times New Roman" w:cs="Times New Roman"/>
          <w:sz w:val="24"/>
          <w:szCs w:val="24"/>
        </w:rPr>
        <w:t>, in www.giustizia-amministrativa.it, 2021</w:t>
      </w:r>
      <w:r w:rsidRPr="00D465D3">
        <w:rPr>
          <w:rFonts w:ascii="Times New Roman" w:hAnsi="Times New Roman" w:cs="Times New Roman"/>
          <w:b/>
          <w:bCs/>
          <w:sz w:val="24"/>
          <w:szCs w:val="24"/>
        </w:rPr>
        <w:t>.</w:t>
      </w:r>
    </w:p>
    <w:p w14:paraId="4231A03D" w14:textId="77777777" w:rsidR="00D465D3" w:rsidRP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D.A. CLARK et al</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The capability approach</w:t>
      </w:r>
      <w:r w:rsidRPr="00D465D3">
        <w:rPr>
          <w:rFonts w:ascii="Times New Roman" w:hAnsi="Times New Roman" w:cs="Times New Roman"/>
          <w:sz w:val="24"/>
          <w:szCs w:val="24"/>
          <w:lang w:val="en-US"/>
        </w:rPr>
        <w:t>, London, Palgrave, 2019.</w:t>
      </w:r>
    </w:p>
    <w:p w14:paraId="04DD0AE5"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lang w:val="en-US"/>
        </w:rPr>
      </w:pPr>
      <w:r w:rsidRPr="00D465D3">
        <w:rPr>
          <w:rFonts w:ascii="Times New Roman" w:hAnsi="Times New Roman" w:cs="Times New Roman"/>
          <w:b/>
          <w:bCs/>
          <w:sz w:val="24"/>
          <w:szCs w:val="24"/>
          <w:lang w:val="en-US"/>
        </w:rPr>
        <w:t>J. CLIFTON</w:t>
      </w:r>
      <w:r w:rsidRPr="00D465D3">
        <w:rPr>
          <w:rFonts w:ascii="Times New Roman" w:hAnsi="Times New Roman" w:cs="Times New Roman"/>
          <w:sz w:val="24"/>
          <w:szCs w:val="24"/>
          <w:lang w:val="en-US"/>
        </w:rPr>
        <w:t xml:space="preserve">, </w:t>
      </w:r>
      <w:proofErr w:type="gramStart"/>
      <w:r w:rsidRPr="00D465D3">
        <w:rPr>
          <w:rFonts w:ascii="Times New Roman" w:hAnsi="Times New Roman" w:cs="Times New Roman"/>
          <w:i/>
          <w:iCs/>
          <w:sz w:val="24"/>
          <w:szCs w:val="24"/>
          <w:lang w:val="en-US"/>
        </w:rPr>
        <w:t>Beyond</w:t>
      </w:r>
      <w:proofErr w:type="gramEnd"/>
      <w:r w:rsidRPr="00D465D3">
        <w:rPr>
          <w:rFonts w:ascii="Times New Roman" w:hAnsi="Times New Roman" w:cs="Times New Roman"/>
          <w:i/>
          <w:iCs/>
          <w:sz w:val="24"/>
          <w:szCs w:val="24"/>
          <w:lang w:val="en-US"/>
        </w:rPr>
        <w:t xml:space="preserve"> hollowing out</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The Political Quarterly</w:t>
      </w:r>
      <w:r w:rsidRPr="00D465D3">
        <w:rPr>
          <w:rFonts w:ascii="Times New Roman" w:hAnsi="Times New Roman" w:cs="Times New Roman"/>
          <w:sz w:val="24"/>
          <w:szCs w:val="24"/>
          <w:lang w:val="en-US"/>
        </w:rPr>
        <w:t>, 2014, 4, 437–444.</w:t>
      </w:r>
    </w:p>
    <w:p w14:paraId="2EF7B8A7" w14:textId="77777777" w:rsidR="00D465D3" w:rsidRPr="00D465D3" w:rsidRDefault="00D465D3" w:rsidP="00D465D3">
      <w:pPr>
        <w:spacing w:after="160" w:line="360" w:lineRule="auto"/>
        <w:ind w:left="170"/>
        <w:contextualSpacing/>
        <w:jc w:val="both"/>
        <w:rPr>
          <w:rFonts w:ascii="Times New Roman" w:hAnsi="Times New Roman" w:cs="Times New Roman"/>
          <w:sz w:val="24"/>
          <w:szCs w:val="24"/>
          <w:lang w:val="en-US"/>
        </w:rPr>
      </w:pPr>
      <w:r w:rsidRPr="00D465D3">
        <w:rPr>
          <w:rFonts w:ascii="Times New Roman" w:hAnsi="Times New Roman" w:cs="Times New Roman"/>
          <w:b/>
          <w:bCs/>
          <w:sz w:val="24"/>
          <w:szCs w:val="24"/>
          <w:lang w:val="en-US"/>
        </w:rPr>
        <w:t>J. COLEMAN</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Foundations of social theory</w:t>
      </w:r>
      <w:r w:rsidRPr="00D465D3">
        <w:rPr>
          <w:rFonts w:ascii="Times New Roman" w:hAnsi="Times New Roman" w:cs="Times New Roman"/>
          <w:sz w:val="24"/>
          <w:szCs w:val="24"/>
          <w:lang w:val="en-US"/>
        </w:rPr>
        <w:t>, Cambridge, Harvard University Press, 1990.</w:t>
      </w:r>
    </w:p>
    <w:p w14:paraId="7073A0C1"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D. CORAPI</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La “povertà” nell’ordine giuridico del capitalismo</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Rivista italiana di scienze giuridiche</w:t>
      </w:r>
      <w:r w:rsidRPr="00D465D3">
        <w:rPr>
          <w:rFonts w:ascii="Times New Roman" w:hAnsi="Times New Roman" w:cs="Times New Roman"/>
          <w:sz w:val="24"/>
          <w:szCs w:val="24"/>
        </w:rPr>
        <w:t>.</w:t>
      </w:r>
    </w:p>
    <w:p w14:paraId="1EEAEDE6" w14:textId="77777777" w:rsidR="00D465D3" w:rsidRDefault="00D465D3" w:rsidP="00D465D3">
      <w:pPr>
        <w:spacing w:after="160" w:line="360" w:lineRule="auto"/>
        <w:ind w:left="170"/>
        <w:contextualSpacing/>
        <w:jc w:val="both"/>
        <w:rPr>
          <w:rFonts w:ascii="Times New Roman" w:hAnsi="Times New Roman" w:cs="Times New Roman"/>
          <w:sz w:val="24"/>
          <w:szCs w:val="24"/>
        </w:rPr>
      </w:pPr>
      <w:r w:rsidRPr="00D465D3">
        <w:rPr>
          <w:rFonts w:ascii="Times New Roman" w:hAnsi="Times New Roman" w:cs="Times New Roman"/>
          <w:b/>
          <w:bCs/>
          <w:sz w:val="24"/>
          <w:szCs w:val="24"/>
        </w:rPr>
        <w:t>S. COSTANTINO</w:t>
      </w:r>
      <w:r w:rsidRPr="00D465D3">
        <w:rPr>
          <w:rFonts w:ascii="Times New Roman" w:hAnsi="Times New Roman" w:cs="Times New Roman"/>
          <w:sz w:val="24"/>
          <w:szCs w:val="24"/>
        </w:rPr>
        <w:t xml:space="preserve">, </w:t>
      </w:r>
      <w:r w:rsidRPr="00D465D3">
        <w:rPr>
          <w:rFonts w:ascii="Times New Roman" w:hAnsi="Times New Roman" w:cs="Times New Roman"/>
          <w:i/>
          <w:iCs/>
          <w:sz w:val="24"/>
          <w:szCs w:val="24"/>
        </w:rPr>
        <w:t>La ragione amministrata</w:t>
      </w:r>
      <w:r w:rsidRPr="00D465D3">
        <w:rPr>
          <w:rFonts w:ascii="Times New Roman" w:hAnsi="Times New Roman" w:cs="Times New Roman"/>
          <w:sz w:val="24"/>
          <w:szCs w:val="24"/>
        </w:rPr>
        <w:t>, Palermo, 1983.</w:t>
      </w:r>
    </w:p>
    <w:p w14:paraId="5BE70FFE" w14:textId="47995F9F" w:rsidR="00201A0E" w:rsidRPr="00D465D3" w:rsidRDefault="00201A0E" w:rsidP="006D5201">
      <w:pPr>
        <w:spacing w:after="160" w:line="360" w:lineRule="auto"/>
        <w:ind w:left="170"/>
        <w:contextualSpacing/>
        <w:jc w:val="both"/>
        <w:rPr>
          <w:rFonts w:ascii="Times New Roman" w:hAnsi="Times New Roman" w:cs="Times New Roman"/>
          <w:sz w:val="24"/>
          <w:szCs w:val="24"/>
        </w:rPr>
      </w:pPr>
      <w:r w:rsidRPr="00201A0E">
        <w:rPr>
          <w:rFonts w:ascii="Times New Roman" w:hAnsi="Times New Roman" w:cs="Times New Roman"/>
          <w:b/>
          <w:bCs/>
          <w:sz w:val="24"/>
          <w:szCs w:val="24"/>
        </w:rPr>
        <w:t>A. COZZOLINO</w:t>
      </w:r>
      <w:r w:rsidRPr="00201A0E">
        <w:rPr>
          <w:rFonts w:ascii="Times New Roman" w:hAnsi="Times New Roman" w:cs="Times New Roman"/>
          <w:sz w:val="24"/>
          <w:szCs w:val="24"/>
        </w:rPr>
        <w:t xml:space="preserve">, </w:t>
      </w:r>
      <w:r w:rsidRPr="00201A0E">
        <w:rPr>
          <w:rFonts w:ascii="Times New Roman" w:hAnsi="Times New Roman" w:cs="Times New Roman"/>
          <w:i/>
          <w:iCs/>
          <w:sz w:val="24"/>
          <w:szCs w:val="24"/>
        </w:rPr>
        <w:t>Natura giuridica delle linee guida per l’autorizzazione degli impianti alimentati da fonti rinnovabili e «ripensamento del parametro del giudizio di costituzionalità (Note a margine della sentenza 27 gennaio 2014, n. 11 della Corte costituzionale)»,</w:t>
      </w:r>
      <w:r w:rsidRPr="00201A0E">
        <w:rPr>
          <w:rFonts w:ascii="Times New Roman" w:hAnsi="Times New Roman" w:cs="Times New Roman"/>
          <w:sz w:val="24"/>
          <w:szCs w:val="24"/>
        </w:rPr>
        <w:t xml:space="preserve"> in </w:t>
      </w:r>
      <w:r w:rsidRPr="00201A0E">
        <w:rPr>
          <w:rFonts w:ascii="Times New Roman" w:hAnsi="Times New Roman" w:cs="Times New Roman"/>
          <w:i/>
          <w:iCs/>
          <w:sz w:val="24"/>
          <w:szCs w:val="24"/>
        </w:rPr>
        <w:t>Amministrazione in Cammino</w:t>
      </w:r>
      <w:r w:rsidRPr="00201A0E">
        <w:rPr>
          <w:rFonts w:ascii="Times New Roman" w:hAnsi="Times New Roman" w:cs="Times New Roman"/>
          <w:sz w:val="24"/>
          <w:szCs w:val="24"/>
        </w:rPr>
        <w:t>, 2014.</w:t>
      </w:r>
    </w:p>
    <w:p w14:paraId="35B545AE" w14:textId="77777777" w:rsidR="00D465D3" w:rsidRPr="00D465D3" w:rsidRDefault="00D465D3" w:rsidP="00D465D3">
      <w:pPr>
        <w:spacing w:after="160" w:line="360" w:lineRule="auto"/>
        <w:ind w:left="170"/>
        <w:contextualSpacing/>
        <w:jc w:val="both"/>
        <w:rPr>
          <w:rFonts w:ascii="Times New Roman" w:hAnsi="Times New Roman" w:cs="Times New Roman"/>
          <w:b/>
          <w:bCs/>
          <w:sz w:val="24"/>
          <w:szCs w:val="24"/>
          <w:lang w:val="en-US"/>
        </w:rPr>
      </w:pPr>
      <w:r w:rsidRPr="00D465D3">
        <w:rPr>
          <w:rFonts w:ascii="Times New Roman" w:hAnsi="Times New Roman" w:cs="Times New Roman"/>
          <w:b/>
          <w:bCs/>
          <w:sz w:val="24"/>
          <w:szCs w:val="24"/>
          <w:lang w:val="en-US"/>
        </w:rPr>
        <w:t>E. CREAMER et al</w:t>
      </w:r>
      <w:r w:rsidRPr="00D465D3">
        <w:rPr>
          <w:rFonts w:ascii="Times New Roman" w:hAnsi="Times New Roman" w:cs="Times New Roman"/>
          <w:sz w:val="24"/>
          <w:szCs w:val="24"/>
          <w:lang w:val="en-US"/>
        </w:rPr>
        <w:t xml:space="preserve">., </w:t>
      </w:r>
      <w:r w:rsidRPr="00D465D3">
        <w:rPr>
          <w:rFonts w:ascii="Times New Roman" w:hAnsi="Times New Roman" w:cs="Times New Roman"/>
          <w:i/>
          <w:iCs/>
          <w:sz w:val="24"/>
          <w:szCs w:val="24"/>
          <w:lang w:val="en-US"/>
        </w:rPr>
        <w:t>Community renewable energy</w:t>
      </w:r>
      <w:r w:rsidRPr="00D465D3">
        <w:rPr>
          <w:rFonts w:ascii="Times New Roman" w:hAnsi="Times New Roman" w:cs="Times New Roman"/>
          <w:sz w:val="24"/>
          <w:szCs w:val="24"/>
          <w:lang w:val="en-US"/>
        </w:rPr>
        <w:t xml:space="preserve">, in </w:t>
      </w:r>
      <w:r w:rsidRPr="00D465D3">
        <w:rPr>
          <w:rFonts w:ascii="Times New Roman" w:hAnsi="Times New Roman" w:cs="Times New Roman"/>
          <w:i/>
          <w:iCs/>
          <w:sz w:val="24"/>
          <w:szCs w:val="24"/>
          <w:lang w:val="en-US"/>
        </w:rPr>
        <w:t>Energy Research and Social Science</w:t>
      </w:r>
      <w:r w:rsidRPr="00D465D3">
        <w:rPr>
          <w:rFonts w:ascii="Times New Roman" w:hAnsi="Times New Roman" w:cs="Times New Roman"/>
          <w:sz w:val="24"/>
          <w:szCs w:val="24"/>
          <w:lang w:val="en-US"/>
        </w:rPr>
        <w:t>, 2019.</w:t>
      </w:r>
    </w:p>
    <w:p w14:paraId="063EF5BD" w14:textId="77777777" w:rsidR="00D465D3" w:rsidRDefault="00D465D3" w:rsidP="00D465D3">
      <w:pPr>
        <w:spacing w:after="160" w:line="360" w:lineRule="auto"/>
        <w:ind w:left="170"/>
        <w:contextualSpacing/>
        <w:jc w:val="both"/>
        <w:rPr>
          <w:rFonts w:ascii="Times New Roman" w:hAnsi="Times New Roman" w:cs="Times New Roman"/>
          <w:b/>
          <w:bCs/>
          <w:sz w:val="24"/>
          <w:szCs w:val="24"/>
          <w:lang w:val="en-US"/>
        </w:rPr>
      </w:pPr>
      <w:r w:rsidRPr="00D465D3">
        <w:rPr>
          <w:rFonts w:ascii="Times New Roman" w:hAnsi="Times New Roman" w:cs="Times New Roman"/>
          <w:b/>
          <w:bCs/>
          <w:sz w:val="24"/>
          <w:szCs w:val="24"/>
          <w:lang w:val="en-US"/>
        </w:rPr>
        <w:t xml:space="preserve">A. CROSBY, </w:t>
      </w:r>
      <w:r w:rsidRPr="00D465D3">
        <w:rPr>
          <w:rFonts w:ascii="Times New Roman" w:hAnsi="Times New Roman" w:cs="Times New Roman"/>
          <w:i/>
          <w:iCs/>
          <w:sz w:val="24"/>
          <w:szCs w:val="24"/>
          <w:lang w:val="en-US"/>
        </w:rPr>
        <w:t>Ecological Imperialism. The Biological Expansion of Europe 900-1900</w:t>
      </w:r>
      <w:r w:rsidRPr="00D465D3">
        <w:rPr>
          <w:rFonts w:ascii="Times New Roman" w:hAnsi="Times New Roman" w:cs="Times New Roman"/>
          <w:sz w:val="24"/>
          <w:szCs w:val="24"/>
          <w:lang w:val="en-US"/>
        </w:rPr>
        <w:t>, Cambridge University Press, Cambridge, 1993</w:t>
      </w:r>
      <w:r w:rsidRPr="00D465D3">
        <w:rPr>
          <w:rFonts w:ascii="Times New Roman" w:hAnsi="Times New Roman" w:cs="Times New Roman"/>
          <w:b/>
          <w:bCs/>
          <w:sz w:val="24"/>
          <w:szCs w:val="24"/>
          <w:lang w:val="en-US"/>
        </w:rPr>
        <w:t>.</w:t>
      </w:r>
    </w:p>
    <w:p w14:paraId="053377B5" w14:textId="6E902BFB" w:rsidR="00201A0E" w:rsidRDefault="00201A0E" w:rsidP="00201A0E">
      <w:pPr>
        <w:spacing w:after="160" w:line="360" w:lineRule="auto"/>
        <w:ind w:left="170"/>
        <w:contextualSpacing/>
        <w:jc w:val="both"/>
        <w:rPr>
          <w:rFonts w:ascii="Times New Roman" w:hAnsi="Times New Roman" w:cs="Times New Roman"/>
          <w:sz w:val="24"/>
          <w:szCs w:val="24"/>
        </w:rPr>
      </w:pPr>
      <w:r w:rsidRPr="00201A0E">
        <w:rPr>
          <w:rFonts w:ascii="Times New Roman" w:hAnsi="Times New Roman" w:cs="Times New Roman"/>
          <w:b/>
          <w:bCs/>
          <w:sz w:val="24"/>
          <w:szCs w:val="24"/>
        </w:rPr>
        <w:t>A. CROSETTI</w:t>
      </w:r>
      <w:r w:rsidRPr="00201A0E">
        <w:rPr>
          <w:rFonts w:ascii="Times New Roman" w:hAnsi="Times New Roman" w:cs="Times New Roman"/>
          <w:i/>
          <w:iCs/>
          <w:sz w:val="24"/>
          <w:szCs w:val="24"/>
        </w:rPr>
        <w:t>, Aree naturali protette (voce),</w:t>
      </w:r>
      <w:r w:rsidRPr="00201A0E">
        <w:rPr>
          <w:rFonts w:ascii="Times New Roman" w:hAnsi="Times New Roman" w:cs="Times New Roman"/>
          <w:sz w:val="24"/>
          <w:szCs w:val="24"/>
        </w:rPr>
        <w:t xml:space="preserve"> in </w:t>
      </w:r>
      <w:r w:rsidRPr="00201A0E">
        <w:rPr>
          <w:rFonts w:ascii="Times New Roman" w:hAnsi="Times New Roman" w:cs="Times New Roman"/>
          <w:i/>
          <w:iCs/>
          <w:sz w:val="24"/>
          <w:szCs w:val="24"/>
        </w:rPr>
        <w:t>Digesto delle discipline pubblicistiche</w:t>
      </w:r>
      <w:r w:rsidRPr="00201A0E">
        <w:rPr>
          <w:rFonts w:ascii="Times New Roman" w:hAnsi="Times New Roman" w:cs="Times New Roman"/>
          <w:sz w:val="24"/>
          <w:szCs w:val="24"/>
        </w:rPr>
        <w:t>, 2008.</w:t>
      </w:r>
    </w:p>
    <w:p w14:paraId="161EEC4F" w14:textId="61F62EF3" w:rsidR="00201A0E" w:rsidRPr="00D465D3" w:rsidRDefault="00201A0E" w:rsidP="006D5201">
      <w:pPr>
        <w:spacing w:after="160" w:line="360" w:lineRule="auto"/>
        <w:ind w:left="170"/>
        <w:contextualSpacing/>
        <w:jc w:val="both"/>
        <w:rPr>
          <w:rFonts w:ascii="Times New Roman" w:hAnsi="Times New Roman" w:cs="Times New Roman"/>
          <w:sz w:val="24"/>
          <w:szCs w:val="24"/>
        </w:rPr>
      </w:pPr>
      <w:r w:rsidRPr="00201A0E">
        <w:rPr>
          <w:rFonts w:ascii="Times New Roman" w:hAnsi="Times New Roman" w:cs="Times New Roman"/>
          <w:b/>
          <w:bCs/>
          <w:sz w:val="24"/>
          <w:szCs w:val="24"/>
        </w:rPr>
        <w:t>L. CUOCOLO</w:t>
      </w:r>
      <w:r w:rsidRPr="00201A0E">
        <w:rPr>
          <w:rFonts w:ascii="Times New Roman" w:hAnsi="Times New Roman" w:cs="Times New Roman"/>
          <w:sz w:val="24"/>
          <w:szCs w:val="24"/>
        </w:rPr>
        <w:t xml:space="preserve">, </w:t>
      </w:r>
      <w:r w:rsidRPr="00201A0E">
        <w:rPr>
          <w:rFonts w:ascii="Times New Roman" w:hAnsi="Times New Roman" w:cs="Times New Roman"/>
          <w:i/>
          <w:iCs/>
          <w:sz w:val="24"/>
          <w:szCs w:val="24"/>
        </w:rPr>
        <w:t>Le energie rinnovabili tra Stato e Regioni. Un equilibrio instabile tra mercato, autonomia e ambiente</w:t>
      </w:r>
      <w:r w:rsidRPr="00201A0E">
        <w:rPr>
          <w:rFonts w:ascii="Times New Roman" w:hAnsi="Times New Roman" w:cs="Times New Roman"/>
          <w:sz w:val="24"/>
          <w:szCs w:val="24"/>
        </w:rPr>
        <w:t>, Milano, Giuffrè, 2011.</w:t>
      </w:r>
    </w:p>
    <w:p w14:paraId="67BCB9F5" w14:textId="0896C016" w:rsidR="00506CC7" w:rsidRPr="00506CC7" w:rsidRDefault="00D465D3" w:rsidP="00506CC7">
      <w:pPr>
        <w:spacing w:after="160" w:line="360" w:lineRule="auto"/>
        <w:ind w:left="170"/>
        <w:contextualSpacing/>
        <w:jc w:val="both"/>
        <w:rPr>
          <w:rFonts w:ascii="Times New Roman" w:hAnsi="Times New Roman" w:cs="Times New Roman"/>
          <w:b/>
          <w:bCs/>
          <w:sz w:val="24"/>
          <w:szCs w:val="24"/>
        </w:rPr>
      </w:pPr>
      <w:r w:rsidRPr="00D465D3">
        <w:rPr>
          <w:rFonts w:ascii="Times New Roman" w:hAnsi="Times New Roman" w:cs="Times New Roman"/>
          <w:b/>
          <w:bCs/>
          <w:sz w:val="24"/>
          <w:szCs w:val="24"/>
        </w:rPr>
        <w:t xml:space="preserve">E. CUSA, </w:t>
      </w:r>
      <w:r w:rsidRPr="00D465D3">
        <w:rPr>
          <w:rFonts w:ascii="Times New Roman" w:hAnsi="Times New Roman" w:cs="Times New Roman"/>
          <w:i/>
          <w:iCs/>
          <w:sz w:val="24"/>
          <w:szCs w:val="24"/>
        </w:rPr>
        <w:t>La cooperazione energetica tra tutela dei consumatori ed economia sociale di mercato</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Giurisprudenza Commerciale</w:t>
      </w:r>
      <w:r w:rsidRPr="00D465D3">
        <w:rPr>
          <w:rFonts w:ascii="Times New Roman" w:hAnsi="Times New Roman" w:cs="Times New Roman"/>
          <w:sz w:val="24"/>
          <w:szCs w:val="24"/>
        </w:rPr>
        <w:t xml:space="preserve">, 2015, 4, 663; id., </w:t>
      </w:r>
      <w:r w:rsidRPr="00D465D3">
        <w:rPr>
          <w:rFonts w:ascii="Times New Roman" w:hAnsi="Times New Roman" w:cs="Times New Roman"/>
          <w:i/>
          <w:iCs/>
          <w:sz w:val="24"/>
          <w:szCs w:val="24"/>
        </w:rPr>
        <w:t>Sviluppo sostenibile, cittadinanza attiva e comunità energetiche</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Orizzonti del diritto commerciale</w:t>
      </w:r>
      <w:r w:rsidRPr="00D465D3">
        <w:rPr>
          <w:rFonts w:ascii="Times New Roman" w:hAnsi="Times New Roman" w:cs="Times New Roman"/>
          <w:sz w:val="24"/>
          <w:szCs w:val="24"/>
        </w:rPr>
        <w:t xml:space="preserve">, 2020, 71; id., </w:t>
      </w:r>
      <w:r w:rsidRPr="00D465D3">
        <w:rPr>
          <w:rFonts w:ascii="Times New Roman" w:hAnsi="Times New Roman" w:cs="Times New Roman"/>
          <w:i/>
          <w:iCs/>
          <w:sz w:val="24"/>
          <w:szCs w:val="24"/>
        </w:rPr>
        <w:t>Il diritto dell’Unione europea sulle comunità energetiche</w:t>
      </w:r>
      <w:r w:rsidRPr="00D465D3">
        <w:rPr>
          <w:rFonts w:ascii="Times New Roman" w:hAnsi="Times New Roman" w:cs="Times New Roman"/>
          <w:sz w:val="24"/>
          <w:szCs w:val="24"/>
        </w:rPr>
        <w:t xml:space="preserve">, in </w:t>
      </w:r>
      <w:r w:rsidRPr="00D465D3">
        <w:rPr>
          <w:rFonts w:ascii="Times New Roman" w:hAnsi="Times New Roman" w:cs="Times New Roman"/>
          <w:i/>
          <w:iCs/>
          <w:sz w:val="24"/>
          <w:szCs w:val="24"/>
        </w:rPr>
        <w:t>Rivista trimestrale di diritto dell’economia</w:t>
      </w:r>
      <w:r w:rsidRPr="00D465D3">
        <w:rPr>
          <w:rFonts w:ascii="Times New Roman" w:hAnsi="Times New Roman" w:cs="Times New Roman"/>
          <w:sz w:val="24"/>
          <w:szCs w:val="24"/>
        </w:rPr>
        <w:t>, 287 ss</w:t>
      </w:r>
      <w:r w:rsidRPr="00D465D3">
        <w:rPr>
          <w:rFonts w:ascii="Times New Roman" w:hAnsi="Times New Roman" w:cs="Times New Roman"/>
          <w:b/>
          <w:bCs/>
          <w:sz w:val="24"/>
          <w:szCs w:val="24"/>
        </w:rPr>
        <w:t>.</w:t>
      </w:r>
    </w:p>
    <w:p w14:paraId="3F38E97D"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lastRenderedPageBreak/>
        <w:t>M. D’ALBERTI</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Riforma della regolazione e sviluppo dei mercati in Italia</w:t>
      </w:r>
      <w:r w:rsidRPr="00F27930">
        <w:rPr>
          <w:rFonts w:ascii="Times New Roman" w:hAnsi="Times New Roman" w:cs="Times New Roman"/>
          <w:sz w:val="24"/>
          <w:szCs w:val="24"/>
        </w:rPr>
        <w:t xml:space="preserve">, in G. Tesauro – M. D’Alberti (a cura di), </w:t>
      </w:r>
      <w:r w:rsidRPr="00F27930">
        <w:rPr>
          <w:rFonts w:ascii="Times New Roman" w:hAnsi="Times New Roman" w:cs="Times New Roman"/>
          <w:i/>
          <w:iCs/>
          <w:sz w:val="24"/>
          <w:szCs w:val="24"/>
        </w:rPr>
        <w:t>Regolazione e concorrenza</w:t>
      </w:r>
      <w:r w:rsidRPr="00F27930">
        <w:rPr>
          <w:rFonts w:ascii="Times New Roman" w:hAnsi="Times New Roman" w:cs="Times New Roman"/>
          <w:sz w:val="24"/>
          <w:szCs w:val="24"/>
        </w:rPr>
        <w:t xml:space="preserve">, Il Mulino, Bologna, 2000, p. 171; sul tema cfr. anche S. Cassese, </w:t>
      </w:r>
      <w:r w:rsidRPr="00F27930">
        <w:rPr>
          <w:rFonts w:ascii="Times New Roman" w:hAnsi="Times New Roman" w:cs="Times New Roman"/>
          <w:i/>
          <w:iCs/>
          <w:sz w:val="24"/>
          <w:szCs w:val="24"/>
        </w:rPr>
        <w:t>Stato e mercato dopo privatizzazioni e «deregulation»</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Riv. trim. dir. pubbl.</w:t>
      </w:r>
      <w:r w:rsidRPr="00F27930">
        <w:rPr>
          <w:rFonts w:ascii="Times New Roman" w:hAnsi="Times New Roman" w:cs="Times New Roman"/>
          <w:sz w:val="24"/>
          <w:szCs w:val="24"/>
        </w:rPr>
        <w:t>, 1991, pp. 378 ss.</w:t>
      </w:r>
    </w:p>
    <w:p w14:paraId="05623562"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S. D’ANDREA</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Manuale delle società</w:t>
      </w:r>
      <w:r w:rsidRPr="00F27930">
        <w:rPr>
          <w:rFonts w:ascii="Times New Roman" w:hAnsi="Times New Roman" w:cs="Times New Roman"/>
          <w:sz w:val="24"/>
          <w:szCs w:val="24"/>
        </w:rPr>
        <w:t>, manuale, 2019.</w:t>
      </w:r>
    </w:p>
    <w:p w14:paraId="23A6A354"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A. D’ATENA</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Costituzione e principio di sussidiarietà</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Quaderni costituzionali</w:t>
      </w:r>
      <w:r w:rsidRPr="00F27930">
        <w:rPr>
          <w:rFonts w:ascii="Times New Roman" w:hAnsi="Times New Roman" w:cs="Times New Roman"/>
          <w:sz w:val="24"/>
          <w:szCs w:val="24"/>
        </w:rPr>
        <w:t xml:space="preserve">, 2001; id., </w:t>
      </w:r>
      <w:r w:rsidRPr="00F27930">
        <w:rPr>
          <w:rFonts w:ascii="Times New Roman" w:hAnsi="Times New Roman" w:cs="Times New Roman"/>
          <w:i/>
          <w:iCs/>
          <w:sz w:val="24"/>
          <w:szCs w:val="24"/>
        </w:rPr>
        <w:t>Il principio di sussidiarietà nella Costituzione italiana</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Rivista italiana di diritto pubblico comunitario</w:t>
      </w:r>
      <w:r w:rsidRPr="00F27930">
        <w:rPr>
          <w:rFonts w:ascii="Times New Roman" w:hAnsi="Times New Roman" w:cs="Times New Roman"/>
          <w:sz w:val="24"/>
          <w:szCs w:val="24"/>
        </w:rPr>
        <w:t>, 1997.</w:t>
      </w:r>
    </w:p>
    <w:p w14:paraId="4AD4A63B"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t>T. DAINTITH</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Regulation</w:t>
      </w:r>
      <w:r w:rsidRPr="00F27930">
        <w:rPr>
          <w:rFonts w:ascii="Times New Roman" w:hAnsi="Times New Roman" w:cs="Times New Roman"/>
          <w:sz w:val="24"/>
          <w:szCs w:val="24"/>
          <w:lang w:val="en-US"/>
        </w:rPr>
        <w:t xml:space="preserve">, in </w:t>
      </w:r>
      <w:r w:rsidRPr="00F27930">
        <w:rPr>
          <w:rFonts w:ascii="Times New Roman" w:hAnsi="Times New Roman" w:cs="Times New Roman"/>
          <w:i/>
          <w:iCs/>
          <w:sz w:val="24"/>
          <w:szCs w:val="24"/>
          <w:lang w:val="en-US"/>
        </w:rPr>
        <w:t>International Encyclopedia of Comparative Law</w:t>
      </w:r>
      <w:r w:rsidRPr="00F27930">
        <w:rPr>
          <w:rFonts w:ascii="Times New Roman" w:hAnsi="Times New Roman" w:cs="Times New Roman"/>
          <w:sz w:val="24"/>
          <w:szCs w:val="24"/>
          <w:lang w:val="en-US"/>
        </w:rPr>
        <w:t>, State and Economy, XVII, 1997, pp. 3 ss.</w:t>
      </w:r>
    </w:p>
    <w:p w14:paraId="5AFA01AB"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L. DANIELE</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Il diritto materiale della Comunità europea</w:t>
      </w:r>
      <w:r w:rsidRPr="00F27930">
        <w:rPr>
          <w:rFonts w:ascii="Times New Roman" w:hAnsi="Times New Roman" w:cs="Times New Roman"/>
          <w:sz w:val="24"/>
          <w:szCs w:val="24"/>
        </w:rPr>
        <w:t>, Giuffrè, Milano, 1995.</w:t>
      </w:r>
    </w:p>
    <w:p w14:paraId="441EEDF7"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rPr>
        <w:t>V. DE ANGELIS</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 xml:space="preserve">Diritto commerciale. </w:t>
      </w:r>
      <w:r w:rsidRPr="00F27930">
        <w:rPr>
          <w:rFonts w:ascii="Times New Roman" w:hAnsi="Times New Roman" w:cs="Times New Roman"/>
          <w:i/>
          <w:iCs/>
          <w:sz w:val="24"/>
          <w:szCs w:val="24"/>
          <w:lang w:val="en-US"/>
        </w:rPr>
        <w:t>Volume I</w:t>
      </w:r>
      <w:r w:rsidRPr="00F27930">
        <w:rPr>
          <w:rFonts w:ascii="Times New Roman" w:hAnsi="Times New Roman" w:cs="Times New Roman"/>
          <w:sz w:val="24"/>
          <w:szCs w:val="24"/>
          <w:lang w:val="en-US"/>
        </w:rPr>
        <w:t xml:space="preserve">, </w:t>
      </w:r>
      <w:proofErr w:type="spellStart"/>
      <w:r w:rsidRPr="00F27930">
        <w:rPr>
          <w:rFonts w:ascii="Times New Roman" w:hAnsi="Times New Roman" w:cs="Times New Roman"/>
          <w:sz w:val="24"/>
          <w:szCs w:val="24"/>
          <w:lang w:val="en-US"/>
        </w:rPr>
        <w:t>manuale</w:t>
      </w:r>
      <w:proofErr w:type="spellEnd"/>
      <w:r w:rsidRPr="00F27930">
        <w:rPr>
          <w:rFonts w:ascii="Times New Roman" w:hAnsi="Times New Roman" w:cs="Times New Roman"/>
          <w:sz w:val="24"/>
          <w:szCs w:val="24"/>
          <w:lang w:val="en-US"/>
        </w:rPr>
        <w:t>, 2018.</w:t>
      </w:r>
    </w:p>
    <w:p w14:paraId="719BE555"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t>V. DE CRESCENZO, R. BARATTA, F. SIMEONI</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Citizens’ engagement in funding renewable and energy efficiency projects</w:t>
      </w:r>
      <w:r w:rsidRPr="00F27930">
        <w:rPr>
          <w:rFonts w:ascii="Times New Roman" w:hAnsi="Times New Roman" w:cs="Times New Roman"/>
          <w:sz w:val="24"/>
          <w:szCs w:val="24"/>
          <w:lang w:val="en-US"/>
        </w:rPr>
        <w:t xml:space="preserve">, in </w:t>
      </w:r>
      <w:r w:rsidRPr="00F27930">
        <w:rPr>
          <w:rFonts w:ascii="Times New Roman" w:hAnsi="Times New Roman" w:cs="Times New Roman"/>
          <w:i/>
          <w:iCs/>
          <w:sz w:val="24"/>
          <w:szCs w:val="24"/>
          <w:lang w:val="en-US"/>
        </w:rPr>
        <w:t>Journal of Cleaner Production</w:t>
      </w:r>
      <w:r w:rsidRPr="00F27930">
        <w:rPr>
          <w:rFonts w:ascii="Times New Roman" w:hAnsi="Times New Roman" w:cs="Times New Roman"/>
          <w:sz w:val="24"/>
          <w:szCs w:val="24"/>
          <w:lang w:val="en-US"/>
        </w:rPr>
        <w:t>, 2020, 124060, 1 ss.</w:t>
      </w:r>
    </w:p>
    <w:p w14:paraId="04B9EE76"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DE FALCO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Diritti sociali</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Digesto delle discipline pubblicistiche</w:t>
      </w:r>
      <w:r w:rsidRPr="00F27930">
        <w:rPr>
          <w:rFonts w:ascii="Times New Roman" w:hAnsi="Times New Roman" w:cs="Times New Roman"/>
          <w:sz w:val="24"/>
          <w:szCs w:val="24"/>
        </w:rPr>
        <w:t>, Torino, 2012, 15.</w:t>
      </w:r>
    </w:p>
    <w:p w14:paraId="6BFDCCA7"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F. DE LEONARDIS</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L’utilizzo di fonti di energia rinnovabili come criterio di valutazione dell’offerta economicamente più vantaggiosa</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Diritto pubblico comparato ed europeo</w:t>
      </w:r>
      <w:r w:rsidRPr="00F27930">
        <w:rPr>
          <w:rFonts w:ascii="Times New Roman" w:hAnsi="Times New Roman" w:cs="Times New Roman"/>
          <w:sz w:val="24"/>
          <w:szCs w:val="24"/>
        </w:rPr>
        <w:t xml:space="preserve">, 2004, 889 ss.; id., </w:t>
      </w:r>
      <w:r w:rsidRPr="00F27930">
        <w:rPr>
          <w:rFonts w:ascii="Times New Roman" w:hAnsi="Times New Roman" w:cs="Times New Roman"/>
          <w:i/>
          <w:iCs/>
          <w:sz w:val="24"/>
          <w:szCs w:val="24"/>
        </w:rPr>
        <w:t>Economia circolare: saggio sui suoi tre diversi aspetti giuridici</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 xml:space="preserve">Dir. </w:t>
      </w:r>
      <w:proofErr w:type="spellStart"/>
      <w:r w:rsidRPr="00F27930">
        <w:rPr>
          <w:rFonts w:ascii="Times New Roman" w:hAnsi="Times New Roman" w:cs="Times New Roman"/>
          <w:i/>
          <w:iCs/>
          <w:sz w:val="24"/>
          <w:szCs w:val="24"/>
        </w:rPr>
        <w:t>amm</w:t>
      </w:r>
      <w:proofErr w:type="spellEnd"/>
      <w:r w:rsidRPr="00F27930">
        <w:rPr>
          <w:rFonts w:ascii="Times New Roman" w:hAnsi="Times New Roman" w:cs="Times New Roman"/>
          <w:i/>
          <w:iCs/>
          <w:sz w:val="24"/>
          <w:szCs w:val="24"/>
        </w:rPr>
        <w:t>.</w:t>
      </w:r>
      <w:r w:rsidRPr="00F27930">
        <w:rPr>
          <w:rFonts w:ascii="Times New Roman" w:hAnsi="Times New Roman" w:cs="Times New Roman"/>
          <w:sz w:val="24"/>
          <w:szCs w:val="24"/>
        </w:rPr>
        <w:t xml:space="preserve">, 2017, p. 163 ss.; id., </w:t>
      </w:r>
      <w:r w:rsidRPr="00F27930">
        <w:rPr>
          <w:rFonts w:ascii="Times New Roman" w:hAnsi="Times New Roman" w:cs="Times New Roman"/>
          <w:i/>
          <w:iCs/>
          <w:sz w:val="24"/>
          <w:szCs w:val="24"/>
        </w:rPr>
        <w:t>La transizione ecologica come modello di sviluppo di sistema: spunti sul ruolo delle amministrazioni</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 xml:space="preserve">Dir. </w:t>
      </w:r>
      <w:proofErr w:type="spellStart"/>
      <w:r w:rsidRPr="00F27930">
        <w:rPr>
          <w:rFonts w:ascii="Times New Roman" w:hAnsi="Times New Roman" w:cs="Times New Roman"/>
          <w:i/>
          <w:iCs/>
          <w:sz w:val="24"/>
          <w:szCs w:val="24"/>
        </w:rPr>
        <w:t>amm</w:t>
      </w:r>
      <w:proofErr w:type="spellEnd"/>
      <w:r w:rsidRPr="00F27930">
        <w:rPr>
          <w:rFonts w:ascii="Times New Roman" w:hAnsi="Times New Roman" w:cs="Times New Roman"/>
          <w:i/>
          <w:iCs/>
          <w:sz w:val="24"/>
          <w:szCs w:val="24"/>
        </w:rPr>
        <w:t>.</w:t>
      </w:r>
      <w:r w:rsidRPr="00F27930">
        <w:rPr>
          <w:rFonts w:ascii="Times New Roman" w:hAnsi="Times New Roman" w:cs="Times New Roman"/>
          <w:sz w:val="24"/>
          <w:szCs w:val="24"/>
        </w:rPr>
        <w:t xml:space="preserve">, 2021, 779 ss.; id., </w:t>
      </w:r>
      <w:r w:rsidRPr="00F27930">
        <w:rPr>
          <w:rFonts w:ascii="Times New Roman" w:hAnsi="Times New Roman" w:cs="Times New Roman"/>
          <w:i/>
          <w:iCs/>
          <w:sz w:val="24"/>
          <w:szCs w:val="24"/>
        </w:rPr>
        <w:t>Lo Stato ecologico. Approccio sistemico, economia, poteri pubblici e mercati</w:t>
      </w:r>
      <w:r w:rsidRPr="00F27930">
        <w:rPr>
          <w:rFonts w:ascii="Times New Roman" w:hAnsi="Times New Roman" w:cs="Times New Roman"/>
          <w:sz w:val="24"/>
          <w:szCs w:val="24"/>
        </w:rPr>
        <w:t>, Torino, 2023, XVII.</w:t>
      </w:r>
    </w:p>
    <w:p w14:paraId="02A10DD2"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C.L. DE MONTESQUIEU</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Lo spirito delle leggi</w:t>
      </w:r>
      <w:r w:rsidRPr="00F27930">
        <w:rPr>
          <w:rFonts w:ascii="Times New Roman" w:hAnsi="Times New Roman" w:cs="Times New Roman"/>
          <w:sz w:val="24"/>
          <w:szCs w:val="24"/>
        </w:rPr>
        <w:t>, UTET, Torino, 1966.</w:t>
      </w:r>
    </w:p>
    <w:p w14:paraId="779BDB2C"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B. DE SANTIS LAVIO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Dottrina sociale della Chiesa</w:t>
      </w:r>
      <w:r w:rsidRPr="00F27930">
        <w:rPr>
          <w:rFonts w:ascii="Times New Roman" w:hAnsi="Times New Roman" w:cs="Times New Roman"/>
          <w:sz w:val="24"/>
          <w:szCs w:val="24"/>
        </w:rPr>
        <w:t>, Roma, 1995.</w:t>
      </w:r>
    </w:p>
    <w:p w14:paraId="3134156F"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t>L. DE VIDOVICH, L. TRICARICO, M. ZULIANELLO</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Community energy map</w:t>
      </w:r>
      <w:r w:rsidRPr="00F27930">
        <w:rPr>
          <w:rFonts w:ascii="Times New Roman" w:hAnsi="Times New Roman" w:cs="Times New Roman"/>
          <w:sz w:val="24"/>
          <w:szCs w:val="24"/>
          <w:lang w:val="en-US"/>
        </w:rPr>
        <w:t xml:space="preserve">, Milano, </w:t>
      </w:r>
      <w:proofErr w:type="spellStart"/>
      <w:r w:rsidRPr="00F27930">
        <w:rPr>
          <w:rFonts w:ascii="Times New Roman" w:hAnsi="Times New Roman" w:cs="Times New Roman"/>
          <w:sz w:val="24"/>
          <w:szCs w:val="24"/>
          <w:lang w:val="en-US"/>
        </w:rPr>
        <w:t>FrancoAngeli</w:t>
      </w:r>
      <w:proofErr w:type="spellEnd"/>
      <w:r w:rsidRPr="00F27930">
        <w:rPr>
          <w:rFonts w:ascii="Times New Roman" w:hAnsi="Times New Roman" w:cs="Times New Roman"/>
          <w:sz w:val="24"/>
          <w:szCs w:val="24"/>
          <w:lang w:val="en-US"/>
        </w:rPr>
        <w:t xml:space="preserve">, 2021, 18; id., </w:t>
      </w:r>
      <w:r w:rsidRPr="00F27930">
        <w:rPr>
          <w:rFonts w:ascii="Times New Roman" w:hAnsi="Times New Roman" w:cs="Times New Roman"/>
          <w:i/>
          <w:iCs/>
          <w:sz w:val="24"/>
          <w:szCs w:val="24"/>
          <w:lang w:val="en-US"/>
        </w:rPr>
        <w:t xml:space="preserve">How can we frame energy communities’ organizational </w:t>
      </w:r>
      <w:proofErr w:type="gramStart"/>
      <w:r w:rsidRPr="00F27930">
        <w:rPr>
          <w:rFonts w:ascii="Times New Roman" w:hAnsi="Times New Roman" w:cs="Times New Roman"/>
          <w:i/>
          <w:iCs/>
          <w:sz w:val="24"/>
          <w:szCs w:val="24"/>
          <w:lang w:val="en-US"/>
        </w:rPr>
        <w:t>models?</w:t>
      </w:r>
      <w:r w:rsidRPr="00F27930">
        <w:rPr>
          <w:rFonts w:ascii="Times New Roman" w:hAnsi="Times New Roman" w:cs="Times New Roman"/>
          <w:sz w:val="24"/>
          <w:szCs w:val="24"/>
          <w:lang w:val="en-US"/>
        </w:rPr>
        <w:t>,</w:t>
      </w:r>
      <w:proofErr w:type="gramEnd"/>
      <w:r w:rsidRPr="00F27930">
        <w:rPr>
          <w:rFonts w:ascii="Times New Roman" w:hAnsi="Times New Roman" w:cs="Times New Roman"/>
          <w:sz w:val="24"/>
          <w:szCs w:val="24"/>
          <w:lang w:val="en-US"/>
        </w:rPr>
        <w:t xml:space="preserve"> 2012.</w:t>
      </w:r>
    </w:p>
    <w:p w14:paraId="362703D7"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t>B. DE WITTE</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The European Union’s COVID-19 recovery plan</w:t>
      </w:r>
      <w:r w:rsidRPr="00F27930">
        <w:rPr>
          <w:rFonts w:ascii="Times New Roman" w:hAnsi="Times New Roman" w:cs="Times New Roman"/>
          <w:sz w:val="24"/>
          <w:szCs w:val="24"/>
          <w:lang w:val="en-US"/>
        </w:rPr>
        <w:t xml:space="preserve">, in </w:t>
      </w:r>
      <w:r w:rsidRPr="00F27930">
        <w:rPr>
          <w:rFonts w:ascii="Times New Roman" w:hAnsi="Times New Roman" w:cs="Times New Roman"/>
          <w:i/>
          <w:iCs/>
          <w:sz w:val="24"/>
          <w:szCs w:val="24"/>
          <w:lang w:val="en-US"/>
        </w:rPr>
        <w:t>Common Market Law Review</w:t>
      </w:r>
      <w:r w:rsidRPr="00F27930">
        <w:rPr>
          <w:rFonts w:ascii="Times New Roman" w:hAnsi="Times New Roman" w:cs="Times New Roman"/>
          <w:sz w:val="24"/>
          <w:szCs w:val="24"/>
          <w:lang w:val="en-US"/>
        </w:rPr>
        <w:t>, 2021, p. 635 ss.</w:t>
      </w:r>
    </w:p>
    <w:p w14:paraId="11CB11A5"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G. DI MEO, A. NUZZO (a cura di),</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Il testo unico sulle società pubbliche</w:t>
      </w:r>
      <w:r w:rsidRPr="00F27930">
        <w:rPr>
          <w:rFonts w:ascii="Times New Roman" w:hAnsi="Times New Roman" w:cs="Times New Roman"/>
          <w:sz w:val="24"/>
          <w:szCs w:val="24"/>
        </w:rPr>
        <w:t>, Bari, 2016.</w:t>
      </w:r>
    </w:p>
    <w:p w14:paraId="3670A5CF"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F. DI SABATO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Sull’oggetto sociale: problemi interpretativi e di coordinamento fra atto costitutivo e statuto</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Rivista di diritto dell’impresa</w:t>
      </w:r>
      <w:r w:rsidRPr="00F27930">
        <w:rPr>
          <w:rFonts w:ascii="Times New Roman" w:hAnsi="Times New Roman" w:cs="Times New Roman"/>
          <w:sz w:val="24"/>
          <w:szCs w:val="24"/>
        </w:rPr>
        <w:t>, 1994.</w:t>
      </w:r>
    </w:p>
    <w:p w14:paraId="1A95B8E3"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F. DONATI</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La Roadmap 2050 e la governance europea dell’energia</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Rivista della regolazione dei mercati</w:t>
      </w:r>
      <w:r w:rsidRPr="00F27930">
        <w:rPr>
          <w:rFonts w:ascii="Times New Roman" w:hAnsi="Times New Roman" w:cs="Times New Roman"/>
          <w:sz w:val="24"/>
          <w:szCs w:val="24"/>
        </w:rPr>
        <w:t xml:space="preserve">, fasc. 1, 2014, pp. 67–80; id., </w:t>
      </w:r>
      <w:r w:rsidRPr="00F27930">
        <w:rPr>
          <w:rFonts w:ascii="Times New Roman" w:hAnsi="Times New Roman" w:cs="Times New Roman"/>
          <w:i/>
          <w:iCs/>
          <w:sz w:val="24"/>
          <w:szCs w:val="24"/>
        </w:rPr>
        <w:t>Il Green Deal e la governance europea dell’energia e del clima</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Rivista della Regolazione dei Mercati</w:t>
      </w:r>
      <w:r w:rsidRPr="00F27930">
        <w:rPr>
          <w:rFonts w:ascii="Times New Roman" w:hAnsi="Times New Roman" w:cs="Times New Roman"/>
          <w:sz w:val="24"/>
          <w:szCs w:val="24"/>
        </w:rPr>
        <w:t>, 2022, pp. 13–24.</w:t>
      </w:r>
    </w:p>
    <w:p w14:paraId="7CE2A943"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lastRenderedPageBreak/>
        <w:t>P.M. DUPUY – J.E. VINUALES</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International Environmental Law</w:t>
      </w:r>
      <w:r w:rsidRPr="00F27930">
        <w:rPr>
          <w:rFonts w:ascii="Times New Roman" w:hAnsi="Times New Roman" w:cs="Times New Roman"/>
          <w:sz w:val="24"/>
          <w:szCs w:val="24"/>
          <w:lang w:val="en-US"/>
        </w:rPr>
        <w:t>, Cambridge University Press, Cambridge, 2015.</w:t>
      </w:r>
    </w:p>
    <w:p w14:paraId="1E847683"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T. FAVARO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Regolare la “transizione energetica”. Stato, mercato, innovazione</w:t>
      </w:r>
      <w:r w:rsidRPr="00F27930">
        <w:rPr>
          <w:rFonts w:ascii="Times New Roman" w:hAnsi="Times New Roman" w:cs="Times New Roman"/>
          <w:sz w:val="24"/>
          <w:szCs w:val="24"/>
        </w:rPr>
        <w:t>, Padova, 2020.</w:t>
      </w:r>
    </w:p>
    <w:p w14:paraId="5AC34D24"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A. FEBBRAJO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Funzionalismo strutturale e sociologia del diritto nell’opera di Niklas Luhmann</w:t>
      </w:r>
      <w:r w:rsidRPr="00F27930">
        <w:rPr>
          <w:rFonts w:ascii="Times New Roman" w:hAnsi="Times New Roman" w:cs="Times New Roman"/>
          <w:sz w:val="24"/>
          <w:szCs w:val="24"/>
        </w:rPr>
        <w:t>, Milano, 1975.</w:t>
      </w:r>
    </w:p>
    <w:p w14:paraId="117337D8"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T. FEDERICO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I fondamenti dell’economia circolare</w:t>
      </w:r>
      <w:r w:rsidRPr="00F27930">
        <w:rPr>
          <w:rFonts w:ascii="Times New Roman" w:hAnsi="Times New Roman" w:cs="Times New Roman"/>
          <w:sz w:val="24"/>
          <w:szCs w:val="24"/>
        </w:rPr>
        <w:t>, Fondazione per lo sviluppo sostenibile, 2015.</w:t>
      </w:r>
    </w:p>
    <w:p w14:paraId="0C32242D"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R. FERRARA</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Brown economy, green economy, blue economy</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Il Piemonte delle Autonomie</w:t>
      </w:r>
      <w:r w:rsidRPr="00F27930">
        <w:rPr>
          <w:rFonts w:ascii="Times New Roman" w:hAnsi="Times New Roman" w:cs="Times New Roman"/>
          <w:sz w:val="24"/>
          <w:szCs w:val="24"/>
        </w:rPr>
        <w:t>, 2018, 3, p. 1-23.</w:t>
      </w:r>
    </w:p>
    <w:p w14:paraId="7AA2897E"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F. FRACCHIA</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Risultato, fiducia e semplificazione per il rilancio dei contratti pubblici e dei rapporti tra P.A. e imprese</w:t>
      </w:r>
      <w:r w:rsidRPr="00F27930">
        <w:rPr>
          <w:rFonts w:ascii="Times New Roman" w:hAnsi="Times New Roman" w:cs="Times New Roman"/>
          <w:sz w:val="24"/>
          <w:szCs w:val="24"/>
        </w:rPr>
        <w:t xml:space="preserve">, convegno in Università Bocconi, 2025; id., </w:t>
      </w:r>
      <w:r w:rsidRPr="00F27930">
        <w:rPr>
          <w:rFonts w:ascii="Times New Roman" w:hAnsi="Times New Roman" w:cs="Times New Roman"/>
          <w:i/>
          <w:iCs/>
          <w:sz w:val="24"/>
          <w:szCs w:val="24"/>
        </w:rPr>
        <w:t>I doveri intergenerazionali. La prospettiva dell’amministrativista e l’esigenza di una teoria generale dei doveri intergenerazionali</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Il diritto dell’economia</w:t>
      </w:r>
      <w:r w:rsidRPr="00F27930">
        <w:rPr>
          <w:rFonts w:ascii="Times New Roman" w:hAnsi="Times New Roman" w:cs="Times New Roman"/>
          <w:sz w:val="24"/>
          <w:szCs w:val="24"/>
        </w:rPr>
        <w:t xml:space="preserve"> (numero speciale su </w:t>
      </w:r>
      <w:r w:rsidRPr="00F27930">
        <w:rPr>
          <w:rFonts w:ascii="Times New Roman" w:hAnsi="Times New Roman" w:cs="Times New Roman"/>
          <w:i/>
          <w:iCs/>
          <w:sz w:val="24"/>
          <w:szCs w:val="24"/>
        </w:rPr>
        <w:t>Doveri intergenerazionali e tutela dell’ambiente. Sviluppi, sfide e prospettive per Stati, imprese e individui</w:t>
      </w:r>
      <w:r w:rsidRPr="00F27930">
        <w:rPr>
          <w:rFonts w:ascii="Times New Roman" w:hAnsi="Times New Roman" w:cs="Times New Roman"/>
          <w:sz w:val="24"/>
          <w:szCs w:val="24"/>
        </w:rPr>
        <w:t xml:space="preserve">, a cura di Pasquale Pantalone), 2021, 64; id., </w:t>
      </w:r>
      <w:r w:rsidRPr="00F27930">
        <w:rPr>
          <w:rFonts w:ascii="Times New Roman" w:hAnsi="Times New Roman" w:cs="Times New Roman"/>
          <w:i/>
          <w:iCs/>
          <w:sz w:val="24"/>
          <w:szCs w:val="24"/>
        </w:rPr>
        <w:t>La transizione e il diritto amministrativo</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 xml:space="preserve">Quad. Dir. </w:t>
      </w:r>
      <w:proofErr w:type="spellStart"/>
      <w:r w:rsidRPr="00F27930">
        <w:rPr>
          <w:rFonts w:ascii="Times New Roman" w:hAnsi="Times New Roman" w:cs="Times New Roman"/>
          <w:i/>
          <w:iCs/>
          <w:sz w:val="24"/>
          <w:szCs w:val="24"/>
        </w:rPr>
        <w:t>Amb</w:t>
      </w:r>
      <w:proofErr w:type="spellEnd"/>
      <w:r w:rsidRPr="00F27930">
        <w:rPr>
          <w:rFonts w:ascii="Times New Roman" w:hAnsi="Times New Roman" w:cs="Times New Roman"/>
          <w:i/>
          <w:iCs/>
          <w:sz w:val="24"/>
          <w:szCs w:val="24"/>
        </w:rPr>
        <w:t>.</w:t>
      </w:r>
      <w:r w:rsidRPr="00F27930">
        <w:rPr>
          <w:rFonts w:ascii="Times New Roman" w:hAnsi="Times New Roman" w:cs="Times New Roman"/>
          <w:sz w:val="24"/>
          <w:szCs w:val="24"/>
        </w:rPr>
        <w:t>, 2025, p. 159 e ss.</w:t>
      </w:r>
    </w:p>
    <w:p w14:paraId="48819AFD"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F. FRACCHIA, P. PANTALONE</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La fisionomia delle linee guida: abbozzo di una traiettoria evolutiva con specifico riferimento al settore dei contratti pubblici</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Il diritto dell’economia</w:t>
      </w:r>
      <w:r w:rsidRPr="00F27930">
        <w:rPr>
          <w:rFonts w:ascii="Times New Roman" w:hAnsi="Times New Roman" w:cs="Times New Roman"/>
          <w:sz w:val="24"/>
          <w:szCs w:val="24"/>
        </w:rPr>
        <w:t>, 2021, 104, p. 11-36.</w:t>
      </w:r>
    </w:p>
    <w:p w14:paraId="2F23AB43"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R. GALBIATI, G. VACIAGO, L.R. PERFETTI</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Il governo dell'energia dal decentramento alla riforma costituzionale</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Mercato concorrenza regole</w:t>
      </w:r>
      <w:r w:rsidRPr="00F27930">
        <w:rPr>
          <w:rFonts w:ascii="Times New Roman" w:hAnsi="Times New Roman" w:cs="Times New Roman"/>
          <w:sz w:val="24"/>
          <w:szCs w:val="24"/>
        </w:rPr>
        <w:t>, 2002, 2, pp. 353 ss., spec. pp. 362.</w:t>
      </w:r>
    </w:p>
    <w:p w14:paraId="066DEA88"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F. GALGANO</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Diritto commerciale. II. Le società</w:t>
      </w:r>
      <w:r w:rsidRPr="00F27930">
        <w:rPr>
          <w:rFonts w:ascii="Times New Roman" w:hAnsi="Times New Roman" w:cs="Times New Roman"/>
          <w:sz w:val="24"/>
          <w:szCs w:val="24"/>
        </w:rPr>
        <w:t>, manuale, 2004.</w:t>
      </w:r>
    </w:p>
    <w:p w14:paraId="41CB17EE"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D.U. GALLETTA</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Transizione digitale e diritto ad una buona amministrazione: fra prospettive aperte per le Pubbliche Amministrazioni dal Piano Nazionale di Ripresa e Resilienza e problemi ancora da affrontare</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Federalismi</w:t>
      </w:r>
      <w:r w:rsidRPr="00F27930">
        <w:rPr>
          <w:rFonts w:ascii="Times New Roman" w:hAnsi="Times New Roman" w:cs="Times New Roman"/>
          <w:sz w:val="24"/>
          <w:szCs w:val="24"/>
        </w:rPr>
        <w:t>, 2022, p. 103.</w:t>
      </w:r>
    </w:p>
    <w:p w14:paraId="2761EBF7"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t>N. GARCIA-TOREA, M. LUQUE-VÍLCHEZ, P. RODRÍGUEZ-GUTIÉRREZ</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The EU Taxonomy, sustainability reporting and financial institutions: understanding the elements driving regulatory uncertainty</w:t>
      </w:r>
      <w:r w:rsidRPr="00F27930">
        <w:rPr>
          <w:rFonts w:ascii="Times New Roman" w:hAnsi="Times New Roman" w:cs="Times New Roman"/>
          <w:sz w:val="24"/>
          <w:szCs w:val="24"/>
          <w:lang w:val="en-US"/>
        </w:rPr>
        <w:t xml:space="preserve">, in </w:t>
      </w:r>
      <w:r w:rsidRPr="00F27930">
        <w:rPr>
          <w:rFonts w:ascii="Times New Roman" w:hAnsi="Times New Roman" w:cs="Times New Roman"/>
          <w:i/>
          <w:iCs/>
          <w:sz w:val="24"/>
          <w:szCs w:val="24"/>
          <w:lang w:val="en-US"/>
        </w:rPr>
        <w:t>Accounting in Europe</w:t>
      </w:r>
      <w:r w:rsidRPr="00F27930">
        <w:rPr>
          <w:rFonts w:ascii="Times New Roman" w:hAnsi="Times New Roman" w:cs="Times New Roman"/>
          <w:sz w:val="24"/>
          <w:szCs w:val="24"/>
          <w:lang w:val="en-US"/>
        </w:rPr>
        <w:t>, 2024.</w:t>
      </w:r>
    </w:p>
    <w:p w14:paraId="72A628C9"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M.S. GIANNINI</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“Ambiente”: saggio sui diversi suoi aspetti giuridici</w:t>
      </w:r>
      <w:r w:rsidRPr="00F27930">
        <w:rPr>
          <w:rFonts w:ascii="Times New Roman" w:hAnsi="Times New Roman" w:cs="Times New Roman"/>
          <w:sz w:val="24"/>
          <w:szCs w:val="24"/>
        </w:rPr>
        <w:t xml:space="preserve">, in </w:t>
      </w:r>
      <w:r w:rsidRPr="00F27930">
        <w:rPr>
          <w:rFonts w:ascii="Times New Roman" w:hAnsi="Times New Roman" w:cs="Times New Roman"/>
          <w:i/>
          <w:iCs/>
          <w:sz w:val="24"/>
          <w:szCs w:val="24"/>
        </w:rPr>
        <w:t>Riv. trim. dir. pubbl.</w:t>
      </w:r>
      <w:r w:rsidRPr="00F27930">
        <w:rPr>
          <w:rFonts w:ascii="Times New Roman" w:hAnsi="Times New Roman" w:cs="Times New Roman"/>
          <w:sz w:val="24"/>
          <w:szCs w:val="24"/>
        </w:rPr>
        <w:t>, 1973, p. 15 ss.</w:t>
      </w:r>
    </w:p>
    <w:p w14:paraId="6B77A0DA"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G. GONELLA</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La nozione di bene comune</w:t>
      </w:r>
      <w:r w:rsidRPr="00F27930">
        <w:rPr>
          <w:rFonts w:ascii="Times New Roman" w:hAnsi="Times New Roman" w:cs="Times New Roman"/>
          <w:sz w:val="24"/>
          <w:szCs w:val="24"/>
        </w:rPr>
        <w:t>, Giuffrè, Milano, 19.</w:t>
      </w:r>
    </w:p>
    <w:p w14:paraId="6762B285" w14:textId="77777777" w:rsidR="00F27930" w:rsidRPr="00F27930" w:rsidRDefault="00F27930" w:rsidP="00F27930">
      <w:pPr>
        <w:spacing w:line="360" w:lineRule="auto"/>
        <w:ind w:left="170"/>
        <w:contextualSpacing/>
        <w:jc w:val="both"/>
        <w:rPr>
          <w:rFonts w:ascii="Times New Roman" w:hAnsi="Times New Roman" w:cs="Times New Roman"/>
          <w:sz w:val="24"/>
          <w:szCs w:val="24"/>
          <w:lang w:val="en-US"/>
        </w:rPr>
      </w:pPr>
      <w:r w:rsidRPr="00F27930">
        <w:rPr>
          <w:rFonts w:ascii="Times New Roman" w:hAnsi="Times New Roman" w:cs="Times New Roman"/>
          <w:b/>
          <w:bCs/>
          <w:sz w:val="24"/>
          <w:szCs w:val="24"/>
          <w:lang w:val="en-US"/>
        </w:rPr>
        <w:t>R. GUHA</w:t>
      </w:r>
      <w:r w:rsidRPr="00F27930">
        <w:rPr>
          <w:rFonts w:ascii="Times New Roman" w:hAnsi="Times New Roman" w:cs="Times New Roman"/>
          <w:sz w:val="24"/>
          <w:szCs w:val="24"/>
          <w:lang w:val="en-US"/>
        </w:rPr>
        <w:t xml:space="preserve">, </w:t>
      </w:r>
      <w:r w:rsidRPr="00F27930">
        <w:rPr>
          <w:rFonts w:ascii="Times New Roman" w:hAnsi="Times New Roman" w:cs="Times New Roman"/>
          <w:i/>
          <w:iCs/>
          <w:sz w:val="24"/>
          <w:szCs w:val="24"/>
          <w:lang w:val="en-US"/>
        </w:rPr>
        <w:t>Environmentalism. A Global History</w:t>
      </w:r>
      <w:r w:rsidRPr="00F27930">
        <w:rPr>
          <w:rFonts w:ascii="Times New Roman" w:hAnsi="Times New Roman" w:cs="Times New Roman"/>
          <w:sz w:val="24"/>
          <w:szCs w:val="24"/>
          <w:lang w:val="en-US"/>
        </w:rPr>
        <w:t>, Longman, New York, 2000.</w:t>
      </w:r>
    </w:p>
    <w:p w14:paraId="506784BD" w14:textId="77777777" w:rsidR="00F27930" w:rsidRPr="00F27930" w:rsidRDefault="00F27930" w:rsidP="00F27930">
      <w:pPr>
        <w:spacing w:line="360" w:lineRule="auto"/>
        <w:ind w:left="170"/>
        <w:contextualSpacing/>
        <w:jc w:val="both"/>
        <w:rPr>
          <w:rFonts w:ascii="Times New Roman" w:hAnsi="Times New Roman" w:cs="Times New Roman"/>
          <w:sz w:val="24"/>
          <w:szCs w:val="24"/>
        </w:rPr>
      </w:pPr>
      <w:r w:rsidRPr="00F27930">
        <w:rPr>
          <w:rFonts w:ascii="Times New Roman" w:hAnsi="Times New Roman" w:cs="Times New Roman"/>
          <w:b/>
          <w:bCs/>
          <w:sz w:val="24"/>
          <w:szCs w:val="24"/>
        </w:rPr>
        <w:t>C.F. IAIONE, A. NUZZO, R. PISELLI, E. DE NICTOLIS, A. DAVOLA et al</w:t>
      </w:r>
      <w:r w:rsidRPr="00F27930">
        <w:rPr>
          <w:rFonts w:ascii="Times New Roman" w:hAnsi="Times New Roman" w:cs="Times New Roman"/>
          <w:sz w:val="24"/>
          <w:szCs w:val="24"/>
        </w:rPr>
        <w:t xml:space="preserve">., </w:t>
      </w:r>
      <w:r w:rsidRPr="00F27930">
        <w:rPr>
          <w:rFonts w:ascii="Times New Roman" w:hAnsi="Times New Roman" w:cs="Times New Roman"/>
          <w:i/>
          <w:iCs/>
          <w:sz w:val="24"/>
          <w:szCs w:val="24"/>
        </w:rPr>
        <w:t xml:space="preserve">La governance per la gestione sostenibile e inclusiva delle comunità energetiche: analisi di </w:t>
      </w:r>
      <w:proofErr w:type="spellStart"/>
      <w:r w:rsidRPr="00F27930">
        <w:rPr>
          <w:rFonts w:ascii="Times New Roman" w:hAnsi="Times New Roman" w:cs="Times New Roman"/>
          <w:i/>
          <w:iCs/>
          <w:sz w:val="24"/>
          <w:szCs w:val="24"/>
        </w:rPr>
        <w:t>pre</w:t>
      </w:r>
      <w:proofErr w:type="spellEnd"/>
      <w:r w:rsidRPr="00F27930">
        <w:rPr>
          <w:rFonts w:ascii="Times New Roman" w:hAnsi="Times New Roman" w:cs="Times New Roman"/>
          <w:i/>
          <w:iCs/>
          <w:sz w:val="24"/>
          <w:szCs w:val="24"/>
        </w:rPr>
        <w:t xml:space="preserve">-fattibilità </w:t>
      </w:r>
      <w:r w:rsidRPr="00F27930">
        <w:rPr>
          <w:rFonts w:ascii="Times New Roman" w:hAnsi="Times New Roman" w:cs="Times New Roman"/>
          <w:i/>
          <w:iCs/>
          <w:sz w:val="24"/>
          <w:szCs w:val="24"/>
        </w:rPr>
        <w:lastRenderedPageBreak/>
        <w:t>economico-giuridica</w:t>
      </w:r>
      <w:r w:rsidRPr="00F27930">
        <w:rPr>
          <w:rFonts w:ascii="Times New Roman" w:hAnsi="Times New Roman" w:cs="Times New Roman"/>
          <w:sz w:val="24"/>
          <w:szCs w:val="24"/>
        </w:rPr>
        <w:t>, Report di ricerca per ENEA (Agenzia nazionale per le nuove tecnologie, l’energia e lo sviluppo economico sostenibile), nell’ambito dell’Accordo di Programma MISE-ENEA, Piano triennale 2019-2021.</w:t>
      </w:r>
    </w:p>
    <w:p w14:paraId="61D252D1" w14:textId="3ECA463A"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L. HU</w:t>
      </w:r>
      <w:r w:rsidRPr="001F1A80">
        <w:rPr>
          <w:rFonts w:ascii="Times New Roman" w:hAnsi="Times New Roman" w:cs="Times New Roman"/>
          <w:sz w:val="24"/>
          <w:szCs w:val="24"/>
          <w:lang w:val="en-US"/>
        </w:rPr>
        <w:t xml:space="preserve">, M.-Y. CHUANG, </w:t>
      </w:r>
      <w:r w:rsidRPr="001F1A80">
        <w:rPr>
          <w:rFonts w:ascii="Times New Roman" w:hAnsi="Times New Roman" w:cs="Times New Roman"/>
          <w:i/>
          <w:iCs/>
          <w:sz w:val="24"/>
          <w:szCs w:val="24"/>
          <w:lang w:val="en-US"/>
        </w:rPr>
        <w:t>The Importance of Energy Prosumers for Affordable and Clean Energy Development: A Review of the Literature from the Viewpoints of Management and Policy</w:t>
      </w:r>
      <w:r w:rsidRPr="001F1A80">
        <w:rPr>
          <w:rFonts w:ascii="Times New Roman" w:hAnsi="Times New Roman" w:cs="Times New Roman"/>
          <w:sz w:val="24"/>
          <w:szCs w:val="24"/>
          <w:lang w:val="en-US"/>
        </w:rPr>
        <w:t xml:space="preserve">, in </w:t>
      </w:r>
      <w:r w:rsidRPr="001F1A80">
        <w:rPr>
          <w:rFonts w:ascii="Times New Roman" w:hAnsi="Times New Roman" w:cs="Times New Roman"/>
          <w:i/>
          <w:iCs/>
          <w:sz w:val="24"/>
          <w:szCs w:val="24"/>
          <w:lang w:val="en-US"/>
        </w:rPr>
        <w:t>Energies</w:t>
      </w:r>
      <w:r w:rsidRPr="001F1A80">
        <w:rPr>
          <w:rFonts w:ascii="Times New Roman" w:hAnsi="Times New Roman" w:cs="Times New Roman"/>
          <w:sz w:val="24"/>
          <w:szCs w:val="24"/>
          <w:lang w:val="en-US"/>
        </w:rPr>
        <w:t xml:space="preserve">, 2023. </w:t>
      </w:r>
    </w:p>
    <w:p w14:paraId="5CC001E7" w14:textId="29305A8E"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S. KESSELRING</w:t>
      </w:r>
      <w:r w:rsidRPr="001F1A80">
        <w:rPr>
          <w:rFonts w:ascii="Times New Roman" w:hAnsi="Times New Roman" w:cs="Times New Roman"/>
          <w:sz w:val="24"/>
          <w:szCs w:val="24"/>
          <w:lang w:val="en-US"/>
        </w:rPr>
        <w:t xml:space="preserve">, S. SEEBAUER, S. SKARDELLY, L. NAD, S. PREUß, </w:t>
      </w:r>
      <w:r w:rsidRPr="001F1A80">
        <w:rPr>
          <w:rFonts w:ascii="Times New Roman" w:hAnsi="Times New Roman" w:cs="Times New Roman"/>
          <w:i/>
          <w:iCs/>
          <w:sz w:val="24"/>
          <w:szCs w:val="24"/>
          <w:lang w:val="en-US"/>
        </w:rPr>
        <w:t>Slashing the Surplus: How Prosumers with Smart Metering Respond to Regulatory Restrictions on Self-Consumption</w:t>
      </w:r>
      <w:r w:rsidRPr="001F1A80">
        <w:rPr>
          <w:rFonts w:ascii="Times New Roman" w:hAnsi="Times New Roman" w:cs="Times New Roman"/>
          <w:sz w:val="24"/>
          <w:szCs w:val="24"/>
          <w:lang w:val="en-US"/>
        </w:rPr>
        <w:t xml:space="preserve">, in </w:t>
      </w:r>
      <w:r w:rsidRPr="001F1A80">
        <w:rPr>
          <w:rFonts w:ascii="Times New Roman" w:hAnsi="Times New Roman" w:cs="Times New Roman"/>
          <w:i/>
          <w:iCs/>
          <w:sz w:val="24"/>
          <w:szCs w:val="24"/>
          <w:lang w:val="en-US"/>
        </w:rPr>
        <w:t>Energy Efficiency</w:t>
      </w:r>
      <w:r w:rsidRPr="001F1A80">
        <w:rPr>
          <w:rFonts w:ascii="Times New Roman" w:hAnsi="Times New Roman" w:cs="Times New Roman"/>
          <w:sz w:val="24"/>
          <w:szCs w:val="24"/>
          <w:lang w:val="en-US"/>
        </w:rPr>
        <w:t xml:space="preserve">, 2024. </w:t>
      </w:r>
    </w:p>
    <w:p w14:paraId="4D15DCEC" w14:textId="12D21B7B"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L. LA ROSA</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Discrezionalità della p.a. e principio di proporzionalità nell’applicazione delle cause di esclusione</w:t>
      </w:r>
      <w:r w:rsidRPr="001F1A80">
        <w:rPr>
          <w:rFonts w:ascii="Times New Roman" w:hAnsi="Times New Roman" w:cs="Times New Roman"/>
          <w:sz w:val="24"/>
          <w:szCs w:val="24"/>
        </w:rPr>
        <w:t xml:space="preserve">, in </w:t>
      </w:r>
      <w:proofErr w:type="spellStart"/>
      <w:r w:rsidRPr="001F1A80">
        <w:rPr>
          <w:rFonts w:ascii="Times New Roman" w:hAnsi="Times New Roman" w:cs="Times New Roman"/>
          <w:i/>
          <w:iCs/>
          <w:sz w:val="24"/>
          <w:szCs w:val="24"/>
        </w:rPr>
        <w:t>Urb</w:t>
      </w:r>
      <w:proofErr w:type="spellEnd"/>
      <w:r w:rsidRPr="001F1A80">
        <w:rPr>
          <w:rFonts w:ascii="Times New Roman" w:hAnsi="Times New Roman" w:cs="Times New Roman"/>
          <w:i/>
          <w:iCs/>
          <w:sz w:val="24"/>
          <w:szCs w:val="24"/>
        </w:rPr>
        <w:t>. e app.</w:t>
      </w:r>
      <w:r w:rsidRPr="001F1A80">
        <w:rPr>
          <w:rFonts w:ascii="Times New Roman" w:hAnsi="Times New Roman" w:cs="Times New Roman"/>
          <w:sz w:val="24"/>
          <w:szCs w:val="24"/>
        </w:rPr>
        <w:t xml:space="preserve">, 2019, p. 774. </w:t>
      </w:r>
    </w:p>
    <w:p w14:paraId="5AC93A0D" w14:textId="19CCCF2C"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N. LUHMANN</w:t>
      </w:r>
      <w:r w:rsidRPr="001F1A80">
        <w:rPr>
          <w:rFonts w:ascii="Times New Roman" w:hAnsi="Times New Roman" w:cs="Times New Roman"/>
          <w:sz w:val="24"/>
          <w:szCs w:val="24"/>
        </w:rPr>
        <w:t xml:space="preserve">, R. DE GIORGI, </w:t>
      </w:r>
      <w:r w:rsidRPr="001F1A80">
        <w:rPr>
          <w:rFonts w:ascii="Times New Roman" w:hAnsi="Times New Roman" w:cs="Times New Roman"/>
          <w:i/>
          <w:iCs/>
          <w:sz w:val="24"/>
          <w:szCs w:val="24"/>
        </w:rPr>
        <w:t>Teoria della società</w:t>
      </w:r>
      <w:r w:rsidRPr="001F1A80">
        <w:rPr>
          <w:rFonts w:ascii="Times New Roman" w:hAnsi="Times New Roman" w:cs="Times New Roman"/>
          <w:sz w:val="24"/>
          <w:szCs w:val="24"/>
        </w:rPr>
        <w:t xml:space="preserve">, Milano, 1992. </w:t>
      </w:r>
    </w:p>
    <w:p w14:paraId="54FC515C" w14:textId="77777777" w:rsid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S. MASINI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“Transizione ecologica” dell’agricoltura</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Dir. agroalimentare</w:t>
      </w:r>
      <w:r w:rsidRPr="001F1A80">
        <w:rPr>
          <w:rFonts w:ascii="Times New Roman" w:hAnsi="Times New Roman" w:cs="Times New Roman"/>
          <w:sz w:val="24"/>
          <w:szCs w:val="24"/>
        </w:rPr>
        <w:t xml:space="preserve">, 2022, p. 45 ss. </w:t>
      </w:r>
    </w:p>
    <w:p w14:paraId="4136197E" w14:textId="6ECA2B75"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B.G. MATTARELLA</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problema della povertà nel diritto amministrativo</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Riv. trim. dir. pubbl.</w:t>
      </w:r>
      <w:r w:rsidRPr="001F1A80">
        <w:rPr>
          <w:rFonts w:ascii="Times New Roman" w:hAnsi="Times New Roman" w:cs="Times New Roman"/>
          <w:sz w:val="24"/>
          <w:szCs w:val="24"/>
        </w:rPr>
        <w:t xml:space="preserve">, 2012, 2, p. 359; id., </w:t>
      </w:r>
      <w:r w:rsidRPr="001F1A80">
        <w:rPr>
          <w:rFonts w:ascii="Times New Roman" w:hAnsi="Times New Roman" w:cs="Times New Roman"/>
          <w:i/>
          <w:iCs/>
          <w:sz w:val="24"/>
          <w:szCs w:val="24"/>
        </w:rPr>
        <w:t>La tutela contro la povertà in Italia</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 xml:space="preserve">Riv. </w:t>
      </w:r>
      <w:proofErr w:type="spellStart"/>
      <w:r w:rsidRPr="001F1A80">
        <w:rPr>
          <w:rFonts w:ascii="Times New Roman" w:hAnsi="Times New Roman" w:cs="Times New Roman"/>
          <w:i/>
          <w:iCs/>
          <w:sz w:val="24"/>
          <w:szCs w:val="24"/>
        </w:rPr>
        <w:t>it</w:t>
      </w:r>
      <w:proofErr w:type="spellEnd"/>
      <w:r w:rsidRPr="001F1A80">
        <w:rPr>
          <w:rFonts w:ascii="Times New Roman" w:hAnsi="Times New Roman" w:cs="Times New Roman"/>
          <w:i/>
          <w:iCs/>
          <w:sz w:val="24"/>
          <w:szCs w:val="24"/>
        </w:rPr>
        <w:t>. sc. giur.</w:t>
      </w:r>
      <w:r w:rsidRPr="001F1A80">
        <w:rPr>
          <w:rFonts w:ascii="Times New Roman" w:hAnsi="Times New Roman" w:cs="Times New Roman"/>
          <w:sz w:val="24"/>
          <w:szCs w:val="24"/>
        </w:rPr>
        <w:t xml:space="preserve">, 2020, 11, p. 283. </w:t>
      </w:r>
    </w:p>
    <w:p w14:paraId="344BAAE4" w14:textId="77777777" w:rsid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MAZZUCATO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valore di tutto</w:t>
      </w:r>
      <w:r w:rsidRPr="001F1A80">
        <w:rPr>
          <w:rFonts w:ascii="Times New Roman" w:hAnsi="Times New Roman" w:cs="Times New Roman"/>
          <w:sz w:val="24"/>
          <w:szCs w:val="24"/>
        </w:rPr>
        <w:t xml:space="preserve">, Roma, 2018; id., </w:t>
      </w:r>
      <w:r w:rsidRPr="001F1A80">
        <w:rPr>
          <w:rFonts w:ascii="Times New Roman" w:hAnsi="Times New Roman" w:cs="Times New Roman"/>
          <w:i/>
          <w:iCs/>
          <w:sz w:val="24"/>
          <w:szCs w:val="24"/>
        </w:rPr>
        <w:t>Missione economia</w:t>
      </w:r>
      <w:r w:rsidRPr="001F1A80">
        <w:rPr>
          <w:rFonts w:ascii="Times New Roman" w:hAnsi="Times New Roman" w:cs="Times New Roman"/>
          <w:sz w:val="24"/>
          <w:szCs w:val="24"/>
        </w:rPr>
        <w:t xml:space="preserve">, Bari, 2021. </w:t>
      </w:r>
    </w:p>
    <w:p w14:paraId="270FAAC1" w14:textId="77777777" w:rsid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C. MARI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Le comunità energetiche: un nuovo modello di collaborazione pubblico-privato</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Federalismi.it</w:t>
      </w:r>
      <w:r w:rsidRPr="001F1A80">
        <w:rPr>
          <w:rFonts w:ascii="Times New Roman" w:hAnsi="Times New Roman" w:cs="Times New Roman"/>
          <w:sz w:val="24"/>
          <w:szCs w:val="24"/>
        </w:rPr>
        <w:t xml:space="preserve">, 2022, 29, p. 124. </w:t>
      </w:r>
    </w:p>
    <w:p w14:paraId="66B8A9EA" w14:textId="6CDE4BD2"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R. MICCÙ</w:t>
      </w:r>
      <w:r w:rsidRPr="001F1A80">
        <w:rPr>
          <w:rFonts w:ascii="Times New Roman" w:hAnsi="Times New Roman" w:cs="Times New Roman"/>
          <w:sz w:val="24"/>
          <w:szCs w:val="24"/>
        </w:rPr>
        <w:t xml:space="preserve">, M. BERNARDI, </w:t>
      </w:r>
      <w:r w:rsidRPr="001F1A80">
        <w:rPr>
          <w:rFonts w:ascii="Times New Roman" w:hAnsi="Times New Roman" w:cs="Times New Roman"/>
          <w:i/>
          <w:iCs/>
          <w:sz w:val="24"/>
          <w:szCs w:val="24"/>
        </w:rPr>
        <w:t>Premesse ad uno studio sulle energy communities</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Federalismi</w:t>
      </w:r>
      <w:r w:rsidRPr="001F1A80">
        <w:rPr>
          <w:rFonts w:ascii="Times New Roman" w:hAnsi="Times New Roman" w:cs="Times New Roman"/>
          <w:sz w:val="24"/>
          <w:szCs w:val="24"/>
        </w:rPr>
        <w:t xml:space="preserve">, 2022, p. 603; id., </w:t>
      </w:r>
      <w:r w:rsidRPr="001F1A80">
        <w:rPr>
          <w:rFonts w:ascii="Times New Roman" w:hAnsi="Times New Roman" w:cs="Times New Roman"/>
          <w:i/>
          <w:iCs/>
          <w:sz w:val="24"/>
          <w:szCs w:val="24"/>
        </w:rPr>
        <w:t>Lineamenti di diritto europeo dell’energia. Nuovi paradigmi di regolazione e governo multilivello</w:t>
      </w:r>
      <w:r w:rsidRPr="001F1A80">
        <w:rPr>
          <w:rFonts w:ascii="Times New Roman" w:hAnsi="Times New Roman" w:cs="Times New Roman"/>
          <w:sz w:val="24"/>
          <w:szCs w:val="24"/>
        </w:rPr>
        <w:t xml:space="preserve">, op. cit., pp. 177-183. </w:t>
      </w:r>
    </w:p>
    <w:p w14:paraId="555B7037" w14:textId="4349687B"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MELI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Autoconsumo di energia rinnovabile e nuove forme di energy sharing</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Nuove leggi civ. comm.</w:t>
      </w:r>
      <w:r w:rsidRPr="001F1A80">
        <w:rPr>
          <w:rFonts w:ascii="Times New Roman" w:hAnsi="Times New Roman" w:cs="Times New Roman"/>
          <w:sz w:val="24"/>
          <w:szCs w:val="24"/>
        </w:rPr>
        <w:t xml:space="preserve">, 2020, 3, p. 633. </w:t>
      </w:r>
    </w:p>
    <w:p w14:paraId="2FECD1A3" w14:textId="0A86FC47"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A. MOLITERNI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Green Deal europeo e le sfide per il diritto dell’ambiente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 xml:space="preserve">Riv. </w:t>
      </w:r>
      <w:proofErr w:type="spellStart"/>
      <w:r w:rsidRPr="001F1A80">
        <w:rPr>
          <w:rFonts w:ascii="Times New Roman" w:hAnsi="Times New Roman" w:cs="Times New Roman"/>
          <w:i/>
          <w:iCs/>
          <w:sz w:val="24"/>
          <w:szCs w:val="24"/>
        </w:rPr>
        <w:t>Quadr</w:t>
      </w:r>
      <w:proofErr w:type="spellEnd"/>
      <w:r w:rsidRPr="001F1A80">
        <w:rPr>
          <w:rFonts w:ascii="Times New Roman" w:hAnsi="Times New Roman" w:cs="Times New Roman"/>
          <w:i/>
          <w:iCs/>
          <w:sz w:val="24"/>
          <w:szCs w:val="24"/>
        </w:rPr>
        <w:t xml:space="preserve">. Dir. </w:t>
      </w:r>
      <w:proofErr w:type="spellStart"/>
      <w:r w:rsidRPr="001F1A80">
        <w:rPr>
          <w:rFonts w:ascii="Times New Roman" w:hAnsi="Times New Roman" w:cs="Times New Roman"/>
          <w:i/>
          <w:iCs/>
          <w:sz w:val="24"/>
          <w:szCs w:val="24"/>
        </w:rPr>
        <w:t>Amb</w:t>
      </w:r>
      <w:proofErr w:type="spellEnd"/>
      <w:r w:rsidRPr="001F1A80">
        <w:rPr>
          <w:rFonts w:ascii="Times New Roman" w:hAnsi="Times New Roman" w:cs="Times New Roman"/>
          <w:i/>
          <w:iCs/>
          <w:sz w:val="24"/>
          <w:szCs w:val="24"/>
        </w:rPr>
        <w:t>.</w:t>
      </w:r>
      <w:r w:rsidRPr="001F1A80">
        <w:rPr>
          <w:rFonts w:ascii="Times New Roman" w:hAnsi="Times New Roman" w:cs="Times New Roman"/>
          <w:sz w:val="24"/>
          <w:szCs w:val="24"/>
        </w:rPr>
        <w:t xml:space="preserve">, 2021, 1, p. 4 ss.; id., </w:t>
      </w:r>
      <w:r w:rsidRPr="001F1A80">
        <w:rPr>
          <w:rFonts w:ascii="Times New Roman" w:hAnsi="Times New Roman" w:cs="Times New Roman"/>
          <w:i/>
          <w:iCs/>
          <w:sz w:val="24"/>
          <w:szCs w:val="24"/>
        </w:rPr>
        <w:t xml:space="preserve">Antitrust e ambiente ai tempi del Green </w:t>
      </w:r>
      <w:proofErr w:type="spellStart"/>
      <w:r w:rsidRPr="001F1A80">
        <w:rPr>
          <w:rFonts w:ascii="Times New Roman" w:hAnsi="Times New Roman" w:cs="Times New Roman"/>
          <w:i/>
          <w:iCs/>
          <w:sz w:val="24"/>
          <w:szCs w:val="24"/>
        </w:rPr>
        <w:t>Deal</w:t>
      </w:r>
      <w:proofErr w:type="spellEnd"/>
      <w:r w:rsidRPr="001F1A80">
        <w:rPr>
          <w:rFonts w:ascii="Times New Roman" w:hAnsi="Times New Roman" w:cs="Times New Roman"/>
          <w:sz w:val="24"/>
          <w:szCs w:val="24"/>
        </w:rPr>
        <w:t xml:space="preserve">, in </w:t>
      </w:r>
      <w:proofErr w:type="spellStart"/>
      <w:r w:rsidRPr="001F1A80">
        <w:rPr>
          <w:rFonts w:ascii="Times New Roman" w:hAnsi="Times New Roman" w:cs="Times New Roman"/>
          <w:i/>
          <w:iCs/>
          <w:sz w:val="24"/>
          <w:szCs w:val="24"/>
        </w:rPr>
        <w:t>Giorn</w:t>
      </w:r>
      <w:proofErr w:type="spellEnd"/>
      <w:r w:rsidRPr="001F1A80">
        <w:rPr>
          <w:rFonts w:ascii="Times New Roman" w:hAnsi="Times New Roman" w:cs="Times New Roman"/>
          <w:i/>
          <w:iCs/>
          <w:sz w:val="24"/>
          <w:szCs w:val="24"/>
        </w:rPr>
        <w:t xml:space="preserve">. dir. </w:t>
      </w:r>
      <w:proofErr w:type="spellStart"/>
      <w:r w:rsidRPr="001F1A80">
        <w:rPr>
          <w:rFonts w:ascii="Times New Roman" w:hAnsi="Times New Roman" w:cs="Times New Roman"/>
          <w:i/>
          <w:iCs/>
          <w:sz w:val="24"/>
          <w:szCs w:val="24"/>
        </w:rPr>
        <w:t>amm</w:t>
      </w:r>
      <w:proofErr w:type="spellEnd"/>
      <w:r w:rsidRPr="001F1A80">
        <w:rPr>
          <w:rFonts w:ascii="Times New Roman" w:hAnsi="Times New Roman" w:cs="Times New Roman"/>
          <w:i/>
          <w:iCs/>
          <w:sz w:val="24"/>
          <w:szCs w:val="24"/>
        </w:rPr>
        <w:t>.</w:t>
      </w:r>
      <w:r w:rsidRPr="001F1A80">
        <w:rPr>
          <w:rFonts w:ascii="Times New Roman" w:hAnsi="Times New Roman" w:cs="Times New Roman"/>
          <w:sz w:val="24"/>
          <w:szCs w:val="24"/>
        </w:rPr>
        <w:t xml:space="preserve">, 2021, p. 354 ss.; id., </w:t>
      </w:r>
      <w:r w:rsidRPr="001F1A80">
        <w:rPr>
          <w:rFonts w:ascii="Times New Roman" w:hAnsi="Times New Roman" w:cs="Times New Roman"/>
          <w:i/>
          <w:iCs/>
          <w:sz w:val="24"/>
          <w:szCs w:val="24"/>
        </w:rPr>
        <w:t>Il Ministero della transizione ecologica</w:t>
      </w:r>
      <w:r w:rsidRPr="001F1A80">
        <w:rPr>
          <w:rFonts w:ascii="Times New Roman" w:hAnsi="Times New Roman" w:cs="Times New Roman"/>
          <w:sz w:val="24"/>
          <w:szCs w:val="24"/>
        </w:rPr>
        <w:t xml:space="preserve">, in </w:t>
      </w:r>
      <w:proofErr w:type="spellStart"/>
      <w:r w:rsidRPr="001F1A80">
        <w:rPr>
          <w:rFonts w:ascii="Times New Roman" w:hAnsi="Times New Roman" w:cs="Times New Roman"/>
          <w:i/>
          <w:iCs/>
          <w:sz w:val="24"/>
          <w:szCs w:val="24"/>
        </w:rPr>
        <w:t>Giorn</w:t>
      </w:r>
      <w:proofErr w:type="spellEnd"/>
      <w:r w:rsidRPr="001F1A80">
        <w:rPr>
          <w:rFonts w:ascii="Times New Roman" w:hAnsi="Times New Roman" w:cs="Times New Roman"/>
          <w:i/>
          <w:iCs/>
          <w:sz w:val="24"/>
          <w:szCs w:val="24"/>
        </w:rPr>
        <w:t xml:space="preserve">. dir. </w:t>
      </w:r>
      <w:proofErr w:type="spellStart"/>
      <w:r w:rsidRPr="001F1A80">
        <w:rPr>
          <w:rFonts w:ascii="Times New Roman" w:hAnsi="Times New Roman" w:cs="Times New Roman"/>
          <w:i/>
          <w:iCs/>
          <w:sz w:val="24"/>
          <w:szCs w:val="24"/>
        </w:rPr>
        <w:t>amm</w:t>
      </w:r>
      <w:proofErr w:type="spellEnd"/>
      <w:r w:rsidRPr="001F1A80">
        <w:rPr>
          <w:rFonts w:ascii="Times New Roman" w:hAnsi="Times New Roman" w:cs="Times New Roman"/>
          <w:i/>
          <w:iCs/>
          <w:sz w:val="24"/>
          <w:szCs w:val="24"/>
        </w:rPr>
        <w:t>.</w:t>
      </w:r>
      <w:r w:rsidRPr="001F1A80">
        <w:rPr>
          <w:rFonts w:ascii="Times New Roman" w:hAnsi="Times New Roman" w:cs="Times New Roman"/>
          <w:sz w:val="24"/>
          <w:szCs w:val="24"/>
        </w:rPr>
        <w:t xml:space="preserve">, 2021, p. 439 ss.; id., </w:t>
      </w:r>
      <w:r w:rsidRPr="001F1A80">
        <w:rPr>
          <w:rFonts w:ascii="Times New Roman" w:hAnsi="Times New Roman" w:cs="Times New Roman"/>
          <w:i/>
          <w:iCs/>
          <w:sz w:val="24"/>
          <w:szCs w:val="24"/>
        </w:rPr>
        <w:t>Transizione ecologica, ordine economico e sistema amministrativo</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Riv. Dir. Comparati</w:t>
      </w:r>
      <w:r w:rsidRPr="001F1A80">
        <w:rPr>
          <w:rFonts w:ascii="Times New Roman" w:hAnsi="Times New Roman" w:cs="Times New Roman"/>
          <w:sz w:val="24"/>
          <w:szCs w:val="24"/>
        </w:rPr>
        <w:t xml:space="preserve">, 2022, p. 408; id., </w:t>
      </w:r>
      <w:r w:rsidRPr="001F1A80">
        <w:rPr>
          <w:rFonts w:ascii="Times New Roman" w:hAnsi="Times New Roman" w:cs="Times New Roman"/>
          <w:i/>
          <w:iCs/>
          <w:sz w:val="24"/>
          <w:szCs w:val="24"/>
        </w:rPr>
        <w:t>La sfida ambientale e il ruolo dei pubblici poteri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 xml:space="preserve">Riv. Quad. Dir. </w:t>
      </w:r>
      <w:proofErr w:type="spellStart"/>
      <w:r w:rsidRPr="001F1A80">
        <w:rPr>
          <w:rFonts w:ascii="Times New Roman" w:hAnsi="Times New Roman" w:cs="Times New Roman"/>
          <w:i/>
          <w:iCs/>
          <w:sz w:val="24"/>
          <w:szCs w:val="24"/>
        </w:rPr>
        <w:t>Amb</w:t>
      </w:r>
      <w:proofErr w:type="spellEnd"/>
      <w:r w:rsidRPr="001F1A80">
        <w:rPr>
          <w:rFonts w:ascii="Times New Roman" w:hAnsi="Times New Roman" w:cs="Times New Roman"/>
          <w:i/>
          <w:iCs/>
          <w:sz w:val="24"/>
          <w:szCs w:val="24"/>
        </w:rPr>
        <w:t>.</w:t>
      </w:r>
      <w:r w:rsidRPr="001F1A80">
        <w:rPr>
          <w:rFonts w:ascii="Times New Roman" w:hAnsi="Times New Roman" w:cs="Times New Roman"/>
          <w:sz w:val="24"/>
          <w:szCs w:val="24"/>
        </w:rPr>
        <w:t xml:space="preserve">, 2020, p. 32 ss. </w:t>
      </w:r>
    </w:p>
    <w:p w14:paraId="2B332405" w14:textId="705B2A74"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A. MOLITERNI</w:t>
      </w:r>
      <w:r w:rsidRPr="001F1A80">
        <w:rPr>
          <w:rFonts w:ascii="Times New Roman" w:hAnsi="Times New Roman" w:cs="Times New Roman"/>
          <w:sz w:val="24"/>
          <w:szCs w:val="24"/>
        </w:rPr>
        <w:t xml:space="preserve">, S. PELLIZZARI, </w:t>
      </w:r>
      <w:r w:rsidRPr="001F1A80">
        <w:rPr>
          <w:rFonts w:ascii="Times New Roman" w:hAnsi="Times New Roman" w:cs="Times New Roman"/>
          <w:i/>
          <w:iCs/>
          <w:sz w:val="24"/>
          <w:szCs w:val="24"/>
        </w:rPr>
        <w:t>La riserva di attività economiche alle comunità di lavoratori o utenti</w:t>
      </w:r>
      <w:r w:rsidRPr="001F1A80">
        <w:rPr>
          <w:rFonts w:ascii="Times New Roman" w:hAnsi="Times New Roman" w:cs="Times New Roman"/>
          <w:sz w:val="24"/>
          <w:szCs w:val="24"/>
        </w:rPr>
        <w:t xml:space="preserve">, in S. Cassese (a cura di), </w:t>
      </w:r>
      <w:r w:rsidRPr="001F1A80">
        <w:rPr>
          <w:rFonts w:ascii="Times New Roman" w:hAnsi="Times New Roman" w:cs="Times New Roman"/>
          <w:i/>
          <w:iCs/>
          <w:sz w:val="24"/>
          <w:szCs w:val="24"/>
        </w:rPr>
        <w:t>La Costituzione dimenticata</w:t>
      </w:r>
      <w:r w:rsidRPr="001F1A80">
        <w:rPr>
          <w:rFonts w:ascii="Times New Roman" w:hAnsi="Times New Roman" w:cs="Times New Roman"/>
          <w:sz w:val="24"/>
          <w:szCs w:val="24"/>
        </w:rPr>
        <w:t xml:space="preserve">, Milano, 2021, p. 243 ss. </w:t>
      </w:r>
    </w:p>
    <w:p w14:paraId="63F9AA6F" w14:textId="4F930932"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P.A. MORI</w:t>
      </w:r>
      <w:r w:rsidRPr="001F1A80">
        <w:rPr>
          <w:rFonts w:ascii="Times New Roman" w:hAnsi="Times New Roman" w:cs="Times New Roman"/>
          <w:sz w:val="24"/>
          <w:szCs w:val="24"/>
        </w:rPr>
        <w:t xml:space="preserve">, J. SFORZI (a cura di), </w:t>
      </w:r>
      <w:r w:rsidRPr="001F1A80">
        <w:rPr>
          <w:rFonts w:ascii="Times New Roman" w:hAnsi="Times New Roman" w:cs="Times New Roman"/>
          <w:i/>
          <w:iCs/>
          <w:sz w:val="24"/>
          <w:szCs w:val="24"/>
        </w:rPr>
        <w:t>Imprese di comunità</w:t>
      </w:r>
      <w:r w:rsidRPr="001F1A80">
        <w:rPr>
          <w:rFonts w:ascii="Times New Roman" w:hAnsi="Times New Roman" w:cs="Times New Roman"/>
          <w:sz w:val="24"/>
          <w:szCs w:val="24"/>
        </w:rPr>
        <w:t xml:space="preserve">, Bologna, 2018. </w:t>
      </w:r>
    </w:p>
    <w:p w14:paraId="7C0C3D43" w14:textId="56D49E6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NICO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Associazioni non riconosciute e PA</w:t>
      </w:r>
      <w:r w:rsidRPr="001F1A80">
        <w:rPr>
          <w:rFonts w:ascii="Times New Roman" w:hAnsi="Times New Roman" w:cs="Times New Roman"/>
          <w:sz w:val="24"/>
          <w:szCs w:val="24"/>
        </w:rPr>
        <w:t xml:space="preserve">, 2019. </w:t>
      </w:r>
    </w:p>
    <w:p w14:paraId="7C97247A" w14:textId="35CE9E94"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lastRenderedPageBreak/>
        <w:t>C. MILLON DELSOL</w:t>
      </w:r>
      <w:r w:rsidRPr="001F1A80">
        <w:rPr>
          <w:rFonts w:ascii="Times New Roman" w:hAnsi="Times New Roman" w:cs="Times New Roman"/>
          <w:sz w:val="24"/>
          <w:szCs w:val="24"/>
        </w:rPr>
        <w:t xml:space="preserve">, </w:t>
      </w:r>
      <w:proofErr w:type="gramStart"/>
      <w:r w:rsidRPr="001F1A80">
        <w:rPr>
          <w:rFonts w:ascii="Times New Roman" w:hAnsi="Times New Roman" w:cs="Times New Roman"/>
          <w:i/>
          <w:iCs/>
          <w:sz w:val="24"/>
          <w:szCs w:val="24"/>
        </w:rPr>
        <w:t>Le principe</w:t>
      </w:r>
      <w:proofErr w:type="gramEnd"/>
      <w:r w:rsidRPr="001F1A80">
        <w:rPr>
          <w:rFonts w:ascii="Times New Roman" w:hAnsi="Times New Roman" w:cs="Times New Roman"/>
          <w:i/>
          <w:iCs/>
          <w:sz w:val="24"/>
          <w:szCs w:val="24"/>
        </w:rPr>
        <w:t xml:space="preserve"> de </w:t>
      </w:r>
      <w:proofErr w:type="spellStart"/>
      <w:r w:rsidRPr="001F1A80">
        <w:rPr>
          <w:rFonts w:ascii="Times New Roman" w:hAnsi="Times New Roman" w:cs="Times New Roman"/>
          <w:i/>
          <w:iCs/>
          <w:sz w:val="24"/>
          <w:szCs w:val="24"/>
        </w:rPr>
        <w:t>subsidiarité</w:t>
      </w:r>
      <w:proofErr w:type="spellEnd"/>
      <w:r w:rsidRPr="001F1A80">
        <w:rPr>
          <w:rFonts w:ascii="Times New Roman" w:hAnsi="Times New Roman" w:cs="Times New Roman"/>
          <w:sz w:val="24"/>
          <w:szCs w:val="24"/>
        </w:rPr>
        <w:t xml:space="preserve">, PUF, 1993; id., </w:t>
      </w:r>
      <w:r w:rsidRPr="001F1A80">
        <w:rPr>
          <w:rFonts w:ascii="Times New Roman" w:hAnsi="Times New Roman" w:cs="Times New Roman"/>
          <w:i/>
          <w:iCs/>
          <w:sz w:val="24"/>
          <w:szCs w:val="24"/>
        </w:rPr>
        <w:t>Lo Stato della sussidiarietà</w:t>
      </w:r>
      <w:r w:rsidRPr="001F1A80">
        <w:rPr>
          <w:rFonts w:ascii="Times New Roman" w:hAnsi="Times New Roman" w:cs="Times New Roman"/>
          <w:sz w:val="24"/>
          <w:szCs w:val="24"/>
        </w:rPr>
        <w:t xml:space="preserve">, CEL, 1995. </w:t>
      </w:r>
    </w:p>
    <w:p w14:paraId="4D5F6750" w14:textId="52A66B95"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C. NEGRI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principio di sussidiarietà nella politica e nel sociale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Tramontana</w:t>
      </w:r>
      <w:r w:rsidRPr="001F1A80">
        <w:rPr>
          <w:rFonts w:ascii="Times New Roman" w:hAnsi="Times New Roman" w:cs="Times New Roman"/>
          <w:sz w:val="24"/>
          <w:szCs w:val="24"/>
        </w:rPr>
        <w:t xml:space="preserve">, 1994. </w:t>
      </w:r>
    </w:p>
    <w:p w14:paraId="600B3FCD" w14:textId="557A0879"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M. NIPPER</w:t>
      </w:r>
      <w:r w:rsidRPr="001F1A80">
        <w:rPr>
          <w:rFonts w:ascii="Times New Roman" w:hAnsi="Times New Roman" w:cs="Times New Roman"/>
          <w:sz w:val="24"/>
          <w:szCs w:val="24"/>
          <w:lang w:val="en-US"/>
        </w:rPr>
        <w:t xml:space="preserve">, A. OSTERMAIER, J. THEIS, </w:t>
      </w:r>
      <w:r w:rsidRPr="001F1A80">
        <w:rPr>
          <w:rFonts w:ascii="Times New Roman" w:hAnsi="Times New Roman" w:cs="Times New Roman"/>
          <w:i/>
          <w:iCs/>
          <w:sz w:val="24"/>
          <w:szCs w:val="24"/>
          <w:lang w:val="en-US"/>
        </w:rPr>
        <w:t>Mandatory Disclosure of Standardized Sustainability Metrics: The Case of the EU Taxonomy Regulation</w:t>
      </w:r>
      <w:r w:rsidRPr="001F1A80">
        <w:rPr>
          <w:rFonts w:ascii="Times New Roman" w:hAnsi="Times New Roman" w:cs="Times New Roman"/>
          <w:sz w:val="24"/>
          <w:szCs w:val="24"/>
          <w:lang w:val="en-US"/>
        </w:rPr>
        <w:t xml:space="preserve">, 2022. </w:t>
      </w:r>
    </w:p>
    <w:p w14:paraId="2A9B9036" w14:textId="45A3DF86"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A.I. OGUS</w:t>
      </w:r>
      <w:r w:rsidRPr="001F1A80">
        <w:rPr>
          <w:rFonts w:ascii="Times New Roman" w:hAnsi="Times New Roman" w:cs="Times New Roman"/>
          <w:sz w:val="24"/>
          <w:szCs w:val="24"/>
          <w:lang w:val="en-US"/>
        </w:rPr>
        <w:t xml:space="preserve">, </w:t>
      </w:r>
      <w:r w:rsidRPr="001F1A80">
        <w:rPr>
          <w:rFonts w:ascii="Times New Roman" w:hAnsi="Times New Roman" w:cs="Times New Roman"/>
          <w:i/>
          <w:iCs/>
          <w:sz w:val="24"/>
          <w:szCs w:val="24"/>
          <w:lang w:val="en-US"/>
        </w:rPr>
        <w:t>Introduction</w:t>
      </w:r>
      <w:r w:rsidRPr="001F1A80">
        <w:rPr>
          <w:rFonts w:ascii="Times New Roman" w:hAnsi="Times New Roman" w:cs="Times New Roman"/>
          <w:sz w:val="24"/>
          <w:szCs w:val="24"/>
          <w:lang w:val="en-US"/>
        </w:rPr>
        <w:t xml:space="preserve">, in A.I. Ogus (edited by), </w:t>
      </w:r>
      <w:r w:rsidRPr="001F1A80">
        <w:rPr>
          <w:rFonts w:ascii="Times New Roman" w:hAnsi="Times New Roman" w:cs="Times New Roman"/>
          <w:i/>
          <w:iCs/>
          <w:sz w:val="24"/>
          <w:szCs w:val="24"/>
          <w:lang w:val="en-US"/>
        </w:rPr>
        <w:t>Regulation, Economics, and the Law</w:t>
      </w:r>
      <w:r w:rsidRPr="001F1A80">
        <w:rPr>
          <w:rFonts w:ascii="Times New Roman" w:hAnsi="Times New Roman" w:cs="Times New Roman"/>
          <w:sz w:val="24"/>
          <w:szCs w:val="24"/>
          <w:lang w:val="en-US"/>
        </w:rPr>
        <w:t xml:space="preserve">, Edward Elgar Publishing, Cheltenham-Northampton, 2001, p. IX. </w:t>
      </w:r>
    </w:p>
    <w:p w14:paraId="2CF8414F" w14:textId="3AC30227"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A. ORESTANO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 contratti con i consumatori e la direttiva sulle clausole abusive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Rivista critica del diritto privato</w:t>
      </w:r>
      <w:r w:rsidRPr="001F1A80">
        <w:rPr>
          <w:rFonts w:ascii="Times New Roman" w:hAnsi="Times New Roman" w:cs="Times New Roman"/>
          <w:sz w:val="24"/>
          <w:szCs w:val="24"/>
        </w:rPr>
        <w:t xml:space="preserve">, 1992, pp. 467-480. </w:t>
      </w:r>
    </w:p>
    <w:p w14:paraId="4AEE376F" w14:textId="66367047"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L. PALERMO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Sussidiarietà e Costituzione</w:t>
      </w:r>
      <w:r w:rsidRPr="001F1A80">
        <w:rPr>
          <w:rFonts w:ascii="Times New Roman" w:hAnsi="Times New Roman" w:cs="Times New Roman"/>
          <w:sz w:val="24"/>
          <w:szCs w:val="24"/>
        </w:rPr>
        <w:t xml:space="preserve">, Torino, Giappichelli, 2018. </w:t>
      </w:r>
    </w:p>
    <w:p w14:paraId="2FD17EF5" w14:textId="517E3307"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F. PAOLINI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Breve storia dell’ambiente nel Novecento</w:t>
      </w:r>
      <w:r w:rsidRPr="001F1A80">
        <w:rPr>
          <w:rFonts w:ascii="Times New Roman" w:hAnsi="Times New Roman" w:cs="Times New Roman"/>
          <w:sz w:val="24"/>
          <w:szCs w:val="24"/>
        </w:rPr>
        <w:t xml:space="preserve">, Bari, Carocci, 2018. </w:t>
      </w:r>
    </w:p>
    <w:p w14:paraId="13004A7C" w14:textId="71786836"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PASTORI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sussidiarietà “orizzontale” alla prova dei fatti nelle recenti riforme legislative</w:t>
      </w:r>
      <w:r w:rsidRPr="001F1A80">
        <w:rPr>
          <w:rFonts w:ascii="Times New Roman" w:hAnsi="Times New Roman" w:cs="Times New Roman"/>
          <w:sz w:val="24"/>
          <w:szCs w:val="24"/>
        </w:rPr>
        <w:t xml:space="preserve">, in Rinella et al., </w:t>
      </w:r>
      <w:r w:rsidRPr="001F1A80">
        <w:rPr>
          <w:rFonts w:ascii="Times New Roman" w:hAnsi="Times New Roman" w:cs="Times New Roman"/>
          <w:i/>
          <w:iCs/>
          <w:sz w:val="24"/>
          <w:szCs w:val="24"/>
        </w:rPr>
        <w:t>Sussidiarietà e ordinamenti costituzionali</w:t>
      </w:r>
      <w:r w:rsidRPr="001F1A80">
        <w:rPr>
          <w:rFonts w:ascii="Times New Roman" w:hAnsi="Times New Roman" w:cs="Times New Roman"/>
          <w:sz w:val="24"/>
          <w:szCs w:val="24"/>
        </w:rPr>
        <w:t xml:space="preserve">, Padova, CEDAM, 1999. </w:t>
      </w:r>
    </w:p>
    <w:p w14:paraId="0D36237C" w14:textId="3342C333"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S. PATTI</w:t>
      </w:r>
      <w:r w:rsidRPr="001F1A80">
        <w:rPr>
          <w:rFonts w:ascii="Times New Roman" w:hAnsi="Times New Roman" w:cs="Times New Roman"/>
          <w:sz w:val="24"/>
          <w:szCs w:val="24"/>
        </w:rPr>
        <w:t xml:space="preserve">, G. ALPA, </w:t>
      </w:r>
      <w:r w:rsidRPr="001F1A80">
        <w:rPr>
          <w:rFonts w:ascii="Times New Roman" w:hAnsi="Times New Roman" w:cs="Times New Roman"/>
          <w:i/>
          <w:iCs/>
          <w:sz w:val="24"/>
          <w:szCs w:val="24"/>
        </w:rPr>
        <w:t>Le clausole vessatorie nei contratti con i consumatori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Commentario al codice civile</w:t>
      </w:r>
      <w:r w:rsidRPr="001F1A80">
        <w:rPr>
          <w:rFonts w:ascii="Times New Roman" w:hAnsi="Times New Roman" w:cs="Times New Roman"/>
          <w:sz w:val="24"/>
          <w:szCs w:val="24"/>
        </w:rPr>
        <w:t xml:space="preserve">, diretto da P. Schlesinger, Milano, Giuffrè, 2003. </w:t>
      </w:r>
    </w:p>
    <w:p w14:paraId="70FBF481" w14:textId="23473E71"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A. PERSICO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Le comunità energetiche e il ruolo sussidiario delle pubbliche amministrazioni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AmbienteDiritto.it</w:t>
      </w:r>
      <w:r w:rsidRPr="001F1A80">
        <w:rPr>
          <w:rFonts w:ascii="Times New Roman" w:hAnsi="Times New Roman" w:cs="Times New Roman"/>
          <w:sz w:val="24"/>
          <w:szCs w:val="24"/>
        </w:rPr>
        <w:t xml:space="preserve">, 2022, 2, p. 3 ss.; id., </w:t>
      </w:r>
      <w:r w:rsidRPr="001F1A80">
        <w:rPr>
          <w:rFonts w:ascii="Times New Roman" w:hAnsi="Times New Roman" w:cs="Times New Roman"/>
          <w:i/>
          <w:iCs/>
          <w:sz w:val="24"/>
          <w:szCs w:val="24"/>
        </w:rPr>
        <w:t>Le comunità energetiche e il ruolo sussidiario delle pubbliche amministrazioni</w:t>
      </w:r>
      <w:r w:rsidRPr="001F1A80">
        <w:rPr>
          <w:rFonts w:ascii="Times New Roman" w:hAnsi="Times New Roman" w:cs="Times New Roman"/>
          <w:sz w:val="24"/>
          <w:szCs w:val="24"/>
        </w:rPr>
        <w:t xml:space="preserve">, p. 15. </w:t>
      </w:r>
    </w:p>
    <w:p w14:paraId="0CDFFC5E" w14:textId="5F6B4365"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V. PEPE</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Le comunità energetiche come nuovi modelli di sviluppo sostenibile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AmbienteDiritto.it</w:t>
      </w:r>
      <w:r w:rsidRPr="001F1A80">
        <w:rPr>
          <w:rFonts w:ascii="Times New Roman" w:hAnsi="Times New Roman" w:cs="Times New Roman"/>
          <w:sz w:val="24"/>
          <w:szCs w:val="24"/>
        </w:rPr>
        <w:t xml:space="preserve">, 2022, 3, p. 1 ss. </w:t>
      </w:r>
    </w:p>
    <w:p w14:paraId="07E14D3C" w14:textId="3105758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PEPE</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diritto dell’energia fondato sui principi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AmbienteDiritto.it</w:t>
      </w:r>
      <w:r w:rsidRPr="001F1A80">
        <w:rPr>
          <w:rFonts w:ascii="Times New Roman" w:hAnsi="Times New Roman" w:cs="Times New Roman"/>
          <w:sz w:val="24"/>
          <w:szCs w:val="24"/>
        </w:rPr>
        <w:t xml:space="preserve">, 2021, 4. </w:t>
      </w:r>
    </w:p>
    <w:p w14:paraId="695CBB47" w14:textId="397B5F5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PETRACHI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tutela dell’ambiente nel prisma della transizione ecologica</w:t>
      </w:r>
      <w:r w:rsidRPr="001F1A80">
        <w:rPr>
          <w:rFonts w:ascii="Times New Roman" w:hAnsi="Times New Roman" w:cs="Times New Roman"/>
          <w:sz w:val="24"/>
          <w:szCs w:val="24"/>
        </w:rPr>
        <w:t xml:space="preserve">, Torino, 2023. </w:t>
      </w:r>
    </w:p>
    <w:p w14:paraId="258993BF" w14:textId="4D065504"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P. PISTOLESI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Sussidiarietà orizzontale. I servizi alla persona</w:t>
      </w:r>
      <w:r w:rsidRPr="001F1A80">
        <w:rPr>
          <w:rFonts w:ascii="Times New Roman" w:hAnsi="Times New Roman" w:cs="Times New Roman"/>
          <w:sz w:val="24"/>
          <w:szCs w:val="24"/>
        </w:rPr>
        <w:t xml:space="preserve">, Convegno UILP. </w:t>
      </w:r>
    </w:p>
    <w:p w14:paraId="29F5D104" w14:textId="06F85951"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C. PONTING</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Storia verde del mondo</w:t>
      </w:r>
      <w:r w:rsidRPr="001F1A80">
        <w:rPr>
          <w:rFonts w:ascii="Times New Roman" w:hAnsi="Times New Roman" w:cs="Times New Roman"/>
          <w:sz w:val="24"/>
          <w:szCs w:val="24"/>
        </w:rPr>
        <w:t xml:space="preserve">, Torino, SEI, 1992. </w:t>
      </w:r>
    </w:p>
    <w:p w14:paraId="56605CFF" w14:textId="00872A42"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V. POSSENTI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Oltre l’illuminismo</w:t>
      </w:r>
      <w:r w:rsidRPr="001F1A80">
        <w:rPr>
          <w:rFonts w:ascii="Times New Roman" w:hAnsi="Times New Roman" w:cs="Times New Roman"/>
          <w:sz w:val="24"/>
          <w:szCs w:val="24"/>
        </w:rPr>
        <w:t xml:space="preserve">, Cinisello Balsamo, Paoline, 1992. </w:t>
      </w:r>
    </w:p>
    <w:p w14:paraId="49DC749C" w14:textId="5C6CD16F"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P.J. PROUDHON</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capacità politica delle classi operaie</w:t>
      </w:r>
      <w:r w:rsidRPr="001F1A80">
        <w:rPr>
          <w:rFonts w:ascii="Times New Roman" w:hAnsi="Times New Roman" w:cs="Times New Roman"/>
          <w:sz w:val="24"/>
          <w:szCs w:val="24"/>
        </w:rPr>
        <w:t xml:space="preserve">, Il Solco, 1921; id., </w:t>
      </w:r>
      <w:r w:rsidRPr="001F1A80">
        <w:rPr>
          <w:rFonts w:ascii="Times New Roman" w:hAnsi="Times New Roman" w:cs="Times New Roman"/>
          <w:i/>
          <w:iCs/>
          <w:sz w:val="24"/>
          <w:szCs w:val="24"/>
        </w:rPr>
        <w:t>La giustizia nella rivoluzione e nella Chiesa</w:t>
      </w:r>
      <w:r w:rsidRPr="001F1A80">
        <w:rPr>
          <w:rFonts w:ascii="Times New Roman" w:hAnsi="Times New Roman" w:cs="Times New Roman"/>
          <w:sz w:val="24"/>
          <w:szCs w:val="24"/>
        </w:rPr>
        <w:t>, 1968; id</w:t>
      </w:r>
      <w:r w:rsidRPr="001F1A80">
        <w:rPr>
          <w:rFonts w:ascii="Times New Roman" w:hAnsi="Times New Roman" w:cs="Times New Roman"/>
          <w:b/>
          <w:bCs/>
          <w:sz w:val="24"/>
          <w:szCs w:val="24"/>
        </w:rPr>
        <w:t>.</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Del principio federativo</w:t>
      </w:r>
      <w:r w:rsidRPr="001F1A80">
        <w:rPr>
          <w:rFonts w:ascii="Times New Roman" w:hAnsi="Times New Roman" w:cs="Times New Roman"/>
          <w:sz w:val="24"/>
          <w:szCs w:val="24"/>
        </w:rPr>
        <w:t xml:space="preserve">, Mondo Operaio </w:t>
      </w:r>
      <w:proofErr w:type="gramStart"/>
      <w:r w:rsidRPr="001F1A80">
        <w:rPr>
          <w:rFonts w:ascii="Times New Roman" w:hAnsi="Times New Roman" w:cs="Times New Roman"/>
          <w:sz w:val="24"/>
          <w:szCs w:val="24"/>
        </w:rPr>
        <w:t>Avanti!,</w:t>
      </w:r>
      <w:proofErr w:type="gramEnd"/>
      <w:r w:rsidRPr="001F1A80">
        <w:rPr>
          <w:rFonts w:ascii="Times New Roman" w:hAnsi="Times New Roman" w:cs="Times New Roman"/>
          <w:sz w:val="24"/>
          <w:szCs w:val="24"/>
        </w:rPr>
        <w:t xml:space="preserve"> Roma, 1979. </w:t>
      </w:r>
    </w:p>
    <w:p w14:paraId="29725393" w14:textId="55AB76A7"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PIO XI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Quadragesimo Anno</w:t>
      </w:r>
      <w:r w:rsidRPr="001F1A80">
        <w:rPr>
          <w:rFonts w:ascii="Times New Roman" w:hAnsi="Times New Roman" w:cs="Times New Roman"/>
          <w:sz w:val="24"/>
          <w:szCs w:val="24"/>
        </w:rPr>
        <w:t xml:space="preserve">, 1931; id., </w:t>
      </w:r>
      <w:r w:rsidRPr="001F1A80">
        <w:rPr>
          <w:rFonts w:ascii="Times New Roman" w:hAnsi="Times New Roman" w:cs="Times New Roman"/>
          <w:i/>
          <w:iCs/>
          <w:sz w:val="24"/>
          <w:szCs w:val="24"/>
        </w:rPr>
        <w:t>Enciclica Quadragesimo Anno</w:t>
      </w:r>
      <w:r w:rsidRPr="001F1A80">
        <w:rPr>
          <w:rFonts w:ascii="Times New Roman" w:hAnsi="Times New Roman" w:cs="Times New Roman"/>
          <w:sz w:val="24"/>
          <w:szCs w:val="24"/>
        </w:rPr>
        <w:t xml:space="preserve"> (15 maggio 1931). </w:t>
      </w:r>
    </w:p>
    <w:p w14:paraId="21FCEC25" w14:textId="2DF3B61E"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PAOLO VI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Lettera del 24 maggio 1964</w:t>
      </w:r>
      <w:r w:rsidRPr="001F1A80">
        <w:rPr>
          <w:rFonts w:ascii="Times New Roman" w:hAnsi="Times New Roman" w:cs="Times New Roman"/>
          <w:sz w:val="24"/>
          <w:szCs w:val="24"/>
        </w:rPr>
        <w:t xml:space="preserve">. </w:t>
      </w:r>
    </w:p>
    <w:p w14:paraId="7EFC14B0" w14:textId="4C0AC731"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sz w:val="24"/>
          <w:szCs w:val="24"/>
        </w:rPr>
        <w:t xml:space="preserve"> </w:t>
      </w:r>
      <w:r w:rsidRPr="001F1A80">
        <w:rPr>
          <w:rFonts w:ascii="Times New Roman" w:hAnsi="Times New Roman" w:cs="Times New Roman"/>
          <w:b/>
          <w:bCs/>
          <w:sz w:val="24"/>
          <w:szCs w:val="24"/>
        </w:rPr>
        <w:t>A. POLICE</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sussidiarietà tra diritto e morale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Rivista di Filosofia del Diritto</w:t>
      </w:r>
      <w:r w:rsidRPr="001F1A80">
        <w:rPr>
          <w:rFonts w:ascii="Times New Roman" w:hAnsi="Times New Roman" w:cs="Times New Roman"/>
          <w:sz w:val="24"/>
          <w:szCs w:val="24"/>
        </w:rPr>
        <w:t xml:space="preserve">, 2010, pp. 33-55. </w:t>
      </w:r>
    </w:p>
    <w:p w14:paraId="27B2AE8F" w14:textId="54886D81"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G.U. RESCIGNO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Stato sociale e principio di sussidiarietà</w:t>
      </w:r>
      <w:r w:rsidRPr="001F1A80">
        <w:rPr>
          <w:rFonts w:ascii="Times New Roman" w:hAnsi="Times New Roman" w:cs="Times New Roman"/>
          <w:sz w:val="24"/>
          <w:szCs w:val="24"/>
        </w:rPr>
        <w:t xml:space="preserve">, Genova, 2002. </w:t>
      </w:r>
    </w:p>
    <w:p w14:paraId="0CDF58ED" w14:textId="10DDCB61"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lastRenderedPageBreak/>
        <w:t>F. RIGANO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libertà assistita. Associazionismo privato e sostegno pubblico nel sistema costituzionale</w:t>
      </w:r>
      <w:r w:rsidRPr="001F1A80">
        <w:rPr>
          <w:rFonts w:ascii="Times New Roman" w:hAnsi="Times New Roman" w:cs="Times New Roman"/>
          <w:sz w:val="24"/>
          <w:szCs w:val="24"/>
        </w:rPr>
        <w:t xml:space="preserve">, Padova, CEDAM, 1995. </w:t>
      </w:r>
    </w:p>
    <w:p w14:paraId="6F633FAE" w14:textId="27CFEFBA"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V. ROPPO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contratto del consumatore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Europa e diritto privato</w:t>
      </w:r>
      <w:r w:rsidRPr="001F1A80">
        <w:rPr>
          <w:rFonts w:ascii="Times New Roman" w:hAnsi="Times New Roman" w:cs="Times New Roman"/>
          <w:sz w:val="24"/>
          <w:szCs w:val="24"/>
        </w:rPr>
        <w:t xml:space="preserve">, 1998, pp. 1-38. </w:t>
      </w:r>
    </w:p>
    <w:p w14:paraId="4D8EF045" w14:textId="6F2C81D8"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ROSSI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“materializzazione” dell’interesse all’ambiente</w:t>
      </w:r>
      <w:r w:rsidRPr="001F1A80">
        <w:rPr>
          <w:rFonts w:ascii="Times New Roman" w:hAnsi="Times New Roman" w:cs="Times New Roman"/>
          <w:sz w:val="24"/>
          <w:szCs w:val="24"/>
        </w:rPr>
        <w:t xml:space="preserve">, in G. Rossi (a cura di), </w:t>
      </w:r>
      <w:r w:rsidRPr="001F1A80">
        <w:rPr>
          <w:rFonts w:ascii="Times New Roman" w:hAnsi="Times New Roman" w:cs="Times New Roman"/>
          <w:i/>
          <w:iCs/>
          <w:sz w:val="24"/>
          <w:szCs w:val="24"/>
        </w:rPr>
        <w:t>Diritto dell’ambiente</w:t>
      </w:r>
      <w:r w:rsidRPr="001F1A80">
        <w:rPr>
          <w:rFonts w:ascii="Times New Roman" w:hAnsi="Times New Roman" w:cs="Times New Roman"/>
          <w:sz w:val="24"/>
          <w:szCs w:val="24"/>
        </w:rPr>
        <w:t xml:space="preserve">, Torino, Giappichelli, 2017, p. 19 ss. </w:t>
      </w:r>
    </w:p>
    <w:p w14:paraId="7FA45CDB" w14:textId="197E1C0E"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A.M. RIEU</w:t>
      </w:r>
      <w:r w:rsidRPr="001F1A80">
        <w:rPr>
          <w:rFonts w:ascii="Times New Roman" w:hAnsi="Times New Roman" w:cs="Times New Roman"/>
          <w:sz w:val="24"/>
          <w:szCs w:val="24"/>
          <w:lang w:val="en-US"/>
        </w:rPr>
        <w:t xml:space="preserve">, </w:t>
      </w:r>
      <w:r w:rsidRPr="001F1A80">
        <w:rPr>
          <w:rFonts w:ascii="Times New Roman" w:hAnsi="Times New Roman" w:cs="Times New Roman"/>
          <w:i/>
          <w:iCs/>
          <w:sz w:val="24"/>
          <w:szCs w:val="24"/>
          <w:lang w:val="en-US"/>
        </w:rPr>
        <w:t>Managing Knowledge, Governing Society: Social Theory, Research Policy and Environmental Transition</w:t>
      </w:r>
      <w:r w:rsidRPr="001F1A80">
        <w:rPr>
          <w:rFonts w:ascii="Times New Roman" w:hAnsi="Times New Roman" w:cs="Times New Roman"/>
          <w:sz w:val="24"/>
          <w:szCs w:val="24"/>
          <w:lang w:val="en-US"/>
        </w:rPr>
        <w:t xml:space="preserve">, Routledge, Londra, 2021. </w:t>
      </w:r>
    </w:p>
    <w:p w14:paraId="5F8B3CEF" w14:textId="1606FDCF"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J. RAWLS</w:t>
      </w:r>
      <w:r w:rsidRPr="001F1A80">
        <w:rPr>
          <w:rFonts w:ascii="Times New Roman" w:hAnsi="Times New Roman" w:cs="Times New Roman"/>
          <w:sz w:val="24"/>
          <w:szCs w:val="24"/>
          <w:lang w:val="en-US"/>
        </w:rPr>
        <w:t xml:space="preserve">, </w:t>
      </w:r>
      <w:r w:rsidRPr="001F1A80">
        <w:rPr>
          <w:rFonts w:ascii="Times New Roman" w:hAnsi="Times New Roman" w:cs="Times New Roman"/>
          <w:i/>
          <w:iCs/>
          <w:sz w:val="24"/>
          <w:szCs w:val="24"/>
          <w:lang w:val="en-US"/>
        </w:rPr>
        <w:t>A Theory of Justice</w:t>
      </w:r>
      <w:r w:rsidRPr="001F1A80">
        <w:rPr>
          <w:rFonts w:ascii="Times New Roman" w:hAnsi="Times New Roman" w:cs="Times New Roman"/>
          <w:sz w:val="24"/>
          <w:szCs w:val="24"/>
          <w:lang w:val="en-US"/>
        </w:rPr>
        <w:t xml:space="preserve">, Cambridge, 1971. </w:t>
      </w:r>
    </w:p>
    <w:p w14:paraId="7BAD94EE" w14:textId="2543B4EF"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E. RONCHI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Le sfide della transizione ecologica</w:t>
      </w:r>
      <w:r w:rsidRPr="001F1A80">
        <w:rPr>
          <w:rFonts w:ascii="Times New Roman" w:hAnsi="Times New Roman" w:cs="Times New Roman"/>
          <w:sz w:val="24"/>
          <w:szCs w:val="24"/>
        </w:rPr>
        <w:t xml:space="preserve">, Milano, 2021. </w:t>
      </w:r>
    </w:p>
    <w:p w14:paraId="4D37752E" w14:textId="3180FA49"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S. RODOTÀ</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diritto dei consumatori tra mercato e diritti fondamentali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Politica del diritto</w:t>
      </w:r>
      <w:r w:rsidRPr="001F1A80">
        <w:rPr>
          <w:rFonts w:ascii="Times New Roman" w:hAnsi="Times New Roman" w:cs="Times New Roman"/>
          <w:sz w:val="24"/>
          <w:szCs w:val="24"/>
        </w:rPr>
        <w:t xml:space="preserve">, 1995, pp. 431-445. </w:t>
      </w:r>
    </w:p>
    <w:p w14:paraId="63975654" w14:textId="3C0E849B"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M.A. SANDULLI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‘Principi e regole dell'azione amministrativa': riflessioni sul rapporto tra diritto scritto e realtà giurisprudenziale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Federalismi.it</w:t>
      </w:r>
      <w:r w:rsidRPr="001F1A80">
        <w:rPr>
          <w:rFonts w:ascii="Times New Roman" w:hAnsi="Times New Roman" w:cs="Times New Roman"/>
          <w:sz w:val="24"/>
          <w:szCs w:val="24"/>
        </w:rPr>
        <w:t xml:space="preserve">, 2017; id., </w:t>
      </w:r>
      <w:r w:rsidRPr="001F1A80">
        <w:rPr>
          <w:rFonts w:ascii="Times New Roman" w:hAnsi="Times New Roman" w:cs="Times New Roman"/>
          <w:i/>
          <w:iCs/>
          <w:sz w:val="24"/>
          <w:szCs w:val="24"/>
        </w:rPr>
        <w:t>Processo amministrativo, sicurezza giuridica e garanzia di buona amministrazione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Il processo</w:t>
      </w:r>
      <w:r w:rsidRPr="001F1A80">
        <w:rPr>
          <w:rFonts w:ascii="Times New Roman" w:hAnsi="Times New Roman" w:cs="Times New Roman"/>
          <w:sz w:val="24"/>
          <w:szCs w:val="24"/>
        </w:rPr>
        <w:t xml:space="preserve">, 2018; id., </w:t>
      </w:r>
      <w:r w:rsidRPr="001F1A80">
        <w:rPr>
          <w:rFonts w:ascii="Times New Roman" w:hAnsi="Times New Roman" w:cs="Times New Roman"/>
          <w:i/>
          <w:iCs/>
          <w:sz w:val="24"/>
          <w:szCs w:val="24"/>
        </w:rPr>
        <w:t>Il ruolo dei principi nel diritto amministrativo. Introduzione al volume Principi e regole dell’azione amministrativa</w:t>
      </w:r>
      <w:r w:rsidRPr="001F1A80">
        <w:rPr>
          <w:rFonts w:ascii="Times New Roman" w:hAnsi="Times New Roman" w:cs="Times New Roman"/>
          <w:sz w:val="24"/>
          <w:szCs w:val="24"/>
        </w:rPr>
        <w:t xml:space="preserve">, Milano, IV ed., 2023; id., </w:t>
      </w:r>
      <w:r w:rsidRPr="001F1A80">
        <w:rPr>
          <w:rFonts w:ascii="Times New Roman" w:hAnsi="Times New Roman" w:cs="Times New Roman"/>
          <w:i/>
          <w:iCs/>
          <w:sz w:val="24"/>
          <w:szCs w:val="24"/>
        </w:rPr>
        <w:t>Principio di legalità e magistratura amministrativa</w:t>
      </w:r>
      <w:r w:rsidRPr="001F1A80">
        <w:rPr>
          <w:rFonts w:ascii="Times New Roman" w:hAnsi="Times New Roman" w:cs="Times New Roman"/>
          <w:sz w:val="24"/>
          <w:szCs w:val="24"/>
        </w:rPr>
        <w:t xml:space="preserve">, relazione al Convegno «Giustizia al Servizio del Paese – Il principio di legalità», Firenze, 21 novembre 2024, in </w:t>
      </w:r>
      <w:r w:rsidRPr="001F1A80">
        <w:rPr>
          <w:rFonts w:ascii="Times New Roman" w:hAnsi="Times New Roman" w:cs="Times New Roman"/>
          <w:i/>
          <w:iCs/>
          <w:sz w:val="24"/>
          <w:szCs w:val="24"/>
        </w:rPr>
        <w:t>Riv. Giur. Edil.</w:t>
      </w:r>
      <w:r w:rsidRPr="001F1A80">
        <w:rPr>
          <w:rFonts w:ascii="Times New Roman" w:hAnsi="Times New Roman" w:cs="Times New Roman"/>
          <w:sz w:val="24"/>
          <w:szCs w:val="24"/>
        </w:rPr>
        <w:t xml:space="preserve">, 2025, fasc. 2, e in </w:t>
      </w:r>
      <w:r w:rsidRPr="001F1A80">
        <w:rPr>
          <w:rFonts w:ascii="Times New Roman" w:hAnsi="Times New Roman" w:cs="Times New Roman"/>
          <w:i/>
          <w:iCs/>
          <w:sz w:val="24"/>
          <w:szCs w:val="24"/>
        </w:rPr>
        <w:t>Riv. Corte dei conti</w:t>
      </w:r>
      <w:r w:rsidRPr="001F1A80">
        <w:rPr>
          <w:rFonts w:ascii="Times New Roman" w:hAnsi="Times New Roman" w:cs="Times New Roman"/>
          <w:sz w:val="24"/>
          <w:szCs w:val="24"/>
        </w:rPr>
        <w:t xml:space="preserve">, Quad. 1/2025. </w:t>
      </w:r>
    </w:p>
    <w:p w14:paraId="3FD7AE94" w14:textId="14021018"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M.A. SANDULLI</w:t>
      </w:r>
      <w:r w:rsidRPr="001F1A80">
        <w:rPr>
          <w:rFonts w:ascii="Times New Roman" w:hAnsi="Times New Roman" w:cs="Times New Roman"/>
          <w:sz w:val="24"/>
          <w:szCs w:val="24"/>
        </w:rPr>
        <w:t xml:space="preserve">, R. TERRACCIANO, </w:t>
      </w:r>
      <w:r w:rsidRPr="001F1A80">
        <w:rPr>
          <w:rFonts w:ascii="Times New Roman" w:hAnsi="Times New Roman" w:cs="Times New Roman"/>
          <w:i/>
          <w:iCs/>
          <w:sz w:val="24"/>
          <w:szCs w:val="24"/>
        </w:rPr>
        <w:t>La semplificazione delle procedure amministrative a seguito della attuazione in Italia della Direttiva Bolkestein</w:t>
      </w:r>
      <w:r w:rsidRPr="001F1A80">
        <w:rPr>
          <w:rFonts w:ascii="Times New Roman" w:hAnsi="Times New Roman" w:cs="Times New Roman"/>
          <w:sz w:val="24"/>
          <w:szCs w:val="24"/>
        </w:rPr>
        <w:t xml:space="preserve">, in </w:t>
      </w:r>
      <w:proofErr w:type="spellStart"/>
      <w:r w:rsidRPr="001F1A80">
        <w:rPr>
          <w:rFonts w:ascii="Times New Roman" w:hAnsi="Times New Roman" w:cs="Times New Roman"/>
          <w:i/>
          <w:iCs/>
          <w:sz w:val="24"/>
          <w:szCs w:val="24"/>
        </w:rPr>
        <w:t>Monografías</w:t>
      </w:r>
      <w:proofErr w:type="spellEnd"/>
      <w:r w:rsidRPr="001F1A80">
        <w:rPr>
          <w:rFonts w:ascii="Times New Roman" w:hAnsi="Times New Roman" w:cs="Times New Roman"/>
          <w:i/>
          <w:iCs/>
          <w:sz w:val="24"/>
          <w:szCs w:val="24"/>
        </w:rPr>
        <w:t xml:space="preserve"> de la </w:t>
      </w:r>
      <w:proofErr w:type="spellStart"/>
      <w:r w:rsidRPr="001F1A80">
        <w:rPr>
          <w:rFonts w:ascii="Times New Roman" w:hAnsi="Times New Roman" w:cs="Times New Roman"/>
          <w:i/>
          <w:iCs/>
          <w:sz w:val="24"/>
          <w:szCs w:val="24"/>
        </w:rPr>
        <w:t>Revista</w:t>
      </w:r>
      <w:proofErr w:type="spellEnd"/>
      <w:r w:rsidRPr="001F1A80">
        <w:rPr>
          <w:rFonts w:ascii="Times New Roman" w:hAnsi="Times New Roman" w:cs="Times New Roman"/>
          <w:i/>
          <w:iCs/>
          <w:sz w:val="24"/>
          <w:szCs w:val="24"/>
        </w:rPr>
        <w:t xml:space="preserve"> </w:t>
      </w:r>
      <w:proofErr w:type="spellStart"/>
      <w:r w:rsidRPr="001F1A80">
        <w:rPr>
          <w:rFonts w:ascii="Times New Roman" w:hAnsi="Times New Roman" w:cs="Times New Roman"/>
          <w:i/>
          <w:iCs/>
          <w:sz w:val="24"/>
          <w:szCs w:val="24"/>
        </w:rPr>
        <w:t>Aragonesa</w:t>
      </w:r>
      <w:proofErr w:type="spellEnd"/>
      <w:r w:rsidRPr="001F1A80">
        <w:rPr>
          <w:rFonts w:ascii="Times New Roman" w:hAnsi="Times New Roman" w:cs="Times New Roman"/>
          <w:i/>
          <w:iCs/>
          <w:sz w:val="24"/>
          <w:szCs w:val="24"/>
        </w:rPr>
        <w:t xml:space="preserve"> de </w:t>
      </w:r>
      <w:proofErr w:type="spellStart"/>
      <w:r w:rsidRPr="001F1A80">
        <w:rPr>
          <w:rFonts w:ascii="Times New Roman" w:hAnsi="Times New Roman" w:cs="Times New Roman"/>
          <w:i/>
          <w:iCs/>
          <w:sz w:val="24"/>
          <w:szCs w:val="24"/>
        </w:rPr>
        <w:t>Administración</w:t>
      </w:r>
      <w:proofErr w:type="spellEnd"/>
      <w:r w:rsidRPr="001F1A80">
        <w:rPr>
          <w:rFonts w:ascii="Times New Roman" w:hAnsi="Times New Roman" w:cs="Times New Roman"/>
          <w:i/>
          <w:iCs/>
          <w:sz w:val="24"/>
          <w:szCs w:val="24"/>
        </w:rPr>
        <w:t xml:space="preserve"> </w:t>
      </w:r>
      <w:proofErr w:type="spellStart"/>
      <w:r w:rsidRPr="001F1A80">
        <w:rPr>
          <w:rFonts w:ascii="Times New Roman" w:hAnsi="Times New Roman" w:cs="Times New Roman"/>
          <w:i/>
          <w:iCs/>
          <w:sz w:val="24"/>
          <w:szCs w:val="24"/>
        </w:rPr>
        <w:t>Pública</w:t>
      </w:r>
      <w:proofErr w:type="spellEnd"/>
      <w:r w:rsidRPr="001F1A80">
        <w:rPr>
          <w:rFonts w:ascii="Times New Roman" w:hAnsi="Times New Roman" w:cs="Times New Roman"/>
          <w:sz w:val="24"/>
          <w:szCs w:val="24"/>
        </w:rPr>
        <w:t xml:space="preserve">, n. XII, 2010. </w:t>
      </w:r>
    </w:p>
    <w:p w14:paraId="50514A57" w14:textId="2E301DC5"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STRAZZA</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 xml:space="preserve">La </w:t>
      </w:r>
      <w:proofErr w:type="spellStart"/>
      <w:r w:rsidRPr="001F1A80">
        <w:rPr>
          <w:rFonts w:ascii="Times New Roman" w:hAnsi="Times New Roman" w:cs="Times New Roman"/>
          <w:i/>
          <w:iCs/>
          <w:sz w:val="24"/>
          <w:szCs w:val="24"/>
        </w:rPr>
        <w:t>s.c.i.a</w:t>
      </w:r>
      <w:proofErr w:type="spellEnd"/>
      <w:r w:rsidRPr="001F1A80">
        <w:rPr>
          <w:rFonts w:ascii="Times New Roman" w:hAnsi="Times New Roman" w:cs="Times New Roman"/>
          <w:i/>
          <w:iCs/>
          <w:sz w:val="24"/>
          <w:szCs w:val="24"/>
        </w:rPr>
        <w:t>. tra semplificazione, liberalizzazione e complicazione</w:t>
      </w:r>
      <w:r w:rsidRPr="001F1A80">
        <w:rPr>
          <w:rFonts w:ascii="Times New Roman" w:hAnsi="Times New Roman" w:cs="Times New Roman"/>
          <w:sz w:val="24"/>
          <w:szCs w:val="24"/>
        </w:rPr>
        <w:t xml:space="preserve">, 2020. </w:t>
      </w:r>
    </w:p>
    <w:p w14:paraId="599DDEFE" w14:textId="06F2D920"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S. PUGLIESE</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L’evoluzione della nozione di sicurezza nell’Unione europea</w:t>
      </w:r>
      <w:r w:rsidRPr="001F1A80">
        <w:rPr>
          <w:rFonts w:ascii="Times New Roman" w:hAnsi="Times New Roman" w:cs="Times New Roman"/>
          <w:sz w:val="24"/>
          <w:szCs w:val="24"/>
        </w:rPr>
        <w:t xml:space="preserve">, Bari, 2025. </w:t>
      </w:r>
    </w:p>
    <w:p w14:paraId="1880ABFD" w14:textId="2D8049D6"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P. SANDS</w:t>
      </w:r>
      <w:r w:rsidRPr="001F1A80">
        <w:rPr>
          <w:rFonts w:ascii="Times New Roman" w:hAnsi="Times New Roman" w:cs="Times New Roman"/>
          <w:sz w:val="24"/>
          <w:szCs w:val="24"/>
          <w:lang w:val="en-US"/>
        </w:rPr>
        <w:t xml:space="preserve">, </w:t>
      </w:r>
      <w:r w:rsidRPr="001F1A80">
        <w:rPr>
          <w:rFonts w:ascii="Times New Roman" w:hAnsi="Times New Roman" w:cs="Times New Roman"/>
          <w:i/>
          <w:iCs/>
          <w:sz w:val="24"/>
          <w:szCs w:val="24"/>
          <w:lang w:val="en-US"/>
        </w:rPr>
        <w:t>Principles of International Environmental Law</w:t>
      </w:r>
      <w:r w:rsidRPr="001F1A80">
        <w:rPr>
          <w:rFonts w:ascii="Times New Roman" w:hAnsi="Times New Roman" w:cs="Times New Roman"/>
          <w:sz w:val="24"/>
          <w:szCs w:val="24"/>
          <w:lang w:val="en-US"/>
        </w:rPr>
        <w:t xml:space="preserve">, Cambridge University Press, Cambridge, 2003. </w:t>
      </w:r>
    </w:p>
    <w:p w14:paraId="2B6EF7FD" w14:textId="5FC8D3BB" w:rsidR="00B9114C" w:rsidRPr="001F1A80" w:rsidRDefault="001F1A80" w:rsidP="006D5201">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F. SCALIA</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Energia sostenibile e cambiamento climatico. Profili giuridici della transizione energetica</w:t>
      </w:r>
      <w:r w:rsidRPr="001F1A80">
        <w:rPr>
          <w:rFonts w:ascii="Times New Roman" w:hAnsi="Times New Roman" w:cs="Times New Roman"/>
          <w:sz w:val="24"/>
          <w:szCs w:val="24"/>
        </w:rPr>
        <w:t>, Torino, 2020</w:t>
      </w:r>
      <w:r w:rsidR="00B9114C">
        <w:rPr>
          <w:rFonts w:ascii="Times New Roman" w:hAnsi="Times New Roman" w:cs="Times New Roman"/>
          <w:sz w:val="24"/>
          <w:szCs w:val="24"/>
        </w:rPr>
        <w:t xml:space="preserve">; id. </w:t>
      </w:r>
      <w:r w:rsidR="00B9114C" w:rsidRPr="00B9114C">
        <w:rPr>
          <w:rFonts w:ascii="Times New Roman" w:hAnsi="Times New Roman" w:cs="Times New Roman"/>
          <w:i/>
          <w:iCs/>
          <w:sz w:val="24"/>
          <w:szCs w:val="24"/>
        </w:rPr>
        <w:t>La contraddittorietà intrinseca dei limiti posti dal “decreto agricoltura” per gli impianti fotovoltaici nelle aree agricole</w:t>
      </w:r>
      <w:r w:rsidR="00B9114C" w:rsidRPr="00B9114C">
        <w:rPr>
          <w:rFonts w:ascii="Times New Roman" w:hAnsi="Times New Roman" w:cs="Times New Roman"/>
          <w:sz w:val="24"/>
          <w:szCs w:val="24"/>
        </w:rPr>
        <w:t xml:space="preserve">, in </w:t>
      </w:r>
      <w:r w:rsidR="00B9114C" w:rsidRPr="00B9114C">
        <w:rPr>
          <w:rFonts w:ascii="Times New Roman" w:hAnsi="Times New Roman" w:cs="Times New Roman"/>
          <w:i/>
          <w:iCs/>
          <w:sz w:val="24"/>
          <w:szCs w:val="24"/>
        </w:rPr>
        <w:t>dgai.it,</w:t>
      </w:r>
      <w:r w:rsidR="00B9114C" w:rsidRPr="00B9114C">
        <w:rPr>
          <w:rFonts w:ascii="Times New Roman" w:hAnsi="Times New Roman" w:cs="Times New Roman"/>
          <w:sz w:val="24"/>
          <w:szCs w:val="24"/>
        </w:rPr>
        <w:t xml:space="preserve"> n. 1/2024</w:t>
      </w:r>
      <w:r w:rsidR="006D5201">
        <w:rPr>
          <w:rFonts w:ascii="Times New Roman" w:hAnsi="Times New Roman" w:cs="Times New Roman"/>
          <w:sz w:val="24"/>
          <w:szCs w:val="24"/>
        </w:rPr>
        <w:t>.</w:t>
      </w:r>
    </w:p>
    <w:p w14:paraId="521FFBF8" w14:textId="0B651C45"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SEVERINI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“transizione” come ordinamento giuridico</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Giustizia Insieme</w:t>
      </w:r>
      <w:r w:rsidRPr="001F1A80">
        <w:rPr>
          <w:rFonts w:ascii="Times New Roman" w:hAnsi="Times New Roman" w:cs="Times New Roman"/>
          <w:sz w:val="24"/>
          <w:szCs w:val="24"/>
        </w:rPr>
        <w:t xml:space="preserve">, 2022. </w:t>
      </w:r>
    </w:p>
    <w:p w14:paraId="30123F99" w14:textId="40FA4454"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sz w:val="24"/>
          <w:szCs w:val="24"/>
        </w:rPr>
        <w:t xml:space="preserve"> </w:t>
      </w:r>
      <w:r w:rsidRPr="001F1A80">
        <w:rPr>
          <w:rFonts w:ascii="Times New Roman" w:hAnsi="Times New Roman" w:cs="Times New Roman"/>
          <w:b/>
          <w:bCs/>
          <w:sz w:val="24"/>
          <w:szCs w:val="24"/>
        </w:rPr>
        <w:t>G. SGUEO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visione e la voce nella transizione digitale dei governi democratici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Riv. trim. dir. pubbl.</w:t>
      </w:r>
      <w:r w:rsidRPr="001F1A80">
        <w:rPr>
          <w:rFonts w:ascii="Times New Roman" w:hAnsi="Times New Roman" w:cs="Times New Roman"/>
          <w:sz w:val="24"/>
          <w:szCs w:val="24"/>
        </w:rPr>
        <w:t xml:space="preserve">, 2022, p. 1015 ss.; id., </w:t>
      </w:r>
      <w:r w:rsidRPr="001F1A80">
        <w:rPr>
          <w:rFonts w:ascii="Times New Roman" w:hAnsi="Times New Roman" w:cs="Times New Roman"/>
          <w:i/>
          <w:iCs/>
          <w:sz w:val="24"/>
          <w:szCs w:val="24"/>
        </w:rPr>
        <w:t>La transizione digitale</w:t>
      </w:r>
      <w:r w:rsidRPr="001F1A80">
        <w:rPr>
          <w:rFonts w:ascii="Times New Roman" w:hAnsi="Times New Roman" w:cs="Times New Roman"/>
          <w:sz w:val="24"/>
          <w:szCs w:val="24"/>
        </w:rPr>
        <w:t xml:space="preserve">, in </w:t>
      </w:r>
      <w:proofErr w:type="spellStart"/>
      <w:r w:rsidRPr="001F1A80">
        <w:rPr>
          <w:rFonts w:ascii="Times New Roman" w:hAnsi="Times New Roman" w:cs="Times New Roman"/>
          <w:i/>
          <w:iCs/>
          <w:sz w:val="24"/>
          <w:szCs w:val="24"/>
        </w:rPr>
        <w:t>Giorn</w:t>
      </w:r>
      <w:proofErr w:type="spellEnd"/>
      <w:r w:rsidRPr="001F1A80">
        <w:rPr>
          <w:rFonts w:ascii="Times New Roman" w:hAnsi="Times New Roman" w:cs="Times New Roman"/>
          <w:i/>
          <w:iCs/>
          <w:sz w:val="24"/>
          <w:szCs w:val="24"/>
        </w:rPr>
        <w:t xml:space="preserve">. dir. </w:t>
      </w:r>
      <w:proofErr w:type="spellStart"/>
      <w:r w:rsidRPr="001F1A80">
        <w:rPr>
          <w:rFonts w:ascii="Times New Roman" w:hAnsi="Times New Roman" w:cs="Times New Roman"/>
          <w:i/>
          <w:iCs/>
          <w:sz w:val="24"/>
          <w:szCs w:val="24"/>
        </w:rPr>
        <w:t>amm</w:t>
      </w:r>
      <w:proofErr w:type="spellEnd"/>
      <w:r w:rsidRPr="001F1A80">
        <w:rPr>
          <w:rFonts w:ascii="Times New Roman" w:hAnsi="Times New Roman" w:cs="Times New Roman"/>
          <w:i/>
          <w:iCs/>
          <w:sz w:val="24"/>
          <w:szCs w:val="24"/>
        </w:rPr>
        <w:t>.</w:t>
      </w:r>
      <w:r w:rsidRPr="001F1A80">
        <w:rPr>
          <w:rFonts w:ascii="Times New Roman" w:hAnsi="Times New Roman" w:cs="Times New Roman"/>
          <w:sz w:val="24"/>
          <w:szCs w:val="24"/>
        </w:rPr>
        <w:t xml:space="preserve">, 2021, p. 746 ss. </w:t>
      </w:r>
    </w:p>
    <w:p w14:paraId="471E96A4" w14:textId="38879BA3"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A. SMITH</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Indagine sulla natura e le cause della ricchezza delle nazioni</w:t>
      </w:r>
      <w:r w:rsidRPr="001F1A80">
        <w:rPr>
          <w:rFonts w:ascii="Times New Roman" w:hAnsi="Times New Roman" w:cs="Times New Roman"/>
          <w:sz w:val="24"/>
          <w:szCs w:val="24"/>
        </w:rPr>
        <w:t xml:space="preserve">, Milano, ISEDI. </w:t>
      </w:r>
    </w:p>
    <w:p w14:paraId="7B85E50C" w14:textId="456A862C"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SPIEKER</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principio di sussidiarietà: presupposti antropologici e conseguenze politiche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La Società</w:t>
      </w:r>
      <w:r w:rsidRPr="001F1A80">
        <w:rPr>
          <w:rFonts w:ascii="Times New Roman" w:hAnsi="Times New Roman" w:cs="Times New Roman"/>
          <w:sz w:val="24"/>
          <w:szCs w:val="24"/>
        </w:rPr>
        <w:t xml:space="preserve">, 1995. </w:t>
      </w:r>
    </w:p>
    <w:p w14:paraId="5AB0E489" w14:textId="5C1C2C5F"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lastRenderedPageBreak/>
        <w:t>M.H. TAGLE</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Il principio di sussidiarietà. Un caposaldo della dottrina sociale della Chiesa</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Cristianità</w:t>
      </w:r>
      <w:r w:rsidRPr="001F1A80">
        <w:rPr>
          <w:rFonts w:ascii="Times New Roman" w:hAnsi="Times New Roman" w:cs="Times New Roman"/>
          <w:sz w:val="24"/>
          <w:szCs w:val="24"/>
        </w:rPr>
        <w:t xml:space="preserve">, n. 81, 1982. </w:t>
      </w:r>
    </w:p>
    <w:p w14:paraId="4F3C3A41" w14:textId="43DBB5FB" w:rsidR="001F1A80" w:rsidRPr="00DF358B" w:rsidRDefault="001F1A80" w:rsidP="001F1A80">
      <w:pPr>
        <w:spacing w:line="360" w:lineRule="auto"/>
        <w:ind w:left="170"/>
        <w:contextualSpacing/>
        <w:jc w:val="both"/>
        <w:rPr>
          <w:rFonts w:ascii="Times New Roman" w:hAnsi="Times New Roman" w:cs="Times New Roman"/>
          <w:sz w:val="24"/>
          <w:szCs w:val="24"/>
          <w:lang w:val="fr-FR"/>
        </w:rPr>
      </w:pPr>
      <w:r w:rsidRPr="00DF358B">
        <w:rPr>
          <w:rFonts w:ascii="Times New Roman" w:hAnsi="Times New Roman" w:cs="Times New Roman"/>
          <w:b/>
          <w:bCs/>
          <w:sz w:val="24"/>
          <w:szCs w:val="24"/>
          <w:lang w:val="fr-FR"/>
        </w:rPr>
        <w:t>H. TAINE</w:t>
      </w:r>
      <w:r w:rsidRPr="00DF358B">
        <w:rPr>
          <w:rFonts w:ascii="Times New Roman" w:hAnsi="Times New Roman" w:cs="Times New Roman"/>
          <w:sz w:val="24"/>
          <w:szCs w:val="24"/>
          <w:lang w:val="fr-FR"/>
        </w:rPr>
        <w:t xml:space="preserve">, </w:t>
      </w:r>
      <w:r w:rsidRPr="00DF358B">
        <w:rPr>
          <w:rFonts w:ascii="Times New Roman" w:hAnsi="Times New Roman" w:cs="Times New Roman"/>
          <w:i/>
          <w:iCs/>
          <w:sz w:val="24"/>
          <w:szCs w:val="24"/>
          <w:lang w:val="fr-FR"/>
        </w:rPr>
        <w:t>Les origines de la France contemporaine</w:t>
      </w:r>
      <w:r w:rsidRPr="00DF358B">
        <w:rPr>
          <w:rFonts w:ascii="Times New Roman" w:hAnsi="Times New Roman" w:cs="Times New Roman"/>
          <w:sz w:val="24"/>
          <w:szCs w:val="24"/>
          <w:lang w:val="fr-FR"/>
        </w:rPr>
        <w:t xml:space="preserve">, Hachette, </w:t>
      </w:r>
      <w:proofErr w:type="spellStart"/>
      <w:r w:rsidRPr="00DF358B">
        <w:rPr>
          <w:rFonts w:ascii="Times New Roman" w:hAnsi="Times New Roman" w:cs="Times New Roman"/>
          <w:sz w:val="24"/>
          <w:szCs w:val="24"/>
          <w:lang w:val="fr-FR"/>
        </w:rPr>
        <w:t>Parigi</w:t>
      </w:r>
      <w:proofErr w:type="spellEnd"/>
      <w:r w:rsidRPr="00DF358B">
        <w:rPr>
          <w:rFonts w:ascii="Times New Roman" w:hAnsi="Times New Roman" w:cs="Times New Roman"/>
          <w:sz w:val="24"/>
          <w:szCs w:val="24"/>
          <w:lang w:val="fr-FR"/>
        </w:rPr>
        <w:t xml:space="preserve">, 1906. </w:t>
      </w:r>
    </w:p>
    <w:p w14:paraId="5493AB53" w14:textId="5EE13ED7"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TARELLO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Sussidiarietà e ordinamento giuridico</w:t>
      </w:r>
      <w:r w:rsidRPr="001F1A80">
        <w:rPr>
          <w:rFonts w:ascii="Times New Roman" w:hAnsi="Times New Roman" w:cs="Times New Roman"/>
          <w:sz w:val="24"/>
          <w:szCs w:val="24"/>
        </w:rPr>
        <w:t xml:space="preserve">, Torino, Giappichelli, 2005. </w:t>
      </w:r>
    </w:p>
    <w:p w14:paraId="40207594" w14:textId="0234A416"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V. TERMINI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Regionalizzazione dei mercati e governance istituzionale</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La transizione energetica e il Winter Package. Politiche pubbliche e regolazione dei mercati. Atti del Convegno AIDEN (Milano, 29 settembre 2017)</w:t>
      </w:r>
      <w:r w:rsidRPr="001F1A80">
        <w:rPr>
          <w:rFonts w:ascii="Times New Roman" w:hAnsi="Times New Roman" w:cs="Times New Roman"/>
          <w:sz w:val="24"/>
          <w:szCs w:val="24"/>
        </w:rPr>
        <w:t xml:space="preserve">, a cura di E. Bruti Liberati, M. De </w:t>
      </w:r>
      <w:proofErr w:type="spellStart"/>
      <w:r w:rsidRPr="001F1A80">
        <w:rPr>
          <w:rFonts w:ascii="Times New Roman" w:hAnsi="Times New Roman" w:cs="Times New Roman"/>
          <w:sz w:val="24"/>
          <w:szCs w:val="24"/>
        </w:rPr>
        <w:t>Focatiis</w:t>
      </w:r>
      <w:proofErr w:type="spellEnd"/>
      <w:r w:rsidRPr="001F1A80">
        <w:rPr>
          <w:rFonts w:ascii="Times New Roman" w:hAnsi="Times New Roman" w:cs="Times New Roman"/>
          <w:sz w:val="24"/>
          <w:szCs w:val="24"/>
        </w:rPr>
        <w:t xml:space="preserve"> e A. Travi, Padova, CEDAM, 2018. </w:t>
      </w:r>
    </w:p>
    <w:p w14:paraId="384B9438" w14:textId="426BFD28"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C. VENTIMIGLIA</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Cultura e amministrazione nella transizione digitale</w:t>
      </w:r>
      <w:r w:rsidRPr="001F1A80">
        <w:rPr>
          <w:rFonts w:ascii="Times New Roman" w:hAnsi="Times New Roman" w:cs="Times New Roman"/>
          <w:sz w:val="24"/>
          <w:szCs w:val="24"/>
        </w:rPr>
        <w:t xml:space="preserve">, Bari, 2021. </w:t>
      </w:r>
    </w:p>
    <w:p w14:paraId="4681FFEF" w14:textId="3FDF1AE5"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F. VETRÒ</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Sviluppo sostenibile, transizione energetica e neutralità climatica</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 xml:space="preserve">Riv. </w:t>
      </w:r>
      <w:proofErr w:type="spellStart"/>
      <w:r w:rsidRPr="001F1A80">
        <w:rPr>
          <w:rFonts w:ascii="Times New Roman" w:hAnsi="Times New Roman" w:cs="Times New Roman"/>
          <w:i/>
          <w:iCs/>
          <w:sz w:val="24"/>
          <w:szCs w:val="24"/>
        </w:rPr>
        <w:t>it</w:t>
      </w:r>
      <w:proofErr w:type="spellEnd"/>
      <w:r w:rsidRPr="001F1A80">
        <w:rPr>
          <w:rFonts w:ascii="Times New Roman" w:hAnsi="Times New Roman" w:cs="Times New Roman"/>
          <w:i/>
          <w:iCs/>
          <w:sz w:val="24"/>
          <w:szCs w:val="24"/>
        </w:rPr>
        <w:t>. dir. pubbl. comunitario</w:t>
      </w:r>
      <w:r w:rsidRPr="001F1A80">
        <w:rPr>
          <w:rFonts w:ascii="Times New Roman" w:hAnsi="Times New Roman" w:cs="Times New Roman"/>
          <w:sz w:val="24"/>
          <w:szCs w:val="24"/>
        </w:rPr>
        <w:t xml:space="preserve">, 2022, p. 53 ss. </w:t>
      </w:r>
    </w:p>
    <w:p w14:paraId="04445AA1" w14:textId="6D17899F"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S. PAGLIANTINI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giustizia contrattuale nel diritto dei consumatori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Contratto e impresa</w:t>
      </w:r>
      <w:r w:rsidRPr="001F1A80">
        <w:rPr>
          <w:rFonts w:ascii="Times New Roman" w:hAnsi="Times New Roman" w:cs="Times New Roman"/>
          <w:sz w:val="24"/>
          <w:szCs w:val="24"/>
        </w:rPr>
        <w:t xml:space="preserve">, 2010. </w:t>
      </w:r>
    </w:p>
    <w:p w14:paraId="4D558E0E" w14:textId="3B078F13"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VETTORI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Contratto e tutela del consumatore nel diritto europeo</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Europa e diritto privato</w:t>
      </w:r>
      <w:r w:rsidRPr="001F1A80">
        <w:rPr>
          <w:rFonts w:ascii="Times New Roman" w:hAnsi="Times New Roman" w:cs="Times New Roman"/>
          <w:sz w:val="24"/>
          <w:szCs w:val="24"/>
        </w:rPr>
        <w:t xml:space="preserve">, 2002. </w:t>
      </w:r>
    </w:p>
    <w:p w14:paraId="6637986F" w14:textId="2C089E8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M. PANE</w:t>
      </w:r>
      <w:r w:rsidRPr="001F1A80">
        <w:rPr>
          <w:rFonts w:ascii="Times New Roman" w:hAnsi="Times New Roman" w:cs="Times New Roman"/>
          <w:sz w:val="24"/>
          <w:szCs w:val="24"/>
        </w:rPr>
        <w:t xml:space="preserve">, A. GHISI, </w:t>
      </w:r>
      <w:r w:rsidRPr="001F1A80">
        <w:rPr>
          <w:rFonts w:ascii="Times New Roman" w:hAnsi="Times New Roman" w:cs="Times New Roman"/>
          <w:i/>
          <w:iCs/>
          <w:sz w:val="24"/>
          <w:szCs w:val="24"/>
        </w:rPr>
        <w:t>Comunità energetiche rinnovabili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Il Fisco</w:t>
      </w:r>
      <w:r w:rsidRPr="001F1A80">
        <w:rPr>
          <w:rFonts w:ascii="Times New Roman" w:hAnsi="Times New Roman" w:cs="Times New Roman"/>
          <w:sz w:val="24"/>
          <w:szCs w:val="24"/>
        </w:rPr>
        <w:t xml:space="preserve">, 2022, 29, p. 2844. </w:t>
      </w:r>
    </w:p>
    <w:p w14:paraId="7DDFC2FF" w14:textId="61B7481C"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R. PISELLI</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La comunità energetica e i suoi modelli organizzativi</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Diritto e Società</w:t>
      </w:r>
      <w:r w:rsidRPr="001F1A80">
        <w:rPr>
          <w:rFonts w:ascii="Times New Roman" w:hAnsi="Times New Roman" w:cs="Times New Roman"/>
          <w:sz w:val="24"/>
          <w:szCs w:val="24"/>
        </w:rPr>
        <w:t xml:space="preserve">, 2022. </w:t>
      </w:r>
    </w:p>
    <w:p w14:paraId="0C48A754" w14:textId="4F563F8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A.L. PISELLO</w:t>
      </w:r>
      <w:r w:rsidRPr="001F1A80">
        <w:rPr>
          <w:rFonts w:ascii="Times New Roman" w:hAnsi="Times New Roman" w:cs="Times New Roman"/>
          <w:sz w:val="24"/>
          <w:szCs w:val="24"/>
        </w:rPr>
        <w:t xml:space="preserve">, C. PISELLO, B. PIOPPI, </w:t>
      </w:r>
      <w:r w:rsidRPr="001F1A80">
        <w:rPr>
          <w:rFonts w:ascii="Times New Roman" w:hAnsi="Times New Roman" w:cs="Times New Roman"/>
          <w:i/>
          <w:iCs/>
          <w:sz w:val="24"/>
          <w:szCs w:val="24"/>
        </w:rPr>
        <w:t>Un nuovo modello per il sistema energetico nazionale ed europeo</w:t>
      </w:r>
      <w:r w:rsidRPr="001F1A80">
        <w:rPr>
          <w:rFonts w:ascii="Times New Roman" w:hAnsi="Times New Roman" w:cs="Times New Roman"/>
          <w:sz w:val="24"/>
          <w:szCs w:val="24"/>
        </w:rPr>
        <w:t xml:space="preserve">, in </w:t>
      </w:r>
      <w:proofErr w:type="spellStart"/>
      <w:r w:rsidRPr="001F1A80">
        <w:rPr>
          <w:rFonts w:ascii="Times New Roman" w:hAnsi="Times New Roman" w:cs="Times New Roman"/>
          <w:i/>
          <w:iCs/>
          <w:sz w:val="24"/>
          <w:szCs w:val="24"/>
        </w:rPr>
        <w:t>AiCARR</w:t>
      </w:r>
      <w:proofErr w:type="spellEnd"/>
      <w:r w:rsidRPr="001F1A80">
        <w:rPr>
          <w:rFonts w:ascii="Times New Roman" w:hAnsi="Times New Roman" w:cs="Times New Roman"/>
          <w:i/>
          <w:iCs/>
          <w:sz w:val="24"/>
          <w:szCs w:val="24"/>
        </w:rPr>
        <w:t xml:space="preserve"> Journal</w:t>
      </w:r>
      <w:r w:rsidRPr="001F1A80">
        <w:rPr>
          <w:rFonts w:ascii="Times New Roman" w:hAnsi="Times New Roman" w:cs="Times New Roman"/>
          <w:sz w:val="24"/>
          <w:szCs w:val="24"/>
        </w:rPr>
        <w:t xml:space="preserve">, 2020, 65(6), p. 46. </w:t>
      </w:r>
    </w:p>
    <w:p w14:paraId="5A47EA33" w14:textId="3AD0D4D9"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R. RANUCCI</w:t>
      </w:r>
      <w:r w:rsidRPr="001F1A80">
        <w:rPr>
          <w:rFonts w:ascii="Times New Roman" w:hAnsi="Times New Roman" w:cs="Times New Roman"/>
          <w:sz w:val="24"/>
          <w:szCs w:val="24"/>
          <w:lang w:val="en-US"/>
        </w:rPr>
        <w:t xml:space="preserve">, Z. HAMMADI, </w:t>
      </w:r>
      <w:r w:rsidRPr="001F1A80">
        <w:rPr>
          <w:rFonts w:ascii="Times New Roman" w:hAnsi="Times New Roman" w:cs="Times New Roman"/>
          <w:i/>
          <w:iCs/>
          <w:sz w:val="24"/>
          <w:szCs w:val="24"/>
          <w:lang w:val="en-US"/>
        </w:rPr>
        <w:t>Mutualistic Purpose and Mutualistic Relationship</w:t>
      </w:r>
      <w:r w:rsidRPr="001F1A80">
        <w:rPr>
          <w:rFonts w:ascii="Times New Roman" w:hAnsi="Times New Roman" w:cs="Times New Roman"/>
          <w:sz w:val="24"/>
          <w:szCs w:val="24"/>
          <w:lang w:val="en-US"/>
        </w:rPr>
        <w:t xml:space="preserve">, in </w:t>
      </w:r>
      <w:r w:rsidRPr="001F1A80">
        <w:rPr>
          <w:rFonts w:ascii="Times New Roman" w:hAnsi="Times New Roman" w:cs="Times New Roman"/>
          <w:i/>
          <w:iCs/>
          <w:sz w:val="24"/>
          <w:szCs w:val="24"/>
          <w:lang w:val="en-US"/>
        </w:rPr>
        <w:t>Open Review of Management, Banking and Finance</w:t>
      </w:r>
      <w:r w:rsidRPr="001F1A80">
        <w:rPr>
          <w:rFonts w:ascii="Times New Roman" w:hAnsi="Times New Roman" w:cs="Times New Roman"/>
          <w:sz w:val="24"/>
          <w:szCs w:val="24"/>
          <w:lang w:val="en-US"/>
        </w:rPr>
        <w:t xml:space="preserve">, 2024. </w:t>
      </w:r>
    </w:p>
    <w:p w14:paraId="13F09892" w14:textId="490B257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R. RAO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 xml:space="preserve">Le comunità energetiche rinnovabili (CER): delle “officine” per il diritto </w:t>
      </w:r>
      <w:proofErr w:type="gramStart"/>
      <w:r w:rsidRPr="001F1A80">
        <w:rPr>
          <w:rFonts w:ascii="Times New Roman" w:hAnsi="Times New Roman" w:cs="Times New Roman"/>
          <w:i/>
          <w:iCs/>
          <w:sz w:val="24"/>
          <w:szCs w:val="24"/>
        </w:rPr>
        <w:t>commerciale?</w:t>
      </w:r>
      <w:r w:rsidRPr="001F1A80">
        <w:rPr>
          <w:rFonts w:ascii="Times New Roman" w:hAnsi="Times New Roman" w:cs="Times New Roman"/>
          <w:sz w:val="24"/>
          <w:szCs w:val="24"/>
        </w:rPr>
        <w:t>,</w:t>
      </w:r>
      <w:proofErr w:type="gramEnd"/>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Orizzonti del Diritto Commerciale</w:t>
      </w:r>
      <w:r w:rsidRPr="001F1A80">
        <w:rPr>
          <w:rFonts w:ascii="Times New Roman" w:hAnsi="Times New Roman" w:cs="Times New Roman"/>
          <w:sz w:val="24"/>
          <w:szCs w:val="24"/>
        </w:rPr>
        <w:t xml:space="preserve">, 2024. </w:t>
      </w:r>
    </w:p>
    <w:p w14:paraId="1019DE0D" w14:textId="6E123A3D" w:rsidR="001F1A80" w:rsidRPr="001F1A80" w:rsidRDefault="001F1A80" w:rsidP="001F1A80">
      <w:pPr>
        <w:spacing w:line="360" w:lineRule="auto"/>
        <w:ind w:left="170"/>
        <w:contextualSpacing/>
        <w:jc w:val="both"/>
        <w:rPr>
          <w:rFonts w:ascii="Times New Roman" w:hAnsi="Times New Roman" w:cs="Times New Roman"/>
          <w:sz w:val="24"/>
          <w:szCs w:val="24"/>
        </w:rPr>
      </w:pPr>
      <w:r w:rsidRPr="001F1A80">
        <w:rPr>
          <w:rFonts w:ascii="Times New Roman" w:hAnsi="Times New Roman" w:cs="Times New Roman"/>
          <w:b/>
          <w:bCs/>
          <w:sz w:val="24"/>
          <w:szCs w:val="24"/>
        </w:rPr>
        <w:t>G. SCOGNAMIGLIO</w:t>
      </w:r>
      <w:r w:rsidRPr="001F1A80">
        <w:rPr>
          <w:rFonts w:ascii="Times New Roman" w:hAnsi="Times New Roman" w:cs="Times New Roman"/>
          <w:sz w:val="24"/>
          <w:szCs w:val="24"/>
        </w:rPr>
        <w:t xml:space="preserve">, </w:t>
      </w:r>
      <w:r w:rsidRPr="001F1A80">
        <w:rPr>
          <w:rFonts w:ascii="Times New Roman" w:hAnsi="Times New Roman" w:cs="Times New Roman"/>
          <w:i/>
          <w:iCs/>
          <w:sz w:val="24"/>
          <w:szCs w:val="24"/>
        </w:rPr>
        <w:t>Scritti su oggetto sociale, autonomia statutaria e modifiche dell’atto costitutivo</w:t>
      </w:r>
      <w:r w:rsidRPr="001F1A80">
        <w:rPr>
          <w:rFonts w:ascii="Times New Roman" w:hAnsi="Times New Roman" w:cs="Times New Roman"/>
          <w:sz w:val="24"/>
          <w:szCs w:val="24"/>
        </w:rPr>
        <w:t xml:space="preserve">, in </w:t>
      </w:r>
      <w:r w:rsidRPr="001F1A80">
        <w:rPr>
          <w:rFonts w:ascii="Times New Roman" w:hAnsi="Times New Roman" w:cs="Times New Roman"/>
          <w:i/>
          <w:iCs/>
          <w:sz w:val="24"/>
          <w:szCs w:val="24"/>
        </w:rPr>
        <w:t>Rivista delle società</w:t>
      </w:r>
      <w:r w:rsidRPr="001F1A80">
        <w:rPr>
          <w:rFonts w:ascii="Times New Roman" w:hAnsi="Times New Roman" w:cs="Times New Roman"/>
          <w:sz w:val="24"/>
          <w:szCs w:val="24"/>
        </w:rPr>
        <w:t xml:space="preserve">, 2005. </w:t>
      </w:r>
    </w:p>
    <w:p w14:paraId="4B68575D" w14:textId="4C512102" w:rsidR="001F1A80"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G. WALKER</w:t>
      </w:r>
      <w:r w:rsidRPr="001F1A80">
        <w:rPr>
          <w:rFonts w:ascii="Times New Roman" w:hAnsi="Times New Roman" w:cs="Times New Roman"/>
          <w:sz w:val="24"/>
          <w:szCs w:val="24"/>
          <w:lang w:val="en-US"/>
        </w:rPr>
        <w:t xml:space="preserve">, P. DEVINE-WRIGHT, </w:t>
      </w:r>
      <w:r w:rsidRPr="001F1A80">
        <w:rPr>
          <w:rFonts w:ascii="Times New Roman" w:hAnsi="Times New Roman" w:cs="Times New Roman"/>
          <w:i/>
          <w:iCs/>
          <w:sz w:val="24"/>
          <w:szCs w:val="24"/>
          <w:lang w:val="en-US"/>
        </w:rPr>
        <w:t>Community Renewable Energy</w:t>
      </w:r>
      <w:r w:rsidRPr="001F1A80">
        <w:rPr>
          <w:rFonts w:ascii="Times New Roman" w:hAnsi="Times New Roman" w:cs="Times New Roman"/>
          <w:sz w:val="24"/>
          <w:szCs w:val="24"/>
          <w:lang w:val="en-US"/>
        </w:rPr>
        <w:t xml:space="preserve">, in </w:t>
      </w:r>
      <w:r w:rsidRPr="001F1A80">
        <w:rPr>
          <w:rFonts w:ascii="Times New Roman" w:hAnsi="Times New Roman" w:cs="Times New Roman"/>
          <w:i/>
          <w:iCs/>
          <w:sz w:val="24"/>
          <w:szCs w:val="24"/>
          <w:lang w:val="en-US"/>
        </w:rPr>
        <w:t>Energy Policy</w:t>
      </w:r>
      <w:r w:rsidRPr="001F1A80">
        <w:rPr>
          <w:rFonts w:ascii="Times New Roman" w:hAnsi="Times New Roman" w:cs="Times New Roman"/>
          <w:sz w:val="24"/>
          <w:szCs w:val="24"/>
          <w:lang w:val="en-US"/>
        </w:rPr>
        <w:t xml:space="preserve">, 2008, p. 497. </w:t>
      </w:r>
    </w:p>
    <w:p w14:paraId="6297B484" w14:textId="5F6C2477" w:rsidR="00506CC7" w:rsidRPr="001F1A80" w:rsidRDefault="001F1A80" w:rsidP="001F1A80">
      <w:pPr>
        <w:spacing w:line="360" w:lineRule="auto"/>
        <w:ind w:left="170"/>
        <w:contextualSpacing/>
        <w:jc w:val="both"/>
        <w:rPr>
          <w:rFonts w:ascii="Times New Roman" w:hAnsi="Times New Roman" w:cs="Times New Roman"/>
          <w:sz w:val="24"/>
          <w:szCs w:val="24"/>
          <w:lang w:val="en-US"/>
        </w:rPr>
      </w:pPr>
      <w:r w:rsidRPr="001F1A80">
        <w:rPr>
          <w:rFonts w:ascii="Times New Roman" w:hAnsi="Times New Roman" w:cs="Times New Roman"/>
          <w:b/>
          <w:bCs/>
          <w:sz w:val="24"/>
          <w:szCs w:val="24"/>
          <w:lang w:val="en-US"/>
        </w:rPr>
        <w:t>G. SEYFANG</w:t>
      </w:r>
      <w:r w:rsidRPr="001F1A80">
        <w:rPr>
          <w:rFonts w:ascii="Times New Roman" w:hAnsi="Times New Roman" w:cs="Times New Roman"/>
          <w:sz w:val="24"/>
          <w:szCs w:val="24"/>
          <w:lang w:val="en-US"/>
        </w:rPr>
        <w:t xml:space="preserve"> et al., </w:t>
      </w:r>
      <w:r w:rsidRPr="001F1A80">
        <w:rPr>
          <w:rFonts w:ascii="Times New Roman" w:hAnsi="Times New Roman" w:cs="Times New Roman"/>
          <w:i/>
          <w:iCs/>
          <w:sz w:val="24"/>
          <w:szCs w:val="24"/>
          <w:lang w:val="en-US"/>
        </w:rPr>
        <w:t xml:space="preserve">A Grassroots Sustainable Energy </w:t>
      </w:r>
      <w:proofErr w:type="gramStart"/>
      <w:r w:rsidRPr="001F1A80">
        <w:rPr>
          <w:rFonts w:ascii="Times New Roman" w:hAnsi="Times New Roman" w:cs="Times New Roman"/>
          <w:i/>
          <w:iCs/>
          <w:sz w:val="24"/>
          <w:szCs w:val="24"/>
          <w:lang w:val="en-US"/>
        </w:rPr>
        <w:t>Niche?</w:t>
      </w:r>
      <w:r w:rsidRPr="001F1A80">
        <w:rPr>
          <w:rFonts w:ascii="Times New Roman" w:hAnsi="Times New Roman" w:cs="Times New Roman"/>
          <w:sz w:val="24"/>
          <w:szCs w:val="24"/>
          <w:lang w:val="en-US"/>
        </w:rPr>
        <w:t>,</w:t>
      </w:r>
      <w:proofErr w:type="gramEnd"/>
      <w:r w:rsidRPr="001F1A80">
        <w:rPr>
          <w:rFonts w:ascii="Times New Roman" w:hAnsi="Times New Roman" w:cs="Times New Roman"/>
          <w:sz w:val="24"/>
          <w:szCs w:val="24"/>
          <w:lang w:val="en-US"/>
        </w:rPr>
        <w:t xml:space="preserve"> in </w:t>
      </w:r>
      <w:r w:rsidRPr="001F1A80">
        <w:rPr>
          <w:rFonts w:ascii="Times New Roman" w:hAnsi="Times New Roman" w:cs="Times New Roman"/>
          <w:i/>
          <w:iCs/>
          <w:sz w:val="24"/>
          <w:szCs w:val="24"/>
          <w:lang w:val="en-US"/>
        </w:rPr>
        <w:t>Environmental Innovation and Societal Transitions</w:t>
      </w:r>
      <w:r w:rsidRPr="001F1A80">
        <w:rPr>
          <w:rFonts w:ascii="Times New Roman" w:hAnsi="Times New Roman" w:cs="Times New Roman"/>
          <w:sz w:val="24"/>
          <w:szCs w:val="24"/>
          <w:lang w:val="en-US"/>
        </w:rPr>
        <w:t>, 2014, pp. 21-44.</w:t>
      </w:r>
    </w:p>
    <w:p w14:paraId="6EF5145D" w14:textId="4B1B1B09" w:rsidR="00D200FB" w:rsidRPr="004F02EB" w:rsidRDefault="00D200FB" w:rsidP="00DF358B">
      <w:pPr>
        <w:spacing w:after="160" w:line="360" w:lineRule="auto"/>
        <w:contextualSpacing/>
        <w:jc w:val="both"/>
        <w:rPr>
          <w:rFonts w:ascii="Times New Roman" w:hAnsi="Times New Roman" w:cs="Times New Roman"/>
          <w:sz w:val="24"/>
          <w:szCs w:val="24"/>
          <w:lang w:val="fr-FR"/>
        </w:rPr>
      </w:pPr>
    </w:p>
    <w:p w14:paraId="7D576FC4" w14:textId="77777777" w:rsidR="006A43EE" w:rsidRPr="00DF358B" w:rsidRDefault="006A43EE" w:rsidP="00DF358B">
      <w:pPr>
        <w:spacing w:after="160" w:line="360" w:lineRule="auto"/>
        <w:contextualSpacing/>
        <w:jc w:val="both"/>
        <w:rPr>
          <w:rFonts w:ascii="Times New Roman" w:hAnsi="Times New Roman" w:cs="Times New Roman"/>
          <w:b/>
          <w:bCs/>
          <w:sz w:val="24"/>
          <w:szCs w:val="24"/>
        </w:rPr>
      </w:pPr>
      <w:r w:rsidRPr="00DF358B">
        <w:rPr>
          <w:rFonts w:ascii="Times New Roman" w:hAnsi="Times New Roman" w:cs="Times New Roman"/>
          <w:b/>
          <w:bCs/>
          <w:sz w:val="24"/>
          <w:szCs w:val="24"/>
        </w:rPr>
        <w:t>Giurisprudenza.</w:t>
      </w:r>
    </w:p>
    <w:p w14:paraId="4C7982CB" w14:textId="33ED395E"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Corte costituzionale, sentenza n. 44 del 2011</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6C9B7B16" w14:textId="66246C78"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Corte costituzionale, sentenza n. 148 del 2019</w:t>
      </w:r>
      <w:r w:rsidR="00DF358B">
        <w:rPr>
          <w:rFonts w:ascii="Times New Roman" w:hAnsi="Times New Roman" w:cs="Times New Roman"/>
          <w:sz w:val="24"/>
          <w:szCs w:val="24"/>
        </w:rPr>
        <w:t>.</w:t>
      </w:r>
    </w:p>
    <w:p w14:paraId="23CDF6ED" w14:textId="755F1EBF"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Corte costituzionale, sentenza n. 46 del 2021</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2F86A65C" w14:textId="7A9A2090"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lastRenderedPageBreak/>
        <w:t>Corte costituzionale, sentenza n. 184 del 2025</w:t>
      </w:r>
      <w:r w:rsidR="00DF358B">
        <w:rPr>
          <w:rFonts w:ascii="Times New Roman" w:hAnsi="Times New Roman" w:cs="Times New Roman"/>
          <w:sz w:val="24"/>
          <w:szCs w:val="24"/>
        </w:rPr>
        <w:t>.</w:t>
      </w:r>
    </w:p>
    <w:p w14:paraId="77982CE3" w14:textId="3AF91B84"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1020 del 2010</w:t>
      </w:r>
      <w:r w:rsidR="00DF358B">
        <w:rPr>
          <w:rFonts w:ascii="Times New Roman" w:hAnsi="Times New Roman" w:cs="Times New Roman"/>
          <w:sz w:val="24"/>
          <w:szCs w:val="24"/>
        </w:rPr>
        <w:t>.</w:t>
      </w:r>
    </w:p>
    <w:p w14:paraId="23FF035E" w14:textId="66B12FA1"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3990 del 2012</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0930ED37" w14:textId="0FB2598E"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2464 del 2022</w:t>
      </w:r>
      <w:r w:rsidR="00DF358B">
        <w:rPr>
          <w:rFonts w:ascii="Times New Roman" w:hAnsi="Times New Roman" w:cs="Times New Roman"/>
          <w:sz w:val="24"/>
          <w:szCs w:val="24"/>
        </w:rPr>
        <w:t>.</w:t>
      </w:r>
    </w:p>
    <w:p w14:paraId="35091612" w14:textId="3B34278D"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8260 del 2023</w:t>
      </w:r>
      <w:r w:rsidR="00DF358B">
        <w:rPr>
          <w:rFonts w:ascii="Times New Roman" w:hAnsi="Times New Roman" w:cs="Times New Roman"/>
          <w:sz w:val="24"/>
          <w:szCs w:val="24"/>
        </w:rPr>
        <w:t>.</w:t>
      </w:r>
    </w:p>
    <w:p w14:paraId="38A08822" w14:textId="00CE1BEA"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4871 del 2024</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019340CB" w14:textId="6E1EDA0C"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4447 del 2026</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09296751" w14:textId="503A27F8"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4906 del 2026</w:t>
      </w:r>
      <w:r w:rsidR="00DF358B">
        <w:rPr>
          <w:rFonts w:ascii="Times New Roman" w:hAnsi="Times New Roman" w:cs="Times New Roman"/>
          <w:sz w:val="24"/>
          <w:szCs w:val="24"/>
        </w:rPr>
        <w:t>.</w:t>
      </w:r>
    </w:p>
    <w:p w14:paraId="071E5545" w14:textId="05099928"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Consiglio di Stato, sentenza n. 2768 del 2026 Corte dei conti, deliberazione n. 10 del 2025/PASP</w:t>
      </w:r>
      <w:r w:rsidR="00DF358B">
        <w:rPr>
          <w:rFonts w:ascii="Times New Roman" w:hAnsi="Times New Roman" w:cs="Times New Roman"/>
          <w:sz w:val="24"/>
          <w:szCs w:val="24"/>
        </w:rPr>
        <w:t>.</w:t>
      </w:r>
    </w:p>
    <w:p w14:paraId="31B9D9DC" w14:textId="1E7CA8C3"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Corte dei conti, deliberazione n. 134 del 2025/PASP</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41E7A3B0" w14:textId="2071A97D"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Corte dei conti, deliberazione n. 135 del 2025/PASP</w:t>
      </w:r>
      <w:r w:rsidR="00DF358B">
        <w:rPr>
          <w:rFonts w:ascii="Times New Roman" w:hAnsi="Times New Roman" w:cs="Times New Roman"/>
          <w:sz w:val="24"/>
          <w:szCs w:val="24"/>
        </w:rPr>
        <w:t>.</w:t>
      </w:r>
    </w:p>
    <w:p w14:paraId="6E7F7DD0" w14:textId="203FC861"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Corte dei conti, deliberazione n. 140 del 2025/PASP</w:t>
      </w:r>
      <w:r w:rsidR="00DF358B">
        <w:rPr>
          <w:rFonts w:ascii="Times New Roman" w:hAnsi="Times New Roman" w:cs="Times New Roman"/>
          <w:sz w:val="24"/>
          <w:szCs w:val="24"/>
        </w:rPr>
        <w:t>.</w:t>
      </w:r>
    </w:p>
    <w:p w14:paraId="4271D45E" w14:textId="5B1B1412"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la Sicilia, sede di Palermo, sentenza n. 2475 del 2024</w:t>
      </w:r>
      <w:r w:rsidR="00DF358B">
        <w:rPr>
          <w:rFonts w:ascii="Times New Roman" w:hAnsi="Times New Roman" w:cs="Times New Roman"/>
          <w:sz w:val="24"/>
          <w:szCs w:val="24"/>
        </w:rPr>
        <w:t>.</w:t>
      </w:r>
    </w:p>
    <w:p w14:paraId="23ECFAF5" w14:textId="1596EB11"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la Sicilia, sede di Palermo, sentenza n. 2482 del 2024</w:t>
      </w:r>
      <w:r w:rsidR="00DF358B">
        <w:rPr>
          <w:rFonts w:ascii="Times New Roman" w:hAnsi="Times New Roman" w:cs="Times New Roman"/>
          <w:sz w:val="24"/>
          <w:szCs w:val="24"/>
        </w:rPr>
        <w:t>.</w:t>
      </w:r>
    </w:p>
    <w:p w14:paraId="5564568E" w14:textId="3431B89C"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l’Umbria, sentenza n. 591 del 2024</w:t>
      </w:r>
      <w:r w:rsidR="00DF358B">
        <w:rPr>
          <w:rFonts w:ascii="Times New Roman" w:hAnsi="Times New Roman" w:cs="Times New Roman"/>
          <w:sz w:val="24"/>
          <w:szCs w:val="24"/>
        </w:rPr>
        <w:t>.</w:t>
      </w:r>
    </w:p>
    <w:p w14:paraId="69808890" w14:textId="3B3ADD4C"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Lazio, sede di Roma, sentenza n. 9155 del 2025</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7D153836" w14:textId="77777777" w:rsid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 xml:space="preserve">Tribunale Amministrativo Regionale per il Lazio, sede di Roma, sentenze </w:t>
      </w:r>
      <w:proofErr w:type="spellStart"/>
      <w:r w:rsidRPr="00DF358B">
        <w:rPr>
          <w:rFonts w:ascii="Times New Roman" w:hAnsi="Times New Roman" w:cs="Times New Roman"/>
          <w:sz w:val="24"/>
          <w:szCs w:val="24"/>
        </w:rPr>
        <w:t>nn</w:t>
      </w:r>
      <w:proofErr w:type="spellEnd"/>
      <w:r w:rsidRPr="00DF358B">
        <w:rPr>
          <w:rFonts w:ascii="Times New Roman" w:hAnsi="Times New Roman" w:cs="Times New Roman"/>
          <w:sz w:val="24"/>
          <w:szCs w:val="24"/>
        </w:rPr>
        <w:t>. 9160, 9165, 9166, 9167 del 2025</w:t>
      </w:r>
      <w:r w:rsidR="00DF358B">
        <w:rPr>
          <w:rFonts w:ascii="Times New Roman" w:hAnsi="Times New Roman" w:cs="Times New Roman"/>
          <w:sz w:val="24"/>
          <w:szCs w:val="24"/>
        </w:rPr>
        <w:t>.</w:t>
      </w:r>
    </w:p>
    <w:p w14:paraId="492F3A51" w14:textId="5062E5C3"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Lazio, sede di Roma, sentenza n. 16241 del 2025</w:t>
      </w:r>
      <w:r w:rsidR="00DF358B" w:rsidRPr="00DF358B">
        <w:rPr>
          <w:rFonts w:ascii="Times New Roman" w:hAnsi="Times New Roman" w:cs="Times New Roman"/>
          <w:sz w:val="24"/>
          <w:szCs w:val="24"/>
        </w:rPr>
        <w:t xml:space="preserve">. </w:t>
      </w:r>
    </w:p>
    <w:p w14:paraId="33DD1603" w14:textId="5A74340A"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la Sardegna, sede di Cagliari, sentenza n. 1163 del 2025</w:t>
      </w:r>
      <w:r w:rsidR="00DF358B">
        <w:rPr>
          <w:rFonts w:ascii="Times New Roman" w:hAnsi="Times New Roman" w:cs="Times New Roman"/>
          <w:sz w:val="24"/>
          <w:szCs w:val="24"/>
        </w:rPr>
        <w:t>.</w:t>
      </w:r>
    </w:p>
    <w:p w14:paraId="39BCD69D" w14:textId="730D170F"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Lecce, sentenza n. 516 del 2026</w:t>
      </w:r>
      <w:r w:rsidR="00DF358B">
        <w:rPr>
          <w:rFonts w:ascii="Times New Roman" w:hAnsi="Times New Roman" w:cs="Times New Roman"/>
          <w:sz w:val="24"/>
          <w:szCs w:val="24"/>
        </w:rPr>
        <w:t>.</w:t>
      </w:r>
    </w:p>
    <w:p w14:paraId="1C8206AD" w14:textId="3A5B996D"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Campobasso, sentenza n. 143 del 2026</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4346D2D2" w14:textId="73AAEA39"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 xml:space="preserve">Tribunale Amministrativo Regionale per il Venezia, sentenze </w:t>
      </w:r>
      <w:proofErr w:type="spellStart"/>
      <w:r w:rsidRPr="00DF358B">
        <w:rPr>
          <w:rFonts w:ascii="Times New Roman" w:hAnsi="Times New Roman" w:cs="Times New Roman"/>
          <w:sz w:val="24"/>
          <w:szCs w:val="24"/>
        </w:rPr>
        <w:t>nn</w:t>
      </w:r>
      <w:proofErr w:type="spellEnd"/>
      <w:r w:rsidRPr="00DF358B">
        <w:rPr>
          <w:rFonts w:ascii="Times New Roman" w:hAnsi="Times New Roman" w:cs="Times New Roman"/>
          <w:sz w:val="24"/>
          <w:szCs w:val="24"/>
        </w:rPr>
        <w:t>. 754, 772, 825 del 2026</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0F129011" w14:textId="6F21D409"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 xml:space="preserve">Tribunale Amministrativo Regionale per il Torino, sentenze </w:t>
      </w:r>
      <w:proofErr w:type="spellStart"/>
      <w:r w:rsidRPr="00DF358B">
        <w:rPr>
          <w:rFonts w:ascii="Times New Roman" w:hAnsi="Times New Roman" w:cs="Times New Roman"/>
          <w:sz w:val="24"/>
          <w:szCs w:val="24"/>
        </w:rPr>
        <w:t>nn</w:t>
      </w:r>
      <w:proofErr w:type="spellEnd"/>
      <w:r w:rsidRPr="00DF358B">
        <w:rPr>
          <w:rFonts w:ascii="Times New Roman" w:hAnsi="Times New Roman" w:cs="Times New Roman"/>
          <w:sz w:val="24"/>
          <w:szCs w:val="24"/>
        </w:rPr>
        <w:t>. 897 e 924 del 2026</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562DA47B" w14:textId="3665F167"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Salerno, sentenza n. 724 del 2026</w:t>
      </w:r>
      <w:r w:rsidR="00DF358B">
        <w:rPr>
          <w:rFonts w:ascii="Times New Roman" w:hAnsi="Times New Roman" w:cs="Times New Roman"/>
          <w:sz w:val="24"/>
          <w:szCs w:val="24"/>
        </w:rPr>
        <w:t>.</w:t>
      </w:r>
    </w:p>
    <w:p w14:paraId="27DD0BC3" w14:textId="4EBD4CC5" w:rsidR="00026542"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l’Ancona, sentenza n. 527 del 2026</w:t>
      </w:r>
      <w:r w:rsidR="00DF358B">
        <w:rPr>
          <w:rFonts w:ascii="Times New Roman" w:hAnsi="Times New Roman" w:cs="Times New Roman"/>
          <w:sz w:val="24"/>
          <w:szCs w:val="24"/>
        </w:rPr>
        <w:t>.</w:t>
      </w:r>
    </w:p>
    <w:p w14:paraId="53B89F99" w14:textId="1F72AC93"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 xml:space="preserve">Tribunale Amministrativo Regionale per il Bologna, sentenze </w:t>
      </w:r>
      <w:proofErr w:type="spellStart"/>
      <w:r w:rsidRPr="00DF358B">
        <w:rPr>
          <w:rFonts w:ascii="Times New Roman" w:hAnsi="Times New Roman" w:cs="Times New Roman"/>
          <w:sz w:val="24"/>
          <w:szCs w:val="24"/>
        </w:rPr>
        <w:t>nn</w:t>
      </w:r>
      <w:proofErr w:type="spellEnd"/>
      <w:r w:rsidRPr="00DF358B">
        <w:rPr>
          <w:rFonts w:ascii="Times New Roman" w:hAnsi="Times New Roman" w:cs="Times New Roman"/>
          <w:sz w:val="24"/>
          <w:szCs w:val="24"/>
        </w:rPr>
        <w:t>. 762 e 771 del 2026</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6CCF9A3A" w14:textId="0B6B8EDE"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Roma, sentenza n. 7692 del 2026</w:t>
      </w:r>
      <w:r w:rsidR="00DF358B">
        <w:rPr>
          <w:rFonts w:ascii="Times New Roman" w:hAnsi="Times New Roman" w:cs="Times New Roman"/>
          <w:sz w:val="24"/>
          <w:szCs w:val="24"/>
        </w:rPr>
        <w:t>.</w:t>
      </w:r>
    </w:p>
    <w:p w14:paraId="735CA79E" w14:textId="21E9CCE7"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Lecce, sentenza n. 807 del 2026</w:t>
      </w:r>
      <w:r w:rsidR="00DF358B">
        <w:rPr>
          <w:rFonts w:ascii="Times New Roman" w:hAnsi="Times New Roman" w:cs="Times New Roman"/>
          <w:sz w:val="24"/>
          <w:szCs w:val="24"/>
        </w:rPr>
        <w:t>.</w:t>
      </w:r>
      <w:r w:rsidRPr="00DF358B">
        <w:rPr>
          <w:rFonts w:ascii="Times New Roman" w:hAnsi="Times New Roman" w:cs="Times New Roman"/>
          <w:sz w:val="24"/>
          <w:szCs w:val="24"/>
        </w:rPr>
        <w:t xml:space="preserve"> </w:t>
      </w:r>
    </w:p>
    <w:p w14:paraId="44973EAD" w14:textId="7355A8B8"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lastRenderedPageBreak/>
        <w:t>Tribunale Amministrativo Regionale per il Trento, sentenza n. 1035 del 2026</w:t>
      </w:r>
      <w:r w:rsidR="00DF358B">
        <w:rPr>
          <w:rFonts w:ascii="Times New Roman" w:hAnsi="Times New Roman" w:cs="Times New Roman"/>
          <w:sz w:val="24"/>
          <w:szCs w:val="24"/>
        </w:rPr>
        <w:t>.</w:t>
      </w:r>
    </w:p>
    <w:p w14:paraId="794C4A70" w14:textId="1E9864F9"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Firenze, sentenza n. 1280 del 2026</w:t>
      </w:r>
      <w:r w:rsidR="00DF358B">
        <w:rPr>
          <w:rFonts w:ascii="Times New Roman" w:hAnsi="Times New Roman" w:cs="Times New Roman"/>
          <w:sz w:val="24"/>
          <w:szCs w:val="24"/>
        </w:rPr>
        <w:t>.</w:t>
      </w:r>
    </w:p>
    <w:p w14:paraId="7ED0917C" w14:textId="197D3802"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Milano, sentenza n. 3278 del 2026</w:t>
      </w:r>
      <w:r w:rsidR="00DF358B">
        <w:rPr>
          <w:rFonts w:ascii="Times New Roman" w:hAnsi="Times New Roman" w:cs="Times New Roman"/>
          <w:sz w:val="24"/>
          <w:szCs w:val="24"/>
        </w:rPr>
        <w:t>.</w:t>
      </w:r>
    </w:p>
    <w:p w14:paraId="226A4A58" w14:textId="54374F26"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Cagliari, sentenza n. 935 del 2026</w:t>
      </w:r>
      <w:r w:rsidR="00DF358B">
        <w:rPr>
          <w:rFonts w:ascii="Times New Roman" w:hAnsi="Times New Roman" w:cs="Times New Roman"/>
          <w:sz w:val="24"/>
          <w:szCs w:val="24"/>
        </w:rPr>
        <w:t>.</w:t>
      </w:r>
    </w:p>
    <w:p w14:paraId="62B2D507" w14:textId="0E286B20"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Roma, sentenza n. 11395 del 2026</w:t>
      </w:r>
      <w:r w:rsidR="00DF358B">
        <w:rPr>
          <w:rFonts w:ascii="Times New Roman" w:hAnsi="Times New Roman" w:cs="Times New Roman"/>
          <w:sz w:val="24"/>
          <w:szCs w:val="24"/>
        </w:rPr>
        <w:t>.</w:t>
      </w:r>
    </w:p>
    <w:p w14:paraId="01A35D31" w14:textId="0A327440"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Palermo, sentenza n. 1856 del 2026</w:t>
      </w:r>
      <w:r w:rsidR="00DF358B">
        <w:rPr>
          <w:rFonts w:ascii="Times New Roman" w:hAnsi="Times New Roman" w:cs="Times New Roman"/>
          <w:sz w:val="24"/>
          <w:szCs w:val="24"/>
        </w:rPr>
        <w:t>.</w:t>
      </w:r>
    </w:p>
    <w:p w14:paraId="733AC6A3" w14:textId="593B7DE6" w:rsidR="00FC0D6A" w:rsidRPr="00DF358B" w:rsidRDefault="00FC0D6A" w:rsidP="00DF358B">
      <w:pPr>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Tribunale Amministrativo Regionale per il Bologna, sentenza n. 1198 del 2026</w:t>
      </w:r>
      <w:r w:rsidR="00026542" w:rsidRPr="00DF358B">
        <w:rPr>
          <w:rFonts w:ascii="Times New Roman" w:hAnsi="Times New Roman" w:cs="Times New Roman"/>
          <w:sz w:val="24"/>
          <w:szCs w:val="24"/>
        </w:rPr>
        <w:t>.</w:t>
      </w:r>
    </w:p>
    <w:p w14:paraId="52EB891F" w14:textId="30F83E55" w:rsidR="00D200FB" w:rsidRPr="00DF358B" w:rsidRDefault="00D200FB" w:rsidP="00D200FB">
      <w:pPr>
        <w:spacing w:after="160" w:line="360" w:lineRule="auto"/>
        <w:ind w:left="170"/>
        <w:contextualSpacing/>
        <w:jc w:val="both"/>
        <w:rPr>
          <w:rFonts w:ascii="Times New Roman" w:hAnsi="Times New Roman" w:cs="Times New Roman"/>
          <w:sz w:val="24"/>
          <w:szCs w:val="24"/>
        </w:rPr>
      </w:pPr>
    </w:p>
    <w:p w14:paraId="2E075DD6" w14:textId="0EC5DD4E" w:rsidR="00D200FB" w:rsidRPr="00DF358B" w:rsidRDefault="00F42101" w:rsidP="00DF358B">
      <w:p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b/>
          <w:bCs/>
          <w:sz w:val="24"/>
          <w:szCs w:val="24"/>
        </w:rPr>
        <w:t>Riferimenti normativi.</w:t>
      </w:r>
    </w:p>
    <w:p w14:paraId="30635DF1"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14/2019.</w:t>
      </w:r>
    </w:p>
    <w:p w14:paraId="6F17B2E6"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36/2023.</w:t>
      </w:r>
    </w:p>
    <w:p w14:paraId="7B372546"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112/2017.</w:t>
      </w:r>
    </w:p>
    <w:p w14:paraId="0D9DFB39"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117/2017.</w:t>
      </w:r>
    </w:p>
    <w:p w14:paraId="00BB78E0"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190/2024.</w:t>
      </w:r>
    </w:p>
    <w:p w14:paraId="3318E193"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199/2021.</w:t>
      </w:r>
    </w:p>
    <w:p w14:paraId="5C9280B8"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201/2022.</w:t>
      </w:r>
    </w:p>
    <w:p w14:paraId="7B6100A6"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267/2000.</w:t>
      </w:r>
    </w:p>
    <w:p w14:paraId="5362D4BE"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D.lgs. n. 387/2003.</w:t>
      </w:r>
    </w:p>
    <w:p w14:paraId="1188615B"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proofErr w:type="spellStart"/>
      <w:r w:rsidRPr="00DF358B">
        <w:rPr>
          <w:rFonts w:ascii="Times New Roman" w:hAnsi="Times New Roman" w:cs="Times New Roman"/>
          <w:sz w:val="24"/>
          <w:szCs w:val="24"/>
        </w:rPr>
        <w:t>D.l.</w:t>
      </w:r>
      <w:proofErr w:type="spellEnd"/>
      <w:r w:rsidRPr="00DF358B">
        <w:rPr>
          <w:rFonts w:ascii="Times New Roman" w:hAnsi="Times New Roman" w:cs="Times New Roman"/>
          <w:sz w:val="24"/>
          <w:szCs w:val="24"/>
        </w:rPr>
        <w:t xml:space="preserve"> n. 173/2022.</w:t>
      </w:r>
    </w:p>
    <w:p w14:paraId="380B9BDA"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Decreto legislativo n. 115/2008.</w:t>
      </w:r>
    </w:p>
    <w:p w14:paraId="3066D216"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Decreto legislativo n. 210/2021.</w:t>
      </w:r>
    </w:p>
    <w:p w14:paraId="7396724D"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Delibera ARERA 318/2020/R/</w:t>
      </w:r>
      <w:proofErr w:type="spellStart"/>
      <w:r w:rsidRPr="00DF358B">
        <w:rPr>
          <w:rFonts w:ascii="Times New Roman" w:hAnsi="Times New Roman" w:cs="Times New Roman"/>
          <w:sz w:val="24"/>
          <w:szCs w:val="24"/>
        </w:rPr>
        <w:t>eel</w:t>
      </w:r>
      <w:proofErr w:type="spellEnd"/>
      <w:r w:rsidRPr="00DF358B">
        <w:rPr>
          <w:rFonts w:ascii="Times New Roman" w:hAnsi="Times New Roman" w:cs="Times New Roman"/>
          <w:sz w:val="24"/>
          <w:szCs w:val="24"/>
        </w:rPr>
        <w:t>.</w:t>
      </w:r>
    </w:p>
    <w:p w14:paraId="6DABEBC8"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Delibera n. 41/2025/G.</w:t>
      </w:r>
    </w:p>
    <w:p w14:paraId="77814293"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Deliberazione n. 17/2023/PASP.</w:t>
      </w:r>
    </w:p>
    <w:p w14:paraId="34E40966"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Deliberazione n. 141/2025/PASP.</w:t>
      </w:r>
    </w:p>
    <w:p w14:paraId="2B495B9B"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Deliberazione n. 161/2024/PAR.</w:t>
      </w:r>
    </w:p>
    <w:p w14:paraId="384C2313"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2010/31.</w:t>
      </w:r>
    </w:p>
    <w:p w14:paraId="5BEA5A9B"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2012/27.</w:t>
      </w:r>
    </w:p>
    <w:p w14:paraId="48A2C9D2"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2015/652.</w:t>
      </w:r>
    </w:p>
    <w:p w14:paraId="28254B24"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2018/2001.</w:t>
      </w:r>
    </w:p>
    <w:p w14:paraId="39C0735A"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2018/2002.</w:t>
      </w:r>
    </w:p>
    <w:p w14:paraId="27162448"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2018/844.</w:t>
      </w:r>
    </w:p>
    <w:p w14:paraId="177A96CE"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lastRenderedPageBreak/>
        <w:t>Direttiva (UE) 2019/944.</w:t>
      </w:r>
    </w:p>
    <w:p w14:paraId="54F81C99"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2023/1791.</w:t>
      </w:r>
    </w:p>
    <w:p w14:paraId="4D6E0986"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Direttiva (UE) 2023/2413.</w:t>
      </w:r>
    </w:p>
    <w:p w14:paraId="117041C2"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(CE) n. 1303/2013.</w:t>
      </w:r>
    </w:p>
    <w:p w14:paraId="1A976E6B"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n. 525/2013.</w:t>
      </w:r>
    </w:p>
    <w:p w14:paraId="3E73C887"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n. 1305/2013.</w:t>
      </w:r>
    </w:p>
    <w:p w14:paraId="7AE0ABB8"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2018/1999.</w:t>
      </w:r>
    </w:p>
    <w:p w14:paraId="1828B964"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2019/942.</w:t>
      </w:r>
    </w:p>
    <w:p w14:paraId="6D5CFB6E"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2019/943.</w:t>
      </w:r>
    </w:p>
    <w:p w14:paraId="23269D74"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2020/852.</w:t>
      </w:r>
    </w:p>
    <w:p w14:paraId="1B733399"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2021/1119.</w:t>
      </w:r>
    </w:p>
    <w:p w14:paraId="2D8F40DC"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Regolamento (UE) 2021/241.</w:t>
      </w:r>
    </w:p>
    <w:p w14:paraId="0F09FD77"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proofErr w:type="spellStart"/>
      <w:r w:rsidRPr="00DF358B">
        <w:rPr>
          <w:rFonts w:ascii="Times New Roman" w:hAnsi="Times New Roman" w:cs="Times New Roman"/>
          <w:sz w:val="24"/>
          <w:szCs w:val="24"/>
        </w:rPr>
        <w:t>European</w:t>
      </w:r>
      <w:proofErr w:type="spellEnd"/>
      <w:r w:rsidRPr="00DF358B">
        <w:rPr>
          <w:rFonts w:ascii="Times New Roman" w:hAnsi="Times New Roman" w:cs="Times New Roman"/>
          <w:sz w:val="24"/>
          <w:szCs w:val="24"/>
        </w:rPr>
        <w:t xml:space="preserve"> </w:t>
      </w:r>
      <w:proofErr w:type="spellStart"/>
      <w:r w:rsidRPr="00DF358B">
        <w:rPr>
          <w:rFonts w:ascii="Times New Roman" w:hAnsi="Times New Roman" w:cs="Times New Roman"/>
          <w:sz w:val="24"/>
          <w:szCs w:val="24"/>
        </w:rPr>
        <w:t>Climate</w:t>
      </w:r>
      <w:proofErr w:type="spellEnd"/>
      <w:r w:rsidRPr="00DF358B">
        <w:rPr>
          <w:rFonts w:ascii="Times New Roman" w:hAnsi="Times New Roman" w:cs="Times New Roman"/>
          <w:sz w:val="24"/>
          <w:szCs w:val="24"/>
        </w:rPr>
        <w:t xml:space="preserve"> </w:t>
      </w:r>
      <w:proofErr w:type="spellStart"/>
      <w:r w:rsidRPr="00DF358B">
        <w:rPr>
          <w:rFonts w:ascii="Times New Roman" w:hAnsi="Times New Roman" w:cs="Times New Roman"/>
          <w:sz w:val="24"/>
          <w:szCs w:val="24"/>
        </w:rPr>
        <w:t>Law</w:t>
      </w:r>
      <w:proofErr w:type="spellEnd"/>
      <w:r w:rsidRPr="00DF358B">
        <w:rPr>
          <w:rFonts w:ascii="Times New Roman" w:hAnsi="Times New Roman" w:cs="Times New Roman"/>
          <w:sz w:val="24"/>
          <w:szCs w:val="24"/>
        </w:rPr>
        <w:t>.</w:t>
      </w:r>
    </w:p>
    <w:p w14:paraId="6EA88314" w14:textId="77777777"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Legge n. 1/2026.</w:t>
      </w:r>
    </w:p>
    <w:p w14:paraId="57C7A624" w14:textId="71F2F170" w:rsidR="00DF358B" w:rsidRPr="00DF358B" w:rsidRDefault="00DF358B" w:rsidP="00DF358B">
      <w:pPr>
        <w:pStyle w:val="Paragrafoelenco"/>
        <w:numPr>
          <w:ilvl w:val="0"/>
          <w:numId w:val="31"/>
        </w:numPr>
        <w:spacing w:after="160" w:line="360" w:lineRule="auto"/>
        <w:contextualSpacing/>
        <w:jc w:val="both"/>
        <w:rPr>
          <w:rFonts w:ascii="Times New Roman" w:hAnsi="Times New Roman" w:cs="Times New Roman"/>
          <w:sz w:val="24"/>
          <w:szCs w:val="24"/>
        </w:rPr>
      </w:pPr>
      <w:r w:rsidRPr="00DF358B">
        <w:rPr>
          <w:rFonts w:ascii="Times New Roman" w:hAnsi="Times New Roman" w:cs="Times New Roman"/>
          <w:sz w:val="24"/>
          <w:szCs w:val="24"/>
        </w:rPr>
        <w:t>Testo Integrato Autoconsumo Diffuso (TIAD).</w:t>
      </w:r>
    </w:p>
    <w:sectPr w:rsidR="00DF358B" w:rsidRPr="00DF358B" w:rsidSect="00E0221D">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20F5D" w14:textId="77777777" w:rsidR="00471AD1" w:rsidRDefault="00471AD1" w:rsidP="00757124">
      <w:pPr>
        <w:spacing w:after="0" w:line="240" w:lineRule="auto"/>
      </w:pPr>
      <w:r>
        <w:separator/>
      </w:r>
    </w:p>
  </w:endnote>
  <w:endnote w:type="continuationSeparator" w:id="0">
    <w:p w14:paraId="50B08B70" w14:textId="77777777" w:rsidR="00471AD1" w:rsidRDefault="00471AD1" w:rsidP="0075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742625"/>
      <w:docPartObj>
        <w:docPartGallery w:val="Page Numbers (Bottom of Page)"/>
        <w:docPartUnique/>
      </w:docPartObj>
    </w:sdtPr>
    <w:sdtEndPr/>
    <w:sdtContent>
      <w:p w14:paraId="46F49B81" w14:textId="2C3ACA4F" w:rsidR="00DF358B" w:rsidRDefault="00DF358B">
        <w:pPr>
          <w:pStyle w:val="Pidipagina"/>
        </w:pPr>
        <w:r>
          <w:fldChar w:fldCharType="begin"/>
        </w:r>
        <w:r>
          <w:instrText>PAGE   \* MERGEFORMAT</w:instrText>
        </w:r>
        <w:r>
          <w:fldChar w:fldCharType="separate"/>
        </w:r>
        <w:r>
          <w:t>2</w:t>
        </w:r>
        <w:r>
          <w:fldChar w:fldCharType="end"/>
        </w:r>
      </w:p>
    </w:sdtContent>
  </w:sdt>
  <w:p w14:paraId="523FD7B3" w14:textId="77777777" w:rsidR="00DF358B" w:rsidRDefault="00DF3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72555" w14:textId="77777777" w:rsidR="00471AD1" w:rsidRDefault="00471AD1" w:rsidP="00757124">
      <w:pPr>
        <w:spacing w:after="0" w:line="240" w:lineRule="auto"/>
      </w:pPr>
      <w:r>
        <w:separator/>
      </w:r>
    </w:p>
  </w:footnote>
  <w:footnote w:type="continuationSeparator" w:id="0">
    <w:p w14:paraId="3D991917" w14:textId="77777777" w:rsidR="00471AD1" w:rsidRDefault="00471AD1" w:rsidP="00757124">
      <w:pPr>
        <w:spacing w:after="0" w:line="240" w:lineRule="auto"/>
      </w:pPr>
      <w:r>
        <w:continuationSeparator/>
      </w:r>
    </w:p>
  </w:footnote>
  <w:footnote w:id="1">
    <w:p w14:paraId="67FAE7F8"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w:t>
      </w:r>
      <w:bookmarkStart w:id="3" w:name="_Hlk223962323"/>
      <w:r w:rsidRPr="00374D10">
        <w:rPr>
          <w:rFonts w:ascii="Times New Roman" w:hAnsi="Times New Roman" w:cs="Times New Roman"/>
          <w:sz w:val="22"/>
          <w:szCs w:val="22"/>
        </w:rPr>
        <w:t xml:space="preserve">M. BENVENUTI, </w:t>
      </w:r>
      <w:r w:rsidRPr="00374D10">
        <w:rPr>
          <w:rFonts w:ascii="Times New Roman" w:hAnsi="Times New Roman" w:cs="Times New Roman"/>
          <w:i/>
          <w:iCs/>
          <w:sz w:val="22"/>
          <w:szCs w:val="22"/>
        </w:rPr>
        <w:t>Per un diritto amministrativo paritario</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Studi in memoria di Enrico Guicciardi</w:t>
      </w:r>
      <w:r w:rsidRPr="00374D10">
        <w:rPr>
          <w:rFonts w:ascii="Times New Roman" w:hAnsi="Times New Roman" w:cs="Times New Roman"/>
          <w:sz w:val="22"/>
          <w:szCs w:val="22"/>
        </w:rPr>
        <w:t>, Padova 1975, 807 ss.; id.</w:t>
      </w:r>
      <w:r w:rsidRPr="00374D10">
        <w:rPr>
          <w:rFonts w:ascii="Times New Roman" w:hAnsi="Times New Roman" w:cs="Times New Roman"/>
          <w:i/>
          <w:iCs/>
          <w:sz w:val="22"/>
          <w:szCs w:val="22"/>
        </w:rPr>
        <w:t xml:space="preserve"> Diritti Sociali</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Digesto pubbl</w:t>
      </w:r>
      <w:r w:rsidRPr="00374D10">
        <w:rPr>
          <w:rFonts w:ascii="Times New Roman" w:hAnsi="Times New Roman" w:cs="Times New Roman"/>
          <w:sz w:val="22"/>
          <w:szCs w:val="22"/>
        </w:rPr>
        <w:t xml:space="preserve">., Torino 2012, 15; cfr. S. CASSESE, </w:t>
      </w:r>
      <w:r w:rsidRPr="00374D10">
        <w:rPr>
          <w:rFonts w:ascii="Times New Roman" w:hAnsi="Times New Roman" w:cs="Times New Roman"/>
          <w:i/>
          <w:iCs/>
          <w:sz w:val="22"/>
          <w:szCs w:val="22"/>
        </w:rPr>
        <w:t>Stato e mercato dopo privatizzazioni e “deregulation”</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Riv. trim. dir. pubbl.</w:t>
      </w:r>
      <w:r w:rsidRPr="00374D10">
        <w:rPr>
          <w:rFonts w:ascii="Times New Roman" w:hAnsi="Times New Roman" w:cs="Times New Roman"/>
          <w:sz w:val="22"/>
          <w:szCs w:val="22"/>
        </w:rPr>
        <w:t>, 1991, 378 ss.; M.S. GIANNINI, “</w:t>
      </w:r>
      <w:r w:rsidRPr="00374D10">
        <w:rPr>
          <w:rFonts w:ascii="Times New Roman" w:hAnsi="Times New Roman" w:cs="Times New Roman"/>
          <w:i/>
          <w:iCs/>
          <w:sz w:val="22"/>
          <w:szCs w:val="22"/>
        </w:rPr>
        <w:t>Ambiente”: saggio sui diversi suoi aspetti giuridici</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Riv. trim. dir. pubbl.</w:t>
      </w:r>
      <w:r w:rsidRPr="00374D10">
        <w:rPr>
          <w:rFonts w:ascii="Times New Roman" w:hAnsi="Times New Roman" w:cs="Times New Roman"/>
          <w:sz w:val="22"/>
          <w:szCs w:val="22"/>
        </w:rPr>
        <w:t>, 1973, p. 15 ss.</w:t>
      </w:r>
      <w:bookmarkEnd w:id="3"/>
    </w:p>
  </w:footnote>
  <w:footnote w:id="2">
    <w:p w14:paraId="1FA1F9F3"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Invero, nel Rapporto di Gro Harlem Brundtland (1987), Presidente della Commissione Mondiale su Ambiente e Sviluppo, lo </w:t>
      </w:r>
      <w:r w:rsidRPr="00374D10">
        <w:rPr>
          <w:rFonts w:ascii="Times New Roman" w:hAnsi="Times New Roman" w:cs="Times New Roman"/>
          <w:i/>
          <w:iCs/>
          <w:sz w:val="22"/>
          <w:szCs w:val="22"/>
        </w:rPr>
        <w:t>sviluppo sostenibile</w:t>
      </w:r>
      <w:r w:rsidRPr="00374D10">
        <w:rPr>
          <w:rFonts w:ascii="Times New Roman" w:hAnsi="Times New Roman" w:cs="Times New Roman"/>
          <w:sz w:val="22"/>
          <w:szCs w:val="22"/>
        </w:rPr>
        <w:t xml:space="preserve"> viene efficacemente definito come: "</w:t>
      </w:r>
      <w:r w:rsidRPr="00374D10">
        <w:rPr>
          <w:rFonts w:ascii="Times New Roman" w:hAnsi="Times New Roman" w:cs="Times New Roman"/>
          <w:i/>
          <w:iCs/>
          <w:sz w:val="22"/>
          <w:szCs w:val="22"/>
        </w:rPr>
        <w:t>lo sviluppo che è in grado di soddisfare i bisogni della generazione presente, senza compromettere la possibilità che le generazioni future riescano a soddisfare i propri</w:t>
      </w:r>
      <w:r w:rsidRPr="00374D10">
        <w:rPr>
          <w:rFonts w:ascii="Times New Roman" w:hAnsi="Times New Roman" w:cs="Times New Roman"/>
          <w:sz w:val="22"/>
          <w:szCs w:val="22"/>
        </w:rPr>
        <w:t xml:space="preserve">". E ancora si legge </w:t>
      </w:r>
      <w:r w:rsidRPr="00374D10">
        <w:rPr>
          <w:rFonts w:ascii="Times New Roman" w:hAnsi="Times New Roman" w:cs="Times New Roman"/>
          <w:i/>
          <w:iCs/>
          <w:sz w:val="22"/>
          <w:szCs w:val="22"/>
        </w:rPr>
        <w:t>"… La protezione ambientale e lo sviluppo sostenibile devono diventare parte integrante dei mandati di tutti gli enti governativi, organizzazioni internazionali e grandi istituzioni del settore privato; a essi va attribuita la responsabilità di garantire che le loro politiche, programmi e bilanci favoriscano e sostengano attività economicamente ed ecologicamente accettabili a breve e a lungo termine</w:t>
      </w:r>
      <w:r w:rsidRPr="00374D10">
        <w:rPr>
          <w:rFonts w:ascii="Times New Roman" w:hAnsi="Times New Roman" w:cs="Times New Roman"/>
          <w:sz w:val="22"/>
          <w:szCs w:val="22"/>
        </w:rPr>
        <w:t>…”.</w:t>
      </w:r>
    </w:p>
  </w:footnote>
  <w:footnote w:id="3">
    <w:p w14:paraId="23FEA57D"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lang w:val="en-US"/>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lang w:val="en-US"/>
        </w:rPr>
        <w:t xml:space="preserve"> Nel </w:t>
      </w:r>
      <w:proofErr w:type="spellStart"/>
      <w:r w:rsidRPr="00374D10">
        <w:rPr>
          <w:rFonts w:ascii="Times New Roman" w:hAnsi="Times New Roman" w:cs="Times New Roman"/>
          <w:sz w:val="22"/>
          <w:szCs w:val="22"/>
          <w:lang w:val="en-US"/>
        </w:rPr>
        <w:t>definire</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gli</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obiettivi</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dell’Ue</w:t>
      </w:r>
      <w:proofErr w:type="spellEnd"/>
      <w:r w:rsidRPr="00374D10">
        <w:rPr>
          <w:rFonts w:ascii="Times New Roman" w:hAnsi="Times New Roman" w:cs="Times New Roman"/>
          <w:sz w:val="22"/>
          <w:szCs w:val="22"/>
          <w:lang w:val="en-US"/>
        </w:rPr>
        <w:t xml:space="preserve"> la </w:t>
      </w:r>
      <w:proofErr w:type="spellStart"/>
      <w:r w:rsidRPr="00374D10">
        <w:rPr>
          <w:rFonts w:ascii="Times New Roman" w:hAnsi="Times New Roman" w:cs="Times New Roman"/>
          <w:sz w:val="22"/>
          <w:szCs w:val="22"/>
          <w:lang w:val="en-US"/>
        </w:rPr>
        <w:t>citata</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norma</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afferma</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che</w:t>
      </w:r>
      <w:proofErr w:type="spellEnd"/>
      <w:r w:rsidRPr="00374D10">
        <w:rPr>
          <w:rFonts w:ascii="Times New Roman" w:hAnsi="Times New Roman" w:cs="Times New Roman"/>
          <w:sz w:val="22"/>
          <w:szCs w:val="22"/>
          <w:lang w:val="en-US"/>
        </w:rPr>
        <w:t xml:space="preserve"> «</w:t>
      </w:r>
      <w:r w:rsidRPr="00374D10">
        <w:rPr>
          <w:rFonts w:ascii="Times New Roman" w:hAnsi="Times New Roman" w:cs="Times New Roman"/>
          <w:i/>
          <w:iCs/>
          <w:sz w:val="22"/>
          <w:szCs w:val="22"/>
          <w:lang w:val="en-US"/>
        </w:rPr>
        <w:t>The existing seventh recital shall be replaced by the following: 'DETERMINED to promote economic and social progress for their peoples, taking into account the principle of sustainable development and within the context of the accomplishment of the internal market and of reinforced cohesion and environmental protection, and to implement policies ensuring that advances in economic integration are accompanied by parallel progress in other fields</w:t>
      </w:r>
      <w:r w:rsidRPr="00374D10">
        <w:rPr>
          <w:rFonts w:ascii="Times New Roman" w:hAnsi="Times New Roman" w:cs="Times New Roman"/>
          <w:sz w:val="22"/>
          <w:szCs w:val="22"/>
          <w:lang w:val="en-US"/>
        </w:rPr>
        <w:t>».</w:t>
      </w:r>
    </w:p>
  </w:footnote>
  <w:footnote w:id="4">
    <w:p w14:paraId="7B1F6773"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Impostazione peraltro recepita nel nostro diritto interno e, segnatamente, nel Codice dell’ambiente, in cui «</w:t>
      </w:r>
      <w:r w:rsidRPr="00374D10">
        <w:rPr>
          <w:rFonts w:ascii="Times New Roman" w:hAnsi="Times New Roman" w:cs="Times New Roman"/>
          <w:i/>
          <w:iCs/>
          <w:sz w:val="22"/>
          <w:szCs w:val="22"/>
        </w:rPr>
        <w:t>il principio dello sviluppo sostenibile deve consentire di individuare un equilibrato rapporto, nell'ambito delle risorse ereditate, tra quelle da risparmiare e quelle da trasmettere, affinché nell'ambito delle dinamiche della produzione e del consumo si inserisca altresì il principio di solidarietà per salvaguardare e per migliorare la qualità dell'ambiente anche futuro</w:t>
      </w:r>
      <w:r w:rsidRPr="00374D10">
        <w:rPr>
          <w:rFonts w:ascii="Times New Roman" w:hAnsi="Times New Roman" w:cs="Times New Roman"/>
          <w:sz w:val="22"/>
          <w:szCs w:val="22"/>
        </w:rPr>
        <w:t xml:space="preserve">» (art. 3 </w:t>
      </w:r>
      <w:r w:rsidRPr="00374D10">
        <w:rPr>
          <w:rFonts w:ascii="Times New Roman" w:hAnsi="Times New Roman" w:cs="Times New Roman"/>
          <w:i/>
          <w:iCs/>
          <w:sz w:val="22"/>
          <w:szCs w:val="22"/>
        </w:rPr>
        <w:t>quater</w:t>
      </w:r>
      <w:r w:rsidRPr="00374D10">
        <w:rPr>
          <w:rFonts w:ascii="Times New Roman" w:hAnsi="Times New Roman" w:cs="Times New Roman"/>
          <w:sz w:val="22"/>
          <w:szCs w:val="22"/>
        </w:rPr>
        <w:t>, comma 3, introdotto dall’art. 1, comma 2, del D. Lgs. 16 gennaio 2008, n. 4).</w:t>
      </w:r>
    </w:p>
  </w:footnote>
  <w:footnote w:id="5">
    <w:p w14:paraId="7ED0AC12"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In tale sede l’UE ha presentato la sua strategia a lungo termine per la riduzione delle emissioni e i suoi piani aggiornati in materia di clima (contributo determinato a livello nazionale, NDC) prima della fine del 2020, impegnandosi a ridurre le sue emissioni entro il 2030 di almeno il 55% rispetto ai livelli del 1990, nell'intento di progredire verso il conseguimento della neutralità climatica entro il 2050.</w:t>
      </w:r>
    </w:p>
  </w:footnote>
  <w:footnote w:id="6">
    <w:p w14:paraId="26663423"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Come noto, </w:t>
      </w:r>
      <w:bookmarkStart w:id="4" w:name="_Hlk224749694"/>
      <w:r w:rsidRPr="00374D10">
        <w:rPr>
          <w:rFonts w:ascii="Times New Roman" w:hAnsi="Times New Roman" w:cs="Times New Roman"/>
          <w:sz w:val="22"/>
          <w:szCs w:val="22"/>
        </w:rPr>
        <w:t>il 24 giugno 2021, il Parlamento ha approvato la Legge Europea sul Clima, che rende giuridicamente vincolante l'obiettivo di ridurre le emissioni del 55% entro il 2030 e la </w:t>
      </w:r>
      <w:hyperlink r:id="rId1" w:tgtFrame="_blank" w:history="1">
        <w:r w:rsidRPr="00374D10">
          <w:rPr>
            <w:rStyle w:val="Collegamentoipertestuale"/>
            <w:rFonts w:ascii="Times New Roman" w:hAnsi="Times New Roman" w:cs="Times New Roman"/>
            <w:sz w:val="22"/>
            <w:szCs w:val="22"/>
          </w:rPr>
          <w:t>neutralità climatica</w:t>
        </w:r>
      </w:hyperlink>
      <w:r w:rsidRPr="00374D10">
        <w:rPr>
          <w:rFonts w:ascii="Times New Roman" w:hAnsi="Times New Roman" w:cs="Times New Roman"/>
          <w:sz w:val="22"/>
          <w:szCs w:val="22"/>
        </w:rPr>
        <w:t> entro il 2050 per tutti i paese Ue.</w:t>
      </w:r>
    </w:p>
    <w:bookmarkEnd w:id="4"/>
  </w:footnote>
  <w:footnote w:id="7">
    <w:p w14:paraId="39EAF776"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L’approccio olistico del – non più – recente programma europeo emerge chiaramente anche dalla pluralità di atti settoriali e strategie che ne costituiscono l’attuazione progressiva, tra cui la Strategia dell’Unione europea sulla biodiversità per il 2030 (</w:t>
      </w:r>
      <w:r w:rsidRPr="00374D10">
        <w:rPr>
          <w:rFonts w:ascii="Times New Roman" w:hAnsi="Times New Roman" w:cs="Times New Roman"/>
          <w:i/>
          <w:iCs/>
          <w:sz w:val="22"/>
          <w:szCs w:val="22"/>
        </w:rPr>
        <w:t xml:space="preserve">COM(2020) 380 </w:t>
      </w:r>
      <w:proofErr w:type="spellStart"/>
      <w:r w:rsidRPr="00374D10">
        <w:rPr>
          <w:rFonts w:ascii="Times New Roman" w:hAnsi="Times New Roman" w:cs="Times New Roman"/>
          <w:i/>
          <w:iCs/>
          <w:sz w:val="22"/>
          <w:szCs w:val="22"/>
        </w:rPr>
        <w:t>final</w:t>
      </w:r>
      <w:proofErr w:type="spellEnd"/>
      <w:r w:rsidRPr="00374D10">
        <w:rPr>
          <w:rFonts w:ascii="Times New Roman" w:hAnsi="Times New Roman" w:cs="Times New Roman"/>
          <w:sz w:val="22"/>
          <w:szCs w:val="22"/>
        </w:rPr>
        <w:t xml:space="preserve">), la strategia </w:t>
      </w:r>
      <w:r w:rsidRPr="00374D10">
        <w:rPr>
          <w:rFonts w:ascii="Times New Roman" w:hAnsi="Times New Roman" w:cs="Times New Roman"/>
          <w:i/>
          <w:iCs/>
          <w:sz w:val="22"/>
          <w:szCs w:val="22"/>
        </w:rPr>
        <w:t xml:space="preserve">“From Farm to </w:t>
      </w:r>
      <w:proofErr w:type="spellStart"/>
      <w:r w:rsidRPr="00374D10">
        <w:rPr>
          <w:rFonts w:ascii="Times New Roman" w:hAnsi="Times New Roman" w:cs="Times New Roman"/>
          <w:i/>
          <w:iCs/>
          <w:sz w:val="22"/>
          <w:szCs w:val="22"/>
        </w:rPr>
        <w:t>Fork</w:t>
      </w:r>
      <w:proofErr w:type="spellEnd"/>
      <w:r w:rsidRPr="00374D10">
        <w:rPr>
          <w:rFonts w:ascii="Times New Roman" w:hAnsi="Times New Roman" w:cs="Times New Roman"/>
          <w:i/>
          <w:iCs/>
          <w:sz w:val="22"/>
          <w:szCs w:val="22"/>
        </w:rPr>
        <w:t>”</w:t>
      </w:r>
      <w:r w:rsidRPr="00374D10">
        <w:rPr>
          <w:rFonts w:ascii="Times New Roman" w:hAnsi="Times New Roman" w:cs="Times New Roman"/>
          <w:sz w:val="22"/>
          <w:szCs w:val="22"/>
        </w:rPr>
        <w:t xml:space="preserve"> (</w:t>
      </w:r>
      <w:r w:rsidRPr="00374D10">
        <w:rPr>
          <w:rFonts w:ascii="Times New Roman" w:hAnsi="Times New Roman" w:cs="Times New Roman"/>
          <w:i/>
          <w:iCs/>
          <w:sz w:val="22"/>
          <w:szCs w:val="22"/>
        </w:rPr>
        <w:t xml:space="preserve">COM(2020) 381 </w:t>
      </w:r>
      <w:proofErr w:type="spellStart"/>
      <w:r w:rsidRPr="00374D10">
        <w:rPr>
          <w:rFonts w:ascii="Times New Roman" w:hAnsi="Times New Roman" w:cs="Times New Roman"/>
          <w:i/>
          <w:iCs/>
          <w:sz w:val="22"/>
          <w:szCs w:val="22"/>
        </w:rPr>
        <w:t>final</w:t>
      </w:r>
      <w:proofErr w:type="spellEnd"/>
      <w:r w:rsidRPr="00374D10">
        <w:rPr>
          <w:rFonts w:ascii="Times New Roman" w:hAnsi="Times New Roman" w:cs="Times New Roman"/>
          <w:sz w:val="22"/>
          <w:szCs w:val="22"/>
        </w:rPr>
        <w:t>), nonché il pacchetto legislativo “</w:t>
      </w:r>
      <w:proofErr w:type="spellStart"/>
      <w:r w:rsidRPr="00374D10">
        <w:rPr>
          <w:rFonts w:ascii="Times New Roman" w:hAnsi="Times New Roman" w:cs="Times New Roman"/>
          <w:sz w:val="22"/>
          <w:szCs w:val="22"/>
        </w:rPr>
        <w:t>Fit</w:t>
      </w:r>
      <w:proofErr w:type="spellEnd"/>
      <w:r w:rsidRPr="00374D10">
        <w:rPr>
          <w:rFonts w:ascii="Times New Roman" w:hAnsi="Times New Roman" w:cs="Times New Roman"/>
          <w:sz w:val="22"/>
          <w:szCs w:val="22"/>
        </w:rPr>
        <w:t xml:space="preserve"> for 55”, presentato dalla Commissione nel luglio 2021, volto ad adeguare l’intero quadro normativo europeo agli obiettivi climatici rafforzati, da cui deriva una architettura normativa multilivello caratterizzata da una crescente interconnessione tra politiche ambientali, energetiche, industriali e finanziarie, destinata a vincolare progressivamente l’azione degli Stati membri.</w:t>
      </w:r>
    </w:p>
  </w:footnote>
  <w:footnote w:id="8">
    <w:p w14:paraId="06242E0E"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lang w:val="fr-FR"/>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ONU-UNDESA (</w:t>
      </w:r>
      <w:proofErr w:type="spellStart"/>
      <w:r w:rsidRPr="00374D10">
        <w:rPr>
          <w:rFonts w:ascii="Times New Roman" w:hAnsi="Times New Roman" w:cs="Times New Roman"/>
          <w:sz w:val="22"/>
          <w:szCs w:val="22"/>
        </w:rPr>
        <w:t>Division</w:t>
      </w:r>
      <w:proofErr w:type="spellEnd"/>
      <w:r w:rsidRPr="00374D10">
        <w:rPr>
          <w:rFonts w:ascii="Times New Roman" w:hAnsi="Times New Roman" w:cs="Times New Roman"/>
          <w:sz w:val="22"/>
          <w:szCs w:val="22"/>
        </w:rPr>
        <w:t xml:space="preserve"> for </w:t>
      </w:r>
      <w:proofErr w:type="spellStart"/>
      <w:r w:rsidRPr="00374D10">
        <w:rPr>
          <w:rFonts w:ascii="Times New Roman" w:hAnsi="Times New Roman" w:cs="Times New Roman"/>
          <w:sz w:val="22"/>
          <w:szCs w:val="22"/>
        </w:rPr>
        <w:t>Sustainable</w:t>
      </w:r>
      <w:proofErr w:type="spellEnd"/>
      <w:r w:rsidRPr="00374D10">
        <w:rPr>
          <w:rFonts w:ascii="Times New Roman" w:hAnsi="Times New Roman" w:cs="Times New Roman"/>
          <w:sz w:val="22"/>
          <w:szCs w:val="22"/>
        </w:rPr>
        <w:t xml:space="preserve"> Development), </w:t>
      </w:r>
      <w:r w:rsidRPr="00374D10">
        <w:rPr>
          <w:rFonts w:ascii="Times New Roman" w:hAnsi="Times New Roman" w:cs="Times New Roman"/>
          <w:i/>
          <w:iCs/>
          <w:sz w:val="22"/>
          <w:szCs w:val="22"/>
        </w:rPr>
        <w:t xml:space="preserve">A </w:t>
      </w:r>
      <w:proofErr w:type="spellStart"/>
      <w:r w:rsidRPr="00374D10">
        <w:rPr>
          <w:rFonts w:ascii="Times New Roman" w:hAnsi="Times New Roman" w:cs="Times New Roman"/>
          <w:i/>
          <w:iCs/>
          <w:sz w:val="22"/>
          <w:szCs w:val="22"/>
        </w:rPr>
        <w:t>Guidebook</w:t>
      </w:r>
      <w:proofErr w:type="spellEnd"/>
      <w:r w:rsidRPr="00374D10">
        <w:rPr>
          <w:rFonts w:ascii="Times New Roman" w:hAnsi="Times New Roman" w:cs="Times New Roman"/>
          <w:i/>
          <w:iCs/>
          <w:sz w:val="22"/>
          <w:szCs w:val="22"/>
        </w:rPr>
        <w:t xml:space="preserve"> to Green Economy</w:t>
      </w:r>
      <w:r w:rsidRPr="00374D10">
        <w:rPr>
          <w:rFonts w:ascii="Times New Roman" w:hAnsi="Times New Roman" w:cs="Times New Roman"/>
          <w:sz w:val="22"/>
          <w:szCs w:val="22"/>
        </w:rPr>
        <w:t xml:space="preserve">, 2012, in cui la green economy è concepita come strumento volto al conseguimento dello sviluppo sostenibile, al contrasto della crisi climatica e di quella ecologica (attraverso la tutela degli ecosistemi e della biodiversità), nonché al rilancio dell’economia mediante la correzione dei fallimenti del mercato (incentivi, circolarità, superamento della sola misurazione del PIL) e alla promozione di un benessere più inclusivo e di maggiore qualità (stili di vita sostenibili, migliore qualità della vita). </w:t>
      </w:r>
      <w:bookmarkStart w:id="5" w:name="_Hlk224749798"/>
      <w:proofErr w:type="spellStart"/>
      <w:r w:rsidRPr="00374D10">
        <w:rPr>
          <w:rFonts w:ascii="Times New Roman" w:hAnsi="Times New Roman" w:cs="Times New Roman"/>
          <w:sz w:val="22"/>
          <w:szCs w:val="22"/>
          <w:lang w:val="fr-FR"/>
        </w:rPr>
        <w:t>Rapporto</w:t>
      </w:r>
      <w:proofErr w:type="spellEnd"/>
      <w:r w:rsidRPr="00374D10">
        <w:rPr>
          <w:rFonts w:ascii="Times New Roman" w:hAnsi="Times New Roman" w:cs="Times New Roman"/>
          <w:sz w:val="22"/>
          <w:szCs w:val="22"/>
          <w:lang w:val="fr-FR"/>
        </w:rPr>
        <w:t xml:space="preserve"> </w:t>
      </w:r>
      <w:proofErr w:type="spellStart"/>
      <w:r w:rsidRPr="00374D10">
        <w:rPr>
          <w:rFonts w:ascii="Times New Roman" w:hAnsi="Times New Roman" w:cs="Times New Roman"/>
          <w:sz w:val="22"/>
          <w:szCs w:val="22"/>
          <w:lang w:val="fr-FR"/>
        </w:rPr>
        <w:t>del</w:t>
      </w:r>
      <w:proofErr w:type="spellEnd"/>
      <w:r w:rsidRPr="00374D10">
        <w:rPr>
          <w:rFonts w:ascii="Times New Roman" w:hAnsi="Times New Roman" w:cs="Times New Roman"/>
          <w:sz w:val="22"/>
          <w:szCs w:val="22"/>
          <w:lang w:val="fr-FR"/>
        </w:rPr>
        <w:t xml:space="preserve"> 2011 – UNEP, </w:t>
      </w:r>
      <w:proofErr w:type="spellStart"/>
      <w:r w:rsidRPr="00374D10">
        <w:rPr>
          <w:rFonts w:ascii="Times New Roman" w:hAnsi="Times New Roman" w:cs="Times New Roman"/>
          <w:i/>
          <w:iCs/>
          <w:sz w:val="22"/>
          <w:szCs w:val="22"/>
          <w:lang w:val="fr-FR"/>
        </w:rPr>
        <w:t>Towards</w:t>
      </w:r>
      <w:proofErr w:type="spellEnd"/>
      <w:r w:rsidRPr="00374D10">
        <w:rPr>
          <w:rFonts w:ascii="Times New Roman" w:hAnsi="Times New Roman" w:cs="Times New Roman"/>
          <w:i/>
          <w:iCs/>
          <w:sz w:val="22"/>
          <w:szCs w:val="22"/>
          <w:lang w:val="fr-FR"/>
        </w:rPr>
        <w:t xml:space="preserve"> a Green </w:t>
      </w:r>
      <w:proofErr w:type="gramStart"/>
      <w:r w:rsidRPr="00374D10">
        <w:rPr>
          <w:rFonts w:ascii="Times New Roman" w:hAnsi="Times New Roman" w:cs="Times New Roman"/>
          <w:i/>
          <w:iCs/>
          <w:sz w:val="22"/>
          <w:szCs w:val="22"/>
          <w:lang w:val="fr-FR"/>
        </w:rPr>
        <w:t>Economy:</w:t>
      </w:r>
      <w:proofErr w:type="gramEnd"/>
      <w:r w:rsidRPr="00374D10">
        <w:rPr>
          <w:rFonts w:ascii="Times New Roman" w:hAnsi="Times New Roman" w:cs="Times New Roman"/>
          <w:i/>
          <w:iCs/>
          <w:sz w:val="22"/>
          <w:szCs w:val="22"/>
          <w:lang w:val="fr-FR"/>
        </w:rPr>
        <w:t xml:space="preserve"> </w:t>
      </w:r>
      <w:proofErr w:type="spellStart"/>
      <w:r w:rsidRPr="00374D10">
        <w:rPr>
          <w:rFonts w:ascii="Times New Roman" w:hAnsi="Times New Roman" w:cs="Times New Roman"/>
          <w:i/>
          <w:iCs/>
          <w:sz w:val="22"/>
          <w:szCs w:val="22"/>
          <w:lang w:val="fr-FR"/>
        </w:rPr>
        <w:t>Pathways</w:t>
      </w:r>
      <w:proofErr w:type="spellEnd"/>
      <w:r w:rsidRPr="00374D10">
        <w:rPr>
          <w:rFonts w:ascii="Times New Roman" w:hAnsi="Times New Roman" w:cs="Times New Roman"/>
          <w:i/>
          <w:iCs/>
          <w:sz w:val="22"/>
          <w:szCs w:val="22"/>
          <w:lang w:val="fr-FR"/>
        </w:rPr>
        <w:t xml:space="preserve"> to </w:t>
      </w:r>
      <w:proofErr w:type="spellStart"/>
      <w:r w:rsidRPr="00374D10">
        <w:rPr>
          <w:rFonts w:ascii="Times New Roman" w:hAnsi="Times New Roman" w:cs="Times New Roman"/>
          <w:i/>
          <w:iCs/>
          <w:sz w:val="22"/>
          <w:szCs w:val="22"/>
          <w:lang w:val="fr-FR"/>
        </w:rPr>
        <w:t>Sustainable</w:t>
      </w:r>
      <w:proofErr w:type="spellEnd"/>
      <w:r w:rsidRPr="00374D10">
        <w:rPr>
          <w:rFonts w:ascii="Times New Roman" w:hAnsi="Times New Roman" w:cs="Times New Roman"/>
          <w:i/>
          <w:iCs/>
          <w:sz w:val="22"/>
          <w:szCs w:val="22"/>
          <w:lang w:val="fr-FR"/>
        </w:rPr>
        <w:t xml:space="preserve"> </w:t>
      </w:r>
      <w:proofErr w:type="spellStart"/>
      <w:r w:rsidRPr="00374D10">
        <w:rPr>
          <w:rFonts w:ascii="Times New Roman" w:hAnsi="Times New Roman" w:cs="Times New Roman"/>
          <w:i/>
          <w:iCs/>
          <w:sz w:val="22"/>
          <w:szCs w:val="22"/>
          <w:lang w:val="fr-FR"/>
        </w:rPr>
        <w:t>Development</w:t>
      </w:r>
      <w:proofErr w:type="spellEnd"/>
      <w:r w:rsidRPr="00374D10">
        <w:rPr>
          <w:rFonts w:ascii="Times New Roman" w:hAnsi="Times New Roman" w:cs="Times New Roman"/>
          <w:i/>
          <w:iCs/>
          <w:sz w:val="22"/>
          <w:szCs w:val="22"/>
          <w:lang w:val="fr-FR"/>
        </w:rPr>
        <w:t xml:space="preserve"> and </w:t>
      </w:r>
      <w:proofErr w:type="spellStart"/>
      <w:r w:rsidRPr="00374D10">
        <w:rPr>
          <w:rFonts w:ascii="Times New Roman" w:hAnsi="Times New Roman" w:cs="Times New Roman"/>
          <w:i/>
          <w:iCs/>
          <w:sz w:val="22"/>
          <w:szCs w:val="22"/>
          <w:lang w:val="fr-FR"/>
        </w:rPr>
        <w:t>Poverty</w:t>
      </w:r>
      <w:proofErr w:type="spellEnd"/>
      <w:r w:rsidRPr="00374D10">
        <w:rPr>
          <w:rFonts w:ascii="Times New Roman" w:hAnsi="Times New Roman" w:cs="Times New Roman"/>
          <w:i/>
          <w:iCs/>
          <w:sz w:val="22"/>
          <w:szCs w:val="22"/>
          <w:lang w:val="fr-FR"/>
        </w:rPr>
        <w:t xml:space="preserve"> Eradication</w:t>
      </w:r>
      <w:r w:rsidRPr="00374D10">
        <w:rPr>
          <w:rFonts w:ascii="Times New Roman" w:hAnsi="Times New Roman" w:cs="Times New Roman"/>
          <w:sz w:val="22"/>
          <w:szCs w:val="22"/>
          <w:lang w:val="fr-FR"/>
        </w:rPr>
        <w:t>, 2011 (</w:t>
      </w:r>
      <w:hyperlink r:id="rId2" w:tgtFrame="_new" w:history="1">
        <w:r w:rsidRPr="00374D10">
          <w:rPr>
            <w:rStyle w:val="Collegamentoipertestuale"/>
            <w:rFonts w:ascii="Times New Roman" w:hAnsi="Times New Roman" w:cs="Times New Roman"/>
            <w:sz w:val="22"/>
            <w:szCs w:val="22"/>
            <w:lang w:val="fr-FR"/>
          </w:rPr>
          <w:t>www.unep.org/greeneconomy</w:t>
        </w:r>
      </w:hyperlink>
      <w:r w:rsidRPr="00374D10">
        <w:rPr>
          <w:rFonts w:ascii="Times New Roman" w:hAnsi="Times New Roman" w:cs="Times New Roman"/>
          <w:sz w:val="22"/>
          <w:szCs w:val="22"/>
          <w:lang w:val="fr-FR"/>
        </w:rPr>
        <w:t xml:space="preserve">). </w:t>
      </w:r>
    </w:p>
    <w:p w14:paraId="35078DCD"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Fonts w:ascii="Times New Roman" w:hAnsi="Times New Roman" w:cs="Times New Roman"/>
          <w:sz w:val="22"/>
          <w:szCs w:val="22"/>
        </w:rPr>
        <w:t xml:space="preserve">Il Rapporto, presentato a Nairobi nel febbraio 2011 durante la XXVI sessione ordinaria del </w:t>
      </w:r>
      <w:proofErr w:type="spellStart"/>
      <w:r w:rsidRPr="00374D10">
        <w:rPr>
          <w:rFonts w:ascii="Times New Roman" w:hAnsi="Times New Roman" w:cs="Times New Roman"/>
          <w:sz w:val="22"/>
          <w:szCs w:val="22"/>
        </w:rPr>
        <w:t>Governing</w:t>
      </w:r>
      <w:proofErr w:type="spellEnd"/>
      <w:r w:rsidRPr="00374D10">
        <w:rPr>
          <w:rFonts w:ascii="Times New Roman" w:hAnsi="Times New Roman" w:cs="Times New Roman"/>
          <w:sz w:val="22"/>
          <w:szCs w:val="22"/>
        </w:rPr>
        <w:t xml:space="preserve"> </w:t>
      </w:r>
      <w:proofErr w:type="spellStart"/>
      <w:r w:rsidRPr="00374D10">
        <w:rPr>
          <w:rFonts w:ascii="Times New Roman" w:hAnsi="Times New Roman" w:cs="Times New Roman"/>
          <w:sz w:val="22"/>
          <w:szCs w:val="22"/>
        </w:rPr>
        <w:t>Council</w:t>
      </w:r>
      <w:bookmarkEnd w:id="5"/>
      <w:proofErr w:type="spellEnd"/>
      <w:r w:rsidRPr="00374D10">
        <w:rPr>
          <w:rFonts w:ascii="Times New Roman" w:hAnsi="Times New Roman" w:cs="Times New Roman"/>
          <w:sz w:val="22"/>
          <w:szCs w:val="22"/>
        </w:rPr>
        <w:t>, indicava le azioni necessarie per favorire la transizione verso un’economia verde nel quadro dello sviluppo sostenibile e dell’eliminazione della povertà. A tal fine proponeva di destinare il 2% del prodotto globale annuo (circa 1300 miliardi di dollari USA) alla riconversione ecologica dell’economia in dieci settori chiave: agricoltura, edilizia, energia, pesca, foreste, industria, turismo, trasporti, gestione delle acque e rifiuti. Nella prospettiva del Rapporto, l’investimento nell’economia verde permetterebbe di ridurre la povertà favorendo lo sviluppo, anche nelle economie meno avanzate, nelle quali il 90% del PIL della fascia più povera della popolazione dipende dalle risorse naturali, dalle foreste e dal patrimonio idrico.</w:t>
      </w:r>
    </w:p>
  </w:footnote>
  <w:footnote w:id="9">
    <w:p w14:paraId="7DD7CC95"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lang w:val="en-US"/>
        </w:rPr>
        <w:t xml:space="preserve"> </w:t>
      </w:r>
      <w:bookmarkStart w:id="6" w:name="_Hlk224749852"/>
      <w:bookmarkStart w:id="7" w:name="_Hlk223962297"/>
      <w:r w:rsidRPr="00374D10">
        <w:rPr>
          <w:rFonts w:ascii="Times New Roman" w:hAnsi="Times New Roman" w:cs="Times New Roman"/>
          <w:sz w:val="22"/>
          <w:szCs w:val="22"/>
          <w:lang w:val="en-US"/>
        </w:rPr>
        <w:t>R. GUHA</w:t>
      </w:r>
      <w:r w:rsidRPr="00374D10">
        <w:rPr>
          <w:rFonts w:ascii="Times New Roman" w:hAnsi="Times New Roman" w:cs="Times New Roman"/>
          <w:i/>
          <w:iCs/>
          <w:sz w:val="22"/>
          <w:szCs w:val="22"/>
          <w:lang w:val="en-US"/>
        </w:rPr>
        <w:t>, Environmentalism</w:t>
      </w:r>
      <w:r w:rsidRPr="00374D10">
        <w:rPr>
          <w:rFonts w:ascii="Times New Roman" w:hAnsi="Times New Roman" w:cs="Times New Roman"/>
          <w:sz w:val="22"/>
          <w:szCs w:val="22"/>
          <w:lang w:val="en-US"/>
        </w:rPr>
        <w:t xml:space="preserve">. A Global History, Longman, New York, 2000; P. SANDS, </w:t>
      </w:r>
      <w:r w:rsidRPr="00374D10">
        <w:rPr>
          <w:rFonts w:ascii="Times New Roman" w:hAnsi="Times New Roman" w:cs="Times New Roman"/>
          <w:i/>
          <w:iCs/>
          <w:sz w:val="22"/>
          <w:szCs w:val="22"/>
          <w:lang w:val="en-US"/>
        </w:rPr>
        <w:t>Principles of International Environmental Law, Cambridge University Press</w:t>
      </w:r>
      <w:r w:rsidRPr="00374D10">
        <w:rPr>
          <w:rFonts w:ascii="Times New Roman" w:hAnsi="Times New Roman" w:cs="Times New Roman"/>
          <w:sz w:val="22"/>
          <w:szCs w:val="22"/>
          <w:lang w:val="en-US"/>
        </w:rPr>
        <w:t xml:space="preserve">, Cambridge, 2003; P.M. DUPUY – J.E. VINUALES, </w:t>
      </w:r>
      <w:r w:rsidRPr="00374D10">
        <w:rPr>
          <w:rFonts w:ascii="Times New Roman" w:hAnsi="Times New Roman" w:cs="Times New Roman"/>
          <w:i/>
          <w:iCs/>
          <w:sz w:val="22"/>
          <w:szCs w:val="22"/>
          <w:lang w:val="en-US"/>
        </w:rPr>
        <w:t>International Environmental Law, Cambridge University Press</w:t>
      </w:r>
      <w:r w:rsidRPr="00374D10">
        <w:rPr>
          <w:rFonts w:ascii="Times New Roman" w:hAnsi="Times New Roman" w:cs="Times New Roman"/>
          <w:sz w:val="22"/>
          <w:szCs w:val="22"/>
          <w:lang w:val="en-US"/>
        </w:rPr>
        <w:t xml:space="preserve">, Cambridge, 2015; C. PONTING, Storia </w:t>
      </w:r>
      <w:proofErr w:type="spellStart"/>
      <w:r w:rsidRPr="00374D10">
        <w:rPr>
          <w:rFonts w:ascii="Times New Roman" w:hAnsi="Times New Roman" w:cs="Times New Roman"/>
          <w:sz w:val="22"/>
          <w:szCs w:val="22"/>
          <w:lang w:val="en-US"/>
        </w:rPr>
        <w:t>verde</w:t>
      </w:r>
      <w:proofErr w:type="spellEnd"/>
      <w:r w:rsidRPr="00374D10">
        <w:rPr>
          <w:rFonts w:ascii="Times New Roman" w:hAnsi="Times New Roman" w:cs="Times New Roman"/>
          <w:sz w:val="22"/>
          <w:szCs w:val="22"/>
          <w:lang w:val="en-US"/>
        </w:rPr>
        <w:t xml:space="preserve"> del </w:t>
      </w:r>
      <w:proofErr w:type="spellStart"/>
      <w:r w:rsidRPr="00374D10">
        <w:rPr>
          <w:rFonts w:ascii="Times New Roman" w:hAnsi="Times New Roman" w:cs="Times New Roman"/>
          <w:sz w:val="22"/>
          <w:szCs w:val="22"/>
          <w:lang w:val="en-US"/>
        </w:rPr>
        <w:t>mondo</w:t>
      </w:r>
      <w:proofErr w:type="spellEnd"/>
      <w:r w:rsidRPr="00374D10">
        <w:rPr>
          <w:rFonts w:ascii="Times New Roman" w:hAnsi="Times New Roman" w:cs="Times New Roman"/>
          <w:sz w:val="22"/>
          <w:szCs w:val="22"/>
          <w:lang w:val="en-US"/>
        </w:rPr>
        <w:t xml:space="preserve">, Sei, Torino, 1992; A. CROSBY, </w:t>
      </w:r>
      <w:r w:rsidRPr="00374D10">
        <w:rPr>
          <w:rFonts w:ascii="Times New Roman" w:hAnsi="Times New Roman" w:cs="Times New Roman"/>
          <w:i/>
          <w:iCs/>
          <w:sz w:val="22"/>
          <w:szCs w:val="22"/>
          <w:lang w:val="en-US"/>
        </w:rPr>
        <w:t>Ecological Imperialism</w:t>
      </w:r>
      <w:r w:rsidRPr="00374D10">
        <w:rPr>
          <w:rFonts w:ascii="Times New Roman" w:hAnsi="Times New Roman" w:cs="Times New Roman"/>
          <w:sz w:val="22"/>
          <w:szCs w:val="22"/>
          <w:lang w:val="en-US"/>
        </w:rPr>
        <w:t xml:space="preserve">. </w:t>
      </w:r>
      <w:r w:rsidRPr="00374D10">
        <w:rPr>
          <w:rFonts w:ascii="Times New Roman" w:hAnsi="Times New Roman" w:cs="Times New Roman"/>
          <w:i/>
          <w:iCs/>
          <w:sz w:val="22"/>
          <w:szCs w:val="22"/>
        </w:rPr>
        <w:t xml:space="preserve">The </w:t>
      </w:r>
      <w:proofErr w:type="spellStart"/>
      <w:r w:rsidRPr="00374D10">
        <w:rPr>
          <w:rFonts w:ascii="Times New Roman" w:hAnsi="Times New Roman" w:cs="Times New Roman"/>
          <w:i/>
          <w:iCs/>
          <w:sz w:val="22"/>
          <w:szCs w:val="22"/>
        </w:rPr>
        <w:t>Biological</w:t>
      </w:r>
      <w:proofErr w:type="spellEnd"/>
      <w:r w:rsidRPr="00374D10">
        <w:rPr>
          <w:rFonts w:ascii="Times New Roman" w:hAnsi="Times New Roman" w:cs="Times New Roman"/>
          <w:i/>
          <w:iCs/>
          <w:sz w:val="22"/>
          <w:szCs w:val="22"/>
        </w:rPr>
        <w:t xml:space="preserve"> Expansion of Europe 900-1900, Cambridge University Press</w:t>
      </w:r>
      <w:r w:rsidRPr="00374D10">
        <w:rPr>
          <w:rFonts w:ascii="Times New Roman" w:hAnsi="Times New Roman" w:cs="Times New Roman"/>
          <w:sz w:val="22"/>
          <w:szCs w:val="22"/>
        </w:rPr>
        <w:t xml:space="preserve">, Cambridge, 1993; P. BEVILACQUA, </w:t>
      </w:r>
      <w:r w:rsidRPr="00374D10">
        <w:rPr>
          <w:rFonts w:ascii="Times New Roman" w:hAnsi="Times New Roman" w:cs="Times New Roman"/>
          <w:i/>
          <w:iCs/>
          <w:sz w:val="22"/>
          <w:szCs w:val="22"/>
        </w:rPr>
        <w:t>La terra è finita. Breve storia dell’ambiente</w:t>
      </w:r>
      <w:r w:rsidRPr="00374D10">
        <w:rPr>
          <w:rFonts w:ascii="Times New Roman" w:hAnsi="Times New Roman" w:cs="Times New Roman"/>
          <w:sz w:val="22"/>
          <w:szCs w:val="22"/>
        </w:rPr>
        <w:t xml:space="preserve">, Laterza, Roma-Bari, 2006; F. PAOLINI, </w:t>
      </w:r>
      <w:r w:rsidRPr="00374D10">
        <w:rPr>
          <w:rFonts w:ascii="Times New Roman" w:hAnsi="Times New Roman" w:cs="Times New Roman"/>
          <w:i/>
          <w:iCs/>
          <w:sz w:val="22"/>
          <w:szCs w:val="22"/>
        </w:rPr>
        <w:t>Breve storia dell’ambiente nel Novecento</w:t>
      </w:r>
      <w:r w:rsidRPr="00374D10">
        <w:rPr>
          <w:rFonts w:ascii="Times New Roman" w:hAnsi="Times New Roman" w:cs="Times New Roman"/>
          <w:sz w:val="22"/>
          <w:szCs w:val="22"/>
        </w:rPr>
        <w:t xml:space="preserve">, Carocci, Bari, 2018. Con specifico riferimento al contesto italiano: G. CORONA, </w:t>
      </w:r>
      <w:r w:rsidRPr="00374D10">
        <w:rPr>
          <w:rFonts w:ascii="Times New Roman" w:hAnsi="Times New Roman" w:cs="Times New Roman"/>
          <w:i/>
          <w:iCs/>
          <w:sz w:val="22"/>
          <w:szCs w:val="22"/>
        </w:rPr>
        <w:t>Breve storia dell’ambiente in Italia</w:t>
      </w:r>
      <w:r w:rsidRPr="00374D10">
        <w:rPr>
          <w:rFonts w:ascii="Times New Roman" w:hAnsi="Times New Roman" w:cs="Times New Roman"/>
          <w:sz w:val="22"/>
          <w:szCs w:val="22"/>
        </w:rPr>
        <w:t xml:space="preserve">, il Mulino, Bologna, 2015; P. CIOCCA, </w:t>
      </w:r>
      <w:r w:rsidRPr="00374D10">
        <w:rPr>
          <w:rFonts w:ascii="Times New Roman" w:hAnsi="Times New Roman" w:cs="Times New Roman"/>
          <w:i/>
          <w:iCs/>
          <w:sz w:val="22"/>
          <w:szCs w:val="22"/>
        </w:rPr>
        <w:t>L’economia di mercato capitalistica: un “modo di produzione” da salvare</w:t>
      </w:r>
      <w:r w:rsidRPr="00374D10">
        <w:rPr>
          <w:rFonts w:ascii="Times New Roman" w:hAnsi="Times New Roman" w:cs="Times New Roman"/>
          <w:sz w:val="22"/>
          <w:szCs w:val="22"/>
        </w:rPr>
        <w:t xml:space="preserve">, e in P. CIOCCA – I. MUSU (a cura di), </w:t>
      </w:r>
      <w:r w:rsidRPr="00374D10">
        <w:rPr>
          <w:rFonts w:ascii="Times New Roman" w:hAnsi="Times New Roman" w:cs="Times New Roman"/>
          <w:i/>
          <w:iCs/>
          <w:sz w:val="22"/>
          <w:szCs w:val="22"/>
        </w:rPr>
        <w:t>Natura capitalismo. Un conflitto da evitare</w:t>
      </w:r>
      <w:r w:rsidRPr="00374D10">
        <w:rPr>
          <w:rFonts w:ascii="Times New Roman" w:hAnsi="Times New Roman" w:cs="Times New Roman"/>
          <w:sz w:val="22"/>
          <w:szCs w:val="22"/>
        </w:rPr>
        <w:t>, Luiss University Press, Roma, 2013, pp. 13 ss.</w:t>
      </w:r>
      <w:bookmarkEnd w:id="6"/>
    </w:p>
    <w:bookmarkEnd w:id="7"/>
  </w:footnote>
  <w:footnote w:id="10">
    <w:p w14:paraId="5AD06B89"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G. ROSSI, </w:t>
      </w:r>
      <w:r w:rsidRPr="00374D10">
        <w:rPr>
          <w:rFonts w:ascii="Times New Roman" w:hAnsi="Times New Roman" w:cs="Times New Roman"/>
          <w:i/>
          <w:iCs/>
          <w:sz w:val="22"/>
          <w:szCs w:val="22"/>
        </w:rPr>
        <w:t>La “materializzazione” dell’interesse all’ambiente</w:t>
      </w:r>
      <w:r w:rsidRPr="00374D10">
        <w:rPr>
          <w:rFonts w:ascii="Times New Roman" w:hAnsi="Times New Roman" w:cs="Times New Roman"/>
          <w:sz w:val="22"/>
          <w:szCs w:val="22"/>
        </w:rPr>
        <w:t xml:space="preserve">, in G. ROSSI (a cura di), </w:t>
      </w:r>
      <w:r w:rsidRPr="00374D10">
        <w:rPr>
          <w:rFonts w:ascii="Times New Roman" w:hAnsi="Times New Roman" w:cs="Times New Roman"/>
          <w:i/>
          <w:iCs/>
          <w:sz w:val="22"/>
          <w:szCs w:val="22"/>
        </w:rPr>
        <w:t>Diritto dell’ambiente</w:t>
      </w:r>
      <w:r w:rsidRPr="00374D10">
        <w:rPr>
          <w:rFonts w:ascii="Times New Roman" w:hAnsi="Times New Roman" w:cs="Times New Roman"/>
          <w:sz w:val="22"/>
          <w:szCs w:val="22"/>
        </w:rPr>
        <w:t xml:space="preserve">, Giappichelli, Torino, 2017, pp. 19 ss. </w:t>
      </w:r>
    </w:p>
  </w:footnote>
  <w:footnote w:id="11">
    <w:p w14:paraId="08BA46E8"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highlight w:val="yellow"/>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Si pensi, ad esempio, al c.d. “decreto clima”, di cui al </w:t>
      </w:r>
      <w:proofErr w:type="spellStart"/>
      <w:r w:rsidRPr="00374D10">
        <w:rPr>
          <w:rFonts w:ascii="Times New Roman" w:hAnsi="Times New Roman" w:cs="Times New Roman"/>
          <w:sz w:val="22"/>
          <w:szCs w:val="22"/>
        </w:rPr>
        <w:t>d.l.</w:t>
      </w:r>
      <w:proofErr w:type="spellEnd"/>
      <w:r w:rsidRPr="00374D10">
        <w:rPr>
          <w:rFonts w:ascii="Times New Roman" w:hAnsi="Times New Roman" w:cs="Times New Roman"/>
          <w:sz w:val="22"/>
          <w:szCs w:val="22"/>
        </w:rPr>
        <w:t xml:space="preserve"> 14 ottobre 2019, n. 111, convertito nella l. 12 dicembre 2019, n. 141. Analogamente, rilevano gli artt. 56 ss., contenuti nel capo III relativo alle semplificazioni in materia di green economy del </w:t>
      </w:r>
      <w:proofErr w:type="spellStart"/>
      <w:r w:rsidRPr="00374D10">
        <w:rPr>
          <w:rFonts w:ascii="Times New Roman" w:hAnsi="Times New Roman" w:cs="Times New Roman"/>
          <w:sz w:val="22"/>
          <w:szCs w:val="22"/>
        </w:rPr>
        <w:t>d.l.</w:t>
      </w:r>
      <w:proofErr w:type="spellEnd"/>
      <w:r w:rsidRPr="00374D10">
        <w:rPr>
          <w:rFonts w:ascii="Times New Roman" w:hAnsi="Times New Roman" w:cs="Times New Roman"/>
          <w:sz w:val="22"/>
          <w:szCs w:val="22"/>
        </w:rPr>
        <w:t xml:space="preserve"> 16 luglio 2020, n. 76, convertito nella l. 11 settembre 2020, n. 120 (recante: «Misure urgenti per la semplificazione e l’innovazione digitale»). È significativo che nelle premesse del decreto siano accomunati gli interventi di «semplificazione in materia di attività imprenditoriale, di ambiente e di green economy, al fine di fronteggiare le ricadute economiche conseguenti all’emergenza epidemiologica da Covid-19». Ciò sembra rivelare come la green economy non venga configurata quale paradigma su cui fondare un nuovo modello di sviluppo, ma piuttosto come uno specifico ambito del sistema economico-produttivo (tendenzialmente coincidente con il settore delle energie rinnovabili). A conferma di tale impostazione, anche nell’individuazione delle «infrastrutture strategiche» cui si applicano procedure semplificate non assume un rilievo decisivo il criterio della sostenibilità ambientale.</w:t>
      </w:r>
    </w:p>
  </w:footnote>
  <w:footnote w:id="12">
    <w:p w14:paraId="6D3EE77A"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lang w:val="en-US"/>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Il </w:t>
      </w:r>
      <w:r w:rsidRPr="00374D10">
        <w:rPr>
          <w:rFonts w:ascii="Times New Roman" w:hAnsi="Times New Roman" w:cs="Times New Roman"/>
          <w:i/>
          <w:iCs/>
          <w:sz w:val="22"/>
          <w:szCs w:val="22"/>
        </w:rPr>
        <w:t>Next Generation Ue</w:t>
      </w:r>
      <w:r w:rsidRPr="00374D10">
        <w:rPr>
          <w:rFonts w:ascii="Times New Roman" w:hAnsi="Times New Roman" w:cs="Times New Roman"/>
          <w:sz w:val="22"/>
          <w:szCs w:val="22"/>
        </w:rPr>
        <w:t xml:space="preserve"> è il un piano predisposto dall’Unione Europea da oltre 800 miliardi di euro, per il rilancio dell’economia dei Paesi maggiormente colpiti dalla crisi pandemica da Covid- 19. Le priorità tracciate dalla Commissione Europea sono 4: transizione ecologica e digitale, da un lato, stabilità macroeconomica ed equità, dall’altro lato. Lo strumento principale del </w:t>
      </w:r>
      <w:bookmarkStart w:id="10" w:name="_Hlk224749946"/>
      <w:r w:rsidRPr="00374D10">
        <w:rPr>
          <w:rFonts w:ascii="Times New Roman" w:hAnsi="Times New Roman" w:cs="Times New Roman"/>
          <w:sz w:val="22"/>
          <w:szCs w:val="22"/>
        </w:rPr>
        <w:t xml:space="preserve">Next Generation </w:t>
      </w:r>
      <w:bookmarkEnd w:id="10"/>
      <w:r w:rsidRPr="00374D10">
        <w:rPr>
          <w:rFonts w:ascii="Times New Roman" w:hAnsi="Times New Roman" w:cs="Times New Roman"/>
          <w:sz w:val="22"/>
          <w:szCs w:val="22"/>
        </w:rPr>
        <w:t xml:space="preserve">Ue è rappresentato dal Regolamento UE n. 2021/241 del Parlamento europeo e del Consiglio del 12 febbraio 2021 che istituisce il dispositivo per la ripresa e la resilienza. </w:t>
      </w:r>
      <w:proofErr w:type="spellStart"/>
      <w:r w:rsidRPr="00374D10">
        <w:rPr>
          <w:rFonts w:ascii="Times New Roman" w:hAnsi="Times New Roman" w:cs="Times New Roman"/>
          <w:sz w:val="22"/>
          <w:szCs w:val="22"/>
          <w:lang w:val="en-US"/>
        </w:rPr>
        <w:t>Su</w:t>
      </w:r>
      <w:proofErr w:type="spellEnd"/>
      <w:r w:rsidRPr="00374D10">
        <w:rPr>
          <w:rFonts w:ascii="Times New Roman" w:hAnsi="Times New Roman" w:cs="Times New Roman"/>
          <w:sz w:val="22"/>
          <w:szCs w:val="22"/>
          <w:lang w:val="en-US"/>
        </w:rPr>
        <w:t xml:space="preserve"> tale </w:t>
      </w:r>
      <w:proofErr w:type="spellStart"/>
      <w:r w:rsidRPr="00374D10">
        <w:rPr>
          <w:rFonts w:ascii="Times New Roman" w:hAnsi="Times New Roman" w:cs="Times New Roman"/>
          <w:sz w:val="22"/>
          <w:szCs w:val="22"/>
          <w:lang w:val="en-US"/>
        </w:rPr>
        <w:t>meccanismo</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si</w:t>
      </w:r>
      <w:proofErr w:type="spellEnd"/>
      <w:r w:rsidRPr="00374D10">
        <w:rPr>
          <w:rFonts w:ascii="Times New Roman" w:hAnsi="Times New Roman" w:cs="Times New Roman"/>
          <w:sz w:val="22"/>
          <w:szCs w:val="22"/>
          <w:lang w:val="en-US"/>
        </w:rPr>
        <w:t xml:space="preserve"> </w:t>
      </w:r>
      <w:proofErr w:type="spellStart"/>
      <w:r w:rsidRPr="00374D10">
        <w:rPr>
          <w:rFonts w:ascii="Times New Roman" w:hAnsi="Times New Roman" w:cs="Times New Roman"/>
          <w:sz w:val="22"/>
          <w:szCs w:val="22"/>
          <w:lang w:val="en-US"/>
        </w:rPr>
        <w:t>veda</w:t>
      </w:r>
      <w:proofErr w:type="spellEnd"/>
      <w:r w:rsidRPr="00374D10">
        <w:rPr>
          <w:rFonts w:ascii="Times New Roman" w:hAnsi="Times New Roman" w:cs="Times New Roman"/>
          <w:sz w:val="22"/>
          <w:szCs w:val="22"/>
          <w:lang w:val="en-US"/>
        </w:rPr>
        <w:t xml:space="preserve"> </w:t>
      </w:r>
      <w:bookmarkStart w:id="11" w:name="_Hlk200367192"/>
      <w:r w:rsidRPr="00374D10">
        <w:rPr>
          <w:rFonts w:ascii="Times New Roman" w:hAnsi="Times New Roman" w:cs="Times New Roman"/>
          <w:sz w:val="22"/>
          <w:szCs w:val="22"/>
          <w:lang w:val="en-US"/>
        </w:rPr>
        <w:t xml:space="preserve">B. De Witte, </w:t>
      </w:r>
      <w:r w:rsidRPr="00374D10">
        <w:rPr>
          <w:rFonts w:ascii="Times New Roman" w:hAnsi="Times New Roman" w:cs="Times New Roman"/>
          <w:i/>
          <w:iCs/>
          <w:sz w:val="22"/>
          <w:szCs w:val="22"/>
          <w:lang w:val="en-US"/>
        </w:rPr>
        <w:t>The</w:t>
      </w:r>
      <w:r w:rsidRPr="00374D10">
        <w:rPr>
          <w:rFonts w:ascii="Times New Roman" w:hAnsi="Times New Roman" w:cs="Times New Roman"/>
          <w:sz w:val="22"/>
          <w:szCs w:val="22"/>
          <w:lang w:val="en-US"/>
        </w:rPr>
        <w:t xml:space="preserve"> </w:t>
      </w:r>
      <w:r w:rsidRPr="00374D10">
        <w:rPr>
          <w:rFonts w:ascii="Times New Roman" w:hAnsi="Times New Roman" w:cs="Times New Roman"/>
          <w:i/>
          <w:iCs/>
          <w:sz w:val="22"/>
          <w:szCs w:val="22"/>
          <w:lang w:val="en-US"/>
        </w:rPr>
        <w:t>European Union’s COVID-19 recovery plan: The legal engineering of an economic policy shift</w:t>
      </w:r>
      <w:r w:rsidRPr="00374D10">
        <w:rPr>
          <w:rFonts w:ascii="Times New Roman" w:hAnsi="Times New Roman" w:cs="Times New Roman"/>
          <w:sz w:val="22"/>
          <w:szCs w:val="22"/>
          <w:lang w:val="en-US"/>
        </w:rPr>
        <w:t xml:space="preserve">, in </w:t>
      </w:r>
      <w:r w:rsidRPr="00374D10">
        <w:rPr>
          <w:rFonts w:ascii="Times New Roman" w:hAnsi="Times New Roman" w:cs="Times New Roman"/>
          <w:i/>
          <w:iCs/>
          <w:sz w:val="22"/>
          <w:szCs w:val="22"/>
          <w:lang w:val="en-US"/>
        </w:rPr>
        <w:t>Common Market Law Review</w:t>
      </w:r>
      <w:r w:rsidRPr="00374D10">
        <w:rPr>
          <w:rFonts w:ascii="Times New Roman" w:hAnsi="Times New Roman" w:cs="Times New Roman"/>
          <w:sz w:val="22"/>
          <w:szCs w:val="22"/>
          <w:lang w:val="en-US"/>
        </w:rPr>
        <w:t>, 2021, p. 635 ss.</w:t>
      </w:r>
      <w:bookmarkEnd w:id="11"/>
    </w:p>
  </w:footnote>
  <w:footnote w:id="13">
    <w:p w14:paraId="2143322D"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Le Missioni previste nel nostro Piano Nazionale di Ripresa e Resilienza, approvato dal governo nel 2021 si sostanziano in: 1) Digitalizzazione, innovazione, competitività, cultura e turismo; 2) Rivoluzione verde e transizione ecologica; 3) Infrastrutture per una mobilità sostenibile; 4) Istruzione e ricerca; 5) Coesione e inclusione; 6) Salute; 7) </w:t>
      </w:r>
      <w:proofErr w:type="spellStart"/>
      <w:r w:rsidRPr="00374D10">
        <w:rPr>
          <w:rFonts w:ascii="Times New Roman" w:hAnsi="Times New Roman" w:cs="Times New Roman"/>
          <w:sz w:val="22"/>
          <w:szCs w:val="22"/>
        </w:rPr>
        <w:t>RePowerUe</w:t>
      </w:r>
      <w:proofErr w:type="spellEnd"/>
      <w:r w:rsidRPr="00374D10">
        <w:rPr>
          <w:rFonts w:ascii="Times New Roman" w:hAnsi="Times New Roman" w:cs="Times New Roman"/>
          <w:sz w:val="22"/>
          <w:szCs w:val="22"/>
        </w:rPr>
        <w:t xml:space="preserve">. </w:t>
      </w:r>
    </w:p>
  </w:footnote>
  <w:footnote w:id="14">
    <w:p w14:paraId="29E8AFC2"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La previsione normativa (Cons. 25, Regolamento (UE) 2021/241) prevede testualmente che «</w:t>
      </w:r>
      <w:r w:rsidRPr="00374D10">
        <w:rPr>
          <w:rFonts w:ascii="Times New Roman" w:hAnsi="Times New Roman" w:cs="Times New Roman"/>
          <w:i/>
          <w:iCs/>
          <w:sz w:val="22"/>
          <w:szCs w:val="22"/>
        </w:rPr>
        <w:t>Gli Stati membri dovrebbero garantire che le misure incluse nei loro piani per la ripresa e la resilienza sono conformi al principio «non arrecare un danno significativo» ai sensi dell'articolo 17 del regolamento (UE) 2020/852. La Commissione dovrebbe predisporre orientamenti tecnici a tal fine.</w:t>
      </w:r>
      <w:r w:rsidRPr="00374D10">
        <w:rPr>
          <w:rFonts w:ascii="Times New Roman" w:hAnsi="Times New Roman" w:cs="Times New Roman"/>
          <w:sz w:val="22"/>
          <w:szCs w:val="22"/>
        </w:rPr>
        <w:t xml:space="preserve"> </w:t>
      </w:r>
      <w:r w:rsidRPr="00374D10">
        <w:rPr>
          <w:rFonts w:ascii="Times New Roman" w:hAnsi="Times New Roman" w:cs="Times New Roman"/>
          <w:i/>
          <w:iCs/>
          <w:sz w:val="22"/>
          <w:szCs w:val="22"/>
        </w:rPr>
        <w:t>L'entrata in vigore degli atti delegati di cui all'articolo 3, lettera d), del regolamento (UE) 2020/852 non dovrebbe incidere su tali orientamenti».</w:t>
      </w:r>
    </w:p>
  </w:footnote>
  <w:footnote w:id="15">
    <w:p w14:paraId="5EAB5CEC"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G. ROSSI, </w:t>
      </w:r>
      <w:r w:rsidRPr="00374D10">
        <w:rPr>
          <w:rFonts w:ascii="Times New Roman" w:hAnsi="Times New Roman" w:cs="Times New Roman"/>
          <w:i/>
          <w:iCs/>
          <w:sz w:val="22"/>
          <w:szCs w:val="22"/>
        </w:rPr>
        <w:t>La “materializzazione” dell’interesse all’ambiente</w:t>
      </w:r>
      <w:r w:rsidRPr="00374D10">
        <w:rPr>
          <w:rFonts w:ascii="Times New Roman" w:hAnsi="Times New Roman" w:cs="Times New Roman"/>
          <w:sz w:val="22"/>
          <w:szCs w:val="22"/>
        </w:rPr>
        <w:t xml:space="preserve">, op. cit. pp. 19 ss. </w:t>
      </w:r>
    </w:p>
  </w:footnote>
  <w:footnote w:id="16">
    <w:p w14:paraId="6F18B375" w14:textId="77777777" w:rsidR="00DF358B" w:rsidRPr="00E73495"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In questo senso si è espressa la Commissione Eu che nell’approvare l’11 dicembre del 2019 la Comunicazione “</w:t>
      </w:r>
      <w:r w:rsidRPr="00374D10">
        <w:rPr>
          <w:rFonts w:ascii="Times New Roman" w:hAnsi="Times New Roman" w:cs="Times New Roman"/>
          <w:i/>
          <w:iCs/>
          <w:sz w:val="22"/>
          <w:szCs w:val="22"/>
        </w:rPr>
        <w:t>Il Green Deal Europeo</w:t>
      </w:r>
      <w:r w:rsidRPr="00374D10">
        <w:rPr>
          <w:rFonts w:ascii="Times New Roman" w:hAnsi="Times New Roman" w:cs="Times New Roman"/>
          <w:sz w:val="22"/>
          <w:szCs w:val="22"/>
        </w:rPr>
        <w:t xml:space="preserve">, COM (2019) 640 </w:t>
      </w:r>
      <w:proofErr w:type="spellStart"/>
      <w:r w:rsidRPr="00374D10">
        <w:rPr>
          <w:rFonts w:ascii="Times New Roman" w:hAnsi="Times New Roman" w:cs="Times New Roman"/>
          <w:sz w:val="22"/>
          <w:szCs w:val="22"/>
        </w:rPr>
        <w:t>final</w:t>
      </w:r>
      <w:proofErr w:type="spellEnd"/>
      <w:r w:rsidRPr="00374D10">
        <w:rPr>
          <w:rFonts w:ascii="Times New Roman" w:hAnsi="Times New Roman" w:cs="Times New Roman"/>
          <w:sz w:val="22"/>
          <w:szCs w:val="22"/>
        </w:rPr>
        <w:t>” ha sottolineato la necessità di favorire una «</w:t>
      </w:r>
      <w:r w:rsidRPr="00374D10">
        <w:rPr>
          <w:rFonts w:ascii="Times New Roman" w:hAnsi="Times New Roman" w:cs="Times New Roman"/>
          <w:i/>
          <w:iCs/>
          <w:sz w:val="22"/>
          <w:szCs w:val="22"/>
        </w:rPr>
        <w:t>crescita economica (…) dissociata dall'uso delle risorse</w:t>
      </w:r>
      <w:r w:rsidRPr="00374D10">
        <w:rPr>
          <w:rFonts w:ascii="Times New Roman" w:hAnsi="Times New Roman" w:cs="Times New Roman"/>
          <w:sz w:val="22"/>
          <w:szCs w:val="22"/>
        </w:rPr>
        <w:t xml:space="preserve">». Sul </w:t>
      </w:r>
      <w:r w:rsidRPr="00374D10">
        <w:rPr>
          <w:rFonts w:ascii="Times New Roman" w:hAnsi="Times New Roman" w:cs="Times New Roman"/>
          <w:i/>
          <w:iCs/>
          <w:sz w:val="22"/>
          <w:szCs w:val="22"/>
        </w:rPr>
        <w:t>Green Deal</w:t>
      </w:r>
      <w:r w:rsidRPr="00374D10">
        <w:rPr>
          <w:rFonts w:ascii="Times New Roman" w:hAnsi="Times New Roman" w:cs="Times New Roman"/>
          <w:sz w:val="22"/>
          <w:szCs w:val="22"/>
        </w:rPr>
        <w:t xml:space="preserve"> si v. tra tutti </w:t>
      </w:r>
      <w:bookmarkStart w:id="12" w:name="_Hlk223962271"/>
      <w:bookmarkStart w:id="13" w:name="_Hlk224749994"/>
      <w:r w:rsidRPr="00374D10">
        <w:rPr>
          <w:rFonts w:ascii="Times New Roman" w:hAnsi="Times New Roman" w:cs="Times New Roman"/>
          <w:sz w:val="22"/>
          <w:szCs w:val="22"/>
        </w:rPr>
        <w:t xml:space="preserve">A. MOLITERNI, </w:t>
      </w:r>
      <w:r w:rsidRPr="00374D10">
        <w:rPr>
          <w:rFonts w:ascii="Times New Roman" w:hAnsi="Times New Roman" w:cs="Times New Roman"/>
          <w:i/>
          <w:iCs/>
          <w:sz w:val="22"/>
          <w:szCs w:val="22"/>
        </w:rPr>
        <w:t xml:space="preserve">Transizione ecologica, ordine economico e sistema amministrativo, </w:t>
      </w:r>
      <w:r w:rsidRPr="00374D10">
        <w:rPr>
          <w:rFonts w:ascii="Times New Roman" w:hAnsi="Times New Roman" w:cs="Times New Roman"/>
          <w:sz w:val="22"/>
          <w:szCs w:val="22"/>
        </w:rPr>
        <w:t xml:space="preserve">in </w:t>
      </w:r>
      <w:r w:rsidRPr="00374D10">
        <w:rPr>
          <w:rFonts w:ascii="Times New Roman" w:hAnsi="Times New Roman" w:cs="Times New Roman"/>
          <w:i/>
          <w:iCs/>
          <w:sz w:val="22"/>
          <w:szCs w:val="22"/>
        </w:rPr>
        <w:t>Riv. Diritti Comparati</w:t>
      </w:r>
      <w:r w:rsidRPr="00374D10">
        <w:rPr>
          <w:rFonts w:ascii="Times New Roman" w:hAnsi="Times New Roman" w:cs="Times New Roman"/>
          <w:sz w:val="22"/>
          <w:szCs w:val="22"/>
        </w:rPr>
        <w:t xml:space="preserve">, 2, 2022; id </w:t>
      </w:r>
      <w:bookmarkStart w:id="14" w:name="_Hlk200368569"/>
      <w:r w:rsidRPr="00374D10">
        <w:rPr>
          <w:rFonts w:ascii="Times New Roman" w:hAnsi="Times New Roman" w:cs="Times New Roman"/>
          <w:i/>
          <w:iCs/>
          <w:sz w:val="22"/>
          <w:szCs w:val="22"/>
        </w:rPr>
        <w:t>Il</w:t>
      </w:r>
      <w:r w:rsidRPr="00374D10">
        <w:rPr>
          <w:rFonts w:ascii="Times New Roman" w:hAnsi="Times New Roman" w:cs="Times New Roman"/>
          <w:sz w:val="22"/>
          <w:szCs w:val="22"/>
        </w:rPr>
        <w:t xml:space="preserve"> </w:t>
      </w:r>
      <w:r w:rsidRPr="00374D10">
        <w:rPr>
          <w:rFonts w:ascii="Times New Roman" w:hAnsi="Times New Roman" w:cs="Times New Roman"/>
          <w:i/>
          <w:iCs/>
          <w:sz w:val="22"/>
          <w:szCs w:val="22"/>
        </w:rPr>
        <w:t>Green Deal europeo e le sfide per il diritto dell’ambiente</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 xml:space="preserve">Riv. </w:t>
      </w:r>
      <w:proofErr w:type="spellStart"/>
      <w:r w:rsidRPr="00374D10">
        <w:rPr>
          <w:rFonts w:ascii="Times New Roman" w:hAnsi="Times New Roman" w:cs="Times New Roman"/>
          <w:i/>
          <w:iCs/>
          <w:sz w:val="22"/>
          <w:szCs w:val="22"/>
        </w:rPr>
        <w:t>Quadr</w:t>
      </w:r>
      <w:proofErr w:type="spellEnd"/>
      <w:r w:rsidRPr="00374D10">
        <w:rPr>
          <w:rFonts w:ascii="Times New Roman" w:hAnsi="Times New Roman" w:cs="Times New Roman"/>
          <w:i/>
          <w:iCs/>
          <w:sz w:val="22"/>
          <w:szCs w:val="22"/>
        </w:rPr>
        <w:t>. di Diritto dell’Ambiente</w:t>
      </w:r>
      <w:r w:rsidRPr="00374D10">
        <w:rPr>
          <w:rFonts w:ascii="Times New Roman" w:hAnsi="Times New Roman" w:cs="Times New Roman"/>
          <w:sz w:val="22"/>
          <w:szCs w:val="22"/>
        </w:rPr>
        <w:t xml:space="preserve">, 1, 2021, 4 ss. e l’introduzione di E. CHITI, </w:t>
      </w:r>
      <w:proofErr w:type="spellStart"/>
      <w:r w:rsidRPr="00374D10">
        <w:rPr>
          <w:rFonts w:ascii="Times New Roman" w:hAnsi="Times New Roman" w:cs="Times New Roman"/>
          <w:i/>
          <w:iCs/>
          <w:sz w:val="22"/>
          <w:szCs w:val="22"/>
        </w:rPr>
        <w:t>Introduction</w:t>
      </w:r>
      <w:proofErr w:type="spellEnd"/>
      <w:r w:rsidRPr="00374D10">
        <w:rPr>
          <w:rFonts w:ascii="Times New Roman" w:hAnsi="Times New Roman" w:cs="Times New Roman"/>
          <w:i/>
          <w:iCs/>
          <w:sz w:val="22"/>
          <w:szCs w:val="22"/>
        </w:rPr>
        <w:t xml:space="preserve"> to the Symposium: </w:t>
      </w:r>
      <w:proofErr w:type="spellStart"/>
      <w:r w:rsidRPr="00374D10">
        <w:rPr>
          <w:rFonts w:ascii="Times New Roman" w:hAnsi="Times New Roman" w:cs="Times New Roman"/>
          <w:i/>
          <w:iCs/>
          <w:sz w:val="22"/>
          <w:szCs w:val="22"/>
        </w:rPr>
        <w:t>Managing</w:t>
      </w:r>
      <w:proofErr w:type="spellEnd"/>
      <w:r w:rsidRPr="00374D10">
        <w:rPr>
          <w:rFonts w:ascii="Times New Roman" w:hAnsi="Times New Roman" w:cs="Times New Roman"/>
          <w:i/>
          <w:iCs/>
          <w:sz w:val="22"/>
          <w:szCs w:val="22"/>
        </w:rPr>
        <w:t xml:space="preserve"> the </w:t>
      </w:r>
      <w:proofErr w:type="spellStart"/>
      <w:r w:rsidRPr="00374D10">
        <w:rPr>
          <w:rFonts w:ascii="Times New Roman" w:hAnsi="Times New Roman" w:cs="Times New Roman"/>
          <w:i/>
          <w:iCs/>
          <w:sz w:val="22"/>
          <w:szCs w:val="22"/>
        </w:rPr>
        <w:t>Ecological</w:t>
      </w:r>
      <w:proofErr w:type="spellEnd"/>
      <w:r w:rsidRPr="00374D10">
        <w:rPr>
          <w:rFonts w:ascii="Times New Roman" w:hAnsi="Times New Roman" w:cs="Times New Roman"/>
          <w:i/>
          <w:iCs/>
          <w:sz w:val="22"/>
          <w:szCs w:val="22"/>
        </w:rPr>
        <w:t xml:space="preserve"> </w:t>
      </w:r>
      <w:proofErr w:type="spellStart"/>
      <w:r w:rsidRPr="00374D10">
        <w:rPr>
          <w:rFonts w:ascii="Times New Roman" w:hAnsi="Times New Roman" w:cs="Times New Roman"/>
          <w:i/>
          <w:iCs/>
          <w:sz w:val="22"/>
          <w:szCs w:val="22"/>
        </w:rPr>
        <w:t>Transition</w:t>
      </w:r>
      <w:proofErr w:type="spellEnd"/>
      <w:r w:rsidRPr="00374D10">
        <w:rPr>
          <w:rFonts w:ascii="Times New Roman" w:hAnsi="Times New Roman" w:cs="Times New Roman"/>
          <w:i/>
          <w:iCs/>
          <w:sz w:val="22"/>
          <w:szCs w:val="22"/>
        </w:rPr>
        <w:t xml:space="preserve"> of the </w:t>
      </w:r>
      <w:proofErr w:type="spellStart"/>
      <w:r w:rsidRPr="00374D10">
        <w:rPr>
          <w:rFonts w:ascii="Times New Roman" w:hAnsi="Times New Roman" w:cs="Times New Roman"/>
          <w:i/>
          <w:iCs/>
          <w:sz w:val="22"/>
          <w:szCs w:val="22"/>
        </w:rPr>
        <w:t>European</w:t>
      </w:r>
      <w:proofErr w:type="spellEnd"/>
      <w:r w:rsidRPr="00374D10">
        <w:rPr>
          <w:rFonts w:ascii="Times New Roman" w:hAnsi="Times New Roman" w:cs="Times New Roman"/>
          <w:i/>
          <w:iCs/>
          <w:sz w:val="22"/>
          <w:szCs w:val="22"/>
        </w:rPr>
        <w:t xml:space="preserve"> Union</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 xml:space="preserve">Riv. </w:t>
      </w:r>
      <w:proofErr w:type="spellStart"/>
      <w:r w:rsidRPr="00374D10">
        <w:rPr>
          <w:rFonts w:ascii="Times New Roman" w:hAnsi="Times New Roman" w:cs="Times New Roman"/>
          <w:i/>
          <w:iCs/>
          <w:sz w:val="22"/>
          <w:szCs w:val="22"/>
        </w:rPr>
        <w:t>Quadr</w:t>
      </w:r>
      <w:proofErr w:type="spellEnd"/>
      <w:r w:rsidRPr="00374D10">
        <w:rPr>
          <w:rFonts w:ascii="Times New Roman" w:hAnsi="Times New Roman" w:cs="Times New Roman"/>
          <w:i/>
          <w:iCs/>
          <w:sz w:val="22"/>
          <w:szCs w:val="22"/>
        </w:rPr>
        <w:t>. di Diritto dell’Ambiente</w:t>
      </w:r>
      <w:r w:rsidRPr="00374D10">
        <w:rPr>
          <w:rFonts w:ascii="Times New Roman" w:hAnsi="Times New Roman" w:cs="Times New Roman"/>
          <w:sz w:val="22"/>
          <w:szCs w:val="22"/>
        </w:rPr>
        <w:t>, 1, 2021, 9 ss</w:t>
      </w:r>
      <w:bookmarkEnd w:id="14"/>
      <w:r w:rsidRPr="00374D10">
        <w:rPr>
          <w:rFonts w:ascii="Times New Roman" w:hAnsi="Times New Roman" w:cs="Times New Roman"/>
          <w:sz w:val="22"/>
          <w:szCs w:val="22"/>
        </w:rPr>
        <w:t>.</w:t>
      </w:r>
      <w:bookmarkEnd w:id="12"/>
    </w:p>
    <w:bookmarkEnd w:id="13"/>
  </w:footnote>
  <w:footnote w:id="17">
    <w:p w14:paraId="21A974A9"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E73495">
        <w:rPr>
          <w:rStyle w:val="Rimandonotaapidipagina"/>
          <w:rFonts w:ascii="Times New Roman" w:hAnsi="Times New Roman" w:cs="Times New Roman"/>
          <w:sz w:val="22"/>
          <w:szCs w:val="22"/>
        </w:rPr>
        <w:footnoteRef/>
      </w:r>
      <w:r w:rsidRPr="00E73495">
        <w:rPr>
          <w:rFonts w:ascii="Times New Roman" w:hAnsi="Times New Roman" w:cs="Times New Roman"/>
          <w:sz w:val="22"/>
          <w:szCs w:val="22"/>
        </w:rPr>
        <w:t xml:space="preserve"> </w:t>
      </w:r>
      <w:r w:rsidRPr="00374D10">
        <w:rPr>
          <w:rFonts w:ascii="Times New Roman" w:hAnsi="Times New Roman" w:cs="Times New Roman"/>
          <w:sz w:val="22"/>
          <w:szCs w:val="22"/>
        </w:rPr>
        <w:t>Si tratta di una prospettiva che sembra emergere anche dall’Agenda 2030 per lo sviluppo sostenibile, presentata dalle Nazioni Unite nel 2015 (</w:t>
      </w:r>
      <w:hyperlink r:id="rId3" w:tgtFrame="_new" w:history="1">
        <w:r w:rsidRPr="00374D10">
          <w:rPr>
            <w:rStyle w:val="Collegamentoipertestuale"/>
            <w:rFonts w:ascii="Times New Roman" w:hAnsi="Times New Roman" w:cs="Times New Roman"/>
            <w:sz w:val="22"/>
            <w:szCs w:val="22"/>
          </w:rPr>
          <w:t>https://unric.org/it/agenda-2030/</w:t>
        </w:r>
      </w:hyperlink>
      <w:r w:rsidRPr="00374D10">
        <w:rPr>
          <w:rFonts w:ascii="Times New Roman" w:hAnsi="Times New Roman" w:cs="Times New Roman"/>
          <w:sz w:val="22"/>
          <w:szCs w:val="22"/>
        </w:rPr>
        <w:t>), nella quale si assume che i 17 obiettivi di sviluppo sostenibile possano essere perseguiti simultaneamente e senza una gerarchia tra di essi.</w:t>
      </w:r>
    </w:p>
    <w:p w14:paraId="7CED3342"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Fonts w:ascii="Times New Roman" w:hAnsi="Times New Roman" w:cs="Times New Roman"/>
          <w:sz w:val="22"/>
          <w:szCs w:val="22"/>
        </w:rPr>
        <w:t xml:space="preserve">In chiave critica, E. </w:t>
      </w:r>
      <w:bookmarkStart w:id="15" w:name="_Hlk223962241"/>
      <w:r w:rsidRPr="00374D10">
        <w:rPr>
          <w:rFonts w:ascii="Times New Roman" w:hAnsi="Times New Roman" w:cs="Times New Roman"/>
          <w:sz w:val="22"/>
          <w:szCs w:val="22"/>
        </w:rPr>
        <w:t xml:space="preserve">Ronchi, </w:t>
      </w:r>
      <w:r w:rsidRPr="00374D10">
        <w:rPr>
          <w:rFonts w:ascii="Times New Roman" w:hAnsi="Times New Roman" w:cs="Times New Roman"/>
          <w:i/>
          <w:iCs/>
          <w:sz w:val="22"/>
          <w:szCs w:val="22"/>
        </w:rPr>
        <w:t>La transizione alla green economy</w:t>
      </w:r>
      <w:r w:rsidRPr="00374D10">
        <w:rPr>
          <w:rFonts w:ascii="Times New Roman" w:hAnsi="Times New Roman" w:cs="Times New Roman"/>
          <w:sz w:val="22"/>
          <w:szCs w:val="22"/>
        </w:rPr>
        <w:t xml:space="preserve">, Edizioni Ambiente, Milano, 2018, p. 19, </w:t>
      </w:r>
      <w:bookmarkEnd w:id="15"/>
      <w:r w:rsidRPr="00374D10">
        <w:rPr>
          <w:rFonts w:ascii="Times New Roman" w:hAnsi="Times New Roman" w:cs="Times New Roman"/>
          <w:sz w:val="22"/>
          <w:szCs w:val="22"/>
        </w:rPr>
        <w:t xml:space="preserve">evidenzia tuttavia come tra alcuni obiettivi possano emergere evidenti tensioni. L’autore osserva, ad esempio, la difficoltà di conciliare l’obiettivo n. 8, che promuove una crescita economica del 7% nei paesi in via di sviluppo, con l’obiettivo della riduzione delle emissioni climalteranti. A riprova di ciò richiama l’esperienza cinese, dove una crescita del PIL pari al 6,9% (rispetto al 6,7% del 2016) ha finito per neutralizzare i significativi progressi conseguiti in termini di efficienza energetica e di incremento della produzione di energia da fonti non fossili. Più in generale, </w:t>
      </w:r>
      <w:bookmarkStart w:id="16" w:name="_Hlk224750027"/>
      <w:r w:rsidRPr="00374D10">
        <w:rPr>
          <w:rFonts w:ascii="Times New Roman" w:hAnsi="Times New Roman" w:cs="Times New Roman"/>
          <w:sz w:val="22"/>
          <w:szCs w:val="22"/>
        </w:rPr>
        <w:t xml:space="preserve">F. FRACCHIA, </w:t>
      </w:r>
      <w:r w:rsidRPr="00374D10">
        <w:rPr>
          <w:rFonts w:ascii="Times New Roman" w:hAnsi="Times New Roman" w:cs="Times New Roman"/>
          <w:i/>
          <w:iCs/>
          <w:sz w:val="22"/>
          <w:szCs w:val="22"/>
        </w:rPr>
        <w:t>Lo sviluppo sostenibile</w:t>
      </w:r>
      <w:r w:rsidRPr="00374D10">
        <w:rPr>
          <w:rFonts w:ascii="Times New Roman" w:hAnsi="Times New Roman" w:cs="Times New Roman"/>
          <w:sz w:val="22"/>
          <w:szCs w:val="22"/>
        </w:rPr>
        <w:t xml:space="preserve">, </w:t>
      </w:r>
      <w:r w:rsidRPr="00374D10">
        <w:rPr>
          <w:rFonts w:ascii="Times New Roman" w:hAnsi="Times New Roman" w:cs="Times New Roman"/>
          <w:i/>
          <w:iCs/>
          <w:sz w:val="22"/>
          <w:szCs w:val="22"/>
        </w:rPr>
        <w:t>La voce flebile dell’altro tra protezione dell’ambiente e tutela della specie umana</w:t>
      </w:r>
      <w:r w:rsidRPr="00374D10">
        <w:rPr>
          <w:rFonts w:ascii="Times New Roman" w:hAnsi="Times New Roman" w:cs="Times New Roman"/>
          <w:sz w:val="22"/>
          <w:szCs w:val="22"/>
        </w:rPr>
        <w:t xml:space="preserve">, 2010, p. 144 e ss., sottolinea come l’estensione della </w:t>
      </w:r>
      <w:bookmarkEnd w:id="16"/>
      <w:r w:rsidRPr="00374D10">
        <w:rPr>
          <w:rFonts w:ascii="Times New Roman" w:hAnsi="Times New Roman" w:cs="Times New Roman"/>
          <w:sz w:val="22"/>
          <w:szCs w:val="22"/>
        </w:rPr>
        <w:t>nozione di sviluppo sostenibile anche ad obiettivi – certamente meritori – quali la prosperità, la pace e la sicurezza rischi di determinare un indebolimento della dimensione ambientale quale valore predominante. Secondo l’autore, il dibattito sullo sviluppo sostenibile si è infatti spesso sviluppato prevalentemente all’interno di una prospettiva economica, lasciando in secondo piano la questione propriamente ambientale.</w:t>
      </w:r>
    </w:p>
  </w:footnote>
  <w:footnote w:id="18">
    <w:p w14:paraId="32D47033" w14:textId="77777777" w:rsidR="00DF358B" w:rsidRPr="00374D10" w:rsidRDefault="00DF358B" w:rsidP="00E73495">
      <w:pPr>
        <w:pStyle w:val="Testonotaapidipagina"/>
        <w:spacing w:line="240" w:lineRule="exact"/>
        <w:contextualSpacing/>
        <w:jc w:val="both"/>
        <w:rPr>
          <w:rFonts w:ascii="Times New Roman" w:hAnsi="Times New Roman" w:cs="Times New Roman"/>
          <w:i/>
          <w:iCs/>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w:t>
      </w:r>
      <w:bookmarkStart w:id="17" w:name="_Hlk224750051"/>
      <w:r w:rsidRPr="00374D10">
        <w:rPr>
          <w:rFonts w:ascii="Times New Roman" w:hAnsi="Times New Roman" w:cs="Times New Roman"/>
          <w:sz w:val="22"/>
          <w:szCs w:val="22"/>
        </w:rPr>
        <w:t>A. MOLITERNI</w:t>
      </w:r>
      <w:r w:rsidRPr="00374D10">
        <w:rPr>
          <w:rFonts w:ascii="Times New Roman" w:hAnsi="Times New Roman" w:cs="Times New Roman"/>
          <w:i/>
          <w:iCs/>
          <w:sz w:val="22"/>
          <w:szCs w:val="22"/>
        </w:rPr>
        <w:t>, Transizione ecologica, ordine economico e sistema amministrativo</w:t>
      </w:r>
      <w:r w:rsidRPr="00374D10">
        <w:rPr>
          <w:rFonts w:ascii="Times New Roman" w:hAnsi="Times New Roman" w:cs="Times New Roman"/>
          <w:sz w:val="22"/>
          <w:szCs w:val="22"/>
        </w:rPr>
        <w:t>, in</w:t>
      </w:r>
      <w:r w:rsidRPr="00374D10">
        <w:rPr>
          <w:rFonts w:ascii="Times New Roman" w:hAnsi="Times New Roman" w:cs="Times New Roman"/>
          <w:i/>
          <w:iCs/>
          <w:sz w:val="22"/>
          <w:szCs w:val="22"/>
        </w:rPr>
        <w:t xml:space="preserve"> Rivista di Diritti Comparati</w:t>
      </w:r>
      <w:r w:rsidRPr="00374D10">
        <w:rPr>
          <w:rFonts w:ascii="Times New Roman" w:hAnsi="Times New Roman" w:cs="Times New Roman"/>
          <w:sz w:val="22"/>
          <w:szCs w:val="22"/>
        </w:rPr>
        <w:t>, 2022, p. 408.</w:t>
      </w:r>
      <w:bookmarkEnd w:id="17"/>
    </w:p>
  </w:footnote>
  <w:footnote w:id="19">
    <w:p w14:paraId="1AE12CDF"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Sul rapporto tra sussidiarietà orizzontale e comunità energetiche si cfr.</w:t>
      </w:r>
      <w:bookmarkStart w:id="18" w:name="_Hlk223962218"/>
      <w:r w:rsidRPr="00374D10">
        <w:rPr>
          <w:rFonts w:ascii="Times New Roman" w:hAnsi="Times New Roman" w:cs="Times New Roman"/>
          <w:sz w:val="22"/>
          <w:szCs w:val="22"/>
        </w:rPr>
        <w:t xml:space="preserve"> </w:t>
      </w:r>
      <w:bookmarkStart w:id="19" w:name="_Hlk224750070"/>
      <w:r w:rsidRPr="00374D10">
        <w:rPr>
          <w:rFonts w:ascii="Times New Roman" w:hAnsi="Times New Roman" w:cs="Times New Roman"/>
          <w:sz w:val="22"/>
          <w:szCs w:val="22"/>
        </w:rPr>
        <w:t xml:space="preserve">A. PERSICO, </w:t>
      </w:r>
      <w:r w:rsidRPr="00374D10">
        <w:rPr>
          <w:rFonts w:ascii="Times New Roman" w:hAnsi="Times New Roman" w:cs="Times New Roman"/>
          <w:i/>
          <w:iCs/>
          <w:sz w:val="22"/>
          <w:szCs w:val="22"/>
        </w:rPr>
        <w:t>Le comunità energetiche e il ruolo sussidiario delle pubbliche amministrazioni</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AmbienteDiritto.it</w:t>
      </w:r>
      <w:r w:rsidRPr="00374D10">
        <w:rPr>
          <w:rFonts w:ascii="Times New Roman" w:hAnsi="Times New Roman" w:cs="Times New Roman"/>
          <w:sz w:val="22"/>
          <w:szCs w:val="22"/>
        </w:rPr>
        <w:t xml:space="preserve">, 2022, 2, 3 ss.; V. PEPE, </w:t>
      </w:r>
      <w:r w:rsidRPr="00374D10">
        <w:rPr>
          <w:rFonts w:ascii="Times New Roman" w:hAnsi="Times New Roman" w:cs="Times New Roman"/>
          <w:i/>
          <w:iCs/>
          <w:sz w:val="22"/>
          <w:szCs w:val="22"/>
        </w:rPr>
        <w:t>Le “comunità energetiche” come nuovi modelli di sviluppo sostenibile</w:t>
      </w:r>
      <w:r w:rsidRPr="00374D10">
        <w:rPr>
          <w:rFonts w:ascii="Times New Roman" w:hAnsi="Times New Roman" w:cs="Times New Roman"/>
          <w:sz w:val="22"/>
          <w:szCs w:val="22"/>
        </w:rPr>
        <w:t>, ivi, 2022, 3, 1 ss</w:t>
      </w:r>
      <w:bookmarkStart w:id="20" w:name="_Hlk200361107"/>
      <w:r w:rsidRPr="00374D10">
        <w:rPr>
          <w:rFonts w:ascii="Times New Roman" w:hAnsi="Times New Roman" w:cs="Times New Roman"/>
          <w:sz w:val="22"/>
          <w:szCs w:val="22"/>
        </w:rPr>
        <w:t xml:space="preserve">.; R. MICCÙ, M. BERNARDI, </w:t>
      </w:r>
      <w:r w:rsidRPr="00374D10">
        <w:rPr>
          <w:rFonts w:ascii="Times New Roman" w:hAnsi="Times New Roman" w:cs="Times New Roman"/>
          <w:i/>
          <w:iCs/>
          <w:sz w:val="22"/>
          <w:szCs w:val="22"/>
        </w:rPr>
        <w:t>Premesse ad uno studio sulle Energy communities: tra governance dell’efficienza energetica e sussidiarietà orizzontale</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Federalismi.it</w:t>
      </w:r>
      <w:r w:rsidRPr="00374D10">
        <w:rPr>
          <w:rFonts w:ascii="Times New Roman" w:hAnsi="Times New Roman" w:cs="Times New Roman"/>
          <w:sz w:val="22"/>
          <w:szCs w:val="22"/>
        </w:rPr>
        <w:t xml:space="preserve">, 2022, 4, 603; ; A. MOLITERNI– S. PELLIZZARI, </w:t>
      </w:r>
      <w:r w:rsidRPr="00374D10">
        <w:rPr>
          <w:rFonts w:ascii="Times New Roman" w:hAnsi="Times New Roman" w:cs="Times New Roman"/>
          <w:i/>
          <w:iCs/>
          <w:sz w:val="22"/>
          <w:szCs w:val="22"/>
        </w:rPr>
        <w:t>La riserva di attività economiche alle comunità di lavoratori o utenti</w:t>
      </w:r>
      <w:r w:rsidRPr="00374D10">
        <w:rPr>
          <w:rFonts w:ascii="Times New Roman" w:hAnsi="Times New Roman" w:cs="Times New Roman"/>
          <w:sz w:val="22"/>
          <w:szCs w:val="22"/>
        </w:rPr>
        <w:t xml:space="preserve">, in S. CASSESE (a cura di), </w:t>
      </w:r>
      <w:r w:rsidRPr="00374D10">
        <w:rPr>
          <w:rFonts w:ascii="Times New Roman" w:hAnsi="Times New Roman" w:cs="Times New Roman"/>
          <w:i/>
          <w:iCs/>
          <w:sz w:val="22"/>
          <w:szCs w:val="22"/>
        </w:rPr>
        <w:t>La Costituzione dimenticata</w:t>
      </w:r>
      <w:r w:rsidRPr="00374D10">
        <w:rPr>
          <w:rFonts w:ascii="Times New Roman" w:hAnsi="Times New Roman" w:cs="Times New Roman"/>
          <w:sz w:val="22"/>
          <w:szCs w:val="22"/>
        </w:rPr>
        <w:t xml:space="preserve">, Milano, 2021, 243 ss.; A. MOLITERNI, </w:t>
      </w:r>
      <w:r w:rsidRPr="00374D10">
        <w:rPr>
          <w:rFonts w:ascii="Times New Roman" w:hAnsi="Times New Roman" w:cs="Times New Roman"/>
          <w:i/>
          <w:iCs/>
          <w:sz w:val="22"/>
          <w:szCs w:val="22"/>
        </w:rPr>
        <w:t>Antitrust e ambiente ai tempi del Green Deal: il caso dei “</w:t>
      </w:r>
      <w:proofErr w:type="spellStart"/>
      <w:r w:rsidRPr="00374D10">
        <w:rPr>
          <w:rFonts w:ascii="Times New Roman" w:hAnsi="Times New Roman" w:cs="Times New Roman"/>
          <w:i/>
          <w:iCs/>
          <w:sz w:val="22"/>
          <w:szCs w:val="22"/>
        </w:rPr>
        <w:t>sustainability</w:t>
      </w:r>
      <w:proofErr w:type="spellEnd"/>
      <w:r w:rsidRPr="00374D10">
        <w:rPr>
          <w:rFonts w:ascii="Times New Roman" w:hAnsi="Times New Roman" w:cs="Times New Roman"/>
          <w:i/>
          <w:iCs/>
          <w:sz w:val="22"/>
          <w:szCs w:val="22"/>
        </w:rPr>
        <w:t xml:space="preserve"> agreements</w:t>
      </w:r>
      <w:r w:rsidRPr="00374D10">
        <w:rPr>
          <w:rFonts w:ascii="Times New Roman" w:hAnsi="Times New Roman" w:cs="Times New Roman"/>
          <w:sz w:val="22"/>
          <w:szCs w:val="22"/>
        </w:rPr>
        <w:t xml:space="preserve">”, in </w:t>
      </w:r>
      <w:proofErr w:type="spellStart"/>
      <w:r w:rsidRPr="00374D10">
        <w:rPr>
          <w:rFonts w:ascii="Times New Roman" w:hAnsi="Times New Roman" w:cs="Times New Roman"/>
          <w:i/>
          <w:iCs/>
          <w:sz w:val="22"/>
          <w:szCs w:val="22"/>
        </w:rPr>
        <w:t>Giorn</w:t>
      </w:r>
      <w:proofErr w:type="spellEnd"/>
      <w:r w:rsidRPr="00374D10">
        <w:rPr>
          <w:rFonts w:ascii="Times New Roman" w:hAnsi="Times New Roman" w:cs="Times New Roman"/>
          <w:i/>
          <w:iCs/>
          <w:sz w:val="22"/>
          <w:szCs w:val="22"/>
        </w:rPr>
        <w:t xml:space="preserve">. dir. </w:t>
      </w:r>
      <w:proofErr w:type="spellStart"/>
      <w:r w:rsidRPr="00374D10">
        <w:rPr>
          <w:rFonts w:ascii="Times New Roman" w:hAnsi="Times New Roman" w:cs="Times New Roman"/>
          <w:i/>
          <w:iCs/>
          <w:sz w:val="22"/>
          <w:szCs w:val="22"/>
        </w:rPr>
        <w:t>amm</w:t>
      </w:r>
      <w:proofErr w:type="spellEnd"/>
      <w:r w:rsidRPr="00374D10">
        <w:rPr>
          <w:rFonts w:ascii="Times New Roman" w:hAnsi="Times New Roman" w:cs="Times New Roman"/>
          <w:sz w:val="22"/>
          <w:szCs w:val="22"/>
        </w:rPr>
        <w:t xml:space="preserve">, 2021, 354 ss.; id. Il </w:t>
      </w:r>
      <w:r w:rsidRPr="00374D10">
        <w:rPr>
          <w:rFonts w:ascii="Times New Roman" w:hAnsi="Times New Roman" w:cs="Times New Roman"/>
          <w:i/>
          <w:iCs/>
          <w:sz w:val="22"/>
          <w:szCs w:val="22"/>
        </w:rPr>
        <w:t xml:space="preserve">Ministero della transizione ecologica: una proiezione organizzativa del principio di </w:t>
      </w:r>
      <w:proofErr w:type="gramStart"/>
      <w:r w:rsidRPr="00374D10">
        <w:rPr>
          <w:rFonts w:ascii="Times New Roman" w:hAnsi="Times New Roman" w:cs="Times New Roman"/>
          <w:i/>
          <w:iCs/>
          <w:sz w:val="22"/>
          <w:szCs w:val="22"/>
        </w:rPr>
        <w:t>integrazione?</w:t>
      </w:r>
      <w:r w:rsidRPr="00374D10">
        <w:rPr>
          <w:rFonts w:ascii="Times New Roman" w:hAnsi="Times New Roman" w:cs="Times New Roman"/>
          <w:sz w:val="22"/>
          <w:szCs w:val="22"/>
        </w:rPr>
        <w:t>,</w:t>
      </w:r>
      <w:proofErr w:type="gramEnd"/>
      <w:r w:rsidRPr="00374D10">
        <w:rPr>
          <w:rFonts w:ascii="Times New Roman" w:hAnsi="Times New Roman" w:cs="Times New Roman"/>
          <w:sz w:val="22"/>
          <w:szCs w:val="22"/>
        </w:rPr>
        <w:t xml:space="preserve"> in </w:t>
      </w:r>
      <w:proofErr w:type="spellStart"/>
      <w:r w:rsidRPr="00374D10">
        <w:rPr>
          <w:rFonts w:ascii="Times New Roman" w:hAnsi="Times New Roman" w:cs="Times New Roman"/>
          <w:i/>
          <w:iCs/>
          <w:sz w:val="22"/>
          <w:szCs w:val="22"/>
        </w:rPr>
        <w:t>Giorn</w:t>
      </w:r>
      <w:proofErr w:type="spellEnd"/>
      <w:r w:rsidRPr="00374D10">
        <w:rPr>
          <w:rFonts w:ascii="Times New Roman" w:hAnsi="Times New Roman" w:cs="Times New Roman"/>
          <w:i/>
          <w:iCs/>
          <w:sz w:val="22"/>
          <w:szCs w:val="22"/>
        </w:rPr>
        <w:t xml:space="preserve">. dir. </w:t>
      </w:r>
      <w:proofErr w:type="spellStart"/>
      <w:r w:rsidRPr="00374D10">
        <w:rPr>
          <w:rFonts w:ascii="Times New Roman" w:hAnsi="Times New Roman" w:cs="Times New Roman"/>
          <w:i/>
          <w:iCs/>
          <w:sz w:val="22"/>
          <w:szCs w:val="22"/>
        </w:rPr>
        <w:t>amm</w:t>
      </w:r>
      <w:proofErr w:type="spellEnd"/>
      <w:r w:rsidRPr="00374D10">
        <w:rPr>
          <w:rFonts w:ascii="Times New Roman" w:hAnsi="Times New Roman" w:cs="Times New Roman"/>
          <w:sz w:val="22"/>
          <w:szCs w:val="22"/>
        </w:rPr>
        <w:t xml:space="preserve">., 2021, 439 ss. </w:t>
      </w:r>
      <w:r w:rsidRPr="00374D10">
        <w:rPr>
          <w:rFonts w:ascii="Times New Roman" w:hAnsi="Times New Roman" w:cs="Times New Roman"/>
          <w:i/>
          <w:iCs/>
          <w:sz w:val="22"/>
          <w:szCs w:val="22"/>
        </w:rPr>
        <w:t>Transizione ecologica, ordine economico e sistema amministrativo</w:t>
      </w:r>
      <w:r w:rsidRPr="00374D10">
        <w:rPr>
          <w:rFonts w:ascii="Times New Roman" w:hAnsi="Times New Roman" w:cs="Times New Roman"/>
          <w:sz w:val="22"/>
          <w:szCs w:val="22"/>
        </w:rPr>
        <w:t xml:space="preserve">, op. cit., 395; </w:t>
      </w:r>
      <w:r w:rsidRPr="00374D10">
        <w:rPr>
          <w:rFonts w:ascii="Times New Roman" w:hAnsi="Times New Roman" w:cs="Times New Roman"/>
          <w:i/>
          <w:iCs/>
          <w:sz w:val="22"/>
          <w:szCs w:val="22"/>
        </w:rPr>
        <w:t>La sfida ambientale e il ruolo dei pubblici poteri in campo economico</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 xml:space="preserve">Riv. Quad. Dir. </w:t>
      </w:r>
      <w:proofErr w:type="spellStart"/>
      <w:r w:rsidRPr="00374D10">
        <w:rPr>
          <w:rFonts w:ascii="Times New Roman" w:hAnsi="Times New Roman" w:cs="Times New Roman"/>
          <w:i/>
          <w:iCs/>
          <w:sz w:val="22"/>
          <w:szCs w:val="22"/>
        </w:rPr>
        <w:t>Amb</w:t>
      </w:r>
      <w:proofErr w:type="spellEnd"/>
      <w:r w:rsidRPr="00374D10">
        <w:rPr>
          <w:rFonts w:ascii="Times New Roman" w:hAnsi="Times New Roman" w:cs="Times New Roman"/>
          <w:sz w:val="22"/>
          <w:szCs w:val="22"/>
        </w:rPr>
        <w:t xml:space="preserve">., 2020, 32 ss.; L. M. PEPE, </w:t>
      </w:r>
      <w:r w:rsidRPr="00374D10">
        <w:rPr>
          <w:rFonts w:ascii="Times New Roman" w:hAnsi="Times New Roman" w:cs="Times New Roman"/>
          <w:i/>
          <w:iCs/>
          <w:sz w:val="22"/>
          <w:szCs w:val="22"/>
        </w:rPr>
        <w:t>Il diritto dell’energia fondato sui principi. La transizione ecologica come giustizia energetica</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Rivista Giuridica Ambiente Diritto.it</w:t>
      </w:r>
      <w:r w:rsidRPr="00374D10">
        <w:rPr>
          <w:rFonts w:ascii="Times New Roman" w:hAnsi="Times New Roman" w:cs="Times New Roman"/>
          <w:sz w:val="22"/>
          <w:szCs w:val="22"/>
        </w:rPr>
        <w:t xml:space="preserve">, 2021, 4; B.G. MATTARELLA, </w:t>
      </w:r>
      <w:r w:rsidRPr="00374D10">
        <w:rPr>
          <w:rFonts w:ascii="Times New Roman" w:hAnsi="Times New Roman" w:cs="Times New Roman"/>
          <w:i/>
          <w:iCs/>
          <w:sz w:val="22"/>
          <w:szCs w:val="22"/>
        </w:rPr>
        <w:t>La tutela contro la povertà in Italia</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 xml:space="preserve">Riv. </w:t>
      </w:r>
      <w:proofErr w:type="spellStart"/>
      <w:r w:rsidRPr="00374D10">
        <w:rPr>
          <w:rFonts w:ascii="Times New Roman" w:hAnsi="Times New Roman" w:cs="Times New Roman"/>
          <w:i/>
          <w:iCs/>
          <w:sz w:val="22"/>
          <w:szCs w:val="22"/>
        </w:rPr>
        <w:t>it</w:t>
      </w:r>
      <w:proofErr w:type="spellEnd"/>
      <w:r w:rsidRPr="00374D10">
        <w:rPr>
          <w:rFonts w:ascii="Times New Roman" w:hAnsi="Times New Roman" w:cs="Times New Roman"/>
          <w:i/>
          <w:iCs/>
          <w:sz w:val="22"/>
          <w:szCs w:val="22"/>
        </w:rPr>
        <w:t>. sc. giur</w:t>
      </w:r>
      <w:r w:rsidRPr="00374D10">
        <w:rPr>
          <w:rFonts w:ascii="Times New Roman" w:hAnsi="Times New Roman" w:cs="Times New Roman"/>
          <w:sz w:val="22"/>
          <w:szCs w:val="22"/>
        </w:rPr>
        <w:t xml:space="preserve">., 2020, 11, 283; id in </w:t>
      </w:r>
      <w:r w:rsidRPr="00374D10">
        <w:rPr>
          <w:rFonts w:ascii="Times New Roman" w:hAnsi="Times New Roman" w:cs="Times New Roman"/>
          <w:i/>
          <w:iCs/>
          <w:sz w:val="22"/>
          <w:szCs w:val="22"/>
        </w:rPr>
        <w:t>Il problema della povertà nel diritto amministrativo</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Riv. trim. dir. pubbl</w:t>
      </w:r>
      <w:r w:rsidRPr="00374D10">
        <w:rPr>
          <w:rFonts w:ascii="Times New Roman" w:hAnsi="Times New Roman" w:cs="Times New Roman"/>
          <w:sz w:val="22"/>
          <w:szCs w:val="22"/>
        </w:rPr>
        <w:t xml:space="preserve">., 2012, 2, 359; M. MAZZUCATO, </w:t>
      </w:r>
      <w:r w:rsidRPr="00374D10">
        <w:rPr>
          <w:rFonts w:ascii="Times New Roman" w:hAnsi="Times New Roman" w:cs="Times New Roman"/>
          <w:i/>
          <w:iCs/>
          <w:sz w:val="22"/>
          <w:szCs w:val="22"/>
        </w:rPr>
        <w:t>Missione economia: una guida per cambiare il capitalismo</w:t>
      </w:r>
      <w:r w:rsidRPr="00374D10">
        <w:rPr>
          <w:rFonts w:ascii="Times New Roman" w:hAnsi="Times New Roman" w:cs="Times New Roman"/>
          <w:sz w:val="22"/>
          <w:szCs w:val="22"/>
        </w:rPr>
        <w:t xml:space="preserve">, Bari, 2021; M. MELI, </w:t>
      </w:r>
      <w:r w:rsidRPr="00374D10">
        <w:rPr>
          <w:rFonts w:ascii="Times New Roman" w:hAnsi="Times New Roman" w:cs="Times New Roman"/>
          <w:i/>
          <w:iCs/>
          <w:sz w:val="22"/>
          <w:szCs w:val="22"/>
        </w:rPr>
        <w:t>Autoconsumo di energia rinnovabile e nuove forme di energy sharing</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Nuove leggi civ. comm</w:t>
      </w:r>
      <w:r w:rsidRPr="00374D10">
        <w:rPr>
          <w:rFonts w:ascii="Times New Roman" w:hAnsi="Times New Roman" w:cs="Times New Roman"/>
          <w:sz w:val="22"/>
          <w:szCs w:val="22"/>
        </w:rPr>
        <w:t>., 2020, 3, 633</w:t>
      </w:r>
      <w:bookmarkStart w:id="21" w:name="_Hlk200361504"/>
      <w:bookmarkEnd w:id="20"/>
      <w:r w:rsidRPr="00374D10">
        <w:rPr>
          <w:rFonts w:ascii="Times New Roman" w:hAnsi="Times New Roman" w:cs="Times New Roman"/>
          <w:sz w:val="22"/>
          <w:szCs w:val="22"/>
        </w:rPr>
        <w:t>.</w:t>
      </w:r>
      <w:bookmarkEnd w:id="18"/>
      <w:bookmarkEnd w:id="21"/>
    </w:p>
    <w:bookmarkEnd w:id="19"/>
  </w:footnote>
  <w:footnote w:id="20">
    <w:p w14:paraId="4B832068" w14:textId="2D428DD9"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Sul tema rilevano, altresì, le riflessioni sviluppate in materia di economia circolare, che rappresenta uno dei principali paradigmi attraverso cui si tenta di ripensare il rapporto tra crescita economica, uso delle risorse e azione pubblica. In questa prospettiva si colloca il contributo di </w:t>
      </w:r>
      <w:bookmarkStart w:id="22" w:name="_Hlk223962198"/>
      <w:r w:rsidRPr="00374D10">
        <w:rPr>
          <w:rFonts w:ascii="Times New Roman" w:hAnsi="Times New Roman" w:cs="Times New Roman"/>
          <w:sz w:val="22"/>
          <w:szCs w:val="22"/>
        </w:rPr>
        <w:t xml:space="preserve">R. FERRARA, </w:t>
      </w:r>
      <w:r w:rsidRPr="00374D10">
        <w:rPr>
          <w:rFonts w:ascii="Times New Roman" w:hAnsi="Times New Roman" w:cs="Times New Roman"/>
          <w:i/>
          <w:iCs/>
          <w:sz w:val="22"/>
          <w:szCs w:val="22"/>
        </w:rPr>
        <w:t>Brown economy, green economy, blue economy: l’economia circolare e il diritto dell’ambiente</w:t>
      </w:r>
      <w:r w:rsidRPr="00374D10">
        <w:rPr>
          <w:rFonts w:ascii="Times New Roman" w:hAnsi="Times New Roman" w:cs="Times New Roman"/>
          <w:sz w:val="22"/>
          <w:szCs w:val="22"/>
        </w:rPr>
        <w:t xml:space="preserve">, in Il </w:t>
      </w:r>
      <w:r w:rsidRPr="00374D10">
        <w:rPr>
          <w:rFonts w:ascii="Times New Roman" w:hAnsi="Times New Roman" w:cs="Times New Roman"/>
          <w:i/>
          <w:iCs/>
          <w:sz w:val="22"/>
          <w:szCs w:val="22"/>
        </w:rPr>
        <w:t>Piemonte delle Autonomie – Rivista quadrimestrale di scienze dell’Amministrazione,</w:t>
      </w:r>
      <w:r w:rsidRPr="00374D10">
        <w:rPr>
          <w:rFonts w:ascii="Times New Roman" w:hAnsi="Times New Roman" w:cs="Times New Roman"/>
          <w:sz w:val="22"/>
          <w:szCs w:val="22"/>
        </w:rPr>
        <w:t xml:space="preserve"> promossa dal Consiglio regionale del Piemonte, 2018, 3, pp</w:t>
      </w:r>
      <w:bookmarkEnd w:id="22"/>
      <w:r w:rsidRPr="00374D10">
        <w:rPr>
          <w:rFonts w:ascii="Times New Roman" w:hAnsi="Times New Roman" w:cs="Times New Roman"/>
          <w:sz w:val="22"/>
          <w:szCs w:val="22"/>
        </w:rPr>
        <w:t xml:space="preserve">. 1-23. Con specifico riguardo alla dimensione giuridica del fenomeno, si veda </w:t>
      </w:r>
      <w:bookmarkStart w:id="23" w:name="_Hlk223962179"/>
      <w:bookmarkStart w:id="24" w:name="_Hlk224750149"/>
      <w:r w:rsidRPr="00374D10">
        <w:rPr>
          <w:rFonts w:ascii="Times New Roman" w:hAnsi="Times New Roman" w:cs="Times New Roman"/>
          <w:sz w:val="22"/>
          <w:szCs w:val="22"/>
        </w:rPr>
        <w:t xml:space="preserve">F. DE LEONARDIS, </w:t>
      </w:r>
      <w:r w:rsidRPr="00374D10">
        <w:rPr>
          <w:rFonts w:ascii="Times New Roman" w:hAnsi="Times New Roman" w:cs="Times New Roman"/>
          <w:i/>
          <w:iCs/>
          <w:sz w:val="22"/>
          <w:szCs w:val="22"/>
        </w:rPr>
        <w:t xml:space="preserve">Economia circolare: saggio sui suoi tre diversi aspetti giuridici. Verso uno stato </w:t>
      </w:r>
      <w:proofErr w:type="gramStart"/>
      <w:r w:rsidRPr="00374D10">
        <w:rPr>
          <w:rFonts w:ascii="Times New Roman" w:hAnsi="Times New Roman" w:cs="Times New Roman"/>
          <w:i/>
          <w:iCs/>
          <w:sz w:val="22"/>
          <w:szCs w:val="22"/>
        </w:rPr>
        <w:t>circolare?,</w:t>
      </w:r>
      <w:proofErr w:type="gramEnd"/>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 xml:space="preserve">Dir. </w:t>
      </w:r>
      <w:proofErr w:type="spellStart"/>
      <w:r w:rsidRPr="00374D10">
        <w:rPr>
          <w:rFonts w:ascii="Times New Roman" w:hAnsi="Times New Roman" w:cs="Times New Roman"/>
          <w:i/>
          <w:iCs/>
          <w:sz w:val="22"/>
          <w:szCs w:val="22"/>
        </w:rPr>
        <w:t>amm</w:t>
      </w:r>
      <w:proofErr w:type="spellEnd"/>
      <w:r w:rsidRPr="00374D10">
        <w:rPr>
          <w:rFonts w:ascii="Times New Roman" w:hAnsi="Times New Roman" w:cs="Times New Roman"/>
          <w:sz w:val="22"/>
          <w:szCs w:val="22"/>
        </w:rPr>
        <w:t xml:space="preserve">., 2017, pp. 163 ss., mentre sui fondamenti economici dell’economia circolare cfr. T. FEDERICO, </w:t>
      </w:r>
      <w:r w:rsidRPr="00374D10">
        <w:rPr>
          <w:rFonts w:ascii="Times New Roman" w:hAnsi="Times New Roman" w:cs="Times New Roman"/>
          <w:i/>
          <w:iCs/>
          <w:sz w:val="22"/>
          <w:szCs w:val="22"/>
        </w:rPr>
        <w:t>I fondamenti dell’economia circolare, Fondazione per lo sviluppo sostenibile,</w:t>
      </w:r>
      <w:r w:rsidRPr="00374D10">
        <w:rPr>
          <w:rFonts w:ascii="Times New Roman" w:hAnsi="Times New Roman" w:cs="Times New Roman"/>
          <w:sz w:val="22"/>
          <w:szCs w:val="22"/>
        </w:rPr>
        <w:t xml:space="preserve"> 2015, </w:t>
      </w:r>
      <w:hyperlink r:id="rId4" w:history="1">
        <w:r w:rsidRPr="00374D10">
          <w:rPr>
            <w:rStyle w:val="Collegamentoipertestuale"/>
            <w:rFonts w:ascii="Times New Roman" w:hAnsi="Times New Roman" w:cs="Times New Roman"/>
            <w:sz w:val="22"/>
            <w:szCs w:val="22"/>
          </w:rPr>
          <w:t>www.fondazionesvilupposostenibile.org</w:t>
        </w:r>
      </w:hyperlink>
      <w:r w:rsidRPr="00374D10">
        <w:rPr>
          <w:rFonts w:ascii="Times New Roman" w:hAnsi="Times New Roman" w:cs="Times New Roman"/>
          <w:sz w:val="22"/>
          <w:szCs w:val="22"/>
        </w:rPr>
        <w:t xml:space="preserve">. </w:t>
      </w:r>
      <w:bookmarkEnd w:id="23"/>
    </w:p>
    <w:bookmarkEnd w:id="24"/>
  </w:footnote>
  <w:footnote w:id="21">
    <w:p w14:paraId="007F14DF"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Per un’analisi più approfondita dell’evoluzione dei modelli di azione amministrativa impiegati nella tutela dell’ambiente, si veda </w:t>
      </w:r>
      <w:bookmarkStart w:id="25" w:name="_Hlk224750171"/>
      <w:bookmarkStart w:id="26" w:name="_Hlk223962137"/>
      <w:r w:rsidRPr="00374D10">
        <w:rPr>
          <w:rFonts w:ascii="Times New Roman" w:hAnsi="Times New Roman" w:cs="Times New Roman"/>
          <w:sz w:val="22"/>
          <w:szCs w:val="22"/>
        </w:rPr>
        <w:t xml:space="preserve">M. CAFAGNO, F. FONDERICO, </w:t>
      </w:r>
      <w:r w:rsidRPr="00374D10">
        <w:rPr>
          <w:rFonts w:ascii="Times New Roman" w:hAnsi="Times New Roman" w:cs="Times New Roman"/>
          <w:i/>
          <w:iCs/>
          <w:sz w:val="22"/>
          <w:szCs w:val="22"/>
        </w:rPr>
        <w:t>Riflessione economica e modelli di azione amministrativa a tutela dell’ambiente</w:t>
      </w:r>
      <w:r w:rsidRPr="00374D10">
        <w:rPr>
          <w:rFonts w:ascii="Times New Roman" w:hAnsi="Times New Roman" w:cs="Times New Roman"/>
          <w:sz w:val="22"/>
          <w:szCs w:val="22"/>
        </w:rPr>
        <w:t xml:space="preserve">, in P. DELL’ANNO, E. PICOZZA (diretto da), </w:t>
      </w:r>
      <w:r w:rsidRPr="00374D10">
        <w:rPr>
          <w:rFonts w:ascii="Times New Roman" w:hAnsi="Times New Roman" w:cs="Times New Roman"/>
          <w:i/>
          <w:iCs/>
          <w:sz w:val="22"/>
          <w:szCs w:val="22"/>
        </w:rPr>
        <w:t>Trattato di diritto dell’ambiente. Principi generali</w:t>
      </w:r>
      <w:r w:rsidRPr="00374D10">
        <w:rPr>
          <w:rFonts w:ascii="Times New Roman" w:hAnsi="Times New Roman" w:cs="Times New Roman"/>
          <w:sz w:val="22"/>
          <w:szCs w:val="22"/>
        </w:rPr>
        <w:t>, I, Padova, 2012, p. 534 ss</w:t>
      </w:r>
      <w:bookmarkEnd w:id="25"/>
      <w:r w:rsidRPr="00374D10">
        <w:rPr>
          <w:rFonts w:ascii="Times New Roman" w:hAnsi="Times New Roman" w:cs="Times New Roman"/>
          <w:sz w:val="22"/>
          <w:szCs w:val="22"/>
        </w:rPr>
        <w:t xml:space="preserve">., </w:t>
      </w:r>
      <w:bookmarkEnd w:id="26"/>
      <w:r w:rsidRPr="00374D10">
        <w:rPr>
          <w:rFonts w:ascii="Times New Roman" w:hAnsi="Times New Roman" w:cs="Times New Roman"/>
          <w:sz w:val="22"/>
          <w:szCs w:val="22"/>
        </w:rPr>
        <w:t>ove gli autori individuano quattro distinte fasi evolutive. In particolare, ad una prima fase iniziale, caratterizzata dal prevalente ricorso a strumenti autoritativi, e ad una seconda fase – cui si farà riferimento infra nel testo – segnata dall’introduzione di strumenti di tipo economico, si affiancano ulteriori due momenti evolutivi. Il primo, collocabile nel primo decennio del XXI secolo, è contraddistinto dal passaggio da un modello di economia “aperta” ad uno di economia “a ciclo chiuso”; il secondo, tuttora in corso di definizione, appare orientato – in linea con i principi della c.d. green economy – verso una riconsiderazione del rapporto tra economia e ambiente non più in termini necessariamente conflittuali, ma piuttosto come ambito suscettibile di essere riorientato verso modelli di coevoluzione e di reciproca sinergia.</w:t>
      </w:r>
    </w:p>
  </w:footnote>
  <w:footnote w:id="22">
    <w:p w14:paraId="26504F62" w14:textId="77777777" w:rsidR="00DF358B" w:rsidRPr="00374D10" w:rsidRDefault="00DF358B" w:rsidP="00E73495">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G. BIFFI, </w:t>
      </w:r>
      <w:r w:rsidRPr="00374D10">
        <w:rPr>
          <w:rFonts w:ascii="Times New Roman" w:hAnsi="Times New Roman" w:cs="Times New Roman"/>
          <w:i/>
          <w:iCs/>
          <w:sz w:val="22"/>
          <w:szCs w:val="22"/>
        </w:rPr>
        <w:t>A lezione di sussidiarietà</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Avvenire</w:t>
      </w:r>
      <w:r w:rsidRPr="00374D10">
        <w:rPr>
          <w:rFonts w:ascii="Times New Roman" w:hAnsi="Times New Roman" w:cs="Times New Roman"/>
          <w:sz w:val="22"/>
          <w:szCs w:val="22"/>
        </w:rPr>
        <w:t xml:space="preserve">, 3 maggio 1998; R. BIN, </w:t>
      </w:r>
      <w:r w:rsidRPr="00374D10">
        <w:rPr>
          <w:rFonts w:ascii="Times New Roman" w:hAnsi="Times New Roman" w:cs="Times New Roman"/>
          <w:i/>
          <w:iCs/>
          <w:sz w:val="22"/>
          <w:szCs w:val="22"/>
        </w:rPr>
        <w:t>La sussidiarietà “orizzontale”: alla ricerca dei soggetti privati</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Le Istituzioni del federalismo</w:t>
      </w:r>
      <w:r w:rsidRPr="00374D10">
        <w:rPr>
          <w:rFonts w:ascii="Times New Roman" w:hAnsi="Times New Roman" w:cs="Times New Roman"/>
          <w:sz w:val="22"/>
          <w:szCs w:val="22"/>
        </w:rPr>
        <w:t>, 1999;</w:t>
      </w:r>
      <w:r w:rsidRPr="00374D10">
        <w:rPr>
          <w:rFonts w:ascii="Times New Roman" w:hAnsi="Times New Roman" w:cs="Times New Roman"/>
          <w:sz w:val="22"/>
          <w:szCs w:val="22"/>
        </w:rPr>
        <w:br/>
        <w:t xml:space="preserve">K. CHOJNACKI, </w:t>
      </w:r>
      <w:r w:rsidRPr="00374D10">
        <w:rPr>
          <w:rFonts w:ascii="Times New Roman" w:hAnsi="Times New Roman" w:cs="Times New Roman"/>
          <w:i/>
          <w:iCs/>
          <w:sz w:val="22"/>
          <w:szCs w:val="22"/>
        </w:rPr>
        <w:t>Sussidiarietà e società</w:t>
      </w:r>
      <w:r w:rsidRPr="00374D10">
        <w:rPr>
          <w:rFonts w:ascii="Times New Roman" w:hAnsi="Times New Roman" w:cs="Times New Roman"/>
          <w:sz w:val="22"/>
          <w:szCs w:val="22"/>
        </w:rPr>
        <w:t xml:space="preserve">, </w:t>
      </w:r>
      <w:proofErr w:type="spellStart"/>
      <w:r w:rsidRPr="00374D10">
        <w:rPr>
          <w:rFonts w:ascii="Times New Roman" w:hAnsi="Times New Roman" w:cs="Times New Roman"/>
          <w:sz w:val="22"/>
          <w:szCs w:val="22"/>
        </w:rPr>
        <w:t>Frusino</w:t>
      </w:r>
      <w:proofErr w:type="spellEnd"/>
      <w:r w:rsidRPr="00374D10">
        <w:rPr>
          <w:rFonts w:ascii="Times New Roman" w:hAnsi="Times New Roman" w:cs="Times New Roman"/>
          <w:sz w:val="22"/>
          <w:szCs w:val="22"/>
        </w:rPr>
        <w:t xml:space="preserve">, 1999; A. D’ATENA, </w:t>
      </w:r>
      <w:r w:rsidRPr="00374D10">
        <w:rPr>
          <w:rFonts w:ascii="Times New Roman" w:hAnsi="Times New Roman" w:cs="Times New Roman"/>
          <w:i/>
          <w:iCs/>
          <w:sz w:val="22"/>
          <w:szCs w:val="22"/>
        </w:rPr>
        <w:t>Costituzione e principio di sussidiarietà</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Quaderni costituzionali</w:t>
      </w:r>
      <w:r w:rsidRPr="00374D10">
        <w:rPr>
          <w:rFonts w:ascii="Times New Roman" w:hAnsi="Times New Roman" w:cs="Times New Roman"/>
          <w:sz w:val="22"/>
          <w:szCs w:val="22"/>
        </w:rPr>
        <w:t xml:space="preserve">, 2001; Id., </w:t>
      </w:r>
      <w:r w:rsidRPr="00374D10">
        <w:rPr>
          <w:rFonts w:ascii="Times New Roman" w:hAnsi="Times New Roman" w:cs="Times New Roman"/>
          <w:i/>
          <w:iCs/>
          <w:sz w:val="22"/>
          <w:szCs w:val="22"/>
        </w:rPr>
        <w:t>Il principio di sussidiarietà nella Costituzione italiana</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Rivista italiana di diritto pubblico comunitario</w:t>
      </w:r>
      <w:r w:rsidRPr="00374D10">
        <w:rPr>
          <w:rFonts w:ascii="Times New Roman" w:hAnsi="Times New Roman" w:cs="Times New Roman"/>
          <w:sz w:val="22"/>
          <w:szCs w:val="22"/>
        </w:rPr>
        <w:t xml:space="preserve">, 1997; G. DALLA TORRE, </w:t>
      </w:r>
      <w:r w:rsidRPr="00374D10">
        <w:rPr>
          <w:rFonts w:ascii="Times New Roman" w:hAnsi="Times New Roman" w:cs="Times New Roman"/>
          <w:i/>
          <w:iCs/>
          <w:sz w:val="22"/>
          <w:szCs w:val="22"/>
        </w:rPr>
        <w:t>Il principio di sussidiarietà e lo sviluppo della società italiana</w:t>
      </w:r>
      <w:r w:rsidRPr="00374D10">
        <w:rPr>
          <w:rFonts w:ascii="Times New Roman" w:hAnsi="Times New Roman" w:cs="Times New Roman"/>
          <w:sz w:val="22"/>
          <w:szCs w:val="22"/>
        </w:rPr>
        <w:t xml:space="preserve">, Palermo, 1998; L. DANIELE, </w:t>
      </w:r>
      <w:r w:rsidRPr="00374D10">
        <w:rPr>
          <w:rFonts w:ascii="Times New Roman" w:hAnsi="Times New Roman" w:cs="Times New Roman"/>
          <w:i/>
          <w:iCs/>
          <w:sz w:val="22"/>
          <w:szCs w:val="22"/>
        </w:rPr>
        <w:t>Il diritto materiale della Comunità europea</w:t>
      </w:r>
      <w:r w:rsidRPr="00374D10">
        <w:rPr>
          <w:rFonts w:ascii="Times New Roman" w:hAnsi="Times New Roman" w:cs="Times New Roman"/>
          <w:sz w:val="22"/>
          <w:szCs w:val="22"/>
        </w:rPr>
        <w:t xml:space="preserve">, Giuffrè, Milano, 1995; B. DE SANTIS LAVIO, </w:t>
      </w:r>
      <w:r w:rsidRPr="00374D10">
        <w:rPr>
          <w:rFonts w:ascii="Times New Roman" w:hAnsi="Times New Roman" w:cs="Times New Roman"/>
          <w:i/>
          <w:iCs/>
          <w:sz w:val="22"/>
          <w:szCs w:val="22"/>
        </w:rPr>
        <w:t>Dottrina sociale della Chiesa</w:t>
      </w:r>
      <w:r w:rsidRPr="00374D10">
        <w:rPr>
          <w:rFonts w:ascii="Times New Roman" w:hAnsi="Times New Roman" w:cs="Times New Roman"/>
          <w:sz w:val="22"/>
          <w:szCs w:val="22"/>
        </w:rPr>
        <w:t xml:space="preserve">, Roma, 1995; P. DURET, </w:t>
      </w:r>
      <w:r w:rsidRPr="00374D10">
        <w:rPr>
          <w:rFonts w:ascii="Times New Roman" w:hAnsi="Times New Roman" w:cs="Times New Roman"/>
          <w:i/>
          <w:iCs/>
          <w:sz w:val="22"/>
          <w:szCs w:val="22"/>
        </w:rPr>
        <w:t>La sussidiarietà “orizzontale”: le radici e le suggestioni di un concetto</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Jus</w:t>
      </w:r>
      <w:r w:rsidRPr="00374D10">
        <w:rPr>
          <w:rFonts w:ascii="Times New Roman" w:hAnsi="Times New Roman" w:cs="Times New Roman"/>
          <w:sz w:val="22"/>
          <w:szCs w:val="22"/>
        </w:rPr>
        <w:t>, Milano, 2000.</w:t>
      </w:r>
    </w:p>
  </w:footnote>
  <w:footnote w:id="23">
    <w:p w14:paraId="7202280F" w14:textId="17086E1F"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374D10">
        <w:rPr>
          <w:rStyle w:val="Rimandonotaapidipagina"/>
          <w:rFonts w:ascii="Times New Roman" w:hAnsi="Times New Roman" w:cs="Times New Roman"/>
          <w:sz w:val="22"/>
          <w:szCs w:val="22"/>
        </w:rPr>
        <w:footnoteRef/>
      </w:r>
      <w:r w:rsidRPr="00374D10">
        <w:rPr>
          <w:rFonts w:ascii="Times New Roman" w:hAnsi="Times New Roman" w:cs="Times New Roman"/>
          <w:sz w:val="22"/>
          <w:szCs w:val="22"/>
        </w:rPr>
        <w:t xml:space="preserve"> G. ARENA, </w:t>
      </w:r>
      <w:r w:rsidRPr="00374D10">
        <w:rPr>
          <w:rFonts w:ascii="Times New Roman" w:hAnsi="Times New Roman" w:cs="Times New Roman"/>
          <w:i/>
          <w:iCs/>
          <w:sz w:val="22"/>
          <w:szCs w:val="22"/>
        </w:rPr>
        <w:t>Sussidiarietà orizzontale e Terzo Settore</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Impresa sociale,</w:t>
      </w:r>
      <w:r w:rsidRPr="00374D10">
        <w:rPr>
          <w:rFonts w:ascii="Times New Roman" w:hAnsi="Times New Roman" w:cs="Times New Roman"/>
          <w:sz w:val="22"/>
          <w:szCs w:val="22"/>
        </w:rPr>
        <w:t xml:space="preserve"> </w:t>
      </w:r>
      <w:hyperlink r:id="rId5" w:history="1">
        <w:r w:rsidRPr="00374D10">
          <w:rPr>
            <w:rStyle w:val="Collegamentoipertestuale"/>
            <w:rFonts w:ascii="Times New Roman" w:hAnsi="Times New Roman" w:cs="Times New Roman"/>
            <w:sz w:val="22"/>
            <w:szCs w:val="22"/>
          </w:rPr>
          <w:t>https://www.labsus.org</w:t>
        </w:r>
      </w:hyperlink>
      <w:r w:rsidRPr="00374D10">
        <w:rPr>
          <w:rFonts w:ascii="Times New Roman" w:hAnsi="Times New Roman" w:cs="Times New Roman"/>
          <w:sz w:val="22"/>
          <w:szCs w:val="22"/>
        </w:rPr>
        <w:t xml:space="preserve">, 2020; id. </w:t>
      </w:r>
      <w:r w:rsidRPr="00374D10">
        <w:rPr>
          <w:rFonts w:ascii="Times New Roman" w:hAnsi="Times New Roman" w:cs="Times New Roman"/>
          <w:i/>
          <w:iCs/>
          <w:sz w:val="22"/>
          <w:szCs w:val="22"/>
        </w:rPr>
        <w:t>Un nuovo diritto per l’amministrazione condivisa dei beni comuni</w:t>
      </w:r>
      <w:r w:rsidRPr="00374D10">
        <w:rPr>
          <w:rFonts w:ascii="Times New Roman" w:hAnsi="Times New Roman" w:cs="Times New Roman"/>
          <w:sz w:val="22"/>
          <w:szCs w:val="22"/>
        </w:rPr>
        <w:t xml:space="preserve">, in </w:t>
      </w:r>
      <w:r w:rsidRPr="00374D10">
        <w:rPr>
          <w:rFonts w:ascii="Times New Roman" w:hAnsi="Times New Roman" w:cs="Times New Roman"/>
          <w:i/>
          <w:iCs/>
          <w:sz w:val="22"/>
          <w:szCs w:val="22"/>
        </w:rPr>
        <w:t>La città come bene comune</w:t>
      </w:r>
      <w:r w:rsidRPr="00374D10">
        <w:rPr>
          <w:rFonts w:ascii="Times New Roman" w:hAnsi="Times New Roman" w:cs="Times New Roman"/>
          <w:sz w:val="22"/>
          <w:szCs w:val="22"/>
        </w:rPr>
        <w:t xml:space="preserve">, Napoli, Edizioni Scientifiche Italiane, 2019, 33-47; ARENA, G., IAIONE C. (a cura di), </w:t>
      </w:r>
      <w:r w:rsidRPr="00374D10">
        <w:rPr>
          <w:rFonts w:ascii="Times New Roman" w:hAnsi="Times New Roman" w:cs="Times New Roman"/>
          <w:i/>
          <w:iCs/>
          <w:sz w:val="22"/>
          <w:szCs w:val="22"/>
        </w:rPr>
        <w:t>L’età della condivisione</w:t>
      </w:r>
      <w:r w:rsidRPr="005D700A">
        <w:rPr>
          <w:rFonts w:ascii="Times New Roman" w:hAnsi="Times New Roman" w:cs="Times New Roman"/>
          <w:sz w:val="22"/>
          <w:szCs w:val="22"/>
        </w:rPr>
        <w:t xml:space="preserve">, </w:t>
      </w:r>
      <w:r w:rsidRPr="00010023">
        <w:rPr>
          <w:rFonts w:ascii="Times New Roman" w:hAnsi="Times New Roman" w:cs="Times New Roman"/>
          <w:sz w:val="22"/>
          <w:szCs w:val="22"/>
        </w:rPr>
        <w:t xml:space="preserve">Roma, Carocci, 2015; G. ARENA, C. IAONE (a cura di), </w:t>
      </w:r>
      <w:r w:rsidRPr="00010023">
        <w:rPr>
          <w:rFonts w:ascii="Times New Roman" w:hAnsi="Times New Roman" w:cs="Times New Roman"/>
          <w:i/>
          <w:iCs/>
          <w:sz w:val="22"/>
          <w:szCs w:val="22"/>
        </w:rPr>
        <w:t>L’Italia dei beni comuni, Roma, Carocci</w:t>
      </w:r>
      <w:r w:rsidRPr="00010023">
        <w:rPr>
          <w:rFonts w:ascii="Times New Roman" w:hAnsi="Times New Roman" w:cs="Times New Roman"/>
          <w:sz w:val="22"/>
          <w:szCs w:val="22"/>
        </w:rPr>
        <w:t xml:space="preserve">, 2012; G. ARENA, F. CORTESE (a cura di), </w:t>
      </w:r>
      <w:r w:rsidRPr="00010023">
        <w:rPr>
          <w:rFonts w:ascii="Times New Roman" w:hAnsi="Times New Roman" w:cs="Times New Roman"/>
          <w:i/>
          <w:iCs/>
          <w:sz w:val="22"/>
          <w:szCs w:val="22"/>
        </w:rPr>
        <w:t>Per governare insieme: il federalismo come metodo,</w:t>
      </w:r>
      <w:r w:rsidRPr="00010023">
        <w:rPr>
          <w:rFonts w:ascii="Times New Roman" w:hAnsi="Times New Roman" w:cs="Times New Roman"/>
          <w:sz w:val="22"/>
          <w:szCs w:val="22"/>
        </w:rPr>
        <w:t xml:space="preserve"> Padova, CEDAM, 2011; G. ARENA, G. COTTURRI, (a cura di),</w:t>
      </w:r>
      <w:r w:rsidRPr="00010023">
        <w:rPr>
          <w:rFonts w:ascii="Times New Roman" w:hAnsi="Times New Roman" w:cs="Times New Roman"/>
          <w:i/>
          <w:iCs/>
          <w:sz w:val="22"/>
          <w:szCs w:val="22"/>
        </w:rPr>
        <w:t xml:space="preserve"> Il valore aggiunto. Come la sussidiarietà può salvare l’Italia</w:t>
      </w:r>
      <w:r w:rsidRPr="00010023">
        <w:rPr>
          <w:rFonts w:ascii="Times New Roman" w:hAnsi="Times New Roman" w:cs="Times New Roman"/>
          <w:sz w:val="22"/>
          <w:szCs w:val="22"/>
        </w:rPr>
        <w:t xml:space="preserve">, Roma, Carocci, 2010; G. ARENA, </w:t>
      </w:r>
      <w:r w:rsidRPr="00010023">
        <w:rPr>
          <w:rFonts w:ascii="Times New Roman" w:hAnsi="Times New Roman" w:cs="Times New Roman"/>
          <w:i/>
          <w:iCs/>
          <w:sz w:val="22"/>
          <w:szCs w:val="22"/>
        </w:rPr>
        <w:t xml:space="preserve">La sussidiarietà nella Caritas in </w:t>
      </w:r>
      <w:proofErr w:type="spellStart"/>
      <w:r w:rsidRPr="00010023">
        <w:rPr>
          <w:rFonts w:ascii="Times New Roman" w:hAnsi="Times New Roman" w:cs="Times New Roman"/>
          <w:i/>
          <w:iCs/>
          <w:sz w:val="22"/>
          <w:szCs w:val="22"/>
        </w:rPr>
        <w:t>veritate</w:t>
      </w:r>
      <w:proofErr w:type="spellEnd"/>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Labsus</w:t>
      </w:r>
      <w:proofErr w:type="spellEnd"/>
      <w:r w:rsidRPr="00010023">
        <w:rPr>
          <w:rFonts w:ascii="Times New Roman" w:hAnsi="Times New Roman" w:cs="Times New Roman"/>
          <w:i/>
          <w:iCs/>
          <w:sz w:val="22"/>
          <w:szCs w:val="22"/>
        </w:rPr>
        <w:t xml:space="preserve"> – Laboratorio per la sussidiarietà</w:t>
      </w:r>
      <w:r w:rsidRPr="00010023">
        <w:rPr>
          <w:rFonts w:ascii="Times New Roman" w:hAnsi="Times New Roman" w:cs="Times New Roman"/>
          <w:sz w:val="22"/>
          <w:szCs w:val="22"/>
        </w:rPr>
        <w:t xml:space="preserve">, </w:t>
      </w:r>
      <w:hyperlink r:id="rId6" w:tgtFrame="_new" w:history="1">
        <w:r w:rsidRPr="00010023">
          <w:rPr>
            <w:rStyle w:val="Collegamentoipertestuale"/>
            <w:rFonts w:ascii="Times New Roman" w:hAnsi="Times New Roman" w:cs="Times New Roman"/>
            <w:sz w:val="22"/>
            <w:szCs w:val="22"/>
          </w:rPr>
          <w:t>https://www.labsus.org</w:t>
        </w:r>
      </w:hyperlink>
      <w:r w:rsidRPr="00010023">
        <w:rPr>
          <w:rFonts w:ascii="Times New Roman" w:hAnsi="Times New Roman" w:cs="Times New Roman"/>
          <w:sz w:val="22"/>
          <w:szCs w:val="22"/>
        </w:rPr>
        <w:t xml:space="preserve">, 2009; id. </w:t>
      </w:r>
      <w:r w:rsidRPr="00010023">
        <w:rPr>
          <w:rFonts w:ascii="Times New Roman" w:hAnsi="Times New Roman" w:cs="Times New Roman"/>
          <w:i/>
          <w:iCs/>
          <w:sz w:val="22"/>
          <w:szCs w:val="22"/>
        </w:rPr>
        <w:t>Cittadini attivi. Un altro modo di pensare l’Italia</w:t>
      </w:r>
      <w:r w:rsidRPr="00010023">
        <w:rPr>
          <w:rFonts w:ascii="Times New Roman" w:hAnsi="Times New Roman" w:cs="Times New Roman"/>
          <w:sz w:val="22"/>
          <w:szCs w:val="22"/>
        </w:rPr>
        <w:t xml:space="preserve">, Roma-Bari, Laterza, 2006; Sussidiarietà e solidarietà», in </w:t>
      </w:r>
      <w:r w:rsidRPr="00010023">
        <w:rPr>
          <w:rFonts w:ascii="Times New Roman" w:hAnsi="Times New Roman" w:cs="Times New Roman"/>
          <w:i/>
          <w:iCs/>
          <w:sz w:val="22"/>
          <w:szCs w:val="22"/>
        </w:rPr>
        <w:t>Diritto romano attuale</w:t>
      </w:r>
      <w:r w:rsidRPr="00010023">
        <w:rPr>
          <w:rFonts w:ascii="Times New Roman" w:hAnsi="Times New Roman" w:cs="Times New Roman"/>
          <w:sz w:val="22"/>
          <w:szCs w:val="22"/>
        </w:rPr>
        <w:t>, 2004, 6, 89-104.</w:t>
      </w:r>
    </w:p>
  </w:footnote>
  <w:footnote w:id="24">
    <w:p w14:paraId="246D2886" w14:textId="4C3CDDF4"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L’affermazione del paradigma dello sviluppo sostenibile si colloca in parallelo con il processo di progressiva ridefinizione del ruolo dei poteri pubblici nell’economia. In particolare, con l’emergere del modello dello Stato regolatore, l’intervento pubblico ha trovato la propria principale giustificazione nella necessità di correggere i fallimenti del mercato, con una conseguente riduzione degli spazi dell’intervento diretto dello Stato nell’attività economica. In tale contesto, tuttavia, il principio dello sviluppo sostenibile ha contribuito a sollecitare una rivalutazione e una trasformazione delle forme di azione pubblica, imponendo una riconsiderazione degli strumenti e delle finalità dell’intervento amministrativo, anche alla luce dell’esigenza di integrare stabilmente la tutela ambientale nelle politiche economiche. Sulla tendenza della regolazione pro-concorrenziale a restringere gli ambiti e le ragioni dell’intervento pubblico si veda </w:t>
      </w:r>
      <w:bookmarkStart w:id="28" w:name="_Hlk223962103"/>
      <w:r w:rsidRPr="00010023">
        <w:rPr>
          <w:rFonts w:ascii="Times New Roman" w:hAnsi="Times New Roman" w:cs="Times New Roman"/>
          <w:sz w:val="22"/>
          <w:szCs w:val="22"/>
        </w:rPr>
        <w:t xml:space="preserve">M. D’ALBERTI, </w:t>
      </w:r>
      <w:r w:rsidRPr="00010023">
        <w:rPr>
          <w:rFonts w:ascii="Times New Roman" w:hAnsi="Times New Roman" w:cs="Times New Roman"/>
          <w:i/>
          <w:iCs/>
          <w:sz w:val="22"/>
          <w:szCs w:val="22"/>
        </w:rPr>
        <w:t>Riforma della regolazione e sviluppo dei mercati in Italia</w:t>
      </w:r>
      <w:r w:rsidRPr="00010023">
        <w:rPr>
          <w:rFonts w:ascii="Times New Roman" w:hAnsi="Times New Roman" w:cs="Times New Roman"/>
          <w:sz w:val="22"/>
          <w:szCs w:val="22"/>
        </w:rPr>
        <w:t xml:space="preserve">, in G. TESAURO – M. D’ALBERTI (a cura di), </w:t>
      </w:r>
      <w:r w:rsidRPr="00010023">
        <w:rPr>
          <w:rFonts w:ascii="Times New Roman" w:hAnsi="Times New Roman" w:cs="Times New Roman"/>
          <w:i/>
          <w:iCs/>
          <w:sz w:val="22"/>
          <w:szCs w:val="22"/>
        </w:rPr>
        <w:t>Regolazione e concorrenza</w:t>
      </w:r>
      <w:r w:rsidRPr="00010023">
        <w:rPr>
          <w:rFonts w:ascii="Times New Roman" w:hAnsi="Times New Roman" w:cs="Times New Roman"/>
          <w:sz w:val="22"/>
          <w:szCs w:val="22"/>
        </w:rPr>
        <w:t xml:space="preserve">, Il Mulino, Bologna, 2000, p. 171; sul tema cfr. anche S. CASSESE, </w:t>
      </w:r>
      <w:r w:rsidRPr="00010023">
        <w:rPr>
          <w:rFonts w:ascii="Times New Roman" w:hAnsi="Times New Roman" w:cs="Times New Roman"/>
          <w:i/>
          <w:iCs/>
          <w:sz w:val="22"/>
          <w:szCs w:val="22"/>
        </w:rPr>
        <w:t>Stato e mercato dopo privatizzazioni e «deregulation»</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 trim. dir. pubbl.</w:t>
      </w:r>
      <w:r w:rsidRPr="00010023">
        <w:rPr>
          <w:rFonts w:ascii="Times New Roman" w:hAnsi="Times New Roman" w:cs="Times New Roman"/>
          <w:sz w:val="22"/>
          <w:szCs w:val="22"/>
        </w:rPr>
        <w:t xml:space="preserve">, 1991, pp. 378 ss.; T. DAINTITH, </w:t>
      </w:r>
      <w:proofErr w:type="spellStart"/>
      <w:r w:rsidRPr="00010023">
        <w:rPr>
          <w:rFonts w:ascii="Times New Roman" w:hAnsi="Times New Roman" w:cs="Times New Roman"/>
          <w:i/>
          <w:iCs/>
          <w:sz w:val="22"/>
          <w:szCs w:val="22"/>
        </w:rPr>
        <w:t>Regulation</w:t>
      </w:r>
      <w:proofErr w:type="spellEnd"/>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International Encyclopedia of Comparative Law</w:t>
      </w:r>
      <w:r w:rsidRPr="00010023">
        <w:rPr>
          <w:rFonts w:ascii="Times New Roman" w:hAnsi="Times New Roman" w:cs="Times New Roman"/>
          <w:sz w:val="22"/>
          <w:szCs w:val="22"/>
        </w:rPr>
        <w:t xml:space="preserve">, State and Economy, XVII, 1997, pp. 3 ss.; A.I. OGUS, </w:t>
      </w:r>
      <w:proofErr w:type="spellStart"/>
      <w:r w:rsidRPr="00010023">
        <w:rPr>
          <w:rFonts w:ascii="Times New Roman" w:hAnsi="Times New Roman" w:cs="Times New Roman"/>
          <w:i/>
          <w:iCs/>
          <w:sz w:val="22"/>
          <w:szCs w:val="22"/>
        </w:rPr>
        <w:t>Introduction</w:t>
      </w:r>
      <w:proofErr w:type="spellEnd"/>
      <w:r w:rsidRPr="00010023">
        <w:rPr>
          <w:rFonts w:ascii="Times New Roman" w:hAnsi="Times New Roman" w:cs="Times New Roman"/>
          <w:sz w:val="22"/>
          <w:szCs w:val="22"/>
        </w:rPr>
        <w:t>, in A.I. OGUS (</w:t>
      </w:r>
      <w:proofErr w:type="spellStart"/>
      <w:r w:rsidRPr="00010023">
        <w:rPr>
          <w:rFonts w:ascii="Times New Roman" w:hAnsi="Times New Roman" w:cs="Times New Roman"/>
          <w:sz w:val="22"/>
          <w:szCs w:val="22"/>
        </w:rPr>
        <w:t>edited</w:t>
      </w:r>
      <w:proofErr w:type="spellEnd"/>
      <w:r w:rsidRPr="00010023">
        <w:rPr>
          <w:rFonts w:ascii="Times New Roman" w:hAnsi="Times New Roman" w:cs="Times New Roman"/>
          <w:sz w:val="22"/>
          <w:szCs w:val="22"/>
        </w:rPr>
        <w:t xml:space="preserve"> by), </w:t>
      </w:r>
      <w:proofErr w:type="spellStart"/>
      <w:r w:rsidRPr="00010023">
        <w:rPr>
          <w:rFonts w:ascii="Times New Roman" w:hAnsi="Times New Roman" w:cs="Times New Roman"/>
          <w:i/>
          <w:iCs/>
          <w:sz w:val="22"/>
          <w:szCs w:val="22"/>
        </w:rPr>
        <w:t>Regulation</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economics</w:t>
      </w:r>
      <w:proofErr w:type="spellEnd"/>
      <w:r w:rsidRPr="00010023">
        <w:rPr>
          <w:rFonts w:ascii="Times New Roman" w:hAnsi="Times New Roman" w:cs="Times New Roman"/>
          <w:i/>
          <w:iCs/>
          <w:sz w:val="22"/>
          <w:szCs w:val="22"/>
        </w:rPr>
        <w:t xml:space="preserve">, and the </w:t>
      </w:r>
      <w:proofErr w:type="spellStart"/>
      <w:r w:rsidRPr="00010023">
        <w:rPr>
          <w:rFonts w:ascii="Times New Roman" w:hAnsi="Times New Roman" w:cs="Times New Roman"/>
          <w:i/>
          <w:iCs/>
          <w:sz w:val="22"/>
          <w:szCs w:val="22"/>
        </w:rPr>
        <w:t>law</w:t>
      </w:r>
      <w:proofErr w:type="spellEnd"/>
      <w:r w:rsidRPr="00010023">
        <w:rPr>
          <w:rFonts w:ascii="Times New Roman" w:hAnsi="Times New Roman" w:cs="Times New Roman"/>
          <w:sz w:val="22"/>
          <w:szCs w:val="22"/>
        </w:rPr>
        <w:t>, Edward Elgar Publishing, Cheltenham–Northampton, 2001, IX.</w:t>
      </w:r>
      <w:bookmarkEnd w:id="28"/>
    </w:p>
  </w:footnote>
  <w:footnote w:id="25">
    <w:p w14:paraId="0AB868CF" w14:textId="4ABB563D" w:rsidR="00DF358B" w:rsidRPr="00010023" w:rsidRDefault="00DF358B" w:rsidP="00AF4341">
      <w:pPr>
        <w:pStyle w:val="Testonotaapidipagina"/>
        <w:spacing w:line="240" w:lineRule="exact"/>
        <w:contextualSpacing/>
        <w:jc w:val="both"/>
        <w:rPr>
          <w:rFonts w:ascii="Times New Roman" w:hAnsi="Times New Roman" w:cs="Times New Roman"/>
          <w:sz w:val="22"/>
          <w:szCs w:val="22"/>
          <w:highlight w:val="yellow"/>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Per la formulazione originaria del principio di sussidiarietà nel contesto del pensiero sociale cattolico si cfr. Pio XI, </w:t>
      </w:r>
      <w:r w:rsidRPr="00010023">
        <w:rPr>
          <w:rFonts w:ascii="Times New Roman" w:hAnsi="Times New Roman" w:cs="Times New Roman"/>
          <w:i/>
          <w:iCs/>
          <w:sz w:val="22"/>
          <w:szCs w:val="22"/>
        </w:rPr>
        <w:t>Enciclica</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Quadragesimo Anno</w:t>
      </w:r>
      <w:r w:rsidRPr="00010023">
        <w:rPr>
          <w:rFonts w:ascii="Times New Roman" w:hAnsi="Times New Roman" w:cs="Times New Roman"/>
          <w:sz w:val="22"/>
          <w:szCs w:val="22"/>
        </w:rPr>
        <w:t xml:space="preserve"> (15 maggio 1931); G. TARELLO, </w:t>
      </w:r>
      <w:r w:rsidRPr="00010023">
        <w:rPr>
          <w:rFonts w:ascii="Times New Roman" w:hAnsi="Times New Roman" w:cs="Times New Roman"/>
          <w:i/>
          <w:iCs/>
          <w:sz w:val="22"/>
          <w:szCs w:val="22"/>
        </w:rPr>
        <w:t>Sussidiarietà e ordinamento giuridico</w:t>
      </w:r>
      <w:r w:rsidRPr="00010023">
        <w:rPr>
          <w:rFonts w:ascii="Times New Roman" w:hAnsi="Times New Roman" w:cs="Times New Roman"/>
          <w:sz w:val="22"/>
          <w:szCs w:val="22"/>
        </w:rPr>
        <w:t xml:space="preserve">, Torino, Giappichelli, 2005; G. AMATO, B. CASINI (a cura di), Sussidiarietà. Origini, sviluppi e prospettive, Il Mulino, Bologna, 2009; A. POLICE, </w:t>
      </w:r>
      <w:r w:rsidRPr="00010023">
        <w:rPr>
          <w:rFonts w:ascii="Times New Roman" w:hAnsi="Times New Roman" w:cs="Times New Roman"/>
          <w:i/>
          <w:iCs/>
          <w:sz w:val="22"/>
          <w:szCs w:val="22"/>
        </w:rPr>
        <w:t>La sussidiarietà tra diritto e morale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di Filosofia del Diritto</w:t>
      </w:r>
      <w:r w:rsidRPr="00010023">
        <w:rPr>
          <w:rFonts w:ascii="Times New Roman" w:hAnsi="Times New Roman" w:cs="Times New Roman"/>
          <w:sz w:val="22"/>
          <w:szCs w:val="22"/>
        </w:rPr>
        <w:t>, 2010, pp. 33</w:t>
      </w:r>
      <w:r w:rsidRPr="00010023">
        <w:rPr>
          <w:rFonts w:ascii="Times New Roman" w:hAnsi="Times New Roman" w:cs="Times New Roman"/>
          <w:sz w:val="22"/>
          <w:szCs w:val="22"/>
        </w:rPr>
        <w:noBreakHyphen/>
        <w:t xml:space="preserve">55; L. PALERMO, </w:t>
      </w:r>
      <w:r w:rsidRPr="00010023">
        <w:rPr>
          <w:rFonts w:ascii="Times New Roman" w:hAnsi="Times New Roman" w:cs="Times New Roman"/>
          <w:i/>
          <w:iCs/>
          <w:sz w:val="22"/>
          <w:szCs w:val="22"/>
        </w:rPr>
        <w:t>Sussidiarietà e Costituzione</w:t>
      </w:r>
      <w:r w:rsidRPr="00010023">
        <w:rPr>
          <w:rFonts w:ascii="Times New Roman" w:hAnsi="Times New Roman" w:cs="Times New Roman"/>
          <w:sz w:val="22"/>
          <w:szCs w:val="22"/>
        </w:rPr>
        <w:t>, Torino, Giappichelli, 2018.</w:t>
      </w:r>
    </w:p>
  </w:footnote>
  <w:footnote w:id="26">
    <w:p w14:paraId="5F9995A7"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H. TAINE, </w:t>
      </w:r>
      <w:proofErr w:type="spellStart"/>
      <w:r w:rsidRPr="00010023">
        <w:rPr>
          <w:rFonts w:ascii="Times New Roman" w:hAnsi="Times New Roman" w:cs="Times New Roman"/>
          <w:i/>
          <w:iCs/>
          <w:sz w:val="22"/>
          <w:szCs w:val="22"/>
        </w:rPr>
        <w:t>Les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origines</w:t>
      </w:r>
      <w:proofErr w:type="spellEnd"/>
      <w:r w:rsidRPr="00010023">
        <w:rPr>
          <w:rFonts w:ascii="Times New Roman" w:hAnsi="Times New Roman" w:cs="Times New Roman"/>
          <w:i/>
          <w:iCs/>
          <w:sz w:val="22"/>
          <w:szCs w:val="22"/>
        </w:rPr>
        <w:t xml:space="preserve"> de la France </w:t>
      </w:r>
      <w:proofErr w:type="spellStart"/>
      <w:r w:rsidRPr="00010023">
        <w:rPr>
          <w:rFonts w:ascii="Times New Roman" w:hAnsi="Times New Roman" w:cs="Times New Roman"/>
          <w:i/>
          <w:iCs/>
          <w:sz w:val="22"/>
          <w:szCs w:val="22"/>
        </w:rPr>
        <w:t>contemporaine</w:t>
      </w:r>
      <w:proofErr w:type="spellEnd"/>
      <w:r w:rsidRPr="00010023">
        <w:rPr>
          <w:rFonts w:ascii="Times New Roman" w:hAnsi="Times New Roman" w:cs="Times New Roman"/>
          <w:sz w:val="22"/>
          <w:szCs w:val="22"/>
        </w:rPr>
        <w:t xml:space="preserve">, Hachette, Parigi, 1906; P.J. PROUDHON, </w:t>
      </w:r>
      <w:r w:rsidRPr="00010023">
        <w:rPr>
          <w:rFonts w:ascii="Times New Roman" w:hAnsi="Times New Roman" w:cs="Times New Roman"/>
          <w:i/>
          <w:iCs/>
          <w:sz w:val="22"/>
          <w:szCs w:val="22"/>
        </w:rPr>
        <w:t>La capacità politica delle classi operaie,</w:t>
      </w:r>
      <w:r w:rsidRPr="00010023">
        <w:rPr>
          <w:rFonts w:ascii="Times New Roman" w:hAnsi="Times New Roman" w:cs="Times New Roman"/>
          <w:sz w:val="22"/>
          <w:szCs w:val="22"/>
        </w:rPr>
        <w:t xml:space="preserve"> Il Solco, 1921; PIO XI, </w:t>
      </w:r>
      <w:r w:rsidRPr="00010023">
        <w:rPr>
          <w:rFonts w:ascii="Times New Roman" w:hAnsi="Times New Roman" w:cs="Times New Roman"/>
          <w:i/>
          <w:iCs/>
          <w:sz w:val="22"/>
          <w:szCs w:val="22"/>
        </w:rPr>
        <w:t>Quadragesimo Anno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www.vatican.va</w:t>
      </w:r>
      <w:r w:rsidRPr="00010023">
        <w:rPr>
          <w:rFonts w:ascii="Times New Roman" w:hAnsi="Times New Roman" w:cs="Times New Roman"/>
          <w:sz w:val="22"/>
          <w:szCs w:val="22"/>
        </w:rPr>
        <w:t xml:space="preserve"> , 1931; PAOLO VI, </w:t>
      </w:r>
      <w:r w:rsidRPr="00010023">
        <w:rPr>
          <w:rFonts w:ascii="Times New Roman" w:hAnsi="Times New Roman" w:cs="Times New Roman"/>
          <w:i/>
          <w:iCs/>
          <w:sz w:val="22"/>
          <w:szCs w:val="22"/>
        </w:rPr>
        <w:t>Lettera del 24 maggio 1964</w:t>
      </w:r>
      <w:r w:rsidRPr="00010023">
        <w:rPr>
          <w:rFonts w:ascii="Times New Roman" w:hAnsi="Times New Roman" w:cs="Times New Roman"/>
          <w:sz w:val="22"/>
          <w:szCs w:val="22"/>
        </w:rPr>
        <w:t xml:space="preserve">; C.L. DE MONTESQUIEU, </w:t>
      </w:r>
      <w:r w:rsidRPr="00010023">
        <w:rPr>
          <w:rFonts w:ascii="Times New Roman" w:hAnsi="Times New Roman" w:cs="Times New Roman"/>
          <w:i/>
          <w:iCs/>
          <w:sz w:val="22"/>
          <w:szCs w:val="22"/>
        </w:rPr>
        <w:t>Lo spirito delle leggi</w:t>
      </w:r>
      <w:r w:rsidRPr="00010023">
        <w:rPr>
          <w:rFonts w:ascii="Times New Roman" w:hAnsi="Times New Roman" w:cs="Times New Roman"/>
          <w:sz w:val="22"/>
          <w:szCs w:val="22"/>
        </w:rPr>
        <w:t xml:space="preserve">, UTET, Torino, 1966; P.J. PROUDHON, </w:t>
      </w:r>
      <w:r w:rsidRPr="00010023">
        <w:rPr>
          <w:rFonts w:ascii="Times New Roman" w:hAnsi="Times New Roman" w:cs="Times New Roman"/>
          <w:i/>
          <w:iCs/>
          <w:sz w:val="22"/>
          <w:szCs w:val="22"/>
        </w:rPr>
        <w:t>La giustizia nella rivoluzione e nella Chiesa</w:t>
      </w:r>
      <w:r w:rsidRPr="00010023">
        <w:rPr>
          <w:rFonts w:ascii="Times New Roman" w:hAnsi="Times New Roman" w:cs="Times New Roman"/>
          <w:sz w:val="22"/>
          <w:szCs w:val="22"/>
        </w:rPr>
        <w:t xml:space="preserve">, 1968; P.J. PROUDHON, </w:t>
      </w:r>
      <w:r w:rsidRPr="00010023">
        <w:rPr>
          <w:rFonts w:ascii="Times New Roman" w:hAnsi="Times New Roman" w:cs="Times New Roman"/>
          <w:i/>
          <w:iCs/>
          <w:sz w:val="22"/>
          <w:szCs w:val="22"/>
        </w:rPr>
        <w:t>Del principio federativo, Mondo Operaio Avanti!</w:t>
      </w:r>
      <w:r w:rsidRPr="00010023">
        <w:rPr>
          <w:rFonts w:ascii="Times New Roman" w:hAnsi="Times New Roman" w:cs="Times New Roman"/>
          <w:sz w:val="22"/>
          <w:szCs w:val="22"/>
        </w:rPr>
        <w:t xml:space="preserve">, Roma, 1979; J.M. PONTIER, </w:t>
      </w:r>
      <w:r w:rsidRPr="00010023">
        <w:rPr>
          <w:rFonts w:ascii="Times New Roman" w:hAnsi="Times New Roman" w:cs="Times New Roman"/>
          <w:i/>
          <w:iCs/>
          <w:sz w:val="22"/>
          <w:szCs w:val="22"/>
        </w:rPr>
        <w:t xml:space="preserve">La </w:t>
      </w:r>
      <w:proofErr w:type="spellStart"/>
      <w:r w:rsidRPr="00010023">
        <w:rPr>
          <w:rFonts w:ascii="Times New Roman" w:hAnsi="Times New Roman" w:cs="Times New Roman"/>
          <w:i/>
          <w:iCs/>
          <w:sz w:val="22"/>
          <w:szCs w:val="22"/>
        </w:rPr>
        <w:t>subsidiarité</w:t>
      </w:r>
      <w:proofErr w:type="spellEnd"/>
      <w:r w:rsidRPr="00010023">
        <w:rPr>
          <w:rFonts w:ascii="Times New Roman" w:hAnsi="Times New Roman" w:cs="Times New Roman"/>
          <w:i/>
          <w:iCs/>
          <w:sz w:val="22"/>
          <w:szCs w:val="22"/>
        </w:rPr>
        <w:t xml:space="preserve"> en </w:t>
      </w:r>
      <w:proofErr w:type="spellStart"/>
      <w:r w:rsidRPr="00010023">
        <w:rPr>
          <w:rFonts w:ascii="Times New Roman" w:hAnsi="Times New Roman" w:cs="Times New Roman"/>
          <w:i/>
          <w:iCs/>
          <w:sz w:val="22"/>
          <w:szCs w:val="22"/>
        </w:rPr>
        <w:t>droit</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administratif</w:t>
      </w:r>
      <w:proofErr w:type="spellEnd"/>
      <w:r w:rsidRPr="00010023">
        <w:rPr>
          <w:rFonts w:ascii="Times New Roman" w:hAnsi="Times New Roman" w:cs="Times New Roman"/>
          <w:i/>
          <w:iCs/>
          <w:sz w:val="22"/>
          <w:szCs w:val="22"/>
        </w:rPr>
        <w:t>,</w:t>
      </w:r>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Revue</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du</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droit</w:t>
      </w:r>
      <w:proofErr w:type="spellEnd"/>
      <w:r w:rsidRPr="00010023">
        <w:rPr>
          <w:rFonts w:ascii="Times New Roman" w:hAnsi="Times New Roman" w:cs="Times New Roman"/>
          <w:i/>
          <w:iCs/>
          <w:sz w:val="22"/>
          <w:szCs w:val="22"/>
        </w:rPr>
        <w:t xml:space="preserve"> public</w:t>
      </w:r>
      <w:r w:rsidRPr="00010023">
        <w:rPr>
          <w:rFonts w:ascii="Times New Roman" w:hAnsi="Times New Roman" w:cs="Times New Roman"/>
          <w:sz w:val="22"/>
          <w:szCs w:val="22"/>
        </w:rPr>
        <w:t xml:space="preserve">, 1986; V. POSSENTI, </w:t>
      </w:r>
      <w:r w:rsidRPr="00010023">
        <w:rPr>
          <w:rFonts w:ascii="Times New Roman" w:hAnsi="Times New Roman" w:cs="Times New Roman"/>
          <w:i/>
          <w:iCs/>
          <w:sz w:val="22"/>
          <w:szCs w:val="22"/>
        </w:rPr>
        <w:t>Oltre l’illuminismo</w:t>
      </w:r>
      <w:r w:rsidRPr="00010023">
        <w:rPr>
          <w:rFonts w:ascii="Times New Roman" w:hAnsi="Times New Roman" w:cs="Times New Roman"/>
          <w:sz w:val="22"/>
          <w:szCs w:val="22"/>
        </w:rPr>
        <w:t xml:space="preserve">, Paoline, Cinisello Balsamo, 1992; C. MILLON DELSOL, </w:t>
      </w:r>
      <w:r w:rsidRPr="00010023">
        <w:rPr>
          <w:rFonts w:ascii="Times New Roman" w:hAnsi="Times New Roman" w:cs="Times New Roman"/>
          <w:i/>
          <w:iCs/>
          <w:sz w:val="22"/>
          <w:szCs w:val="22"/>
        </w:rPr>
        <w:t xml:space="preserve">Le principe de </w:t>
      </w:r>
      <w:proofErr w:type="spellStart"/>
      <w:r w:rsidRPr="00010023">
        <w:rPr>
          <w:rFonts w:ascii="Times New Roman" w:hAnsi="Times New Roman" w:cs="Times New Roman"/>
          <w:i/>
          <w:iCs/>
          <w:sz w:val="22"/>
          <w:szCs w:val="22"/>
        </w:rPr>
        <w:t>subsidiarité</w:t>
      </w:r>
      <w:proofErr w:type="spellEnd"/>
      <w:r w:rsidRPr="00010023">
        <w:rPr>
          <w:rFonts w:ascii="Times New Roman" w:hAnsi="Times New Roman" w:cs="Times New Roman"/>
          <w:sz w:val="22"/>
          <w:szCs w:val="22"/>
        </w:rPr>
        <w:t xml:space="preserve">, PUF, 1993; C. NEGRI, </w:t>
      </w:r>
      <w:r w:rsidRPr="00010023">
        <w:rPr>
          <w:rFonts w:ascii="Times New Roman" w:hAnsi="Times New Roman" w:cs="Times New Roman"/>
          <w:i/>
          <w:iCs/>
          <w:sz w:val="22"/>
          <w:szCs w:val="22"/>
        </w:rPr>
        <w:t>Il principio di sussidiarietà nella politica e nel sociale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Tramontana</w:t>
      </w:r>
      <w:r w:rsidRPr="00010023">
        <w:rPr>
          <w:rFonts w:ascii="Times New Roman" w:hAnsi="Times New Roman" w:cs="Times New Roman"/>
          <w:sz w:val="22"/>
          <w:szCs w:val="22"/>
        </w:rPr>
        <w:t xml:space="preserve">, 1994; C. MILLON DELSOL, </w:t>
      </w:r>
      <w:r w:rsidRPr="00010023">
        <w:rPr>
          <w:rFonts w:ascii="Times New Roman" w:hAnsi="Times New Roman" w:cs="Times New Roman"/>
          <w:i/>
          <w:iCs/>
          <w:sz w:val="22"/>
          <w:szCs w:val="22"/>
        </w:rPr>
        <w:t>Lo Stato della sussidiarietà</w:t>
      </w:r>
      <w:r w:rsidRPr="00010023">
        <w:rPr>
          <w:rFonts w:ascii="Times New Roman" w:hAnsi="Times New Roman" w:cs="Times New Roman"/>
          <w:sz w:val="22"/>
          <w:szCs w:val="22"/>
        </w:rPr>
        <w:t xml:space="preserve">, CEL, 1995; G. PASTORI, </w:t>
      </w:r>
      <w:r w:rsidRPr="00010023">
        <w:rPr>
          <w:rFonts w:ascii="Times New Roman" w:hAnsi="Times New Roman" w:cs="Times New Roman"/>
          <w:i/>
          <w:iCs/>
          <w:sz w:val="22"/>
          <w:szCs w:val="22"/>
        </w:rPr>
        <w:t>La sussidiarietà “orizzontale” alla prova dei fatti nelle recenti riforme legislative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Rinella et al., Sussidiarietà e ordinamenti costituzionali</w:t>
      </w:r>
      <w:r w:rsidRPr="00010023">
        <w:rPr>
          <w:rFonts w:ascii="Times New Roman" w:hAnsi="Times New Roman" w:cs="Times New Roman"/>
          <w:sz w:val="22"/>
          <w:szCs w:val="22"/>
        </w:rPr>
        <w:t>, CEDAM, 1999; G. PISTOLESI, Su</w:t>
      </w:r>
      <w:r w:rsidRPr="00010023">
        <w:rPr>
          <w:rFonts w:ascii="Times New Roman" w:hAnsi="Times New Roman" w:cs="Times New Roman"/>
          <w:i/>
          <w:iCs/>
          <w:sz w:val="22"/>
          <w:szCs w:val="22"/>
        </w:rPr>
        <w:t>ssidiarietà orizzontale. I servizi alla persona</w:t>
      </w:r>
      <w:r w:rsidRPr="00010023">
        <w:rPr>
          <w:rFonts w:ascii="Times New Roman" w:hAnsi="Times New Roman" w:cs="Times New Roman"/>
          <w:sz w:val="22"/>
          <w:szCs w:val="22"/>
        </w:rPr>
        <w:t>, Convegno UILP.</w:t>
      </w:r>
    </w:p>
  </w:footnote>
  <w:footnote w:id="27">
    <w:p w14:paraId="220F1A4F"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 tema della tutela degli interessi diffusi, si vedano: </w:t>
      </w:r>
      <w:bookmarkStart w:id="29" w:name="_Hlk223962085"/>
      <w:r w:rsidRPr="00010023">
        <w:rPr>
          <w:rFonts w:ascii="Times New Roman" w:hAnsi="Times New Roman" w:cs="Times New Roman"/>
          <w:sz w:val="22"/>
          <w:szCs w:val="22"/>
        </w:rPr>
        <w:t xml:space="preserve">M.S. GIANNINI, </w:t>
      </w:r>
      <w:r w:rsidRPr="00010023">
        <w:rPr>
          <w:rFonts w:ascii="Times New Roman" w:hAnsi="Times New Roman" w:cs="Times New Roman"/>
          <w:i/>
          <w:iCs/>
          <w:sz w:val="22"/>
          <w:szCs w:val="22"/>
        </w:rPr>
        <w:t>Interessi diffusi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 trim. dir. pubbl.</w:t>
      </w:r>
      <w:r w:rsidRPr="00010023">
        <w:rPr>
          <w:rFonts w:ascii="Times New Roman" w:hAnsi="Times New Roman" w:cs="Times New Roman"/>
          <w:sz w:val="22"/>
          <w:szCs w:val="22"/>
        </w:rPr>
        <w:t xml:space="preserve">, 1974, p. 1 ss.; F. MERUSI, </w:t>
      </w:r>
      <w:r w:rsidRPr="00010023">
        <w:rPr>
          <w:rFonts w:ascii="Times New Roman" w:hAnsi="Times New Roman" w:cs="Times New Roman"/>
          <w:i/>
          <w:iCs/>
          <w:sz w:val="22"/>
          <w:szCs w:val="22"/>
        </w:rPr>
        <w:t>La tutela degli interessi diffusi nel processo amministrativo</w:t>
      </w:r>
      <w:r w:rsidRPr="00010023">
        <w:rPr>
          <w:rFonts w:ascii="Times New Roman" w:hAnsi="Times New Roman" w:cs="Times New Roman"/>
          <w:sz w:val="22"/>
          <w:szCs w:val="22"/>
        </w:rPr>
        <w:t xml:space="preserve">, Milano, 1979; F.G. SCOCA, </w:t>
      </w:r>
      <w:r w:rsidRPr="00010023">
        <w:rPr>
          <w:rFonts w:ascii="Times New Roman" w:hAnsi="Times New Roman" w:cs="Times New Roman"/>
          <w:i/>
          <w:iCs/>
          <w:sz w:val="22"/>
          <w:szCs w:val="22"/>
        </w:rPr>
        <w:t>Interessi diffusi e tutela giurisdizionale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 xml:space="preserve">Dir. proc. </w:t>
      </w:r>
      <w:proofErr w:type="spellStart"/>
      <w:r w:rsidRPr="00010023">
        <w:rPr>
          <w:rFonts w:ascii="Times New Roman" w:hAnsi="Times New Roman" w:cs="Times New Roman"/>
          <w:i/>
          <w:iCs/>
          <w:sz w:val="22"/>
          <w:szCs w:val="22"/>
        </w:rPr>
        <w:t>amm</w:t>
      </w:r>
      <w:proofErr w:type="spellEnd"/>
      <w:r w:rsidRPr="00010023">
        <w:rPr>
          <w:rFonts w:ascii="Times New Roman" w:hAnsi="Times New Roman" w:cs="Times New Roman"/>
          <w:i/>
          <w:iCs/>
          <w:sz w:val="22"/>
          <w:szCs w:val="22"/>
        </w:rPr>
        <w:t>.</w:t>
      </w:r>
      <w:r w:rsidRPr="00010023">
        <w:rPr>
          <w:rFonts w:ascii="Times New Roman" w:hAnsi="Times New Roman" w:cs="Times New Roman"/>
          <w:sz w:val="22"/>
          <w:szCs w:val="22"/>
        </w:rPr>
        <w:t xml:space="preserve">, 1980, p. 15 ss.; G. BERTI, </w:t>
      </w:r>
      <w:r w:rsidRPr="00010023">
        <w:rPr>
          <w:rFonts w:ascii="Times New Roman" w:hAnsi="Times New Roman" w:cs="Times New Roman"/>
          <w:i/>
          <w:iCs/>
          <w:sz w:val="22"/>
          <w:szCs w:val="22"/>
        </w:rPr>
        <w:t>Interessi senza struttura (i c.d. interessi diffusi)</w:t>
      </w:r>
      <w:r w:rsidRPr="00010023">
        <w:rPr>
          <w:rFonts w:ascii="Times New Roman" w:hAnsi="Times New Roman" w:cs="Times New Roman"/>
          <w:sz w:val="22"/>
          <w:szCs w:val="22"/>
        </w:rPr>
        <w:t xml:space="preserve">, in AA.VV., </w:t>
      </w:r>
      <w:r w:rsidRPr="00010023">
        <w:rPr>
          <w:rFonts w:ascii="Times New Roman" w:hAnsi="Times New Roman" w:cs="Times New Roman"/>
          <w:i/>
          <w:iCs/>
          <w:sz w:val="22"/>
          <w:szCs w:val="22"/>
        </w:rPr>
        <w:t>Studi in onore di Amorth</w:t>
      </w:r>
      <w:r w:rsidRPr="00010023">
        <w:rPr>
          <w:rFonts w:ascii="Times New Roman" w:hAnsi="Times New Roman" w:cs="Times New Roman"/>
          <w:sz w:val="22"/>
          <w:szCs w:val="22"/>
        </w:rPr>
        <w:t xml:space="preserve">, I, Milano, 1982, p. 65 ss.; B. CARAVITA, </w:t>
      </w:r>
      <w:r w:rsidRPr="00010023">
        <w:rPr>
          <w:rFonts w:ascii="Times New Roman" w:hAnsi="Times New Roman" w:cs="Times New Roman"/>
          <w:i/>
          <w:iCs/>
          <w:sz w:val="22"/>
          <w:szCs w:val="22"/>
        </w:rPr>
        <w:t>Interessi diffusi e collettivi. Problemi di tutela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e società</w:t>
      </w:r>
      <w:r w:rsidRPr="00010023">
        <w:rPr>
          <w:rFonts w:ascii="Times New Roman" w:hAnsi="Times New Roman" w:cs="Times New Roman"/>
          <w:sz w:val="22"/>
          <w:szCs w:val="22"/>
        </w:rPr>
        <w:t xml:space="preserve">, 1982, p. 177 ss.; A. FERRARA, </w:t>
      </w:r>
      <w:r w:rsidRPr="00010023">
        <w:rPr>
          <w:rFonts w:ascii="Times New Roman" w:hAnsi="Times New Roman" w:cs="Times New Roman"/>
          <w:i/>
          <w:iCs/>
          <w:sz w:val="22"/>
          <w:szCs w:val="22"/>
        </w:rPr>
        <w:t>Interessi collettivi e diffusi (ricorso giurisdizionale amministrativo)</w:t>
      </w:r>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Dig</w:t>
      </w:r>
      <w:proofErr w:type="spellEnd"/>
      <w:r w:rsidRPr="00010023">
        <w:rPr>
          <w:rFonts w:ascii="Times New Roman" w:hAnsi="Times New Roman" w:cs="Times New Roman"/>
          <w:i/>
          <w:iCs/>
          <w:sz w:val="22"/>
          <w:szCs w:val="22"/>
        </w:rPr>
        <w:t>. disc. pubbl.</w:t>
      </w:r>
      <w:r w:rsidRPr="00010023">
        <w:rPr>
          <w:rFonts w:ascii="Times New Roman" w:hAnsi="Times New Roman" w:cs="Times New Roman"/>
          <w:sz w:val="22"/>
          <w:szCs w:val="22"/>
        </w:rPr>
        <w:t xml:space="preserve">, VIII, 1987, p. 487 ss.; M. NIGRO, </w:t>
      </w:r>
      <w:r w:rsidRPr="00010023">
        <w:rPr>
          <w:rFonts w:ascii="Times New Roman" w:hAnsi="Times New Roman" w:cs="Times New Roman"/>
          <w:i/>
          <w:iCs/>
          <w:sz w:val="22"/>
          <w:szCs w:val="22"/>
        </w:rPr>
        <w:t>Le due facce dell’interesse diffuso. Ambiguità di una formula e mediazioni della giurisprudenza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 xml:space="preserve">Foro </w:t>
      </w:r>
      <w:proofErr w:type="spellStart"/>
      <w:r w:rsidRPr="00010023">
        <w:rPr>
          <w:rFonts w:ascii="Times New Roman" w:hAnsi="Times New Roman" w:cs="Times New Roman"/>
          <w:i/>
          <w:iCs/>
          <w:sz w:val="22"/>
          <w:szCs w:val="22"/>
        </w:rPr>
        <w:t>it</w:t>
      </w:r>
      <w:proofErr w:type="spellEnd"/>
      <w:r w:rsidRPr="00010023">
        <w:rPr>
          <w:rFonts w:ascii="Times New Roman" w:hAnsi="Times New Roman" w:cs="Times New Roman"/>
          <w:i/>
          <w:iCs/>
          <w:sz w:val="22"/>
          <w:szCs w:val="22"/>
        </w:rPr>
        <w:t>.</w:t>
      </w:r>
      <w:r w:rsidRPr="00010023">
        <w:rPr>
          <w:rFonts w:ascii="Times New Roman" w:hAnsi="Times New Roman" w:cs="Times New Roman"/>
          <w:sz w:val="22"/>
          <w:szCs w:val="22"/>
        </w:rPr>
        <w:t xml:space="preserve">, 1987, p. 7 ss.; V. CERULLI IRELLI, </w:t>
      </w:r>
      <w:r w:rsidRPr="00010023">
        <w:rPr>
          <w:rFonts w:ascii="Times New Roman" w:hAnsi="Times New Roman" w:cs="Times New Roman"/>
          <w:i/>
          <w:iCs/>
          <w:sz w:val="22"/>
          <w:szCs w:val="22"/>
        </w:rPr>
        <w:t>Interessi collettivi e interessi diffusi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Enc. giur. Treccani</w:t>
      </w:r>
      <w:r w:rsidRPr="00010023">
        <w:rPr>
          <w:rFonts w:ascii="Times New Roman" w:hAnsi="Times New Roman" w:cs="Times New Roman"/>
          <w:sz w:val="22"/>
          <w:szCs w:val="22"/>
        </w:rPr>
        <w:t xml:space="preserve">, Roma, 1989; A. MAESTRONI, </w:t>
      </w:r>
      <w:r w:rsidRPr="00010023">
        <w:rPr>
          <w:rFonts w:ascii="Times New Roman" w:hAnsi="Times New Roman" w:cs="Times New Roman"/>
          <w:i/>
          <w:iCs/>
          <w:sz w:val="22"/>
          <w:szCs w:val="22"/>
        </w:rPr>
        <w:t>Associazioni ambientaliste e interessi diffusi</w:t>
      </w:r>
      <w:r w:rsidRPr="00010023">
        <w:rPr>
          <w:rFonts w:ascii="Times New Roman" w:hAnsi="Times New Roman" w:cs="Times New Roman"/>
          <w:sz w:val="22"/>
          <w:szCs w:val="22"/>
        </w:rPr>
        <w:t xml:space="preserve">, in S. NESPOR, A. DE CESARIS (a cura di), </w:t>
      </w:r>
      <w:r w:rsidRPr="00010023">
        <w:rPr>
          <w:rFonts w:ascii="Times New Roman" w:hAnsi="Times New Roman" w:cs="Times New Roman"/>
          <w:i/>
          <w:iCs/>
          <w:sz w:val="22"/>
          <w:szCs w:val="22"/>
        </w:rPr>
        <w:t>Codice dell’ambiente</w:t>
      </w:r>
      <w:r w:rsidRPr="00010023">
        <w:rPr>
          <w:rFonts w:ascii="Times New Roman" w:hAnsi="Times New Roman" w:cs="Times New Roman"/>
          <w:sz w:val="22"/>
          <w:szCs w:val="22"/>
        </w:rPr>
        <w:t xml:space="preserve">, Milano, 2009, p. 435; C. CARUSO, </w:t>
      </w:r>
      <w:r w:rsidRPr="00010023">
        <w:rPr>
          <w:rFonts w:ascii="Times New Roman" w:hAnsi="Times New Roman" w:cs="Times New Roman"/>
          <w:i/>
          <w:iCs/>
          <w:sz w:val="22"/>
          <w:szCs w:val="22"/>
        </w:rPr>
        <w:t>Le forme di partecipazione: le associazioni ambientaliste</w:t>
      </w:r>
      <w:r w:rsidRPr="00010023">
        <w:rPr>
          <w:rFonts w:ascii="Times New Roman" w:hAnsi="Times New Roman" w:cs="Times New Roman"/>
          <w:sz w:val="22"/>
          <w:szCs w:val="22"/>
        </w:rPr>
        <w:t xml:space="preserve">, in B. CARAVITA, L. CASSETTI, A. MORRONE (a cura di), </w:t>
      </w:r>
      <w:r w:rsidRPr="00010023">
        <w:rPr>
          <w:rFonts w:ascii="Times New Roman" w:hAnsi="Times New Roman" w:cs="Times New Roman"/>
          <w:i/>
          <w:iCs/>
          <w:sz w:val="22"/>
          <w:szCs w:val="22"/>
        </w:rPr>
        <w:t>Diritto dell’ambiente</w:t>
      </w:r>
      <w:r w:rsidRPr="00010023">
        <w:rPr>
          <w:rFonts w:ascii="Times New Roman" w:hAnsi="Times New Roman" w:cs="Times New Roman"/>
          <w:sz w:val="22"/>
          <w:szCs w:val="22"/>
        </w:rPr>
        <w:t>, cit., p. 297.</w:t>
      </w:r>
    </w:p>
    <w:bookmarkEnd w:id="29"/>
  </w:footnote>
  <w:footnote w:id="28">
    <w:p w14:paraId="38711F18"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G. CREPALDI – R. MICALIZZI</w:t>
      </w:r>
      <w:r w:rsidRPr="00010023">
        <w:rPr>
          <w:rFonts w:ascii="Times New Roman" w:hAnsi="Times New Roman" w:cs="Times New Roman"/>
          <w:i/>
          <w:iCs/>
          <w:sz w:val="22"/>
          <w:szCs w:val="22"/>
        </w:rPr>
        <w:t>, Eco-sostenibilità e appalti pubblici: la selezione delle imprese e delle offerte secondo i criteri ambientali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Federalismi.it</w:t>
      </w:r>
      <w:r w:rsidRPr="00010023">
        <w:rPr>
          <w:rFonts w:ascii="Times New Roman" w:hAnsi="Times New Roman" w:cs="Times New Roman"/>
          <w:sz w:val="22"/>
          <w:szCs w:val="22"/>
        </w:rPr>
        <w:t xml:space="preserve">, 2023; id. G. CREPALDI, </w:t>
      </w:r>
      <w:r w:rsidRPr="00010023">
        <w:rPr>
          <w:rFonts w:ascii="Times New Roman" w:hAnsi="Times New Roman" w:cs="Times New Roman"/>
          <w:i/>
          <w:iCs/>
          <w:sz w:val="22"/>
          <w:szCs w:val="22"/>
        </w:rPr>
        <w:t xml:space="preserve">Las </w:t>
      </w:r>
      <w:proofErr w:type="spellStart"/>
      <w:r w:rsidRPr="00010023">
        <w:rPr>
          <w:rFonts w:ascii="Times New Roman" w:hAnsi="Times New Roman" w:cs="Times New Roman"/>
          <w:i/>
          <w:iCs/>
          <w:sz w:val="22"/>
          <w:szCs w:val="22"/>
        </w:rPr>
        <w:t>formas</w:t>
      </w:r>
      <w:proofErr w:type="spellEnd"/>
      <w:r w:rsidRPr="00010023">
        <w:rPr>
          <w:rFonts w:ascii="Times New Roman" w:hAnsi="Times New Roman" w:cs="Times New Roman"/>
          <w:i/>
          <w:iCs/>
          <w:sz w:val="22"/>
          <w:szCs w:val="22"/>
        </w:rPr>
        <w:t xml:space="preserve">  del  </w:t>
      </w:r>
      <w:proofErr w:type="spellStart"/>
      <w:r w:rsidRPr="00010023">
        <w:rPr>
          <w:rFonts w:ascii="Times New Roman" w:hAnsi="Times New Roman" w:cs="Times New Roman"/>
          <w:i/>
          <w:iCs/>
          <w:sz w:val="22"/>
          <w:szCs w:val="22"/>
        </w:rPr>
        <w:t>partenariado</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público-privado</w:t>
      </w:r>
      <w:proofErr w:type="spellEnd"/>
      <w:r w:rsidRPr="00010023">
        <w:rPr>
          <w:rFonts w:ascii="Times New Roman" w:hAnsi="Times New Roman" w:cs="Times New Roman"/>
          <w:i/>
          <w:iCs/>
          <w:sz w:val="22"/>
          <w:szCs w:val="22"/>
        </w:rPr>
        <w:t xml:space="preserve"> en </w:t>
      </w:r>
      <w:proofErr w:type="spellStart"/>
      <w:r w:rsidRPr="00010023">
        <w:rPr>
          <w:rFonts w:ascii="Times New Roman" w:hAnsi="Times New Roman" w:cs="Times New Roman"/>
          <w:i/>
          <w:iCs/>
          <w:sz w:val="22"/>
          <w:szCs w:val="22"/>
        </w:rPr>
        <w:t>el</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nuevo</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Código</w:t>
      </w:r>
      <w:proofErr w:type="spellEnd"/>
      <w:r w:rsidRPr="00010023">
        <w:rPr>
          <w:rFonts w:ascii="Times New Roman" w:hAnsi="Times New Roman" w:cs="Times New Roman"/>
          <w:i/>
          <w:iCs/>
          <w:sz w:val="22"/>
          <w:szCs w:val="22"/>
        </w:rPr>
        <w:t xml:space="preserve"> italiano de </w:t>
      </w:r>
      <w:proofErr w:type="spellStart"/>
      <w:r w:rsidRPr="00010023">
        <w:rPr>
          <w:rFonts w:ascii="Times New Roman" w:hAnsi="Times New Roman" w:cs="Times New Roman"/>
          <w:i/>
          <w:iCs/>
          <w:sz w:val="22"/>
          <w:szCs w:val="22"/>
        </w:rPr>
        <w:t>los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contratos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públicos</w:t>
      </w:r>
      <w:proofErr w:type="spellEnd"/>
      <w:r w:rsidRPr="00010023">
        <w:rPr>
          <w:rFonts w:ascii="Times New Roman" w:hAnsi="Times New Roman" w:cs="Times New Roman"/>
          <w:i/>
          <w:iCs/>
          <w:sz w:val="22"/>
          <w:szCs w:val="22"/>
        </w:rPr>
        <w:t xml:space="preserve"> y de </w:t>
      </w:r>
      <w:proofErr w:type="spellStart"/>
      <w:r w:rsidRPr="00010023">
        <w:rPr>
          <w:rFonts w:ascii="Times New Roman" w:hAnsi="Times New Roman" w:cs="Times New Roman"/>
          <w:i/>
          <w:iCs/>
          <w:sz w:val="22"/>
          <w:szCs w:val="22"/>
        </w:rPr>
        <w:t>las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concesiones</w:t>
      </w:r>
      <w:proofErr w:type="spellEnd"/>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Contratación</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Administrativa</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Práctica</w:t>
      </w:r>
      <w:proofErr w:type="spellEnd"/>
      <w:r w:rsidRPr="00010023">
        <w:rPr>
          <w:rFonts w:ascii="Times New Roman" w:hAnsi="Times New Roman" w:cs="Times New Roman"/>
          <w:sz w:val="22"/>
          <w:szCs w:val="22"/>
        </w:rPr>
        <w:t xml:space="preserve">, 2018, 1 ss.; </w:t>
      </w:r>
      <w:r w:rsidRPr="00010023">
        <w:rPr>
          <w:rFonts w:ascii="Times New Roman" w:hAnsi="Times New Roman" w:cs="Times New Roman"/>
          <w:i/>
          <w:iCs/>
          <w:sz w:val="22"/>
          <w:szCs w:val="22"/>
        </w:rPr>
        <w:t>Politiche ambientali nei contratti pubblici degli enti locali</w:t>
      </w:r>
      <w:r w:rsidRPr="00010023">
        <w:rPr>
          <w:rFonts w:ascii="Times New Roman" w:hAnsi="Times New Roman" w:cs="Times New Roman"/>
          <w:sz w:val="22"/>
          <w:szCs w:val="22"/>
        </w:rPr>
        <w:t xml:space="preserve">, in M. ANDREIS (a cura di), </w:t>
      </w:r>
      <w:r w:rsidRPr="00010023">
        <w:rPr>
          <w:rFonts w:ascii="Times New Roman" w:hAnsi="Times New Roman" w:cs="Times New Roman"/>
          <w:i/>
          <w:iCs/>
          <w:sz w:val="22"/>
          <w:szCs w:val="22"/>
        </w:rPr>
        <w:t>I contratti pubblici tra principi interni e vincoli sopranazionali</w:t>
      </w:r>
      <w:r w:rsidRPr="00010023">
        <w:rPr>
          <w:rFonts w:ascii="Times New Roman" w:hAnsi="Times New Roman" w:cs="Times New Roman"/>
          <w:sz w:val="22"/>
          <w:szCs w:val="22"/>
        </w:rPr>
        <w:t xml:space="preserve">, Milano, 2011, 195 ss., F. CINTIOLI, </w:t>
      </w:r>
      <w:r w:rsidRPr="00010023">
        <w:rPr>
          <w:rFonts w:ascii="Times New Roman" w:hAnsi="Times New Roman" w:cs="Times New Roman"/>
          <w:i/>
          <w:iCs/>
          <w:sz w:val="22"/>
          <w:szCs w:val="22"/>
        </w:rPr>
        <w:t>Risultato amministrativo, discrezionalità e PNRR: una proposta per il Giudice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Giustizia-amministrativa.it</w:t>
      </w:r>
      <w:r w:rsidRPr="00010023">
        <w:rPr>
          <w:rFonts w:ascii="Times New Roman" w:hAnsi="Times New Roman" w:cs="Times New Roman"/>
          <w:sz w:val="22"/>
          <w:szCs w:val="22"/>
        </w:rPr>
        <w:t xml:space="preserve">, 2021; M. CLARICH, </w:t>
      </w:r>
      <w:r w:rsidRPr="00010023">
        <w:rPr>
          <w:rFonts w:ascii="Times New Roman" w:hAnsi="Times New Roman" w:cs="Times New Roman"/>
          <w:i/>
          <w:iCs/>
          <w:sz w:val="22"/>
          <w:szCs w:val="22"/>
        </w:rPr>
        <w:t>Il PNRR tra diritto europeo e nazionale: un tentativo di inquadramento giuridico</w:t>
      </w:r>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Astridonline</w:t>
      </w:r>
      <w:proofErr w:type="spellEnd"/>
      <w:r w:rsidRPr="00010023">
        <w:rPr>
          <w:rFonts w:ascii="Times New Roman" w:hAnsi="Times New Roman" w:cs="Times New Roman"/>
          <w:i/>
          <w:iCs/>
          <w:sz w:val="22"/>
          <w:szCs w:val="22"/>
        </w:rPr>
        <w:t>,</w:t>
      </w:r>
      <w:r w:rsidRPr="00010023">
        <w:rPr>
          <w:rFonts w:ascii="Times New Roman" w:hAnsi="Times New Roman" w:cs="Times New Roman"/>
          <w:sz w:val="22"/>
          <w:szCs w:val="22"/>
        </w:rPr>
        <w:t xml:space="preserve"> 2021.</w:t>
      </w:r>
    </w:p>
  </w:footnote>
  <w:footnote w:id="29">
    <w:p w14:paraId="66C29FC0"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L’introduzione degli “appalti verdi”, consistenti nell’assegnare da parte delle amministrazioni aggiudicatrici un peso significativo ai profili ambientali nella valutazione delle offerte concorrenti per i pubblici appalti, rappresenta un esempio emblematico di come il principio di sussidiarietà si sia evoluto, orientandosi verso un ruolo più attivo delle amministrazioni nella promozione di obiettivi di interesse generale. Tale innovazione nasce dalla consapevolezza che «</w:t>
      </w:r>
      <w:r w:rsidRPr="00010023">
        <w:rPr>
          <w:rFonts w:ascii="Times New Roman" w:hAnsi="Times New Roman" w:cs="Times New Roman"/>
          <w:i/>
          <w:iCs/>
          <w:sz w:val="22"/>
          <w:szCs w:val="22"/>
        </w:rPr>
        <w:t>in Europa gli enti pubblici sono i maggiori consumatori; spendono, infatti, circa il 16% del prodotto interno lordo dell’Unione europea (ovvero un importo pari a metà del PIL della Germania)», sicché parlare di “acquisti verdi” «significa anche fornire un esempio, influenzare il mercato, […] offrire all’industria incentivi concreti per lo sviluppo di tecnologie verdi» e, considerando i costi del ciclo di vita di un appalto, «risparmiare materiali ed energia, ridurre la quantità di rifiuti, ridurre l’inquinamento</w:t>
      </w:r>
      <w:r w:rsidRPr="00010023">
        <w:rPr>
          <w:rFonts w:ascii="Times New Roman" w:hAnsi="Times New Roman" w:cs="Times New Roman"/>
          <w:sz w:val="22"/>
          <w:szCs w:val="22"/>
        </w:rPr>
        <w:t xml:space="preserve">», (COMMISSIONE EUROPEA, </w:t>
      </w:r>
      <w:r w:rsidRPr="00010023">
        <w:rPr>
          <w:rFonts w:ascii="Times New Roman" w:hAnsi="Times New Roman" w:cs="Times New Roman"/>
          <w:i/>
          <w:iCs/>
          <w:sz w:val="22"/>
          <w:szCs w:val="22"/>
        </w:rPr>
        <w:t>Acquistare verde. Un manuale sugli appalti pubblici ecocompatibili</w:t>
      </w:r>
      <w:r w:rsidRPr="00010023">
        <w:rPr>
          <w:rFonts w:ascii="Times New Roman" w:hAnsi="Times New Roman" w:cs="Times New Roman"/>
          <w:sz w:val="22"/>
          <w:szCs w:val="22"/>
        </w:rPr>
        <w:t xml:space="preserve">, Lussemburgo, 2005). Si v. F. CARDARELLI, </w:t>
      </w:r>
      <w:r w:rsidRPr="00010023">
        <w:rPr>
          <w:rFonts w:ascii="Times New Roman" w:hAnsi="Times New Roman" w:cs="Times New Roman"/>
          <w:i/>
          <w:iCs/>
          <w:sz w:val="22"/>
          <w:szCs w:val="22"/>
        </w:rPr>
        <w:t>Criteri di aggiudicazione</w:t>
      </w:r>
      <w:r w:rsidRPr="00010023">
        <w:rPr>
          <w:rFonts w:ascii="Times New Roman" w:hAnsi="Times New Roman" w:cs="Times New Roman"/>
          <w:sz w:val="22"/>
          <w:szCs w:val="22"/>
        </w:rPr>
        <w:t xml:space="preserve">, in M.A. SANDULLI – R. DE NICTOLIS (a cura di), </w:t>
      </w:r>
      <w:r w:rsidRPr="00010023">
        <w:rPr>
          <w:rFonts w:ascii="Times New Roman" w:hAnsi="Times New Roman" w:cs="Times New Roman"/>
          <w:i/>
          <w:iCs/>
          <w:sz w:val="22"/>
          <w:szCs w:val="22"/>
        </w:rPr>
        <w:t>Trattato sui contratti pubblici</w:t>
      </w:r>
      <w:r w:rsidRPr="00010023">
        <w:rPr>
          <w:rFonts w:ascii="Times New Roman" w:hAnsi="Times New Roman" w:cs="Times New Roman"/>
          <w:sz w:val="22"/>
          <w:szCs w:val="22"/>
        </w:rPr>
        <w:t xml:space="preserve">, vol. III, Milano, 2019, p. 534; G. LOMBARDO, </w:t>
      </w:r>
      <w:r w:rsidRPr="00010023">
        <w:rPr>
          <w:rFonts w:ascii="Times New Roman" w:hAnsi="Times New Roman" w:cs="Times New Roman"/>
          <w:i/>
          <w:iCs/>
          <w:sz w:val="22"/>
          <w:szCs w:val="22"/>
        </w:rPr>
        <w:t>I criteri sociali e ambientali minimi (CSM e CAM) nella contrattualistica pubblica. Possibili premialità per iniziative ad impatto sociale e ambientale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 trim. app.</w:t>
      </w:r>
      <w:r w:rsidRPr="00010023">
        <w:rPr>
          <w:rFonts w:ascii="Times New Roman" w:hAnsi="Times New Roman" w:cs="Times New Roman"/>
          <w:sz w:val="22"/>
          <w:szCs w:val="22"/>
        </w:rPr>
        <w:t xml:space="preserve">, 2019, p. 1085; L. MARRACCINI – G. TERRACCIANO, </w:t>
      </w:r>
      <w:r w:rsidRPr="00010023">
        <w:rPr>
          <w:rFonts w:ascii="Times New Roman" w:hAnsi="Times New Roman" w:cs="Times New Roman"/>
          <w:i/>
          <w:iCs/>
          <w:sz w:val="22"/>
          <w:szCs w:val="22"/>
        </w:rPr>
        <w:t>Partenariato per l’innovazione</w:t>
      </w:r>
      <w:r w:rsidRPr="00010023">
        <w:rPr>
          <w:rFonts w:ascii="Times New Roman" w:hAnsi="Times New Roman" w:cs="Times New Roman"/>
          <w:sz w:val="22"/>
          <w:szCs w:val="22"/>
        </w:rPr>
        <w:t xml:space="preserve">, in M.A. SANDULLI – R. DE NICTOLIS (a cura di), </w:t>
      </w:r>
      <w:r w:rsidRPr="00010023">
        <w:rPr>
          <w:rFonts w:ascii="Times New Roman" w:hAnsi="Times New Roman" w:cs="Times New Roman"/>
          <w:i/>
          <w:iCs/>
          <w:sz w:val="22"/>
          <w:szCs w:val="22"/>
        </w:rPr>
        <w:t>Trattato sui contratti pubblici</w:t>
      </w:r>
      <w:r w:rsidRPr="00010023">
        <w:rPr>
          <w:rFonts w:ascii="Times New Roman" w:hAnsi="Times New Roman" w:cs="Times New Roman"/>
          <w:sz w:val="22"/>
          <w:szCs w:val="22"/>
        </w:rPr>
        <w:t xml:space="preserve">, vol. III, Milano, 2019, pp. 133 ss.; P. MALANETTO, </w:t>
      </w:r>
      <w:r w:rsidRPr="00010023">
        <w:rPr>
          <w:rFonts w:ascii="Times New Roman" w:hAnsi="Times New Roman" w:cs="Times New Roman"/>
          <w:i/>
          <w:iCs/>
          <w:sz w:val="22"/>
          <w:szCs w:val="22"/>
        </w:rPr>
        <w:t>Procedure di scelta per il contraente</w:t>
      </w:r>
      <w:r w:rsidRPr="00010023">
        <w:rPr>
          <w:rFonts w:ascii="Times New Roman" w:hAnsi="Times New Roman" w:cs="Times New Roman"/>
          <w:sz w:val="22"/>
          <w:szCs w:val="22"/>
        </w:rPr>
        <w:t xml:space="preserve">, in R. GAROFOLI – G. FERRARI (a cura di), </w:t>
      </w:r>
      <w:r w:rsidRPr="00010023">
        <w:rPr>
          <w:rFonts w:ascii="Times New Roman" w:hAnsi="Times New Roman" w:cs="Times New Roman"/>
          <w:i/>
          <w:iCs/>
          <w:sz w:val="22"/>
          <w:szCs w:val="22"/>
        </w:rPr>
        <w:t>La nuova disciplina dei contratti pubblici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Nel diritto</w:t>
      </w:r>
      <w:r w:rsidRPr="00010023">
        <w:rPr>
          <w:rFonts w:ascii="Times New Roman" w:hAnsi="Times New Roman" w:cs="Times New Roman"/>
          <w:sz w:val="22"/>
          <w:szCs w:val="22"/>
        </w:rPr>
        <w:t xml:space="preserve">, 2018, pp. 571 ss.; T. CELLURA, </w:t>
      </w:r>
      <w:r w:rsidRPr="00010023">
        <w:rPr>
          <w:rFonts w:ascii="Times New Roman" w:hAnsi="Times New Roman" w:cs="Times New Roman"/>
          <w:i/>
          <w:iCs/>
          <w:sz w:val="22"/>
          <w:szCs w:val="22"/>
        </w:rPr>
        <w:t>Criteri minimi ambientali nell’edilizia: una vera rivoluzione negli appalti pubblici delle costruzioni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Appalti e contratti</w:t>
      </w:r>
      <w:r w:rsidRPr="00010023">
        <w:rPr>
          <w:rFonts w:ascii="Times New Roman" w:hAnsi="Times New Roman" w:cs="Times New Roman"/>
          <w:sz w:val="22"/>
          <w:szCs w:val="22"/>
        </w:rPr>
        <w:t xml:space="preserve">, 2016, n. 10; C. CHIARELLO, </w:t>
      </w:r>
      <w:r w:rsidRPr="00010023">
        <w:rPr>
          <w:rFonts w:ascii="Times New Roman" w:hAnsi="Times New Roman" w:cs="Times New Roman"/>
          <w:i/>
          <w:iCs/>
          <w:sz w:val="22"/>
          <w:szCs w:val="22"/>
        </w:rPr>
        <w:t>Il partenariato per l’innovazione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Giustizia-amministrativa.it</w:t>
      </w:r>
      <w:r w:rsidRPr="00010023">
        <w:rPr>
          <w:rFonts w:ascii="Times New Roman" w:hAnsi="Times New Roman" w:cs="Times New Roman"/>
          <w:sz w:val="22"/>
          <w:szCs w:val="22"/>
        </w:rPr>
        <w:t>, II, 2016.</w:t>
      </w:r>
    </w:p>
  </w:footnote>
  <w:footnote w:id="30">
    <w:p w14:paraId="53778641"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F. FRACCHIA,</w:t>
      </w:r>
      <w:r w:rsidRPr="00010023">
        <w:rPr>
          <w:rFonts w:ascii="Times New Roman" w:hAnsi="Times New Roman" w:cs="Times New Roman"/>
          <w:i/>
          <w:iCs/>
          <w:sz w:val="22"/>
          <w:szCs w:val="22"/>
        </w:rPr>
        <w:t xml:space="preserve"> Risultato, fiducia e semplificazione per il rilancio dei contratti pubblici e dei rapporti tra P.A. e imprese</w:t>
      </w:r>
      <w:r w:rsidRPr="00010023">
        <w:rPr>
          <w:rFonts w:ascii="Times New Roman" w:hAnsi="Times New Roman" w:cs="Times New Roman"/>
          <w:sz w:val="22"/>
          <w:szCs w:val="22"/>
        </w:rPr>
        <w:t xml:space="preserve">, convegno in Università Bocconi, 2025; id. </w:t>
      </w:r>
      <w:r w:rsidRPr="00010023">
        <w:rPr>
          <w:rFonts w:ascii="Times New Roman" w:hAnsi="Times New Roman" w:cs="Times New Roman"/>
          <w:i/>
          <w:iCs/>
          <w:sz w:val="22"/>
          <w:szCs w:val="22"/>
        </w:rPr>
        <w:t>I doveri intergenerazionali. La prospettiva dell’amministrativista e l’esigenza di una teoria generale dei doveri intergenerazionali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diritto dell’economia</w:t>
      </w:r>
      <w:r w:rsidRPr="00010023">
        <w:rPr>
          <w:rFonts w:ascii="Times New Roman" w:hAnsi="Times New Roman" w:cs="Times New Roman"/>
          <w:sz w:val="22"/>
          <w:szCs w:val="22"/>
        </w:rPr>
        <w:t xml:space="preserve"> (numero speciale su </w:t>
      </w:r>
      <w:r w:rsidRPr="00010023">
        <w:rPr>
          <w:rFonts w:ascii="Times New Roman" w:hAnsi="Times New Roman" w:cs="Times New Roman"/>
          <w:i/>
          <w:iCs/>
          <w:sz w:val="22"/>
          <w:szCs w:val="22"/>
        </w:rPr>
        <w:t>Doveri intergenerazionali e tutela Dell’ambiente. Sviluppi, sfide e prospettive per Stati, imprese e individui</w:t>
      </w:r>
      <w:r w:rsidRPr="00010023">
        <w:rPr>
          <w:rFonts w:ascii="Times New Roman" w:hAnsi="Times New Roman" w:cs="Times New Roman"/>
          <w:sz w:val="22"/>
          <w:szCs w:val="22"/>
        </w:rPr>
        <w:t xml:space="preserve">, a cura di Pasquale Pantalone), 2021, 64; F. FRACCHIA, P. PANTALONE, </w:t>
      </w:r>
      <w:r w:rsidRPr="00010023">
        <w:rPr>
          <w:rFonts w:ascii="Times New Roman" w:hAnsi="Times New Roman" w:cs="Times New Roman"/>
          <w:i/>
          <w:iCs/>
          <w:sz w:val="22"/>
          <w:szCs w:val="22"/>
        </w:rPr>
        <w:t>La fisionomia delle linee guida: abbozzo di una traiettoria evolutiva con specifico riferimento al settore dei contratti pubblici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diritto dell’economia</w:t>
      </w:r>
      <w:r w:rsidRPr="00010023">
        <w:rPr>
          <w:rFonts w:ascii="Times New Roman" w:hAnsi="Times New Roman" w:cs="Times New Roman"/>
          <w:sz w:val="22"/>
          <w:szCs w:val="22"/>
        </w:rPr>
        <w:t xml:space="preserve">, 2021, 104, p. 11-36; L. LA ROSA, </w:t>
      </w:r>
      <w:r w:rsidRPr="00010023">
        <w:rPr>
          <w:rFonts w:ascii="Times New Roman" w:hAnsi="Times New Roman" w:cs="Times New Roman"/>
          <w:i/>
          <w:iCs/>
          <w:sz w:val="22"/>
          <w:szCs w:val="22"/>
        </w:rPr>
        <w:t>Discrezionalità della p.a. e principio di proporzionalità nell’applicazione delle cause di esclusione,</w:t>
      </w:r>
      <w:r w:rsidRPr="00010023">
        <w:rPr>
          <w:rFonts w:ascii="Times New Roman" w:hAnsi="Times New Roman" w:cs="Times New Roman"/>
          <w:sz w:val="22"/>
          <w:szCs w:val="22"/>
        </w:rPr>
        <w:t xml:space="preserve"> in</w:t>
      </w:r>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Urb</w:t>
      </w:r>
      <w:proofErr w:type="spellEnd"/>
      <w:r w:rsidRPr="00010023">
        <w:rPr>
          <w:rFonts w:ascii="Times New Roman" w:hAnsi="Times New Roman" w:cs="Times New Roman"/>
          <w:i/>
          <w:iCs/>
          <w:sz w:val="22"/>
          <w:szCs w:val="22"/>
        </w:rPr>
        <w:t>. e app</w:t>
      </w:r>
      <w:r w:rsidRPr="00010023">
        <w:rPr>
          <w:rFonts w:ascii="Times New Roman" w:hAnsi="Times New Roman" w:cs="Times New Roman"/>
          <w:sz w:val="22"/>
          <w:szCs w:val="22"/>
        </w:rPr>
        <w:t>., 2019, p. 774</w:t>
      </w:r>
      <w:bookmarkStart w:id="32" w:name="_Hlk162253897"/>
      <w:r w:rsidRPr="00010023">
        <w:rPr>
          <w:rFonts w:ascii="Times New Roman" w:hAnsi="Times New Roman" w:cs="Times New Roman"/>
          <w:sz w:val="22"/>
          <w:szCs w:val="22"/>
        </w:rPr>
        <w:t>;</w:t>
      </w:r>
      <w:bookmarkEnd w:id="32"/>
      <w:r w:rsidRPr="00010023">
        <w:rPr>
          <w:rFonts w:ascii="Times New Roman" w:hAnsi="Times New Roman" w:cs="Times New Roman"/>
          <w:sz w:val="22"/>
          <w:szCs w:val="22"/>
        </w:rPr>
        <w:t xml:space="preserve"> E. FREDIANI, </w:t>
      </w:r>
      <w:r w:rsidRPr="00010023">
        <w:rPr>
          <w:rFonts w:ascii="Times New Roman" w:hAnsi="Times New Roman" w:cs="Times New Roman"/>
          <w:i/>
          <w:iCs/>
          <w:sz w:val="22"/>
          <w:szCs w:val="22"/>
        </w:rPr>
        <w:t>La clausola condizionale nei provvedimenti ambientali</w:t>
      </w:r>
      <w:r w:rsidRPr="00010023">
        <w:rPr>
          <w:rFonts w:ascii="Times New Roman" w:hAnsi="Times New Roman" w:cs="Times New Roman"/>
          <w:sz w:val="22"/>
          <w:szCs w:val="22"/>
        </w:rPr>
        <w:t>, Bologna, 2019.</w:t>
      </w:r>
    </w:p>
  </w:footnote>
  <w:footnote w:id="31">
    <w:p w14:paraId="2B664EF8"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A. ARCURI, </w:t>
      </w:r>
      <w:r w:rsidRPr="00010023">
        <w:rPr>
          <w:rFonts w:ascii="Times New Roman" w:hAnsi="Times New Roman" w:cs="Times New Roman"/>
          <w:i/>
          <w:iCs/>
          <w:sz w:val="22"/>
          <w:szCs w:val="22"/>
        </w:rPr>
        <w:t xml:space="preserve">La sussidiarietà performativa, </w:t>
      </w:r>
      <w:proofErr w:type="spellStart"/>
      <w:r w:rsidRPr="00010023">
        <w:rPr>
          <w:rFonts w:ascii="Times New Roman" w:hAnsi="Times New Roman" w:cs="Times New Roman"/>
          <w:i/>
          <w:iCs/>
          <w:sz w:val="22"/>
          <w:szCs w:val="22"/>
        </w:rPr>
        <w:t>ri</w:t>
      </w:r>
      <w:proofErr w:type="spellEnd"/>
      <w:r w:rsidRPr="00010023">
        <w:rPr>
          <w:rFonts w:ascii="Times New Roman" w:hAnsi="Times New Roman" w:cs="Times New Roman"/>
          <w:i/>
          <w:iCs/>
          <w:sz w:val="22"/>
          <w:szCs w:val="22"/>
        </w:rPr>
        <w:noBreakHyphen/>
        <w:t>fondata per l’ambiente. Le coordinate per la ridefinizione di un principio nel caso di studio delle comunità energetiche rinnovabili (CER)</w:t>
      </w:r>
      <w:r w:rsidRPr="00010023">
        <w:rPr>
          <w:rFonts w:ascii="Times New Roman" w:hAnsi="Times New Roman" w:cs="Times New Roman"/>
          <w:sz w:val="22"/>
          <w:szCs w:val="22"/>
        </w:rPr>
        <w:t xml:space="preserve">, Bologna, 2025, propone una </w:t>
      </w:r>
      <w:r w:rsidRPr="00010023">
        <w:rPr>
          <w:rFonts w:ascii="Times New Roman" w:hAnsi="Times New Roman" w:cs="Times New Roman"/>
          <w:i/>
          <w:iCs/>
          <w:sz w:val="22"/>
          <w:szCs w:val="22"/>
        </w:rPr>
        <w:t>ridefinizione del principio di sussidiarietà</w:t>
      </w:r>
      <w:r w:rsidRPr="00010023">
        <w:rPr>
          <w:rFonts w:ascii="Times New Roman" w:hAnsi="Times New Roman" w:cs="Times New Roman"/>
          <w:sz w:val="22"/>
          <w:szCs w:val="22"/>
        </w:rPr>
        <w:t xml:space="preserve"> nella transizione energetica, soprattutto per come le comunità energetiche interpretano una </w:t>
      </w:r>
      <w:r w:rsidRPr="00010023">
        <w:rPr>
          <w:rFonts w:ascii="Times New Roman" w:hAnsi="Times New Roman" w:cs="Times New Roman"/>
          <w:i/>
          <w:iCs/>
          <w:sz w:val="22"/>
          <w:szCs w:val="22"/>
        </w:rPr>
        <w:t>sussidiarietà attiva e mutualistica</w:t>
      </w:r>
      <w:r w:rsidRPr="00010023">
        <w:rPr>
          <w:rFonts w:ascii="Times New Roman" w:hAnsi="Times New Roman" w:cs="Times New Roman"/>
          <w:sz w:val="22"/>
          <w:szCs w:val="22"/>
        </w:rPr>
        <w:t xml:space="preserve"> tra pubblico e privato.</w:t>
      </w:r>
    </w:p>
  </w:footnote>
  <w:footnote w:id="32">
    <w:p w14:paraId="0EF05464"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fa riferimento in particolare agli obiettivi previsti dal PNRR e dalle politiche ambientali UE, </w:t>
      </w:r>
      <w:bookmarkStart w:id="33" w:name="_Hlk224148628"/>
      <w:r w:rsidRPr="00010023">
        <w:rPr>
          <w:rFonts w:ascii="Times New Roman" w:hAnsi="Times New Roman" w:cs="Times New Roman"/>
          <w:sz w:val="22"/>
          <w:szCs w:val="22"/>
        </w:rPr>
        <w:t xml:space="preserve">si v. F. CINTIOLI, </w:t>
      </w:r>
      <w:r w:rsidRPr="00010023">
        <w:rPr>
          <w:rFonts w:ascii="Times New Roman" w:hAnsi="Times New Roman" w:cs="Times New Roman"/>
          <w:i/>
          <w:iCs/>
          <w:sz w:val="22"/>
          <w:szCs w:val="22"/>
        </w:rPr>
        <w:t>Risultato amministrativo, discrezionalità e PNRR: una proposta per il Giudice</w:t>
      </w:r>
      <w:r w:rsidRPr="00010023">
        <w:rPr>
          <w:rFonts w:ascii="Times New Roman" w:hAnsi="Times New Roman" w:cs="Times New Roman"/>
          <w:sz w:val="22"/>
          <w:szCs w:val="22"/>
        </w:rPr>
        <w:t xml:space="preserve">, Giustizia-amministrativa, in </w:t>
      </w:r>
      <w:r w:rsidRPr="00010023">
        <w:rPr>
          <w:rFonts w:ascii="Times New Roman" w:hAnsi="Times New Roman" w:cs="Times New Roman"/>
          <w:i/>
          <w:iCs/>
          <w:sz w:val="22"/>
          <w:szCs w:val="22"/>
        </w:rPr>
        <w:t>www.giustizia-amministrativa.it</w:t>
      </w:r>
      <w:r w:rsidRPr="00010023">
        <w:rPr>
          <w:rFonts w:ascii="Times New Roman" w:hAnsi="Times New Roman" w:cs="Times New Roman"/>
          <w:sz w:val="22"/>
          <w:szCs w:val="22"/>
        </w:rPr>
        <w:t xml:space="preserve">, 2021. </w:t>
      </w:r>
      <w:bookmarkEnd w:id="33"/>
    </w:p>
  </w:footnote>
  <w:footnote w:id="33">
    <w:p w14:paraId="34E24111"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Il cosiddetto </w:t>
      </w:r>
      <w:bookmarkStart w:id="34" w:name="_Hlk224751090"/>
      <w:r w:rsidRPr="00010023">
        <w:rPr>
          <w:rFonts w:ascii="Times New Roman" w:hAnsi="Times New Roman" w:cs="Times New Roman"/>
          <w:i/>
          <w:iCs/>
          <w:sz w:val="22"/>
          <w:szCs w:val="22"/>
        </w:rPr>
        <w:t>Winter Package</w:t>
      </w:r>
      <w:r w:rsidRPr="00010023">
        <w:rPr>
          <w:rFonts w:ascii="Times New Roman" w:hAnsi="Times New Roman" w:cs="Times New Roman"/>
          <w:sz w:val="22"/>
          <w:szCs w:val="22"/>
        </w:rPr>
        <w:t xml:space="preserve"> comprende otto principali atti legislativi: la direttiva (UE) 2018/844 del 30 maggio 2018, che modifica la direttiva (UE) 2010/31 sulla prestazione energetica nell’edilizia e la direttiva (UE) 2012/27 sull’efficienza energetica; la direttiva (UE) 2018/2001 dell’11 dicembre 2018 sulla promozione dell’uso dell’energia da fonti rinnovabili; la direttiva (UE) 2018/2002 dell’11 dicembre 2018, che modifica la direttiva 2012/27/UE sull’efficienza energetica; il regolamento (UE) 2018/1999 dell’11 dicembre 2018, sulla governance dell’Unione dell’energia e dell’azione per il clima, che modifica le direttive (CE) 663/2009 e (CE) 715/2009 del Parlamento europeo e del Consiglio, le direttive 94/22/CE, 98/70/CE, 2009/31/CE, 2009/73/CE, 2010/31/UE, 2012/27/UE e 2013/30/UE, le direttive del Consiglio 2009/119/CE e (UE) 2015/652, e che abroga il regolamento (UE) n. 525/2013; il regolamento (UE) 2019/942 del 5 giugno 2019, che istituisce un’Agenzia dell’Unione europea per la cooperazione fra i regolatori nazionali dell’energia; il regolamento (UE) 2019/943 del 5 giugno 2019 sul mercato interno dell’energia elettrica; e la direttiva (UE) 2019/944 del 5 giugno 2019, relativa a norme comuni per il mercato interno dell’energia elettrica e che modifica la direttiva 2012/27/UE.</w:t>
      </w:r>
    </w:p>
    <w:bookmarkEnd w:id="34"/>
  </w:footnote>
  <w:footnote w:id="34">
    <w:p w14:paraId="66E7009D" w14:textId="77777777" w:rsidR="00DF358B" w:rsidRPr="00010023" w:rsidRDefault="00DF358B" w:rsidP="00AF4341">
      <w:pPr>
        <w:pStyle w:val="Testonotaapidipagina"/>
        <w:spacing w:line="240" w:lineRule="exact"/>
        <w:contextualSpacing/>
        <w:jc w:val="both"/>
        <w:rPr>
          <w:rFonts w:ascii="Times New Roman" w:hAnsi="Times New Roman" w:cs="Times New Roman"/>
          <w:i/>
          <w:iCs/>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veda </w:t>
      </w:r>
      <w:bookmarkStart w:id="35" w:name="_Hlk224751202"/>
      <w:r w:rsidRPr="00010023">
        <w:rPr>
          <w:rFonts w:ascii="Times New Roman" w:hAnsi="Times New Roman" w:cs="Times New Roman"/>
          <w:sz w:val="22"/>
          <w:szCs w:val="22"/>
        </w:rPr>
        <w:t xml:space="preserve">R. MICCÙ, </w:t>
      </w:r>
      <w:r w:rsidRPr="00010023">
        <w:rPr>
          <w:rFonts w:ascii="Times New Roman" w:hAnsi="Times New Roman" w:cs="Times New Roman"/>
          <w:i/>
          <w:iCs/>
          <w:sz w:val="22"/>
          <w:szCs w:val="22"/>
        </w:rPr>
        <w:t>Lineamenti di diritto europeo dell’energia. Nuovi paradigmi di regolazione e governo multilivello</w:t>
      </w:r>
      <w:r w:rsidRPr="00010023">
        <w:rPr>
          <w:rFonts w:ascii="Times New Roman" w:hAnsi="Times New Roman" w:cs="Times New Roman"/>
          <w:sz w:val="22"/>
          <w:szCs w:val="22"/>
        </w:rPr>
        <w:t>, op. cit., pp. 177</w:t>
      </w:r>
      <w:r w:rsidRPr="00010023">
        <w:rPr>
          <w:rFonts w:ascii="Times New Roman" w:hAnsi="Times New Roman" w:cs="Times New Roman"/>
          <w:sz w:val="22"/>
          <w:szCs w:val="22"/>
        </w:rPr>
        <w:noBreakHyphen/>
        <w:t xml:space="preserve">183; V. TERMINI, </w:t>
      </w:r>
      <w:r w:rsidRPr="00010023">
        <w:rPr>
          <w:rFonts w:ascii="Times New Roman" w:hAnsi="Times New Roman" w:cs="Times New Roman"/>
          <w:i/>
          <w:iCs/>
          <w:sz w:val="22"/>
          <w:szCs w:val="22"/>
        </w:rPr>
        <w:t>Regionalizzazione dei mercati e governance istituzionale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La transizione energetica e il Winter Package. Politiche pubbliche e regolazione dei mercati. Atti del Convegno AIDEN (Milano, 29 settembre 2017)</w:t>
      </w:r>
      <w:r w:rsidRPr="00010023">
        <w:rPr>
          <w:rFonts w:ascii="Times New Roman" w:hAnsi="Times New Roman" w:cs="Times New Roman"/>
          <w:sz w:val="22"/>
          <w:szCs w:val="22"/>
        </w:rPr>
        <w:t>, a cura di Eugenio Bruti Liberati, Marinella De Focatiis e Aldo Travi, CEDAM, Padova, 2018</w:t>
      </w:r>
      <w:bookmarkEnd w:id="35"/>
      <w:r w:rsidRPr="00010023">
        <w:rPr>
          <w:rFonts w:ascii="Times New Roman" w:hAnsi="Times New Roman" w:cs="Times New Roman"/>
          <w:sz w:val="22"/>
          <w:szCs w:val="22"/>
        </w:rPr>
        <w:t>,</w:t>
      </w:r>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p. 64, ove si osserva che «riprendendo quanto evidenziato dai gestori delle reti di trasmissione elettrica, la regionalizzazione [...] non è la creazione di nuove frontiere, ma un modo per facilitare il rapporto tra i livelli europei e nazionali. Si tratta di utilizzare i vantaggi di vicinanza, condurre progetti pilota, sperimentare nuove soluzioni in ambito regionale e rendere più facile il lavoro comune per arrivare all’Unione Energetica. Le azioni regionali consentono di muoversi più velocemente, per testare e diffondere soluzioni innovative e per giungere a conclusioni specifiche».</w:t>
      </w:r>
    </w:p>
  </w:footnote>
  <w:footnote w:id="35">
    <w:p w14:paraId="470F8643"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In tema di cambiamento del modello di regolazione economica UE affrontando esplicitamente il riparto delle competenze orizzontali e il ruolo della Commissione nella governance economica europea si veda, altresì, </w:t>
      </w:r>
      <w:bookmarkStart w:id="36" w:name="_Hlk224751276"/>
      <w:r w:rsidRPr="00010023">
        <w:rPr>
          <w:rFonts w:ascii="Times New Roman" w:hAnsi="Times New Roman" w:cs="Times New Roman"/>
          <w:sz w:val="22"/>
          <w:szCs w:val="22"/>
        </w:rPr>
        <w:t xml:space="preserve">F. DONATI, </w:t>
      </w:r>
      <w:r w:rsidRPr="00010023">
        <w:rPr>
          <w:rFonts w:ascii="Times New Roman" w:hAnsi="Times New Roman" w:cs="Times New Roman"/>
          <w:i/>
          <w:iCs/>
          <w:sz w:val="22"/>
          <w:szCs w:val="22"/>
        </w:rPr>
        <w:t>La Roadmap 2050 e la governance europea dell’energia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della regolazione dei mercati</w:t>
      </w:r>
      <w:r w:rsidRPr="00010023">
        <w:rPr>
          <w:rFonts w:ascii="Times New Roman" w:hAnsi="Times New Roman" w:cs="Times New Roman"/>
          <w:sz w:val="22"/>
          <w:szCs w:val="22"/>
        </w:rPr>
        <w:t>, fasc. 1, 2014, pp. 67</w:t>
      </w:r>
      <w:r w:rsidRPr="00010023">
        <w:rPr>
          <w:rFonts w:ascii="Times New Roman" w:hAnsi="Times New Roman" w:cs="Times New Roman"/>
          <w:sz w:val="22"/>
          <w:szCs w:val="22"/>
        </w:rPr>
        <w:noBreakHyphen/>
        <w:t>80; id</w:t>
      </w:r>
      <w:r w:rsidRPr="00010023">
        <w:rPr>
          <w:rFonts w:ascii="Times New Roman" w:hAnsi="Times New Roman" w:cs="Times New Roman"/>
          <w:b/>
          <w:bCs/>
          <w:sz w:val="22"/>
          <w:szCs w:val="22"/>
        </w:rPr>
        <w:t>.</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Il Green Deal e la governance europea dell’energia e del clima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della Regolazione dei Mercati</w:t>
      </w:r>
      <w:r w:rsidRPr="00010023">
        <w:rPr>
          <w:rFonts w:ascii="Times New Roman" w:hAnsi="Times New Roman" w:cs="Times New Roman"/>
          <w:sz w:val="22"/>
          <w:szCs w:val="22"/>
        </w:rPr>
        <w:t>, 2022, pp. 13</w:t>
      </w:r>
      <w:r w:rsidRPr="00010023">
        <w:rPr>
          <w:rFonts w:ascii="Times New Roman" w:hAnsi="Times New Roman" w:cs="Times New Roman"/>
          <w:sz w:val="22"/>
          <w:szCs w:val="22"/>
        </w:rPr>
        <w:noBreakHyphen/>
        <w:t>24</w:t>
      </w:r>
      <w:bookmarkEnd w:id="36"/>
      <w:r w:rsidRPr="00010023">
        <w:rPr>
          <w:rFonts w:ascii="Times New Roman" w:hAnsi="Times New Roman" w:cs="Times New Roman"/>
          <w:sz w:val="22"/>
          <w:szCs w:val="22"/>
        </w:rPr>
        <w:t xml:space="preserve">, analizza il sistema di governance adottato dall’Unione per conseguire gli obiettivi del Green Deal e l’assetto delle competenze tra livelli istituzionali; id., </w:t>
      </w:r>
      <w:r w:rsidRPr="00010023">
        <w:rPr>
          <w:rFonts w:ascii="Times New Roman" w:hAnsi="Times New Roman" w:cs="Times New Roman"/>
          <w:i/>
          <w:iCs/>
          <w:sz w:val="22"/>
          <w:szCs w:val="22"/>
        </w:rPr>
        <w:t>La proposta di riforma del mercato dell’energia elettrica dell’Unione europea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della Regolazione dei Mercati</w:t>
      </w:r>
      <w:r w:rsidRPr="00010023">
        <w:rPr>
          <w:rFonts w:ascii="Times New Roman" w:hAnsi="Times New Roman" w:cs="Times New Roman"/>
          <w:sz w:val="22"/>
          <w:szCs w:val="22"/>
        </w:rPr>
        <w:t>, 2023, pp. 2</w:t>
      </w:r>
      <w:r w:rsidRPr="00010023">
        <w:rPr>
          <w:rFonts w:ascii="Times New Roman" w:hAnsi="Times New Roman" w:cs="Times New Roman"/>
          <w:sz w:val="22"/>
          <w:szCs w:val="22"/>
        </w:rPr>
        <w:noBreakHyphen/>
        <w:t xml:space="preserve">10, incentrato sulla proposta di nuovo market design in risposta alle tensioni sui prezzi e alle inefficienze strutturali del mercato elettrico europeo; id. </w:t>
      </w:r>
      <w:r w:rsidRPr="00010023">
        <w:rPr>
          <w:rFonts w:ascii="Times New Roman" w:hAnsi="Times New Roman" w:cs="Times New Roman"/>
          <w:i/>
          <w:iCs/>
          <w:sz w:val="22"/>
          <w:szCs w:val="22"/>
        </w:rPr>
        <w:t>La regolazione economica nel nuovo modello europeo di disciplina dei mercati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della Regolazione dei Mercati</w:t>
      </w:r>
      <w:r w:rsidRPr="00010023">
        <w:rPr>
          <w:rFonts w:ascii="Times New Roman" w:hAnsi="Times New Roman" w:cs="Times New Roman"/>
          <w:sz w:val="22"/>
          <w:szCs w:val="22"/>
        </w:rPr>
        <w:t>, 2024, pp. 361</w:t>
      </w:r>
      <w:r w:rsidRPr="00010023">
        <w:rPr>
          <w:rFonts w:ascii="Times New Roman" w:hAnsi="Times New Roman" w:cs="Times New Roman"/>
          <w:sz w:val="22"/>
          <w:szCs w:val="22"/>
        </w:rPr>
        <w:noBreakHyphen/>
        <w:t xml:space="preserve">373, che esamina le linee di cambiamento del modello di regolazione economica UE affrontando esplicitamente il riparto delle competenze orizzontali e il ruolo della Commissione nella governance economica europea. </w:t>
      </w:r>
    </w:p>
  </w:footnote>
  <w:footnote w:id="36">
    <w:p w14:paraId="399EA284"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highlight w:val="yellow"/>
        </w:rPr>
      </w:pPr>
      <w:bookmarkStart w:id="37" w:name="_Hlk224751322"/>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 AMOROSINO, </w:t>
      </w:r>
      <w:r w:rsidRPr="00010023">
        <w:rPr>
          <w:rFonts w:ascii="Times New Roman" w:hAnsi="Times New Roman" w:cs="Times New Roman"/>
          <w:i/>
          <w:iCs/>
          <w:sz w:val="22"/>
          <w:szCs w:val="22"/>
        </w:rPr>
        <w:t>La “dialettica” tra tutela del paesaggio e produzione di energia da fonti rinnovabili a tutela dell’ambiente atmosferico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 giur. ed.</w:t>
      </w:r>
      <w:r w:rsidRPr="00010023">
        <w:rPr>
          <w:rFonts w:ascii="Times New Roman" w:hAnsi="Times New Roman" w:cs="Times New Roman"/>
          <w:sz w:val="22"/>
          <w:szCs w:val="22"/>
        </w:rPr>
        <w:t xml:space="preserve">, 2022, 4, 261; L. AMMANNATI, </w:t>
      </w:r>
      <w:r w:rsidRPr="00010023">
        <w:rPr>
          <w:rFonts w:ascii="Times New Roman" w:hAnsi="Times New Roman" w:cs="Times New Roman"/>
          <w:i/>
          <w:iCs/>
          <w:sz w:val="22"/>
          <w:szCs w:val="22"/>
        </w:rPr>
        <w:t>Una nuova governance</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per la transizione energetica dell’Unione europea. Soluzioni ambigue in un contesto conflittuale</w:t>
      </w:r>
      <w:r w:rsidRPr="00010023">
        <w:rPr>
          <w:rFonts w:ascii="Times New Roman" w:hAnsi="Times New Roman" w:cs="Times New Roman"/>
          <w:sz w:val="22"/>
          <w:szCs w:val="22"/>
        </w:rPr>
        <w:t xml:space="preserve">, in L. Ammannati (a cura di), </w:t>
      </w:r>
      <w:r w:rsidRPr="00010023">
        <w:rPr>
          <w:rFonts w:ascii="Times New Roman" w:hAnsi="Times New Roman" w:cs="Times New Roman"/>
          <w:i/>
          <w:iCs/>
          <w:sz w:val="22"/>
          <w:szCs w:val="22"/>
        </w:rPr>
        <w:t>La transizione energetica</w:t>
      </w:r>
      <w:r w:rsidRPr="00010023">
        <w:rPr>
          <w:rFonts w:ascii="Times New Roman" w:hAnsi="Times New Roman" w:cs="Times New Roman"/>
          <w:sz w:val="22"/>
          <w:szCs w:val="22"/>
        </w:rPr>
        <w:t xml:space="preserve">, Torino, 2018; id., </w:t>
      </w:r>
      <w:r w:rsidRPr="00010023">
        <w:rPr>
          <w:rFonts w:ascii="Times New Roman" w:hAnsi="Times New Roman" w:cs="Times New Roman"/>
          <w:i/>
          <w:iCs/>
          <w:sz w:val="22"/>
          <w:szCs w:val="22"/>
        </w:rPr>
        <w:t xml:space="preserve">Transizione energetica, </w:t>
      </w:r>
      <w:r w:rsidRPr="00010023">
        <w:rPr>
          <w:rFonts w:ascii="Times New Roman" w:hAnsi="Times New Roman" w:cs="Times New Roman"/>
          <w:sz w:val="22"/>
          <w:szCs w:val="22"/>
        </w:rPr>
        <w:t>“</w:t>
      </w:r>
      <w:r w:rsidRPr="00010023">
        <w:rPr>
          <w:rFonts w:ascii="Times New Roman" w:hAnsi="Times New Roman" w:cs="Times New Roman"/>
          <w:i/>
          <w:iCs/>
          <w:sz w:val="22"/>
          <w:szCs w:val="22"/>
        </w:rPr>
        <w:t xml:space="preserve">just </w:t>
      </w:r>
      <w:proofErr w:type="spellStart"/>
      <w:r w:rsidRPr="00010023">
        <w:rPr>
          <w:rFonts w:ascii="Times New Roman" w:hAnsi="Times New Roman" w:cs="Times New Roman"/>
          <w:i/>
          <w:iCs/>
          <w:sz w:val="22"/>
          <w:szCs w:val="22"/>
        </w:rPr>
        <w:t>transition</w:t>
      </w:r>
      <w:proofErr w:type="spellEnd"/>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e finanza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Trimestrale di Diritto dell’Economia</w:t>
      </w:r>
      <w:r w:rsidRPr="00010023">
        <w:rPr>
          <w:rFonts w:ascii="Times New Roman" w:hAnsi="Times New Roman" w:cs="Times New Roman"/>
          <w:sz w:val="22"/>
          <w:szCs w:val="22"/>
        </w:rPr>
        <w:t xml:space="preserve">, 2022, 1, 289; A. BERNARDONI, C. BORZAGA, J. SFORZI, </w:t>
      </w:r>
      <w:r w:rsidRPr="00010023">
        <w:rPr>
          <w:rFonts w:ascii="Times New Roman" w:hAnsi="Times New Roman" w:cs="Times New Roman"/>
          <w:i/>
          <w:iCs/>
          <w:sz w:val="22"/>
          <w:szCs w:val="22"/>
        </w:rPr>
        <w:t>Comunità energetiche rinnovabili. Una sfida per le imprese sociali e di comunità</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Impresa sociale</w:t>
      </w:r>
      <w:r w:rsidRPr="00010023">
        <w:rPr>
          <w:rFonts w:ascii="Times New Roman" w:hAnsi="Times New Roman" w:cs="Times New Roman"/>
          <w:sz w:val="22"/>
          <w:szCs w:val="22"/>
        </w:rPr>
        <w:t xml:space="preserve">, 2022, 2, 77; A. BELTRAN, </w:t>
      </w:r>
      <w:r w:rsidRPr="00010023">
        <w:rPr>
          <w:rFonts w:ascii="Times New Roman" w:hAnsi="Times New Roman" w:cs="Times New Roman"/>
          <w:i/>
          <w:iCs/>
          <w:sz w:val="22"/>
          <w:szCs w:val="22"/>
        </w:rPr>
        <w:t>Energia e democrazia politica. Qualche spunto storico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Ricerche di storia politica</w:t>
      </w:r>
      <w:r w:rsidRPr="00010023">
        <w:rPr>
          <w:rFonts w:ascii="Times New Roman" w:hAnsi="Times New Roman" w:cs="Times New Roman"/>
          <w:sz w:val="22"/>
          <w:szCs w:val="22"/>
        </w:rPr>
        <w:t xml:space="preserve">, 2018, 1, 51 ss.; C. BEVILACQUA, </w:t>
      </w:r>
      <w:r w:rsidRPr="00010023">
        <w:rPr>
          <w:rFonts w:ascii="Times New Roman" w:hAnsi="Times New Roman" w:cs="Times New Roman"/>
          <w:i/>
          <w:iCs/>
          <w:sz w:val="22"/>
          <w:szCs w:val="22"/>
        </w:rPr>
        <w:t>Le comunità energetiche tra governance e sviluppo locale,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Amministrazione in Cammino</w:t>
      </w:r>
      <w:r w:rsidRPr="00010023">
        <w:rPr>
          <w:rFonts w:ascii="Times New Roman" w:hAnsi="Times New Roman" w:cs="Times New Roman"/>
          <w:sz w:val="22"/>
          <w:szCs w:val="22"/>
        </w:rPr>
        <w:t xml:space="preserve">, 2020, 13; F. DE LEONARDIS, </w:t>
      </w:r>
      <w:r w:rsidRPr="00010023">
        <w:rPr>
          <w:rFonts w:ascii="Times New Roman" w:hAnsi="Times New Roman" w:cs="Times New Roman"/>
          <w:i/>
          <w:iCs/>
          <w:sz w:val="22"/>
          <w:szCs w:val="22"/>
        </w:rPr>
        <w:t>L’utilizzo di fonti di energia rinnovabili come criterio di valutazione dell’offerta economicamente più vantaggiosa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pubblico comparato ed europeo</w:t>
      </w:r>
      <w:r w:rsidRPr="00010023">
        <w:rPr>
          <w:rFonts w:ascii="Times New Roman" w:hAnsi="Times New Roman" w:cs="Times New Roman"/>
          <w:sz w:val="22"/>
          <w:szCs w:val="22"/>
        </w:rPr>
        <w:t xml:space="preserve">, 2004, 889 ss.; id., </w:t>
      </w:r>
      <w:r w:rsidRPr="00010023">
        <w:rPr>
          <w:rFonts w:ascii="Times New Roman" w:hAnsi="Times New Roman" w:cs="Times New Roman"/>
          <w:i/>
          <w:iCs/>
          <w:sz w:val="22"/>
          <w:szCs w:val="22"/>
        </w:rPr>
        <w:t xml:space="preserve">La transizione ecologica come modello di sviluppo di sistema: spunti sul ruolo </w:t>
      </w:r>
      <w:bookmarkStart w:id="38" w:name="_Hlk224751386"/>
      <w:bookmarkEnd w:id="37"/>
      <w:r w:rsidRPr="00010023">
        <w:rPr>
          <w:rFonts w:ascii="Times New Roman" w:hAnsi="Times New Roman" w:cs="Times New Roman"/>
          <w:i/>
          <w:iCs/>
          <w:sz w:val="22"/>
          <w:szCs w:val="22"/>
        </w:rPr>
        <w:t>delle amministrazioni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 xml:space="preserve">Dir. </w:t>
      </w:r>
      <w:proofErr w:type="spellStart"/>
      <w:r w:rsidRPr="00010023">
        <w:rPr>
          <w:rFonts w:ascii="Times New Roman" w:hAnsi="Times New Roman" w:cs="Times New Roman"/>
          <w:i/>
          <w:iCs/>
          <w:sz w:val="22"/>
          <w:szCs w:val="22"/>
        </w:rPr>
        <w:t>amm</w:t>
      </w:r>
      <w:proofErr w:type="spellEnd"/>
      <w:r w:rsidRPr="00010023">
        <w:rPr>
          <w:rFonts w:ascii="Times New Roman" w:hAnsi="Times New Roman" w:cs="Times New Roman"/>
          <w:i/>
          <w:iCs/>
          <w:sz w:val="22"/>
          <w:szCs w:val="22"/>
        </w:rPr>
        <w:t>.</w:t>
      </w:r>
      <w:r w:rsidRPr="00010023">
        <w:rPr>
          <w:rFonts w:ascii="Times New Roman" w:hAnsi="Times New Roman" w:cs="Times New Roman"/>
          <w:sz w:val="22"/>
          <w:szCs w:val="22"/>
        </w:rPr>
        <w:t xml:space="preserve">, 2021, 779 ss.; DE FALCO, </w:t>
      </w:r>
      <w:r w:rsidRPr="00010023">
        <w:rPr>
          <w:rFonts w:ascii="Times New Roman" w:hAnsi="Times New Roman" w:cs="Times New Roman"/>
          <w:i/>
          <w:iCs/>
          <w:sz w:val="22"/>
          <w:szCs w:val="22"/>
        </w:rPr>
        <w:t>Diritti sociali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Digesto delle discipline pubblicistiche</w:t>
      </w:r>
      <w:r w:rsidRPr="00010023">
        <w:rPr>
          <w:rFonts w:ascii="Times New Roman" w:hAnsi="Times New Roman" w:cs="Times New Roman"/>
          <w:sz w:val="22"/>
          <w:szCs w:val="22"/>
        </w:rPr>
        <w:t>, Torino, 2012, 15.</w:t>
      </w:r>
    </w:p>
    <w:bookmarkEnd w:id="38"/>
  </w:footnote>
  <w:footnote w:id="37">
    <w:p w14:paraId="15CD6431"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39" w:name="_Hlk224751559"/>
      <w:r w:rsidRPr="00010023">
        <w:rPr>
          <w:rFonts w:ascii="Times New Roman" w:hAnsi="Times New Roman" w:cs="Times New Roman"/>
          <w:sz w:val="22"/>
          <w:szCs w:val="22"/>
        </w:rPr>
        <w:t xml:space="preserve">G.U. RESCIGNO, </w:t>
      </w:r>
      <w:r w:rsidRPr="00010023">
        <w:rPr>
          <w:rFonts w:ascii="Times New Roman" w:hAnsi="Times New Roman" w:cs="Times New Roman"/>
          <w:i/>
          <w:iCs/>
          <w:sz w:val="22"/>
          <w:szCs w:val="22"/>
        </w:rPr>
        <w:t>Stato sociale e principio di sussidiarietà</w:t>
      </w:r>
      <w:r w:rsidRPr="00010023">
        <w:rPr>
          <w:rFonts w:ascii="Times New Roman" w:hAnsi="Times New Roman" w:cs="Times New Roman"/>
          <w:sz w:val="22"/>
          <w:szCs w:val="22"/>
        </w:rPr>
        <w:t xml:space="preserve">, Genova, 2002; F. RIGANO, </w:t>
      </w:r>
      <w:r w:rsidRPr="00010023">
        <w:rPr>
          <w:rFonts w:ascii="Times New Roman" w:hAnsi="Times New Roman" w:cs="Times New Roman"/>
          <w:i/>
          <w:iCs/>
          <w:sz w:val="22"/>
          <w:szCs w:val="22"/>
        </w:rPr>
        <w:t>La libertà assistita. Associazionismo privato e sostegno pubblico nel sistema costituzionale</w:t>
      </w:r>
      <w:r w:rsidRPr="00010023">
        <w:rPr>
          <w:rFonts w:ascii="Times New Roman" w:hAnsi="Times New Roman" w:cs="Times New Roman"/>
          <w:sz w:val="22"/>
          <w:szCs w:val="22"/>
        </w:rPr>
        <w:t>, CEDAM, Padova, 1995</w:t>
      </w:r>
      <w:bookmarkEnd w:id="39"/>
      <w:r w:rsidRPr="00010023">
        <w:rPr>
          <w:rFonts w:ascii="Times New Roman" w:hAnsi="Times New Roman" w:cs="Times New Roman"/>
          <w:sz w:val="22"/>
          <w:szCs w:val="22"/>
        </w:rPr>
        <w:t xml:space="preserve">; </w:t>
      </w:r>
      <w:bookmarkStart w:id="40" w:name="_Hlk224751634"/>
      <w:r w:rsidRPr="00010023">
        <w:rPr>
          <w:rFonts w:ascii="Times New Roman" w:hAnsi="Times New Roman" w:cs="Times New Roman"/>
          <w:sz w:val="22"/>
          <w:szCs w:val="22"/>
        </w:rPr>
        <w:t xml:space="preserve">A. SMITH, </w:t>
      </w:r>
      <w:r w:rsidRPr="00010023">
        <w:rPr>
          <w:rFonts w:ascii="Times New Roman" w:hAnsi="Times New Roman" w:cs="Times New Roman"/>
          <w:i/>
          <w:iCs/>
          <w:sz w:val="22"/>
          <w:szCs w:val="22"/>
        </w:rPr>
        <w:t>Indagine sulla natura e le cause della ricchezza delle nazioni</w:t>
      </w:r>
      <w:r w:rsidRPr="00010023">
        <w:rPr>
          <w:rFonts w:ascii="Times New Roman" w:hAnsi="Times New Roman" w:cs="Times New Roman"/>
          <w:sz w:val="22"/>
          <w:szCs w:val="22"/>
        </w:rPr>
        <w:t xml:space="preserve">, ISEDI, Milano, 1973; M. SPIEKER, </w:t>
      </w:r>
      <w:r w:rsidRPr="00010023">
        <w:rPr>
          <w:rFonts w:ascii="Times New Roman" w:hAnsi="Times New Roman" w:cs="Times New Roman"/>
          <w:i/>
          <w:iCs/>
          <w:sz w:val="22"/>
          <w:szCs w:val="22"/>
        </w:rPr>
        <w:t>Il principio di sussidiarietà: presupposti antropologici e conseguenze politiche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La Società</w:t>
      </w:r>
      <w:r w:rsidRPr="00010023">
        <w:rPr>
          <w:rFonts w:ascii="Times New Roman" w:hAnsi="Times New Roman" w:cs="Times New Roman"/>
          <w:sz w:val="22"/>
          <w:szCs w:val="22"/>
        </w:rPr>
        <w:t xml:space="preserve">, 1995; M.H. TAGLE, </w:t>
      </w:r>
      <w:r w:rsidRPr="00010023">
        <w:rPr>
          <w:rFonts w:ascii="Times New Roman" w:hAnsi="Times New Roman" w:cs="Times New Roman"/>
          <w:i/>
          <w:iCs/>
          <w:sz w:val="22"/>
          <w:szCs w:val="22"/>
        </w:rPr>
        <w:t>Il principio di sussidiarietà. Un caposaldo della dottrina sociale della Chiesa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Cristianità</w:t>
      </w:r>
      <w:r w:rsidRPr="00010023">
        <w:rPr>
          <w:rFonts w:ascii="Times New Roman" w:hAnsi="Times New Roman" w:cs="Times New Roman"/>
          <w:sz w:val="22"/>
          <w:szCs w:val="22"/>
        </w:rPr>
        <w:t>, n. 81, 1982</w:t>
      </w:r>
      <w:bookmarkEnd w:id="40"/>
      <w:r w:rsidRPr="00010023">
        <w:rPr>
          <w:rFonts w:ascii="Times New Roman" w:hAnsi="Times New Roman" w:cs="Times New Roman"/>
          <w:sz w:val="22"/>
          <w:szCs w:val="22"/>
        </w:rPr>
        <w:t>.</w:t>
      </w:r>
      <w:r w:rsidRPr="00010023">
        <w:rPr>
          <w:rFonts w:ascii="Times New Roman" w:hAnsi="Times New Roman" w:cs="Times New Roman"/>
          <w:vanish/>
          <w:sz w:val="22"/>
          <w:szCs w:val="22"/>
        </w:rPr>
        <w:t>Fine modulo</w:t>
      </w:r>
    </w:p>
  </w:footnote>
  <w:footnote w:id="38">
    <w:p w14:paraId="03897529" w14:textId="77777777"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41" w:name="_Hlk224751519"/>
      <w:r w:rsidRPr="00010023">
        <w:rPr>
          <w:rFonts w:ascii="Times New Roman" w:hAnsi="Times New Roman" w:cs="Times New Roman"/>
          <w:sz w:val="22"/>
          <w:szCs w:val="22"/>
        </w:rPr>
        <w:t xml:space="preserve">G. GONELLA, </w:t>
      </w:r>
      <w:r w:rsidRPr="00010023">
        <w:rPr>
          <w:rFonts w:ascii="Times New Roman" w:hAnsi="Times New Roman" w:cs="Times New Roman"/>
          <w:i/>
          <w:iCs/>
          <w:sz w:val="22"/>
          <w:szCs w:val="22"/>
        </w:rPr>
        <w:t>La nozione di bene comune</w:t>
      </w:r>
      <w:r w:rsidRPr="00010023">
        <w:rPr>
          <w:rFonts w:ascii="Times New Roman" w:hAnsi="Times New Roman" w:cs="Times New Roman"/>
          <w:sz w:val="22"/>
          <w:szCs w:val="22"/>
        </w:rPr>
        <w:t>, Giuffrè, Milano, 19</w:t>
      </w:r>
      <w:bookmarkEnd w:id="41"/>
      <w:r w:rsidRPr="00010023">
        <w:rPr>
          <w:rFonts w:ascii="Times New Roman" w:hAnsi="Times New Roman" w:cs="Times New Roman"/>
          <w:sz w:val="22"/>
          <w:szCs w:val="22"/>
        </w:rPr>
        <w:t>.</w:t>
      </w:r>
    </w:p>
  </w:footnote>
  <w:footnote w:id="39">
    <w:p w14:paraId="4B6052B4" w14:textId="49638B9D" w:rsidR="00DF358B" w:rsidRPr="00010023" w:rsidRDefault="00DF358B" w:rsidP="00AF434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R. DE GIORGI, </w:t>
      </w:r>
      <w:r w:rsidRPr="00010023">
        <w:rPr>
          <w:rFonts w:ascii="Times New Roman" w:hAnsi="Times New Roman" w:cs="Times New Roman"/>
          <w:i/>
          <w:iCs/>
          <w:sz w:val="22"/>
          <w:szCs w:val="22"/>
        </w:rPr>
        <w:t xml:space="preserve">Scienza del diritto e legittimazione. Critica dell’epistemologia </w:t>
      </w:r>
      <w:proofErr w:type="spellStart"/>
      <w:r w:rsidRPr="00010023">
        <w:rPr>
          <w:rFonts w:ascii="Times New Roman" w:hAnsi="Times New Roman" w:cs="Times New Roman"/>
          <w:i/>
          <w:iCs/>
          <w:sz w:val="22"/>
          <w:szCs w:val="22"/>
        </w:rPr>
        <w:t>tedescada</w:t>
      </w:r>
      <w:proofErr w:type="spellEnd"/>
      <w:r w:rsidRPr="00010023">
        <w:rPr>
          <w:rFonts w:ascii="Times New Roman" w:hAnsi="Times New Roman" w:cs="Times New Roman"/>
          <w:i/>
          <w:iCs/>
          <w:sz w:val="22"/>
          <w:szCs w:val="22"/>
        </w:rPr>
        <w:t> </w:t>
      </w:r>
      <w:proofErr w:type="spellStart"/>
      <w:r w:rsidRPr="00010023">
        <w:rPr>
          <w:rFonts w:ascii="Times New Roman" w:hAnsi="Times New Roman" w:cs="Times New Roman"/>
          <w:i/>
          <w:iCs/>
          <w:sz w:val="22"/>
          <w:szCs w:val="22"/>
        </w:rPr>
        <w:t>Kelsen</w:t>
      </w:r>
      <w:proofErr w:type="spellEnd"/>
      <w:r w:rsidRPr="00010023">
        <w:rPr>
          <w:rFonts w:ascii="Times New Roman" w:hAnsi="Times New Roman" w:cs="Times New Roman"/>
          <w:i/>
          <w:iCs/>
          <w:sz w:val="22"/>
          <w:szCs w:val="22"/>
        </w:rPr>
        <w:t> a Luhmann,</w:t>
      </w:r>
      <w:r w:rsidRPr="00010023">
        <w:rPr>
          <w:rFonts w:ascii="Times New Roman" w:hAnsi="Times New Roman" w:cs="Times New Roman"/>
          <w:sz w:val="22"/>
          <w:szCs w:val="22"/>
        </w:rPr>
        <w:t> Bari, 1979</w:t>
      </w:r>
      <w:r w:rsidRPr="00010023">
        <w:rPr>
          <w:rFonts w:ascii="Times New Roman" w:hAnsi="Times New Roman" w:cs="Times New Roman"/>
          <w:i/>
          <w:iCs/>
          <w:sz w:val="22"/>
          <w:szCs w:val="22"/>
        </w:rPr>
        <w:t>.</w:t>
      </w:r>
    </w:p>
  </w:footnote>
  <w:footnote w:id="40">
    <w:p w14:paraId="49518EB1" w14:textId="77777777" w:rsidR="00DF358B" w:rsidRPr="00010023" w:rsidRDefault="00DF358B" w:rsidP="00AF4341">
      <w:pPr>
        <w:pStyle w:val="Testonotaapidipagina"/>
        <w:spacing w:line="240" w:lineRule="exact"/>
        <w:contextualSpacing/>
        <w:jc w:val="both"/>
        <w:rPr>
          <w:rFonts w:ascii="Times New Roman" w:hAnsi="Times New Roman" w:cs="Times New Roman"/>
          <w:i/>
          <w:iCs/>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In dottrina, </w:t>
      </w:r>
      <w:bookmarkStart w:id="42" w:name="_Hlk224751491"/>
      <w:r w:rsidRPr="00010023">
        <w:rPr>
          <w:rFonts w:ascii="Times New Roman" w:hAnsi="Times New Roman" w:cs="Times New Roman"/>
          <w:sz w:val="22"/>
          <w:szCs w:val="22"/>
        </w:rPr>
        <w:t xml:space="preserve">F. FRACCHIA, </w:t>
      </w:r>
      <w:r w:rsidRPr="00010023">
        <w:rPr>
          <w:rFonts w:ascii="Times New Roman" w:hAnsi="Times New Roman" w:cs="Times New Roman"/>
          <w:i/>
          <w:iCs/>
          <w:sz w:val="22"/>
          <w:szCs w:val="22"/>
        </w:rPr>
        <w:t xml:space="preserve">La transizione e il diritto amministrativo, </w:t>
      </w:r>
      <w:r w:rsidRPr="00010023">
        <w:rPr>
          <w:rFonts w:ascii="Times New Roman" w:hAnsi="Times New Roman" w:cs="Times New Roman"/>
          <w:sz w:val="22"/>
          <w:szCs w:val="22"/>
        </w:rPr>
        <w:t xml:space="preserve">in </w:t>
      </w:r>
      <w:r w:rsidRPr="00010023">
        <w:rPr>
          <w:rFonts w:ascii="Times New Roman" w:hAnsi="Times New Roman" w:cs="Times New Roman"/>
          <w:i/>
          <w:iCs/>
          <w:sz w:val="22"/>
          <w:szCs w:val="22"/>
        </w:rPr>
        <w:t xml:space="preserve">Quad. Dir. </w:t>
      </w:r>
      <w:proofErr w:type="spellStart"/>
      <w:r w:rsidRPr="00010023">
        <w:rPr>
          <w:rFonts w:ascii="Times New Roman" w:hAnsi="Times New Roman" w:cs="Times New Roman"/>
          <w:i/>
          <w:iCs/>
          <w:sz w:val="22"/>
          <w:szCs w:val="22"/>
        </w:rPr>
        <w:t>Amb</w:t>
      </w:r>
      <w:proofErr w:type="spellEnd"/>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2025, p. 159 e ss. che indagando sul rapporto tra “transizione” e “diritto” afferma che</w:t>
      </w:r>
      <w:r w:rsidRPr="00010023">
        <w:rPr>
          <w:rFonts w:ascii="Times New Roman" w:hAnsi="Times New Roman" w:cs="Times New Roman"/>
          <w:color w:val="000000"/>
          <w:sz w:val="22"/>
          <w:szCs w:val="22"/>
        </w:rPr>
        <w:t xml:space="preserve"> «</w:t>
      </w:r>
      <w:r w:rsidRPr="00010023">
        <w:rPr>
          <w:rFonts w:ascii="Times New Roman" w:hAnsi="Times New Roman" w:cs="Times New Roman"/>
          <w:i/>
          <w:iCs/>
          <w:sz w:val="22"/>
          <w:szCs w:val="22"/>
        </w:rPr>
        <w:t xml:space="preserve">Il regime di diritto </w:t>
      </w:r>
      <w:proofErr w:type="gramStart"/>
      <w:r w:rsidRPr="00010023">
        <w:rPr>
          <w:rFonts w:ascii="Times New Roman" w:hAnsi="Times New Roman" w:cs="Times New Roman"/>
          <w:i/>
          <w:iCs/>
          <w:sz w:val="22"/>
          <w:szCs w:val="22"/>
        </w:rPr>
        <w:t>amministrativo,[</w:t>
      </w:r>
      <w:proofErr w:type="gramEnd"/>
      <w:r w:rsidRPr="00010023">
        <w:rPr>
          <w:rFonts w:ascii="Times New Roman" w:hAnsi="Times New Roman" w:cs="Times New Roman"/>
          <w:i/>
          <w:iCs/>
          <w:sz w:val="22"/>
          <w:szCs w:val="22"/>
        </w:rPr>
        <w:t xml:space="preserve">…]. </w:t>
      </w:r>
      <w:bookmarkEnd w:id="42"/>
      <w:r w:rsidRPr="00010023">
        <w:rPr>
          <w:rFonts w:ascii="Times New Roman" w:hAnsi="Times New Roman" w:cs="Times New Roman"/>
          <w:i/>
          <w:iCs/>
          <w:sz w:val="22"/>
          <w:szCs w:val="22"/>
        </w:rPr>
        <w:t>si traduce nella semantica del potere funzionalizzato assegnato a soggetti tendenzialmente inseriti in un circuito di indirizzo politico e dotati di specifiche responsabilità, unitamente a quella della tutela del cittadino nei confronti dell’arroganza del potere medesimo</w:t>
      </w:r>
      <w:r w:rsidRPr="00010023">
        <w:rPr>
          <w:rFonts w:ascii="Times New Roman" w:hAnsi="Times New Roman" w:cs="Times New Roman"/>
          <w:sz w:val="22"/>
          <w:szCs w:val="22"/>
        </w:rPr>
        <w:t>».</w:t>
      </w:r>
    </w:p>
  </w:footnote>
  <w:footnote w:id="41">
    <w:p w14:paraId="58DC0B32" w14:textId="107A0FFB" w:rsidR="00DF358B" w:rsidRDefault="00DF358B" w:rsidP="00AF4341">
      <w:pPr>
        <w:pStyle w:val="Testonotaapidipagina"/>
        <w:spacing w:line="240" w:lineRule="exact"/>
        <w:contextualSpacing/>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Sia consentito, ancora una volta, un riferimento a F. CINTIOLI, </w:t>
      </w:r>
      <w:r w:rsidRPr="00010023">
        <w:rPr>
          <w:rFonts w:ascii="Times New Roman" w:hAnsi="Times New Roman" w:cs="Times New Roman"/>
          <w:i/>
          <w:iCs/>
          <w:sz w:val="22"/>
          <w:szCs w:val="22"/>
        </w:rPr>
        <w:t>Risultato amministrativo, discrezionalità e PNRR: una proposta per il Giudice</w:t>
      </w:r>
      <w:r w:rsidRPr="00010023">
        <w:rPr>
          <w:rFonts w:ascii="Times New Roman" w:hAnsi="Times New Roman" w:cs="Times New Roman"/>
          <w:sz w:val="22"/>
          <w:szCs w:val="22"/>
        </w:rPr>
        <w:t xml:space="preserve">, op. cit. </w:t>
      </w:r>
    </w:p>
  </w:footnote>
  <w:footnote w:id="42">
    <w:p w14:paraId="0CA6506A" w14:textId="77777777" w:rsidR="00DF358B" w:rsidRPr="00A701F9" w:rsidRDefault="00DF358B" w:rsidP="00010023">
      <w:pPr>
        <w:pStyle w:val="Testonotaapidipagina"/>
        <w:spacing w:line="240" w:lineRule="exact"/>
        <w:contextualSpacing/>
        <w:jc w:val="both"/>
        <w:rPr>
          <w:rFonts w:ascii="Times New Roman" w:hAnsi="Times New Roman" w:cs="Times New Roman"/>
          <w:sz w:val="22"/>
          <w:szCs w:val="22"/>
        </w:rPr>
      </w:pPr>
      <w:r w:rsidRPr="00A701F9">
        <w:rPr>
          <w:rStyle w:val="Rimandonotaapidipagina"/>
          <w:rFonts w:ascii="Times New Roman" w:hAnsi="Times New Roman" w:cs="Times New Roman"/>
          <w:sz w:val="22"/>
          <w:szCs w:val="22"/>
        </w:rPr>
        <w:footnoteRef/>
      </w:r>
      <w:r w:rsidRPr="00A701F9">
        <w:rPr>
          <w:rFonts w:ascii="Times New Roman" w:hAnsi="Times New Roman" w:cs="Times New Roman"/>
          <w:sz w:val="22"/>
          <w:szCs w:val="22"/>
        </w:rPr>
        <w:t xml:space="preserve"> Sia consentito un riferimento anche alla dottrina di Niklas Luhmann, uno dei più influenti sociologi del XX secolo.</w:t>
      </w:r>
      <w:r w:rsidRPr="00A701F9">
        <w:rPr>
          <w:rFonts w:ascii="Times New Roman" w:hAnsi="Times New Roman" w:cs="Times New Roman"/>
          <w:i/>
          <w:iCs/>
          <w:color w:val="000000"/>
          <w:sz w:val="22"/>
          <w:szCs w:val="22"/>
        </w:rPr>
        <w:t xml:space="preserve"> </w:t>
      </w:r>
      <w:proofErr w:type="spellStart"/>
      <w:r w:rsidRPr="00A701F9">
        <w:rPr>
          <w:rFonts w:ascii="Times New Roman" w:hAnsi="Times New Roman" w:cs="Times New Roman"/>
          <w:i/>
          <w:iCs/>
          <w:sz w:val="22"/>
          <w:szCs w:val="22"/>
        </w:rPr>
        <w:t>Rechtssoziologie</w:t>
      </w:r>
      <w:proofErr w:type="spellEnd"/>
      <w:r w:rsidRPr="00A701F9">
        <w:rPr>
          <w:rFonts w:ascii="Times New Roman" w:hAnsi="Times New Roman" w:cs="Times New Roman"/>
          <w:i/>
          <w:iCs/>
          <w:sz w:val="22"/>
          <w:szCs w:val="22"/>
        </w:rPr>
        <w:t xml:space="preserve">, </w:t>
      </w:r>
      <w:r w:rsidRPr="00A701F9">
        <w:rPr>
          <w:rFonts w:ascii="Times New Roman" w:hAnsi="Times New Roman" w:cs="Times New Roman"/>
          <w:sz w:val="22"/>
          <w:szCs w:val="22"/>
        </w:rPr>
        <w:t>Hamburg</w:t>
      </w:r>
      <w:r w:rsidRPr="00A701F9">
        <w:rPr>
          <w:rFonts w:ascii="Times New Roman" w:hAnsi="Times New Roman" w:cs="Times New Roman"/>
          <w:i/>
          <w:iCs/>
          <w:sz w:val="22"/>
          <w:szCs w:val="22"/>
        </w:rPr>
        <w:t xml:space="preserve">, </w:t>
      </w:r>
      <w:r w:rsidRPr="00A701F9">
        <w:rPr>
          <w:rFonts w:ascii="Times New Roman" w:hAnsi="Times New Roman" w:cs="Times New Roman"/>
          <w:sz w:val="22"/>
          <w:szCs w:val="22"/>
        </w:rPr>
        <w:t xml:space="preserve">1972; </w:t>
      </w:r>
      <w:proofErr w:type="spellStart"/>
      <w:r w:rsidRPr="00A701F9">
        <w:rPr>
          <w:rFonts w:ascii="Times New Roman" w:hAnsi="Times New Roman" w:cs="Times New Roman"/>
          <w:i/>
          <w:iCs/>
          <w:sz w:val="22"/>
          <w:szCs w:val="22"/>
        </w:rPr>
        <w:t>Rechtssystem</w:t>
      </w:r>
      <w:proofErr w:type="spellEnd"/>
      <w:r w:rsidRPr="00A701F9">
        <w:rPr>
          <w:rFonts w:ascii="Times New Roman" w:hAnsi="Times New Roman" w:cs="Times New Roman"/>
          <w:i/>
          <w:iCs/>
          <w:sz w:val="22"/>
          <w:szCs w:val="22"/>
        </w:rPr>
        <w:t xml:space="preserve"> und </w:t>
      </w:r>
      <w:proofErr w:type="spellStart"/>
      <w:r w:rsidRPr="00A701F9">
        <w:rPr>
          <w:rFonts w:ascii="Times New Roman" w:hAnsi="Times New Roman" w:cs="Times New Roman"/>
          <w:i/>
          <w:iCs/>
          <w:sz w:val="22"/>
          <w:szCs w:val="22"/>
        </w:rPr>
        <w:t>Rechtsdogmatik</w:t>
      </w:r>
      <w:proofErr w:type="spellEnd"/>
      <w:r w:rsidRPr="00A701F9">
        <w:rPr>
          <w:rFonts w:ascii="Times New Roman" w:hAnsi="Times New Roman" w:cs="Times New Roman"/>
          <w:sz w:val="22"/>
          <w:szCs w:val="22"/>
        </w:rPr>
        <w:t xml:space="preserve">, </w:t>
      </w:r>
      <w:proofErr w:type="spellStart"/>
      <w:r w:rsidRPr="00A701F9">
        <w:rPr>
          <w:rFonts w:ascii="Times New Roman" w:hAnsi="Times New Roman" w:cs="Times New Roman"/>
          <w:sz w:val="22"/>
          <w:szCs w:val="22"/>
        </w:rPr>
        <w:t>Stuttgard</w:t>
      </w:r>
      <w:proofErr w:type="spellEnd"/>
      <w:r w:rsidRPr="00A701F9">
        <w:rPr>
          <w:rFonts w:ascii="Times New Roman" w:hAnsi="Times New Roman" w:cs="Times New Roman"/>
          <w:sz w:val="22"/>
          <w:szCs w:val="22"/>
        </w:rPr>
        <w:t xml:space="preserve">, 1974 (trad. </w:t>
      </w:r>
      <w:proofErr w:type="spellStart"/>
      <w:r w:rsidRPr="00A701F9">
        <w:rPr>
          <w:rFonts w:ascii="Times New Roman" w:hAnsi="Times New Roman" w:cs="Times New Roman"/>
          <w:sz w:val="22"/>
          <w:szCs w:val="22"/>
        </w:rPr>
        <w:t>it</w:t>
      </w:r>
      <w:proofErr w:type="spellEnd"/>
      <w:r w:rsidRPr="00A701F9">
        <w:rPr>
          <w:rFonts w:ascii="Times New Roman" w:hAnsi="Times New Roman" w:cs="Times New Roman"/>
          <w:sz w:val="22"/>
          <w:szCs w:val="22"/>
        </w:rPr>
        <w:t xml:space="preserve">. </w:t>
      </w:r>
      <w:r w:rsidRPr="00A701F9">
        <w:rPr>
          <w:rFonts w:ascii="Times New Roman" w:hAnsi="Times New Roman" w:cs="Times New Roman"/>
          <w:i/>
          <w:iCs/>
          <w:sz w:val="22"/>
          <w:szCs w:val="22"/>
        </w:rPr>
        <w:t xml:space="preserve">Sistema giuridico e dogmatica giuridica, </w:t>
      </w:r>
      <w:r w:rsidRPr="00A701F9">
        <w:rPr>
          <w:rFonts w:ascii="Times New Roman" w:hAnsi="Times New Roman" w:cs="Times New Roman"/>
          <w:sz w:val="22"/>
          <w:szCs w:val="22"/>
        </w:rPr>
        <w:t xml:space="preserve">Bologna, 1978); </w:t>
      </w:r>
      <w:bookmarkStart w:id="43" w:name="_Hlk224751729"/>
      <w:r w:rsidRPr="00A701F9">
        <w:rPr>
          <w:rFonts w:ascii="Times New Roman" w:hAnsi="Times New Roman" w:cs="Times New Roman"/>
          <w:sz w:val="22"/>
          <w:szCs w:val="22"/>
        </w:rPr>
        <w:t xml:space="preserve">N. LUHMANN-R. DE GIORGI, </w:t>
      </w:r>
      <w:r w:rsidRPr="00A701F9">
        <w:rPr>
          <w:rFonts w:ascii="Times New Roman" w:hAnsi="Times New Roman" w:cs="Times New Roman"/>
          <w:i/>
          <w:iCs/>
          <w:sz w:val="22"/>
          <w:szCs w:val="22"/>
        </w:rPr>
        <w:t xml:space="preserve">Teoria della società, </w:t>
      </w:r>
      <w:r w:rsidRPr="00A701F9">
        <w:rPr>
          <w:rFonts w:ascii="Times New Roman" w:hAnsi="Times New Roman" w:cs="Times New Roman"/>
          <w:sz w:val="22"/>
          <w:szCs w:val="22"/>
        </w:rPr>
        <w:t xml:space="preserve">Milano, 1992. Sul pensiero di Luhmann. B. ROMANO, </w:t>
      </w:r>
      <w:r w:rsidRPr="00A701F9">
        <w:rPr>
          <w:rFonts w:ascii="Times New Roman" w:hAnsi="Times New Roman" w:cs="Times New Roman"/>
          <w:i/>
          <w:iCs/>
          <w:sz w:val="22"/>
          <w:szCs w:val="22"/>
        </w:rPr>
        <w:t xml:space="preserve">Filosofia e diritto dopo Luhmann. Il tragico del moderno, </w:t>
      </w:r>
      <w:r w:rsidRPr="00A701F9">
        <w:rPr>
          <w:rFonts w:ascii="Times New Roman" w:hAnsi="Times New Roman" w:cs="Times New Roman"/>
          <w:sz w:val="22"/>
          <w:szCs w:val="22"/>
        </w:rPr>
        <w:t xml:space="preserve">Roma, 1996; A. FEBBRAJO, </w:t>
      </w:r>
      <w:r w:rsidRPr="00A701F9">
        <w:rPr>
          <w:rFonts w:ascii="Times New Roman" w:hAnsi="Times New Roman" w:cs="Times New Roman"/>
          <w:i/>
          <w:iCs/>
          <w:sz w:val="22"/>
          <w:szCs w:val="22"/>
        </w:rPr>
        <w:t xml:space="preserve">Funzionalismo strutturale e sociologia del diritto nell’opera di Niklas Luhmann, </w:t>
      </w:r>
      <w:r w:rsidRPr="00A701F9">
        <w:rPr>
          <w:rFonts w:ascii="Times New Roman" w:hAnsi="Times New Roman" w:cs="Times New Roman"/>
          <w:sz w:val="22"/>
          <w:szCs w:val="22"/>
        </w:rPr>
        <w:t xml:space="preserve">Milano, 1975; S. COSTANTINO, </w:t>
      </w:r>
      <w:r w:rsidRPr="00A701F9">
        <w:rPr>
          <w:rFonts w:ascii="Times New Roman" w:hAnsi="Times New Roman" w:cs="Times New Roman"/>
          <w:i/>
          <w:iCs/>
          <w:sz w:val="22"/>
          <w:szCs w:val="22"/>
        </w:rPr>
        <w:t xml:space="preserve">La ragione amministrata, </w:t>
      </w:r>
      <w:r w:rsidRPr="00A701F9">
        <w:rPr>
          <w:rFonts w:ascii="Times New Roman" w:hAnsi="Times New Roman" w:cs="Times New Roman"/>
          <w:sz w:val="22"/>
          <w:szCs w:val="22"/>
        </w:rPr>
        <w:t xml:space="preserve">Palermo, 1983; L. AVITABILE, </w:t>
      </w:r>
      <w:r w:rsidRPr="00A701F9">
        <w:rPr>
          <w:rFonts w:ascii="Times New Roman" w:hAnsi="Times New Roman" w:cs="Times New Roman"/>
          <w:i/>
          <w:iCs/>
          <w:sz w:val="22"/>
          <w:szCs w:val="22"/>
        </w:rPr>
        <w:t xml:space="preserve">Diritto e osservatore. Un’interpretazione di Jasper in costante riferimento a Luhmann, </w:t>
      </w:r>
      <w:r w:rsidRPr="00A701F9">
        <w:rPr>
          <w:rFonts w:ascii="Times New Roman" w:hAnsi="Times New Roman" w:cs="Times New Roman"/>
          <w:sz w:val="22"/>
          <w:szCs w:val="22"/>
        </w:rPr>
        <w:t xml:space="preserve">Milano, 1998.  </w:t>
      </w:r>
    </w:p>
    <w:bookmarkEnd w:id="43"/>
  </w:footnote>
  <w:footnote w:id="43">
    <w:p w14:paraId="63679E6A" w14:textId="77777777" w:rsidR="00DF358B" w:rsidRDefault="00DF358B" w:rsidP="00010023">
      <w:pPr>
        <w:pStyle w:val="Testonotaapidipagina"/>
        <w:spacing w:line="240" w:lineRule="exact"/>
        <w:contextualSpacing/>
        <w:jc w:val="both"/>
      </w:pPr>
      <w:r w:rsidRPr="00A701F9">
        <w:rPr>
          <w:rStyle w:val="Rimandonotaapidipagina"/>
          <w:rFonts w:ascii="Times New Roman" w:hAnsi="Times New Roman" w:cs="Times New Roman"/>
          <w:sz w:val="22"/>
          <w:szCs w:val="22"/>
        </w:rPr>
        <w:footnoteRef/>
      </w:r>
      <w:r w:rsidRPr="00A701F9">
        <w:rPr>
          <w:rFonts w:ascii="Times New Roman" w:hAnsi="Times New Roman" w:cs="Times New Roman"/>
          <w:sz w:val="22"/>
          <w:szCs w:val="22"/>
        </w:rPr>
        <w:t xml:space="preserve"> Sulla necessità di definire la transizione ecologica,</w:t>
      </w:r>
      <w:r>
        <w:rPr>
          <w:rFonts w:ascii="Times New Roman" w:hAnsi="Times New Roman" w:cs="Times New Roman"/>
          <w:sz w:val="22"/>
          <w:szCs w:val="22"/>
        </w:rPr>
        <w:t xml:space="preserve"> si</w:t>
      </w:r>
      <w:r w:rsidRPr="00A701F9">
        <w:rPr>
          <w:rFonts w:ascii="Times New Roman" w:hAnsi="Times New Roman" w:cs="Times New Roman"/>
          <w:sz w:val="22"/>
          <w:szCs w:val="22"/>
        </w:rPr>
        <w:t xml:space="preserve"> v. F. DE LEONARDIS, </w:t>
      </w:r>
      <w:r w:rsidRPr="00A701F9">
        <w:rPr>
          <w:rFonts w:ascii="Times New Roman" w:hAnsi="Times New Roman" w:cs="Times New Roman"/>
          <w:i/>
          <w:iCs/>
          <w:sz w:val="22"/>
          <w:szCs w:val="22"/>
        </w:rPr>
        <w:t>La transizione ecologica,</w:t>
      </w:r>
      <w:r w:rsidRPr="00A701F9">
        <w:rPr>
          <w:rFonts w:ascii="Times New Roman" w:hAnsi="Times New Roman" w:cs="Times New Roman"/>
          <w:sz w:val="22"/>
          <w:szCs w:val="22"/>
        </w:rPr>
        <w:t xml:space="preserve"> </w:t>
      </w:r>
      <w:r w:rsidRPr="00795F1B">
        <w:rPr>
          <w:rFonts w:ascii="Times New Roman" w:hAnsi="Times New Roman" w:cs="Times New Roman"/>
          <w:i/>
          <w:iCs/>
          <w:sz w:val="22"/>
          <w:szCs w:val="22"/>
        </w:rPr>
        <w:t>come modello di sviluppo di sistema: spunti sul ruolo delle amministrazioni,</w:t>
      </w:r>
      <w:r w:rsidRPr="00795F1B">
        <w:rPr>
          <w:rFonts w:ascii="Times New Roman" w:hAnsi="Times New Roman" w:cs="Times New Roman"/>
          <w:sz w:val="22"/>
          <w:szCs w:val="22"/>
        </w:rPr>
        <w:t xml:space="preserve"> in </w:t>
      </w:r>
      <w:r w:rsidRPr="009F47EC">
        <w:rPr>
          <w:rFonts w:ascii="Times New Roman" w:hAnsi="Times New Roman" w:cs="Times New Roman"/>
          <w:i/>
          <w:iCs/>
          <w:sz w:val="22"/>
          <w:szCs w:val="22"/>
        </w:rPr>
        <w:t xml:space="preserve">Dir. </w:t>
      </w:r>
      <w:proofErr w:type="spellStart"/>
      <w:r w:rsidRPr="009F47EC">
        <w:rPr>
          <w:rFonts w:ascii="Times New Roman" w:hAnsi="Times New Roman" w:cs="Times New Roman"/>
          <w:i/>
          <w:iCs/>
          <w:sz w:val="22"/>
          <w:szCs w:val="22"/>
        </w:rPr>
        <w:t>amm</w:t>
      </w:r>
      <w:proofErr w:type="spellEnd"/>
      <w:r w:rsidRPr="009F47EC">
        <w:rPr>
          <w:rFonts w:ascii="Times New Roman" w:hAnsi="Times New Roman" w:cs="Times New Roman"/>
          <w:i/>
          <w:iCs/>
          <w:sz w:val="22"/>
          <w:szCs w:val="22"/>
        </w:rPr>
        <w:t>.</w:t>
      </w:r>
      <w:r w:rsidRPr="00795F1B">
        <w:rPr>
          <w:rFonts w:ascii="Times New Roman" w:hAnsi="Times New Roman" w:cs="Times New Roman"/>
          <w:sz w:val="22"/>
          <w:szCs w:val="22"/>
        </w:rPr>
        <w:t>, 2021</w:t>
      </w:r>
      <w:r>
        <w:rPr>
          <w:rFonts w:ascii="Times New Roman" w:hAnsi="Times New Roman" w:cs="Times New Roman"/>
          <w:sz w:val="22"/>
          <w:szCs w:val="22"/>
        </w:rPr>
        <w:t>;</w:t>
      </w:r>
      <w:r w:rsidRPr="00795F1B">
        <w:rPr>
          <w:i/>
          <w:iCs/>
          <w:sz w:val="22"/>
          <w:szCs w:val="22"/>
        </w:rPr>
        <w:t xml:space="preserve"> </w:t>
      </w:r>
      <w:r w:rsidRPr="00795F1B">
        <w:rPr>
          <w:rFonts w:ascii="Times New Roman" w:hAnsi="Times New Roman" w:cs="Times New Roman"/>
          <w:i/>
          <w:iCs/>
          <w:sz w:val="22"/>
          <w:szCs w:val="22"/>
        </w:rPr>
        <w:t>Lo Stato ecologico. Approccio sistemico, economia, poteri pubblici e mercati</w:t>
      </w:r>
      <w:r w:rsidRPr="00795F1B">
        <w:rPr>
          <w:rFonts w:ascii="Times New Roman" w:hAnsi="Times New Roman" w:cs="Times New Roman"/>
          <w:sz w:val="22"/>
          <w:szCs w:val="22"/>
        </w:rPr>
        <w:t>, Torino, 2023, XVII</w:t>
      </w:r>
      <w:r>
        <w:rPr>
          <w:rFonts w:ascii="Times New Roman" w:hAnsi="Times New Roman" w:cs="Times New Roman"/>
          <w:sz w:val="22"/>
          <w:szCs w:val="22"/>
        </w:rPr>
        <w:t>.</w:t>
      </w:r>
    </w:p>
  </w:footnote>
  <w:footnote w:id="44">
    <w:p w14:paraId="19353349" w14:textId="0611A068" w:rsidR="00DF358B" w:rsidRPr="00962354" w:rsidRDefault="00DF358B" w:rsidP="00010023">
      <w:pPr>
        <w:pStyle w:val="Testonotaapidipagina"/>
        <w:spacing w:line="240" w:lineRule="exact"/>
        <w:contextualSpacing/>
        <w:jc w:val="both"/>
        <w:rPr>
          <w:rFonts w:ascii="Times New Roman" w:hAnsi="Times New Roman" w:cs="Times New Roman"/>
          <w:sz w:val="22"/>
          <w:szCs w:val="22"/>
        </w:rPr>
      </w:pPr>
      <w:r w:rsidRPr="00962354">
        <w:rPr>
          <w:rStyle w:val="Rimandonotaapidipagina"/>
          <w:rFonts w:ascii="Times New Roman" w:hAnsi="Times New Roman" w:cs="Times New Roman"/>
          <w:sz w:val="22"/>
          <w:szCs w:val="22"/>
        </w:rPr>
        <w:footnoteRef/>
      </w:r>
      <w:r w:rsidRPr="00962354">
        <w:rPr>
          <w:rFonts w:ascii="Times New Roman" w:hAnsi="Times New Roman" w:cs="Times New Roman"/>
          <w:sz w:val="22"/>
          <w:szCs w:val="22"/>
        </w:rPr>
        <w:t xml:space="preserve"> Sulle diverse declinazioni della transizione si v. </w:t>
      </w:r>
      <w:bookmarkStart w:id="45" w:name="_Hlk224752021"/>
      <w:r w:rsidRPr="00962354">
        <w:rPr>
          <w:rFonts w:ascii="Times New Roman" w:hAnsi="Times New Roman" w:cs="Times New Roman"/>
          <w:sz w:val="22"/>
          <w:szCs w:val="22"/>
        </w:rPr>
        <w:t xml:space="preserve">G. SEVERINI, </w:t>
      </w:r>
      <w:r w:rsidRPr="00962354">
        <w:rPr>
          <w:rFonts w:ascii="Times New Roman" w:hAnsi="Times New Roman" w:cs="Times New Roman"/>
          <w:i/>
          <w:iCs/>
          <w:sz w:val="22"/>
          <w:szCs w:val="22"/>
        </w:rPr>
        <w:t>La “transizione” come ordinamento giuridico</w:t>
      </w:r>
      <w:r w:rsidRPr="00962354">
        <w:rPr>
          <w:rFonts w:ascii="Times New Roman" w:hAnsi="Times New Roman" w:cs="Times New Roman"/>
          <w:sz w:val="22"/>
          <w:szCs w:val="22"/>
        </w:rPr>
        <w:t xml:space="preserve">, Giustizia insieme, </w:t>
      </w:r>
      <w:r w:rsidRPr="00962354">
        <w:rPr>
          <w:rFonts w:ascii="Times New Roman" w:hAnsi="Times New Roman" w:cs="Times New Roman"/>
          <w:i/>
          <w:iCs/>
          <w:sz w:val="22"/>
          <w:szCs w:val="22"/>
        </w:rPr>
        <w:t>www-giustiziainsieme.it</w:t>
      </w:r>
      <w:r w:rsidRPr="00962354">
        <w:rPr>
          <w:rFonts w:ascii="Times New Roman" w:hAnsi="Times New Roman" w:cs="Times New Roman"/>
          <w:sz w:val="22"/>
          <w:szCs w:val="22"/>
        </w:rPr>
        <w:t>, 2022</w:t>
      </w:r>
      <w:bookmarkEnd w:id="45"/>
      <w:r w:rsidRPr="00962354">
        <w:rPr>
          <w:rFonts w:ascii="Times New Roman" w:hAnsi="Times New Roman" w:cs="Times New Roman"/>
          <w:sz w:val="22"/>
          <w:szCs w:val="22"/>
        </w:rPr>
        <w:t xml:space="preserve">. Sul tema anche cfr. </w:t>
      </w:r>
      <w:bookmarkStart w:id="46" w:name="_Hlk224752048"/>
      <w:r w:rsidRPr="00962354">
        <w:rPr>
          <w:rFonts w:ascii="Times New Roman" w:hAnsi="Times New Roman" w:cs="Times New Roman"/>
          <w:sz w:val="22"/>
          <w:szCs w:val="22"/>
        </w:rPr>
        <w:t xml:space="preserve">T. FAVARO, </w:t>
      </w:r>
      <w:r w:rsidRPr="00962354">
        <w:rPr>
          <w:rFonts w:ascii="Times New Roman" w:hAnsi="Times New Roman" w:cs="Times New Roman"/>
          <w:i/>
          <w:iCs/>
          <w:sz w:val="22"/>
          <w:szCs w:val="22"/>
        </w:rPr>
        <w:t>Regolare la “transizione energetica”. Stato, mercato, innovazione</w:t>
      </w:r>
      <w:r w:rsidRPr="00962354">
        <w:rPr>
          <w:rFonts w:ascii="Times New Roman" w:hAnsi="Times New Roman" w:cs="Times New Roman"/>
          <w:sz w:val="22"/>
          <w:szCs w:val="22"/>
        </w:rPr>
        <w:t xml:space="preserve">, Padova, 2020; F. SCALIA, </w:t>
      </w:r>
      <w:r w:rsidRPr="00962354">
        <w:rPr>
          <w:rFonts w:ascii="Times New Roman" w:hAnsi="Times New Roman" w:cs="Times New Roman"/>
          <w:i/>
          <w:iCs/>
          <w:sz w:val="22"/>
          <w:szCs w:val="22"/>
        </w:rPr>
        <w:t xml:space="preserve">Energia sostenibile e cambiamento climatico. Profili giuridici della transizione energetica, </w:t>
      </w:r>
      <w:r w:rsidRPr="00962354">
        <w:rPr>
          <w:rFonts w:ascii="Times New Roman" w:hAnsi="Times New Roman" w:cs="Times New Roman"/>
          <w:sz w:val="22"/>
          <w:szCs w:val="22"/>
        </w:rPr>
        <w:t xml:space="preserve">Torino, 2020; F. VETRÒ, </w:t>
      </w:r>
      <w:r w:rsidRPr="00962354">
        <w:rPr>
          <w:rFonts w:ascii="Times New Roman" w:hAnsi="Times New Roman" w:cs="Times New Roman"/>
          <w:i/>
          <w:iCs/>
          <w:sz w:val="22"/>
          <w:szCs w:val="22"/>
        </w:rPr>
        <w:t>Sviluppo sostenibile, transizione energetica e neutralità climatica</w:t>
      </w:r>
      <w:r w:rsidRPr="00962354">
        <w:rPr>
          <w:rFonts w:ascii="Times New Roman" w:hAnsi="Times New Roman" w:cs="Times New Roman"/>
          <w:sz w:val="22"/>
          <w:szCs w:val="22"/>
        </w:rPr>
        <w:t xml:space="preserve">, in </w:t>
      </w:r>
      <w:r w:rsidRPr="00962354">
        <w:rPr>
          <w:rFonts w:ascii="Times New Roman" w:hAnsi="Times New Roman" w:cs="Times New Roman"/>
          <w:i/>
          <w:iCs/>
          <w:sz w:val="22"/>
          <w:szCs w:val="22"/>
        </w:rPr>
        <w:t xml:space="preserve">Riv. </w:t>
      </w:r>
      <w:proofErr w:type="spellStart"/>
      <w:r w:rsidRPr="00962354">
        <w:rPr>
          <w:rFonts w:ascii="Times New Roman" w:hAnsi="Times New Roman" w:cs="Times New Roman"/>
          <w:i/>
          <w:iCs/>
          <w:sz w:val="22"/>
          <w:szCs w:val="22"/>
        </w:rPr>
        <w:t>it</w:t>
      </w:r>
      <w:proofErr w:type="spellEnd"/>
      <w:r w:rsidRPr="00962354">
        <w:rPr>
          <w:rFonts w:ascii="Times New Roman" w:hAnsi="Times New Roman" w:cs="Times New Roman"/>
          <w:i/>
          <w:iCs/>
          <w:sz w:val="22"/>
          <w:szCs w:val="22"/>
        </w:rPr>
        <w:t>. dir. pubbl. comunitario</w:t>
      </w:r>
      <w:r w:rsidRPr="00962354">
        <w:rPr>
          <w:rFonts w:ascii="Times New Roman" w:hAnsi="Times New Roman" w:cs="Times New Roman"/>
          <w:sz w:val="22"/>
          <w:szCs w:val="22"/>
        </w:rPr>
        <w:t xml:space="preserve">, 2022, p. 53 e ss.; S. MASINI, </w:t>
      </w:r>
      <w:r w:rsidRPr="00962354">
        <w:rPr>
          <w:rFonts w:ascii="Times New Roman" w:hAnsi="Times New Roman" w:cs="Times New Roman"/>
          <w:i/>
          <w:iCs/>
          <w:sz w:val="22"/>
          <w:szCs w:val="22"/>
        </w:rPr>
        <w:t>“Transizione ecologica” dell’agricoltura</w:t>
      </w:r>
      <w:r w:rsidRPr="00962354">
        <w:rPr>
          <w:rFonts w:ascii="Times New Roman" w:hAnsi="Times New Roman" w:cs="Times New Roman"/>
          <w:sz w:val="22"/>
          <w:szCs w:val="22"/>
        </w:rPr>
        <w:t xml:space="preserve">, in </w:t>
      </w:r>
      <w:r w:rsidRPr="00962354">
        <w:rPr>
          <w:rFonts w:ascii="Times New Roman" w:hAnsi="Times New Roman" w:cs="Times New Roman"/>
          <w:i/>
          <w:iCs/>
          <w:sz w:val="22"/>
          <w:szCs w:val="22"/>
        </w:rPr>
        <w:t>Dir. agroalimentare</w:t>
      </w:r>
      <w:r w:rsidRPr="00962354">
        <w:rPr>
          <w:rFonts w:ascii="Times New Roman" w:hAnsi="Times New Roman" w:cs="Times New Roman"/>
          <w:sz w:val="22"/>
          <w:szCs w:val="22"/>
        </w:rPr>
        <w:t xml:space="preserve">, 2022, p. 45 e ss.; C. VENTIMIGLIA, </w:t>
      </w:r>
      <w:r w:rsidRPr="00962354">
        <w:rPr>
          <w:rFonts w:ascii="Times New Roman" w:hAnsi="Times New Roman" w:cs="Times New Roman"/>
          <w:i/>
          <w:iCs/>
          <w:sz w:val="22"/>
          <w:szCs w:val="22"/>
        </w:rPr>
        <w:t xml:space="preserve">Cultura e amministrazione nella transizione digitale, </w:t>
      </w:r>
      <w:r w:rsidRPr="00962354">
        <w:rPr>
          <w:rFonts w:ascii="Times New Roman" w:hAnsi="Times New Roman" w:cs="Times New Roman"/>
          <w:sz w:val="22"/>
          <w:szCs w:val="22"/>
        </w:rPr>
        <w:t xml:space="preserve">Bari, 2021; G. SGUEO, </w:t>
      </w:r>
      <w:r w:rsidRPr="00962354">
        <w:rPr>
          <w:rFonts w:ascii="Times New Roman" w:hAnsi="Times New Roman" w:cs="Times New Roman"/>
          <w:i/>
          <w:iCs/>
          <w:sz w:val="22"/>
          <w:szCs w:val="22"/>
        </w:rPr>
        <w:t>La visione e la voce nella transizione digitale dei governi democratici</w:t>
      </w:r>
      <w:r w:rsidRPr="00962354">
        <w:rPr>
          <w:rFonts w:ascii="Times New Roman" w:hAnsi="Times New Roman" w:cs="Times New Roman"/>
          <w:sz w:val="22"/>
          <w:szCs w:val="22"/>
        </w:rPr>
        <w:t xml:space="preserve">, in </w:t>
      </w:r>
      <w:r w:rsidRPr="00962354">
        <w:rPr>
          <w:rFonts w:ascii="Times New Roman" w:hAnsi="Times New Roman" w:cs="Times New Roman"/>
          <w:i/>
          <w:iCs/>
          <w:sz w:val="22"/>
          <w:szCs w:val="22"/>
        </w:rPr>
        <w:t>Riv. trim. dir. pubbl</w:t>
      </w:r>
      <w:r w:rsidRPr="00962354">
        <w:rPr>
          <w:rFonts w:ascii="Times New Roman" w:hAnsi="Times New Roman" w:cs="Times New Roman"/>
          <w:sz w:val="22"/>
          <w:szCs w:val="22"/>
        </w:rPr>
        <w:t xml:space="preserve">., 2022, p. 1015 e ss.; ID., </w:t>
      </w:r>
      <w:r w:rsidRPr="00962354">
        <w:rPr>
          <w:rFonts w:ascii="Times New Roman" w:hAnsi="Times New Roman" w:cs="Times New Roman"/>
          <w:i/>
          <w:iCs/>
          <w:sz w:val="22"/>
          <w:szCs w:val="22"/>
        </w:rPr>
        <w:t>La transizione digitale</w:t>
      </w:r>
      <w:r w:rsidRPr="00962354">
        <w:rPr>
          <w:rFonts w:ascii="Times New Roman" w:hAnsi="Times New Roman" w:cs="Times New Roman"/>
          <w:sz w:val="22"/>
          <w:szCs w:val="22"/>
        </w:rPr>
        <w:t xml:space="preserve">, in </w:t>
      </w:r>
      <w:r w:rsidRPr="00962354">
        <w:rPr>
          <w:rFonts w:ascii="Times New Roman" w:hAnsi="Times New Roman" w:cs="Times New Roman"/>
          <w:i/>
          <w:iCs/>
          <w:sz w:val="22"/>
          <w:szCs w:val="22"/>
        </w:rPr>
        <w:t xml:space="preserve">Giornale dir. </w:t>
      </w:r>
      <w:proofErr w:type="spellStart"/>
      <w:r w:rsidRPr="00962354">
        <w:rPr>
          <w:rFonts w:ascii="Times New Roman" w:hAnsi="Times New Roman" w:cs="Times New Roman"/>
          <w:i/>
          <w:iCs/>
          <w:sz w:val="22"/>
          <w:szCs w:val="22"/>
        </w:rPr>
        <w:t>amm</w:t>
      </w:r>
      <w:proofErr w:type="spellEnd"/>
      <w:r w:rsidRPr="00962354">
        <w:rPr>
          <w:rFonts w:ascii="Times New Roman" w:hAnsi="Times New Roman" w:cs="Times New Roman"/>
          <w:i/>
          <w:iCs/>
          <w:sz w:val="22"/>
          <w:szCs w:val="22"/>
        </w:rPr>
        <w:t xml:space="preserve">., </w:t>
      </w:r>
      <w:r w:rsidRPr="00962354">
        <w:rPr>
          <w:rFonts w:ascii="Times New Roman" w:hAnsi="Times New Roman" w:cs="Times New Roman"/>
          <w:sz w:val="22"/>
          <w:szCs w:val="22"/>
        </w:rPr>
        <w:t>2021, p. 746 e ss.</w:t>
      </w:r>
    </w:p>
    <w:bookmarkEnd w:id="46"/>
  </w:footnote>
  <w:footnote w:id="45">
    <w:p w14:paraId="28FD24C7" w14:textId="3D26D6B6" w:rsidR="00DF358B" w:rsidRDefault="00DF358B" w:rsidP="00010023">
      <w:pPr>
        <w:pStyle w:val="Testonotaapidipagina"/>
        <w:spacing w:line="240" w:lineRule="exact"/>
        <w:contextualSpacing/>
        <w:jc w:val="both"/>
      </w:pPr>
      <w:r w:rsidRPr="00962354">
        <w:rPr>
          <w:rStyle w:val="Rimandonotaapidipagina"/>
          <w:rFonts w:ascii="Times New Roman" w:hAnsi="Times New Roman" w:cs="Times New Roman"/>
          <w:sz w:val="22"/>
          <w:szCs w:val="22"/>
        </w:rPr>
        <w:footnoteRef/>
      </w:r>
      <w:r w:rsidRPr="00962354">
        <w:rPr>
          <w:rFonts w:ascii="Times New Roman" w:hAnsi="Times New Roman" w:cs="Times New Roman"/>
          <w:sz w:val="22"/>
          <w:szCs w:val="22"/>
        </w:rPr>
        <w:t xml:space="preserve"> D. U. GALLETTA, </w:t>
      </w:r>
      <w:r w:rsidRPr="00962354">
        <w:rPr>
          <w:rFonts w:ascii="Times New Roman" w:hAnsi="Times New Roman" w:cs="Times New Roman"/>
          <w:i/>
          <w:iCs/>
          <w:sz w:val="22"/>
          <w:szCs w:val="22"/>
        </w:rPr>
        <w:t>Transizione digitale e diritto ad una buona amministrazione: fra prospettive aperte per le Pubbliche Amministrazioni dal Piano Nazionale di Ripresa e Resilienza e problemi ancora da affrontare</w:t>
      </w:r>
      <w:r w:rsidRPr="00962354">
        <w:rPr>
          <w:rFonts w:ascii="Times New Roman" w:hAnsi="Times New Roman" w:cs="Times New Roman"/>
          <w:sz w:val="22"/>
          <w:szCs w:val="22"/>
        </w:rPr>
        <w:t xml:space="preserve">, in </w:t>
      </w:r>
      <w:r w:rsidRPr="00C57281">
        <w:rPr>
          <w:rFonts w:ascii="Times New Roman" w:hAnsi="Times New Roman" w:cs="Times New Roman"/>
          <w:i/>
          <w:iCs/>
          <w:sz w:val="22"/>
          <w:szCs w:val="22"/>
        </w:rPr>
        <w:t>Federalismi</w:t>
      </w:r>
      <w:r>
        <w:rPr>
          <w:rFonts w:ascii="Times New Roman" w:hAnsi="Times New Roman" w:cs="Times New Roman"/>
          <w:sz w:val="22"/>
          <w:szCs w:val="22"/>
        </w:rPr>
        <w:t>.</w:t>
      </w:r>
      <w:r w:rsidRPr="00C57281">
        <w:rPr>
          <w:rFonts w:ascii="Times New Roman" w:hAnsi="Times New Roman" w:cs="Times New Roman"/>
          <w:i/>
          <w:iCs/>
          <w:sz w:val="22"/>
          <w:szCs w:val="22"/>
        </w:rPr>
        <w:t>it</w:t>
      </w:r>
      <w:r w:rsidRPr="00962354">
        <w:rPr>
          <w:rFonts w:ascii="Times New Roman" w:hAnsi="Times New Roman" w:cs="Times New Roman"/>
          <w:sz w:val="22"/>
          <w:szCs w:val="22"/>
        </w:rPr>
        <w:t xml:space="preserve">, 2022, p. 103; B. BOSCHETTI, </w:t>
      </w:r>
      <w:r w:rsidRPr="00962354">
        <w:rPr>
          <w:rFonts w:ascii="Times New Roman" w:hAnsi="Times New Roman" w:cs="Times New Roman"/>
          <w:i/>
          <w:iCs/>
          <w:sz w:val="22"/>
          <w:szCs w:val="22"/>
        </w:rPr>
        <w:t xml:space="preserve">Transizione digitale </w:t>
      </w:r>
      <w:proofErr w:type="gramStart"/>
      <w:r w:rsidRPr="00962354">
        <w:rPr>
          <w:rFonts w:ascii="Times New Roman" w:hAnsi="Times New Roman" w:cs="Times New Roman"/>
          <w:i/>
          <w:iCs/>
          <w:sz w:val="22"/>
          <w:szCs w:val="22"/>
        </w:rPr>
        <w:t xml:space="preserve">e </w:t>
      </w:r>
      <w:r w:rsidRPr="00962354">
        <w:rPr>
          <w:rFonts w:ascii="Times New Roman" w:hAnsi="Times New Roman" w:cs="Times New Roman"/>
          <w:sz w:val="22"/>
          <w:szCs w:val="22"/>
        </w:rPr>
        <w:t xml:space="preserve"> </w:t>
      </w:r>
      <w:r w:rsidRPr="00962354">
        <w:rPr>
          <w:rFonts w:ascii="Times New Roman" w:hAnsi="Times New Roman" w:cs="Times New Roman"/>
          <w:i/>
          <w:iCs/>
          <w:sz w:val="22"/>
          <w:szCs w:val="22"/>
        </w:rPr>
        <w:t>amministrazione</w:t>
      </w:r>
      <w:proofErr w:type="gramEnd"/>
      <w:r w:rsidRPr="00962354">
        <w:rPr>
          <w:rFonts w:ascii="Times New Roman" w:hAnsi="Times New Roman" w:cs="Times New Roman"/>
          <w:i/>
          <w:iCs/>
          <w:sz w:val="22"/>
          <w:szCs w:val="22"/>
        </w:rPr>
        <w:t xml:space="preserve"> (eco)sistemica, </w:t>
      </w:r>
      <w:r w:rsidRPr="00962354">
        <w:rPr>
          <w:rFonts w:ascii="Times New Roman" w:hAnsi="Times New Roman" w:cs="Times New Roman"/>
          <w:sz w:val="22"/>
          <w:szCs w:val="22"/>
        </w:rPr>
        <w:t xml:space="preserve">in </w:t>
      </w:r>
      <w:r w:rsidRPr="00962354">
        <w:rPr>
          <w:rFonts w:ascii="Times New Roman" w:hAnsi="Times New Roman" w:cs="Times New Roman"/>
          <w:i/>
          <w:iCs/>
          <w:sz w:val="22"/>
          <w:szCs w:val="22"/>
        </w:rPr>
        <w:t>Studi parlamentari e politica costituzionale</w:t>
      </w:r>
      <w:r w:rsidRPr="00962354">
        <w:rPr>
          <w:rFonts w:ascii="Times New Roman" w:hAnsi="Times New Roman" w:cs="Times New Roman"/>
          <w:sz w:val="22"/>
          <w:szCs w:val="22"/>
        </w:rPr>
        <w:t xml:space="preserve">, 209, 2021, p. 53; E. RONCHI, </w:t>
      </w:r>
      <w:r w:rsidRPr="00962354">
        <w:rPr>
          <w:rFonts w:ascii="Times New Roman" w:hAnsi="Times New Roman" w:cs="Times New Roman"/>
          <w:i/>
          <w:iCs/>
          <w:sz w:val="22"/>
          <w:szCs w:val="22"/>
        </w:rPr>
        <w:t>Le sfide della transizione ecologica</w:t>
      </w:r>
      <w:r w:rsidRPr="00962354">
        <w:rPr>
          <w:rFonts w:ascii="Times New Roman" w:hAnsi="Times New Roman" w:cs="Times New Roman"/>
          <w:sz w:val="22"/>
          <w:szCs w:val="22"/>
        </w:rPr>
        <w:t xml:space="preserve">, Milano, 2021; M. BRESSO, </w:t>
      </w:r>
      <w:r w:rsidRPr="00962354">
        <w:rPr>
          <w:rFonts w:ascii="Times New Roman" w:hAnsi="Times New Roman" w:cs="Times New Roman"/>
          <w:i/>
          <w:iCs/>
          <w:sz w:val="22"/>
          <w:szCs w:val="22"/>
        </w:rPr>
        <w:t>Economia ecologica. La transizione ambientale verso uno sviluppo sostenibile</w:t>
      </w:r>
      <w:r w:rsidRPr="00962354">
        <w:rPr>
          <w:rFonts w:ascii="Times New Roman" w:hAnsi="Times New Roman" w:cs="Times New Roman"/>
          <w:sz w:val="22"/>
          <w:szCs w:val="22"/>
        </w:rPr>
        <w:t xml:space="preserve">, Jaca Book, 2021; A.M. RIEU, </w:t>
      </w:r>
      <w:proofErr w:type="spellStart"/>
      <w:r w:rsidRPr="00962354">
        <w:rPr>
          <w:rFonts w:ascii="Times New Roman" w:hAnsi="Times New Roman" w:cs="Times New Roman"/>
          <w:i/>
          <w:iCs/>
          <w:sz w:val="22"/>
          <w:szCs w:val="22"/>
        </w:rPr>
        <w:t>Managing</w:t>
      </w:r>
      <w:proofErr w:type="spellEnd"/>
      <w:r w:rsidRPr="00962354">
        <w:rPr>
          <w:rFonts w:ascii="Times New Roman" w:hAnsi="Times New Roman" w:cs="Times New Roman"/>
          <w:i/>
          <w:iCs/>
          <w:sz w:val="22"/>
          <w:szCs w:val="22"/>
        </w:rPr>
        <w:t xml:space="preserve"> Knowledge, </w:t>
      </w:r>
      <w:proofErr w:type="spellStart"/>
      <w:r w:rsidRPr="00962354">
        <w:rPr>
          <w:rFonts w:ascii="Times New Roman" w:hAnsi="Times New Roman" w:cs="Times New Roman"/>
          <w:i/>
          <w:iCs/>
          <w:sz w:val="22"/>
          <w:szCs w:val="22"/>
        </w:rPr>
        <w:t>Governing</w:t>
      </w:r>
      <w:proofErr w:type="spellEnd"/>
      <w:r w:rsidRPr="00962354">
        <w:rPr>
          <w:rFonts w:ascii="Times New Roman" w:hAnsi="Times New Roman" w:cs="Times New Roman"/>
          <w:i/>
          <w:iCs/>
          <w:sz w:val="22"/>
          <w:szCs w:val="22"/>
        </w:rPr>
        <w:t xml:space="preserve"> Society: Social Theory, </w:t>
      </w:r>
      <w:proofErr w:type="spellStart"/>
      <w:r w:rsidRPr="00962354">
        <w:rPr>
          <w:rFonts w:ascii="Times New Roman" w:hAnsi="Times New Roman" w:cs="Times New Roman"/>
          <w:i/>
          <w:iCs/>
          <w:sz w:val="22"/>
          <w:szCs w:val="22"/>
        </w:rPr>
        <w:t>Research</w:t>
      </w:r>
      <w:proofErr w:type="spellEnd"/>
      <w:r w:rsidRPr="00962354">
        <w:rPr>
          <w:rFonts w:ascii="Times New Roman" w:hAnsi="Times New Roman" w:cs="Times New Roman"/>
          <w:i/>
          <w:iCs/>
          <w:sz w:val="22"/>
          <w:szCs w:val="22"/>
        </w:rPr>
        <w:t xml:space="preserve"> Policy and </w:t>
      </w:r>
      <w:proofErr w:type="spellStart"/>
      <w:r w:rsidRPr="00962354">
        <w:rPr>
          <w:rFonts w:ascii="Times New Roman" w:hAnsi="Times New Roman" w:cs="Times New Roman"/>
          <w:i/>
          <w:iCs/>
          <w:sz w:val="22"/>
          <w:szCs w:val="22"/>
        </w:rPr>
        <w:t>Environmental</w:t>
      </w:r>
      <w:proofErr w:type="spellEnd"/>
      <w:r w:rsidRPr="00962354">
        <w:rPr>
          <w:rFonts w:ascii="Times New Roman" w:hAnsi="Times New Roman" w:cs="Times New Roman"/>
          <w:i/>
          <w:iCs/>
          <w:sz w:val="22"/>
          <w:szCs w:val="22"/>
        </w:rPr>
        <w:t xml:space="preserve"> </w:t>
      </w:r>
      <w:proofErr w:type="spellStart"/>
      <w:r w:rsidRPr="00962354">
        <w:rPr>
          <w:rFonts w:ascii="Times New Roman" w:hAnsi="Times New Roman" w:cs="Times New Roman"/>
          <w:i/>
          <w:iCs/>
          <w:sz w:val="22"/>
          <w:szCs w:val="22"/>
        </w:rPr>
        <w:t>Transition</w:t>
      </w:r>
      <w:proofErr w:type="spellEnd"/>
      <w:r w:rsidRPr="00962354">
        <w:rPr>
          <w:rFonts w:ascii="Times New Roman" w:hAnsi="Times New Roman" w:cs="Times New Roman"/>
          <w:sz w:val="22"/>
          <w:szCs w:val="22"/>
        </w:rPr>
        <w:t xml:space="preserve">, </w:t>
      </w:r>
      <w:proofErr w:type="spellStart"/>
      <w:r w:rsidRPr="00962354">
        <w:rPr>
          <w:rFonts w:ascii="Times New Roman" w:hAnsi="Times New Roman" w:cs="Times New Roman"/>
          <w:sz w:val="22"/>
          <w:szCs w:val="22"/>
        </w:rPr>
        <w:t>Routledge</w:t>
      </w:r>
      <w:proofErr w:type="spellEnd"/>
      <w:r w:rsidRPr="00962354">
        <w:rPr>
          <w:rFonts w:ascii="Times New Roman" w:hAnsi="Times New Roman" w:cs="Times New Roman"/>
          <w:sz w:val="22"/>
          <w:szCs w:val="22"/>
        </w:rPr>
        <w:t xml:space="preserve">, Londra, 2021; M. PETRACHI, </w:t>
      </w:r>
      <w:r w:rsidRPr="00962354">
        <w:rPr>
          <w:rFonts w:ascii="Times New Roman" w:hAnsi="Times New Roman" w:cs="Times New Roman"/>
          <w:i/>
          <w:iCs/>
          <w:sz w:val="22"/>
          <w:szCs w:val="22"/>
        </w:rPr>
        <w:t>La tutela dell’ambiente nel prisma della transizione ecologica</w:t>
      </w:r>
      <w:r w:rsidRPr="00962354">
        <w:rPr>
          <w:rFonts w:ascii="Times New Roman" w:hAnsi="Times New Roman" w:cs="Times New Roman"/>
          <w:sz w:val="22"/>
          <w:szCs w:val="22"/>
        </w:rPr>
        <w:t>, Torino, 2023</w:t>
      </w:r>
    </w:p>
  </w:footnote>
  <w:footnote w:id="46">
    <w:p w14:paraId="1278B50C" w14:textId="11D72B41" w:rsidR="00DF358B" w:rsidRPr="001C65CA" w:rsidRDefault="00DF358B" w:rsidP="00010023">
      <w:pPr>
        <w:pStyle w:val="Testonotaapidipagina"/>
        <w:spacing w:line="240" w:lineRule="exact"/>
        <w:contextualSpacing/>
        <w:jc w:val="both"/>
        <w:rPr>
          <w:rFonts w:ascii="Times New Roman" w:hAnsi="Times New Roman" w:cs="Times New Roman"/>
          <w:sz w:val="22"/>
          <w:szCs w:val="22"/>
          <w:lang w:val="en-US"/>
        </w:rPr>
      </w:pPr>
      <w:r w:rsidRPr="00962354">
        <w:rPr>
          <w:rStyle w:val="Rimandonotaapidipagina"/>
          <w:rFonts w:ascii="Times New Roman" w:hAnsi="Times New Roman" w:cs="Times New Roman"/>
          <w:sz w:val="22"/>
          <w:szCs w:val="22"/>
        </w:rPr>
        <w:footnoteRef/>
      </w:r>
      <w:r w:rsidRPr="001C65CA">
        <w:rPr>
          <w:rFonts w:ascii="Times New Roman" w:hAnsi="Times New Roman" w:cs="Times New Roman"/>
          <w:sz w:val="22"/>
          <w:szCs w:val="22"/>
          <w:lang w:val="en-US"/>
        </w:rPr>
        <w:t xml:space="preserve"> In </w:t>
      </w:r>
      <w:proofErr w:type="spellStart"/>
      <w:r w:rsidRPr="001C65CA">
        <w:rPr>
          <w:rFonts w:ascii="Times New Roman" w:hAnsi="Times New Roman" w:cs="Times New Roman"/>
          <w:sz w:val="22"/>
          <w:szCs w:val="22"/>
          <w:lang w:val="en-US"/>
        </w:rPr>
        <w:t>riferimento</w:t>
      </w:r>
      <w:proofErr w:type="spellEnd"/>
      <w:r w:rsidRPr="001C65CA">
        <w:rPr>
          <w:rFonts w:ascii="Times New Roman" w:hAnsi="Times New Roman" w:cs="Times New Roman"/>
          <w:sz w:val="22"/>
          <w:szCs w:val="22"/>
          <w:lang w:val="en-US"/>
        </w:rPr>
        <w:t xml:space="preserve"> ai prosumers </w:t>
      </w:r>
      <w:proofErr w:type="spellStart"/>
      <w:r w:rsidRPr="001C65CA">
        <w:rPr>
          <w:rFonts w:ascii="Times New Roman" w:hAnsi="Times New Roman" w:cs="Times New Roman"/>
          <w:sz w:val="22"/>
          <w:szCs w:val="22"/>
          <w:lang w:val="en-US"/>
        </w:rPr>
        <w:t>si</w:t>
      </w:r>
      <w:proofErr w:type="spellEnd"/>
      <w:r w:rsidRPr="001C65CA">
        <w:rPr>
          <w:rFonts w:ascii="Times New Roman" w:hAnsi="Times New Roman" w:cs="Times New Roman"/>
          <w:sz w:val="22"/>
          <w:szCs w:val="22"/>
          <w:lang w:val="en-US"/>
        </w:rPr>
        <w:t xml:space="preserve"> v. J.-L. HU – M.-Y. CHUANG, </w:t>
      </w:r>
      <w:r w:rsidRPr="001C65CA">
        <w:rPr>
          <w:rFonts w:ascii="Times New Roman" w:hAnsi="Times New Roman" w:cs="Times New Roman"/>
          <w:i/>
          <w:iCs/>
          <w:sz w:val="22"/>
          <w:szCs w:val="22"/>
          <w:lang w:val="en-US"/>
        </w:rPr>
        <w:t>The Importance of Energy Prosumers for Affordable and Clean Energy Development: A Review of the Literature from the Viewpoints of Management and Policy</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Energies</w:t>
      </w:r>
      <w:r w:rsidRPr="001C65CA">
        <w:rPr>
          <w:rFonts w:ascii="Times New Roman" w:hAnsi="Times New Roman" w:cs="Times New Roman"/>
          <w:sz w:val="22"/>
          <w:szCs w:val="22"/>
          <w:lang w:val="en-US"/>
        </w:rPr>
        <w:t xml:space="preserve">, 2023; I. CAMPOS, M. KORSNES, N. LABANCA, P. BERTOLDI, </w:t>
      </w:r>
      <w:r w:rsidRPr="001C65CA">
        <w:rPr>
          <w:rFonts w:ascii="Times New Roman" w:hAnsi="Times New Roman" w:cs="Times New Roman"/>
          <w:i/>
          <w:iCs/>
          <w:sz w:val="22"/>
          <w:szCs w:val="22"/>
          <w:lang w:val="en-US"/>
        </w:rPr>
        <w:t xml:space="preserve">Can Renewable Energy </w:t>
      </w:r>
      <w:proofErr w:type="spellStart"/>
      <w:r w:rsidRPr="001C65CA">
        <w:rPr>
          <w:rFonts w:ascii="Times New Roman" w:hAnsi="Times New Roman" w:cs="Times New Roman"/>
          <w:i/>
          <w:iCs/>
          <w:sz w:val="22"/>
          <w:szCs w:val="22"/>
          <w:lang w:val="en-US"/>
        </w:rPr>
        <w:t>Prosumerism</w:t>
      </w:r>
      <w:proofErr w:type="spellEnd"/>
      <w:r w:rsidRPr="001C65CA">
        <w:rPr>
          <w:rFonts w:ascii="Times New Roman" w:hAnsi="Times New Roman" w:cs="Times New Roman"/>
          <w:i/>
          <w:iCs/>
          <w:sz w:val="22"/>
          <w:szCs w:val="22"/>
          <w:lang w:val="en-US"/>
        </w:rPr>
        <w:t xml:space="preserve"> Cater for Sufficiency and Inclusion?</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Renewable and Sustainable Energy Reviews</w:t>
      </w:r>
      <w:r w:rsidRPr="001C65CA">
        <w:rPr>
          <w:rFonts w:ascii="Times New Roman" w:hAnsi="Times New Roman" w:cs="Times New Roman"/>
          <w:sz w:val="22"/>
          <w:szCs w:val="22"/>
          <w:lang w:val="en-US"/>
        </w:rPr>
        <w:t xml:space="preserve">, 2024; M. ERTZ, X. CAO, J.M. BARRAGÁN MARAVILLA, </w:t>
      </w:r>
      <w:r w:rsidRPr="001C65CA">
        <w:rPr>
          <w:rFonts w:ascii="Times New Roman" w:hAnsi="Times New Roman" w:cs="Times New Roman"/>
          <w:i/>
          <w:iCs/>
          <w:sz w:val="22"/>
          <w:szCs w:val="22"/>
          <w:lang w:val="en-US"/>
        </w:rPr>
        <w:t>The Prosumer</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Encyclopedia</w:t>
      </w:r>
      <w:r w:rsidRPr="001C65CA">
        <w:rPr>
          <w:rFonts w:ascii="Times New Roman" w:hAnsi="Times New Roman" w:cs="Times New Roman"/>
          <w:sz w:val="22"/>
          <w:szCs w:val="22"/>
          <w:lang w:val="en-US"/>
        </w:rPr>
        <w:t xml:space="preserve">, 2024; A.R. CEDDIA, S. ORICCHIO, G. BARBERIO, C. INNELLA, </w:t>
      </w:r>
      <w:r w:rsidRPr="001C65CA">
        <w:rPr>
          <w:rFonts w:ascii="Times New Roman" w:hAnsi="Times New Roman" w:cs="Times New Roman"/>
          <w:i/>
          <w:iCs/>
          <w:sz w:val="22"/>
          <w:szCs w:val="22"/>
          <w:lang w:val="en-US"/>
        </w:rPr>
        <w:t>A Systematic Literature Review Exploring the Nexus Between Circular Economy and Communities</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Frontiers in Sustainable Cities</w:t>
      </w:r>
      <w:r w:rsidRPr="001C65CA">
        <w:rPr>
          <w:rFonts w:ascii="Times New Roman" w:hAnsi="Times New Roman" w:cs="Times New Roman"/>
          <w:sz w:val="22"/>
          <w:szCs w:val="22"/>
          <w:lang w:val="en-US"/>
        </w:rPr>
        <w:t xml:space="preserve">, 2024; S. KESSELRING, S. SEEBAUER, S. SKARDELLY, L. NAD, S. PREUß, </w:t>
      </w:r>
      <w:r w:rsidRPr="001C65CA">
        <w:rPr>
          <w:rFonts w:ascii="Times New Roman" w:hAnsi="Times New Roman" w:cs="Times New Roman"/>
          <w:i/>
          <w:iCs/>
          <w:sz w:val="22"/>
          <w:szCs w:val="22"/>
          <w:lang w:val="en-US"/>
        </w:rPr>
        <w:t>Slashing the Surplus: How Prosumers with Smart Metering Respond to Regulatory Restrictions on Self-Consumption</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Energy Efficiency</w:t>
      </w:r>
      <w:r w:rsidRPr="001C65CA">
        <w:rPr>
          <w:rFonts w:ascii="Times New Roman" w:hAnsi="Times New Roman" w:cs="Times New Roman"/>
          <w:sz w:val="22"/>
          <w:szCs w:val="22"/>
          <w:lang w:val="en-US"/>
        </w:rPr>
        <w:t xml:space="preserve">, 2024; M. ERTZ et al., </w:t>
      </w:r>
      <w:proofErr w:type="spellStart"/>
      <w:r w:rsidRPr="001C65CA">
        <w:rPr>
          <w:rFonts w:ascii="Times New Roman" w:hAnsi="Times New Roman" w:cs="Times New Roman"/>
          <w:i/>
          <w:iCs/>
          <w:sz w:val="22"/>
          <w:szCs w:val="22"/>
          <w:lang w:val="en-US"/>
        </w:rPr>
        <w:t>Prosumerism</w:t>
      </w:r>
      <w:proofErr w:type="spellEnd"/>
      <w:r w:rsidRPr="001C65CA">
        <w:rPr>
          <w:rFonts w:ascii="Times New Roman" w:hAnsi="Times New Roman" w:cs="Times New Roman"/>
          <w:i/>
          <w:iCs/>
          <w:sz w:val="22"/>
          <w:szCs w:val="22"/>
          <w:lang w:val="en-US"/>
        </w:rPr>
        <w:t xml:space="preserve"> for Sustainability</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Sustainable Production and Consumption</w:t>
      </w:r>
      <w:r w:rsidRPr="001C65CA">
        <w:rPr>
          <w:rFonts w:ascii="Times New Roman" w:hAnsi="Times New Roman" w:cs="Times New Roman"/>
          <w:sz w:val="22"/>
          <w:szCs w:val="22"/>
          <w:lang w:val="en-US"/>
        </w:rPr>
        <w:t xml:space="preserve">, 2025; S. CORASANITI,  P. COPPA, D. ATZORI, A. UR REHMAN, </w:t>
      </w:r>
      <w:r w:rsidRPr="001C65CA">
        <w:rPr>
          <w:rFonts w:ascii="Times New Roman" w:hAnsi="Times New Roman" w:cs="Times New Roman"/>
          <w:i/>
          <w:iCs/>
          <w:sz w:val="22"/>
          <w:szCs w:val="22"/>
          <w:lang w:val="en-US"/>
        </w:rPr>
        <w:t>Renewable Energy Communities (RECs): European and Worldwide Distribution, Different Technologies, Management, and Modeling</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Energies</w:t>
      </w:r>
      <w:r w:rsidRPr="001C65CA">
        <w:rPr>
          <w:rFonts w:ascii="Times New Roman" w:hAnsi="Times New Roman" w:cs="Times New Roman"/>
          <w:sz w:val="22"/>
          <w:szCs w:val="22"/>
          <w:lang w:val="en-US"/>
        </w:rPr>
        <w:t>, 2025.</w:t>
      </w:r>
    </w:p>
  </w:footnote>
  <w:footnote w:id="47">
    <w:p w14:paraId="3BC63D2A" w14:textId="77777777" w:rsidR="00DF358B" w:rsidRPr="00852D66" w:rsidRDefault="00DF358B" w:rsidP="00010023">
      <w:pPr>
        <w:pStyle w:val="Testonotaapidipagina"/>
        <w:spacing w:line="240" w:lineRule="exact"/>
        <w:contextualSpacing/>
        <w:jc w:val="both"/>
        <w:rPr>
          <w:rFonts w:ascii="Times New Roman" w:hAnsi="Times New Roman" w:cs="Times New Roman"/>
          <w:sz w:val="22"/>
          <w:szCs w:val="22"/>
        </w:rPr>
      </w:pPr>
      <w:r w:rsidRPr="00852D66">
        <w:rPr>
          <w:rStyle w:val="Rimandonotaapidipagina"/>
          <w:rFonts w:ascii="Times New Roman" w:hAnsi="Times New Roman" w:cs="Times New Roman"/>
          <w:sz w:val="22"/>
          <w:szCs w:val="22"/>
        </w:rPr>
        <w:footnoteRef/>
      </w:r>
      <w:r w:rsidRPr="00852D66">
        <w:rPr>
          <w:rFonts w:ascii="Times New Roman" w:hAnsi="Times New Roman" w:cs="Times New Roman"/>
          <w:sz w:val="22"/>
          <w:szCs w:val="22"/>
        </w:rPr>
        <w:t xml:space="preserve"> Per la tutela del consumatore, si v.</w:t>
      </w:r>
      <w:r w:rsidRPr="00852D66">
        <w:rPr>
          <w:rFonts w:ascii="Times New Roman" w:eastAsia="Times New Roman" w:hAnsi="Times New Roman" w:cs="Times New Roman"/>
          <w:sz w:val="22"/>
          <w:szCs w:val="22"/>
        </w:rPr>
        <w:t xml:space="preserve"> </w:t>
      </w:r>
      <w:r w:rsidRPr="00852D66">
        <w:rPr>
          <w:rFonts w:ascii="Times New Roman" w:hAnsi="Times New Roman" w:cs="Times New Roman"/>
          <w:sz w:val="22"/>
          <w:szCs w:val="22"/>
        </w:rPr>
        <w:t xml:space="preserve">V. ROPPO, </w:t>
      </w:r>
      <w:r w:rsidRPr="00852D66">
        <w:rPr>
          <w:rFonts w:ascii="Times New Roman" w:hAnsi="Times New Roman" w:cs="Times New Roman"/>
          <w:i/>
          <w:iCs/>
          <w:sz w:val="22"/>
          <w:szCs w:val="22"/>
        </w:rPr>
        <w:t>Il contratto del consumatore</w:t>
      </w:r>
      <w:r w:rsidRPr="00852D66">
        <w:rPr>
          <w:rFonts w:ascii="Times New Roman" w:hAnsi="Times New Roman" w:cs="Times New Roman"/>
          <w:sz w:val="22"/>
          <w:szCs w:val="22"/>
        </w:rPr>
        <w:t xml:space="preserve">, in Europa e diritto privato, 1998, pp. 1-38; </w:t>
      </w:r>
      <w:r w:rsidRPr="00B15CE7">
        <w:rPr>
          <w:rFonts w:ascii="Times New Roman" w:hAnsi="Times New Roman" w:cs="Times New Roman"/>
          <w:sz w:val="22"/>
          <w:szCs w:val="22"/>
        </w:rPr>
        <w:t>S</w:t>
      </w:r>
      <w:r w:rsidRPr="00852D66">
        <w:rPr>
          <w:rFonts w:ascii="Times New Roman" w:hAnsi="Times New Roman" w:cs="Times New Roman"/>
          <w:sz w:val="22"/>
          <w:szCs w:val="22"/>
        </w:rPr>
        <w:t>. RODOTÀ</w:t>
      </w:r>
      <w:r w:rsidRPr="00B15CE7">
        <w:rPr>
          <w:rFonts w:ascii="Times New Roman" w:hAnsi="Times New Roman" w:cs="Times New Roman"/>
          <w:sz w:val="22"/>
          <w:szCs w:val="22"/>
        </w:rPr>
        <w:t xml:space="preserve">, </w:t>
      </w:r>
      <w:r w:rsidRPr="00B15CE7">
        <w:rPr>
          <w:rFonts w:ascii="Times New Roman" w:hAnsi="Times New Roman" w:cs="Times New Roman"/>
          <w:i/>
          <w:iCs/>
          <w:sz w:val="22"/>
          <w:szCs w:val="22"/>
        </w:rPr>
        <w:t>Il diritto dei consumatori tra mercato e diritti fondamentali</w:t>
      </w:r>
      <w:r w:rsidRPr="00B15CE7">
        <w:rPr>
          <w:rFonts w:ascii="Times New Roman" w:hAnsi="Times New Roman" w:cs="Times New Roman"/>
          <w:sz w:val="22"/>
          <w:szCs w:val="22"/>
        </w:rPr>
        <w:t>, in Politica del diritto, 1995, pp. 431-45</w:t>
      </w:r>
      <w:r w:rsidRPr="00852D66">
        <w:rPr>
          <w:rFonts w:ascii="Times New Roman" w:hAnsi="Times New Roman" w:cs="Times New Roman"/>
          <w:sz w:val="22"/>
          <w:szCs w:val="22"/>
        </w:rPr>
        <w:t>;</w:t>
      </w:r>
      <w:r w:rsidRPr="00B15CE7">
        <w:rPr>
          <w:rFonts w:ascii="Times New Roman" w:hAnsi="Times New Roman" w:cs="Times New Roman"/>
          <w:sz w:val="22"/>
          <w:szCs w:val="22"/>
        </w:rPr>
        <w:t xml:space="preserve"> </w:t>
      </w:r>
      <w:r w:rsidRPr="00852D66">
        <w:rPr>
          <w:rFonts w:ascii="Times New Roman" w:hAnsi="Times New Roman" w:cs="Times New Roman"/>
          <w:sz w:val="22"/>
          <w:szCs w:val="22"/>
        </w:rPr>
        <w:t>G. VETTORI</w:t>
      </w:r>
      <w:r w:rsidRPr="00B15CE7">
        <w:rPr>
          <w:rFonts w:ascii="Times New Roman" w:hAnsi="Times New Roman" w:cs="Times New Roman"/>
          <w:sz w:val="22"/>
          <w:szCs w:val="22"/>
        </w:rPr>
        <w:t xml:space="preserve">, </w:t>
      </w:r>
      <w:r w:rsidRPr="00B15CE7">
        <w:rPr>
          <w:rFonts w:ascii="Times New Roman" w:hAnsi="Times New Roman" w:cs="Times New Roman"/>
          <w:i/>
          <w:iCs/>
          <w:sz w:val="22"/>
          <w:szCs w:val="22"/>
        </w:rPr>
        <w:t>Contratto e tutela del consumatore nel diritto europeo</w:t>
      </w:r>
      <w:r w:rsidRPr="00B15CE7">
        <w:rPr>
          <w:rFonts w:ascii="Times New Roman" w:hAnsi="Times New Roman" w:cs="Times New Roman"/>
          <w:sz w:val="22"/>
          <w:szCs w:val="22"/>
        </w:rPr>
        <w:t xml:space="preserve">, in </w:t>
      </w:r>
      <w:r w:rsidRPr="00B92F51">
        <w:rPr>
          <w:rFonts w:ascii="Times New Roman" w:hAnsi="Times New Roman" w:cs="Times New Roman"/>
          <w:i/>
          <w:iCs/>
          <w:sz w:val="22"/>
          <w:szCs w:val="22"/>
        </w:rPr>
        <w:t>Europa e diritto privato</w:t>
      </w:r>
      <w:r w:rsidRPr="00B15CE7">
        <w:rPr>
          <w:rFonts w:ascii="Times New Roman" w:hAnsi="Times New Roman" w:cs="Times New Roman"/>
          <w:sz w:val="22"/>
          <w:szCs w:val="22"/>
        </w:rPr>
        <w:t>, 2002</w:t>
      </w:r>
      <w:r w:rsidRPr="00852D66">
        <w:rPr>
          <w:rFonts w:ascii="Times New Roman" w:hAnsi="Times New Roman" w:cs="Times New Roman"/>
          <w:sz w:val="22"/>
          <w:szCs w:val="22"/>
        </w:rPr>
        <w:t>; S.</w:t>
      </w:r>
      <w:r w:rsidRPr="00B15CE7">
        <w:rPr>
          <w:rFonts w:ascii="Times New Roman" w:hAnsi="Times New Roman" w:cs="Times New Roman"/>
          <w:sz w:val="22"/>
          <w:szCs w:val="22"/>
        </w:rPr>
        <w:t xml:space="preserve"> </w:t>
      </w:r>
      <w:r w:rsidRPr="00852D66">
        <w:rPr>
          <w:rFonts w:ascii="Times New Roman" w:hAnsi="Times New Roman" w:cs="Times New Roman"/>
          <w:sz w:val="22"/>
          <w:szCs w:val="22"/>
        </w:rPr>
        <w:t xml:space="preserve">PAGLIANTINI, </w:t>
      </w:r>
      <w:r w:rsidRPr="00B15CE7">
        <w:rPr>
          <w:rFonts w:ascii="Times New Roman" w:hAnsi="Times New Roman" w:cs="Times New Roman"/>
          <w:i/>
          <w:iCs/>
          <w:sz w:val="22"/>
          <w:szCs w:val="22"/>
        </w:rPr>
        <w:t>La giustizia contrattuale nel diritto dei consumatori</w:t>
      </w:r>
      <w:r w:rsidRPr="00B15CE7">
        <w:rPr>
          <w:rFonts w:ascii="Times New Roman" w:hAnsi="Times New Roman" w:cs="Times New Roman"/>
          <w:sz w:val="22"/>
          <w:szCs w:val="22"/>
        </w:rPr>
        <w:t xml:space="preserve">, in </w:t>
      </w:r>
      <w:r w:rsidRPr="00B92F51">
        <w:rPr>
          <w:rFonts w:ascii="Times New Roman" w:hAnsi="Times New Roman" w:cs="Times New Roman"/>
          <w:i/>
          <w:iCs/>
          <w:sz w:val="22"/>
          <w:szCs w:val="22"/>
        </w:rPr>
        <w:t>Contratto e impresa</w:t>
      </w:r>
      <w:r w:rsidRPr="00B15CE7">
        <w:rPr>
          <w:rFonts w:ascii="Times New Roman" w:hAnsi="Times New Roman" w:cs="Times New Roman"/>
          <w:sz w:val="22"/>
          <w:szCs w:val="22"/>
        </w:rPr>
        <w:t>, 2010</w:t>
      </w:r>
      <w:r w:rsidRPr="00852D66">
        <w:rPr>
          <w:rFonts w:ascii="Times New Roman" w:hAnsi="Times New Roman" w:cs="Times New Roman"/>
          <w:sz w:val="22"/>
          <w:szCs w:val="22"/>
        </w:rPr>
        <w:t>.</w:t>
      </w:r>
    </w:p>
  </w:footnote>
  <w:footnote w:id="48">
    <w:p w14:paraId="3F2549C0" w14:textId="0B022BE6" w:rsidR="00DF358B" w:rsidRPr="00852D66" w:rsidRDefault="00DF358B" w:rsidP="00010023">
      <w:pPr>
        <w:pStyle w:val="Testonotaapidipagina"/>
        <w:spacing w:line="240" w:lineRule="exact"/>
        <w:contextualSpacing/>
        <w:jc w:val="both"/>
        <w:rPr>
          <w:rFonts w:ascii="Times New Roman" w:hAnsi="Times New Roman" w:cs="Times New Roman"/>
          <w:sz w:val="22"/>
          <w:szCs w:val="22"/>
        </w:rPr>
      </w:pPr>
      <w:r w:rsidRPr="00852D66">
        <w:rPr>
          <w:rStyle w:val="Rimandonotaapidipagina"/>
          <w:rFonts w:ascii="Times New Roman" w:hAnsi="Times New Roman" w:cs="Times New Roman"/>
          <w:sz w:val="22"/>
          <w:szCs w:val="22"/>
        </w:rPr>
        <w:footnoteRef/>
      </w:r>
      <w:r w:rsidRPr="00852D66">
        <w:rPr>
          <w:rFonts w:ascii="Times New Roman" w:hAnsi="Times New Roman" w:cs="Times New Roman"/>
          <w:sz w:val="22"/>
          <w:szCs w:val="22"/>
        </w:rPr>
        <w:t xml:space="preserve"> </w:t>
      </w:r>
      <w:r>
        <w:rPr>
          <w:rFonts w:ascii="Times New Roman" w:hAnsi="Times New Roman" w:cs="Times New Roman"/>
          <w:sz w:val="22"/>
          <w:szCs w:val="22"/>
        </w:rPr>
        <w:t xml:space="preserve">Sull’autonomia privata e la tutela dei consumatori si v. in dottrina, </w:t>
      </w:r>
      <w:r w:rsidRPr="00852D66">
        <w:rPr>
          <w:rFonts w:ascii="Times New Roman" w:hAnsi="Times New Roman" w:cs="Times New Roman"/>
          <w:sz w:val="22"/>
          <w:szCs w:val="22"/>
        </w:rPr>
        <w:t xml:space="preserve">G. ALPA, </w:t>
      </w:r>
      <w:r w:rsidRPr="00852D66">
        <w:rPr>
          <w:rFonts w:ascii="Times New Roman" w:hAnsi="Times New Roman" w:cs="Times New Roman"/>
          <w:i/>
          <w:iCs/>
          <w:sz w:val="22"/>
          <w:szCs w:val="22"/>
        </w:rPr>
        <w:t>Consumatore (protezione del)</w:t>
      </w:r>
      <w:r w:rsidRPr="00852D66">
        <w:rPr>
          <w:rFonts w:ascii="Times New Roman" w:hAnsi="Times New Roman" w:cs="Times New Roman"/>
          <w:sz w:val="22"/>
          <w:szCs w:val="22"/>
        </w:rPr>
        <w:t xml:space="preserve">, in Digesto delle discipline privatistiche, Sez. civ., vol. III, Torino, 1988, pp. 542-565; G. Alpa, </w:t>
      </w:r>
      <w:r w:rsidRPr="00852D66">
        <w:rPr>
          <w:rFonts w:ascii="Times New Roman" w:hAnsi="Times New Roman" w:cs="Times New Roman"/>
          <w:i/>
          <w:iCs/>
          <w:sz w:val="22"/>
          <w:szCs w:val="22"/>
        </w:rPr>
        <w:t>Le clausole abusive nei contratti dei consumatori</w:t>
      </w:r>
      <w:r w:rsidRPr="00852D66">
        <w:rPr>
          <w:rFonts w:ascii="Times New Roman" w:hAnsi="Times New Roman" w:cs="Times New Roman"/>
          <w:sz w:val="22"/>
          <w:szCs w:val="22"/>
        </w:rPr>
        <w:t xml:space="preserve">, in Contratto e impresa, 1993, pp. 635-658; A. ORESTANO, </w:t>
      </w:r>
      <w:r w:rsidRPr="00852D66">
        <w:rPr>
          <w:rFonts w:ascii="Times New Roman" w:hAnsi="Times New Roman" w:cs="Times New Roman"/>
          <w:i/>
          <w:iCs/>
          <w:sz w:val="22"/>
          <w:szCs w:val="22"/>
        </w:rPr>
        <w:t>I contratti con i consumatori e la direttiva sulle clausole abusive</w:t>
      </w:r>
      <w:r w:rsidRPr="00852D66">
        <w:rPr>
          <w:rFonts w:ascii="Times New Roman" w:hAnsi="Times New Roman" w:cs="Times New Roman"/>
          <w:sz w:val="22"/>
          <w:szCs w:val="22"/>
        </w:rPr>
        <w:t xml:space="preserve">, in </w:t>
      </w:r>
      <w:r w:rsidRPr="00B92F51">
        <w:rPr>
          <w:rFonts w:ascii="Times New Roman" w:hAnsi="Times New Roman" w:cs="Times New Roman"/>
          <w:i/>
          <w:iCs/>
          <w:sz w:val="22"/>
          <w:szCs w:val="22"/>
        </w:rPr>
        <w:t>Rivista critica del diritto privato</w:t>
      </w:r>
      <w:r w:rsidRPr="00852D66">
        <w:rPr>
          <w:rFonts w:ascii="Times New Roman" w:hAnsi="Times New Roman" w:cs="Times New Roman"/>
          <w:sz w:val="22"/>
          <w:szCs w:val="22"/>
        </w:rPr>
        <w:t>, 1992, pp. 467-480; S. PATTI</w:t>
      </w:r>
      <w:r>
        <w:rPr>
          <w:rFonts w:ascii="Times New Roman" w:hAnsi="Times New Roman" w:cs="Times New Roman"/>
          <w:sz w:val="22"/>
          <w:szCs w:val="22"/>
        </w:rPr>
        <w:t xml:space="preserve">, </w:t>
      </w:r>
      <w:r w:rsidRPr="00852D66">
        <w:rPr>
          <w:rFonts w:ascii="Times New Roman" w:hAnsi="Times New Roman" w:cs="Times New Roman"/>
          <w:sz w:val="22"/>
          <w:szCs w:val="22"/>
        </w:rPr>
        <w:t xml:space="preserve">G. ALPA, </w:t>
      </w:r>
      <w:r w:rsidRPr="00852D66">
        <w:rPr>
          <w:rFonts w:ascii="Times New Roman" w:hAnsi="Times New Roman" w:cs="Times New Roman"/>
          <w:i/>
          <w:iCs/>
          <w:sz w:val="22"/>
          <w:szCs w:val="22"/>
        </w:rPr>
        <w:t>Le clausole vessatorie nei contratti con i consumatori</w:t>
      </w:r>
      <w:r w:rsidRPr="00852D66">
        <w:rPr>
          <w:rFonts w:ascii="Times New Roman" w:hAnsi="Times New Roman" w:cs="Times New Roman"/>
          <w:sz w:val="22"/>
          <w:szCs w:val="22"/>
        </w:rPr>
        <w:t>, in Commentario al codice civile, diretto da P. Schlesinger, Milano, Giuffrè, 2003.</w:t>
      </w:r>
    </w:p>
  </w:footnote>
  <w:footnote w:id="49">
    <w:p w14:paraId="148B2E42" w14:textId="4316061D" w:rsidR="00DF358B" w:rsidRPr="001C65CA" w:rsidRDefault="00DF358B" w:rsidP="00010023">
      <w:pPr>
        <w:pStyle w:val="Testonotaapidipagina"/>
        <w:spacing w:line="240" w:lineRule="exact"/>
        <w:contextualSpacing/>
        <w:jc w:val="both"/>
        <w:rPr>
          <w:rFonts w:ascii="Times New Roman" w:hAnsi="Times New Roman" w:cs="Times New Roman"/>
          <w:sz w:val="22"/>
          <w:szCs w:val="22"/>
          <w:lang w:val="en-US"/>
        </w:rPr>
      </w:pPr>
      <w:r w:rsidRPr="00852D66">
        <w:rPr>
          <w:rStyle w:val="Rimandonotaapidipagina"/>
          <w:rFonts w:ascii="Times New Roman" w:hAnsi="Times New Roman" w:cs="Times New Roman"/>
          <w:sz w:val="22"/>
          <w:szCs w:val="22"/>
        </w:rPr>
        <w:footnoteRef/>
      </w:r>
      <w:r w:rsidRPr="001C65CA">
        <w:rPr>
          <w:rFonts w:ascii="Times New Roman" w:hAnsi="Times New Roman" w:cs="Times New Roman"/>
          <w:sz w:val="22"/>
          <w:szCs w:val="22"/>
          <w:lang w:val="en-US"/>
        </w:rPr>
        <w:t xml:space="preserve"> In </w:t>
      </w:r>
      <w:proofErr w:type="spellStart"/>
      <w:r w:rsidRPr="001C65CA">
        <w:rPr>
          <w:rFonts w:ascii="Times New Roman" w:hAnsi="Times New Roman" w:cs="Times New Roman"/>
          <w:sz w:val="22"/>
          <w:szCs w:val="22"/>
          <w:lang w:val="en-US"/>
        </w:rPr>
        <w:t>tema</w:t>
      </w:r>
      <w:proofErr w:type="spellEnd"/>
      <w:r w:rsidRPr="001C65CA">
        <w:rPr>
          <w:rFonts w:ascii="Times New Roman" w:hAnsi="Times New Roman" w:cs="Times New Roman"/>
          <w:sz w:val="22"/>
          <w:szCs w:val="22"/>
          <w:lang w:val="en-US"/>
        </w:rPr>
        <w:t xml:space="preserve"> di </w:t>
      </w:r>
      <w:proofErr w:type="spellStart"/>
      <w:r w:rsidRPr="001C65CA">
        <w:rPr>
          <w:rFonts w:ascii="Times New Roman" w:hAnsi="Times New Roman" w:cs="Times New Roman"/>
          <w:sz w:val="22"/>
          <w:szCs w:val="22"/>
          <w:lang w:val="en-US"/>
        </w:rPr>
        <w:t>studi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empirici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sugli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effetti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della</w:t>
      </w:r>
      <w:proofErr w:type="spellEnd"/>
      <w:r w:rsidRPr="001C65CA">
        <w:rPr>
          <w:rFonts w:ascii="Times New Roman" w:hAnsi="Times New Roman" w:cs="Times New Roman"/>
          <w:sz w:val="22"/>
          <w:szCs w:val="22"/>
          <w:lang w:val="en-US"/>
        </w:rPr>
        <w:t xml:space="preserve"> disclosure </w:t>
      </w:r>
      <w:proofErr w:type="spellStart"/>
      <w:r w:rsidRPr="001C65CA">
        <w:rPr>
          <w:rFonts w:ascii="Times New Roman" w:hAnsi="Times New Roman" w:cs="Times New Roman"/>
          <w:sz w:val="22"/>
          <w:szCs w:val="22"/>
          <w:lang w:val="en-US"/>
        </w:rPr>
        <w:t>della</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tassonomia</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sulle</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decisioni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degli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investitori</w:t>
      </w:r>
      <w:proofErr w:type="spellEnd"/>
      <w:r w:rsidRPr="001C65CA">
        <w:rPr>
          <w:rFonts w:ascii="Times New Roman" w:hAnsi="Times New Roman" w:cs="Times New Roman"/>
          <w:sz w:val="22"/>
          <w:szCs w:val="22"/>
          <w:lang w:val="en-US"/>
        </w:rPr>
        <w:t xml:space="preserve">, </w:t>
      </w:r>
      <w:proofErr w:type="spellStart"/>
      <w:r w:rsidRPr="001C65CA">
        <w:rPr>
          <w:rFonts w:ascii="Times New Roman" w:hAnsi="Times New Roman" w:cs="Times New Roman"/>
          <w:sz w:val="22"/>
          <w:szCs w:val="22"/>
          <w:lang w:val="en-US"/>
        </w:rPr>
        <w:t>cfr</w:t>
      </w:r>
      <w:proofErr w:type="spellEnd"/>
      <w:r w:rsidRPr="001C65CA">
        <w:rPr>
          <w:rFonts w:ascii="Times New Roman" w:hAnsi="Times New Roman" w:cs="Times New Roman"/>
          <w:sz w:val="22"/>
          <w:szCs w:val="22"/>
          <w:lang w:val="en-US"/>
        </w:rPr>
        <w:t xml:space="preserve">. N. GARCIA-TOREA, M. LUQUE-VÍLCHEZ, P. RODRÍGUEZ-GUTIÉRREZ, </w:t>
      </w:r>
      <w:r w:rsidRPr="001C65CA">
        <w:rPr>
          <w:rFonts w:ascii="Times New Roman" w:hAnsi="Times New Roman" w:cs="Times New Roman"/>
          <w:i/>
          <w:iCs/>
          <w:sz w:val="22"/>
          <w:szCs w:val="22"/>
          <w:lang w:val="en-US"/>
        </w:rPr>
        <w:t>The EU Taxonomy, sustainability reporting and financial institutions: understanding the elements driving regulatory uncertainty</w:t>
      </w:r>
      <w:r w:rsidRPr="001C65CA">
        <w:rPr>
          <w:rFonts w:ascii="Times New Roman" w:hAnsi="Times New Roman" w:cs="Times New Roman"/>
          <w:sz w:val="22"/>
          <w:szCs w:val="22"/>
          <w:lang w:val="en-US"/>
        </w:rPr>
        <w:t xml:space="preserve">, in Accounting in Europe, 2024; M. NIPPER, A. OSTERMAIER, J. THEIS, </w:t>
      </w:r>
      <w:r w:rsidRPr="001C65CA">
        <w:rPr>
          <w:rFonts w:ascii="Times New Roman" w:hAnsi="Times New Roman" w:cs="Times New Roman"/>
          <w:i/>
          <w:iCs/>
          <w:sz w:val="22"/>
          <w:szCs w:val="22"/>
          <w:lang w:val="en-US"/>
        </w:rPr>
        <w:t>Mandatory Disclosure of Standardized Sustainability Metrics: The Case of the EU Taxonomy Regulation</w:t>
      </w:r>
      <w:r w:rsidRPr="001C65CA">
        <w:rPr>
          <w:rFonts w:ascii="Times New Roman" w:hAnsi="Times New Roman" w:cs="Times New Roman"/>
          <w:sz w:val="22"/>
          <w:szCs w:val="22"/>
          <w:lang w:val="en-US"/>
        </w:rPr>
        <w:t xml:space="preserve">, 2022 P. CANFORA, M. ARRANZ PADILLA, O. POLIDORI, N. PICKARD GARCIA, S. OSTOJIC, M. DRI, </w:t>
      </w:r>
      <w:r w:rsidRPr="001C65CA">
        <w:rPr>
          <w:rFonts w:ascii="Times New Roman" w:hAnsi="Times New Roman" w:cs="Times New Roman"/>
          <w:i/>
          <w:iCs/>
          <w:sz w:val="22"/>
          <w:szCs w:val="22"/>
          <w:lang w:val="en-US"/>
        </w:rPr>
        <w:t>Development of the EU Sustainable Finance Taxonomy</w:t>
      </w:r>
      <w:r w:rsidRPr="001C65CA">
        <w:rPr>
          <w:rFonts w:ascii="Times New Roman" w:hAnsi="Times New Roman" w:cs="Times New Roman"/>
          <w:sz w:val="22"/>
          <w:szCs w:val="22"/>
          <w:lang w:val="en-US"/>
        </w:rPr>
        <w:t>, Luxembourg, Publications Office of the European Union, 2022.</w:t>
      </w:r>
    </w:p>
  </w:footnote>
  <w:footnote w:id="50">
    <w:p w14:paraId="3A7A55D8" w14:textId="4D94E4B1" w:rsidR="00DF358B" w:rsidRPr="001C65CA" w:rsidRDefault="00DF358B" w:rsidP="00010023">
      <w:pPr>
        <w:pStyle w:val="Testonotaapidipagina"/>
        <w:spacing w:line="240" w:lineRule="exact"/>
        <w:contextualSpacing/>
        <w:jc w:val="both"/>
        <w:rPr>
          <w:rFonts w:ascii="Times New Roman" w:hAnsi="Times New Roman" w:cs="Times New Roman"/>
          <w:sz w:val="22"/>
          <w:szCs w:val="22"/>
          <w:lang w:val="en-US"/>
        </w:rPr>
      </w:pPr>
      <w:r w:rsidRPr="008F006C">
        <w:rPr>
          <w:rStyle w:val="Rimandonotaapidipagina"/>
          <w:rFonts w:ascii="Times New Roman" w:hAnsi="Times New Roman" w:cs="Times New Roman"/>
          <w:sz w:val="22"/>
          <w:szCs w:val="22"/>
        </w:rPr>
        <w:footnoteRef/>
      </w:r>
      <w:r w:rsidRPr="001C65CA">
        <w:rPr>
          <w:rFonts w:ascii="Times New Roman" w:hAnsi="Times New Roman" w:cs="Times New Roman"/>
          <w:sz w:val="22"/>
          <w:szCs w:val="22"/>
          <w:lang w:val="en-US"/>
        </w:rPr>
        <w:t xml:space="preserve"> E. BROWN WEISS, </w:t>
      </w:r>
      <w:r w:rsidRPr="001C65CA">
        <w:rPr>
          <w:rFonts w:ascii="Times New Roman" w:hAnsi="Times New Roman" w:cs="Times New Roman"/>
          <w:i/>
          <w:iCs/>
          <w:sz w:val="22"/>
          <w:szCs w:val="22"/>
          <w:lang w:val="en-US"/>
        </w:rPr>
        <w:t>In Fairness to Future Generations</w:t>
      </w:r>
      <w:r w:rsidRPr="001C65CA">
        <w:rPr>
          <w:rFonts w:ascii="Times New Roman" w:hAnsi="Times New Roman" w:cs="Times New Roman"/>
          <w:sz w:val="22"/>
          <w:szCs w:val="22"/>
          <w:lang w:val="en-US"/>
        </w:rPr>
        <w:t xml:space="preserve">, Tokyo / New York, 1989; E. BROWN WEISS, </w:t>
      </w:r>
      <w:r w:rsidRPr="001C65CA">
        <w:rPr>
          <w:rFonts w:ascii="Times New Roman" w:hAnsi="Times New Roman" w:cs="Times New Roman"/>
          <w:i/>
          <w:iCs/>
          <w:sz w:val="22"/>
          <w:szCs w:val="22"/>
          <w:lang w:val="en-US"/>
        </w:rPr>
        <w:t>Intergenerational Equity and the Environment</w:t>
      </w:r>
      <w:r w:rsidRPr="001C65CA">
        <w:rPr>
          <w:rFonts w:ascii="Times New Roman" w:hAnsi="Times New Roman" w:cs="Times New Roman"/>
          <w:sz w:val="22"/>
          <w:szCs w:val="22"/>
          <w:lang w:val="en-US"/>
        </w:rPr>
        <w:t xml:space="preserve">, in </w:t>
      </w:r>
      <w:r w:rsidRPr="001C65CA">
        <w:rPr>
          <w:rFonts w:ascii="Times New Roman" w:hAnsi="Times New Roman" w:cs="Times New Roman"/>
          <w:i/>
          <w:iCs/>
          <w:sz w:val="22"/>
          <w:szCs w:val="22"/>
          <w:lang w:val="en-US"/>
        </w:rPr>
        <w:t>Georgetown Law Journal, 1992</w:t>
      </w:r>
      <w:r w:rsidRPr="001C65CA">
        <w:rPr>
          <w:rFonts w:ascii="Times New Roman" w:hAnsi="Times New Roman" w:cs="Times New Roman"/>
          <w:sz w:val="22"/>
          <w:szCs w:val="22"/>
          <w:lang w:val="en-US"/>
        </w:rPr>
        <w:t xml:space="preserve">; J. Rawls, </w:t>
      </w:r>
      <w:r w:rsidRPr="001C65CA">
        <w:rPr>
          <w:rFonts w:ascii="Times New Roman" w:hAnsi="Times New Roman" w:cs="Times New Roman"/>
          <w:i/>
          <w:iCs/>
          <w:sz w:val="22"/>
          <w:szCs w:val="22"/>
          <w:lang w:val="en-US"/>
        </w:rPr>
        <w:t>A Theory of Justice</w:t>
      </w:r>
      <w:r w:rsidRPr="001C65CA">
        <w:rPr>
          <w:rFonts w:ascii="Times New Roman" w:hAnsi="Times New Roman" w:cs="Times New Roman"/>
          <w:sz w:val="22"/>
          <w:szCs w:val="22"/>
          <w:lang w:val="en-US"/>
        </w:rPr>
        <w:t>, Cambridge, 1971 (principio del “just savings”).</w:t>
      </w:r>
    </w:p>
    <w:p w14:paraId="023C1E55" w14:textId="77777777" w:rsidR="00DF358B" w:rsidRPr="001C65CA" w:rsidRDefault="00DF358B" w:rsidP="00010023">
      <w:pPr>
        <w:pStyle w:val="Testonotaapidipagina"/>
        <w:spacing w:line="240" w:lineRule="exact"/>
        <w:contextualSpacing/>
        <w:rPr>
          <w:lang w:val="en-US"/>
        </w:rPr>
      </w:pPr>
    </w:p>
  </w:footnote>
  <w:footnote w:id="51">
    <w:p w14:paraId="576454B5" w14:textId="77777777" w:rsidR="00DF358B" w:rsidRPr="00403BDF" w:rsidRDefault="00DF358B" w:rsidP="00010023">
      <w:pPr>
        <w:pStyle w:val="Testonotaapidipagina"/>
        <w:spacing w:line="240" w:lineRule="exact"/>
        <w:contextualSpacing/>
        <w:jc w:val="both"/>
        <w:rPr>
          <w:rFonts w:ascii="Times New Roman" w:hAnsi="Times New Roman" w:cs="Times New Roman"/>
          <w:sz w:val="22"/>
          <w:szCs w:val="22"/>
        </w:rPr>
      </w:pPr>
      <w:r w:rsidRPr="00403BDF">
        <w:rPr>
          <w:rStyle w:val="Rimandonotaapidipagina"/>
          <w:rFonts w:ascii="Times New Roman" w:hAnsi="Times New Roman" w:cs="Times New Roman"/>
          <w:sz w:val="22"/>
          <w:szCs w:val="22"/>
        </w:rPr>
        <w:footnoteRef/>
      </w:r>
      <w:r w:rsidRPr="00403BDF">
        <w:rPr>
          <w:rFonts w:ascii="Times New Roman" w:hAnsi="Times New Roman" w:cs="Times New Roman"/>
          <w:sz w:val="22"/>
          <w:szCs w:val="22"/>
        </w:rPr>
        <w:t xml:space="preserve"> Sulla governance economica e regolatoria attraverso gli atti di soft </w:t>
      </w:r>
      <w:proofErr w:type="spellStart"/>
      <w:r w:rsidRPr="00403BDF">
        <w:rPr>
          <w:rFonts w:ascii="Times New Roman" w:hAnsi="Times New Roman" w:cs="Times New Roman"/>
          <w:sz w:val="22"/>
          <w:szCs w:val="22"/>
        </w:rPr>
        <w:t>law</w:t>
      </w:r>
      <w:proofErr w:type="spellEnd"/>
      <w:r w:rsidRPr="00403BDF">
        <w:rPr>
          <w:rFonts w:ascii="Times New Roman" w:hAnsi="Times New Roman" w:cs="Times New Roman"/>
          <w:sz w:val="22"/>
          <w:szCs w:val="22"/>
        </w:rPr>
        <w:t xml:space="preserve">, cfr. G. DELLA CANANEA, </w:t>
      </w:r>
      <w:r w:rsidRPr="00403BDF">
        <w:rPr>
          <w:rFonts w:ascii="Times New Roman" w:hAnsi="Times New Roman" w:cs="Times New Roman"/>
          <w:i/>
          <w:iCs/>
          <w:sz w:val="22"/>
          <w:szCs w:val="22"/>
        </w:rPr>
        <w:t xml:space="preserve">The </w:t>
      </w:r>
      <w:proofErr w:type="spellStart"/>
      <w:r w:rsidRPr="00403BDF">
        <w:rPr>
          <w:rFonts w:ascii="Times New Roman" w:hAnsi="Times New Roman" w:cs="Times New Roman"/>
          <w:i/>
          <w:iCs/>
          <w:sz w:val="22"/>
          <w:szCs w:val="22"/>
        </w:rPr>
        <w:t>European</w:t>
      </w:r>
      <w:proofErr w:type="spellEnd"/>
      <w:r w:rsidRPr="00403BDF">
        <w:rPr>
          <w:rFonts w:ascii="Times New Roman" w:hAnsi="Times New Roman" w:cs="Times New Roman"/>
          <w:i/>
          <w:iCs/>
          <w:sz w:val="22"/>
          <w:szCs w:val="22"/>
        </w:rPr>
        <w:t xml:space="preserve"> </w:t>
      </w:r>
      <w:proofErr w:type="spellStart"/>
      <w:r w:rsidRPr="00403BDF">
        <w:rPr>
          <w:rFonts w:ascii="Times New Roman" w:hAnsi="Times New Roman" w:cs="Times New Roman"/>
          <w:i/>
          <w:iCs/>
          <w:sz w:val="22"/>
          <w:szCs w:val="22"/>
        </w:rPr>
        <w:t>Union’s</w:t>
      </w:r>
      <w:proofErr w:type="spellEnd"/>
      <w:r w:rsidRPr="00403BDF">
        <w:rPr>
          <w:rFonts w:ascii="Times New Roman" w:hAnsi="Times New Roman" w:cs="Times New Roman"/>
          <w:i/>
          <w:iCs/>
          <w:sz w:val="22"/>
          <w:szCs w:val="22"/>
        </w:rPr>
        <w:t xml:space="preserve"> Mixed </w:t>
      </w:r>
      <w:proofErr w:type="spellStart"/>
      <w:r w:rsidRPr="00403BDF">
        <w:rPr>
          <w:rFonts w:ascii="Times New Roman" w:hAnsi="Times New Roman" w:cs="Times New Roman"/>
          <w:i/>
          <w:iCs/>
          <w:sz w:val="22"/>
          <w:szCs w:val="22"/>
        </w:rPr>
        <w:t>Administrative</w:t>
      </w:r>
      <w:proofErr w:type="spellEnd"/>
      <w:r w:rsidRPr="00403BDF">
        <w:rPr>
          <w:rFonts w:ascii="Times New Roman" w:hAnsi="Times New Roman" w:cs="Times New Roman"/>
          <w:i/>
          <w:iCs/>
          <w:sz w:val="22"/>
          <w:szCs w:val="22"/>
        </w:rPr>
        <w:t xml:space="preserve"> </w:t>
      </w:r>
      <w:proofErr w:type="spellStart"/>
      <w:r w:rsidRPr="00403BDF">
        <w:rPr>
          <w:rFonts w:ascii="Times New Roman" w:hAnsi="Times New Roman" w:cs="Times New Roman"/>
          <w:i/>
          <w:iCs/>
          <w:sz w:val="22"/>
          <w:szCs w:val="22"/>
        </w:rPr>
        <w:t>Proceedings</w:t>
      </w:r>
      <w:proofErr w:type="spellEnd"/>
      <w:r w:rsidRPr="00403BDF">
        <w:rPr>
          <w:rFonts w:ascii="Times New Roman" w:hAnsi="Times New Roman" w:cs="Times New Roman"/>
          <w:sz w:val="22"/>
          <w:szCs w:val="22"/>
        </w:rPr>
        <w:t xml:space="preserve">, in </w:t>
      </w:r>
      <w:proofErr w:type="spellStart"/>
      <w:r w:rsidRPr="00403BDF">
        <w:rPr>
          <w:rFonts w:ascii="Times New Roman" w:hAnsi="Times New Roman" w:cs="Times New Roman"/>
          <w:sz w:val="22"/>
          <w:szCs w:val="22"/>
        </w:rPr>
        <w:t>Law</w:t>
      </w:r>
      <w:proofErr w:type="spellEnd"/>
      <w:r w:rsidRPr="00403BDF">
        <w:rPr>
          <w:rFonts w:ascii="Times New Roman" w:hAnsi="Times New Roman" w:cs="Times New Roman"/>
          <w:sz w:val="22"/>
          <w:szCs w:val="22"/>
        </w:rPr>
        <w:t xml:space="preserve"> and Contemporary </w:t>
      </w:r>
      <w:proofErr w:type="spellStart"/>
      <w:r w:rsidRPr="00403BDF">
        <w:rPr>
          <w:rFonts w:ascii="Times New Roman" w:hAnsi="Times New Roman" w:cs="Times New Roman"/>
          <w:sz w:val="22"/>
          <w:szCs w:val="22"/>
        </w:rPr>
        <w:t>Problems</w:t>
      </w:r>
      <w:proofErr w:type="spellEnd"/>
      <w:r w:rsidRPr="00403BDF">
        <w:rPr>
          <w:rFonts w:ascii="Times New Roman" w:hAnsi="Times New Roman" w:cs="Times New Roman"/>
          <w:sz w:val="22"/>
          <w:szCs w:val="22"/>
        </w:rPr>
        <w:t>, 2004, pp. 197-217; E. CHITI</w:t>
      </w:r>
      <w:r w:rsidRPr="008F006C">
        <w:rPr>
          <w:rFonts w:ascii="Times New Roman" w:hAnsi="Times New Roman" w:cs="Times New Roman"/>
          <w:sz w:val="22"/>
          <w:szCs w:val="22"/>
        </w:rPr>
        <w:t xml:space="preserve">, </w:t>
      </w:r>
      <w:r w:rsidRPr="008F006C">
        <w:rPr>
          <w:rFonts w:ascii="Times New Roman" w:hAnsi="Times New Roman" w:cs="Times New Roman"/>
          <w:i/>
          <w:iCs/>
          <w:sz w:val="22"/>
          <w:szCs w:val="22"/>
        </w:rPr>
        <w:t>Soft Law e regolazione dei mercati nell’Unione europea</w:t>
      </w:r>
      <w:r w:rsidRPr="008F006C">
        <w:rPr>
          <w:rFonts w:ascii="Times New Roman" w:hAnsi="Times New Roman" w:cs="Times New Roman"/>
          <w:sz w:val="22"/>
          <w:szCs w:val="22"/>
        </w:rPr>
        <w:t xml:space="preserve">, in </w:t>
      </w:r>
      <w:r w:rsidRPr="00B92F51">
        <w:rPr>
          <w:rFonts w:ascii="Times New Roman" w:hAnsi="Times New Roman" w:cs="Times New Roman"/>
          <w:i/>
          <w:iCs/>
          <w:sz w:val="22"/>
          <w:szCs w:val="22"/>
        </w:rPr>
        <w:t>Rivista trimestrale di diritto pubblico</w:t>
      </w:r>
      <w:r w:rsidRPr="008F006C">
        <w:rPr>
          <w:rFonts w:ascii="Times New Roman" w:hAnsi="Times New Roman" w:cs="Times New Roman"/>
          <w:sz w:val="22"/>
          <w:szCs w:val="22"/>
        </w:rPr>
        <w:t>, 2009</w:t>
      </w:r>
      <w:r w:rsidRPr="00403BDF">
        <w:rPr>
          <w:rFonts w:ascii="Times New Roman" w:hAnsi="Times New Roman" w:cs="Times New Roman"/>
          <w:sz w:val="22"/>
          <w:szCs w:val="22"/>
        </w:rPr>
        <w:t>; S. CASSESE</w:t>
      </w:r>
      <w:r w:rsidRPr="008F006C">
        <w:rPr>
          <w:rFonts w:ascii="Times New Roman" w:hAnsi="Times New Roman" w:cs="Times New Roman"/>
          <w:sz w:val="22"/>
          <w:szCs w:val="22"/>
        </w:rPr>
        <w:t xml:space="preserve">, </w:t>
      </w:r>
      <w:r w:rsidRPr="008F006C">
        <w:rPr>
          <w:rFonts w:ascii="Times New Roman" w:hAnsi="Times New Roman" w:cs="Times New Roman"/>
          <w:i/>
          <w:iCs/>
          <w:sz w:val="22"/>
          <w:szCs w:val="22"/>
        </w:rPr>
        <w:t xml:space="preserve">Global Standards for National </w:t>
      </w:r>
      <w:proofErr w:type="spellStart"/>
      <w:r w:rsidRPr="008F006C">
        <w:rPr>
          <w:rFonts w:ascii="Times New Roman" w:hAnsi="Times New Roman" w:cs="Times New Roman"/>
          <w:i/>
          <w:iCs/>
          <w:sz w:val="22"/>
          <w:szCs w:val="22"/>
        </w:rPr>
        <w:t>Administrative</w:t>
      </w:r>
      <w:proofErr w:type="spellEnd"/>
      <w:r w:rsidRPr="008F006C">
        <w:rPr>
          <w:rFonts w:ascii="Times New Roman" w:hAnsi="Times New Roman" w:cs="Times New Roman"/>
          <w:i/>
          <w:iCs/>
          <w:sz w:val="22"/>
          <w:szCs w:val="22"/>
        </w:rPr>
        <w:t xml:space="preserve"> Procedure</w:t>
      </w:r>
      <w:r w:rsidRPr="008F006C">
        <w:rPr>
          <w:rFonts w:ascii="Times New Roman" w:hAnsi="Times New Roman" w:cs="Times New Roman"/>
          <w:sz w:val="22"/>
          <w:szCs w:val="22"/>
        </w:rPr>
        <w:t xml:space="preserve">, </w:t>
      </w:r>
      <w:r w:rsidRPr="008F006C">
        <w:rPr>
          <w:rFonts w:ascii="Times New Roman" w:hAnsi="Times New Roman" w:cs="Times New Roman"/>
          <w:i/>
          <w:iCs/>
          <w:sz w:val="22"/>
          <w:szCs w:val="22"/>
        </w:rPr>
        <w:t xml:space="preserve">in </w:t>
      </w:r>
      <w:proofErr w:type="spellStart"/>
      <w:r w:rsidRPr="008F006C">
        <w:rPr>
          <w:rFonts w:ascii="Times New Roman" w:hAnsi="Times New Roman" w:cs="Times New Roman"/>
          <w:i/>
          <w:iCs/>
          <w:sz w:val="22"/>
          <w:szCs w:val="22"/>
        </w:rPr>
        <w:t>Law</w:t>
      </w:r>
      <w:proofErr w:type="spellEnd"/>
      <w:r w:rsidRPr="008F006C">
        <w:rPr>
          <w:rFonts w:ascii="Times New Roman" w:hAnsi="Times New Roman" w:cs="Times New Roman"/>
          <w:i/>
          <w:iCs/>
          <w:sz w:val="22"/>
          <w:szCs w:val="22"/>
        </w:rPr>
        <w:t xml:space="preserve"> and Contemporary </w:t>
      </w:r>
      <w:proofErr w:type="spellStart"/>
      <w:r w:rsidRPr="008F006C">
        <w:rPr>
          <w:rFonts w:ascii="Times New Roman" w:hAnsi="Times New Roman" w:cs="Times New Roman"/>
          <w:i/>
          <w:iCs/>
          <w:sz w:val="22"/>
          <w:szCs w:val="22"/>
        </w:rPr>
        <w:t>Problems</w:t>
      </w:r>
      <w:proofErr w:type="spellEnd"/>
      <w:r w:rsidRPr="008F006C">
        <w:rPr>
          <w:rFonts w:ascii="Times New Roman" w:hAnsi="Times New Roman" w:cs="Times New Roman"/>
          <w:sz w:val="22"/>
          <w:szCs w:val="22"/>
        </w:rPr>
        <w:t>, 2005.</w:t>
      </w:r>
    </w:p>
  </w:footnote>
  <w:footnote w:id="52">
    <w:p w14:paraId="3F127594" w14:textId="77777777" w:rsidR="00DF358B" w:rsidRPr="00403BDF" w:rsidRDefault="00DF358B" w:rsidP="00010023">
      <w:pPr>
        <w:pStyle w:val="Testonotaapidipagina"/>
        <w:spacing w:line="240" w:lineRule="exact"/>
        <w:contextualSpacing/>
        <w:jc w:val="both"/>
        <w:rPr>
          <w:rFonts w:ascii="Times New Roman" w:hAnsi="Times New Roman" w:cs="Times New Roman"/>
          <w:sz w:val="22"/>
          <w:szCs w:val="22"/>
        </w:rPr>
      </w:pPr>
      <w:r w:rsidRPr="00403BDF">
        <w:rPr>
          <w:rStyle w:val="Rimandonotaapidipagina"/>
          <w:rFonts w:ascii="Times New Roman" w:hAnsi="Times New Roman" w:cs="Times New Roman"/>
          <w:sz w:val="22"/>
          <w:szCs w:val="22"/>
        </w:rPr>
        <w:footnoteRef/>
      </w:r>
      <w:r w:rsidRPr="00403BDF">
        <w:rPr>
          <w:rFonts w:ascii="Times New Roman" w:hAnsi="Times New Roman" w:cs="Times New Roman"/>
          <w:sz w:val="22"/>
          <w:szCs w:val="22"/>
        </w:rPr>
        <w:t xml:space="preserve"> Sulla Riforma Costituzionale, si v. L. VIOLINI, </w:t>
      </w:r>
      <w:r w:rsidRPr="00403BDF">
        <w:rPr>
          <w:rFonts w:ascii="Times New Roman" w:hAnsi="Times New Roman" w:cs="Times New Roman"/>
          <w:i/>
          <w:iCs/>
          <w:sz w:val="22"/>
          <w:szCs w:val="22"/>
        </w:rPr>
        <w:t>La riforma degli articoli 9 e 41 della Costituzione e la tutela dell’ambiente</w:t>
      </w:r>
      <w:r w:rsidRPr="00403BDF">
        <w:rPr>
          <w:rFonts w:ascii="Times New Roman" w:hAnsi="Times New Roman" w:cs="Times New Roman"/>
          <w:sz w:val="22"/>
          <w:szCs w:val="22"/>
        </w:rPr>
        <w:t xml:space="preserve">; F. RESCIGNO, </w:t>
      </w:r>
      <w:r w:rsidRPr="00403BDF">
        <w:rPr>
          <w:rFonts w:ascii="Times New Roman" w:hAnsi="Times New Roman" w:cs="Times New Roman"/>
          <w:i/>
          <w:iCs/>
          <w:sz w:val="22"/>
          <w:szCs w:val="22"/>
        </w:rPr>
        <w:t>La tutela dell’ambiente nella Costituzione italiana dopo la legge costituzionale n. 1/2022</w:t>
      </w:r>
      <w:r w:rsidRPr="00403BDF">
        <w:rPr>
          <w:rFonts w:ascii="Times New Roman" w:hAnsi="Times New Roman" w:cs="Times New Roman"/>
          <w:sz w:val="22"/>
          <w:szCs w:val="22"/>
        </w:rPr>
        <w:t xml:space="preserve">; G. AZZARITI, </w:t>
      </w:r>
      <w:r w:rsidRPr="00403BDF">
        <w:rPr>
          <w:rFonts w:ascii="Times New Roman" w:hAnsi="Times New Roman" w:cs="Times New Roman"/>
          <w:i/>
          <w:iCs/>
          <w:sz w:val="22"/>
          <w:szCs w:val="22"/>
        </w:rPr>
        <w:t>Ambiente e Costituzione: il significato della riforma del 2022</w:t>
      </w:r>
      <w:r w:rsidRPr="00403BDF">
        <w:rPr>
          <w:rFonts w:ascii="Times New Roman" w:hAnsi="Times New Roman" w:cs="Times New Roman"/>
          <w:sz w:val="22"/>
          <w:szCs w:val="22"/>
        </w:rPr>
        <w:t>.</w:t>
      </w:r>
    </w:p>
  </w:footnote>
  <w:footnote w:id="53">
    <w:p w14:paraId="1A7E9737" w14:textId="230ED954"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403BDF">
        <w:rPr>
          <w:rStyle w:val="Rimandonotaapidipagina"/>
          <w:rFonts w:ascii="Times New Roman" w:hAnsi="Times New Roman" w:cs="Times New Roman"/>
          <w:sz w:val="22"/>
          <w:szCs w:val="22"/>
        </w:rPr>
        <w:footnoteRef/>
      </w:r>
      <w:r w:rsidRPr="00403BDF">
        <w:rPr>
          <w:rFonts w:ascii="Times New Roman" w:hAnsi="Times New Roman" w:cs="Times New Roman"/>
          <w:sz w:val="22"/>
          <w:szCs w:val="22"/>
        </w:rPr>
        <w:t xml:space="preserve"> Sulla responsabilità intergenerazionale si cfr. C. TRIPODINA, </w:t>
      </w:r>
      <w:r w:rsidRPr="00403BDF">
        <w:rPr>
          <w:rFonts w:ascii="Times New Roman" w:hAnsi="Times New Roman" w:cs="Times New Roman"/>
          <w:i/>
          <w:iCs/>
          <w:sz w:val="22"/>
          <w:szCs w:val="22"/>
        </w:rPr>
        <w:t>La tutela dell’ambiente nella Costituzione italiana: tra interessi delle generazioni future e responsabilità della generazione presente</w:t>
      </w:r>
      <w:r w:rsidRPr="00403BDF">
        <w:rPr>
          <w:rFonts w:ascii="Times New Roman" w:hAnsi="Times New Roman" w:cs="Times New Roman"/>
          <w:sz w:val="22"/>
          <w:szCs w:val="22"/>
        </w:rPr>
        <w:t xml:space="preserve">, in </w:t>
      </w:r>
      <w:r w:rsidRPr="00B92F51">
        <w:rPr>
          <w:rFonts w:ascii="Times New Roman" w:hAnsi="Times New Roman" w:cs="Times New Roman"/>
          <w:i/>
          <w:iCs/>
          <w:sz w:val="22"/>
          <w:szCs w:val="22"/>
        </w:rPr>
        <w:t>Rivista quadrimestrale di diritto dell’ambiente</w:t>
      </w:r>
      <w:r w:rsidRPr="00403BDF">
        <w:rPr>
          <w:rFonts w:ascii="Times New Roman" w:hAnsi="Times New Roman" w:cs="Times New Roman"/>
          <w:sz w:val="22"/>
          <w:szCs w:val="22"/>
        </w:rPr>
        <w:t xml:space="preserve">, 2023; C. ADAMO, </w:t>
      </w:r>
      <w:r w:rsidRPr="00403BDF">
        <w:rPr>
          <w:rFonts w:ascii="Times New Roman" w:hAnsi="Times New Roman" w:cs="Times New Roman"/>
          <w:i/>
          <w:iCs/>
          <w:sz w:val="22"/>
          <w:szCs w:val="22"/>
        </w:rPr>
        <w:t>Responsabilità intergenerazionale per la tutela ambientale e garanzie giurisdizionali. Il rilievo delle aree protette</w:t>
      </w:r>
      <w:r w:rsidRPr="00403BDF">
        <w:rPr>
          <w:rFonts w:ascii="Times New Roman" w:hAnsi="Times New Roman" w:cs="Times New Roman"/>
          <w:sz w:val="22"/>
          <w:szCs w:val="22"/>
        </w:rPr>
        <w:t xml:space="preserve">, in </w:t>
      </w:r>
      <w:proofErr w:type="spellStart"/>
      <w:r w:rsidRPr="00B92F51">
        <w:rPr>
          <w:rFonts w:ascii="Times New Roman" w:hAnsi="Times New Roman" w:cs="Times New Roman"/>
          <w:i/>
          <w:iCs/>
          <w:sz w:val="22"/>
          <w:szCs w:val="22"/>
        </w:rPr>
        <w:t>AmbienteDiritto</w:t>
      </w:r>
      <w:proofErr w:type="spellEnd"/>
      <w:r w:rsidRPr="00403BDF">
        <w:rPr>
          <w:rFonts w:ascii="Times New Roman" w:hAnsi="Times New Roman" w:cs="Times New Roman"/>
          <w:sz w:val="22"/>
          <w:szCs w:val="22"/>
        </w:rPr>
        <w:t>, 2024</w:t>
      </w:r>
      <w:r>
        <w:rPr>
          <w:rFonts w:ascii="Times New Roman" w:hAnsi="Times New Roman" w:cs="Times New Roman"/>
          <w:sz w:val="22"/>
          <w:szCs w:val="22"/>
        </w:rPr>
        <w:t xml:space="preserve">; </w:t>
      </w:r>
      <w:r w:rsidRPr="00403BDF">
        <w:rPr>
          <w:rFonts w:ascii="Times New Roman" w:hAnsi="Times New Roman" w:cs="Times New Roman"/>
          <w:sz w:val="22"/>
          <w:szCs w:val="22"/>
        </w:rPr>
        <w:t xml:space="preserve">V. TOFFALETTI, </w:t>
      </w:r>
      <w:r w:rsidRPr="00403BDF">
        <w:rPr>
          <w:rFonts w:ascii="Times New Roman" w:hAnsi="Times New Roman" w:cs="Times New Roman"/>
          <w:i/>
          <w:iCs/>
          <w:sz w:val="22"/>
          <w:szCs w:val="22"/>
        </w:rPr>
        <w:t>Giudizio amministrativo e tutela delle future generazioni in materia ambientale: riflessioni sull’accesso alla giustizia</w:t>
      </w:r>
      <w:r w:rsidRPr="00403BDF">
        <w:rPr>
          <w:rFonts w:ascii="Times New Roman" w:hAnsi="Times New Roman" w:cs="Times New Roman"/>
          <w:sz w:val="22"/>
          <w:szCs w:val="22"/>
        </w:rPr>
        <w:t xml:space="preserve">, 2025; S. TORALDO, </w:t>
      </w:r>
      <w:r w:rsidRPr="00403BDF">
        <w:rPr>
          <w:rFonts w:ascii="Times New Roman" w:hAnsi="Times New Roman" w:cs="Times New Roman"/>
          <w:i/>
          <w:iCs/>
          <w:sz w:val="22"/>
          <w:szCs w:val="22"/>
        </w:rPr>
        <w:t>Il diritto a un ambiente sano e la tutela delle generazioni future: nuove prospettive</w:t>
      </w:r>
      <w:r w:rsidRPr="00403BDF">
        <w:rPr>
          <w:rFonts w:ascii="Times New Roman" w:hAnsi="Times New Roman" w:cs="Times New Roman"/>
          <w:sz w:val="22"/>
          <w:szCs w:val="22"/>
        </w:rPr>
        <w:t xml:space="preserve">, 2024. </w:t>
      </w:r>
    </w:p>
  </w:footnote>
  <w:footnote w:id="54">
    <w:p w14:paraId="33972987" w14:textId="35F5CC7A"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Pr>
          <w:rStyle w:val="Rimandonotaapidipagina"/>
        </w:rPr>
        <w:footnoteRef/>
      </w:r>
      <w:r>
        <w:t xml:space="preserve"> </w:t>
      </w:r>
      <w:r w:rsidRPr="00010023">
        <w:rPr>
          <w:rFonts w:ascii="Times New Roman" w:hAnsi="Times New Roman" w:cs="Times New Roman"/>
          <w:sz w:val="22"/>
          <w:szCs w:val="22"/>
        </w:rPr>
        <w:t xml:space="preserve">L’art. 31 del D. Lgs. 199/2021, infatti, riconosce a tutti i consumatori, inclusi quelli appartenenti a famiglie a basso reddito o vulnerabili, il diritto di partecipare a una comunità energetica rinnovabile, senza vincoli censitari e prevedendo che eventuali quote associative non possano risultare gravose. Le CER devono operare con impianti sotto il controllo della comunità, privilegiare l’autoconsumo istantaneo e la condivisione tra membri, consentire la vendita dell’energia eccedente, utilizzare la rete di distribuzione entro la stessa zona di mercato, e rispettare limiti di potenza per impianti preesistenti. Possono inoltre produrre energia da altre fonti rinnovabili, promuovere efficienza energetica e domotica, offrire servizi di ricarica per veicoli elettrici, assumere ruolo di vendita al dettaglio e fornire servizi ancillari e di flessibilità. Cfr. M. PANE, A. GHISI, </w:t>
      </w:r>
      <w:r w:rsidRPr="00010023">
        <w:rPr>
          <w:rFonts w:ascii="Times New Roman" w:hAnsi="Times New Roman" w:cs="Times New Roman"/>
          <w:i/>
          <w:iCs/>
          <w:sz w:val="22"/>
          <w:szCs w:val="22"/>
        </w:rPr>
        <w:t>Comunità Energetiche rinnovabili: la forma giuridica più utile per accedere a benefici fiscali e contributi GSE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Fisco</w:t>
      </w:r>
      <w:r w:rsidRPr="00010023">
        <w:rPr>
          <w:rFonts w:ascii="Times New Roman" w:hAnsi="Times New Roman" w:cs="Times New Roman"/>
          <w:sz w:val="22"/>
          <w:szCs w:val="22"/>
        </w:rPr>
        <w:t>, 2022, 29.</w:t>
      </w:r>
    </w:p>
  </w:footnote>
  <w:footnote w:id="55">
    <w:p w14:paraId="741C779C" w14:textId="45E3544F"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E. D’ALBERGO, </w:t>
      </w:r>
      <w:r w:rsidRPr="00010023">
        <w:rPr>
          <w:rFonts w:ascii="Times New Roman" w:hAnsi="Times New Roman" w:cs="Times New Roman"/>
          <w:i/>
          <w:iCs/>
          <w:sz w:val="22"/>
          <w:szCs w:val="22"/>
        </w:rPr>
        <w:t>Modelli di governance e cambiamento culturale</w:t>
      </w:r>
      <w:r w:rsidRPr="00010023">
        <w:rPr>
          <w:rFonts w:ascii="Times New Roman" w:hAnsi="Times New Roman" w:cs="Times New Roman"/>
          <w:sz w:val="22"/>
          <w:szCs w:val="22"/>
        </w:rPr>
        <w:t xml:space="preserve">, in F. Battistelli (a cura di), Franco Angeli, Milano, 2002; P. DE PASCALI, A. BAGAINI, </w:t>
      </w:r>
      <w:r w:rsidRPr="00010023">
        <w:rPr>
          <w:rFonts w:ascii="Times New Roman" w:hAnsi="Times New Roman" w:cs="Times New Roman"/>
          <w:i/>
          <w:iCs/>
          <w:sz w:val="22"/>
          <w:szCs w:val="22"/>
        </w:rPr>
        <w:t xml:space="preserve">Energy </w:t>
      </w:r>
      <w:proofErr w:type="spellStart"/>
      <w:r w:rsidRPr="00010023">
        <w:rPr>
          <w:rFonts w:ascii="Times New Roman" w:hAnsi="Times New Roman" w:cs="Times New Roman"/>
          <w:i/>
          <w:iCs/>
          <w:sz w:val="22"/>
          <w:szCs w:val="22"/>
        </w:rPr>
        <w:t>transition</w:t>
      </w:r>
      <w:proofErr w:type="spellEnd"/>
      <w:r w:rsidRPr="00010023">
        <w:rPr>
          <w:rFonts w:ascii="Times New Roman" w:hAnsi="Times New Roman" w:cs="Times New Roman"/>
          <w:i/>
          <w:iCs/>
          <w:sz w:val="22"/>
          <w:szCs w:val="22"/>
        </w:rPr>
        <w:t xml:space="preserve"> and </w:t>
      </w:r>
      <w:proofErr w:type="spellStart"/>
      <w:r w:rsidRPr="00010023">
        <w:rPr>
          <w:rFonts w:ascii="Times New Roman" w:hAnsi="Times New Roman" w:cs="Times New Roman"/>
          <w:i/>
          <w:iCs/>
          <w:sz w:val="22"/>
          <w:szCs w:val="22"/>
        </w:rPr>
        <w:t>urban</w:t>
      </w:r>
      <w:proofErr w:type="spellEnd"/>
      <w:r w:rsidRPr="00010023">
        <w:rPr>
          <w:rFonts w:ascii="Times New Roman" w:hAnsi="Times New Roman" w:cs="Times New Roman"/>
          <w:i/>
          <w:iCs/>
          <w:sz w:val="22"/>
          <w:szCs w:val="22"/>
        </w:rPr>
        <w:t xml:space="preserve"> planning for </w:t>
      </w:r>
      <w:proofErr w:type="spellStart"/>
      <w:r w:rsidRPr="00010023">
        <w:rPr>
          <w:rFonts w:ascii="Times New Roman" w:hAnsi="Times New Roman" w:cs="Times New Roman"/>
          <w:i/>
          <w:iCs/>
          <w:sz w:val="22"/>
          <w:szCs w:val="22"/>
        </w:rPr>
        <w:t>local</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development</w:t>
      </w:r>
      <w:proofErr w:type="spellEnd"/>
      <w:r w:rsidRPr="00010023">
        <w:rPr>
          <w:rFonts w:ascii="Times New Roman" w:hAnsi="Times New Roman" w:cs="Times New Roman"/>
          <w:sz w:val="22"/>
          <w:szCs w:val="22"/>
        </w:rPr>
        <w:t xml:space="preserve">, in Energies, 2018; L. DE VIDOVICH, L. TRICARICO, M. ZULIANELLO, </w:t>
      </w:r>
      <w:r w:rsidRPr="00010023">
        <w:rPr>
          <w:rFonts w:ascii="Times New Roman" w:hAnsi="Times New Roman" w:cs="Times New Roman"/>
          <w:i/>
          <w:iCs/>
          <w:sz w:val="22"/>
          <w:szCs w:val="22"/>
        </w:rPr>
        <w:t xml:space="preserve">Community Energy </w:t>
      </w:r>
      <w:proofErr w:type="spellStart"/>
      <w:r w:rsidRPr="00010023">
        <w:rPr>
          <w:rFonts w:ascii="Times New Roman" w:hAnsi="Times New Roman" w:cs="Times New Roman"/>
          <w:i/>
          <w:iCs/>
          <w:sz w:val="22"/>
          <w:szCs w:val="22"/>
        </w:rPr>
        <w:t>Map</w:t>
      </w:r>
      <w:proofErr w:type="spellEnd"/>
      <w:r w:rsidRPr="00010023">
        <w:rPr>
          <w:rFonts w:ascii="Times New Roman" w:hAnsi="Times New Roman" w:cs="Times New Roman"/>
          <w:sz w:val="22"/>
          <w:szCs w:val="22"/>
        </w:rPr>
        <w:t>, Franco Angeli, Milano, 2021.</w:t>
      </w:r>
    </w:p>
  </w:footnote>
  <w:footnote w:id="56">
    <w:p w14:paraId="0581CA45" w14:textId="7FEC62F8"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en-US"/>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en-US"/>
        </w:rPr>
        <w:t xml:space="preserve"> T. BAUWENS, J. DEFOURNY, </w:t>
      </w:r>
      <w:r w:rsidRPr="00010023">
        <w:rPr>
          <w:rFonts w:ascii="Times New Roman" w:hAnsi="Times New Roman" w:cs="Times New Roman"/>
          <w:i/>
          <w:iCs/>
          <w:sz w:val="22"/>
          <w:szCs w:val="22"/>
          <w:lang w:val="en-US"/>
        </w:rPr>
        <w:t>Social capital and mutual versus public benefit: The case of renewable energy cooperatives</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Annals of Public and Cooperative Economics,</w:t>
      </w:r>
      <w:r w:rsidRPr="00010023">
        <w:rPr>
          <w:rFonts w:ascii="Times New Roman" w:hAnsi="Times New Roman" w:cs="Times New Roman"/>
          <w:sz w:val="22"/>
          <w:szCs w:val="22"/>
          <w:lang w:val="en-US"/>
        </w:rPr>
        <w:t xml:space="preserve"> 2017, 88, p. 203–232 ; I. CAMPOS, E. MARÍN-GONZÁLEZ, </w:t>
      </w:r>
      <w:r w:rsidRPr="00010023">
        <w:rPr>
          <w:rFonts w:ascii="Times New Roman" w:hAnsi="Times New Roman" w:cs="Times New Roman"/>
          <w:i/>
          <w:iCs/>
          <w:sz w:val="22"/>
          <w:szCs w:val="22"/>
          <w:lang w:val="en-US"/>
        </w:rPr>
        <w:t xml:space="preserve">People in transitions: Energy citizenship, </w:t>
      </w:r>
      <w:proofErr w:type="spellStart"/>
      <w:r w:rsidRPr="00010023">
        <w:rPr>
          <w:rFonts w:ascii="Times New Roman" w:hAnsi="Times New Roman" w:cs="Times New Roman"/>
          <w:i/>
          <w:iCs/>
          <w:sz w:val="22"/>
          <w:szCs w:val="22"/>
          <w:lang w:val="en-US"/>
        </w:rPr>
        <w:t>prosumerism</w:t>
      </w:r>
      <w:proofErr w:type="spellEnd"/>
      <w:r w:rsidRPr="00010023">
        <w:rPr>
          <w:rFonts w:ascii="Times New Roman" w:hAnsi="Times New Roman" w:cs="Times New Roman"/>
          <w:i/>
          <w:iCs/>
          <w:sz w:val="22"/>
          <w:szCs w:val="22"/>
          <w:lang w:val="en-US"/>
        </w:rPr>
        <w:t xml:space="preserve"> and social movements in Europe</w:t>
      </w:r>
      <w:r w:rsidRPr="00010023">
        <w:rPr>
          <w:rFonts w:ascii="Times New Roman" w:hAnsi="Times New Roman" w:cs="Times New Roman"/>
          <w:sz w:val="22"/>
          <w:szCs w:val="22"/>
          <w:lang w:val="en-US"/>
        </w:rPr>
        <w:t xml:space="preserve">, in Energy Research &amp; Social Science, 2020; C. CANDELISE, G. RUGGIERI, </w:t>
      </w:r>
      <w:r w:rsidRPr="00010023">
        <w:rPr>
          <w:rFonts w:ascii="Times New Roman" w:hAnsi="Times New Roman" w:cs="Times New Roman"/>
          <w:i/>
          <w:iCs/>
          <w:sz w:val="22"/>
          <w:szCs w:val="22"/>
          <w:lang w:val="en-US"/>
        </w:rPr>
        <w:t>The Community Energy Sector in Italy: Historical Perspective and Recent Evolution</w:t>
      </w:r>
      <w:r w:rsidRPr="00010023">
        <w:rPr>
          <w:rFonts w:ascii="Times New Roman" w:hAnsi="Times New Roman" w:cs="Times New Roman"/>
          <w:sz w:val="22"/>
          <w:szCs w:val="22"/>
          <w:lang w:val="en-US"/>
        </w:rPr>
        <w:t xml:space="preserve">, in Coenen F.H., Hoppe T. (a cura di), </w:t>
      </w:r>
      <w:r w:rsidRPr="00010023">
        <w:rPr>
          <w:rFonts w:ascii="Times New Roman" w:hAnsi="Times New Roman" w:cs="Times New Roman"/>
          <w:i/>
          <w:iCs/>
          <w:sz w:val="22"/>
          <w:szCs w:val="22"/>
          <w:lang w:val="en-US"/>
        </w:rPr>
        <w:t>Renewable energy communities and the low carbon energy transition in Europe</w:t>
      </w:r>
      <w:r w:rsidRPr="00010023">
        <w:rPr>
          <w:rFonts w:ascii="Times New Roman" w:hAnsi="Times New Roman" w:cs="Times New Roman"/>
          <w:sz w:val="22"/>
          <w:szCs w:val="22"/>
          <w:lang w:val="en-US"/>
        </w:rPr>
        <w:t xml:space="preserve">, 2021; G. CARROSIO, </w:t>
      </w:r>
      <w:r w:rsidRPr="00010023">
        <w:rPr>
          <w:rFonts w:ascii="Times New Roman" w:hAnsi="Times New Roman" w:cs="Times New Roman"/>
          <w:i/>
          <w:iCs/>
          <w:sz w:val="22"/>
          <w:szCs w:val="22"/>
          <w:lang w:val="en-US"/>
        </w:rPr>
        <w:t xml:space="preserve">La </w:t>
      </w:r>
      <w:proofErr w:type="spellStart"/>
      <w:r w:rsidRPr="00010023">
        <w:rPr>
          <w:rFonts w:ascii="Times New Roman" w:hAnsi="Times New Roman" w:cs="Times New Roman"/>
          <w:i/>
          <w:iCs/>
          <w:sz w:val="22"/>
          <w:szCs w:val="22"/>
          <w:lang w:val="en-US"/>
        </w:rPr>
        <w:t>comunità</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nelle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comunità</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energetiche</w:t>
      </w:r>
      <w:proofErr w:type="spellEnd"/>
      <w:r w:rsidRPr="00010023">
        <w:rPr>
          <w:rFonts w:ascii="Times New Roman" w:hAnsi="Times New Roman" w:cs="Times New Roman"/>
          <w:sz w:val="22"/>
          <w:szCs w:val="22"/>
          <w:lang w:val="en-US"/>
        </w:rPr>
        <w:t>, in “</w:t>
      </w:r>
      <w:proofErr w:type="spellStart"/>
      <w:r w:rsidRPr="00010023">
        <w:rPr>
          <w:rFonts w:ascii="Times New Roman" w:hAnsi="Times New Roman" w:cs="Times New Roman"/>
          <w:sz w:val="22"/>
          <w:szCs w:val="22"/>
          <w:lang w:val="en-US"/>
        </w:rPr>
        <w:t>Parolechiave</w:t>
      </w:r>
      <w:proofErr w:type="spellEnd"/>
      <w:r w:rsidRPr="00010023">
        <w:rPr>
          <w:rFonts w:ascii="Times New Roman" w:hAnsi="Times New Roman" w:cs="Times New Roman"/>
          <w:sz w:val="22"/>
          <w:szCs w:val="22"/>
          <w:lang w:val="en-US"/>
        </w:rPr>
        <w:t xml:space="preserve">”, 2024, p. 147-158; id </w:t>
      </w:r>
      <w:proofErr w:type="spellStart"/>
      <w:r w:rsidRPr="00010023">
        <w:rPr>
          <w:rFonts w:ascii="Times New Roman" w:hAnsi="Times New Roman" w:cs="Times New Roman"/>
          <w:i/>
          <w:iCs/>
          <w:sz w:val="22"/>
          <w:szCs w:val="22"/>
          <w:lang w:val="en-US"/>
        </w:rPr>
        <w:t>Povertà</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energetica</w:t>
      </w:r>
      <w:proofErr w:type="spellEnd"/>
      <w:r w:rsidRPr="00010023">
        <w:rPr>
          <w:rFonts w:ascii="Times New Roman" w:hAnsi="Times New Roman" w:cs="Times New Roman"/>
          <w:i/>
          <w:iCs/>
          <w:sz w:val="22"/>
          <w:szCs w:val="22"/>
          <w:lang w:val="en-US"/>
        </w:rPr>
        <w:t xml:space="preserve">: le </w:t>
      </w:r>
      <w:proofErr w:type="spellStart"/>
      <w:r w:rsidRPr="00010023">
        <w:rPr>
          <w:rFonts w:ascii="Times New Roman" w:hAnsi="Times New Roman" w:cs="Times New Roman"/>
          <w:i/>
          <w:iCs/>
          <w:sz w:val="22"/>
          <w:szCs w:val="22"/>
          <w:lang w:val="en-US"/>
        </w:rPr>
        <w:t>politiche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ambientali</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alla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prova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della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giustizia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sociale</w:t>
      </w:r>
      <w:proofErr w:type="spellEnd"/>
      <w:r w:rsidRPr="00010023">
        <w:rPr>
          <w:rFonts w:ascii="Times New Roman" w:hAnsi="Times New Roman" w:cs="Times New Roman"/>
          <w:sz w:val="22"/>
          <w:szCs w:val="22"/>
          <w:lang w:val="en-US"/>
        </w:rPr>
        <w:t xml:space="preserve">, in </w:t>
      </w:r>
      <w:proofErr w:type="spellStart"/>
      <w:r w:rsidRPr="00010023">
        <w:rPr>
          <w:rFonts w:ascii="Times New Roman" w:hAnsi="Times New Roman" w:cs="Times New Roman"/>
          <w:i/>
          <w:iCs/>
          <w:sz w:val="22"/>
          <w:szCs w:val="22"/>
          <w:lang w:val="en-US"/>
        </w:rPr>
        <w:t>Rivista</w:t>
      </w:r>
      <w:proofErr w:type="spellEnd"/>
      <w:r w:rsidRPr="00010023">
        <w:rPr>
          <w:rFonts w:ascii="Times New Roman" w:hAnsi="Times New Roman" w:cs="Times New Roman"/>
          <w:i/>
          <w:iCs/>
          <w:sz w:val="22"/>
          <w:szCs w:val="22"/>
          <w:lang w:val="en-US"/>
        </w:rPr>
        <w:t xml:space="preserve"> online di </w:t>
      </w:r>
      <w:proofErr w:type="spellStart"/>
      <w:r w:rsidRPr="00010023">
        <w:rPr>
          <w:rFonts w:ascii="Times New Roman" w:hAnsi="Times New Roman" w:cs="Times New Roman"/>
          <w:i/>
          <w:iCs/>
          <w:sz w:val="22"/>
          <w:szCs w:val="22"/>
          <w:lang w:val="en-US"/>
        </w:rPr>
        <w:t>Urban@it</w:t>
      </w:r>
      <w:proofErr w:type="spellEnd"/>
      <w:r w:rsidRPr="00010023">
        <w:rPr>
          <w:rFonts w:ascii="Times New Roman" w:hAnsi="Times New Roman" w:cs="Times New Roman"/>
          <w:sz w:val="22"/>
          <w:szCs w:val="22"/>
          <w:lang w:val="en-US"/>
        </w:rPr>
        <w:t>, 2020;</w:t>
      </w:r>
      <w:r w:rsidRPr="00010023">
        <w:rPr>
          <w:rFonts w:ascii="Times New Roman" w:eastAsia="Times New Roman" w:hAnsi="Times New Roman" w:cs="Times New Roman"/>
          <w:sz w:val="22"/>
          <w:szCs w:val="22"/>
          <w:lang w:val="en-US"/>
        </w:rPr>
        <w:t xml:space="preserve"> </w:t>
      </w:r>
      <w:r w:rsidRPr="00010023">
        <w:rPr>
          <w:rFonts w:ascii="Times New Roman" w:hAnsi="Times New Roman" w:cs="Times New Roman"/>
          <w:sz w:val="22"/>
          <w:szCs w:val="22"/>
          <w:lang w:val="en-US"/>
        </w:rPr>
        <w:t xml:space="preserve">G.P. CELLA, </w:t>
      </w:r>
      <w:r w:rsidRPr="00010023">
        <w:rPr>
          <w:rFonts w:ascii="Times New Roman" w:hAnsi="Times New Roman" w:cs="Times New Roman"/>
          <w:i/>
          <w:iCs/>
          <w:sz w:val="22"/>
          <w:szCs w:val="22"/>
          <w:lang w:val="en-US"/>
        </w:rPr>
        <w:t xml:space="preserve">Le </w:t>
      </w:r>
      <w:proofErr w:type="spellStart"/>
      <w:r w:rsidRPr="00010023">
        <w:rPr>
          <w:rFonts w:ascii="Times New Roman" w:hAnsi="Times New Roman" w:cs="Times New Roman"/>
          <w:i/>
          <w:iCs/>
          <w:sz w:val="22"/>
          <w:szCs w:val="22"/>
          <w:lang w:val="en-US"/>
        </w:rPr>
        <w:t>tre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forme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dello</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scambio</w:t>
      </w:r>
      <w:proofErr w:type="spellEnd"/>
      <w:r w:rsidRPr="00010023">
        <w:rPr>
          <w:rFonts w:ascii="Times New Roman" w:hAnsi="Times New Roman" w:cs="Times New Roman"/>
          <w:i/>
          <w:iCs/>
          <w:sz w:val="22"/>
          <w:szCs w:val="22"/>
          <w:lang w:val="en-US"/>
        </w:rPr>
        <w:t xml:space="preserve">. </w:t>
      </w:r>
      <w:r w:rsidRPr="00010023">
        <w:rPr>
          <w:rFonts w:ascii="Times New Roman" w:hAnsi="Times New Roman" w:cs="Times New Roman"/>
          <w:i/>
          <w:iCs/>
          <w:sz w:val="22"/>
          <w:szCs w:val="22"/>
        </w:rPr>
        <w:t>Reciprocità, politica, mercato a partire da Karl Polanyi</w:t>
      </w:r>
      <w:r w:rsidRPr="00010023">
        <w:rPr>
          <w:rFonts w:ascii="Times New Roman" w:hAnsi="Times New Roman" w:cs="Times New Roman"/>
          <w:sz w:val="22"/>
          <w:szCs w:val="22"/>
        </w:rPr>
        <w:t xml:space="preserve">, Il Mulino, Bologna, 1997; D.A. CLARK, M. BIGGERI, A.A. FREDIANI, </w:t>
      </w:r>
      <w:r w:rsidRPr="00010023">
        <w:rPr>
          <w:rFonts w:ascii="Times New Roman" w:hAnsi="Times New Roman" w:cs="Times New Roman"/>
          <w:i/>
          <w:iCs/>
          <w:sz w:val="22"/>
          <w:szCs w:val="22"/>
        </w:rPr>
        <w:t xml:space="preserve">The Capability </w:t>
      </w:r>
      <w:proofErr w:type="spellStart"/>
      <w:r w:rsidRPr="00010023">
        <w:rPr>
          <w:rFonts w:ascii="Times New Roman" w:hAnsi="Times New Roman" w:cs="Times New Roman"/>
          <w:i/>
          <w:iCs/>
          <w:sz w:val="22"/>
          <w:szCs w:val="22"/>
        </w:rPr>
        <w:t>Approach</w:t>
      </w:r>
      <w:proofErr w:type="spellEnd"/>
      <w:r w:rsidRPr="00010023">
        <w:rPr>
          <w:rFonts w:ascii="Times New Roman" w:hAnsi="Times New Roman" w:cs="Times New Roman"/>
          <w:sz w:val="22"/>
          <w:szCs w:val="22"/>
        </w:rPr>
        <w:t xml:space="preserve">, </w:t>
      </w:r>
      <w:proofErr w:type="spellStart"/>
      <w:r w:rsidRPr="00010023">
        <w:rPr>
          <w:rFonts w:ascii="Times New Roman" w:hAnsi="Times New Roman" w:cs="Times New Roman"/>
          <w:sz w:val="22"/>
          <w:szCs w:val="22"/>
        </w:rPr>
        <w:t>Palgrave</w:t>
      </w:r>
      <w:proofErr w:type="spellEnd"/>
      <w:r w:rsidRPr="00010023">
        <w:rPr>
          <w:rFonts w:ascii="Times New Roman" w:hAnsi="Times New Roman" w:cs="Times New Roman"/>
          <w:sz w:val="22"/>
          <w:szCs w:val="22"/>
        </w:rPr>
        <w:t xml:space="preserve"> Macmillan, London, 2019.</w:t>
      </w:r>
      <w:r w:rsidRPr="00010023">
        <w:rPr>
          <w:rFonts w:ascii="Times New Roman" w:eastAsia="Times New Roman" w:hAnsi="Times New Roman" w:cs="Times New Roman"/>
          <w:sz w:val="22"/>
          <w:szCs w:val="22"/>
        </w:rPr>
        <w:t xml:space="preserve"> </w:t>
      </w:r>
      <w:r w:rsidRPr="00010023">
        <w:rPr>
          <w:rFonts w:ascii="Times New Roman" w:hAnsi="Times New Roman" w:cs="Times New Roman"/>
          <w:sz w:val="22"/>
          <w:szCs w:val="22"/>
          <w:lang w:val="en-US"/>
        </w:rPr>
        <w:t xml:space="preserve">C. DONOLO, </w:t>
      </w:r>
      <w:proofErr w:type="spellStart"/>
      <w:r w:rsidRPr="00010023">
        <w:rPr>
          <w:rFonts w:ascii="Times New Roman" w:hAnsi="Times New Roman" w:cs="Times New Roman"/>
          <w:i/>
          <w:iCs/>
          <w:sz w:val="22"/>
          <w:szCs w:val="22"/>
          <w:lang w:val="en-US"/>
        </w:rPr>
        <w:t>Dalle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politiche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pubbliche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alle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pratiche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sociali</w:t>
      </w:r>
      <w:proofErr w:type="spellEnd"/>
      <w:r w:rsidRPr="00010023">
        <w:rPr>
          <w:rFonts w:ascii="Times New Roman" w:hAnsi="Times New Roman" w:cs="Times New Roman"/>
          <w:sz w:val="22"/>
          <w:szCs w:val="22"/>
          <w:lang w:val="en-US"/>
        </w:rPr>
        <w:t xml:space="preserve">, in </w:t>
      </w:r>
      <w:proofErr w:type="spellStart"/>
      <w:r w:rsidRPr="00010023">
        <w:rPr>
          <w:rFonts w:ascii="Times New Roman" w:hAnsi="Times New Roman" w:cs="Times New Roman"/>
          <w:sz w:val="22"/>
          <w:szCs w:val="22"/>
          <w:lang w:val="en-US"/>
        </w:rPr>
        <w:t>Stato</w:t>
      </w:r>
      <w:proofErr w:type="spellEnd"/>
      <w:r w:rsidRPr="00010023">
        <w:rPr>
          <w:rFonts w:ascii="Times New Roman" w:hAnsi="Times New Roman" w:cs="Times New Roman"/>
          <w:sz w:val="22"/>
          <w:szCs w:val="22"/>
          <w:lang w:val="en-US"/>
        </w:rPr>
        <w:t xml:space="preserve"> e Mercato, 2005, 1, p. 33-66; id </w:t>
      </w:r>
      <w:r w:rsidRPr="00010023">
        <w:rPr>
          <w:rFonts w:ascii="Times New Roman" w:hAnsi="Times New Roman" w:cs="Times New Roman"/>
          <w:i/>
          <w:iCs/>
          <w:sz w:val="22"/>
          <w:szCs w:val="22"/>
          <w:lang w:val="en-US"/>
        </w:rPr>
        <w:t xml:space="preserve">Fiducia: un bene </w:t>
      </w:r>
      <w:proofErr w:type="spellStart"/>
      <w:r w:rsidRPr="00010023">
        <w:rPr>
          <w:rFonts w:ascii="Times New Roman" w:hAnsi="Times New Roman" w:cs="Times New Roman"/>
          <w:i/>
          <w:iCs/>
          <w:sz w:val="22"/>
          <w:szCs w:val="22"/>
          <w:lang w:val="en-US"/>
        </w:rPr>
        <w:t>comune</w:t>
      </w:r>
      <w:proofErr w:type="spellEnd"/>
      <w:r w:rsidRPr="00010023">
        <w:rPr>
          <w:rFonts w:ascii="Times New Roman" w:hAnsi="Times New Roman" w:cs="Times New Roman"/>
          <w:sz w:val="22"/>
          <w:szCs w:val="22"/>
          <w:lang w:val="en-US"/>
        </w:rPr>
        <w:t>, in “</w:t>
      </w:r>
      <w:proofErr w:type="spellStart"/>
      <w:r w:rsidRPr="00010023">
        <w:rPr>
          <w:rFonts w:ascii="Times New Roman" w:hAnsi="Times New Roman" w:cs="Times New Roman"/>
          <w:sz w:val="22"/>
          <w:szCs w:val="22"/>
          <w:lang w:val="en-US"/>
        </w:rPr>
        <w:t>Parolechiave</w:t>
      </w:r>
      <w:proofErr w:type="spellEnd"/>
      <w:r w:rsidRPr="00010023">
        <w:rPr>
          <w:rFonts w:ascii="Times New Roman" w:hAnsi="Times New Roman" w:cs="Times New Roman"/>
          <w:sz w:val="22"/>
          <w:szCs w:val="22"/>
          <w:lang w:val="en-US"/>
        </w:rPr>
        <w:t xml:space="preserve">”, 2009; E. DOWLING, </w:t>
      </w:r>
      <w:r w:rsidRPr="00010023">
        <w:rPr>
          <w:rFonts w:ascii="Times New Roman" w:hAnsi="Times New Roman" w:cs="Times New Roman"/>
          <w:i/>
          <w:iCs/>
          <w:sz w:val="22"/>
          <w:szCs w:val="22"/>
          <w:lang w:val="en-US"/>
        </w:rPr>
        <w:t>The Care Crisis: What Caused It and How Can We End It?</w:t>
      </w:r>
      <w:r w:rsidRPr="00010023">
        <w:rPr>
          <w:rFonts w:ascii="Times New Roman" w:hAnsi="Times New Roman" w:cs="Times New Roman"/>
          <w:sz w:val="22"/>
          <w:szCs w:val="22"/>
          <w:lang w:val="en-US"/>
        </w:rPr>
        <w:t xml:space="preserve">, Verso Books, 2021; S. DROUBI, R.J. HEFFRON, D. MCCAULEY, </w:t>
      </w:r>
      <w:r w:rsidRPr="00010023">
        <w:rPr>
          <w:rFonts w:ascii="Times New Roman" w:hAnsi="Times New Roman" w:cs="Times New Roman"/>
          <w:i/>
          <w:iCs/>
          <w:sz w:val="22"/>
          <w:szCs w:val="22"/>
          <w:lang w:val="en-US"/>
        </w:rPr>
        <w:t>A critical review of energy democracy</w:t>
      </w:r>
      <w:r w:rsidRPr="00010023">
        <w:rPr>
          <w:rFonts w:ascii="Times New Roman" w:hAnsi="Times New Roman" w:cs="Times New Roman"/>
          <w:sz w:val="22"/>
          <w:szCs w:val="22"/>
          <w:lang w:val="en-US"/>
        </w:rPr>
        <w:t xml:space="preserve">, in Energy Research &amp; Social Science, 2022; R. GERUNDO, A. MARRA, </w:t>
      </w:r>
      <w:r w:rsidRPr="00010023">
        <w:rPr>
          <w:rFonts w:ascii="Times New Roman" w:hAnsi="Times New Roman" w:cs="Times New Roman"/>
          <w:i/>
          <w:iCs/>
          <w:sz w:val="22"/>
          <w:szCs w:val="22"/>
          <w:lang w:val="en-US"/>
        </w:rPr>
        <w:t>A decision support methodology to foster Renewable Energy Communities in the Municipal Urban Plan</w:t>
      </w:r>
      <w:r w:rsidRPr="00010023">
        <w:rPr>
          <w:rFonts w:ascii="Times New Roman" w:hAnsi="Times New Roman" w:cs="Times New Roman"/>
          <w:sz w:val="22"/>
          <w:szCs w:val="22"/>
          <w:lang w:val="en-US"/>
        </w:rPr>
        <w:t>, in Sustainability, 2022</w:t>
      </w:r>
      <w:r w:rsidRPr="00010023">
        <w:rPr>
          <w:rFonts w:ascii="Times New Roman" w:eastAsia="Times New Roman" w:hAnsi="Times New Roman" w:cs="Times New Roman"/>
          <w:sz w:val="22"/>
          <w:szCs w:val="22"/>
          <w:lang w:val="en-US"/>
        </w:rPr>
        <w:t xml:space="preserve">; </w:t>
      </w:r>
      <w:r w:rsidRPr="00010023">
        <w:rPr>
          <w:rFonts w:ascii="Times New Roman" w:hAnsi="Times New Roman" w:cs="Times New Roman"/>
          <w:sz w:val="22"/>
          <w:szCs w:val="22"/>
          <w:lang w:val="en-US"/>
        </w:rPr>
        <w:t xml:space="preserve">S. JASANOFF, </w:t>
      </w:r>
      <w:r w:rsidRPr="00010023">
        <w:rPr>
          <w:rFonts w:ascii="Times New Roman" w:hAnsi="Times New Roman" w:cs="Times New Roman"/>
          <w:i/>
          <w:iCs/>
          <w:sz w:val="22"/>
          <w:szCs w:val="22"/>
          <w:lang w:val="en-US"/>
        </w:rPr>
        <w:t>Just transitions: A humble approach to global energy futures</w:t>
      </w:r>
      <w:r w:rsidRPr="00010023">
        <w:rPr>
          <w:rFonts w:ascii="Times New Roman" w:hAnsi="Times New Roman" w:cs="Times New Roman"/>
          <w:sz w:val="22"/>
          <w:szCs w:val="22"/>
          <w:lang w:val="en-US"/>
        </w:rPr>
        <w:t xml:space="preserve">, </w:t>
      </w:r>
      <w:r w:rsidRPr="00010023">
        <w:rPr>
          <w:rFonts w:ascii="Times New Roman" w:hAnsi="Times New Roman" w:cs="Times New Roman"/>
          <w:i/>
          <w:iCs/>
          <w:sz w:val="22"/>
          <w:szCs w:val="22"/>
          <w:lang w:val="en-US"/>
        </w:rPr>
        <w:t>in Energy Research &amp; Social Science</w:t>
      </w:r>
      <w:r w:rsidRPr="00010023">
        <w:rPr>
          <w:rFonts w:ascii="Times New Roman" w:hAnsi="Times New Roman" w:cs="Times New Roman"/>
          <w:sz w:val="22"/>
          <w:szCs w:val="22"/>
          <w:lang w:val="en-US"/>
        </w:rPr>
        <w:t xml:space="preserve">, 2018, p. 11-14; M. LEHNER, </w:t>
      </w:r>
      <w:proofErr w:type="spellStart"/>
      <w:r w:rsidRPr="00010023">
        <w:rPr>
          <w:rFonts w:ascii="Times New Roman" w:hAnsi="Times New Roman" w:cs="Times New Roman"/>
          <w:i/>
          <w:iCs/>
          <w:sz w:val="22"/>
          <w:szCs w:val="22"/>
          <w:lang w:val="en-US"/>
        </w:rPr>
        <w:t>Prosumption</w:t>
      </w:r>
      <w:proofErr w:type="spellEnd"/>
      <w:r w:rsidRPr="00010023">
        <w:rPr>
          <w:rFonts w:ascii="Times New Roman" w:hAnsi="Times New Roman" w:cs="Times New Roman"/>
          <w:i/>
          <w:iCs/>
          <w:sz w:val="22"/>
          <w:szCs w:val="22"/>
          <w:lang w:val="en-US"/>
        </w:rPr>
        <w:t xml:space="preserve"> for sustainable consumption and its implications for sustainable consumption governance</w:t>
      </w:r>
      <w:r w:rsidRPr="00010023">
        <w:rPr>
          <w:rFonts w:ascii="Times New Roman" w:hAnsi="Times New Roman" w:cs="Times New Roman"/>
          <w:sz w:val="22"/>
          <w:szCs w:val="22"/>
          <w:lang w:val="en-US"/>
        </w:rPr>
        <w:t xml:space="preserve">, in O. Mont (a cura di), </w:t>
      </w:r>
      <w:r w:rsidRPr="00010023">
        <w:rPr>
          <w:rFonts w:ascii="Times New Roman" w:hAnsi="Times New Roman" w:cs="Times New Roman"/>
          <w:i/>
          <w:iCs/>
          <w:sz w:val="22"/>
          <w:szCs w:val="22"/>
          <w:lang w:val="en-US"/>
        </w:rPr>
        <w:t>A research agenda for sustainable consumption governance</w:t>
      </w:r>
      <w:r w:rsidRPr="00010023">
        <w:rPr>
          <w:rFonts w:ascii="Times New Roman" w:hAnsi="Times New Roman" w:cs="Times New Roman"/>
          <w:sz w:val="22"/>
          <w:szCs w:val="22"/>
          <w:lang w:val="en-US"/>
        </w:rPr>
        <w:t xml:space="preserve">, Edward Elgar, Cheltenham, 2019, p. 105-120; B. VAN VEELEN, A. PINKER, M. TINGEY, G.T. AIKEN, W. EADSON, </w:t>
      </w:r>
      <w:r w:rsidRPr="00010023">
        <w:rPr>
          <w:rFonts w:ascii="Times New Roman" w:hAnsi="Times New Roman" w:cs="Times New Roman"/>
          <w:i/>
          <w:iCs/>
          <w:sz w:val="22"/>
          <w:szCs w:val="22"/>
          <w:lang w:val="en-US"/>
        </w:rPr>
        <w:t>What can energy research bring to social science?</w:t>
      </w:r>
      <w:r w:rsidRPr="00010023">
        <w:rPr>
          <w:rFonts w:ascii="Times New Roman" w:hAnsi="Times New Roman" w:cs="Times New Roman"/>
          <w:sz w:val="22"/>
          <w:szCs w:val="22"/>
          <w:lang w:val="en-US"/>
        </w:rPr>
        <w:t xml:space="preserve">, 2019; E. VEEN, H. DAGEVOS, J.E. JANSMA, </w:t>
      </w:r>
      <w:r w:rsidRPr="00010023">
        <w:rPr>
          <w:rFonts w:ascii="Times New Roman" w:hAnsi="Times New Roman" w:cs="Times New Roman"/>
          <w:i/>
          <w:iCs/>
          <w:sz w:val="22"/>
          <w:szCs w:val="22"/>
          <w:lang w:val="en-US"/>
        </w:rPr>
        <w:t xml:space="preserve">Pragmatic </w:t>
      </w:r>
      <w:proofErr w:type="spellStart"/>
      <w:r w:rsidRPr="00010023">
        <w:rPr>
          <w:rFonts w:ascii="Times New Roman" w:hAnsi="Times New Roman" w:cs="Times New Roman"/>
          <w:i/>
          <w:iCs/>
          <w:sz w:val="22"/>
          <w:szCs w:val="22"/>
          <w:lang w:val="en-US"/>
        </w:rPr>
        <w:t>prosumption</w:t>
      </w:r>
      <w:proofErr w:type="spellEnd"/>
      <w:r w:rsidRPr="00010023">
        <w:rPr>
          <w:rFonts w:ascii="Times New Roman" w:hAnsi="Times New Roman" w:cs="Times New Roman"/>
          <w:sz w:val="22"/>
          <w:szCs w:val="22"/>
          <w:lang w:val="en-US"/>
        </w:rPr>
        <w:t xml:space="preserve">, 2021, p. 255-277; J. VERWEIJEN, A. DUNLAP, </w:t>
      </w:r>
      <w:r w:rsidRPr="00010023">
        <w:rPr>
          <w:rFonts w:ascii="Times New Roman" w:hAnsi="Times New Roman" w:cs="Times New Roman"/>
          <w:i/>
          <w:iCs/>
          <w:sz w:val="22"/>
          <w:szCs w:val="22"/>
          <w:lang w:val="en-US"/>
        </w:rPr>
        <w:t>The evolving techniques of the social engineering of extraction</w:t>
      </w:r>
      <w:r w:rsidRPr="00010023">
        <w:rPr>
          <w:rFonts w:ascii="Times New Roman" w:hAnsi="Times New Roman" w:cs="Times New Roman"/>
          <w:sz w:val="22"/>
          <w:szCs w:val="22"/>
          <w:lang w:val="en-US"/>
        </w:rPr>
        <w:t xml:space="preserve">, 2021; S. VICARI-HADDOCK, E. MINGIONE, </w:t>
      </w:r>
      <w:proofErr w:type="spellStart"/>
      <w:r w:rsidRPr="00010023">
        <w:rPr>
          <w:rFonts w:ascii="Times New Roman" w:hAnsi="Times New Roman" w:cs="Times New Roman"/>
          <w:i/>
          <w:iCs/>
          <w:sz w:val="22"/>
          <w:szCs w:val="22"/>
          <w:lang w:val="en-US"/>
        </w:rPr>
        <w:t>Innovazione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sociale</w:t>
      </w:r>
      <w:proofErr w:type="spellEnd"/>
      <w:r w:rsidRPr="00010023">
        <w:rPr>
          <w:rFonts w:ascii="Times New Roman" w:hAnsi="Times New Roman" w:cs="Times New Roman"/>
          <w:i/>
          <w:iCs/>
          <w:sz w:val="22"/>
          <w:szCs w:val="22"/>
          <w:lang w:val="en-US"/>
        </w:rPr>
        <w:t xml:space="preserve"> e </w:t>
      </w:r>
      <w:proofErr w:type="spellStart"/>
      <w:r w:rsidRPr="00010023">
        <w:rPr>
          <w:rFonts w:ascii="Times New Roman" w:hAnsi="Times New Roman" w:cs="Times New Roman"/>
          <w:i/>
          <w:iCs/>
          <w:sz w:val="22"/>
          <w:szCs w:val="22"/>
          <w:lang w:val="en-US"/>
        </w:rPr>
        <w:t>città</w:t>
      </w:r>
      <w:proofErr w:type="spellEnd"/>
      <w:r w:rsidRPr="00010023">
        <w:rPr>
          <w:rFonts w:ascii="Times New Roman" w:hAnsi="Times New Roman" w:cs="Times New Roman"/>
          <w:sz w:val="22"/>
          <w:szCs w:val="22"/>
          <w:lang w:val="en-US"/>
        </w:rPr>
        <w:t xml:space="preserve">, 2017, p. 13-29; M. WAHLUND, J. PALM, </w:t>
      </w:r>
      <w:r w:rsidRPr="00010023">
        <w:rPr>
          <w:rFonts w:ascii="Times New Roman" w:hAnsi="Times New Roman" w:cs="Times New Roman"/>
          <w:i/>
          <w:iCs/>
          <w:sz w:val="22"/>
          <w:szCs w:val="22"/>
          <w:lang w:val="en-US"/>
        </w:rPr>
        <w:t>The role of energy democracy</w:t>
      </w:r>
      <w:r w:rsidRPr="00010023">
        <w:rPr>
          <w:rFonts w:ascii="Times New Roman" w:hAnsi="Times New Roman" w:cs="Times New Roman"/>
          <w:sz w:val="22"/>
          <w:szCs w:val="22"/>
          <w:lang w:val="en-US"/>
        </w:rPr>
        <w:t>, 2022.</w:t>
      </w:r>
    </w:p>
  </w:footnote>
  <w:footnote w:id="57">
    <w:p w14:paraId="67102A09" w14:textId="78242FF1"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en-US"/>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en-US"/>
        </w:rPr>
        <w:t xml:space="preserve"> F. DI PORTO, </w:t>
      </w:r>
      <w:proofErr w:type="spellStart"/>
      <w:r w:rsidRPr="00010023">
        <w:rPr>
          <w:rFonts w:ascii="Times New Roman" w:hAnsi="Times New Roman" w:cs="Times New Roman"/>
          <w:i/>
          <w:iCs/>
          <w:sz w:val="22"/>
          <w:szCs w:val="22"/>
          <w:lang w:val="en-US"/>
        </w:rPr>
        <w:t>Regolazioni</w:t>
      </w:r>
      <w:proofErr w:type="spellEnd"/>
      <w:r w:rsidRPr="00010023">
        <w:rPr>
          <w:rFonts w:ascii="Times New Roman" w:hAnsi="Times New Roman" w:cs="Times New Roman"/>
          <w:i/>
          <w:iCs/>
          <w:sz w:val="22"/>
          <w:szCs w:val="22"/>
          <w:lang w:val="en-US"/>
        </w:rPr>
        <w:t xml:space="preserve"> di “prima” e “</w:t>
      </w:r>
      <w:proofErr w:type="spellStart"/>
      <w:r w:rsidRPr="00010023">
        <w:rPr>
          <w:rFonts w:ascii="Times New Roman" w:hAnsi="Times New Roman" w:cs="Times New Roman"/>
          <w:i/>
          <w:iCs/>
          <w:sz w:val="22"/>
          <w:szCs w:val="22"/>
          <w:lang w:val="en-US"/>
        </w:rPr>
        <w:t>seconda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generazione</w:t>
      </w:r>
      <w:proofErr w:type="spellEnd"/>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 xml:space="preserve">Mercato </w:t>
      </w:r>
      <w:proofErr w:type="spellStart"/>
      <w:r w:rsidRPr="00010023">
        <w:rPr>
          <w:rFonts w:ascii="Times New Roman" w:hAnsi="Times New Roman" w:cs="Times New Roman"/>
          <w:i/>
          <w:iCs/>
          <w:sz w:val="22"/>
          <w:szCs w:val="22"/>
          <w:lang w:val="en-US"/>
        </w:rPr>
        <w:t>Concorrenza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Regole</w:t>
      </w:r>
      <w:proofErr w:type="spellEnd"/>
      <w:r w:rsidRPr="00010023">
        <w:rPr>
          <w:rFonts w:ascii="Times New Roman" w:hAnsi="Times New Roman" w:cs="Times New Roman"/>
          <w:sz w:val="22"/>
          <w:szCs w:val="22"/>
          <w:lang w:val="en-US"/>
        </w:rPr>
        <w:t xml:space="preserve">, 2003, 2, p. 201-238; G. DOCI, E. VASILEIADOU, </w:t>
      </w:r>
      <w:r w:rsidRPr="00010023">
        <w:rPr>
          <w:rFonts w:ascii="Times New Roman" w:hAnsi="Times New Roman" w:cs="Times New Roman"/>
          <w:i/>
          <w:iCs/>
          <w:sz w:val="22"/>
          <w:szCs w:val="22"/>
          <w:lang w:val="en-US"/>
        </w:rPr>
        <w:t>“Let’s do it ourselves”</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Renewable and Sustainable Energy Reviews</w:t>
      </w:r>
      <w:r w:rsidRPr="00010023">
        <w:rPr>
          <w:rFonts w:ascii="Times New Roman" w:hAnsi="Times New Roman" w:cs="Times New Roman"/>
          <w:sz w:val="22"/>
          <w:szCs w:val="22"/>
          <w:lang w:val="en-US"/>
        </w:rPr>
        <w:t xml:space="preserve">, 2015; G. DÓCI, B. GOTCHEV, </w:t>
      </w:r>
      <w:r w:rsidRPr="00010023">
        <w:rPr>
          <w:rFonts w:ascii="Times New Roman" w:hAnsi="Times New Roman" w:cs="Times New Roman"/>
          <w:i/>
          <w:iCs/>
          <w:sz w:val="22"/>
          <w:szCs w:val="22"/>
          <w:lang w:val="en-US"/>
        </w:rPr>
        <w:t>When Energy Policy Meets Community</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Energy Research &amp; Social Science</w:t>
      </w:r>
      <w:r w:rsidRPr="00010023">
        <w:rPr>
          <w:rFonts w:ascii="Times New Roman" w:hAnsi="Times New Roman" w:cs="Times New Roman"/>
          <w:sz w:val="22"/>
          <w:szCs w:val="22"/>
          <w:lang w:val="en-US"/>
        </w:rPr>
        <w:t>, 2016, p. 26–35.</w:t>
      </w:r>
    </w:p>
  </w:footnote>
  <w:footnote w:id="58">
    <w:p w14:paraId="0BDF894B" w14:textId="04786E10"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cfr. V. D’ERMO, </w:t>
      </w:r>
      <w:r w:rsidRPr="00010023">
        <w:rPr>
          <w:rFonts w:ascii="Times New Roman" w:hAnsi="Times New Roman" w:cs="Times New Roman"/>
          <w:i/>
          <w:iCs/>
          <w:sz w:val="22"/>
          <w:szCs w:val="22"/>
        </w:rPr>
        <w:t>Le fonti di energia tra crisi e sviluppo</w:t>
      </w:r>
      <w:r w:rsidRPr="00010023">
        <w:rPr>
          <w:rFonts w:ascii="Times New Roman" w:hAnsi="Times New Roman" w:cs="Times New Roman"/>
          <w:sz w:val="22"/>
          <w:szCs w:val="22"/>
        </w:rPr>
        <w:t xml:space="preserve">, Editori Riuniti, Roma, 1997; P. DE VIVO, E. SACCO, </w:t>
      </w:r>
      <w:r w:rsidRPr="00010023">
        <w:rPr>
          <w:rFonts w:ascii="Times New Roman" w:hAnsi="Times New Roman" w:cs="Times New Roman"/>
          <w:i/>
          <w:iCs/>
          <w:sz w:val="22"/>
          <w:szCs w:val="22"/>
        </w:rPr>
        <w:t>Dopo” lo sviluppo locale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Quaderni di Sociologia</w:t>
      </w:r>
      <w:r w:rsidRPr="00010023">
        <w:rPr>
          <w:rFonts w:ascii="Times New Roman" w:hAnsi="Times New Roman" w:cs="Times New Roman"/>
          <w:sz w:val="22"/>
          <w:szCs w:val="22"/>
        </w:rPr>
        <w:t xml:space="preserve">, 2008; C. TRIGILIA, </w:t>
      </w:r>
      <w:r w:rsidRPr="00010023">
        <w:rPr>
          <w:rFonts w:ascii="Times New Roman" w:hAnsi="Times New Roman" w:cs="Times New Roman"/>
          <w:i/>
          <w:iCs/>
          <w:sz w:val="22"/>
          <w:szCs w:val="22"/>
        </w:rPr>
        <w:t>Sviluppo senza autonomia</w:t>
      </w:r>
      <w:r w:rsidRPr="00010023">
        <w:rPr>
          <w:rFonts w:ascii="Times New Roman" w:hAnsi="Times New Roman" w:cs="Times New Roman"/>
          <w:sz w:val="22"/>
          <w:szCs w:val="22"/>
        </w:rPr>
        <w:t xml:space="preserve">, Il Mulino, Bologna, 1992; id. </w:t>
      </w:r>
      <w:r w:rsidRPr="00010023">
        <w:rPr>
          <w:rFonts w:ascii="Times New Roman" w:hAnsi="Times New Roman" w:cs="Times New Roman"/>
          <w:i/>
          <w:iCs/>
          <w:sz w:val="22"/>
          <w:szCs w:val="22"/>
        </w:rPr>
        <w:t>Sociologia economica I</w:t>
      </w:r>
      <w:r w:rsidRPr="00010023">
        <w:rPr>
          <w:rFonts w:ascii="Times New Roman" w:hAnsi="Times New Roman" w:cs="Times New Roman"/>
          <w:sz w:val="22"/>
          <w:szCs w:val="22"/>
        </w:rPr>
        <w:t>, Il Mulino, Bologna, 1998.</w:t>
      </w:r>
    </w:p>
  </w:footnote>
  <w:footnote w:id="59">
    <w:p w14:paraId="59D7FDB0" w14:textId="2DD38BED"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Sugli impatti della transizione energetica si v., in particolare,  G. OSTI, </w:t>
      </w:r>
      <w:r w:rsidRPr="00010023">
        <w:rPr>
          <w:rFonts w:ascii="Times New Roman" w:hAnsi="Times New Roman" w:cs="Times New Roman"/>
          <w:i/>
          <w:iCs/>
          <w:sz w:val="22"/>
          <w:szCs w:val="22"/>
        </w:rPr>
        <w:t>Reciprocità e sviluppo sostenibile</w:t>
      </w:r>
      <w:r w:rsidRPr="00010023">
        <w:rPr>
          <w:rFonts w:ascii="Times New Roman" w:hAnsi="Times New Roman" w:cs="Times New Roman"/>
          <w:sz w:val="22"/>
          <w:szCs w:val="22"/>
        </w:rPr>
        <w:t xml:space="preserve">, in Stato e Mercato, 1999, 56(2), p. 325–346; id </w:t>
      </w:r>
      <w:r w:rsidRPr="00010023">
        <w:rPr>
          <w:rFonts w:ascii="Times New Roman" w:hAnsi="Times New Roman" w:cs="Times New Roman"/>
          <w:i/>
          <w:iCs/>
          <w:sz w:val="22"/>
          <w:szCs w:val="22"/>
        </w:rPr>
        <w:t>Nuovi asceti</w:t>
      </w:r>
      <w:r w:rsidRPr="00010023">
        <w:rPr>
          <w:rFonts w:ascii="Times New Roman" w:hAnsi="Times New Roman" w:cs="Times New Roman"/>
          <w:sz w:val="22"/>
          <w:szCs w:val="22"/>
        </w:rPr>
        <w:t xml:space="preserve">, Il Mulino, Bologna, 2006; id </w:t>
      </w:r>
      <w:r w:rsidRPr="00010023">
        <w:rPr>
          <w:rFonts w:ascii="Times New Roman" w:hAnsi="Times New Roman" w:cs="Times New Roman"/>
          <w:i/>
          <w:iCs/>
          <w:sz w:val="22"/>
          <w:szCs w:val="22"/>
        </w:rPr>
        <w:t>Decrescita economica</w:t>
      </w:r>
      <w:r w:rsidRPr="00010023">
        <w:rPr>
          <w:rFonts w:ascii="Times New Roman" w:hAnsi="Times New Roman" w:cs="Times New Roman"/>
          <w:sz w:val="22"/>
          <w:szCs w:val="22"/>
        </w:rPr>
        <w:t xml:space="preserve">, in Aggiornamenti Sociali, 2007, 58(1), p. 33-43; id </w:t>
      </w:r>
      <w:r w:rsidRPr="00010023">
        <w:rPr>
          <w:rFonts w:ascii="Times New Roman" w:hAnsi="Times New Roman" w:cs="Times New Roman"/>
          <w:i/>
          <w:iCs/>
          <w:sz w:val="22"/>
          <w:szCs w:val="22"/>
        </w:rPr>
        <w:t>Relazioni fra consumatori e produttori</w:t>
      </w:r>
      <w:r w:rsidRPr="00010023">
        <w:rPr>
          <w:rFonts w:ascii="Times New Roman" w:hAnsi="Times New Roman" w:cs="Times New Roman"/>
          <w:sz w:val="22"/>
          <w:szCs w:val="22"/>
        </w:rPr>
        <w:t xml:space="preserve">, in Sociologia Urbana e Rurale, 2008, 85, p. 41-56; id </w:t>
      </w:r>
      <w:r w:rsidRPr="00010023">
        <w:rPr>
          <w:rFonts w:ascii="Times New Roman" w:hAnsi="Times New Roman" w:cs="Times New Roman"/>
          <w:i/>
          <w:iCs/>
          <w:sz w:val="22"/>
          <w:szCs w:val="22"/>
        </w:rPr>
        <w:t>Energia e società</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Quaderni di Teoria Sociale</w:t>
      </w:r>
      <w:r w:rsidRPr="00010023">
        <w:rPr>
          <w:rFonts w:ascii="Times New Roman" w:hAnsi="Times New Roman" w:cs="Times New Roman"/>
          <w:sz w:val="22"/>
          <w:szCs w:val="22"/>
        </w:rPr>
        <w:t xml:space="preserve">, 2010, 10, p. 105-129; G. OSTI (a cura di), </w:t>
      </w:r>
      <w:r w:rsidRPr="00010023">
        <w:rPr>
          <w:rFonts w:ascii="Times New Roman" w:hAnsi="Times New Roman" w:cs="Times New Roman"/>
          <w:i/>
          <w:iCs/>
          <w:sz w:val="22"/>
          <w:szCs w:val="22"/>
        </w:rPr>
        <w:t>La co-fornitura di energia in Italia</w:t>
      </w:r>
      <w:r w:rsidRPr="00010023">
        <w:rPr>
          <w:rFonts w:ascii="Times New Roman" w:hAnsi="Times New Roman" w:cs="Times New Roman"/>
          <w:sz w:val="22"/>
          <w:szCs w:val="22"/>
        </w:rPr>
        <w:t>, Edizioni Università di Trieste, Trieste, 2010.</w:t>
      </w:r>
    </w:p>
  </w:footnote>
  <w:footnote w:id="60">
    <w:p w14:paraId="2C07CD8C" w14:textId="11AC204B"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M. OTEMAN, M. WIERING, J.K. HELDERMAN, </w:t>
      </w:r>
      <w:r w:rsidRPr="00010023">
        <w:rPr>
          <w:rFonts w:ascii="Times New Roman" w:hAnsi="Times New Roman" w:cs="Times New Roman"/>
          <w:i/>
          <w:iCs/>
          <w:sz w:val="22"/>
          <w:szCs w:val="22"/>
          <w:lang w:val="fr-FR"/>
        </w:rPr>
        <w:t xml:space="preserve">The </w:t>
      </w:r>
      <w:proofErr w:type="spellStart"/>
      <w:r w:rsidRPr="00010023">
        <w:rPr>
          <w:rFonts w:ascii="Times New Roman" w:hAnsi="Times New Roman" w:cs="Times New Roman"/>
          <w:i/>
          <w:iCs/>
          <w:sz w:val="22"/>
          <w:szCs w:val="22"/>
          <w:lang w:val="fr-FR"/>
        </w:rPr>
        <w:t>institutional</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space</w:t>
      </w:r>
      <w:proofErr w:type="spellEnd"/>
      <w:r w:rsidRPr="00010023">
        <w:rPr>
          <w:rFonts w:ascii="Times New Roman" w:hAnsi="Times New Roman" w:cs="Times New Roman"/>
          <w:i/>
          <w:iCs/>
          <w:sz w:val="22"/>
          <w:szCs w:val="22"/>
          <w:lang w:val="fr-FR"/>
        </w:rPr>
        <w:t xml:space="preserve"> of </w:t>
      </w:r>
      <w:proofErr w:type="spellStart"/>
      <w:r w:rsidRPr="00010023">
        <w:rPr>
          <w:rFonts w:ascii="Times New Roman" w:hAnsi="Times New Roman" w:cs="Times New Roman"/>
          <w:i/>
          <w:iCs/>
          <w:sz w:val="22"/>
          <w:szCs w:val="22"/>
          <w:lang w:val="fr-FR"/>
        </w:rPr>
        <w:t>community</w:t>
      </w:r>
      <w:proofErr w:type="spellEnd"/>
      <w:r w:rsidRPr="00010023">
        <w:rPr>
          <w:rFonts w:ascii="Times New Roman" w:hAnsi="Times New Roman" w:cs="Times New Roman"/>
          <w:i/>
          <w:iCs/>
          <w:sz w:val="22"/>
          <w:szCs w:val="22"/>
          <w:lang w:val="fr-FR"/>
        </w:rPr>
        <w:t xml:space="preserve"> initiatives</w:t>
      </w:r>
      <w:r w:rsidRPr="00010023">
        <w:rPr>
          <w:rFonts w:ascii="Times New Roman" w:hAnsi="Times New Roman" w:cs="Times New Roman"/>
          <w:sz w:val="22"/>
          <w:szCs w:val="22"/>
          <w:lang w:val="fr-FR"/>
        </w:rPr>
        <w:t xml:space="preserve">, in Energy </w:t>
      </w:r>
      <w:proofErr w:type="spellStart"/>
      <w:r w:rsidRPr="00010023">
        <w:rPr>
          <w:rFonts w:ascii="Times New Roman" w:hAnsi="Times New Roman" w:cs="Times New Roman"/>
          <w:sz w:val="22"/>
          <w:szCs w:val="22"/>
          <w:lang w:val="fr-FR"/>
        </w:rPr>
        <w:t>Sustainability</w:t>
      </w:r>
      <w:proofErr w:type="spellEnd"/>
      <w:r w:rsidRPr="00010023">
        <w:rPr>
          <w:rFonts w:ascii="Times New Roman" w:hAnsi="Times New Roman" w:cs="Times New Roman"/>
          <w:sz w:val="22"/>
          <w:szCs w:val="22"/>
          <w:lang w:val="fr-FR"/>
        </w:rPr>
        <w:t xml:space="preserve"> and Society, 2014, 4, p. 11.</w:t>
      </w:r>
    </w:p>
  </w:footnote>
  <w:footnote w:id="61">
    <w:p w14:paraId="19EB53EF" w14:textId="65E5B7BB"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Si </w:t>
      </w:r>
      <w:proofErr w:type="spellStart"/>
      <w:r w:rsidRPr="00010023">
        <w:rPr>
          <w:rFonts w:ascii="Times New Roman" w:hAnsi="Times New Roman" w:cs="Times New Roman"/>
          <w:sz w:val="22"/>
          <w:szCs w:val="22"/>
          <w:lang w:val="fr-FR"/>
        </w:rPr>
        <w:t>cfr</w:t>
      </w:r>
      <w:proofErr w:type="spellEnd"/>
      <w:r w:rsidRPr="00010023">
        <w:rPr>
          <w:rFonts w:ascii="Times New Roman" w:hAnsi="Times New Roman" w:cs="Times New Roman"/>
          <w:sz w:val="22"/>
          <w:szCs w:val="22"/>
          <w:lang w:val="fr-FR"/>
        </w:rPr>
        <w:t xml:space="preserve">.  G. WALKER, P. DEVINE-WRIGHT, </w:t>
      </w:r>
      <w:r w:rsidRPr="00010023">
        <w:rPr>
          <w:rFonts w:ascii="Times New Roman" w:hAnsi="Times New Roman" w:cs="Times New Roman"/>
          <w:i/>
          <w:iCs/>
          <w:sz w:val="22"/>
          <w:szCs w:val="22"/>
          <w:lang w:val="fr-FR"/>
        </w:rPr>
        <w:t xml:space="preserve">Community </w:t>
      </w:r>
      <w:proofErr w:type="spellStart"/>
      <w:r w:rsidRPr="00010023">
        <w:rPr>
          <w:rFonts w:ascii="Times New Roman" w:hAnsi="Times New Roman" w:cs="Times New Roman"/>
          <w:i/>
          <w:iCs/>
          <w:sz w:val="22"/>
          <w:szCs w:val="22"/>
          <w:lang w:val="fr-FR"/>
        </w:rPr>
        <w:t>renewable</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energy</w:t>
      </w:r>
      <w:proofErr w:type="spellEnd"/>
      <w:r w:rsidRPr="00010023">
        <w:rPr>
          <w:rFonts w:ascii="Times New Roman" w:hAnsi="Times New Roman" w:cs="Times New Roman"/>
          <w:sz w:val="22"/>
          <w:szCs w:val="22"/>
          <w:lang w:val="fr-FR"/>
        </w:rPr>
        <w:t xml:space="preserve">, 2008 ; G. WALKER, P. DEVINE-WRIGHT, S. HUNTER, H. HIGH, B. EVANS, </w:t>
      </w:r>
      <w:r w:rsidRPr="00010023">
        <w:rPr>
          <w:rFonts w:ascii="Times New Roman" w:hAnsi="Times New Roman" w:cs="Times New Roman"/>
          <w:i/>
          <w:iCs/>
          <w:sz w:val="22"/>
          <w:szCs w:val="22"/>
          <w:lang w:val="fr-FR"/>
        </w:rPr>
        <w:t xml:space="preserve">Trust and </w:t>
      </w:r>
      <w:proofErr w:type="spellStart"/>
      <w:r w:rsidRPr="00010023">
        <w:rPr>
          <w:rFonts w:ascii="Times New Roman" w:hAnsi="Times New Roman" w:cs="Times New Roman"/>
          <w:i/>
          <w:iCs/>
          <w:sz w:val="22"/>
          <w:szCs w:val="22"/>
          <w:lang w:val="fr-FR"/>
        </w:rPr>
        <w:t>community</w:t>
      </w:r>
      <w:proofErr w:type="spellEnd"/>
      <w:r w:rsidRPr="00010023">
        <w:rPr>
          <w:rFonts w:ascii="Times New Roman" w:hAnsi="Times New Roman" w:cs="Times New Roman"/>
          <w:sz w:val="22"/>
          <w:szCs w:val="22"/>
          <w:lang w:val="fr-FR"/>
        </w:rPr>
        <w:t xml:space="preserve">, 2010, 38 ; G.H. WALKER, N.A. STANTON, P.M. SALMON, D.P. JENKINS, </w:t>
      </w:r>
      <w:r w:rsidRPr="00010023">
        <w:rPr>
          <w:rFonts w:ascii="Times New Roman" w:hAnsi="Times New Roman" w:cs="Times New Roman"/>
          <w:i/>
          <w:iCs/>
          <w:sz w:val="22"/>
          <w:szCs w:val="22"/>
          <w:lang w:val="fr-FR"/>
        </w:rPr>
        <w:t xml:space="preserve">A </w:t>
      </w:r>
      <w:proofErr w:type="spellStart"/>
      <w:r w:rsidRPr="00010023">
        <w:rPr>
          <w:rFonts w:ascii="Times New Roman" w:hAnsi="Times New Roman" w:cs="Times New Roman"/>
          <w:i/>
          <w:iCs/>
          <w:sz w:val="22"/>
          <w:szCs w:val="22"/>
          <w:lang w:val="fr-FR"/>
        </w:rPr>
        <w:t>review</w:t>
      </w:r>
      <w:proofErr w:type="spellEnd"/>
      <w:r w:rsidRPr="00010023">
        <w:rPr>
          <w:rFonts w:ascii="Times New Roman" w:hAnsi="Times New Roman" w:cs="Times New Roman"/>
          <w:i/>
          <w:iCs/>
          <w:sz w:val="22"/>
          <w:szCs w:val="22"/>
          <w:lang w:val="fr-FR"/>
        </w:rPr>
        <w:t xml:space="preserve"> of </w:t>
      </w:r>
      <w:proofErr w:type="spellStart"/>
      <w:r w:rsidRPr="00010023">
        <w:rPr>
          <w:rFonts w:ascii="Times New Roman" w:hAnsi="Times New Roman" w:cs="Times New Roman"/>
          <w:i/>
          <w:iCs/>
          <w:sz w:val="22"/>
          <w:szCs w:val="22"/>
          <w:lang w:val="fr-FR"/>
        </w:rPr>
        <w:t>sociotechnical</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systems</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theory</w:t>
      </w:r>
      <w:proofErr w:type="spellEnd"/>
      <w:r w:rsidRPr="00010023">
        <w:rPr>
          <w:rFonts w:ascii="Times New Roman" w:hAnsi="Times New Roman" w:cs="Times New Roman"/>
          <w:sz w:val="22"/>
          <w:szCs w:val="22"/>
          <w:lang w:val="fr-FR"/>
        </w:rPr>
        <w:t>, 2008, 9(6), p. 479–499.</w:t>
      </w:r>
    </w:p>
  </w:footnote>
  <w:footnote w:id="62">
    <w:p w14:paraId="528E7DCC" w14:textId="72DEF223"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G. DÓCI, B. GOTCHEV, </w:t>
      </w:r>
      <w:proofErr w:type="spellStart"/>
      <w:r w:rsidRPr="00010023">
        <w:rPr>
          <w:rFonts w:ascii="Times New Roman" w:hAnsi="Times New Roman" w:cs="Times New Roman"/>
          <w:i/>
          <w:iCs/>
          <w:sz w:val="22"/>
          <w:szCs w:val="22"/>
          <w:lang w:val="fr-FR"/>
        </w:rPr>
        <w:t>When</w:t>
      </w:r>
      <w:proofErr w:type="spellEnd"/>
      <w:r w:rsidRPr="00010023">
        <w:rPr>
          <w:rFonts w:ascii="Times New Roman" w:hAnsi="Times New Roman" w:cs="Times New Roman"/>
          <w:i/>
          <w:iCs/>
          <w:sz w:val="22"/>
          <w:szCs w:val="22"/>
          <w:lang w:val="fr-FR"/>
        </w:rPr>
        <w:t xml:space="preserve"> Energy Policy </w:t>
      </w:r>
      <w:proofErr w:type="spellStart"/>
      <w:r w:rsidRPr="00010023">
        <w:rPr>
          <w:rFonts w:ascii="Times New Roman" w:hAnsi="Times New Roman" w:cs="Times New Roman"/>
          <w:i/>
          <w:iCs/>
          <w:sz w:val="22"/>
          <w:szCs w:val="22"/>
          <w:lang w:val="fr-FR"/>
        </w:rPr>
        <w:t>Meets</w:t>
      </w:r>
      <w:proofErr w:type="spellEnd"/>
      <w:r w:rsidRPr="00010023">
        <w:rPr>
          <w:rFonts w:ascii="Times New Roman" w:hAnsi="Times New Roman" w:cs="Times New Roman"/>
          <w:i/>
          <w:iCs/>
          <w:sz w:val="22"/>
          <w:szCs w:val="22"/>
          <w:lang w:val="fr-FR"/>
        </w:rPr>
        <w:t xml:space="preserve"> Community</w:t>
      </w:r>
      <w:r w:rsidRPr="00010023">
        <w:rPr>
          <w:rFonts w:ascii="Times New Roman" w:hAnsi="Times New Roman" w:cs="Times New Roman"/>
          <w:sz w:val="22"/>
          <w:szCs w:val="22"/>
          <w:lang w:val="fr-FR"/>
        </w:rPr>
        <w:t xml:space="preserve">, in Energy </w:t>
      </w:r>
      <w:proofErr w:type="spellStart"/>
      <w:r w:rsidRPr="00010023">
        <w:rPr>
          <w:rFonts w:ascii="Times New Roman" w:hAnsi="Times New Roman" w:cs="Times New Roman"/>
          <w:sz w:val="22"/>
          <w:szCs w:val="22"/>
          <w:lang w:val="fr-FR"/>
        </w:rPr>
        <w:t>Research</w:t>
      </w:r>
      <w:proofErr w:type="spellEnd"/>
      <w:r w:rsidRPr="00010023">
        <w:rPr>
          <w:rFonts w:ascii="Times New Roman" w:hAnsi="Times New Roman" w:cs="Times New Roman"/>
          <w:sz w:val="22"/>
          <w:szCs w:val="22"/>
          <w:lang w:val="fr-FR"/>
        </w:rPr>
        <w:t xml:space="preserve"> &amp; Social Science, 2016, p. 26–35.</w:t>
      </w:r>
    </w:p>
  </w:footnote>
  <w:footnote w:id="63">
    <w:p w14:paraId="06016B30" w14:textId="66BAB95D"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 TRICARICO, A. BILLI, </w:t>
      </w:r>
      <w:r w:rsidRPr="00010023">
        <w:rPr>
          <w:rFonts w:ascii="Times New Roman" w:hAnsi="Times New Roman" w:cs="Times New Roman"/>
          <w:i/>
          <w:iCs/>
          <w:sz w:val="22"/>
          <w:szCs w:val="22"/>
        </w:rPr>
        <w:t xml:space="preserve">Come organizzare le comunità </w:t>
      </w:r>
      <w:proofErr w:type="gramStart"/>
      <w:r w:rsidRPr="00010023">
        <w:rPr>
          <w:rFonts w:ascii="Times New Roman" w:hAnsi="Times New Roman" w:cs="Times New Roman"/>
          <w:i/>
          <w:iCs/>
          <w:sz w:val="22"/>
          <w:szCs w:val="22"/>
        </w:rPr>
        <w:t>energetiche?</w:t>
      </w:r>
      <w:r w:rsidRPr="00010023">
        <w:rPr>
          <w:rFonts w:ascii="Times New Roman" w:hAnsi="Times New Roman" w:cs="Times New Roman"/>
          <w:sz w:val="22"/>
          <w:szCs w:val="22"/>
        </w:rPr>
        <w:t>,</w:t>
      </w:r>
      <w:proofErr w:type="gramEnd"/>
      <w:r w:rsidRPr="00010023">
        <w:rPr>
          <w:rFonts w:ascii="Times New Roman" w:hAnsi="Times New Roman" w:cs="Times New Roman"/>
          <w:sz w:val="22"/>
          <w:szCs w:val="22"/>
        </w:rPr>
        <w:t xml:space="preserve"> 2021.</w:t>
      </w:r>
    </w:p>
  </w:footnote>
  <w:footnote w:id="64">
    <w:p w14:paraId="473A52CC" w14:textId="0FB2A8D6"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en-US"/>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en-US"/>
        </w:rPr>
        <w:t xml:space="preserve"> B. VAN VEELEN, A. PINKER, M. TINGEY, G.T. AIKEN, W. EADSON, </w:t>
      </w:r>
      <w:r w:rsidRPr="00010023">
        <w:rPr>
          <w:rFonts w:ascii="Times New Roman" w:hAnsi="Times New Roman" w:cs="Times New Roman"/>
          <w:i/>
          <w:iCs/>
          <w:sz w:val="22"/>
          <w:szCs w:val="22"/>
          <w:lang w:val="en-US"/>
        </w:rPr>
        <w:t>What can energy research bring to social science?</w:t>
      </w:r>
      <w:r w:rsidRPr="00010023">
        <w:rPr>
          <w:rFonts w:ascii="Times New Roman" w:hAnsi="Times New Roman" w:cs="Times New Roman"/>
          <w:sz w:val="22"/>
          <w:szCs w:val="22"/>
          <w:lang w:val="en-US"/>
        </w:rPr>
        <w:t xml:space="preserve">, 2019, 57; E. VEEN, H. DAGEVOS, J.E. JANSMA, </w:t>
      </w:r>
      <w:r w:rsidRPr="00010023">
        <w:rPr>
          <w:rFonts w:ascii="Times New Roman" w:hAnsi="Times New Roman" w:cs="Times New Roman"/>
          <w:i/>
          <w:iCs/>
          <w:sz w:val="22"/>
          <w:szCs w:val="22"/>
          <w:lang w:val="en-US"/>
        </w:rPr>
        <w:t xml:space="preserve">Pragmatic </w:t>
      </w:r>
      <w:proofErr w:type="spellStart"/>
      <w:r w:rsidRPr="00010023">
        <w:rPr>
          <w:rFonts w:ascii="Times New Roman" w:hAnsi="Times New Roman" w:cs="Times New Roman"/>
          <w:i/>
          <w:iCs/>
          <w:sz w:val="22"/>
          <w:szCs w:val="22"/>
          <w:lang w:val="en-US"/>
        </w:rPr>
        <w:t>prosumption</w:t>
      </w:r>
      <w:proofErr w:type="spellEnd"/>
      <w:r w:rsidRPr="00010023">
        <w:rPr>
          <w:rFonts w:ascii="Times New Roman" w:hAnsi="Times New Roman" w:cs="Times New Roman"/>
          <w:sz w:val="22"/>
          <w:szCs w:val="22"/>
          <w:lang w:val="en-US"/>
        </w:rPr>
        <w:t xml:space="preserve">, 2021, 61(1), p. 255-277; J. VERWEIJEN, A. DUNLAP, </w:t>
      </w:r>
      <w:r w:rsidRPr="00010023">
        <w:rPr>
          <w:rFonts w:ascii="Times New Roman" w:hAnsi="Times New Roman" w:cs="Times New Roman"/>
          <w:i/>
          <w:iCs/>
          <w:sz w:val="22"/>
          <w:szCs w:val="22"/>
          <w:lang w:val="en-US"/>
        </w:rPr>
        <w:t>The evolving techniques of the social engineering of extraction</w:t>
      </w:r>
      <w:r w:rsidRPr="00010023">
        <w:rPr>
          <w:rFonts w:ascii="Times New Roman" w:hAnsi="Times New Roman" w:cs="Times New Roman"/>
          <w:sz w:val="22"/>
          <w:szCs w:val="22"/>
          <w:lang w:val="en-US"/>
        </w:rPr>
        <w:t xml:space="preserve">, 2021; S. VICARI-HADDOCK, E. MINGIONE, </w:t>
      </w:r>
      <w:proofErr w:type="spellStart"/>
      <w:r w:rsidRPr="00010023">
        <w:rPr>
          <w:rFonts w:ascii="Times New Roman" w:hAnsi="Times New Roman" w:cs="Times New Roman"/>
          <w:i/>
          <w:iCs/>
          <w:sz w:val="22"/>
          <w:szCs w:val="22"/>
          <w:lang w:val="en-US"/>
        </w:rPr>
        <w:t>Innovazione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sociale</w:t>
      </w:r>
      <w:proofErr w:type="spellEnd"/>
      <w:r w:rsidRPr="00010023">
        <w:rPr>
          <w:rFonts w:ascii="Times New Roman" w:hAnsi="Times New Roman" w:cs="Times New Roman"/>
          <w:i/>
          <w:iCs/>
          <w:sz w:val="22"/>
          <w:szCs w:val="22"/>
          <w:lang w:val="en-US"/>
        </w:rPr>
        <w:t xml:space="preserve"> e </w:t>
      </w:r>
      <w:proofErr w:type="spellStart"/>
      <w:r w:rsidRPr="00010023">
        <w:rPr>
          <w:rFonts w:ascii="Times New Roman" w:hAnsi="Times New Roman" w:cs="Times New Roman"/>
          <w:i/>
          <w:iCs/>
          <w:sz w:val="22"/>
          <w:szCs w:val="22"/>
          <w:lang w:val="en-US"/>
        </w:rPr>
        <w:t>città</w:t>
      </w:r>
      <w:proofErr w:type="spellEnd"/>
      <w:r w:rsidRPr="00010023">
        <w:rPr>
          <w:rFonts w:ascii="Times New Roman" w:hAnsi="Times New Roman" w:cs="Times New Roman"/>
          <w:sz w:val="22"/>
          <w:szCs w:val="22"/>
          <w:lang w:val="en-US"/>
        </w:rPr>
        <w:t xml:space="preserve">, 2017, 113, p. 13-29; M. WAHLUND, J. PALM, </w:t>
      </w:r>
      <w:r w:rsidRPr="00010023">
        <w:rPr>
          <w:rFonts w:ascii="Times New Roman" w:hAnsi="Times New Roman" w:cs="Times New Roman"/>
          <w:i/>
          <w:iCs/>
          <w:sz w:val="22"/>
          <w:szCs w:val="22"/>
          <w:lang w:val="en-US"/>
        </w:rPr>
        <w:t>The role of energy democracy</w:t>
      </w:r>
      <w:r w:rsidRPr="00010023">
        <w:rPr>
          <w:rFonts w:ascii="Times New Roman" w:hAnsi="Times New Roman" w:cs="Times New Roman"/>
          <w:sz w:val="22"/>
          <w:szCs w:val="22"/>
          <w:lang w:val="en-US"/>
        </w:rPr>
        <w:t>, 2022, 87.</w:t>
      </w:r>
    </w:p>
  </w:footnote>
  <w:footnote w:id="65">
    <w:p w14:paraId="049BEC5E" w14:textId="035858CB"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R. WUSTENHAGEN, M. WOLSINK, M.J. BURER, </w:t>
      </w:r>
      <w:r w:rsidRPr="00010023">
        <w:rPr>
          <w:rFonts w:ascii="Times New Roman" w:hAnsi="Times New Roman" w:cs="Times New Roman"/>
          <w:i/>
          <w:iCs/>
          <w:sz w:val="22"/>
          <w:szCs w:val="22"/>
          <w:lang w:val="fr-FR"/>
        </w:rPr>
        <w:t xml:space="preserve">Social acceptance of </w:t>
      </w:r>
      <w:proofErr w:type="spellStart"/>
      <w:r w:rsidRPr="00010023">
        <w:rPr>
          <w:rFonts w:ascii="Times New Roman" w:hAnsi="Times New Roman" w:cs="Times New Roman"/>
          <w:i/>
          <w:iCs/>
          <w:sz w:val="22"/>
          <w:szCs w:val="22"/>
          <w:lang w:val="fr-FR"/>
        </w:rPr>
        <w:t>renewable</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energy</w:t>
      </w:r>
      <w:proofErr w:type="spellEnd"/>
      <w:r w:rsidRPr="00010023">
        <w:rPr>
          <w:rFonts w:ascii="Times New Roman" w:hAnsi="Times New Roman" w:cs="Times New Roman"/>
          <w:i/>
          <w:iCs/>
          <w:sz w:val="22"/>
          <w:szCs w:val="22"/>
          <w:lang w:val="fr-FR"/>
        </w:rPr>
        <w:t xml:space="preserve"> innovation</w:t>
      </w:r>
      <w:r w:rsidRPr="00010023">
        <w:rPr>
          <w:rFonts w:ascii="Times New Roman" w:hAnsi="Times New Roman" w:cs="Times New Roman"/>
          <w:sz w:val="22"/>
          <w:szCs w:val="22"/>
          <w:lang w:val="fr-FR"/>
        </w:rPr>
        <w:t>, 2007, 35, p. 2683–2691.</w:t>
      </w:r>
    </w:p>
  </w:footnote>
  <w:footnote w:id="66">
    <w:p w14:paraId="3FC1C062" w14:textId="2ACCDB64"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G. SEYFANG, J.J. PARK, A. SMITH, </w:t>
      </w:r>
      <w:r w:rsidRPr="00010023">
        <w:rPr>
          <w:rFonts w:ascii="Times New Roman" w:hAnsi="Times New Roman" w:cs="Times New Roman"/>
          <w:i/>
          <w:iCs/>
          <w:sz w:val="22"/>
          <w:szCs w:val="22"/>
          <w:lang w:val="fr-FR"/>
        </w:rPr>
        <w:t xml:space="preserve">A </w:t>
      </w:r>
      <w:proofErr w:type="spellStart"/>
      <w:r w:rsidRPr="00010023">
        <w:rPr>
          <w:rFonts w:ascii="Times New Roman" w:hAnsi="Times New Roman" w:cs="Times New Roman"/>
          <w:i/>
          <w:iCs/>
          <w:sz w:val="22"/>
          <w:szCs w:val="22"/>
          <w:lang w:val="fr-FR"/>
        </w:rPr>
        <w:t>thousand</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flowers</w:t>
      </w:r>
      <w:proofErr w:type="spellEnd"/>
      <w:r w:rsidRPr="00010023">
        <w:rPr>
          <w:rFonts w:ascii="Times New Roman" w:hAnsi="Times New Roman" w:cs="Times New Roman"/>
          <w:i/>
          <w:iCs/>
          <w:sz w:val="22"/>
          <w:szCs w:val="22"/>
          <w:lang w:val="fr-FR"/>
        </w:rPr>
        <w:t xml:space="preserve"> </w:t>
      </w:r>
      <w:proofErr w:type="gramStart"/>
      <w:r w:rsidRPr="00010023">
        <w:rPr>
          <w:rFonts w:ascii="Times New Roman" w:hAnsi="Times New Roman" w:cs="Times New Roman"/>
          <w:i/>
          <w:iCs/>
          <w:sz w:val="22"/>
          <w:szCs w:val="22"/>
          <w:lang w:val="fr-FR"/>
        </w:rPr>
        <w:t>blooming?</w:t>
      </w:r>
      <w:r w:rsidRPr="00010023">
        <w:rPr>
          <w:rFonts w:ascii="Times New Roman" w:hAnsi="Times New Roman" w:cs="Times New Roman"/>
          <w:sz w:val="22"/>
          <w:szCs w:val="22"/>
          <w:lang w:val="fr-FR"/>
        </w:rPr>
        <w:t>,</w:t>
      </w:r>
      <w:proofErr w:type="gramEnd"/>
      <w:r w:rsidRPr="00010023">
        <w:rPr>
          <w:rFonts w:ascii="Times New Roman" w:hAnsi="Times New Roman" w:cs="Times New Roman"/>
          <w:sz w:val="22"/>
          <w:szCs w:val="22"/>
          <w:lang w:val="fr-FR"/>
        </w:rPr>
        <w:t xml:space="preserve"> in </w:t>
      </w:r>
      <w:r w:rsidRPr="00010023">
        <w:rPr>
          <w:rFonts w:ascii="Times New Roman" w:hAnsi="Times New Roman" w:cs="Times New Roman"/>
          <w:i/>
          <w:iCs/>
          <w:sz w:val="22"/>
          <w:szCs w:val="22"/>
          <w:lang w:val="fr-FR"/>
        </w:rPr>
        <w:t>Energy Policy</w:t>
      </w:r>
      <w:r w:rsidRPr="00010023">
        <w:rPr>
          <w:rFonts w:ascii="Times New Roman" w:hAnsi="Times New Roman" w:cs="Times New Roman"/>
          <w:sz w:val="22"/>
          <w:szCs w:val="22"/>
          <w:lang w:val="fr-FR"/>
        </w:rPr>
        <w:t>, 2013.</w:t>
      </w:r>
    </w:p>
  </w:footnote>
  <w:footnote w:id="67">
    <w:p w14:paraId="599C336D" w14:textId="4AD7FCFF"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N. MAGNANI, D. PATRUCCO, </w:t>
      </w:r>
      <w:r w:rsidRPr="00010023">
        <w:rPr>
          <w:rFonts w:ascii="Times New Roman" w:hAnsi="Times New Roman" w:cs="Times New Roman"/>
          <w:i/>
          <w:iCs/>
          <w:sz w:val="22"/>
          <w:szCs w:val="22"/>
          <w:lang w:val="fr-FR"/>
        </w:rPr>
        <w:t xml:space="preserve">Le </w:t>
      </w:r>
      <w:proofErr w:type="spellStart"/>
      <w:r w:rsidRPr="00010023">
        <w:rPr>
          <w:rFonts w:ascii="Times New Roman" w:hAnsi="Times New Roman" w:cs="Times New Roman"/>
          <w:i/>
          <w:iCs/>
          <w:sz w:val="22"/>
          <w:szCs w:val="22"/>
          <w:lang w:val="fr-FR"/>
        </w:rPr>
        <w:t>cooperative</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energetiche</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rinnovabili</w:t>
      </w:r>
      <w:proofErr w:type="spellEnd"/>
      <w:r w:rsidRPr="00010023">
        <w:rPr>
          <w:rFonts w:ascii="Times New Roman" w:hAnsi="Times New Roman" w:cs="Times New Roman"/>
          <w:i/>
          <w:iCs/>
          <w:sz w:val="22"/>
          <w:szCs w:val="22"/>
          <w:lang w:val="fr-FR"/>
        </w:rPr>
        <w:t xml:space="preserve"> in Italia</w:t>
      </w:r>
      <w:r w:rsidRPr="00010023">
        <w:rPr>
          <w:rFonts w:ascii="Times New Roman" w:hAnsi="Times New Roman" w:cs="Times New Roman"/>
          <w:sz w:val="22"/>
          <w:szCs w:val="22"/>
          <w:lang w:val="fr-FR"/>
        </w:rPr>
        <w:t xml:space="preserve">, EUT, Trieste, 2018, p. 187-207; T. VAN DER SCHOOR, H. VAN LENTE, B. SCHOLTENS, A. PEINE, </w:t>
      </w:r>
      <w:proofErr w:type="spellStart"/>
      <w:r w:rsidRPr="00010023">
        <w:rPr>
          <w:rFonts w:ascii="Times New Roman" w:hAnsi="Times New Roman" w:cs="Times New Roman"/>
          <w:i/>
          <w:iCs/>
          <w:sz w:val="22"/>
          <w:szCs w:val="22"/>
          <w:lang w:val="fr-FR"/>
        </w:rPr>
        <w:t>Challenging</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obduracy</w:t>
      </w:r>
      <w:proofErr w:type="spellEnd"/>
      <w:r w:rsidRPr="00010023">
        <w:rPr>
          <w:rFonts w:ascii="Times New Roman" w:hAnsi="Times New Roman" w:cs="Times New Roman"/>
          <w:sz w:val="22"/>
          <w:szCs w:val="22"/>
          <w:lang w:val="fr-FR"/>
        </w:rPr>
        <w:t xml:space="preserve">, 2016, 13, p. 94-105; E. VAN DER WAAL, H.J. VAN DER WINDT, E.C.J. VAN OOST, </w:t>
      </w:r>
      <w:r w:rsidRPr="00010023">
        <w:rPr>
          <w:rFonts w:ascii="Times New Roman" w:hAnsi="Times New Roman" w:cs="Times New Roman"/>
          <w:i/>
          <w:iCs/>
          <w:sz w:val="22"/>
          <w:szCs w:val="22"/>
          <w:lang w:val="fr-FR"/>
        </w:rPr>
        <w:t xml:space="preserve">How Local Energy Initiatives </w:t>
      </w:r>
      <w:proofErr w:type="spellStart"/>
      <w:r w:rsidRPr="00010023">
        <w:rPr>
          <w:rFonts w:ascii="Times New Roman" w:hAnsi="Times New Roman" w:cs="Times New Roman"/>
          <w:i/>
          <w:iCs/>
          <w:sz w:val="22"/>
          <w:szCs w:val="22"/>
          <w:lang w:val="fr-FR"/>
        </w:rPr>
        <w:t>Develop</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Technological</w:t>
      </w:r>
      <w:proofErr w:type="spellEnd"/>
      <w:r w:rsidRPr="00010023">
        <w:rPr>
          <w:rFonts w:ascii="Times New Roman" w:hAnsi="Times New Roman" w:cs="Times New Roman"/>
          <w:i/>
          <w:iCs/>
          <w:sz w:val="22"/>
          <w:szCs w:val="22"/>
          <w:lang w:val="fr-FR"/>
        </w:rPr>
        <w:t xml:space="preserve"> Innovations</w:t>
      </w:r>
      <w:r w:rsidRPr="00010023">
        <w:rPr>
          <w:rFonts w:ascii="Times New Roman" w:hAnsi="Times New Roman" w:cs="Times New Roman"/>
          <w:sz w:val="22"/>
          <w:szCs w:val="22"/>
          <w:lang w:val="fr-FR"/>
        </w:rPr>
        <w:t xml:space="preserve">, 2018 ; B. VAN DYCK, P. VAN DEN BROECK, </w:t>
      </w:r>
      <w:r w:rsidRPr="00010023">
        <w:rPr>
          <w:rFonts w:ascii="Times New Roman" w:hAnsi="Times New Roman" w:cs="Times New Roman"/>
          <w:i/>
          <w:iCs/>
          <w:sz w:val="22"/>
          <w:szCs w:val="22"/>
          <w:lang w:val="fr-FR"/>
        </w:rPr>
        <w:t>Social innovation: a territorial process</w:t>
      </w:r>
      <w:r w:rsidRPr="00010023">
        <w:rPr>
          <w:rFonts w:ascii="Times New Roman" w:hAnsi="Times New Roman" w:cs="Times New Roman"/>
          <w:sz w:val="22"/>
          <w:szCs w:val="22"/>
          <w:lang w:val="fr-FR"/>
        </w:rPr>
        <w:t>, 2013, p. 131-141.</w:t>
      </w:r>
    </w:p>
  </w:footnote>
  <w:footnote w:id="68">
    <w:p w14:paraId="61E829B7" w14:textId="4A61DC99"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fr-FR"/>
        </w:rPr>
        <w:t xml:space="preserve"> O.E. WILLIAMSON, </w:t>
      </w:r>
      <w:r w:rsidRPr="00010023">
        <w:rPr>
          <w:rFonts w:ascii="Times New Roman" w:hAnsi="Times New Roman" w:cs="Times New Roman"/>
          <w:i/>
          <w:iCs/>
          <w:sz w:val="22"/>
          <w:szCs w:val="22"/>
          <w:lang w:val="fr-FR"/>
        </w:rPr>
        <w:t xml:space="preserve">The </w:t>
      </w:r>
      <w:proofErr w:type="spellStart"/>
      <w:r w:rsidRPr="00010023">
        <w:rPr>
          <w:rFonts w:ascii="Times New Roman" w:hAnsi="Times New Roman" w:cs="Times New Roman"/>
          <w:i/>
          <w:iCs/>
          <w:sz w:val="22"/>
          <w:szCs w:val="22"/>
          <w:lang w:val="fr-FR"/>
        </w:rPr>
        <w:t>Economic</w:t>
      </w:r>
      <w:proofErr w:type="spellEnd"/>
      <w:r w:rsidRPr="00010023">
        <w:rPr>
          <w:rFonts w:ascii="Times New Roman" w:hAnsi="Times New Roman" w:cs="Times New Roman"/>
          <w:i/>
          <w:iCs/>
          <w:sz w:val="22"/>
          <w:szCs w:val="22"/>
          <w:lang w:val="fr-FR"/>
        </w:rPr>
        <w:t xml:space="preserve"> Institutions of </w:t>
      </w:r>
      <w:proofErr w:type="spellStart"/>
      <w:r w:rsidRPr="00010023">
        <w:rPr>
          <w:rFonts w:ascii="Times New Roman" w:hAnsi="Times New Roman" w:cs="Times New Roman"/>
          <w:i/>
          <w:iCs/>
          <w:sz w:val="22"/>
          <w:szCs w:val="22"/>
          <w:lang w:val="fr-FR"/>
        </w:rPr>
        <w:t>Capitalism</w:t>
      </w:r>
      <w:proofErr w:type="spellEnd"/>
      <w:r w:rsidRPr="00010023">
        <w:rPr>
          <w:rFonts w:ascii="Times New Roman" w:hAnsi="Times New Roman" w:cs="Times New Roman"/>
          <w:sz w:val="22"/>
          <w:szCs w:val="22"/>
          <w:lang w:val="fr-FR"/>
        </w:rPr>
        <w:t xml:space="preserve">, 1986 ; M. WOLSINK, </w:t>
      </w:r>
      <w:proofErr w:type="spellStart"/>
      <w:r w:rsidRPr="00010023">
        <w:rPr>
          <w:rFonts w:ascii="Times New Roman" w:hAnsi="Times New Roman" w:cs="Times New Roman"/>
          <w:i/>
          <w:iCs/>
          <w:sz w:val="22"/>
          <w:szCs w:val="22"/>
          <w:lang w:val="fr-FR"/>
        </w:rPr>
        <w:t>Invalid</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theory</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impedes</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our</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understanding</w:t>
      </w:r>
      <w:proofErr w:type="spellEnd"/>
      <w:r w:rsidRPr="00010023">
        <w:rPr>
          <w:rFonts w:ascii="Times New Roman" w:hAnsi="Times New Roman" w:cs="Times New Roman"/>
          <w:sz w:val="22"/>
          <w:szCs w:val="22"/>
          <w:lang w:val="fr-FR"/>
        </w:rPr>
        <w:t>, 2006, p. 85–91.</w:t>
      </w:r>
    </w:p>
  </w:footnote>
  <w:footnote w:id="69">
    <w:p w14:paraId="645D6D7E" w14:textId="63ECB262"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G. BATTISTI, </w:t>
      </w:r>
      <w:r w:rsidRPr="00010023">
        <w:rPr>
          <w:rFonts w:ascii="Times New Roman" w:hAnsi="Times New Roman" w:cs="Times New Roman"/>
          <w:i/>
          <w:iCs/>
          <w:sz w:val="22"/>
          <w:szCs w:val="22"/>
        </w:rPr>
        <w:t>Quale transizione energetica? Il ruolo delle fonti alternative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Est-Ovest Rivista interdisciplinare di studi sull’integrazione europea,</w:t>
      </w:r>
      <w:r w:rsidRPr="00010023">
        <w:rPr>
          <w:rFonts w:ascii="Times New Roman" w:hAnsi="Times New Roman" w:cs="Times New Roman"/>
          <w:sz w:val="22"/>
          <w:szCs w:val="22"/>
        </w:rPr>
        <w:t xml:space="preserve"> 2009.</w:t>
      </w:r>
    </w:p>
  </w:footnote>
  <w:footnote w:id="70">
    <w:p w14:paraId="4E980B5F" w14:textId="7A9B201B"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en-US"/>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A. MAGNAGHI, </w:t>
      </w:r>
      <w:r w:rsidRPr="00010023">
        <w:rPr>
          <w:rFonts w:ascii="Times New Roman" w:hAnsi="Times New Roman" w:cs="Times New Roman"/>
          <w:i/>
          <w:iCs/>
          <w:sz w:val="22"/>
          <w:szCs w:val="22"/>
        </w:rPr>
        <w:t>Dalla partecipazione all’autogoverno della comunità locale</w:t>
      </w:r>
      <w:r w:rsidRPr="00010023">
        <w:rPr>
          <w:rFonts w:ascii="Times New Roman" w:hAnsi="Times New Roman" w:cs="Times New Roman"/>
          <w:sz w:val="22"/>
          <w:szCs w:val="22"/>
        </w:rPr>
        <w:t xml:space="preserve">, in Democrazia e Diritto, 2006, 3, p. 134-150; id </w:t>
      </w:r>
      <w:r w:rsidRPr="00010023">
        <w:rPr>
          <w:rFonts w:ascii="Times New Roman" w:hAnsi="Times New Roman" w:cs="Times New Roman"/>
          <w:i/>
          <w:iCs/>
          <w:sz w:val="22"/>
          <w:szCs w:val="22"/>
        </w:rPr>
        <w:t>Il territorio come soggetto di sviluppo delle società locali</w:t>
      </w:r>
      <w:r w:rsidRPr="00010023">
        <w:rPr>
          <w:rFonts w:ascii="Times New Roman" w:hAnsi="Times New Roman" w:cs="Times New Roman"/>
          <w:sz w:val="22"/>
          <w:szCs w:val="22"/>
        </w:rPr>
        <w:t xml:space="preserve">, in Etica ed economia, 2007, 2, p. 51-70; id </w:t>
      </w:r>
      <w:r w:rsidRPr="00010023">
        <w:rPr>
          <w:rFonts w:ascii="Times New Roman" w:hAnsi="Times New Roman" w:cs="Times New Roman"/>
          <w:i/>
          <w:iCs/>
          <w:sz w:val="22"/>
          <w:szCs w:val="22"/>
        </w:rPr>
        <w:t>Massimo Quaini, territorialista</w:t>
      </w:r>
      <w:r w:rsidRPr="00010023">
        <w:rPr>
          <w:rFonts w:ascii="Times New Roman" w:hAnsi="Times New Roman" w:cs="Times New Roman"/>
          <w:sz w:val="22"/>
          <w:szCs w:val="22"/>
        </w:rPr>
        <w:t xml:space="preserve">, Firenze University Press, 2021, p. 125-140; A. MAGNAGHI, F. SALA, </w:t>
      </w:r>
      <w:r w:rsidRPr="00010023">
        <w:rPr>
          <w:rFonts w:ascii="Times New Roman" w:hAnsi="Times New Roman" w:cs="Times New Roman"/>
          <w:i/>
          <w:iCs/>
          <w:sz w:val="22"/>
          <w:szCs w:val="22"/>
        </w:rPr>
        <w:t>Il territorio fabbrica di energia</w:t>
      </w:r>
      <w:r w:rsidRPr="00010023">
        <w:rPr>
          <w:rFonts w:ascii="Times New Roman" w:hAnsi="Times New Roman" w:cs="Times New Roman"/>
          <w:sz w:val="22"/>
          <w:szCs w:val="22"/>
        </w:rPr>
        <w:t xml:space="preserve">, Wolters Kluwer Italia, Milano, 2013; N. MAGNANI, </w:t>
      </w:r>
      <w:proofErr w:type="spellStart"/>
      <w:r w:rsidRPr="00010023">
        <w:rPr>
          <w:rFonts w:ascii="Times New Roman" w:hAnsi="Times New Roman" w:cs="Times New Roman"/>
          <w:i/>
          <w:iCs/>
          <w:sz w:val="22"/>
          <w:szCs w:val="22"/>
        </w:rPr>
        <w:t>Introduction</w:t>
      </w:r>
      <w:proofErr w:type="spellEnd"/>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Understanding</w:t>
      </w:r>
      <w:proofErr w:type="spellEnd"/>
      <w:r w:rsidRPr="00010023">
        <w:rPr>
          <w:rFonts w:ascii="Times New Roman" w:hAnsi="Times New Roman" w:cs="Times New Roman"/>
          <w:i/>
          <w:iCs/>
          <w:sz w:val="22"/>
          <w:szCs w:val="22"/>
        </w:rPr>
        <w:t xml:space="preserve"> the Energy </w:t>
      </w:r>
      <w:proofErr w:type="spellStart"/>
      <w:r w:rsidRPr="00010023">
        <w:rPr>
          <w:rFonts w:ascii="Times New Roman" w:hAnsi="Times New Roman" w:cs="Times New Roman"/>
          <w:i/>
          <w:iCs/>
          <w:sz w:val="22"/>
          <w:szCs w:val="22"/>
        </w:rPr>
        <w:t>Transition</w:t>
      </w:r>
      <w:proofErr w:type="spellEnd"/>
      <w:r w:rsidRPr="00010023">
        <w:rPr>
          <w:rFonts w:ascii="Times New Roman" w:hAnsi="Times New Roman" w:cs="Times New Roman"/>
          <w:sz w:val="22"/>
          <w:szCs w:val="22"/>
        </w:rPr>
        <w:t xml:space="preserve">, </w:t>
      </w:r>
      <w:proofErr w:type="spellStart"/>
      <w:r w:rsidRPr="00010023">
        <w:rPr>
          <w:rFonts w:ascii="Times New Roman" w:hAnsi="Times New Roman" w:cs="Times New Roman"/>
          <w:sz w:val="22"/>
          <w:szCs w:val="22"/>
        </w:rPr>
        <w:t>Palgrave</w:t>
      </w:r>
      <w:proofErr w:type="spellEnd"/>
      <w:r w:rsidRPr="00010023">
        <w:rPr>
          <w:rFonts w:ascii="Times New Roman" w:hAnsi="Times New Roman" w:cs="Times New Roman"/>
          <w:sz w:val="22"/>
          <w:szCs w:val="22"/>
        </w:rPr>
        <w:t xml:space="preserve"> Macmillan, Cham, 2021; . </w:t>
      </w:r>
      <w:r w:rsidRPr="00010023">
        <w:rPr>
          <w:rFonts w:ascii="Times New Roman" w:hAnsi="Times New Roman" w:cs="Times New Roman"/>
          <w:sz w:val="22"/>
          <w:szCs w:val="22"/>
          <w:lang w:val="en-US"/>
        </w:rPr>
        <w:t xml:space="preserve">MAGNANI, G. CARROSIO, </w:t>
      </w:r>
      <w:r w:rsidRPr="00010023">
        <w:rPr>
          <w:rFonts w:ascii="Times New Roman" w:hAnsi="Times New Roman" w:cs="Times New Roman"/>
          <w:i/>
          <w:iCs/>
          <w:sz w:val="22"/>
          <w:szCs w:val="22"/>
          <w:lang w:val="en-US"/>
        </w:rPr>
        <w:t>Understanding the Energy Transition</w:t>
      </w:r>
      <w:r w:rsidRPr="00010023">
        <w:rPr>
          <w:rFonts w:ascii="Times New Roman" w:hAnsi="Times New Roman" w:cs="Times New Roman"/>
          <w:sz w:val="22"/>
          <w:szCs w:val="22"/>
          <w:lang w:val="en-US"/>
        </w:rPr>
        <w:t>, Springer Nature, Berlin, 2021.</w:t>
      </w:r>
    </w:p>
  </w:footnote>
  <w:footnote w:id="71">
    <w:p w14:paraId="50F8B9E3" w14:textId="1BF988C4"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en-US"/>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en-US"/>
        </w:rPr>
        <w:t xml:space="preserve"> Sulla </w:t>
      </w:r>
      <w:proofErr w:type="spellStart"/>
      <w:r w:rsidRPr="00010023">
        <w:rPr>
          <w:rFonts w:ascii="Times New Roman" w:hAnsi="Times New Roman" w:cs="Times New Roman"/>
          <w:sz w:val="22"/>
          <w:szCs w:val="22"/>
          <w:lang w:val="en-US"/>
        </w:rPr>
        <w:t>rilevanza</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degli</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investimenti</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pubblici</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intesi</w:t>
      </w:r>
      <w:proofErr w:type="spellEnd"/>
      <w:r w:rsidRPr="00010023">
        <w:rPr>
          <w:rFonts w:ascii="Times New Roman" w:hAnsi="Times New Roman" w:cs="Times New Roman"/>
          <w:sz w:val="22"/>
          <w:szCs w:val="22"/>
          <w:lang w:val="en-US"/>
        </w:rPr>
        <w:t xml:space="preserve"> come </w:t>
      </w:r>
      <w:proofErr w:type="spellStart"/>
      <w:r w:rsidRPr="00010023">
        <w:rPr>
          <w:rFonts w:ascii="Times New Roman" w:hAnsi="Times New Roman" w:cs="Times New Roman"/>
          <w:sz w:val="22"/>
          <w:szCs w:val="22"/>
          <w:lang w:val="en-US"/>
        </w:rPr>
        <w:t>forme</w:t>
      </w:r>
      <w:proofErr w:type="spellEnd"/>
      <w:r w:rsidRPr="00010023">
        <w:rPr>
          <w:rFonts w:ascii="Times New Roman" w:hAnsi="Times New Roman" w:cs="Times New Roman"/>
          <w:sz w:val="22"/>
          <w:szCs w:val="22"/>
          <w:lang w:val="en-US"/>
        </w:rPr>
        <w:t xml:space="preserve"> di </w:t>
      </w:r>
      <w:proofErr w:type="spellStart"/>
      <w:r w:rsidRPr="00010023">
        <w:rPr>
          <w:rFonts w:ascii="Times New Roman" w:hAnsi="Times New Roman" w:cs="Times New Roman"/>
          <w:sz w:val="22"/>
          <w:szCs w:val="22"/>
          <w:lang w:val="en-US"/>
        </w:rPr>
        <w:t>incentivi</w:t>
      </w:r>
      <w:proofErr w:type="spellEnd"/>
      <w:r w:rsidRPr="00010023">
        <w:rPr>
          <w:rFonts w:ascii="Times New Roman" w:hAnsi="Times New Roman" w:cs="Times New Roman"/>
          <w:sz w:val="22"/>
          <w:szCs w:val="22"/>
          <w:lang w:val="en-US"/>
        </w:rPr>
        <w:t xml:space="preserve"> in </w:t>
      </w:r>
      <w:proofErr w:type="spellStart"/>
      <w:r w:rsidRPr="00010023">
        <w:rPr>
          <w:rFonts w:ascii="Times New Roman" w:hAnsi="Times New Roman" w:cs="Times New Roman"/>
          <w:sz w:val="22"/>
          <w:szCs w:val="22"/>
          <w:lang w:val="en-US"/>
        </w:rPr>
        <w:t>favore</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della</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collettività</w:t>
      </w:r>
      <w:proofErr w:type="spellEnd"/>
      <w:r w:rsidRPr="00010023">
        <w:rPr>
          <w:rFonts w:ascii="Times New Roman" w:hAnsi="Times New Roman" w:cs="Times New Roman"/>
          <w:sz w:val="22"/>
          <w:szCs w:val="22"/>
          <w:lang w:val="en-US"/>
        </w:rPr>
        <w:t xml:space="preserve"> in </w:t>
      </w:r>
      <w:proofErr w:type="spellStart"/>
      <w:r w:rsidRPr="00010023">
        <w:rPr>
          <w:rFonts w:ascii="Times New Roman" w:hAnsi="Times New Roman" w:cs="Times New Roman"/>
          <w:sz w:val="22"/>
          <w:szCs w:val="22"/>
          <w:lang w:val="en-US"/>
        </w:rPr>
        <w:t>letteratura</w:t>
      </w:r>
      <w:proofErr w:type="spellEnd"/>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si</w:t>
      </w:r>
      <w:proofErr w:type="spellEnd"/>
      <w:r w:rsidRPr="00010023">
        <w:rPr>
          <w:rFonts w:ascii="Times New Roman" w:hAnsi="Times New Roman" w:cs="Times New Roman"/>
          <w:sz w:val="22"/>
          <w:szCs w:val="22"/>
          <w:lang w:val="en-US"/>
        </w:rPr>
        <w:t xml:space="preserve"> v., A. SMITH, </w:t>
      </w:r>
      <w:r w:rsidRPr="00010023">
        <w:rPr>
          <w:rFonts w:ascii="Times New Roman" w:hAnsi="Times New Roman" w:cs="Times New Roman"/>
          <w:i/>
          <w:iCs/>
          <w:sz w:val="22"/>
          <w:szCs w:val="22"/>
          <w:lang w:val="en-US"/>
        </w:rPr>
        <w:t xml:space="preserve">Translating </w:t>
      </w:r>
      <w:proofErr w:type="spellStart"/>
      <w:r w:rsidRPr="00010023">
        <w:rPr>
          <w:rFonts w:ascii="Times New Roman" w:hAnsi="Times New Roman" w:cs="Times New Roman"/>
          <w:i/>
          <w:iCs/>
          <w:sz w:val="22"/>
          <w:szCs w:val="22"/>
          <w:lang w:val="en-US"/>
        </w:rPr>
        <w:t>sustainabilities</w:t>
      </w:r>
      <w:proofErr w:type="spellEnd"/>
      <w:r w:rsidRPr="00010023">
        <w:rPr>
          <w:rFonts w:ascii="Times New Roman" w:hAnsi="Times New Roman" w:cs="Times New Roman"/>
          <w:sz w:val="22"/>
          <w:szCs w:val="22"/>
          <w:lang w:val="en-US"/>
        </w:rPr>
        <w:t xml:space="preserve">, 2007, 19, p. 427-450; A. SMITH, A. STIRLING, F. BERKHOUT, </w:t>
      </w:r>
      <w:r w:rsidRPr="00010023">
        <w:rPr>
          <w:rFonts w:ascii="Times New Roman" w:hAnsi="Times New Roman" w:cs="Times New Roman"/>
          <w:i/>
          <w:iCs/>
          <w:sz w:val="22"/>
          <w:szCs w:val="22"/>
          <w:lang w:val="en-US"/>
        </w:rPr>
        <w:t>The governance of sustainable socio-technical transitions</w:t>
      </w:r>
      <w:r w:rsidRPr="00010023">
        <w:rPr>
          <w:rFonts w:ascii="Times New Roman" w:hAnsi="Times New Roman" w:cs="Times New Roman"/>
          <w:sz w:val="22"/>
          <w:szCs w:val="22"/>
          <w:lang w:val="en-US"/>
        </w:rPr>
        <w:t xml:space="preserve">, 2005, 34, p. 1491 ss.; A. SMITH, J.P. VOB, J. GRIN, </w:t>
      </w:r>
      <w:r w:rsidRPr="00010023">
        <w:rPr>
          <w:rFonts w:ascii="Times New Roman" w:hAnsi="Times New Roman" w:cs="Times New Roman"/>
          <w:i/>
          <w:iCs/>
          <w:sz w:val="22"/>
          <w:szCs w:val="22"/>
          <w:lang w:val="en-US"/>
        </w:rPr>
        <w:t>Innovation Studies and Sustainability Transitions</w:t>
      </w:r>
      <w:r w:rsidRPr="00010023">
        <w:rPr>
          <w:rFonts w:ascii="Times New Roman" w:hAnsi="Times New Roman" w:cs="Times New Roman"/>
          <w:sz w:val="22"/>
          <w:szCs w:val="22"/>
          <w:lang w:val="en-US"/>
        </w:rPr>
        <w:t>, 2010, 39, p. 435-448.</w:t>
      </w:r>
    </w:p>
  </w:footnote>
  <w:footnote w:id="72">
    <w:p w14:paraId="42E3FB02" w14:textId="31B22270"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 BONESIO, </w:t>
      </w:r>
      <w:r w:rsidRPr="00010023">
        <w:rPr>
          <w:rFonts w:ascii="Times New Roman" w:hAnsi="Times New Roman" w:cs="Times New Roman"/>
          <w:i/>
          <w:iCs/>
          <w:sz w:val="22"/>
          <w:szCs w:val="22"/>
        </w:rPr>
        <w:t>Il progetto di paesaggio nell’approccio territorialista</w:t>
      </w:r>
      <w:r w:rsidRPr="00010023">
        <w:rPr>
          <w:rFonts w:ascii="Times New Roman" w:hAnsi="Times New Roman" w:cs="Times New Roman"/>
          <w:sz w:val="22"/>
          <w:szCs w:val="22"/>
        </w:rPr>
        <w:t xml:space="preserve">, in Contesti: città, territori, progetti, 2010, 2, p. 55-61; G. BOTTAZZI, </w:t>
      </w:r>
      <w:r w:rsidRPr="00010023">
        <w:rPr>
          <w:rFonts w:ascii="Times New Roman" w:hAnsi="Times New Roman" w:cs="Times New Roman"/>
          <w:i/>
          <w:iCs/>
          <w:sz w:val="22"/>
          <w:szCs w:val="22"/>
        </w:rPr>
        <w:t>Dal basso o dall’alto? Riflessioni su sviluppo locale e programmazione negoziata in Sardegna</w:t>
      </w:r>
      <w:r w:rsidRPr="00010023">
        <w:rPr>
          <w:rFonts w:ascii="Times New Roman" w:hAnsi="Times New Roman" w:cs="Times New Roman"/>
          <w:sz w:val="22"/>
          <w:szCs w:val="22"/>
        </w:rPr>
        <w:t xml:space="preserve">, Franco Angeli, Milano, 2005; G. BOTTAZZI, </w:t>
      </w:r>
      <w:r w:rsidRPr="00010023">
        <w:rPr>
          <w:rFonts w:ascii="Times New Roman" w:hAnsi="Times New Roman" w:cs="Times New Roman"/>
          <w:i/>
          <w:iCs/>
          <w:sz w:val="22"/>
          <w:szCs w:val="22"/>
        </w:rPr>
        <w:t>Ripensando lo sviluppo locale. Considerazioni sulla programmazione negoziata</w:t>
      </w:r>
      <w:r w:rsidRPr="00010023">
        <w:rPr>
          <w:rFonts w:ascii="Times New Roman" w:hAnsi="Times New Roman" w:cs="Times New Roman"/>
          <w:sz w:val="22"/>
          <w:szCs w:val="22"/>
        </w:rPr>
        <w:t xml:space="preserve">, in F.P. Cerase (a cura di), </w:t>
      </w:r>
      <w:r w:rsidRPr="00010023">
        <w:rPr>
          <w:rFonts w:ascii="Times New Roman" w:hAnsi="Times New Roman" w:cs="Times New Roman"/>
          <w:i/>
          <w:iCs/>
          <w:sz w:val="22"/>
          <w:szCs w:val="22"/>
        </w:rPr>
        <w:t>Lo sviluppo possibile</w:t>
      </w:r>
      <w:r w:rsidRPr="00010023">
        <w:rPr>
          <w:rFonts w:ascii="Times New Roman" w:hAnsi="Times New Roman" w:cs="Times New Roman"/>
          <w:sz w:val="22"/>
          <w:szCs w:val="22"/>
        </w:rPr>
        <w:t xml:space="preserve">, Franco Angeli, Milano, 2005; D. CERSOSIMO, G. WOLLEB, </w:t>
      </w:r>
      <w:r w:rsidRPr="00010023">
        <w:rPr>
          <w:rFonts w:ascii="Times New Roman" w:hAnsi="Times New Roman" w:cs="Times New Roman"/>
          <w:i/>
          <w:iCs/>
          <w:sz w:val="22"/>
          <w:szCs w:val="22"/>
        </w:rPr>
        <w:t>Economie dal basso. Un itinerario nell’Italia locale</w:t>
      </w:r>
      <w:r w:rsidRPr="00010023">
        <w:rPr>
          <w:rFonts w:ascii="Times New Roman" w:hAnsi="Times New Roman" w:cs="Times New Roman"/>
          <w:sz w:val="22"/>
          <w:szCs w:val="22"/>
        </w:rPr>
        <w:t xml:space="preserve">, Donzelli, Roma, 2006; D. CERSOSIMO, G. WOLLEB, </w:t>
      </w:r>
      <w:r w:rsidRPr="00010023">
        <w:rPr>
          <w:rFonts w:ascii="Times New Roman" w:hAnsi="Times New Roman" w:cs="Times New Roman"/>
          <w:i/>
          <w:iCs/>
          <w:sz w:val="22"/>
          <w:szCs w:val="22"/>
        </w:rPr>
        <w:t>Politiche pubbliche e contesti istituzionali. Una ricerca sui Patti Territoriali</w:t>
      </w:r>
      <w:r w:rsidRPr="00010023">
        <w:rPr>
          <w:rFonts w:ascii="Times New Roman" w:hAnsi="Times New Roman" w:cs="Times New Roman"/>
          <w:sz w:val="22"/>
          <w:szCs w:val="22"/>
        </w:rPr>
        <w:t xml:space="preserve">, in Stato e Mercato, 2001; A. CIARINI, S. NERI, </w:t>
      </w:r>
      <w:r w:rsidRPr="00010023">
        <w:rPr>
          <w:rFonts w:ascii="Times New Roman" w:hAnsi="Times New Roman" w:cs="Times New Roman"/>
          <w:i/>
          <w:iCs/>
          <w:sz w:val="22"/>
          <w:szCs w:val="22"/>
        </w:rPr>
        <w:t>Innovazione sociale, auto-organizzazione e azione pubblica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La Rivista delle Politiche Sociali</w:t>
      </w:r>
      <w:r w:rsidRPr="00010023">
        <w:rPr>
          <w:rFonts w:ascii="Times New Roman" w:hAnsi="Times New Roman" w:cs="Times New Roman"/>
          <w:sz w:val="22"/>
          <w:szCs w:val="22"/>
        </w:rPr>
        <w:t xml:space="preserve">, 2019, 1, p. 9-22; C. DONOLO, </w:t>
      </w:r>
      <w:r w:rsidRPr="00010023">
        <w:rPr>
          <w:rFonts w:ascii="Times New Roman" w:hAnsi="Times New Roman" w:cs="Times New Roman"/>
          <w:i/>
          <w:iCs/>
          <w:sz w:val="22"/>
          <w:szCs w:val="22"/>
        </w:rPr>
        <w:t>Dalle politiche pubbliche alle pratiche sociali</w:t>
      </w:r>
      <w:r w:rsidRPr="00010023">
        <w:rPr>
          <w:rFonts w:ascii="Times New Roman" w:hAnsi="Times New Roman" w:cs="Times New Roman"/>
          <w:sz w:val="22"/>
          <w:szCs w:val="22"/>
        </w:rPr>
        <w:t xml:space="preserve">, in Stato e Mercato, 2005, 1, p. 33-66; id </w:t>
      </w:r>
      <w:r w:rsidRPr="00010023">
        <w:rPr>
          <w:rFonts w:ascii="Times New Roman" w:hAnsi="Times New Roman" w:cs="Times New Roman"/>
          <w:i/>
          <w:iCs/>
          <w:sz w:val="22"/>
          <w:szCs w:val="22"/>
        </w:rPr>
        <w:t>Fiducia: un bene comune</w:t>
      </w:r>
      <w:r w:rsidRPr="00010023">
        <w:rPr>
          <w:rFonts w:ascii="Times New Roman" w:hAnsi="Times New Roman" w:cs="Times New Roman"/>
          <w:sz w:val="22"/>
          <w:szCs w:val="22"/>
        </w:rPr>
        <w:t>, in Parolechiave, 2009;</w:t>
      </w:r>
      <w:r w:rsidRPr="00010023">
        <w:rPr>
          <w:rFonts w:ascii="Times New Roman" w:eastAsia="Times New Roman" w:hAnsi="Times New Roman" w:cs="Times New Roman"/>
          <w:sz w:val="22"/>
          <w:szCs w:val="22"/>
        </w:rPr>
        <w:t xml:space="preserve"> </w:t>
      </w:r>
      <w:r w:rsidRPr="00010023">
        <w:rPr>
          <w:rFonts w:ascii="Times New Roman" w:hAnsi="Times New Roman" w:cs="Times New Roman"/>
          <w:sz w:val="22"/>
          <w:szCs w:val="22"/>
        </w:rPr>
        <w:t xml:space="preserve">D. POLI, </w:t>
      </w:r>
      <w:r w:rsidRPr="00010023">
        <w:rPr>
          <w:rFonts w:ascii="Times New Roman" w:hAnsi="Times New Roman" w:cs="Times New Roman"/>
          <w:i/>
          <w:iCs/>
          <w:sz w:val="22"/>
          <w:szCs w:val="22"/>
        </w:rPr>
        <w:t>Il patrimonio territoriale</w:t>
      </w:r>
      <w:r w:rsidRPr="00010023">
        <w:rPr>
          <w:rFonts w:ascii="Times New Roman" w:hAnsi="Times New Roman" w:cs="Times New Roman"/>
          <w:sz w:val="22"/>
          <w:szCs w:val="22"/>
        </w:rPr>
        <w:t xml:space="preserve">, Rosenberg e Sellier, 2015, p. 123-140: M. PUTTILLI, </w:t>
      </w:r>
      <w:r w:rsidRPr="00010023">
        <w:rPr>
          <w:rFonts w:ascii="Times New Roman" w:hAnsi="Times New Roman" w:cs="Times New Roman"/>
          <w:i/>
          <w:iCs/>
          <w:sz w:val="22"/>
          <w:szCs w:val="22"/>
        </w:rPr>
        <w:t>Per un approccio geografico alla transizione energetica</w:t>
      </w:r>
      <w:r w:rsidRPr="00010023">
        <w:rPr>
          <w:rFonts w:ascii="Times New Roman" w:hAnsi="Times New Roman" w:cs="Times New Roman"/>
          <w:sz w:val="22"/>
          <w:szCs w:val="22"/>
        </w:rPr>
        <w:t xml:space="preserve">, 2009; K. YENNETI, R. DAY, O. GOLUBEHIKO, </w:t>
      </w:r>
      <w:proofErr w:type="spellStart"/>
      <w:r w:rsidRPr="00010023">
        <w:rPr>
          <w:rFonts w:ascii="Times New Roman" w:hAnsi="Times New Roman" w:cs="Times New Roman"/>
          <w:i/>
          <w:iCs/>
          <w:sz w:val="22"/>
          <w:szCs w:val="22"/>
        </w:rPr>
        <w:t>Spatial</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justice</w:t>
      </w:r>
      <w:proofErr w:type="spellEnd"/>
      <w:r w:rsidRPr="00010023">
        <w:rPr>
          <w:rFonts w:ascii="Times New Roman" w:hAnsi="Times New Roman" w:cs="Times New Roman"/>
          <w:i/>
          <w:iCs/>
          <w:sz w:val="22"/>
          <w:szCs w:val="22"/>
        </w:rPr>
        <w:t xml:space="preserve"> and the </w:t>
      </w:r>
      <w:proofErr w:type="spellStart"/>
      <w:r w:rsidRPr="00010023">
        <w:rPr>
          <w:rFonts w:ascii="Times New Roman" w:hAnsi="Times New Roman" w:cs="Times New Roman"/>
          <w:i/>
          <w:iCs/>
          <w:sz w:val="22"/>
          <w:szCs w:val="22"/>
        </w:rPr>
        <w:t>land</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politics</w:t>
      </w:r>
      <w:proofErr w:type="spellEnd"/>
      <w:r w:rsidRPr="00010023">
        <w:rPr>
          <w:rFonts w:ascii="Times New Roman" w:hAnsi="Times New Roman" w:cs="Times New Roman"/>
          <w:i/>
          <w:iCs/>
          <w:sz w:val="22"/>
          <w:szCs w:val="22"/>
        </w:rPr>
        <w:t xml:space="preserve"> of </w:t>
      </w:r>
      <w:proofErr w:type="spellStart"/>
      <w:r w:rsidRPr="00010023">
        <w:rPr>
          <w:rFonts w:ascii="Times New Roman" w:hAnsi="Times New Roman" w:cs="Times New Roman"/>
          <w:i/>
          <w:iCs/>
          <w:sz w:val="22"/>
          <w:szCs w:val="22"/>
        </w:rPr>
        <w:t>renewables</w:t>
      </w:r>
      <w:proofErr w:type="spellEnd"/>
      <w:r w:rsidRPr="00010023">
        <w:rPr>
          <w:rFonts w:ascii="Times New Roman" w:hAnsi="Times New Roman" w:cs="Times New Roman"/>
          <w:sz w:val="22"/>
          <w:szCs w:val="22"/>
        </w:rPr>
        <w:t xml:space="preserve">, 2016, 76, p. 90–99; P.P. ZAMPIERI, </w:t>
      </w:r>
      <w:r w:rsidRPr="00010023">
        <w:rPr>
          <w:rFonts w:ascii="Times New Roman" w:hAnsi="Times New Roman" w:cs="Times New Roman"/>
          <w:i/>
          <w:iCs/>
          <w:sz w:val="22"/>
          <w:szCs w:val="22"/>
        </w:rPr>
        <w:t>Outsider art, paesaggio e territorio</w:t>
      </w:r>
      <w:r w:rsidRPr="00010023">
        <w:rPr>
          <w:rFonts w:ascii="Times New Roman" w:hAnsi="Times New Roman" w:cs="Times New Roman"/>
          <w:sz w:val="22"/>
          <w:szCs w:val="22"/>
        </w:rPr>
        <w:t xml:space="preserve">, 2015, p. 103-112; P.P. ZAMPIERI, </w:t>
      </w:r>
      <w:r w:rsidRPr="00010023">
        <w:rPr>
          <w:rFonts w:ascii="Times New Roman" w:hAnsi="Times New Roman" w:cs="Times New Roman"/>
          <w:i/>
          <w:iCs/>
          <w:sz w:val="22"/>
          <w:szCs w:val="22"/>
        </w:rPr>
        <w:t>Esplorazioni urbane</w:t>
      </w:r>
      <w:r w:rsidRPr="00010023">
        <w:rPr>
          <w:rFonts w:ascii="Times New Roman" w:hAnsi="Times New Roman" w:cs="Times New Roman"/>
          <w:sz w:val="22"/>
          <w:szCs w:val="22"/>
        </w:rPr>
        <w:t>, Il Mulino, 2018.</w:t>
      </w:r>
    </w:p>
  </w:footnote>
  <w:footnote w:id="73">
    <w:p w14:paraId="7643DEAA" w14:textId="36BDC2F8" w:rsidR="00DF358B" w:rsidRPr="00717E4C"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Reperibili integralmente sul sito </w:t>
      </w:r>
      <w:hyperlink r:id="rId7" w:history="1">
        <w:r w:rsidRPr="00A20C72">
          <w:rPr>
            <w:rStyle w:val="Collegamentoipertestuale"/>
            <w:rFonts w:ascii="Times New Roman" w:hAnsi="Times New Roman" w:cs="Times New Roman"/>
            <w:i/>
            <w:iCs/>
            <w:sz w:val="22"/>
            <w:szCs w:val="22"/>
          </w:rPr>
          <w:t>https://www.gse.it/servizi-per-te/news/cacer-aggiornate-le-regole-operative-e-pubblicato-il-decreto-corrispettivi</w:t>
        </w:r>
      </w:hyperlink>
      <w:r w:rsidRPr="00010023">
        <w:rPr>
          <w:rFonts w:ascii="Times New Roman" w:hAnsi="Times New Roman" w:cs="Times New Roman"/>
          <w:i/>
          <w:iCs/>
          <w:sz w:val="22"/>
          <w:szCs w:val="22"/>
        </w:rPr>
        <w:t>.</w:t>
      </w:r>
      <w:r>
        <w:rPr>
          <w:rFonts w:ascii="Times New Roman" w:hAnsi="Times New Roman" w:cs="Times New Roman"/>
          <w:sz w:val="22"/>
          <w:szCs w:val="22"/>
        </w:rPr>
        <w:t xml:space="preserve"> Si segnala inoltre, che sul medesimo sito è attualmente reperibile il nuovo programma incentivi CER.  </w:t>
      </w:r>
      <w:r w:rsidRPr="00717E4C">
        <w:rPr>
          <w:rFonts w:ascii="Times New Roman" w:hAnsi="Times New Roman" w:cs="Times New Roman"/>
          <w:sz w:val="22"/>
          <w:szCs w:val="22"/>
        </w:rPr>
        <w:t>In attuazione dell’Articolo 27 del Decreto-Legge 19 febbraio 2026, n. 19, </w:t>
      </w:r>
      <w:hyperlink r:id="rId8" w:tgtFrame="_blank" w:history="1">
        <w:r w:rsidRPr="00717E4C">
          <w:rPr>
            <w:rStyle w:val="Collegamentoipertestuale"/>
            <w:rFonts w:ascii="Times New Roman" w:hAnsi="Times New Roman" w:cs="Times New Roman"/>
            <w:color w:val="auto"/>
            <w:sz w:val="22"/>
            <w:szCs w:val="22"/>
          </w:rPr>
          <w:t>DL PNRR</w:t>
        </w:r>
      </w:hyperlink>
      <w:r w:rsidRPr="00717E4C">
        <w:rPr>
          <w:rFonts w:ascii="Times New Roman" w:hAnsi="Times New Roman" w:cs="Times New Roman"/>
          <w:sz w:val="22"/>
          <w:szCs w:val="22"/>
        </w:rPr>
        <w:t>, che recepisce la decisione del Consiglio ECOFIN del 27 novembre 2025, per garantire la continuità della misura PNRR Missione 2, Componente 2, Investimento 1.2 (Promozione rinnovabili per le comunità energetiche e l'autoconsumo) è istituito un in un programma di sovvenzione finanziaria per complessivi 795,5 milioni di euro, gestito direttamente dal GSE.</w:t>
      </w:r>
      <w:r w:rsidRPr="00717E4C">
        <w:rPr>
          <w:rFonts w:ascii="Times New Roman" w:hAnsi="Times New Roman" w:cs="Times New Roman"/>
          <w:sz w:val="22"/>
          <w:szCs w:val="22"/>
        </w:rPr>
        <w:br/>
        <w:t>Il beneficio è erogato sotto forma di contributo in conto capitale per impianti di produzione di energia elettrica alimentati da fonti rinnovabili e inseriti in configurazioni di  CER o di </w:t>
      </w:r>
      <w:hyperlink r:id="rId9" w:history="1">
        <w:r w:rsidRPr="00717E4C">
          <w:rPr>
            <w:rStyle w:val="Collegamentoipertestuale"/>
            <w:rFonts w:ascii="Times New Roman" w:hAnsi="Times New Roman" w:cs="Times New Roman"/>
            <w:color w:val="auto"/>
            <w:sz w:val="22"/>
            <w:szCs w:val="22"/>
          </w:rPr>
          <w:t xml:space="preserve">Gruppo di </w:t>
        </w:r>
        <w:proofErr w:type="spellStart"/>
        <w:r w:rsidRPr="00717E4C">
          <w:rPr>
            <w:rStyle w:val="Collegamentoipertestuale"/>
            <w:rFonts w:ascii="Times New Roman" w:hAnsi="Times New Roman" w:cs="Times New Roman"/>
            <w:color w:val="auto"/>
            <w:sz w:val="22"/>
            <w:szCs w:val="22"/>
          </w:rPr>
          <w:t>autoconsumatori</w:t>
        </w:r>
        <w:proofErr w:type="spellEnd"/>
      </w:hyperlink>
      <w:r w:rsidRPr="00717E4C">
        <w:rPr>
          <w:rFonts w:ascii="Times New Roman" w:hAnsi="Times New Roman" w:cs="Times New Roman"/>
          <w:sz w:val="22"/>
          <w:szCs w:val="22"/>
        </w:rPr>
        <w:t> e ubicati in Comuni con popolazione inferiore a 50.000 abitanti, fino a un massimo del 40% delle spese ammissibili.</w:t>
      </w:r>
      <w:r w:rsidRPr="00717E4C">
        <w:rPr>
          <w:rFonts w:ascii="Times New Roman" w:hAnsi="Times New Roman" w:cs="Times New Roman"/>
          <w:sz w:val="22"/>
          <w:szCs w:val="22"/>
        </w:rPr>
        <w:br/>
        <w:t>Il Decreto del Ministro dell'Ambiente e della Sicurezza Energetica del 7 dicembre 2023 n.414 (</w:t>
      </w:r>
      <w:hyperlink r:id="rId10" w:history="1">
        <w:r w:rsidRPr="00717E4C">
          <w:rPr>
            <w:rStyle w:val="Collegamentoipertestuale"/>
            <w:rFonts w:ascii="Times New Roman" w:hAnsi="Times New Roman" w:cs="Times New Roman"/>
            <w:color w:val="auto"/>
            <w:sz w:val="22"/>
            <w:szCs w:val="22"/>
          </w:rPr>
          <w:t>Decreto</w:t>
        </w:r>
      </w:hyperlink>
      <w:r w:rsidRPr="00717E4C">
        <w:rPr>
          <w:rFonts w:ascii="Times New Roman" w:hAnsi="Times New Roman" w:cs="Times New Roman"/>
          <w:sz w:val="22"/>
          <w:szCs w:val="22"/>
        </w:rPr>
        <w:t xml:space="preserve"> CACER) in vigore dal 24 gennaio 2024, e </w:t>
      </w:r>
      <w:proofErr w:type="spellStart"/>
      <w:r w:rsidRPr="00717E4C">
        <w:rPr>
          <w:rFonts w:ascii="Times New Roman" w:hAnsi="Times New Roman" w:cs="Times New Roman"/>
          <w:sz w:val="22"/>
          <w:szCs w:val="22"/>
        </w:rPr>
        <w:t>ss.m..i</w:t>
      </w:r>
      <w:proofErr w:type="spellEnd"/>
      <w:r w:rsidRPr="00717E4C">
        <w:rPr>
          <w:rFonts w:ascii="Times New Roman" w:hAnsi="Times New Roman" w:cs="Times New Roman"/>
          <w:sz w:val="22"/>
          <w:szCs w:val="22"/>
        </w:rPr>
        <w:t>.., che ha definito i criteri e le modalità per la concessione dei contributi PNRR, continua ad applicarsi per quanto non espressamente modificato dall’articolo 27 del DL PNRR.</w:t>
      </w:r>
      <w:r>
        <w:rPr>
          <w:rFonts w:ascii="Times New Roman" w:hAnsi="Times New Roman" w:cs="Times New Roman"/>
          <w:sz w:val="22"/>
          <w:szCs w:val="22"/>
        </w:rPr>
        <w:t xml:space="preserve"> </w:t>
      </w:r>
      <w:r w:rsidRPr="00717E4C">
        <w:rPr>
          <w:rFonts w:ascii="Times New Roman" w:hAnsi="Times New Roman" w:cs="Times New Roman"/>
          <w:sz w:val="22"/>
          <w:szCs w:val="22"/>
        </w:rPr>
        <w:t>Entro il 30 giugno 2026, il GSE stipulerà accordi di concessione con i soggetti beneficiari fino a concorrenza della dotazione finanziaria.</w:t>
      </w:r>
      <w:r>
        <w:rPr>
          <w:rFonts w:ascii="Times New Roman" w:hAnsi="Times New Roman" w:cs="Times New Roman"/>
          <w:sz w:val="22"/>
          <w:szCs w:val="22"/>
        </w:rPr>
        <w:t xml:space="preserve"> </w:t>
      </w:r>
      <w:r w:rsidRPr="00717E4C">
        <w:rPr>
          <w:rFonts w:ascii="Times New Roman" w:hAnsi="Times New Roman" w:cs="Times New Roman"/>
          <w:sz w:val="22"/>
          <w:szCs w:val="22"/>
        </w:rPr>
        <w:t>Le iniziative dovranno entrare in esercizio entro 24 mesi dalla data di comunicazione dell’accordo di concessione e comunque non oltre il 31 dicembre 2027.</w:t>
      </w:r>
    </w:p>
  </w:footnote>
  <w:footnote w:id="74">
    <w:p w14:paraId="6BC4477E" w14:textId="3F12FC44"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D. CILIO, M. ZULIANELLO, A. ROLLO, V. ANGELUCCI, </w:t>
      </w:r>
      <w:r w:rsidRPr="00010023">
        <w:rPr>
          <w:rFonts w:ascii="Times New Roman" w:hAnsi="Times New Roman" w:cs="Times New Roman"/>
          <w:i/>
          <w:iCs/>
          <w:sz w:val="22"/>
          <w:szCs w:val="22"/>
        </w:rPr>
        <w:t xml:space="preserve">Promotion and Governance of </w:t>
      </w:r>
      <w:proofErr w:type="spellStart"/>
      <w:r w:rsidRPr="00010023">
        <w:rPr>
          <w:rFonts w:ascii="Times New Roman" w:hAnsi="Times New Roman" w:cs="Times New Roman"/>
          <w:i/>
          <w:iCs/>
          <w:sz w:val="22"/>
          <w:szCs w:val="22"/>
        </w:rPr>
        <w:t>Renewable</w:t>
      </w:r>
      <w:proofErr w:type="spellEnd"/>
      <w:r w:rsidRPr="00010023">
        <w:rPr>
          <w:rFonts w:ascii="Times New Roman" w:hAnsi="Times New Roman" w:cs="Times New Roman"/>
          <w:i/>
          <w:iCs/>
          <w:sz w:val="22"/>
          <w:szCs w:val="22"/>
        </w:rPr>
        <w:t xml:space="preserve"> Energy Communities</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in Cultura della Sostenibilità</w:t>
      </w:r>
      <w:r w:rsidRPr="00010023">
        <w:rPr>
          <w:rFonts w:ascii="Times New Roman" w:hAnsi="Times New Roman" w:cs="Times New Roman"/>
          <w:sz w:val="22"/>
          <w:szCs w:val="22"/>
        </w:rPr>
        <w:t>, 2024, p. 45–59.</w:t>
      </w:r>
    </w:p>
  </w:footnote>
  <w:footnote w:id="75">
    <w:p w14:paraId="272CE1BA" w14:textId="780C2FDF"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P. MAGNATTI, F. RAMELLA, C. TRIGILIA, G. VIESTI, </w:t>
      </w:r>
      <w:r w:rsidRPr="00010023">
        <w:rPr>
          <w:rFonts w:ascii="Times New Roman" w:hAnsi="Times New Roman" w:cs="Times New Roman"/>
          <w:i/>
          <w:iCs/>
          <w:sz w:val="22"/>
          <w:szCs w:val="22"/>
        </w:rPr>
        <w:t>Lezioni per lo sviluppo</w:t>
      </w:r>
      <w:r w:rsidRPr="00010023">
        <w:rPr>
          <w:rFonts w:ascii="Times New Roman" w:hAnsi="Times New Roman" w:cs="Times New Roman"/>
          <w:sz w:val="22"/>
          <w:szCs w:val="22"/>
        </w:rPr>
        <w:t xml:space="preserve">, Il Mulino, Bologna, 2005; N. MAGNANI, I. SCOTTI, </w:t>
      </w:r>
      <w:r w:rsidRPr="00010023">
        <w:rPr>
          <w:rFonts w:ascii="Times New Roman" w:hAnsi="Times New Roman" w:cs="Times New Roman"/>
          <w:i/>
          <w:iCs/>
          <w:sz w:val="22"/>
          <w:szCs w:val="22"/>
        </w:rPr>
        <w:t>Le comunità energetiche rinnovabili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Quaderni della Decrescita</w:t>
      </w:r>
      <w:r w:rsidRPr="00010023">
        <w:rPr>
          <w:rFonts w:ascii="Times New Roman" w:hAnsi="Times New Roman" w:cs="Times New Roman"/>
          <w:sz w:val="22"/>
          <w:szCs w:val="22"/>
        </w:rPr>
        <w:t xml:space="preserve">, 2024, p. 142-156; N. MAGNANI, F. VITTORI, A. DE VITA, </w:t>
      </w:r>
      <w:r w:rsidRPr="00010023">
        <w:rPr>
          <w:rFonts w:ascii="Times New Roman" w:hAnsi="Times New Roman" w:cs="Times New Roman"/>
          <w:i/>
          <w:iCs/>
          <w:sz w:val="22"/>
          <w:szCs w:val="22"/>
        </w:rPr>
        <w:t>Transizione energetica e partecipazione della società civile</w:t>
      </w:r>
      <w:r w:rsidRPr="00010023">
        <w:rPr>
          <w:rFonts w:ascii="Times New Roman" w:hAnsi="Times New Roman" w:cs="Times New Roman"/>
          <w:sz w:val="22"/>
          <w:szCs w:val="22"/>
        </w:rPr>
        <w:t>, Trento, 2023.</w:t>
      </w:r>
    </w:p>
  </w:footnote>
  <w:footnote w:id="76">
    <w:p w14:paraId="1F71DEC9" w14:textId="718C9DAF"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Sulla fattispecie “comunità energetica” si può richiamare l’approccio proposto da L. DE VIDOVICH, L. TRICARICO E M. ZULIANELLO, </w:t>
      </w:r>
      <w:r w:rsidRPr="00010023">
        <w:rPr>
          <w:rFonts w:ascii="Times New Roman" w:hAnsi="Times New Roman" w:cs="Times New Roman"/>
          <w:i/>
          <w:iCs/>
          <w:sz w:val="22"/>
          <w:szCs w:val="22"/>
        </w:rPr>
        <w:t xml:space="preserve">Community Energy </w:t>
      </w:r>
      <w:proofErr w:type="spellStart"/>
      <w:r w:rsidRPr="00010023">
        <w:rPr>
          <w:rFonts w:ascii="Times New Roman" w:hAnsi="Times New Roman" w:cs="Times New Roman"/>
          <w:i/>
          <w:iCs/>
          <w:sz w:val="22"/>
          <w:szCs w:val="22"/>
        </w:rPr>
        <w:t>Map</w:t>
      </w:r>
      <w:proofErr w:type="spellEnd"/>
      <w:r w:rsidRPr="00010023">
        <w:rPr>
          <w:rFonts w:ascii="Times New Roman" w:hAnsi="Times New Roman" w:cs="Times New Roman"/>
          <w:i/>
          <w:iCs/>
          <w:sz w:val="22"/>
          <w:szCs w:val="22"/>
        </w:rPr>
        <w:t>. Una ricognizione delle prime esperienze di comunità energetiche rinnovabili</w:t>
      </w:r>
      <w:r w:rsidRPr="00010023">
        <w:rPr>
          <w:rFonts w:ascii="Times New Roman" w:hAnsi="Times New Roman" w:cs="Times New Roman"/>
          <w:sz w:val="22"/>
          <w:szCs w:val="22"/>
        </w:rPr>
        <w:t>, Milano, 2021, 18, i quali adottano una prospettiva dinamica nella definizione delle comunità energetiche, valorizzando il ruolo dei diversi stakeholder coinvolti nei processi di costituzione. Gli Autori distinguono, in particolare, tre modelli: (i) comunità energetiche a trazione pubblica (</w:t>
      </w:r>
      <w:r w:rsidRPr="00010023">
        <w:rPr>
          <w:rFonts w:ascii="Times New Roman" w:hAnsi="Times New Roman" w:cs="Times New Roman"/>
          <w:i/>
          <w:iCs/>
          <w:sz w:val="22"/>
          <w:szCs w:val="22"/>
        </w:rPr>
        <w:t>public lead</w:t>
      </w:r>
      <w:r w:rsidRPr="00010023">
        <w:rPr>
          <w:rFonts w:ascii="Times New Roman" w:hAnsi="Times New Roman" w:cs="Times New Roman"/>
          <w:sz w:val="22"/>
          <w:szCs w:val="22"/>
        </w:rPr>
        <w:t>), caratterizzate da un ruolo centrale dell’attore pubblico quale promotore e soggetto di coordinamento tra i diversi partecipanti; (ii) comunità energetiche a trazione privata (</w:t>
      </w:r>
      <w:r w:rsidRPr="00010023">
        <w:rPr>
          <w:rFonts w:ascii="Times New Roman" w:hAnsi="Times New Roman" w:cs="Times New Roman"/>
          <w:i/>
          <w:iCs/>
          <w:sz w:val="22"/>
          <w:szCs w:val="22"/>
        </w:rPr>
        <w:t>private lead</w:t>
      </w:r>
      <w:r w:rsidRPr="00010023">
        <w:rPr>
          <w:rFonts w:ascii="Times New Roman" w:hAnsi="Times New Roman" w:cs="Times New Roman"/>
          <w:sz w:val="22"/>
          <w:szCs w:val="22"/>
        </w:rPr>
        <w:t>), nelle quali assumono rilievo gli intermediari (quali startup, ESCO e altri operatori) che svolgono funzioni di facilitazione e coordinamento tra soggetti privati; (iii) comunità energetiche a trazione comunitaria (</w:t>
      </w:r>
      <w:r w:rsidRPr="00010023">
        <w:rPr>
          <w:rFonts w:ascii="Times New Roman" w:hAnsi="Times New Roman" w:cs="Times New Roman"/>
          <w:i/>
          <w:iCs/>
          <w:sz w:val="22"/>
          <w:szCs w:val="22"/>
        </w:rPr>
        <w:t>community/</w:t>
      </w:r>
      <w:proofErr w:type="spellStart"/>
      <w:r w:rsidRPr="00010023">
        <w:rPr>
          <w:rFonts w:ascii="Times New Roman" w:hAnsi="Times New Roman" w:cs="Times New Roman"/>
          <w:i/>
          <w:iCs/>
          <w:sz w:val="22"/>
          <w:szCs w:val="22"/>
        </w:rPr>
        <w:t>intermediary</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lead</w:t>
      </w:r>
      <w:proofErr w:type="spellEnd"/>
      <w:r w:rsidRPr="00010023">
        <w:rPr>
          <w:rFonts w:ascii="Times New Roman" w:hAnsi="Times New Roman" w:cs="Times New Roman"/>
          <w:sz w:val="22"/>
          <w:szCs w:val="22"/>
        </w:rPr>
        <w:t xml:space="preserve">), fondate su dinamiche di tipo </w:t>
      </w:r>
      <w:r w:rsidRPr="00010023">
        <w:rPr>
          <w:rFonts w:ascii="Times New Roman" w:hAnsi="Times New Roman" w:cs="Times New Roman"/>
          <w:i/>
          <w:iCs/>
          <w:sz w:val="22"/>
          <w:szCs w:val="22"/>
        </w:rPr>
        <w:t>bottom-up</w:t>
      </w:r>
      <w:r w:rsidRPr="00010023">
        <w:rPr>
          <w:rFonts w:ascii="Times New Roman" w:hAnsi="Times New Roman" w:cs="Times New Roman"/>
          <w:sz w:val="22"/>
          <w:szCs w:val="22"/>
        </w:rPr>
        <w:t xml:space="preserve"> e su forme di partecipazione attiva della cittadinanza.</w:t>
      </w:r>
    </w:p>
    <w:p w14:paraId="2CFE7580" w14:textId="0820B783"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Fonts w:ascii="Times New Roman" w:hAnsi="Times New Roman" w:cs="Times New Roman"/>
          <w:sz w:val="22"/>
          <w:szCs w:val="22"/>
        </w:rPr>
        <w:t xml:space="preserve">Con riguardo, invece, alla funzione di finanziamento, è possibile distinguere tra: (i) comunità sostenute da incentivi pubblici (quali tariffe incentivanti, misure fiscali e fondi regionali o europei); (ii) comunità che accedono a finanziamenti privati, sia sotto forma di capitale di rischio sia di debito; (iii) comunità finanziate mediante strumenti di matrice comunitaria, tra i quali assumono particolare rilievo il modello cooperativo – fondato sull’apporto diretto dei soci – e il modello di </w:t>
      </w:r>
      <w:r w:rsidRPr="00010023">
        <w:rPr>
          <w:rFonts w:ascii="Times New Roman" w:hAnsi="Times New Roman" w:cs="Times New Roman"/>
          <w:i/>
          <w:iCs/>
          <w:sz w:val="22"/>
          <w:szCs w:val="22"/>
        </w:rPr>
        <w:t>crowdfunding</w:t>
      </w:r>
      <w:r w:rsidRPr="00010023">
        <w:rPr>
          <w:rFonts w:ascii="Times New Roman" w:hAnsi="Times New Roman" w:cs="Times New Roman"/>
          <w:sz w:val="22"/>
          <w:szCs w:val="22"/>
        </w:rPr>
        <w:t xml:space="preserve">, basato su campagne di raccolta tramite piattaforme dedicate. </w:t>
      </w:r>
      <w:r w:rsidRPr="00010023">
        <w:rPr>
          <w:rFonts w:ascii="Times New Roman" w:hAnsi="Times New Roman" w:cs="Times New Roman"/>
          <w:sz w:val="22"/>
          <w:szCs w:val="22"/>
          <w:lang w:val="fr-FR"/>
        </w:rPr>
        <w:t xml:space="preserve">Sul </w:t>
      </w:r>
      <w:proofErr w:type="spellStart"/>
      <w:r w:rsidRPr="00010023">
        <w:rPr>
          <w:rFonts w:ascii="Times New Roman" w:hAnsi="Times New Roman" w:cs="Times New Roman"/>
          <w:sz w:val="22"/>
          <w:szCs w:val="22"/>
          <w:lang w:val="fr-FR"/>
        </w:rPr>
        <w:t>punto</w:t>
      </w:r>
      <w:proofErr w:type="spellEnd"/>
      <w:r w:rsidRPr="00010023">
        <w:rPr>
          <w:rFonts w:ascii="Times New Roman" w:hAnsi="Times New Roman" w:cs="Times New Roman"/>
          <w:sz w:val="22"/>
          <w:szCs w:val="22"/>
          <w:lang w:val="fr-FR"/>
        </w:rPr>
        <w:t xml:space="preserve">, v. </w:t>
      </w:r>
      <w:proofErr w:type="spellStart"/>
      <w:r w:rsidRPr="00010023">
        <w:rPr>
          <w:rFonts w:ascii="Times New Roman" w:hAnsi="Times New Roman" w:cs="Times New Roman"/>
          <w:sz w:val="22"/>
          <w:szCs w:val="22"/>
          <w:lang w:val="fr-FR"/>
        </w:rPr>
        <w:t>altresì</w:t>
      </w:r>
      <w:proofErr w:type="spellEnd"/>
      <w:r w:rsidRPr="00010023">
        <w:rPr>
          <w:rFonts w:ascii="Times New Roman" w:hAnsi="Times New Roman" w:cs="Times New Roman"/>
          <w:sz w:val="22"/>
          <w:szCs w:val="22"/>
          <w:lang w:val="fr-FR"/>
        </w:rPr>
        <w:t xml:space="preserve"> V. DE CRESCENZO, R. BARATTA, F. SIMEONI, </w:t>
      </w:r>
      <w:proofErr w:type="spellStart"/>
      <w:r w:rsidRPr="00010023">
        <w:rPr>
          <w:rFonts w:ascii="Times New Roman" w:hAnsi="Times New Roman" w:cs="Times New Roman"/>
          <w:i/>
          <w:iCs/>
          <w:sz w:val="22"/>
          <w:szCs w:val="22"/>
          <w:lang w:val="fr-FR"/>
        </w:rPr>
        <w:t>Citizens</w:t>
      </w:r>
      <w:proofErr w:type="spellEnd"/>
      <w:r w:rsidRPr="00010023">
        <w:rPr>
          <w:rFonts w:ascii="Times New Roman" w:hAnsi="Times New Roman" w:cs="Times New Roman"/>
          <w:i/>
          <w:iCs/>
          <w:sz w:val="22"/>
          <w:szCs w:val="22"/>
          <w:lang w:val="fr-FR"/>
        </w:rPr>
        <w:t xml:space="preserve">’ Engagement in </w:t>
      </w:r>
      <w:proofErr w:type="spellStart"/>
      <w:r w:rsidRPr="00010023">
        <w:rPr>
          <w:rFonts w:ascii="Times New Roman" w:hAnsi="Times New Roman" w:cs="Times New Roman"/>
          <w:i/>
          <w:iCs/>
          <w:sz w:val="22"/>
          <w:szCs w:val="22"/>
          <w:lang w:val="fr-FR"/>
        </w:rPr>
        <w:t>Funding</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Renewable</w:t>
      </w:r>
      <w:proofErr w:type="spellEnd"/>
      <w:r w:rsidRPr="00010023">
        <w:rPr>
          <w:rFonts w:ascii="Times New Roman" w:hAnsi="Times New Roman" w:cs="Times New Roman"/>
          <w:i/>
          <w:iCs/>
          <w:sz w:val="22"/>
          <w:szCs w:val="22"/>
          <w:lang w:val="fr-FR"/>
        </w:rPr>
        <w:t xml:space="preserve"> and Energy </w:t>
      </w:r>
      <w:proofErr w:type="spellStart"/>
      <w:r w:rsidRPr="00010023">
        <w:rPr>
          <w:rFonts w:ascii="Times New Roman" w:hAnsi="Times New Roman" w:cs="Times New Roman"/>
          <w:i/>
          <w:iCs/>
          <w:sz w:val="22"/>
          <w:szCs w:val="22"/>
          <w:lang w:val="fr-FR"/>
        </w:rPr>
        <w:t>Efficiency</w:t>
      </w:r>
      <w:proofErr w:type="spellEnd"/>
      <w:r w:rsidRPr="00010023">
        <w:rPr>
          <w:rFonts w:ascii="Times New Roman" w:hAnsi="Times New Roman" w:cs="Times New Roman"/>
          <w:i/>
          <w:iCs/>
          <w:sz w:val="22"/>
          <w:szCs w:val="22"/>
          <w:lang w:val="fr-FR"/>
        </w:rPr>
        <w:t xml:space="preserve"> </w:t>
      </w:r>
      <w:proofErr w:type="spellStart"/>
      <w:proofErr w:type="gramStart"/>
      <w:r w:rsidRPr="00010023">
        <w:rPr>
          <w:rFonts w:ascii="Times New Roman" w:hAnsi="Times New Roman" w:cs="Times New Roman"/>
          <w:i/>
          <w:iCs/>
          <w:sz w:val="22"/>
          <w:szCs w:val="22"/>
          <w:lang w:val="fr-FR"/>
        </w:rPr>
        <w:t>Projects</w:t>
      </w:r>
      <w:proofErr w:type="spellEnd"/>
      <w:r w:rsidRPr="00010023">
        <w:rPr>
          <w:rFonts w:ascii="Times New Roman" w:hAnsi="Times New Roman" w:cs="Times New Roman"/>
          <w:i/>
          <w:iCs/>
          <w:sz w:val="22"/>
          <w:szCs w:val="22"/>
          <w:lang w:val="fr-FR"/>
        </w:rPr>
        <w:t>:</w:t>
      </w:r>
      <w:proofErr w:type="gramEnd"/>
      <w:r w:rsidRPr="00010023">
        <w:rPr>
          <w:rFonts w:ascii="Times New Roman" w:hAnsi="Times New Roman" w:cs="Times New Roman"/>
          <w:i/>
          <w:iCs/>
          <w:sz w:val="22"/>
          <w:szCs w:val="22"/>
          <w:lang w:val="fr-FR"/>
        </w:rPr>
        <w:t xml:space="preserve"> A </w:t>
      </w:r>
      <w:proofErr w:type="spellStart"/>
      <w:r w:rsidRPr="00010023">
        <w:rPr>
          <w:rFonts w:ascii="Times New Roman" w:hAnsi="Times New Roman" w:cs="Times New Roman"/>
          <w:i/>
          <w:iCs/>
          <w:sz w:val="22"/>
          <w:szCs w:val="22"/>
          <w:lang w:val="fr-FR"/>
        </w:rPr>
        <w:t>Fuzzy</w:t>
      </w:r>
      <w:proofErr w:type="spellEnd"/>
      <w:r w:rsidRPr="00010023">
        <w:rPr>
          <w:rFonts w:ascii="Times New Roman" w:hAnsi="Times New Roman" w:cs="Times New Roman"/>
          <w:i/>
          <w:iCs/>
          <w:sz w:val="22"/>
          <w:szCs w:val="22"/>
          <w:lang w:val="fr-FR"/>
        </w:rPr>
        <w:t xml:space="preserve"> Set Analysis</w:t>
      </w:r>
      <w:r w:rsidRPr="00010023">
        <w:rPr>
          <w:rFonts w:ascii="Times New Roman" w:hAnsi="Times New Roman" w:cs="Times New Roman"/>
          <w:sz w:val="22"/>
          <w:szCs w:val="22"/>
          <w:lang w:val="fr-FR"/>
        </w:rPr>
        <w:t xml:space="preserve">, in </w:t>
      </w:r>
      <w:r w:rsidRPr="00010023">
        <w:rPr>
          <w:rFonts w:ascii="Times New Roman" w:hAnsi="Times New Roman" w:cs="Times New Roman"/>
          <w:i/>
          <w:iCs/>
          <w:sz w:val="22"/>
          <w:szCs w:val="22"/>
          <w:lang w:val="fr-FR"/>
        </w:rPr>
        <w:t>Journal of Cleaner Production</w:t>
      </w:r>
      <w:r w:rsidRPr="00010023">
        <w:rPr>
          <w:rFonts w:ascii="Times New Roman" w:hAnsi="Times New Roman" w:cs="Times New Roman"/>
          <w:sz w:val="22"/>
          <w:szCs w:val="22"/>
          <w:lang w:val="fr-FR"/>
        </w:rPr>
        <w:t xml:space="preserve">, 2020, 1 </w:t>
      </w:r>
      <w:proofErr w:type="spellStart"/>
      <w:r w:rsidRPr="00010023">
        <w:rPr>
          <w:rFonts w:ascii="Times New Roman" w:hAnsi="Times New Roman" w:cs="Times New Roman"/>
          <w:sz w:val="22"/>
          <w:szCs w:val="22"/>
          <w:lang w:val="fr-FR"/>
        </w:rPr>
        <w:t>ss</w:t>
      </w:r>
      <w:proofErr w:type="spellEnd"/>
      <w:r w:rsidRPr="00010023">
        <w:rPr>
          <w:rFonts w:ascii="Times New Roman" w:hAnsi="Times New Roman" w:cs="Times New Roman"/>
          <w:sz w:val="22"/>
          <w:szCs w:val="22"/>
          <w:lang w:val="fr-FR"/>
        </w:rPr>
        <w:t>.</w:t>
      </w:r>
    </w:p>
  </w:footnote>
  <w:footnote w:id="77">
    <w:p w14:paraId="4425DFC5" w14:textId="6C0E90F8"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A tal fine, rileva un ulteriore aspetto: la normativa UE sulle comunità energetiche distingue due principali tipologie di soggetti giuridici, entrambe orientate alla promozione dell’energia sostenibile e alla partecipazione attiva dei cittadini. La CER, introdotta dalla Direttiva 2018/2001/UE (RED II), identifica l’</w:t>
      </w:r>
      <w:proofErr w:type="spellStart"/>
      <w:r w:rsidRPr="00010023">
        <w:rPr>
          <w:rFonts w:ascii="Times New Roman" w:hAnsi="Times New Roman" w:cs="Times New Roman"/>
          <w:sz w:val="22"/>
          <w:szCs w:val="22"/>
        </w:rPr>
        <w:t>autoconsumatore</w:t>
      </w:r>
      <w:proofErr w:type="spellEnd"/>
      <w:r w:rsidRPr="00010023">
        <w:rPr>
          <w:rFonts w:ascii="Times New Roman" w:hAnsi="Times New Roman" w:cs="Times New Roman"/>
          <w:sz w:val="22"/>
          <w:szCs w:val="22"/>
        </w:rPr>
        <w:t xml:space="preserve"> di energia rinnovabile come il cliente finale che produce energia elettrica rinnovabile nei propri siti per consumo proprio, potendo anche immagazzinare o vendere l’energia autoprodotta, purché tale attività non costituisca la principale fonte di reddito. La Comunità Energetica dei Cittadini (di seguito, CEC), regolata dalla Direttiva 2019/944/UE (IEMD), è un soggetto giuridico fondato sulla partecipazione volontaria e aperta, effettivamente controllato dai membri o soci (persone fisiche, autorità locali o piccole imprese), il cui scopo principale è offrire benefici ambientali, economici o sociali anziché profitto finanziario. Le CEC possono svolgere attività di generazione, distribuzione, fornitura, consumo, aggregazione, stoccaggio dell’energia, efficienza energetica, servizi di ricarica per veicoli elettrici e altri servizi energetici.</w:t>
      </w:r>
    </w:p>
    <w:p w14:paraId="7C065CB5" w14:textId="60A4DE4A"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Le due tipologie condividono obiettivi di promozione delle energie rinnovabili, investimento in impianti locali e finalità sociali, ma presentano differenze significative: invero, le CER comprendono membri limitati a persone fisiche, PMI e autorità locali, operano esclusivamente su impianti propri e su fonti rinnovabili non fossili, e devono essere soggetti giuridici autonomi, controllati dai membri sia internamente che esternamente; le CEC, invece, possono includere membri più ampi, utilizzare impianti di terzi, svolgere attività energetiche anche non rinnovabili o non legate direttamente alla produzione, e richiedono solo il controllo effettivo dei membri senza necessità di autonomia.</w:t>
      </w:r>
    </w:p>
    <w:p w14:paraId="242F28FE" w14:textId="088CD206"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 xml:space="preserve">Per approfondimenti sull’evoluzione del concetto di comunità energetiche, si veda: </w:t>
      </w:r>
      <w:bookmarkStart w:id="48" w:name="_Hlk224816836"/>
      <w:r w:rsidRPr="00010023">
        <w:rPr>
          <w:rFonts w:ascii="Times New Roman" w:hAnsi="Times New Roman" w:cs="Times New Roman"/>
          <w:sz w:val="22"/>
          <w:szCs w:val="22"/>
        </w:rPr>
        <w:t xml:space="preserve">E. CUSA, </w:t>
      </w:r>
      <w:r w:rsidRPr="00010023">
        <w:rPr>
          <w:rFonts w:ascii="Times New Roman" w:hAnsi="Times New Roman" w:cs="Times New Roman"/>
          <w:i/>
          <w:iCs/>
          <w:sz w:val="22"/>
          <w:szCs w:val="22"/>
        </w:rPr>
        <w:t>Sviluppo sostenibile, cittadinanza attiva e comunità energetiche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ODC</w:t>
      </w:r>
      <w:r w:rsidRPr="00010023">
        <w:rPr>
          <w:rFonts w:ascii="Times New Roman" w:hAnsi="Times New Roman" w:cs="Times New Roman"/>
          <w:sz w:val="22"/>
          <w:szCs w:val="22"/>
        </w:rPr>
        <w:t xml:space="preserve">, 2020, 71; R. MICCÚ, M. BERNARDI, </w:t>
      </w:r>
      <w:r w:rsidRPr="00010023">
        <w:rPr>
          <w:rFonts w:ascii="Times New Roman" w:hAnsi="Times New Roman" w:cs="Times New Roman"/>
          <w:i/>
          <w:iCs/>
          <w:sz w:val="22"/>
          <w:szCs w:val="22"/>
        </w:rPr>
        <w:t>Premesse ad uno studio sulle Energy Communities: tra governance dell’efficienza energetica e sussidiarietà orizzontale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Federalismi</w:t>
      </w:r>
      <w:r w:rsidRPr="00010023">
        <w:rPr>
          <w:rFonts w:ascii="Times New Roman" w:hAnsi="Times New Roman" w:cs="Times New Roman"/>
          <w:sz w:val="22"/>
          <w:szCs w:val="22"/>
        </w:rPr>
        <w:t xml:space="preserve">, 2022, 603; A. GRIGNANI, </w:t>
      </w:r>
      <w:r w:rsidRPr="00010023">
        <w:rPr>
          <w:rFonts w:ascii="Times New Roman" w:hAnsi="Times New Roman" w:cs="Times New Roman"/>
          <w:i/>
          <w:iCs/>
          <w:sz w:val="22"/>
          <w:szCs w:val="22"/>
        </w:rPr>
        <w:t>Le comunità di energia rinnovabile: utile risorsa per il contrasto alla povertà energetica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Ambiente &amp; Sviluppo</w:t>
      </w:r>
      <w:r w:rsidRPr="00010023">
        <w:rPr>
          <w:rFonts w:ascii="Times New Roman" w:hAnsi="Times New Roman" w:cs="Times New Roman"/>
          <w:sz w:val="22"/>
          <w:szCs w:val="22"/>
        </w:rPr>
        <w:t xml:space="preserve">, 2022, 113; E. FERRERO, </w:t>
      </w:r>
      <w:r w:rsidRPr="00010023">
        <w:rPr>
          <w:rFonts w:ascii="Times New Roman" w:hAnsi="Times New Roman" w:cs="Times New Roman"/>
          <w:i/>
          <w:iCs/>
          <w:sz w:val="22"/>
          <w:szCs w:val="22"/>
        </w:rPr>
        <w:t>Le Comunità Energetiche: ritorno a un futuro sostenibile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Ambiente &amp; Sviluppo</w:t>
      </w:r>
      <w:r w:rsidRPr="00010023">
        <w:rPr>
          <w:rFonts w:ascii="Times New Roman" w:hAnsi="Times New Roman" w:cs="Times New Roman"/>
          <w:sz w:val="22"/>
          <w:szCs w:val="22"/>
        </w:rPr>
        <w:t xml:space="preserve">, 2020, 677; C. BEVILACQUA, </w:t>
      </w:r>
      <w:r w:rsidRPr="00010023">
        <w:rPr>
          <w:rFonts w:ascii="Times New Roman" w:hAnsi="Times New Roman" w:cs="Times New Roman"/>
          <w:i/>
          <w:iCs/>
          <w:sz w:val="22"/>
          <w:szCs w:val="22"/>
        </w:rPr>
        <w:t>Le Comunità Energetiche tra governance e sviluppo locale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Amministrazione in cammino</w:t>
      </w:r>
      <w:r w:rsidRPr="00010023">
        <w:rPr>
          <w:rFonts w:ascii="Times New Roman" w:hAnsi="Times New Roman" w:cs="Times New Roman"/>
          <w:sz w:val="22"/>
          <w:szCs w:val="22"/>
        </w:rPr>
        <w:t>, 2020, 1.</w:t>
      </w:r>
    </w:p>
    <w:bookmarkEnd w:id="48"/>
  </w:footnote>
  <w:footnote w:id="78">
    <w:p w14:paraId="674698A6" w14:textId="540BAA9E" w:rsidR="00DF358B" w:rsidRPr="00010023" w:rsidRDefault="00DF358B" w:rsidP="00010023">
      <w:pPr>
        <w:pStyle w:val="Testonotaapidipagina"/>
        <w:spacing w:line="240" w:lineRule="exact"/>
        <w:contextualSpacing/>
        <w:jc w:val="both"/>
        <w:rPr>
          <w:rFonts w:ascii="Times New Roman" w:hAnsi="Times New Roman" w:cs="Times New Roman"/>
          <w:i/>
          <w:iCs/>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Infatti, l’art. 31 del suddetto decreto stabilisce che: «</w:t>
      </w:r>
      <w:r w:rsidRPr="00010023">
        <w:rPr>
          <w:rFonts w:ascii="Times New Roman" w:hAnsi="Times New Roman" w:cs="Times New Roman"/>
          <w:i/>
          <w:iCs/>
          <w:sz w:val="22"/>
          <w:szCs w:val="22"/>
        </w:rPr>
        <w:t>I clienti finali, ivi inclusi i clienti domestici, hanno il diritto di organizzarsi in comunità energetiche rinnovabili, purché siano rispettati i seguenti requisiti: a) l'obiettivo principale della comunità è quello di fornire benefici ambientali, economici o sociali a livello di comunità ai suoi soci o membri o alle aree locali in cui opera la comunità e non quello di realizzare profitti finanziari; b) la comunità è un soggetto di diritto autonomo e l'esercizio dei poteri di controllo fa capo esclusivamente a persone fisiche, PMI, enti territoriali e autorità locali, ivi incluse le amministrazioni comunali, gli enti di ricerca e formazione, gli enti religiosi, quelli del terzo settore e di protezione ambientale, nonché le amministrazioni locali contenute nell'elenco delle amministrazioni pubbliche divulgato dall'Istituto Nazionale di Statistica (ISTAT), secondo quanto previsto all'articolo 1, comma 3, della legge 31 dicembre 2009, n. 196, che sono situate nel territorio degli stessi Comuni in cui sono ubicati gli impianti per la condivisione di cui al comma 2, lettera a); c) per quanto riguarda le imprese, la partecipazione alla comunità di energia rinnovabile non può costituire l'attività commerciale e industriale principale; d) la partecipazione alle comunità energetiche rinnovabili è aperta a tutti i consumatori, compresi quelli appartenenti a famiglie a basso reddito o vulnerabili, fermo restando che l'esercizio dei poteri di controllo è detenuto dai soggetti aventi le caratteristiche di cui alla lettera b).</w:t>
      </w:r>
    </w:p>
    <w:p w14:paraId="2C218163" w14:textId="1C980AE4" w:rsidR="00DF358B" w:rsidRPr="00010023" w:rsidRDefault="00DF358B" w:rsidP="00010023">
      <w:pPr>
        <w:pStyle w:val="Testonotaapidipagina"/>
        <w:spacing w:line="240" w:lineRule="exact"/>
        <w:contextualSpacing/>
        <w:jc w:val="both"/>
        <w:rPr>
          <w:i/>
          <w:iCs/>
          <w:sz w:val="22"/>
          <w:szCs w:val="22"/>
        </w:rPr>
      </w:pPr>
      <w:r w:rsidRPr="00010023">
        <w:rPr>
          <w:rFonts w:ascii="Times New Roman" w:hAnsi="Times New Roman" w:cs="Times New Roman"/>
          <w:i/>
          <w:iCs/>
          <w:sz w:val="22"/>
          <w:szCs w:val="22"/>
        </w:rPr>
        <w:t xml:space="preserve">  2. Le comunità energetiche rinnovabili di cui al comma 1 operano nel rispetto delle seguenti condizioni: a) fermo restando che ciascun consumatore che partecipa a una comunità può detenere impianti a fonti rinnovabili realizzati con le modalità di cui all'articolo 30, comma 1, lettera a), punto 1, ai fini dell'energia condivisa rileva solo la produzione di energia rinnovabile degli impianti che risultano nella disponibilità e sotto il controllo della comunità; b) l'energia autoprodotta è utilizzata prioritariamente per l'autoconsumo</w:t>
      </w:r>
      <w:r w:rsidRPr="001C4115">
        <w:rPr>
          <w:rFonts w:ascii="Times New Roman" w:hAnsi="Times New Roman" w:cs="Times New Roman"/>
          <w:i/>
          <w:iCs/>
          <w:sz w:val="22"/>
          <w:szCs w:val="22"/>
        </w:rPr>
        <w:t xml:space="preserve"> </w:t>
      </w:r>
      <w:r w:rsidRPr="00010023">
        <w:rPr>
          <w:rFonts w:ascii="Times New Roman" w:hAnsi="Times New Roman" w:cs="Times New Roman"/>
          <w:i/>
          <w:iCs/>
          <w:sz w:val="22"/>
          <w:szCs w:val="22"/>
        </w:rPr>
        <w:t>istantaneo in sito ovvero per la condivisione con i membri della comunità secondo le modalità di cui alla lettera c), mentre l'energia eventualmente eccedentaria può essere accumulata e venduta anche tramite accordi di compravendita di energia elettrica rinnovabile, direttamente o mediante aggregazione; c) i membri della comunità utilizzano la rete di distribuzione per condividere l'energia prodotta, anche ricorrendo a impianti di stoccaggio, con le medesime modalità stabilite per le comunità energetiche dei cittadini. L'energia può essere condivisa nell'ambito della stessa zona di mercato, ferma restando la sussistenza del requisito di connessione alla medesima cabina primaria per l'accesso agli incentivi di cui all'articolo 8, e alle restituzioni di cui all'articolo 32, comma 3, lettera a), secondo le modalità e alle condizioni ivi stabilite; d) gli impianti a fonti rinnovabili per la produzione di energia elettrica realizzati dalla comunità sono entrati in esercizio dopo la data di entrata in vigore del presente decreto legislativo, fermo restando la possibilità di adesione per impianti esistenti, sempre di produzione di energia elettrica rinnovabile, per una misura comunque non superiore al 30 per cento della potenza complessiva che fa capo alla comunità; e) i membri delle comunità possono accedere agli incentivi di cui al Titolo II alle condizioni e con le modalità ivi stabilite; f) nel rispetto delle finalità di cui al comma 1, lettera a), la comunità può produrre altre forme di energia da fonti rinnovabili finalizzate all'utilizzo da parte dei membri, può promuovere interventi integrati di domotica, interventi di efficienza energetica, nonché offrire servizi di ricarica dei veicoli elettrici ai propri membri e assumere il ruolo di società di vendita al dettaglio, e può offrire servizi ancillari e di flessibilità</w:t>
      </w:r>
      <w:r w:rsidRPr="00010023">
        <w:rPr>
          <w:rFonts w:ascii="Times New Roman" w:hAnsi="Times New Roman" w:cs="Times New Roman"/>
          <w:sz w:val="22"/>
          <w:szCs w:val="22"/>
        </w:rPr>
        <w:t>».</w:t>
      </w:r>
    </w:p>
  </w:footnote>
  <w:footnote w:id="79">
    <w:p w14:paraId="2707CC74" w14:textId="42D6A7D4"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49" w:name="_Hlk224817821"/>
      <w:r w:rsidRPr="00010023">
        <w:rPr>
          <w:rFonts w:ascii="Times New Roman" w:hAnsi="Times New Roman" w:cs="Times New Roman"/>
          <w:sz w:val="22"/>
          <w:szCs w:val="22"/>
        </w:rPr>
        <w:t xml:space="preserve">D. CORAPI, </w:t>
      </w:r>
      <w:r w:rsidRPr="00010023">
        <w:rPr>
          <w:rFonts w:ascii="Times New Roman" w:hAnsi="Times New Roman" w:cs="Times New Roman"/>
          <w:i/>
          <w:iCs/>
          <w:sz w:val="22"/>
          <w:szCs w:val="22"/>
        </w:rPr>
        <w:t>La “povertà” nell’ordine giuridico del capitalismo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 xml:space="preserve">Riv. </w:t>
      </w:r>
      <w:proofErr w:type="spellStart"/>
      <w:r w:rsidRPr="00010023">
        <w:rPr>
          <w:rFonts w:ascii="Times New Roman" w:hAnsi="Times New Roman" w:cs="Times New Roman"/>
          <w:i/>
          <w:iCs/>
          <w:sz w:val="22"/>
          <w:szCs w:val="22"/>
        </w:rPr>
        <w:t>it</w:t>
      </w:r>
      <w:proofErr w:type="spellEnd"/>
      <w:r w:rsidRPr="00010023">
        <w:rPr>
          <w:rFonts w:ascii="Times New Roman" w:hAnsi="Times New Roman" w:cs="Times New Roman"/>
          <w:i/>
          <w:iCs/>
          <w:sz w:val="22"/>
          <w:szCs w:val="22"/>
        </w:rPr>
        <w:t>. sc. giur.,</w:t>
      </w:r>
      <w:r w:rsidRPr="00010023">
        <w:rPr>
          <w:rFonts w:ascii="Times New Roman" w:hAnsi="Times New Roman" w:cs="Times New Roman"/>
          <w:sz w:val="22"/>
          <w:szCs w:val="22"/>
        </w:rPr>
        <w:t xml:space="preserve"> op. cit.; V. E. CUSA, </w:t>
      </w:r>
      <w:r w:rsidRPr="00010023">
        <w:rPr>
          <w:rFonts w:ascii="Times New Roman" w:hAnsi="Times New Roman" w:cs="Times New Roman"/>
          <w:i/>
          <w:iCs/>
          <w:sz w:val="22"/>
          <w:szCs w:val="22"/>
        </w:rPr>
        <w:t>Il Diritto Dell’unione Europea Sulle Comunità Energetiche e il suo recepimento in Italia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 Trim. Dir. ec</w:t>
      </w:r>
      <w:r w:rsidRPr="00010023">
        <w:rPr>
          <w:rFonts w:ascii="Times New Roman" w:hAnsi="Times New Roman" w:cs="Times New Roman"/>
          <w:sz w:val="22"/>
          <w:szCs w:val="22"/>
        </w:rPr>
        <w:t xml:space="preserve">., op. cit., p. 287 ss.; Id. </w:t>
      </w:r>
      <w:r w:rsidRPr="00010023">
        <w:rPr>
          <w:rFonts w:ascii="Times New Roman" w:hAnsi="Times New Roman" w:cs="Times New Roman"/>
          <w:i/>
          <w:iCs/>
          <w:sz w:val="22"/>
          <w:szCs w:val="22"/>
        </w:rPr>
        <w:t>Sviluppo sostenibile, cittadinanza attiva e comunità energetiche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Orizzonti del diritto commerciale</w:t>
      </w:r>
      <w:r w:rsidRPr="00010023">
        <w:rPr>
          <w:rFonts w:ascii="Times New Roman" w:hAnsi="Times New Roman" w:cs="Times New Roman"/>
          <w:sz w:val="22"/>
          <w:szCs w:val="22"/>
        </w:rPr>
        <w:t>, op. cit., p.71.</w:t>
      </w:r>
      <w:bookmarkEnd w:id="49"/>
    </w:p>
  </w:footnote>
  <w:footnote w:id="80">
    <w:p w14:paraId="4F8172AC" w14:textId="709B22D2" w:rsidR="00DF358B" w:rsidRPr="00010023" w:rsidRDefault="00DF358B" w:rsidP="00010023">
      <w:pPr>
        <w:pStyle w:val="Testonotaapidipagina"/>
        <w:spacing w:line="240" w:lineRule="exact"/>
        <w:contextualSpacing/>
        <w:jc w:val="both"/>
        <w:rPr>
          <w:rFonts w:ascii="Times New Roman" w:hAnsi="Times New Roman" w:cs="Times New Roman"/>
          <w:sz w:val="22"/>
          <w:szCs w:val="22"/>
          <w:lang w:val="fr-FR"/>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lang w:val="en-US"/>
        </w:rPr>
        <w:t xml:space="preserve"> </w:t>
      </w:r>
      <w:proofErr w:type="spellStart"/>
      <w:r w:rsidRPr="00010023">
        <w:rPr>
          <w:rFonts w:ascii="Times New Roman" w:hAnsi="Times New Roman" w:cs="Times New Roman"/>
          <w:sz w:val="22"/>
          <w:szCs w:val="22"/>
          <w:lang w:val="en-US"/>
        </w:rPr>
        <w:t>Cfr</w:t>
      </w:r>
      <w:proofErr w:type="spellEnd"/>
      <w:r w:rsidRPr="00010023">
        <w:rPr>
          <w:rFonts w:ascii="Times New Roman" w:hAnsi="Times New Roman" w:cs="Times New Roman"/>
          <w:sz w:val="22"/>
          <w:szCs w:val="22"/>
          <w:lang w:val="en-US"/>
        </w:rPr>
        <w:t xml:space="preserve">. M.J. BURKE, J.C. STEPHENS, </w:t>
      </w:r>
      <w:r w:rsidRPr="00010023">
        <w:rPr>
          <w:rFonts w:ascii="Times New Roman" w:hAnsi="Times New Roman" w:cs="Times New Roman"/>
          <w:i/>
          <w:iCs/>
          <w:sz w:val="22"/>
          <w:szCs w:val="22"/>
          <w:lang w:val="en-US"/>
        </w:rPr>
        <w:t>Energy democracy: goals and policy instruments for socio-technical transitions</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Energy Research and Social Science</w:t>
      </w:r>
      <w:r w:rsidRPr="00010023">
        <w:rPr>
          <w:rFonts w:ascii="Times New Roman" w:hAnsi="Times New Roman" w:cs="Times New Roman"/>
          <w:sz w:val="22"/>
          <w:szCs w:val="22"/>
          <w:lang w:val="en-US"/>
        </w:rPr>
        <w:t xml:space="preserve">, 2017, 35; K. JENKINS, D. </w:t>
      </w:r>
      <w:proofErr w:type="spellStart"/>
      <w:r w:rsidRPr="00010023">
        <w:rPr>
          <w:rFonts w:ascii="Times New Roman" w:hAnsi="Times New Roman" w:cs="Times New Roman"/>
          <w:sz w:val="22"/>
          <w:szCs w:val="22"/>
          <w:lang w:val="en-US"/>
        </w:rPr>
        <w:t>McCAULEY</w:t>
      </w:r>
      <w:proofErr w:type="spellEnd"/>
      <w:r w:rsidRPr="00010023">
        <w:rPr>
          <w:rFonts w:ascii="Times New Roman" w:hAnsi="Times New Roman" w:cs="Times New Roman"/>
          <w:sz w:val="22"/>
          <w:szCs w:val="22"/>
          <w:lang w:val="en-US"/>
        </w:rPr>
        <w:t xml:space="preserve">, R. HEFFRON, H. STEPHAN, R. REHNER, </w:t>
      </w:r>
      <w:r w:rsidRPr="00010023">
        <w:rPr>
          <w:rFonts w:ascii="Times New Roman" w:hAnsi="Times New Roman" w:cs="Times New Roman"/>
          <w:i/>
          <w:iCs/>
          <w:sz w:val="22"/>
          <w:szCs w:val="22"/>
          <w:lang w:val="en-US"/>
        </w:rPr>
        <w:t>Energy Justice: a conceptual review</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Energy Research and Social Science</w:t>
      </w:r>
      <w:r w:rsidRPr="00010023">
        <w:rPr>
          <w:rFonts w:ascii="Times New Roman" w:hAnsi="Times New Roman" w:cs="Times New Roman"/>
          <w:sz w:val="22"/>
          <w:szCs w:val="22"/>
          <w:lang w:val="en-US"/>
        </w:rPr>
        <w:t xml:space="preserve">, 2016, 174; L. TRICARICO, A. BILLI, </w:t>
      </w:r>
      <w:r w:rsidRPr="00010023">
        <w:rPr>
          <w:rFonts w:ascii="Times New Roman" w:hAnsi="Times New Roman" w:cs="Times New Roman"/>
          <w:i/>
          <w:iCs/>
          <w:sz w:val="22"/>
          <w:szCs w:val="22"/>
          <w:lang w:val="en-US"/>
        </w:rPr>
        <w:t xml:space="preserve">Come </w:t>
      </w:r>
      <w:proofErr w:type="spellStart"/>
      <w:r w:rsidRPr="00010023">
        <w:rPr>
          <w:rFonts w:ascii="Times New Roman" w:hAnsi="Times New Roman" w:cs="Times New Roman"/>
          <w:i/>
          <w:iCs/>
          <w:sz w:val="22"/>
          <w:szCs w:val="22"/>
          <w:lang w:val="en-US"/>
        </w:rPr>
        <w:t>organizzare</w:t>
      </w:r>
      <w:proofErr w:type="spellEnd"/>
      <w:r w:rsidRPr="00010023">
        <w:rPr>
          <w:rFonts w:ascii="Times New Roman" w:hAnsi="Times New Roman" w:cs="Times New Roman"/>
          <w:i/>
          <w:iCs/>
          <w:sz w:val="22"/>
          <w:szCs w:val="22"/>
          <w:lang w:val="en-US"/>
        </w:rPr>
        <w:t xml:space="preserve"> le </w:t>
      </w:r>
      <w:proofErr w:type="spellStart"/>
      <w:r w:rsidRPr="00010023">
        <w:rPr>
          <w:rFonts w:ascii="Times New Roman" w:hAnsi="Times New Roman" w:cs="Times New Roman"/>
          <w:i/>
          <w:iCs/>
          <w:sz w:val="22"/>
          <w:szCs w:val="22"/>
          <w:lang w:val="en-US"/>
        </w:rPr>
        <w:t>comunità</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energetiche</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Un’ipotesi</w:t>
      </w:r>
      <w:proofErr w:type="spellEnd"/>
      <w:r w:rsidRPr="00010023">
        <w:rPr>
          <w:rFonts w:ascii="Times New Roman" w:hAnsi="Times New Roman" w:cs="Times New Roman"/>
          <w:i/>
          <w:iCs/>
          <w:sz w:val="22"/>
          <w:szCs w:val="22"/>
          <w:lang w:val="en-US"/>
        </w:rPr>
        <w:t xml:space="preserve"> di </w:t>
      </w:r>
      <w:proofErr w:type="spellStart"/>
      <w:r w:rsidRPr="00010023">
        <w:rPr>
          <w:rFonts w:ascii="Times New Roman" w:hAnsi="Times New Roman" w:cs="Times New Roman"/>
          <w:i/>
          <w:iCs/>
          <w:sz w:val="22"/>
          <w:szCs w:val="22"/>
          <w:lang w:val="en-US"/>
        </w:rPr>
        <w:t>prospettiva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metodologica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osservando</w:t>
      </w:r>
      <w:proofErr w:type="spellEnd"/>
      <w:r w:rsidRPr="00010023">
        <w:rPr>
          <w:rFonts w:ascii="Times New Roman" w:hAnsi="Times New Roman" w:cs="Times New Roman"/>
          <w:i/>
          <w:iCs/>
          <w:sz w:val="22"/>
          <w:szCs w:val="22"/>
          <w:lang w:val="en-US"/>
        </w:rPr>
        <w:t xml:space="preserve"> due </w:t>
      </w:r>
      <w:proofErr w:type="spellStart"/>
      <w:r w:rsidRPr="00010023">
        <w:rPr>
          <w:rFonts w:ascii="Times New Roman" w:hAnsi="Times New Roman" w:cs="Times New Roman"/>
          <w:i/>
          <w:iCs/>
          <w:sz w:val="22"/>
          <w:szCs w:val="22"/>
          <w:lang w:val="en-US"/>
        </w:rPr>
        <w:t>casi</w:t>
      </w:r>
      <w:proofErr w:type="spellEnd"/>
      <w:r w:rsidRPr="00010023">
        <w:rPr>
          <w:rFonts w:ascii="Times New Roman" w:hAnsi="Times New Roman" w:cs="Times New Roman"/>
          <w:i/>
          <w:iCs/>
          <w:sz w:val="22"/>
          <w:szCs w:val="22"/>
          <w:lang w:val="en-US"/>
        </w:rPr>
        <w:t xml:space="preserve"> studio </w:t>
      </w:r>
      <w:proofErr w:type="spellStart"/>
      <w:r w:rsidRPr="00010023">
        <w:rPr>
          <w:rFonts w:ascii="Times New Roman" w:hAnsi="Times New Roman" w:cs="Times New Roman"/>
          <w:i/>
          <w:iCs/>
          <w:sz w:val="22"/>
          <w:szCs w:val="22"/>
          <w:lang w:val="en-US"/>
        </w:rPr>
        <w:t>italiani</w:t>
      </w:r>
      <w:proofErr w:type="spellEnd"/>
      <w:r w:rsidRPr="00010023">
        <w:rPr>
          <w:rFonts w:ascii="Times New Roman" w:hAnsi="Times New Roman" w:cs="Times New Roman"/>
          <w:sz w:val="22"/>
          <w:szCs w:val="22"/>
          <w:lang w:val="en-US"/>
        </w:rPr>
        <w:t xml:space="preserve">, in </w:t>
      </w:r>
      <w:proofErr w:type="spellStart"/>
      <w:r w:rsidRPr="00010023">
        <w:rPr>
          <w:rFonts w:ascii="Times New Roman" w:hAnsi="Times New Roman" w:cs="Times New Roman"/>
          <w:i/>
          <w:iCs/>
          <w:sz w:val="22"/>
          <w:szCs w:val="22"/>
          <w:lang w:val="en-US"/>
        </w:rPr>
        <w:t>Rivista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Geografica</w:t>
      </w:r>
      <w:proofErr w:type="spellEnd"/>
      <w:r w:rsidRPr="00010023">
        <w:rPr>
          <w:rFonts w:ascii="Times New Roman" w:hAnsi="Times New Roman" w:cs="Times New Roman"/>
          <w:i/>
          <w:iCs/>
          <w:sz w:val="22"/>
          <w:szCs w:val="22"/>
          <w:lang w:val="en-US"/>
        </w:rPr>
        <w:t xml:space="preserve"> </w:t>
      </w:r>
      <w:proofErr w:type="spellStart"/>
      <w:r w:rsidRPr="00010023">
        <w:rPr>
          <w:rFonts w:ascii="Times New Roman" w:hAnsi="Times New Roman" w:cs="Times New Roman"/>
          <w:i/>
          <w:iCs/>
          <w:sz w:val="22"/>
          <w:szCs w:val="22"/>
          <w:lang w:val="en-US"/>
        </w:rPr>
        <w:t>Italiana</w:t>
      </w:r>
      <w:proofErr w:type="spellEnd"/>
      <w:r w:rsidRPr="00010023">
        <w:rPr>
          <w:rFonts w:ascii="Times New Roman" w:hAnsi="Times New Roman" w:cs="Times New Roman"/>
          <w:sz w:val="22"/>
          <w:szCs w:val="22"/>
          <w:lang w:val="en-US"/>
        </w:rPr>
        <w:t xml:space="preserve">, 2021, 105; C. HAGGETT, M. AITKEN, </w:t>
      </w:r>
      <w:r w:rsidRPr="00010023">
        <w:rPr>
          <w:rFonts w:ascii="Times New Roman" w:hAnsi="Times New Roman" w:cs="Times New Roman"/>
          <w:i/>
          <w:iCs/>
          <w:sz w:val="22"/>
          <w:szCs w:val="22"/>
          <w:lang w:val="en-US"/>
        </w:rPr>
        <w:t>Grassroots energy innovations: the role of community ownership and investment</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Current Sustainable/Renewable Energy Reports</w:t>
      </w:r>
      <w:r w:rsidRPr="00010023">
        <w:rPr>
          <w:rFonts w:ascii="Times New Roman" w:hAnsi="Times New Roman" w:cs="Times New Roman"/>
          <w:sz w:val="22"/>
          <w:szCs w:val="22"/>
          <w:lang w:val="en-US"/>
        </w:rPr>
        <w:t xml:space="preserve">, 2015, 98; E. CREAMER, G.T. AIKEN, B. VAN VEELEN, G. WALKER, P. DEVINE-WRIGHT, </w:t>
      </w:r>
      <w:r w:rsidRPr="00010023">
        <w:rPr>
          <w:rFonts w:ascii="Times New Roman" w:hAnsi="Times New Roman" w:cs="Times New Roman"/>
          <w:i/>
          <w:iCs/>
          <w:sz w:val="22"/>
          <w:szCs w:val="22"/>
          <w:lang w:val="en-US"/>
        </w:rPr>
        <w:t>Community renewable energy: what does it do? Walker and Devine-Wright (2008) ten years on</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Energy Research and Social Science</w:t>
      </w:r>
      <w:r w:rsidRPr="00010023">
        <w:rPr>
          <w:rFonts w:ascii="Times New Roman" w:hAnsi="Times New Roman" w:cs="Times New Roman"/>
          <w:sz w:val="22"/>
          <w:szCs w:val="22"/>
          <w:lang w:val="en-US"/>
        </w:rPr>
        <w:t xml:space="preserve">, 2019; G. WALKER, P. DEVINE-WRIGHT, </w:t>
      </w:r>
      <w:r w:rsidRPr="00010023">
        <w:rPr>
          <w:rFonts w:ascii="Times New Roman" w:hAnsi="Times New Roman" w:cs="Times New Roman"/>
          <w:i/>
          <w:iCs/>
          <w:sz w:val="22"/>
          <w:szCs w:val="22"/>
          <w:lang w:val="en-US"/>
        </w:rPr>
        <w:t>Community renewable energy: what should it mean?</w:t>
      </w:r>
      <w:r w:rsidRPr="00010023">
        <w:rPr>
          <w:rFonts w:ascii="Times New Roman" w:hAnsi="Times New Roman" w:cs="Times New Roman"/>
          <w:sz w:val="22"/>
          <w:szCs w:val="22"/>
          <w:lang w:val="en-US"/>
        </w:rPr>
        <w:t xml:space="preserve">, in </w:t>
      </w:r>
      <w:r w:rsidRPr="00010023">
        <w:rPr>
          <w:rFonts w:ascii="Times New Roman" w:hAnsi="Times New Roman" w:cs="Times New Roman"/>
          <w:i/>
          <w:iCs/>
          <w:sz w:val="22"/>
          <w:szCs w:val="22"/>
          <w:lang w:val="en-US"/>
        </w:rPr>
        <w:t>Energy Policy</w:t>
      </w:r>
      <w:r w:rsidRPr="00010023">
        <w:rPr>
          <w:rFonts w:ascii="Times New Roman" w:hAnsi="Times New Roman" w:cs="Times New Roman"/>
          <w:sz w:val="22"/>
          <w:szCs w:val="22"/>
          <w:lang w:val="en-US"/>
        </w:rPr>
        <w:t xml:space="preserve">, 2008, 497 ; G. SEYFANG, S. HIELSCHER, T. HARGREAVES, M. MARTISKAINEN, A. SMITH, </w:t>
      </w:r>
      <w:r w:rsidRPr="00010023">
        <w:rPr>
          <w:rFonts w:ascii="Times New Roman" w:hAnsi="Times New Roman" w:cs="Times New Roman"/>
          <w:i/>
          <w:iCs/>
          <w:sz w:val="22"/>
          <w:szCs w:val="22"/>
          <w:lang w:val="en-US"/>
        </w:rPr>
        <w:t xml:space="preserve">A grassroots sustainable energy niche? </w:t>
      </w:r>
      <w:proofErr w:type="spellStart"/>
      <w:r w:rsidRPr="00010023">
        <w:rPr>
          <w:rFonts w:ascii="Times New Roman" w:hAnsi="Times New Roman" w:cs="Times New Roman"/>
          <w:i/>
          <w:iCs/>
          <w:sz w:val="22"/>
          <w:szCs w:val="22"/>
          <w:lang w:val="fr-FR"/>
        </w:rPr>
        <w:t>Reflections</w:t>
      </w:r>
      <w:proofErr w:type="spellEnd"/>
      <w:r w:rsidRPr="00010023">
        <w:rPr>
          <w:rFonts w:ascii="Times New Roman" w:hAnsi="Times New Roman" w:cs="Times New Roman"/>
          <w:i/>
          <w:iCs/>
          <w:sz w:val="22"/>
          <w:szCs w:val="22"/>
          <w:lang w:val="fr-FR"/>
        </w:rPr>
        <w:t xml:space="preserve"> on </w:t>
      </w:r>
      <w:proofErr w:type="spellStart"/>
      <w:r w:rsidRPr="00010023">
        <w:rPr>
          <w:rFonts w:ascii="Times New Roman" w:hAnsi="Times New Roman" w:cs="Times New Roman"/>
          <w:i/>
          <w:iCs/>
          <w:sz w:val="22"/>
          <w:szCs w:val="22"/>
          <w:lang w:val="fr-FR"/>
        </w:rPr>
        <w:t>community</w:t>
      </w:r>
      <w:proofErr w:type="spellEnd"/>
      <w:r w:rsidRPr="00010023">
        <w:rPr>
          <w:rFonts w:ascii="Times New Roman" w:hAnsi="Times New Roman" w:cs="Times New Roman"/>
          <w:i/>
          <w:iCs/>
          <w:sz w:val="22"/>
          <w:szCs w:val="22"/>
          <w:lang w:val="fr-FR"/>
        </w:rPr>
        <w:t xml:space="preserve"> </w:t>
      </w:r>
      <w:proofErr w:type="spellStart"/>
      <w:r w:rsidRPr="00010023">
        <w:rPr>
          <w:rFonts w:ascii="Times New Roman" w:hAnsi="Times New Roman" w:cs="Times New Roman"/>
          <w:i/>
          <w:iCs/>
          <w:sz w:val="22"/>
          <w:szCs w:val="22"/>
          <w:lang w:val="fr-FR"/>
        </w:rPr>
        <w:t>energy</w:t>
      </w:r>
      <w:proofErr w:type="spellEnd"/>
      <w:r w:rsidRPr="00010023">
        <w:rPr>
          <w:rFonts w:ascii="Times New Roman" w:hAnsi="Times New Roman" w:cs="Times New Roman"/>
          <w:i/>
          <w:iCs/>
          <w:sz w:val="22"/>
          <w:szCs w:val="22"/>
          <w:lang w:val="fr-FR"/>
        </w:rPr>
        <w:t xml:space="preserve"> in the UK</w:t>
      </w:r>
      <w:r w:rsidRPr="00010023">
        <w:rPr>
          <w:rFonts w:ascii="Times New Roman" w:hAnsi="Times New Roman" w:cs="Times New Roman"/>
          <w:sz w:val="22"/>
          <w:szCs w:val="22"/>
          <w:lang w:val="fr-FR"/>
        </w:rPr>
        <w:t xml:space="preserve">, in </w:t>
      </w:r>
      <w:proofErr w:type="spellStart"/>
      <w:r w:rsidRPr="00010023">
        <w:rPr>
          <w:rFonts w:ascii="Times New Roman" w:hAnsi="Times New Roman" w:cs="Times New Roman"/>
          <w:i/>
          <w:iCs/>
          <w:sz w:val="22"/>
          <w:szCs w:val="22"/>
          <w:lang w:val="fr-FR"/>
        </w:rPr>
        <w:t>Environmental</w:t>
      </w:r>
      <w:proofErr w:type="spellEnd"/>
      <w:r w:rsidRPr="00010023">
        <w:rPr>
          <w:rFonts w:ascii="Times New Roman" w:hAnsi="Times New Roman" w:cs="Times New Roman"/>
          <w:i/>
          <w:iCs/>
          <w:sz w:val="22"/>
          <w:szCs w:val="22"/>
          <w:lang w:val="fr-FR"/>
        </w:rPr>
        <w:t xml:space="preserve"> Innovation and </w:t>
      </w:r>
      <w:proofErr w:type="spellStart"/>
      <w:r w:rsidRPr="00010023">
        <w:rPr>
          <w:rFonts w:ascii="Times New Roman" w:hAnsi="Times New Roman" w:cs="Times New Roman"/>
          <w:i/>
          <w:iCs/>
          <w:sz w:val="22"/>
          <w:szCs w:val="22"/>
          <w:lang w:val="fr-FR"/>
        </w:rPr>
        <w:t>Societal</w:t>
      </w:r>
      <w:proofErr w:type="spellEnd"/>
      <w:r w:rsidRPr="00010023">
        <w:rPr>
          <w:rFonts w:ascii="Times New Roman" w:hAnsi="Times New Roman" w:cs="Times New Roman"/>
          <w:i/>
          <w:iCs/>
          <w:sz w:val="22"/>
          <w:szCs w:val="22"/>
          <w:lang w:val="fr-FR"/>
        </w:rPr>
        <w:t xml:space="preserve"> Transitions</w:t>
      </w:r>
      <w:r w:rsidRPr="00010023">
        <w:rPr>
          <w:rFonts w:ascii="Times New Roman" w:hAnsi="Times New Roman" w:cs="Times New Roman"/>
          <w:sz w:val="22"/>
          <w:szCs w:val="22"/>
          <w:lang w:val="fr-FR"/>
        </w:rPr>
        <w:t>, 2014.</w:t>
      </w:r>
    </w:p>
  </w:footnote>
  <w:footnote w:id="81">
    <w:p w14:paraId="7DB4DE2B" w14:textId="3CAA5E7C"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Particolarmente interessante è la ricerca proposta dalla rivista </w:t>
      </w:r>
      <w:r w:rsidRPr="00010023">
        <w:rPr>
          <w:rFonts w:ascii="Times New Roman" w:hAnsi="Times New Roman" w:cs="Times New Roman"/>
          <w:i/>
          <w:iCs/>
          <w:sz w:val="22"/>
          <w:szCs w:val="22"/>
        </w:rPr>
        <w:t>DES – Diritto e Società</w:t>
      </w:r>
      <w:r w:rsidRPr="00010023">
        <w:rPr>
          <w:rFonts w:ascii="Times New Roman" w:hAnsi="Times New Roman" w:cs="Times New Roman"/>
          <w:sz w:val="22"/>
          <w:szCs w:val="22"/>
        </w:rPr>
        <w:t>, L</w:t>
      </w:r>
      <w:r w:rsidRPr="00010023">
        <w:rPr>
          <w:rFonts w:ascii="Times New Roman" w:hAnsi="Times New Roman" w:cs="Times New Roman"/>
          <w:i/>
          <w:iCs/>
          <w:sz w:val="22"/>
          <w:szCs w:val="22"/>
        </w:rPr>
        <w:t>e comunità energetiche rinnovabili nel quadro giuridico europeo e nazionale</w:t>
      </w:r>
      <w:r w:rsidRPr="00010023">
        <w:rPr>
          <w:rFonts w:ascii="Times New Roman" w:hAnsi="Times New Roman" w:cs="Times New Roman"/>
          <w:sz w:val="22"/>
          <w:szCs w:val="22"/>
        </w:rPr>
        <w:t>, 2025, a cui si rimanda integralmente, in cui la dottrina – tra gli altri profili di ricerca – indaga sulle finalità mutualistiche delle CER nel fornire benefici ambientali, economici o sociali ai membri o alle comunità locali, sia sotto il profilo del diritto commerciale, che amministrativo.</w:t>
      </w:r>
    </w:p>
  </w:footnote>
  <w:footnote w:id="82">
    <w:p w14:paraId="654B8C9F" w14:textId="6C7E9288"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cfr. RAO RICCARDO, </w:t>
      </w:r>
      <w:r w:rsidRPr="00010023">
        <w:rPr>
          <w:rFonts w:ascii="Times New Roman" w:hAnsi="Times New Roman" w:cs="Times New Roman"/>
          <w:i/>
          <w:iCs/>
          <w:sz w:val="22"/>
          <w:szCs w:val="22"/>
        </w:rPr>
        <w:t xml:space="preserve">Le comunità energetiche rinnovabili (CER): delle “officine” per il diritto </w:t>
      </w:r>
      <w:proofErr w:type="gramStart"/>
      <w:r w:rsidRPr="00010023">
        <w:rPr>
          <w:rFonts w:ascii="Times New Roman" w:hAnsi="Times New Roman" w:cs="Times New Roman"/>
          <w:i/>
          <w:iCs/>
          <w:sz w:val="22"/>
          <w:szCs w:val="22"/>
        </w:rPr>
        <w:t>commerciale?</w:t>
      </w:r>
      <w:r w:rsidRPr="00010023">
        <w:rPr>
          <w:rFonts w:ascii="Times New Roman" w:hAnsi="Times New Roman" w:cs="Times New Roman"/>
          <w:sz w:val="22"/>
          <w:szCs w:val="22"/>
        </w:rPr>
        <w:t>,</w:t>
      </w:r>
      <w:proofErr w:type="gramEnd"/>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Orizzonti del Diritto Commerciale</w:t>
      </w:r>
      <w:r w:rsidRPr="00010023">
        <w:rPr>
          <w:rFonts w:ascii="Times New Roman" w:hAnsi="Times New Roman" w:cs="Times New Roman"/>
          <w:sz w:val="22"/>
          <w:szCs w:val="22"/>
        </w:rPr>
        <w:t>, 2024, l’autore analizza la disciplina delle CER in prospettiva di diritto commerciale, evidenziando che lo scopo sociale delle CER nonché sulle possibili implicazioni per l’identificazione di modelli organizzativi cooperativi o associativi maggiormente riferibili.</w:t>
      </w:r>
    </w:p>
  </w:footnote>
  <w:footnote w:id="83">
    <w:p w14:paraId="7411C85F"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Il requisito di «comunità aperta» e di adesione volontaria, quale caratterizza le Comunità Energetiche Rinnovabili (CER/CEC) secondo la disciplina europea e nazionale, appare significativamente attenuato se l’inquadramento è effettuato nelle categorie codicistiche tradizionali di associazioni o cooperative. In particolare, l’art. 36 c.c. dispone che l’ammissione e l’uscita dei soci dalle associazioni siano vincolate alle condizioni previste dallo statuto e all’approvazione degli organi direttivi, quali il consiglio direttivo o il presidente, circostanza che limita la piena realizzazione del principio di apertura e volontarietà. Analogamente, nella disciplina delle cooperative, disciplinata dagli artt. 2511 ss. c.c., l’ingresso dei soci presuppone l’acquisizione di una quota o azione e l’uscita comporta la restituzione delle medesime, condizioni che incidono sulla libertà di adesione e di recesso e richiedono la presenza di un apparato organizzativo idoneo a garantire la corretta gestione della governance interna. Tali prescrizioni codicistiche, pertanto, rendono meno immediata e spontanea la realizzazione del principio di porte aperte e di adesione volontaria, caratterizzante le CER, evidenziandone la natura istituzionalmente più flessibile rispetto alle forme associative e cooperative tradizionali.</w:t>
      </w:r>
      <w:r w:rsidRPr="00010023">
        <w:rPr>
          <w:rFonts w:ascii="Times New Roman" w:hAnsi="Times New Roman" w:cs="Times New Roman"/>
          <w:vanish/>
          <w:sz w:val="22"/>
          <w:szCs w:val="22"/>
        </w:rPr>
        <w:t>Inizio moduloFine modulo</w:t>
      </w:r>
    </w:p>
  </w:footnote>
  <w:footnote w:id="84">
    <w:p w14:paraId="3A9B5146" w14:textId="7F7B7CDE"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In particolare si cfr. E. CUSA, </w:t>
      </w:r>
      <w:r w:rsidRPr="00010023">
        <w:rPr>
          <w:rFonts w:ascii="Times New Roman" w:hAnsi="Times New Roman" w:cs="Times New Roman"/>
          <w:i/>
          <w:iCs/>
          <w:sz w:val="22"/>
          <w:szCs w:val="22"/>
        </w:rPr>
        <w:t>La cooperazione energetica tra tutela dei consumatori ed economia sociale di mercato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Giurisprudenza Commerciale</w:t>
      </w:r>
      <w:r w:rsidRPr="00010023">
        <w:rPr>
          <w:rFonts w:ascii="Times New Roman" w:hAnsi="Times New Roman" w:cs="Times New Roman"/>
          <w:sz w:val="22"/>
          <w:szCs w:val="22"/>
        </w:rPr>
        <w:t>, 2015, 4, 663; C. IAIONE, A. NUZZO, R. PISELLI, E. DE NICTOLIS, A. DAVOLA et al</w:t>
      </w:r>
      <w:r w:rsidRPr="00010023">
        <w:rPr>
          <w:rFonts w:ascii="Times New Roman" w:hAnsi="Times New Roman" w:cs="Times New Roman"/>
          <w:b/>
          <w:bCs/>
          <w:sz w:val="22"/>
          <w:szCs w:val="22"/>
        </w:rPr>
        <w:t>.</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 xml:space="preserve">La governance per la gestione sostenibile e inclusiva delle comunità energetiche: analisi di </w:t>
      </w:r>
      <w:proofErr w:type="spellStart"/>
      <w:r w:rsidRPr="00010023">
        <w:rPr>
          <w:rFonts w:ascii="Times New Roman" w:hAnsi="Times New Roman" w:cs="Times New Roman"/>
          <w:i/>
          <w:iCs/>
          <w:sz w:val="22"/>
          <w:szCs w:val="22"/>
        </w:rPr>
        <w:t>pre</w:t>
      </w:r>
      <w:proofErr w:type="spellEnd"/>
      <w:r w:rsidRPr="00010023">
        <w:rPr>
          <w:rFonts w:ascii="Times New Roman" w:hAnsi="Times New Roman" w:cs="Times New Roman"/>
          <w:i/>
          <w:iCs/>
          <w:sz w:val="22"/>
          <w:szCs w:val="22"/>
        </w:rPr>
        <w:t>-fattibilità economico-giuridica</w:t>
      </w:r>
      <w:r w:rsidRPr="00010023">
        <w:rPr>
          <w:rFonts w:ascii="Times New Roman" w:hAnsi="Times New Roman" w:cs="Times New Roman"/>
          <w:sz w:val="22"/>
          <w:szCs w:val="22"/>
        </w:rPr>
        <w:t xml:space="preserve">, Report di ricerca per ENEA (Agenzia nazionale per le nuove tecnologie, l’energia e lo sviluppo economico sostenibile), nell’ambito dell’Accordo di Programma MISE-ENEA, Piano triennale 2019-2021; R. PISELLI, </w:t>
      </w:r>
      <w:r w:rsidRPr="00010023">
        <w:rPr>
          <w:rFonts w:ascii="Times New Roman" w:hAnsi="Times New Roman" w:cs="Times New Roman"/>
          <w:i/>
          <w:iCs/>
          <w:sz w:val="22"/>
          <w:szCs w:val="22"/>
        </w:rPr>
        <w:t>La comunità energetica e i suoi modelli organizzativi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e Società</w:t>
      </w:r>
      <w:r w:rsidRPr="00010023">
        <w:rPr>
          <w:rFonts w:ascii="Times New Roman" w:hAnsi="Times New Roman" w:cs="Times New Roman"/>
          <w:sz w:val="22"/>
          <w:szCs w:val="22"/>
        </w:rPr>
        <w:t xml:space="preserve">, 2022. C. MARI, </w:t>
      </w:r>
      <w:r w:rsidRPr="00010023">
        <w:rPr>
          <w:rFonts w:ascii="Times New Roman" w:hAnsi="Times New Roman" w:cs="Times New Roman"/>
          <w:i/>
          <w:iCs/>
          <w:sz w:val="22"/>
          <w:szCs w:val="22"/>
        </w:rPr>
        <w:t>Le comunità energetiche: un nuovo modello di collaborazione pubblico-privato per la transizione ecologica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federalismi.it</w:t>
      </w:r>
      <w:r w:rsidRPr="00010023">
        <w:rPr>
          <w:rFonts w:ascii="Times New Roman" w:hAnsi="Times New Roman" w:cs="Times New Roman"/>
          <w:sz w:val="22"/>
          <w:szCs w:val="22"/>
        </w:rPr>
        <w:t xml:space="preserve">, 2022, 29, 124; E. BRUTI LIBERATI, </w:t>
      </w:r>
      <w:r w:rsidRPr="00010023">
        <w:rPr>
          <w:rFonts w:ascii="Times New Roman" w:hAnsi="Times New Roman" w:cs="Times New Roman"/>
          <w:i/>
          <w:iCs/>
          <w:sz w:val="22"/>
          <w:szCs w:val="22"/>
        </w:rPr>
        <w:t>Accordi pubblici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Enciclopedia del diritto</w:t>
      </w:r>
      <w:r w:rsidRPr="00010023">
        <w:rPr>
          <w:rFonts w:ascii="Times New Roman" w:hAnsi="Times New Roman" w:cs="Times New Roman"/>
          <w:sz w:val="22"/>
          <w:szCs w:val="22"/>
        </w:rPr>
        <w:t xml:space="preserve">, V, Milano; M. PANE, A. GHISI, </w:t>
      </w:r>
      <w:r w:rsidRPr="00010023">
        <w:rPr>
          <w:rFonts w:ascii="Times New Roman" w:hAnsi="Times New Roman" w:cs="Times New Roman"/>
          <w:i/>
          <w:iCs/>
          <w:sz w:val="22"/>
          <w:szCs w:val="22"/>
        </w:rPr>
        <w:t>Comunità energetiche rinnovabili: la forma giuridica più utile per accedere a benefici fiscali e contributi GSE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Fisco</w:t>
      </w:r>
      <w:r w:rsidRPr="00010023">
        <w:rPr>
          <w:rFonts w:ascii="Times New Roman" w:hAnsi="Times New Roman" w:cs="Times New Roman"/>
          <w:sz w:val="22"/>
          <w:szCs w:val="22"/>
        </w:rPr>
        <w:t>, 2022, 29.</w:t>
      </w:r>
    </w:p>
    <w:p w14:paraId="62923698" w14:textId="4D832124"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p>
  </w:footnote>
  <w:footnote w:id="85">
    <w:p w14:paraId="574EF8A0" w14:textId="5E3B5BF1"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v. DARIO BESSONE, </w:t>
      </w:r>
      <w:r w:rsidRPr="00010023">
        <w:rPr>
          <w:rFonts w:ascii="Times New Roman" w:hAnsi="Times New Roman" w:cs="Times New Roman"/>
          <w:i/>
          <w:iCs/>
          <w:sz w:val="22"/>
          <w:szCs w:val="22"/>
        </w:rPr>
        <w:t>Società commerciali: nozione di società, oggetto, scopo mutualistico e scopo di lucro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&amp; Diritti</w:t>
      </w:r>
      <w:r w:rsidRPr="00010023">
        <w:rPr>
          <w:rFonts w:ascii="Times New Roman" w:hAnsi="Times New Roman" w:cs="Times New Roman"/>
          <w:sz w:val="22"/>
          <w:szCs w:val="22"/>
        </w:rPr>
        <w:t xml:space="preserve">, 2003, estratto di contributo sui profili codicistici dell’oggetto sociale e del mutualismo), l’autore analizza i concetti di scopo lucrativo/ mutualistico e le implicazioni sul contenuto dell’atto costitutivo e dello statuto societario nelle società commerciali e cooperative italiane. Si v. inoltre, Ari – Fondazione Nazionale Commercialisti, </w:t>
      </w:r>
      <w:r w:rsidRPr="00010023">
        <w:rPr>
          <w:rFonts w:ascii="Times New Roman" w:hAnsi="Times New Roman" w:cs="Times New Roman"/>
          <w:i/>
          <w:iCs/>
          <w:sz w:val="22"/>
          <w:szCs w:val="22"/>
        </w:rPr>
        <w:t>Le società cooperative nella riforma del diritto societario: lo scopo mutualistico</w:t>
      </w:r>
      <w:r w:rsidRPr="00010023">
        <w:rPr>
          <w:rFonts w:ascii="Times New Roman" w:hAnsi="Times New Roman" w:cs="Times New Roman"/>
          <w:sz w:val="22"/>
          <w:szCs w:val="22"/>
        </w:rPr>
        <w:t xml:space="preserve"> (documento di approfondimento), che esamina profili statutari, oggetto sociale e mutualismo nelle cooperative italiane alla luce dell’ordinamento vigente. In un’ottica comparata, cfr. ROBERTO RANUCCI &amp; ZOUBIDA </w:t>
      </w:r>
      <w:proofErr w:type="spellStart"/>
      <w:r w:rsidRPr="00010023">
        <w:rPr>
          <w:rFonts w:ascii="Times New Roman" w:hAnsi="Times New Roman" w:cs="Times New Roman"/>
          <w:sz w:val="22"/>
          <w:szCs w:val="22"/>
        </w:rPr>
        <w:t>HAMMADi</w:t>
      </w:r>
      <w:proofErr w:type="spellEnd"/>
      <w:r w:rsidRPr="00010023">
        <w:rPr>
          <w:rFonts w:ascii="Times New Roman" w:hAnsi="Times New Roman" w:cs="Times New Roman"/>
          <w:sz w:val="22"/>
          <w:szCs w:val="22"/>
        </w:rPr>
        <w:t xml:space="preserve">, </w:t>
      </w:r>
      <w:proofErr w:type="spellStart"/>
      <w:r w:rsidRPr="00010023">
        <w:rPr>
          <w:rFonts w:ascii="Times New Roman" w:hAnsi="Times New Roman" w:cs="Times New Roman"/>
          <w:i/>
          <w:iCs/>
          <w:sz w:val="22"/>
          <w:szCs w:val="22"/>
        </w:rPr>
        <w:t>Mutualistic</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purpose</w:t>
      </w:r>
      <w:proofErr w:type="spellEnd"/>
      <w:r w:rsidRPr="00010023">
        <w:rPr>
          <w:rFonts w:ascii="Times New Roman" w:hAnsi="Times New Roman" w:cs="Times New Roman"/>
          <w:i/>
          <w:iCs/>
          <w:sz w:val="22"/>
          <w:szCs w:val="22"/>
        </w:rPr>
        <w:t xml:space="preserve"> and </w:t>
      </w:r>
      <w:proofErr w:type="spellStart"/>
      <w:r w:rsidRPr="00010023">
        <w:rPr>
          <w:rFonts w:ascii="Times New Roman" w:hAnsi="Times New Roman" w:cs="Times New Roman"/>
          <w:i/>
          <w:iCs/>
          <w:sz w:val="22"/>
          <w:szCs w:val="22"/>
        </w:rPr>
        <w:t>mutualistic</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relationship</w:t>
      </w:r>
      <w:proofErr w:type="spellEnd"/>
      <w:r w:rsidRPr="00010023">
        <w:rPr>
          <w:rFonts w:ascii="Times New Roman" w:hAnsi="Times New Roman" w:cs="Times New Roman"/>
          <w:i/>
          <w:iCs/>
          <w:sz w:val="22"/>
          <w:szCs w:val="22"/>
        </w:rPr>
        <w:t xml:space="preserve"> in </w:t>
      </w:r>
      <w:proofErr w:type="spellStart"/>
      <w:r w:rsidRPr="00010023">
        <w:rPr>
          <w:rFonts w:ascii="Times New Roman" w:hAnsi="Times New Roman" w:cs="Times New Roman"/>
          <w:i/>
          <w:iCs/>
          <w:sz w:val="22"/>
          <w:szCs w:val="22"/>
        </w:rPr>
        <w:t>Italian</w:t>
      </w:r>
      <w:proofErr w:type="spellEnd"/>
      <w:r w:rsidRPr="00010023">
        <w:rPr>
          <w:rFonts w:ascii="Times New Roman" w:hAnsi="Times New Roman" w:cs="Times New Roman"/>
          <w:i/>
          <w:iCs/>
          <w:sz w:val="22"/>
          <w:szCs w:val="22"/>
        </w:rPr>
        <w:t xml:space="preserve"> cooperative company and in </w:t>
      </w:r>
      <w:proofErr w:type="spellStart"/>
      <w:r w:rsidRPr="00010023">
        <w:rPr>
          <w:rFonts w:ascii="Times New Roman" w:hAnsi="Times New Roman" w:cs="Times New Roman"/>
          <w:i/>
          <w:iCs/>
          <w:sz w:val="22"/>
          <w:szCs w:val="22"/>
        </w:rPr>
        <w:t>German</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Genossenschaft</w:t>
      </w:r>
      <w:proofErr w:type="spellEnd"/>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Open Review of Management, Banking and Finance</w:t>
      </w:r>
      <w:r w:rsidRPr="00010023">
        <w:rPr>
          <w:rFonts w:ascii="Times New Roman" w:hAnsi="Times New Roman" w:cs="Times New Roman"/>
          <w:sz w:val="22"/>
          <w:szCs w:val="22"/>
        </w:rPr>
        <w:t xml:space="preserve">, 2024, gli autori indagano sulla nozione di finalità mutualistica nello statuto e nella governance delle cooperative come modello di riferimento per altri enti commerciali. </w:t>
      </w:r>
    </w:p>
    <w:p w14:paraId="7C15A4D7" w14:textId="569723BD" w:rsidR="00DF358B" w:rsidRPr="00010023" w:rsidRDefault="00DF358B" w:rsidP="00010023">
      <w:pPr>
        <w:pStyle w:val="Testonotaapidipagina"/>
        <w:spacing w:line="240" w:lineRule="exact"/>
        <w:contextualSpacing/>
        <w:jc w:val="both"/>
        <w:rPr>
          <w:sz w:val="22"/>
          <w:szCs w:val="22"/>
        </w:rPr>
      </w:pPr>
    </w:p>
  </w:footnote>
  <w:footnote w:id="86">
    <w:p w14:paraId="3A058A7C" w14:textId="1AB020CB"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In tema di statuti ed oggetto sociale si rimanda alla letteratura classica, tra cui i seguenti contributi: cfr. F. DI SABATO, </w:t>
      </w:r>
      <w:r w:rsidRPr="00010023">
        <w:rPr>
          <w:rFonts w:ascii="Times New Roman" w:hAnsi="Times New Roman" w:cs="Times New Roman"/>
          <w:i/>
          <w:iCs/>
          <w:sz w:val="22"/>
          <w:szCs w:val="22"/>
        </w:rPr>
        <w:t>Sull’oggetto sociale: problemi interpretativi e di coordinamento fra atto costitutivo e statuto</w:t>
      </w:r>
      <w:r w:rsidRPr="00010023">
        <w:rPr>
          <w:rFonts w:ascii="Times New Roman" w:hAnsi="Times New Roman" w:cs="Times New Roman"/>
          <w:sz w:val="22"/>
          <w:szCs w:val="22"/>
        </w:rPr>
        <w:t xml:space="preserve">, Rivista di diritto dell’impresa, 1994; F. GALGANO, </w:t>
      </w:r>
      <w:r w:rsidRPr="00010023">
        <w:rPr>
          <w:rFonts w:ascii="Times New Roman" w:hAnsi="Times New Roman" w:cs="Times New Roman"/>
          <w:i/>
          <w:iCs/>
          <w:sz w:val="22"/>
          <w:szCs w:val="22"/>
        </w:rPr>
        <w:t>Diritto commerciale. II. Le società</w:t>
      </w:r>
      <w:r w:rsidRPr="00010023">
        <w:rPr>
          <w:rFonts w:ascii="Times New Roman" w:hAnsi="Times New Roman" w:cs="Times New Roman"/>
          <w:sz w:val="22"/>
          <w:szCs w:val="22"/>
        </w:rPr>
        <w:t xml:space="preserve">, manuale, 2004; G. SCOGNAMIGLIO, </w:t>
      </w:r>
      <w:r w:rsidRPr="00010023">
        <w:rPr>
          <w:rFonts w:ascii="Times New Roman" w:hAnsi="Times New Roman" w:cs="Times New Roman"/>
          <w:i/>
          <w:iCs/>
          <w:sz w:val="22"/>
          <w:szCs w:val="22"/>
        </w:rPr>
        <w:t>Scritti su oggetto sociale, autonomia statutaria e modifiche dell’atto costitutivo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delle società</w:t>
      </w:r>
      <w:r w:rsidRPr="00010023">
        <w:rPr>
          <w:rFonts w:ascii="Times New Roman" w:hAnsi="Times New Roman" w:cs="Times New Roman"/>
          <w:sz w:val="22"/>
          <w:szCs w:val="22"/>
        </w:rPr>
        <w:t xml:space="preserve">, 2005; C. CAMPOBASSO, </w:t>
      </w:r>
      <w:r w:rsidRPr="00010023">
        <w:rPr>
          <w:rFonts w:ascii="Times New Roman" w:hAnsi="Times New Roman" w:cs="Times New Roman"/>
          <w:i/>
          <w:iCs/>
          <w:sz w:val="22"/>
          <w:szCs w:val="22"/>
        </w:rPr>
        <w:t>Diritto commerciale. Volume II: Diritto delle società</w:t>
      </w:r>
      <w:r w:rsidRPr="00010023">
        <w:rPr>
          <w:rFonts w:ascii="Times New Roman" w:hAnsi="Times New Roman" w:cs="Times New Roman"/>
          <w:sz w:val="22"/>
          <w:szCs w:val="22"/>
        </w:rPr>
        <w:t xml:space="preserve">, 2019; A. ANGELICI – G. FERRI, </w:t>
      </w:r>
      <w:r w:rsidRPr="00010023">
        <w:rPr>
          <w:rFonts w:ascii="Times New Roman" w:hAnsi="Times New Roman" w:cs="Times New Roman"/>
          <w:i/>
          <w:iCs/>
          <w:sz w:val="22"/>
          <w:szCs w:val="22"/>
        </w:rPr>
        <w:t>Manuale di diritto commerciale</w:t>
      </w:r>
      <w:r w:rsidRPr="00010023">
        <w:rPr>
          <w:rFonts w:ascii="Times New Roman" w:hAnsi="Times New Roman" w:cs="Times New Roman"/>
          <w:sz w:val="22"/>
          <w:szCs w:val="22"/>
        </w:rPr>
        <w:t xml:space="preserve">, 2020; V. DE ANGELIS, </w:t>
      </w:r>
      <w:r w:rsidRPr="00010023">
        <w:rPr>
          <w:rFonts w:ascii="Times New Roman" w:hAnsi="Times New Roman" w:cs="Times New Roman"/>
          <w:i/>
          <w:iCs/>
          <w:sz w:val="22"/>
          <w:szCs w:val="22"/>
        </w:rPr>
        <w:t>Diritto commerciale. Volume I</w:t>
      </w:r>
      <w:r w:rsidRPr="00010023">
        <w:rPr>
          <w:rFonts w:ascii="Times New Roman" w:hAnsi="Times New Roman" w:cs="Times New Roman"/>
          <w:sz w:val="22"/>
          <w:szCs w:val="22"/>
        </w:rPr>
        <w:t xml:space="preserve">, manuale, 2018; S. D’Andrea, D’ANDREA, </w:t>
      </w:r>
      <w:r w:rsidRPr="00010023">
        <w:rPr>
          <w:rFonts w:ascii="Times New Roman" w:hAnsi="Times New Roman" w:cs="Times New Roman"/>
          <w:i/>
          <w:iCs/>
          <w:sz w:val="22"/>
          <w:szCs w:val="22"/>
        </w:rPr>
        <w:t>Manuale delle società</w:t>
      </w:r>
      <w:r w:rsidRPr="00010023">
        <w:rPr>
          <w:rFonts w:ascii="Times New Roman" w:hAnsi="Times New Roman" w:cs="Times New Roman"/>
          <w:sz w:val="22"/>
          <w:szCs w:val="22"/>
        </w:rPr>
        <w:t xml:space="preserve">, manuale, 2019, AA.VV., </w:t>
      </w:r>
      <w:r w:rsidRPr="00010023">
        <w:rPr>
          <w:rFonts w:ascii="Times New Roman" w:hAnsi="Times New Roman" w:cs="Times New Roman"/>
          <w:i/>
          <w:iCs/>
          <w:sz w:val="22"/>
          <w:szCs w:val="22"/>
        </w:rPr>
        <w:t>Diritto commerciale interno e internazionale. Governance e mercati. Studi in onore di Paolo Montalenti</w:t>
      </w:r>
      <w:r w:rsidRPr="00010023">
        <w:rPr>
          <w:rFonts w:ascii="Times New Roman" w:hAnsi="Times New Roman" w:cs="Times New Roman"/>
          <w:sz w:val="22"/>
          <w:szCs w:val="22"/>
        </w:rPr>
        <w:t>, raccolta di studi, 2020.</w:t>
      </w:r>
    </w:p>
  </w:footnote>
  <w:footnote w:id="87">
    <w:p w14:paraId="070B5E0E" w14:textId="2C223F46" w:rsidR="00DF358B" w:rsidRPr="00E31573" w:rsidRDefault="00DF358B" w:rsidP="00010023">
      <w:pPr>
        <w:pStyle w:val="Testonotaapidipagina"/>
        <w:spacing w:line="240" w:lineRule="atLeas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v. Parere n. 10 del 2026, in cui la Corte dei Conti Europea evidenzia, tra le principali criticità che ostacolano lo sviluppo delle comunità energetiche, il recepimento incompleto e disomogeneo dell</w:t>
      </w:r>
      <w:r w:rsidRPr="00E31573">
        <w:rPr>
          <w:rFonts w:ascii="Times New Roman" w:hAnsi="Times New Roman" w:cs="Times New Roman"/>
          <w:sz w:val="22"/>
          <w:szCs w:val="22"/>
        </w:rPr>
        <w:t>e direttive europee da parte degli Stati membri, da cui discende un quadro normativo spesso incerto e frammentato. In particolare, si segnalano la persistenza di discipline nazionali parziali o poco chiare, la lunghezza e complessità degli iter autorizzativi, nonché l’assenza di procedure standardizzate. Tale contesto determina un significativo rallentamento nello sviluppo dei progetti, incidendo soprattutto sui soggetti meno strutturati – quali comunità locali e piccoli operatori – che frequentemente non dispongono delle competenze tecniche e giuridiche necessarie per affrontare procedimenti complessi.</w:t>
      </w:r>
    </w:p>
    <w:p w14:paraId="5A2401C5" w14:textId="77777777" w:rsidR="00DF358B" w:rsidRPr="00E31573" w:rsidRDefault="00DF358B" w:rsidP="00010023">
      <w:pPr>
        <w:pStyle w:val="Testonotaapidipagina"/>
        <w:spacing w:line="240" w:lineRule="atLeast"/>
        <w:contextualSpacing/>
        <w:jc w:val="both"/>
        <w:rPr>
          <w:rFonts w:ascii="Times New Roman" w:hAnsi="Times New Roman" w:cs="Times New Roman"/>
          <w:sz w:val="22"/>
          <w:szCs w:val="22"/>
        </w:rPr>
      </w:pPr>
      <w:r w:rsidRPr="00E31573">
        <w:rPr>
          <w:rFonts w:ascii="Times New Roman" w:hAnsi="Times New Roman" w:cs="Times New Roman"/>
          <w:sz w:val="22"/>
          <w:szCs w:val="22"/>
        </w:rPr>
        <w:t>Ulteriori ostacoli emergono sul piano finanziario, ove le comunità energetiche presentano caratteristiche solo parzialmente compatibili con i tradizionali criteri di finanziabilità: tra queste, la frequente adozione di modelli non orientati al profitto o con ritorni economici differiti nel medio-lungo periodo, la ridotta dimensione dei progetti e la complessità delle relative strutture finanziarie. A ciò si aggiunge una marcata frammentazione nell’impiego delle risorse pubbliche, incluse quelle del PNRR, che non sempre risultano adeguatamente calibrate per sostenere iniziative locali o di piccola scala.</w:t>
      </w:r>
    </w:p>
    <w:p w14:paraId="268B0B6E" w14:textId="4CE9ADA1" w:rsidR="00DF358B" w:rsidRDefault="00DF358B" w:rsidP="00010023">
      <w:pPr>
        <w:pStyle w:val="Testonotaapidipagina"/>
        <w:spacing w:line="240" w:lineRule="atLeast"/>
        <w:contextualSpacing/>
      </w:pPr>
    </w:p>
  </w:footnote>
  <w:footnote w:id="88">
    <w:p w14:paraId="0ED80404" w14:textId="128B04BE"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Un’analisi approfondita in tema di società </w:t>
      </w:r>
      <w:r w:rsidRPr="00010023">
        <w:rPr>
          <w:rFonts w:ascii="Times New Roman" w:hAnsi="Times New Roman" w:cs="Times New Roman"/>
          <w:i/>
          <w:iCs/>
          <w:sz w:val="22"/>
          <w:szCs w:val="22"/>
        </w:rPr>
        <w:t>in house</w:t>
      </w:r>
      <w:r w:rsidRPr="00010023">
        <w:rPr>
          <w:rFonts w:ascii="Times New Roman" w:hAnsi="Times New Roman" w:cs="Times New Roman"/>
          <w:sz w:val="22"/>
          <w:szCs w:val="22"/>
        </w:rPr>
        <w:t xml:space="preserve"> richiede di considerare il peculiare rapporto tra ordinamento giuridico e controllo pubblico, fondato sul principio secondo cui l’affidamento diretto di servizi pubblici da parte di un’amministrazione a una società a partecipazione pubblica non può realizzarsi in forza della sola forma societaria adottata, bensì deve essere giustificato da una struttura giuridica e funzionale che garantisca un’effettiva integrazione tra gli obiettivi istituzionali dell’ente socio e l’oggetto sociale dell’impresa partecipata. Tale integrazione si esplica attraverso il cd. “vincolo di scopo” e di “attività” che, nel contesto normativo nazionale ed europeo, impongono che l’oggetto sociale della società </w:t>
      </w:r>
      <w:r w:rsidRPr="00010023">
        <w:rPr>
          <w:rFonts w:ascii="Times New Roman" w:hAnsi="Times New Roman" w:cs="Times New Roman"/>
          <w:i/>
          <w:iCs/>
          <w:sz w:val="22"/>
          <w:szCs w:val="22"/>
        </w:rPr>
        <w:t>in house</w:t>
      </w:r>
      <w:r w:rsidRPr="00010023">
        <w:rPr>
          <w:rFonts w:ascii="Times New Roman" w:hAnsi="Times New Roman" w:cs="Times New Roman"/>
          <w:sz w:val="22"/>
          <w:szCs w:val="22"/>
        </w:rPr>
        <w:t xml:space="preserve"> sia circoscritto alla produzione di beni o servizi non adeguatamente offerti dal mercato, o strumentali al perseguimento delle finalità pubbliche dell’amministrazione. Da ciò deriva che la causa del contratto sociale deve incorporare finalità di interesse generale, escludendo che l’impresa pubblica-società operi in via esclusiva per lo scopo lucrativo proprio delle società di diritto privato, e configurando il controllo pubblico come elemento strutturale e non meramente formale della governance dell’ente partecipato. Si v. H. BONURA,</w:t>
      </w:r>
      <w:r w:rsidRPr="00010023">
        <w:rPr>
          <w:rFonts w:ascii="Times New Roman" w:hAnsi="Times New Roman" w:cs="Times New Roman"/>
          <w:i/>
          <w:iCs/>
          <w:sz w:val="22"/>
          <w:szCs w:val="22"/>
        </w:rPr>
        <w:t xml:space="preserve"> Le partecipazioni societarie</w:t>
      </w:r>
      <w:r w:rsidRPr="00010023">
        <w:rPr>
          <w:rFonts w:ascii="Times New Roman" w:hAnsi="Times New Roman" w:cs="Times New Roman"/>
          <w:sz w:val="22"/>
          <w:szCs w:val="22"/>
        </w:rPr>
        <w:t>, op. cit. pag. 138 ss.</w:t>
      </w:r>
    </w:p>
  </w:footnote>
  <w:footnote w:id="89">
    <w:p w14:paraId="0C46A2E0" w14:textId="1594D428" w:rsidR="00D36132" w:rsidRPr="00D36132" w:rsidRDefault="00D36132" w:rsidP="00D36132">
      <w:pPr>
        <w:pStyle w:val="Testonotaapidipagina"/>
        <w:jc w:val="both"/>
        <w:rPr>
          <w:rFonts w:ascii="Times New Roman" w:hAnsi="Times New Roman" w:cs="Times New Roman"/>
          <w:i/>
          <w:iCs/>
          <w:sz w:val="22"/>
          <w:szCs w:val="22"/>
        </w:rPr>
      </w:pPr>
      <w:r w:rsidRPr="00D36132">
        <w:rPr>
          <w:rStyle w:val="Rimandonotaapidipagina"/>
          <w:rFonts w:ascii="Times New Roman" w:hAnsi="Times New Roman" w:cs="Times New Roman"/>
        </w:rPr>
        <w:footnoteRef/>
      </w:r>
      <w:r w:rsidRPr="00D36132">
        <w:rPr>
          <w:rFonts w:ascii="Times New Roman" w:hAnsi="Times New Roman" w:cs="Times New Roman"/>
        </w:rPr>
        <w:t xml:space="preserve"> </w:t>
      </w:r>
      <w:r w:rsidRPr="00D36132">
        <w:rPr>
          <w:rFonts w:ascii="Times New Roman" w:hAnsi="Times New Roman" w:cs="Times New Roman"/>
        </w:rPr>
        <w:t xml:space="preserve">Sulla progressiva evoluzione della funzione dei contratti pubblici da strumenti di approvvigionamento a mezzi di attuazione di politiche pubbliche e di perseguimento di obiettivi sociali, ambientali e strategici, si v. </w:t>
      </w:r>
      <w:r w:rsidRPr="00D36132">
        <w:rPr>
          <w:rFonts w:ascii="Times New Roman" w:hAnsi="Times New Roman" w:cs="Times New Roman"/>
        </w:rPr>
        <w:t>E. CARUSO</w:t>
      </w:r>
      <w:r w:rsidRPr="00D36132">
        <w:rPr>
          <w:rFonts w:ascii="Times New Roman" w:hAnsi="Times New Roman" w:cs="Times New Roman"/>
        </w:rPr>
        <w:t xml:space="preserve">, </w:t>
      </w:r>
      <w:r w:rsidRPr="00D36132">
        <w:rPr>
          <w:rFonts w:ascii="Times New Roman" w:hAnsi="Times New Roman" w:cs="Times New Roman"/>
          <w:i/>
          <w:iCs/>
        </w:rPr>
        <w:t>La funzione sociale dei contratti pubblici</w:t>
      </w:r>
      <w:r w:rsidRPr="00D36132">
        <w:rPr>
          <w:rFonts w:ascii="Times New Roman" w:hAnsi="Times New Roman" w:cs="Times New Roman"/>
        </w:rPr>
        <w:t xml:space="preserve">, </w:t>
      </w:r>
      <w:proofErr w:type="spellStart"/>
      <w:r w:rsidRPr="00D36132">
        <w:rPr>
          <w:rFonts w:ascii="Times New Roman" w:hAnsi="Times New Roman" w:cs="Times New Roman"/>
        </w:rPr>
        <w:t>Jovene</w:t>
      </w:r>
      <w:proofErr w:type="spellEnd"/>
      <w:r w:rsidRPr="00D36132">
        <w:rPr>
          <w:rFonts w:ascii="Times New Roman" w:hAnsi="Times New Roman" w:cs="Times New Roman"/>
        </w:rPr>
        <w:t>, 2020. L'Autore offre un'approfondita ricostruzione della trasformazione funzionale del public procurement, evidenziando come la valorizzazione della sua dimensione sociale imponga di ripensare il rapporto tra autonomia contrattuale dell'amministrazione, tutela della concorrenza e perseguimento di interessi pubblici ulteriori rispetto alla mera acquisizione di lavori, servizi e forniture. In tale prospettiva, il principio concorrenziale non si pone in termini antitetici rispetto alla funzione sociale del contratto pubblico, ma costituisce il necessario parametro di equilibrio entro cui l'azione contrattuale della pubblica amministrazione può essere orientata al conseguimento di obiettivi di interesse generale.</w:t>
      </w:r>
    </w:p>
  </w:footnote>
  <w:footnote w:id="90">
    <w:p w14:paraId="7D08BC19"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Quanto al secondo aspetto entra in rilievo l’art. 14 co. 5, del Decreto Legislativo n. 210/2021 secondo cui «</w:t>
      </w:r>
      <w:r w:rsidRPr="00010023">
        <w:rPr>
          <w:rFonts w:ascii="Times New Roman" w:hAnsi="Times New Roman" w:cs="Times New Roman"/>
          <w:i/>
          <w:iCs/>
          <w:sz w:val="22"/>
          <w:szCs w:val="22"/>
        </w:rPr>
        <w:t>i membri o soci delle comunità energetiche dei cittadini regolano i loro rapporti tramite un contratto di diritto privato, individuando un soggetto responsabile, ivi inclusi la Comunità stessa, un membro o socio di essa o un soggetto terzo</w:t>
      </w:r>
      <w:r w:rsidRPr="00010023">
        <w:rPr>
          <w:rFonts w:ascii="Times New Roman" w:hAnsi="Times New Roman" w:cs="Times New Roman"/>
          <w:sz w:val="22"/>
          <w:szCs w:val="22"/>
        </w:rPr>
        <w:t xml:space="preserve">». </w:t>
      </w:r>
    </w:p>
  </w:footnote>
  <w:footnote w:id="91">
    <w:p w14:paraId="53251147"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partecipazione aperta trova la sua base giuridica nell’art. 22 della Dir. UE/2018/2011, che stabilisce che </w:t>
      </w:r>
      <w:bookmarkStart w:id="50" w:name="_Hlk162182833"/>
      <w:r w:rsidRPr="00010023">
        <w:rPr>
          <w:rFonts w:ascii="Times New Roman" w:hAnsi="Times New Roman" w:cs="Times New Roman"/>
          <w:sz w:val="22"/>
          <w:szCs w:val="22"/>
        </w:rPr>
        <w:t>«</w:t>
      </w:r>
      <w:r w:rsidRPr="00010023">
        <w:rPr>
          <w:rFonts w:ascii="Times New Roman" w:hAnsi="Times New Roman" w:cs="Times New Roman"/>
          <w:i/>
          <w:iCs/>
          <w:sz w:val="22"/>
          <w:szCs w:val="22"/>
        </w:rPr>
        <w:t>i clienti finali, in particolare i clienti domestici, abbiano il diritto di partecipare a comunità di energia rinnovabile, mantenendo al contempo i loro diritti o doveri in qualità di clienti finali e senza essere soggetti a condizioni o procedure ingiustificate o discriminatorie che ne impedirebbero la partecipazione a una comunità di energia rinnovabile»</w:t>
      </w:r>
      <w:bookmarkEnd w:id="50"/>
      <w:r w:rsidRPr="00010023">
        <w:rPr>
          <w:rFonts w:ascii="Times New Roman" w:hAnsi="Times New Roman" w:cs="Times New Roman"/>
          <w:i/>
          <w:iCs/>
          <w:sz w:val="22"/>
          <w:szCs w:val="22"/>
        </w:rPr>
        <w:t>. Sul lato del diritto interno il concetto è ribadito all’art. 14, comma 6, lettere a) e b). Sotto il secondo profilo la stessa disposizione al comma 6 lett. d) specifica che scopo principale della CER deve essere «il perseguimento, a favore dei membri o dei soci o del territorio in cui opera, di benefici ambientali, economici o sociali a livello di comunità, non potendo costituire i profitti finanziari lo scopo principale della comunità</w:t>
      </w:r>
      <w:r w:rsidRPr="00010023">
        <w:rPr>
          <w:rFonts w:ascii="Times New Roman" w:hAnsi="Times New Roman" w:cs="Times New Roman"/>
          <w:sz w:val="22"/>
          <w:szCs w:val="22"/>
        </w:rPr>
        <w:t>».</w:t>
      </w:r>
    </w:p>
  </w:footnote>
  <w:footnote w:id="92">
    <w:p w14:paraId="5014B6EB"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P.G. NOVARO, </w:t>
      </w:r>
      <w:r w:rsidRPr="00010023">
        <w:rPr>
          <w:rFonts w:ascii="Times New Roman" w:hAnsi="Times New Roman" w:cs="Times New Roman"/>
          <w:i/>
          <w:iCs/>
          <w:sz w:val="22"/>
          <w:szCs w:val="22"/>
        </w:rPr>
        <w:t>Le comunità energetiche nuova declinazione del paradigma sussidiario</w:t>
      </w:r>
      <w:r w:rsidRPr="00010023">
        <w:rPr>
          <w:rFonts w:ascii="Times New Roman" w:hAnsi="Times New Roman" w:cs="Times New Roman"/>
          <w:sz w:val="22"/>
          <w:szCs w:val="22"/>
        </w:rPr>
        <w:t>, in</w:t>
      </w:r>
      <w:r w:rsidRPr="00010023">
        <w:rPr>
          <w:rFonts w:ascii="Times New Roman" w:hAnsi="Times New Roman" w:cs="Times New Roman"/>
          <w:i/>
          <w:iCs/>
          <w:sz w:val="22"/>
          <w:szCs w:val="22"/>
        </w:rPr>
        <w:t xml:space="preserve"> Nuove Autonomie</w:t>
      </w:r>
      <w:r w:rsidRPr="00010023">
        <w:rPr>
          <w:rFonts w:ascii="Times New Roman" w:hAnsi="Times New Roman" w:cs="Times New Roman"/>
          <w:sz w:val="22"/>
          <w:szCs w:val="22"/>
        </w:rPr>
        <w:t>,</w:t>
      </w:r>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n. 3/2022.</w:t>
      </w:r>
    </w:p>
  </w:footnote>
  <w:footnote w:id="93">
    <w:p w14:paraId="45BA4550"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G. CREPALDI, </w:t>
      </w:r>
      <w:r w:rsidRPr="00010023">
        <w:rPr>
          <w:rFonts w:ascii="Times New Roman" w:hAnsi="Times New Roman" w:cs="Times New Roman"/>
          <w:i/>
          <w:iCs/>
          <w:sz w:val="22"/>
          <w:szCs w:val="22"/>
        </w:rPr>
        <w:t>Politiche ambientali nei contratti pubblici degli enti locali</w:t>
      </w:r>
      <w:r w:rsidRPr="00010023">
        <w:rPr>
          <w:rFonts w:ascii="Times New Roman" w:hAnsi="Times New Roman" w:cs="Times New Roman"/>
          <w:sz w:val="22"/>
          <w:szCs w:val="22"/>
        </w:rPr>
        <w:t>, in M. Andreis (a cura di</w:t>
      </w:r>
      <w:r w:rsidRPr="00010023">
        <w:rPr>
          <w:rFonts w:ascii="Times New Roman" w:hAnsi="Times New Roman" w:cs="Times New Roman"/>
          <w:i/>
          <w:iCs/>
          <w:sz w:val="22"/>
          <w:szCs w:val="22"/>
        </w:rPr>
        <w:t>), I contratti pubblici tra principi interni e vincoli sopranazionali</w:t>
      </w:r>
      <w:r w:rsidRPr="00010023">
        <w:rPr>
          <w:rFonts w:ascii="Times New Roman" w:hAnsi="Times New Roman" w:cs="Times New Roman"/>
          <w:sz w:val="22"/>
          <w:szCs w:val="22"/>
        </w:rPr>
        <w:t xml:space="preserve">, Milano, 2011, p. 195 ss.; </w:t>
      </w:r>
      <w:r w:rsidRPr="00010023">
        <w:rPr>
          <w:rFonts w:ascii="Times New Roman" w:hAnsi="Times New Roman" w:cs="Times New Roman"/>
          <w:i/>
          <w:iCs/>
          <w:sz w:val="22"/>
          <w:szCs w:val="22"/>
        </w:rPr>
        <w:t xml:space="preserve">Las </w:t>
      </w:r>
      <w:proofErr w:type="spellStart"/>
      <w:r w:rsidRPr="00010023">
        <w:rPr>
          <w:rFonts w:ascii="Times New Roman" w:hAnsi="Times New Roman" w:cs="Times New Roman"/>
          <w:i/>
          <w:iCs/>
          <w:sz w:val="22"/>
          <w:szCs w:val="22"/>
        </w:rPr>
        <w:t>formas</w:t>
      </w:r>
      <w:proofErr w:type="spellEnd"/>
      <w:r w:rsidRPr="00010023">
        <w:rPr>
          <w:rFonts w:ascii="Times New Roman" w:hAnsi="Times New Roman" w:cs="Times New Roman"/>
          <w:i/>
          <w:iCs/>
          <w:sz w:val="22"/>
          <w:szCs w:val="22"/>
        </w:rPr>
        <w:t xml:space="preserve">  del  </w:t>
      </w:r>
      <w:proofErr w:type="spellStart"/>
      <w:r w:rsidRPr="00010023">
        <w:rPr>
          <w:rFonts w:ascii="Times New Roman" w:hAnsi="Times New Roman" w:cs="Times New Roman"/>
          <w:i/>
          <w:iCs/>
          <w:sz w:val="22"/>
          <w:szCs w:val="22"/>
        </w:rPr>
        <w:t>partenariado</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público-privado</w:t>
      </w:r>
      <w:proofErr w:type="spellEnd"/>
      <w:r w:rsidRPr="00010023">
        <w:rPr>
          <w:rFonts w:ascii="Times New Roman" w:hAnsi="Times New Roman" w:cs="Times New Roman"/>
          <w:i/>
          <w:iCs/>
          <w:sz w:val="22"/>
          <w:szCs w:val="22"/>
        </w:rPr>
        <w:t xml:space="preserve"> en </w:t>
      </w:r>
      <w:proofErr w:type="spellStart"/>
      <w:r w:rsidRPr="00010023">
        <w:rPr>
          <w:rFonts w:ascii="Times New Roman" w:hAnsi="Times New Roman" w:cs="Times New Roman"/>
          <w:i/>
          <w:iCs/>
          <w:sz w:val="22"/>
          <w:szCs w:val="22"/>
        </w:rPr>
        <w:t>el</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nuevo</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Código</w:t>
      </w:r>
      <w:proofErr w:type="spellEnd"/>
      <w:r w:rsidRPr="00010023">
        <w:rPr>
          <w:rFonts w:ascii="Times New Roman" w:hAnsi="Times New Roman" w:cs="Times New Roman"/>
          <w:i/>
          <w:iCs/>
          <w:sz w:val="22"/>
          <w:szCs w:val="22"/>
        </w:rPr>
        <w:t xml:space="preserve"> italiano de </w:t>
      </w:r>
      <w:proofErr w:type="spellStart"/>
      <w:r w:rsidRPr="00010023">
        <w:rPr>
          <w:rFonts w:ascii="Times New Roman" w:hAnsi="Times New Roman" w:cs="Times New Roman"/>
          <w:i/>
          <w:iCs/>
          <w:sz w:val="22"/>
          <w:szCs w:val="22"/>
        </w:rPr>
        <w:t>los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contratos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públicos</w:t>
      </w:r>
      <w:proofErr w:type="spellEnd"/>
      <w:r w:rsidRPr="00010023">
        <w:rPr>
          <w:rFonts w:ascii="Times New Roman" w:hAnsi="Times New Roman" w:cs="Times New Roman"/>
          <w:i/>
          <w:iCs/>
          <w:sz w:val="22"/>
          <w:szCs w:val="22"/>
        </w:rPr>
        <w:t xml:space="preserve"> y de </w:t>
      </w:r>
      <w:proofErr w:type="spellStart"/>
      <w:r w:rsidRPr="00010023">
        <w:rPr>
          <w:rFonts w:ascii="Times New Roman" w:hAnsi="Times New Roman" w:cs="Times New Roman"/>
          <w:i/>
          <w:iCs/>
          <w:sz w:val="22"/>
          <w:szCs w:val="22"/>
        </w:rPr>
        <w:t>las</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concesiones</w:t>
      </w:r>
      <w:proofErr w:type="spellEnd"/>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Contratación</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Administrativa</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Práctica</w:t>
      </w:r>
      <w:proofErr w:type="spellEnd"/>
      <w:r w:rsidRPr="00010023">
        <w:rPr>
          <w:rFonts w:ascii="Times New Roman" w:hAnsi="Times New Roman" w:cs="Times New Roman"/>
          <w:sz w:val="22"/>
          <w:szCs w:val="22"/>
        </w:rPr>
        <w:t xml:space="preserve">, 2018, p. 1 ss.; G. CREPALDI – R. MICALIZZI, </w:t>
      </w:r>
      <w:r w:rsidRPr="00010023">
        <w:rPr>
          <w:rFonts w:ascii="Times New Roman" w:hAnsi="Times New Roman" w:cs="Times New Roman"/>
          <w:i/>
          <w:iCs/>
          <w:sz w:val="22"/>
          <w:szCs w:val="22"/>
        </w:rPr>
        <w:t>Eco-sostenibilità e appalti pubblici: la selezione delle imprese e delle offerte secondo i criteri ambientali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Federalismi.it,</w:t>
      </w:r>
      <w:r w:rsidRPr="00010023">
        <w:rPr>
          <w:rFonts w:ascii="Times New Roman" w:hAnsi="Times New Roman" w:cs="Times New Roman"/>
          <w:sz w:val="22"/>
          <w:szCs w:val="22"/>
        </w:rPr>
        <w:t xml:space="preserve"> 2023; C. CHIARELLO</w:t>
      </w:r>
      <w:r w:rsidRPr="00010023">
        <w:rPr>
          <w:rFonts w:ascii="Times New Roman" w:hAnsi="Times New Roman" w:cs="Times New Roman"/>
          <w:i/>
          <w:iCs/>
          <w:sz w:val="22"/>
          <w:szCs w:val="22"/>
        </w:rPr>
        <w:t>, Il partenariato per l’innovazione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Giustizia-amministrativa</w:t>
      </w:r>
      <w:r w:rsidRPr="00010023">
        <w:rPr>
          <w:rFonts w:ascii="Times New Roman" w:hAnsi="Times New Roman" w:cs="Times New Roman"/>
          <w:sz w:val="22"/>
          <w:szCs w:val="22"/>
        </w:rPr>
        <w:t>.it, Fascicolo n. 2, 2016; DE FALCO</w:t>
      </w:r>
      <w:r w:rsidRPr="00010023">
        <w:rPr>
          <w:rFonts w:ascii="Times New Roman" w:hAnsi="Times New Roman" w:cs="Times New Roman"/>
          <w:i/>
          <w:iCs/>
          <w:sz w:val="22"/>
          <w:szCs w:val="22"/>
        </w:rPr>
        <w:t>, L’utilizzo di fonti di energia rinnovabili come criterio di valutazione dell’offerta economicamente più vantaggiosa,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 xml:space="preserve">Dir. pub. comp. </w:t>
      </w:r>
      <w:proofErr w:type="spellStart"/>
      <w:r w:rsidRPr="00010023">
        <w:rPr>
          <w:rFonts w:ascii="Times New Roman" w:hAnsi="Times New Roman" w:cs="Times New Roman"/>
          <w:i/>
          <w:iCs/>
          <w:sz w:val="22"/>
          <w:szCs w:val="22"/>
        </w:rPr>
        <w:t>eur</w:t>
      </w:r>
      <w:proofErr w:type="spellEnd"/>
      <w:r w:rsidRPr="00010023">
        <w:rPr>
          <w:rFonts w:ascii="Times New Roman" w:hAnsi="Times New Roman" w:cs="Times New Roman"/>
          <w:sz w:val="22"/>
          <w:szCs w:val="22"/>
        </w:rPr>
        <w:t xml:space="preserve">., 2004, p. 889; L. MARRACCINI - G. TERRACCIANO, </w:t>
      </w:r>
      <w:r w:rsidRPr="00010023">
        <w:rPr>
          <w:rFonts w:ascii="Times New Roman" w:hAnsi="Times New Roman" w:cs="Times New Roman"/>
          <w:i/>
          <w:iCs/>
          <w:sz w:val="22"/>
          <w:szCs w:val="22"/>
        </w:rPr>
        <w:t>Partenariato per l’innovazione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Trattato sui contratti pubblici</w:t>
      </w:r>
      <w:r w:rsidRPr="00010023">
        <w:rPr>
          <w:rFonts w:ascii="Times New Roman" w:hAnsi="Times New Roman" w:cs="Times New Roman"/>
          <w:sz w:val="22"/>
          <w:szCs w:val="22"/>
        </w:rPr>
        <w:t>, a cura di M. A. SANDULLI - R. DE NICTOLIS, vol. III, Milano, 2019, p. 133 ss.</w:t>
      </w:r>
    </w:p>
  </w:footnote>
  <w:footnote w:id="94">
    <w:p w14:paraId="1601F624"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Decreto Legislativo n. 175 del 2016.</w:t>
      </w:r>
    </w:p>
  </w:footnote>
  <w:footnote w:id="95">
    <w:p w14:paraId="644C8204" w14:textId="4FA307CC"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 tema delle società pubblica si v. </w:t>
      </w:r>
      <w:bookmarkStart w:id="51" w:name="_Hlk225289447"/>
      <w:r w:rsidRPr="00010023">
        <w:rPr>
          <w:rFonts w:ascii="Times New Roman" w:hAnsi="Times New Roman" w:cs="Times New Roman"/>
          <w:sz w:val="22"/>
          <w:szCs w:val="22"/>
        </w:rPr>
        <w:t xml:space="preserve">H. BONURA, </w:t>
      </w:r>
      <w:r w:rsidRPr="00010023">
        <w:rPr>
          <w:rFonts w:ascii="Times New Roman" w:hAnsi="Times New Roman" w:cs="Times New Roman"/>
          <w:i/>
          <w:iCs/>
          <w:sz w:val="22"/>
          <w:szCs w:val="22"/>
        </w:rPr>
        <w:t>Le partecipazioni pubbliche</w:t>
      </w:r>
      <w:r w:rsidRPr="00010023">
        <w:rPr>
          <w:rFonts w:ascii="Times New Roman" w:hAnsi="Times New Roman" w:cs="Times New Roman"/>
          <w:sz w:val="22"/>
          <w:szCs w:val="22"/>
        </w:rPr>
        <w:t xml:space="preserve">, in B. G. MATTARELLA-E. D’ALTERIO (a cura di), </w:t>
      </w:r>
      <w:r w:rsidRPr="00010023">
        <w:rPr>
          <w:rFonts w:ascii="Times New Roman" w:hAnsi="Times New Roman" w:cs="Times New Roman"/>
          <w:i/>
          <w:iCs/>
          <w:sz w:val="22"/>
          <w:szCs w:val="22"/>
        </w:rPr>
        <w:t>La riforma della pubblica amministrazione</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IlSole24Ore</w:t>
      </w:r>
      <w:r w:rsidRPr="00010023">
        <w:rPr>
          <w:rFonts w:ascii="Times New Roman" w:hAnsi="Times New Roman" w:cs="Times New Roman"/>
          <w:sz w:val="22"/>
          <w:szCs w:val="22"/>
        </w:rPr>
        <w:t xml:space="preserve">, 2017, p. 345 ss.; id. H. BONURA, G. FONDERICO, </w:t>
      </w:r>
      <w:r w:rsidRPr="00010023">
        <w:rPr>
          <w:rFonts w:ascii="Times New Roman" w:hAnsi="Times New Roman" w:cs="Times New Roman"/>
          <w:i/>
          <w:iCs/>
          <w:sz w:val="22"/>
          <w:szCs w:val="22"/>
        </w:rPr>
        <w:t>Brevi note su società pubbliche e libertà d’iniziativa economica delle pubbliche amministrazioni a due anni dall’entrata in vigore del Testo unico</w:t>
      </w:r>
      <w:r w:rsidRPr="00010023">
        <w:rPr>
          <w:rFonts w:ascii="Times New Roman" w:hAnsi="Times New Roman" w:cs="Times New Roman"/>
          <w:sz w:val="22"/>
          <w:szCs w:val="22"/>
        </w:rPr>
        <w:t>, in V</w:t>
      </w:r>
      <w:r w:rsidRPr="00010023">
        <w:rPr>
          <w:rFonts w:ascii="Times New Roman" w:hAnsi="Times New Roman" w:cs="Times New Roman"/>
          <w:i/>
          <w:iCs/>
          <w:sz w:val="22"/>
          <w:szCs w:val="22"/>
        </w:rPr>
        <w:t>. Cerulli Irelli-M. Libertini (a cura di), Iniziativa economica pubblica e società partecipate</w:t>
      </w:r>
      <w:r w:rsidRPr="00010023">
        <w:rPr>
          <w:rFonts w:ascii="Times New Roman" w:hAnsi="Times New Roman" w:cs="Times New Roman"/>
          <w:sz w:val="22"/>
          <w:szCs w:val="22"/>
        </w:rPr>
        <w:t xml:space="preserve">, Egea, 2019, p. 81 ss.; id. H. BONURA, M. VILLANI, </w:t>
      </w:r>
      <w:r w:rsidRPr="00010023">
        <w:rPr>
          <w:rFonts w:ascii="Times New Roman" w:hAnsi="Times New Roman" w:cs="Times New Roman"/>
          <w:i/>
          <w:iCs/>
          <w:sz w:val="22"/>
          <w:szCs w:val="22"/>
        </w:rPr>
        <w:t>Ancora sull’eccezionalità del ricorso all’in house: una possibile rilettura alla luce della giurisprudenza più recente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della Corte dei conti</w:t>
      </w:r>
      <w:r w:rsidRPr="00010023">
        <w:rPr>
          <w:rFonts w:ascii="Times New Roman" w:hAnsi="Times New Roman" w:cs="Times New Roman"/>
          <w:sz w:val="22"/>
          <w:szCs w:val="22"/>
        </w:rPr>
        <w:t xml:space="preserve">, n. 3/2020, parte I, p. 18 </w:t>
      </w:r>
      <w:proofErr w:type="spellStart"/>
      <w:r w:rsidRPr="00010023">
        <w:rPr>
          <w:rFonts w:ascii="Times New Roman" w:hAnsi="Times New Roman" w:cs="Times New Roman"/>
          <w:sz w:val="22"/>
          <w:szCs w:val="22"/>
        </w:rPr>
        <w:t>ss</w:t>
      </w:r>
      <w:proofErr w:type="spellEnd"/>
      <w:r w:rsidRPr="00010023">
        <w:rPr>
          <w:rFonts w:ascii="Times New Roman" w:hAnsi="Times New Roman" w:cs="Times New Roman"/>
          <w:sz w:val="22"/>
          <w:szCs w:val="22"/>
        </w:rPr>
        <w:t xml:space="preserve">; H. BONURA, </w:t>
      </w:r>
      <w:r w:rsidRPr="00010023">
        <w:rPr>
          <w:rFonts w:ascii="Times New Roman" w:hAnsi="Times New Roman" w:cs="Times New Roman"/>
          <w:i/>
          <w:iCs/>
          <w:sz w:val="22"/>
          <w:szCs w:val="22"/>
        </w:rPr>
        <w:t>Le partecipazioni societarie delle pubbliche amministrazioni, tra esigenze e suggestioni: appunti per un tentativo di ricostruzione del fenomeno</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Atti del Convegno in memoria di Fabio Viola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dell’Economia dei Comuni</w:t>
      </w:r>
      <w:r w:rsidRPr="00010023">
        <w:rPr>
          <w:rFonts w:ascii="Times New Roman" w:hAnsi="Times New Roman" w:cs="Times New Roman"/>
          <w:sz w:val="22"/>
          <w:szCs w:val="22"/>
        </w:rPr>
        <w:t xml:space="preserve">, 2024, 1, p. 138 ss. </w:t>
      </w:r>
      <w:bookmarkEnd w:id="51"/>
    </w:p>
  </w:footnote>
  <w:footnote w:id="96">
    <w:p w14:paraId="628D600A" w14:textId="7051672A"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richiama, in proposito, il consolidato orientamento della Corte di Cassazione secondo cui le norme sul consorzio possono integrare quelle del tipo societario solo nei limiti della loro compatibilità, senza poterne alterare la disciplina strutturale. Cfr. Cass. civ., sez. I, 27 novembre 2003, n. 18113; Cass. civ., sez. I, 23 marzo 2017, n. 7473; Cass. civ., sez. V, 28 luglio 2020, n. 16147; Cass. civ., sez. </w:t>
      </w:r>
      <w:proofErr w:type="spellStart"/>
      <w:r w:rsidRPr="00010023">
        <w:rPr>
          <w:rFonts w:ascii="Times New Roman" w:hAnsi="Times New Roman" w:cs="Times New Roman"/>
          <w:sz w:val="22"/>
          <w:szCs w:val="22"/>
        </w:rPr>
        <w:t>trib</w:t>
      </w:r>
      <w:proofErr w:type="spellEnd"/>
      <w:r w:rsidRPr="00010023">
        <w:rPr>
          <w:rFonts w:ascii="Times New Roman" w:hAnsi="Times New Roman" w:cs="Times New Roman"/>
          <w:sz w:val="22"/>
          <w:szCs w:val="22"/>
        </w:rPr>
        <w:t>., 24 luglio 2020, n. 15863.</w:t>
      </w:r>
    </w:p>
  </w:footnote>
  <w:footnote w:id="97">
    <w:p w14:paraId="3FA81EDF" w14:textId="0D7EBD8E"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Sotto tale profilo, si segnalano le deliberazioni della Corte dei </w:t>
      </w:r>
      <w:r>
        <w:rPr>
          <w:rFonts w:ascii="Times New Roman" w:hAnsi="Times New Roman" w:cs="Times New Roman"/>
          <w:sz w:val="22"/>
          <w:szCs w:val="22"/>
        </w:rPr>
        <w:t>C</w:t>
      </w:r>
      <w:r w:rsidRPr="00010023">
        <w:rPr>
          <w:rFonts w:ascii="Times New Roman" w:hAnsi="Times New Roman" w:cs="Times New Roman"/>
          <w:sz w:val="22"/>
          <w:szCs w:val="22"/>
        </w:rPr>
        <w:t xml:space="preserve">onti – Sezione regionale di controllo per la Toscana – </w:t>
      </w:r>
      <w:proofErr w:type="spellStart"/>
      <w:r w:rsidRPr="00010023">
        <w:rPr>
          <w:rFonts w:ascii="Times New Roman" w:hAnsi="Times New Roman" w:cs="Times New Roman"/>
          <w:sz w:val="22"/>
          <w:szCs w:val="22"/>
        </w:rPr>
        <w:t>nn</w:t>
      </w:r>
      <w:proofErr w:type="spellEnd"/>
      <w:r w:rsidRPr="00010023">
        <w:rPr>
          <w:rFonts w:ascii="Times New Roman" w:hAnsi="Times New Roman" w:cs="Times New Roman"/>
          <w:sz w:val="22"/>
          <w:szCs w:val="22"/>
        </w:rPr>
        <w:t xml:space="preserve">. 27/2023/PASP, 222/2022/PASP, 24/2022/PASP e 225/2022/PASP, nelle quali si afferma che la costituzione o l’acquisizione di partecipazioni societarie rappresenta un’ipotesi eccezionale, subordinata a una motivazione rafforzata, a un’istruttoria rigorosa e alla verifica concreta della sostenibilità economico-finanziaria dell’operazione. Si segnala l’analisi della dottrina, H. BONURA, G. FONDERICO, </w:t>
      </w:r>
      <w:r w:rsidRPr="00010023">
        <w:rPr>
          <w:rFonts w:ascii="Times New Roman" w:hAnsi="Times New Roman" w:cs="Times New Roman"/>
          <w:i/>
          <w:iCs/>
          <w:sz w:val="22"/>
          <w:szCs w:val="22"/>
        </w:rPr>
        <w:t>Il socio pubblico e le società partecipate, tra antiche diffidenze e inattese promozioni. Appunti per una politica di governo del fenomeno societario pubblico</w:t>
      </w:r>
      <w:r w:rsidRPr="00010023">
        <w:rPr>
          <w:rFonts w:ascii="Times New Roman" w:hAnsi="Times New Roman" w:cs="Times New Roman"/>
          <w:sz w:val="22"/>
          <w:szCs w:val="22"/>
        </w:rPr>
        <w:t>, in</w:t>
      </w:r>
      <w:r w:rsidRPr="00010023">
        <w:rPr>
          <w:rFonts w:ascii="Times New Roman" w:hAnsi="Times New Roman" w:cs="Times New Roman"/>
          <w:i/>
          <w:iCs/>
          <w:sz w:val="22"/>
          <w:szCs w:val="22"/>
        </w:rPr>
        <w:t xml:space="preserve"> Rivista di Diritto ed Economia dei Comuni</w:t>
      </w:r>
      <w:r w:rsidRPr="00010023">
        <w:rPr>
          <w:rFonts w:ascii="Times New Roman" w:hAnsi="Times New Roman" w:cs="Times New Roman"/>
          <w:sz w:val="22"/>
          <w:szCs w:val="22"/>
        </w:rPr>
        <w:t xml:space="preserve">, 2, 2023, p. 58 </w:t>
      </w:r>
      <w:proofErr w:type="spellStart"/>
      <w:r w:rsidRPr="00010023">
        <w:rPr>
          <w:rFonts w:ascii="Times New Roman" w:hAnsi="Times New Roman" w:cs="Times New Roman"/>
          <w:sz w:val="22"/>
          <w:szCs w:val="22"/>
        </w:rPr>
        <w:t>ss</w:t>
      </w:r>
      <w:proofErr w:type="spellEnd"/>
      <w:r w:rsidRPr="00010023">
        <w:rPr>
          <w:rFonts w:ascii="Times New Roman" w:hAnsi="Times New Roman" w:cs="Times New Roman"/>
          <w:sz w:val="22"/>
          <w:szCs w:val="22"/>
        </w:rPr>
        <w:t>, Gli autori si interrogano sull’effettivo quadro normativo vigente, ponendo in discussione l’esistenza di un disegno coerente in materia di indirizzo e controllo delle società pubbliche e valutando in che misura un simile disegno possa effettivamente garantire il governo concreto delle partecipazioni da parte delle amministrazioni pubbliche.</w:t>
      </w:r>
    </w:p>
  </w:footnote>
  <w:footnote w:id="98">
    <w:p w14:paraId="05C70E37" w14:textId="39757E16"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Sulla particolare forma di controllo esercitata dalla Corte dei conti in materia di costituzione di società di capitali e di acquisizione di partecipazioni, dirette o indirette, nelle stesse, attraverso un attento esame della giurisprudenza formatasi in materia si v. D. CETRONE</w:t>
      </w:r>
      <w:r w:rsidRPr="00010023">
        <w:rPr>
          <w:rFonts w:ascii="Times New Roman" w:hAnsi="Times New Roman" w:cs="Times New Roman"/>
          <w:i/>
          <w:iCs/>
          <w:sz w:val="22"/>
          <w:szCs w:val="22"/>
        </w:rPr>
        <w:t>, I pareri della Corte dei conti in materia di costituzione di società e di acquisizione di partecipazioni. Lo stato della giurisprudenza contabile,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di Diritto dell’Economia e dei Comuni</w:t>
      </w:r>
      <w:r w:rsidRPr="00010023">
        <w:rPr>
          <w:rFonts w:ascii="Times New Roman" w:hAnsi="Times New Roman" w:cs="Times New Roman"/>
          <w:sz w:val="22"/>
          <w:szCs w:val="22"/>
        </w:rPr>
        <w:t>, 2023, 2, p. 86 ss.</w:t>
      </w:r>
    </w:p>
  </w:footnote>
  <w:footnote w:id="99">
    <w:p w14:paraId="684AC45C" w14:textId="3B2F391E"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v. l’art. 4, del TUSP che nel disciplinare le “</w:t>
      </w:r>
      <w:r w:rsidRPr="00010023">
        <w:rPr>
          <w:rFonts w:ascii="Times New Roman" w:hAnsi="Times New Roman" w:cs="Times New Roman"/>
          <w:i/>
          <w:iCs/>
          <w:sz w:val="22"/>
          <w:szCs w:val="22"/>
        </w:rPr>
        <w:t>Finalità perseguibili mediante l'acquisizione e la gestione di partecipazioni pubbliche</w:t>
      </w:r>
      <w:r w:rsidRPr="00010023">
        <w:rPr>
          <w:rFonts w:ascii="Times New Roman" w:hAnsi="Times New Roman" w:cs="Times New Roman"/>
          <w:sz w:val="22"/>
          <w:szCs w:val="22"/>
        </w:rPr>
        <w:t xml:space="preserve">” prevede che: «1. </w:t>
      </w:r>
      <w:r w:rsidRPr="00010023">
        <w:rPr>
          <w:rFonts w:ascii="Times New Roman" w:hAnsi="Times New Roman" w:cs="Times New Roman"/>
          <w:i/>
          <w:iCs/>
          <w:sz w:val="22"/>
          <w:szCs w:val="22"/>
        </w:rPr>
        <w:t>Le amministrazioni pubbliche non possono, direttamente o indirettamente, costituire società aventi per oggetto attività di produzione di beni e servizi non strettamente necessarie per il perseguimento delle proprie finalità istituzionali, né acquisire o mantenere partecipazioni, anche di minoranza, in tali società. 2. Nei limiti di cui al comma 1, le amministrazioni pubbliche possono, direttamente o indirettamente, costituire società e acquisire o mantenere partecipazioni in società esclusivamente per lo svolgimento delle attività sotto indicate: a) produzione di un servizio di interesse generale, ivi inclusa la realizzazione e la gestione delle reti e degli impianti funzionali ai servizi medesimi; b) progettazione e realizzazione di un'opera pubblica sulla base di un accordo di programma fra amministrazioni pubbliche, ai sensi dell'articolo 193 del decreto legislativo n. 50 del 2016; c) realizzazione e gestione di un'opera pubblica ovvero organizzazione e gestione di un servizio d'interesse generale attraverso un contratto di partenariato di cui all'articolo 180 del decreto legislativo n. 50 del 2016, con un imprenditore selezionato con le modalità di cui all'articolo 17, commi 1 e 2; d) autoproduzione di beni o servizi strumentali all'ente o agli enti pubblici partecipanti o allo svolgimento delle loro funzioni, nel rispetto delle condizioni stabilite dalle direttive europee in materia di contratti pubblici e della relativa disciplina nazionale di recepimento; e) servizi di committenza, ivi incluse le attività di committenza ausiliarie, apprestati a supporto di enti senza scopo di lucro e di amministrazioni aggiudicatrici di cui all'articolo 3, comma 1, lettera a), del decreto legislativo n. 50 del 2016. 3. Al solo fine di ottimizzare e valorizzare l'utilizzo di beni immobili facenti parte del proprio patrimonio, le amministrazioni pubbliche possono, altresì, anche in deroga al comma 1, acquisire partecipazioni in società aventi per oggetto sociale esclusivo la valorizzazione del patrimonio delle amministrazioni stesse, tramite il conferimento di beni immobili allo scopo di realizzare un investimento secondo criteri propri di un qualsiasi operatore di mercato. 4. Le società in house hanno come oggetto sociale esclusivo una o più delle attività di cui alle lettere a), b), d) ed e) del comma 2. Salvo quanto previsto dall'articolo 16, tali società operano in via prevalente con gli enti costituenti o partecipanti o affidanti. 5. Fatte salve le diverse previsioni di legge regionali adottate nell'esercizio della potestà legislativa in materia di organizzazione amministrativa, è fatto divieto alle società di cui al comma 2, lettera d), controllate da enti locali, di costituire nuove società e di acquisire nuove partecipazioni in società. Il divieto non si applica alle società che hanno come oggetto sociale esclusivo la gestione delle partecipazioni societarie di enti locali, salvo il rispetto degli obblighi previsti in materia di trasparenza dei dati finanziari e di consolidamento del bilancio degli enti partecipanti. 6. È fatta salva la possibilità di costituire società o enti in attuazione dell'articolo 34 del regolamento (CE) n. 1303/2013 del Parlamento europeo e del Consiglio del 17 dicembre 2013, dell'articolo 42 del regolamento (UE) n. 1305/2013 del Parlamento europeo e del Consiglio, del 17 dicembre 2013, e dell'articolo 61 del regolamento (CE) n. 508 del 2014 del Parlamento europeo e del Consiglio 15 maggio 2014. 7. Sono altresì ammesse le partecipazioni, dirette e indirette, nelle società aventi per oggetto sociale prevalente la gestione di spazi fieristici e l'organizzazione di eventi fieristici e, nel rispetto dei princìpi di concorrenza e apertura al mercato, le attività, le forniture e i servizi direttamente connessi e funzionali ai visitatori e agli espositori, la realizzazione e la gestione di impianti di trasporto a fune per la mobilità turistico-sportiva eserciti in aree montane, nonché la produzione di energia da fonti rinnovabili</w:t>
      </w:r>
      <w:r w:rsidRPr="00010023">
        <w:rPr>
          <w:rFonts w:ascii="Times New Roman" w:hAnsi="Times New Roman" w:cs="Times New Roman"/>
          <w:sz w:val="22"/>
          <w:szCs w:val="22"/>
        </w:rPr>
        <w:t xml:space="preserve">».  </w:t>
      </w:r>
    </w:p>
  </w:footnote>
  <w:footnote w:id="100">
    <w:p w14:paraId="328EB123" w14:textId="2A2B595A"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A tal fine, è opportuno richiamare anche le deliberazioni </w:t>
      </w:r>
      <w:proofErr w:type="spellStart"/>
      <w:r w:rsidRPr="00010023">
        <w:rPr>
          <w:rFonts w:ascii="Times New Roman" w:hAnsi="Times New Roman" w:cs="Times New Roman"/>
          <w:sz w:val="22"/>
          <w:szCs w:val="22"/>
        </w:rPr>
        <w:t>nn</w:t>
      </w:r>
      <w:proofErr w:type="spellEnd"/>
      <w:r w:rsidRPr="00010023">
        <w:rPr>
          <w:rFonts w:ascii="Times New Roman" w:hAnsi="Times New Roman" w:cs="Times New Roman"/>
          <w:sz w:val="22"/>
          <w:szCs w:val="22"/>
        </w:rPr>
        <w:t>. 143, 144 e 145 del 2022 della Corte dei conti – Sezione regionale di controllo per la Lombardia – nelle quali vengono esaminati i limiti e le procedure cui gli enti locali devono attenersi nella costituzione di società o nell’acquisizione di partecipazioni societarie, ai sensi dell’art. 5 del TUSP.</w:t>
      </w:r>
    </w:p>
  </w:footnote>
  <w:footnote w:id="101">
    <w:p w14:paraId="032E210C" w14:textId="51572A24" w:rsidR="00DF358B" w:rsidRDefault="00DF358B" w:rsidP="00010023">
      <w:pPr>
        <w:pStyle w:val="Testonotaapidipagina"/>
        <w:spacing w:line="240" w:lineRule="exact"/>
        <w:contextualSpacing/>
        <w:jc w:val="both"/>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 tema degli incentivi si v. anche la deliberazione della Corte dei conti – Sezione regionale di controllo per il Veneto, n. 18/2021/PAR, in cui si ribadisce il principio secondo cui essi possono essere erogati esclusivamente per attività tipizzate e effettiv</w:t>
      </w:r>
      <w:r w:rsidRPr="006F1CFF">
        <w:rPr>
          <w:rFonts w:ascii="Times New Roman" w:hAnsi="Times New Roman" w:cs="Times New Roman"/>
          <w:sz w:val="22"/>
          <w:szCs w:val="22"/>
        </w:rPr>
        <w:t>amente svolte, nel rispetto dei relativi limiti di spesa.</w:t>
      </w:r>
    </w:p>
  </w:footnote>
  <w:footnote w:id="102">
    <w:p w14:paraId="21ACA7C7" w14:textId="21DDB7C7" w:rsidR="00DF358B" w:rsidRPr="00925B9E" w:rsidRDefault="00DF358B" w:rsidP="00925B9E">
      <w:pPr>
        <w:pStyle w:val="Testonotaapidipagina"/>
        <w:jc w:val="both"/>
        <w:rPr>
          <w:rFonts w:ascii="Times New Roman" w:hAnsi="Times New Roman" w:cs="Times New Roman"/>
          <w:sz w:val="22"/>
          <w:szCs w:val="22"/>
        </w:rPr>
      </w:pPr>
      <w:r>
        <w:rPr>
          <w:rStyle w:val="Rimandonotaapidipagina"/>
        </w:rPr>
        <w:footnoteRef/>
      </w:r>
      <w:r>
        <w:t xml:space="preserve"> </w:t>
      </w:r>
      <w:r w:rsidRPr="00925B9E">
        <w:rPr>
          <w:rFonts w:ascii="Times New Roman" w:hAnsi="Times New Roman" w:cs="Times New Roman"/>
          <w:sz w:val="22"/>
          <w:szCs w:val="22"/>
        </w:rPr>
        <w:t>La disciplina della funzione consultiva della Corte dei conti assume</w:t>
      </w:r>
      <w:r>
        <w:rPr>
          <w:rFonts w:ascii="Times New Roman" w:hAnsi="Times New Roman" w:cs="Times New Roman"/>
          <w:sz w:val="22"/>
          <w:szCs w:val="22"/>
        </w:rPr>
        <w:t xml:space="preserve"> </w:t>
      </w:r>
      <w:r w:rsidRPr="00925B9E">
        <w:rPr>
          <w:rFonts w:ascii="Times New Roman" w:hAnsi="Times New Roman" w:cs="Times New Roman"/>
          <w:sz w:val="22"/>
          <w:szCs w:val="22"/>
        </w:rPr>
        <w:t>particolare rilievo nell’ambito dell’attuazione del PNRR, soprattutto in relazione alle iniziative degli enti territoriali, ivi comprese le CE</w:t>
      </w:r>
      <w:r>
        <w:rPr>
          <w:rFonts w:ascii="Times New Roman" w:hAnsi="Times New Roman" w:cs="Times New Roman"/>
          <w:sz w:val="22"/>
          <w:szCs w:val="22"/>
        </w:rPr>
        <w:t>R</w:t>
      </w:r>
      <w:r w:rsidRPr="00925B9E">
        <w:rPr>
          <w:rFonts w:ascii="Times New Roman" w:hAnsi="Times New Roman" w:cs="Times New Roman"/>
          <w:sz w:val="22"/>
          <w:szCs w:val="22"/>
        </w:rPr>
        <w:t>, frequentemente finanziate mediante risorse europee e fondi complementari.</w:t>
      </w:r>
      <w:r>
        <w:rPr>
          <w:rFonts w:ascii="Times New Roman" w:hAnsi="Times New Roman" w:cs="Times New Roman"/>
          <w:sz w:val="22"/>
          <w:szCs w:val="22"/>
        </w:rPr>
        <w:t xml:space="preserve"> </w:t>
      </w:r>
      <w:r w:rsidRPr="00925B9E">
        <w:rPr>
          <w:rFonts w:ascii="Times New Roman" w:hAnsi="Times New Roman" w:cs="Times New Roman"/>
          <w:sz w:val="22"/>
          <w:szCs w:val="22"/>
        </w:rPr>
        <w:t xml:space="preserve">In tale prospettiva, la </w:t>
      </w:r>
      <w:r>
        <w:rPr>
          <w:rFonts w:ascii="Times New Roman" w:hAnsi="Times New Roman" w:cs="Times New Roman"/>
          <w:sz w:val="22"/>
          <w:szCs w:val="22"/>
        </w:rPr>
        <w:t>L</w:t>
      </w:r>
      <w:r w:rsidRPr="00925B9E">
        <w:rPr>
          <w:rFonts w:ascii="Times New Roman" w:hAnsi="Times New Roman" w:cs="Times New Roman"/>
          <w:sz w:val="22"/>
          <w:szCs w:val="22"/>
        </w:rPr>
        <w:t>egge 30 dicembre 2021, n. 238, all’art. 46, ha previsto la possibilità per le Sezioni regionali di controllo, su richiesta degli enti territoriali, di rendere pareri in ordine all’applicazione della normativa di contabilità pubblica alle attività finanziate con risorse PNRR e con i relativi fondi complementari. La disposizione ha segnato un primo significativo ampliamento della funzione consultiva, in chiave di supporto all’attuazione degli interventi connessi al Piano. Successivamente, la legge 20 gennaio 2026, n. 1, all’art. 2, ha ulteriormente rafforzato tale funzione, consentendo il rilascio di pareri anche su questioni giuridiche riferite a fattispecie concrete connesse all’attuazione del PNRR, purché caratterizzate da un rilevante valore economico (non inferiore a un milione di euro) e sempre nel rispetto dei limiti derivanti dalle competenze attribuite alla Corte, con esclusione delle materie oggetto di controllo preventivo o di indagini della Procura contabile. La disciplina in esame determina, pertanto, un’estensione significativa dell’ambito della funzione consultiva, che non si limita più a questioni di carattere generale e astratto, ma si apre alla valutazione di profili applicativi specifici, purché strettamente funzionali alla realizzazione degli interventi finanziati dal PNRR. Ne discende che gli enti locali impegnati nella realizzazione di progetti, quali le Comunità Energetiche Rinnovabili, possono avvalersi di tale strumento per ottenere chiarimenti puntuali in ordine a questioni contabili e finanziarie rilevanti per l’attuazione degli interventi. Da ultimo, la Legge n. 1/2026 introduce un ulteriore elemento di garanzia, prevedendo l’esclusione della configurabilità della colpa grave per gli atti adottati in conformità ai pareri resi dalla Corte dei conti nell’esercizio della funzione consultiva, rafforzando così la funzione di orientamento e supporto all’azione amministrativa.</w:t>
      </w:r>
    </w:p>
    <w:p w14:paraId="253F6D2B" w14:textId="77AD3244" w:rsidR="00DF358B" w:rsidRDefault="00DF358B">
      <w:pPr>
        <w:pStyle w:val="Testonotaapidipagina"/>
      </w:pPr>
    </w:p>
  </w:footnote>
  <w:footnote w:id="103">
    <w:p w14:paraId="1573FA77" w14:textId="6EA95A1C" w:rsidR="00DF358B" w:rsidRPr="00010023" w:rsidRDefault="00DF358B" w:rsidP="00010023">
      <w:pPr>
        <w:pStyle w:val="Testonotaapidipagina"/>
        <w:spacing w:line="240" w:lineRule="exact"/>
        <w:contextualSpacing/>
        <w:jc w:val="both"/>
        <w:rPr>
          <w:rFonts w:ascii="Times New Roman" w:hAnsi="Times New Roman" w:cs="Times New Roman"/>
          <w:i/>
          <w:iCs/>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54" w:name="_Hlk233883858"/>
      <w:bookmarkStart w:id="55" w:name="_Hlk233820706"/>
      <w:r w:rsidRPr="00010023">
        <w:rPr>
          <w:rFonts w:ascii="Times New Roman" w:hAnsi="Times New Roman" w:cs="Times New Roman"/>
          <w:sz w:val="22"/>
          <w:szCs w:val="22"/>
        </w:rPr>
        <w:t xml:space="preserve">M.A. SANDULLI, R. TERRACCIANO, </w:t>
      </w:r>
      <w:r w:rsidRPr="00010023">
        <w:rPr>
          <w:rFonts w:ascii="Times New Roman" w:hAnsi="Times New Roman" w:cs="Times New Roman"/>
          <w:i/>
          <w:iCs/>
          <w:sz w:val="22"/>
          <w:szCs w:val="22"/>
        </w:rPr>
        <w:t>La semplificazione delle procedure amministrative a seguito della attuazione in Italia della Direttiva Bolkestein</w:t>
      </w:r>
      <w:r w:rsidRPr="00010023">
        <w:rPr>
          <w:rFonts w:ascii="Times New Roman" w:hAnsi="Times New Roman" w:cs="Times New Roman"/>
          <w:sz w:val="22"/>
          <w:szCs w:val="22"/>
        </w:rPr>
        <w:t xml:space="preserve">, in </w:t>
      </w:r>
      <w:proofErr w:type="spellStart"/>
      <w:r w:rsidRPr="00010023">
        <w:rPr>
          <w:rFonts w:ascii="Times New Roman" w:hAnsi="Times New Roman" w:cs="Times New Roman"/>
          <w:i/>
          <w:iCs/>
          <w:sz w:val="22"/>
          <w:szCs w:val="22"/>
        </w:rPr>
        <w:t>Monografìas</w:t>
      </w:r>
      <w:proofErr w:type="spellEnd"/>
      <w:r w:rsidRPr="00010023">
        <w:rPr>
          <w:rFonts w:ascii="Times New Roman" w:hAnsi="Times New Roman" w:cs="Times New Roman"/>
          <w:i/>
          <w:iCs/>
          <w:sz w:val="22"/>
          <w:szCs w:val="22"/>
        </w:rPr>
        <w:t xml:space="preserve"> de la </w:t>
      </w:r>
      <w:proofErr w:type="spellStart"/>
      <w:r w:rsidRPr="00010023">
        <w:rPr>
          <w:rFonts w:ascii="Times New Roman" w:hAnsi="Times New Roman" w:cs="Times New Roman"/>
          <w:i/>
          <w:iCs/>
          <w:sz w:val="22"/>
          <w:szCs w:val="22"/>
        </w:rPr>
        <w:t>Revista</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Aragonesa</w:t>
      </w:r>
      <w:proofErr w:type="spellEnd"/>
      <w:r w:rsidRPr="00010023">
        <w:rPr>
          <w:rFonts w:ascii="Times New Roman" w:hAnsi="Times New Roman" w:cs="Times New Roman"/>
          <w:i/>
          <w:iCs/>
          <w:sz w:val="22"/>
          <w:szCs w:val="22"/>
        </w:rPr>
        <w:t xml:space="preserve"> de </w:t>
      </w:r>
      <w:proofErr w:type="spellStart"/>
      <w:r w:rsidRPr="00010023">
        <w:rPr>
          <w:rFonts w:ascii="Times New Roman" w:hAnsi="Times New Roman" w:cs="Times New Roman"/>
          <w:i/>
          <w:iCs/>
          <w:sz w:val="22"/>
          <w:szCs w:val="22"/>
        </w:rPr>
        <w:t>Administraciòn</w:t>
      </w:r>
      <w:proofErr w:type="spellEnd"/>
      <w:r w:rsidRPr="00010023">
        <w:rPr>
          <w:rFonts w:ascii="Times New Roman" w:hAnsi="Times New Roman" w:cs="Times New Roman"/>
          <w:i/>
          <w:iCs/>
          <w:sz w:val="22"/>
          <w:szCs w:val="22"/>
        </w:rPr>
        <w:t xml:space="preserve"> </w:t>
      </w:r>
      <w:proofErr w:type="spellStart"/>
      <w:r w:rsidRPr="00010023">
        <w:rPr>
          <w:rFonts w:ascii="Times New Roman" w:hAnsi="Times New Roman" w:cs="Times New Roman"/>
          <w:i/>
          <w:iCs/>
          <w:sz w:val="22"/>
          <w:szCs w:val="22"/>
        </w:rPr>
        <w:t>pùblica</w:t>
      </w:r>
      <w:proofErr w:type="spellEnd"/>
      <w:r w:rsidRPr="00010023">
        <w:rPr>
          <w:rFonts w:ascii="Times New Roman" w:hAnsi="Times New Roman" w:cs="Times New Roman"/>
          <w:sz w:val="22"/>
          <w:szCs w:val="22"/>
        </w:rPr>
        <w:t xml:space="preserve">, n. XII, 2010; G. STRAZZA, </w:t>
      </w:r>
      <w:r w:rsidRPr="00010023">
        <w:rPr>
          <w:rFonts w:ascii="Times New Roman" w:hAnsi="Times New Roman" w:cs="Times New Roman"/>
          <w:i/>
          <w:iCs/>
          <w:sz w:val="22"/>
          <w:szCs w:val="22"/>
        </w:rPr>
        <w:t xml:space="preserve">La </w:t>
      </w:r>
      <w:proofErr w:type="spellStart"/>
      <w:r w:rsidRPr="00010023">
        <w:rPr>
          <w:rFonts w:ascii="Times New Roman" w:hAnsi="Times New Roman" w:cs="Times New Roman"/>
          <w:i/>
          <w:iCs/>
          <w:sz w:val="22"/>
          <w:szCs w:val="22"/>
        </w:rPr>
        <w:t>s.c.i.a</w:t>
      </w:r>
      <w:proofErr w:type="spellEnd"/>
      <w:r w:rsidRPr="00010023">
        <w:rPr>
          <w:rFonts w:ascii="Times New Roman" w:hAnsi="Times New Roman" w:cs="Times New Roman"/>
          <w:i/>
          <w:iCs/>
          <w:sz w:val="22"/>
          <w:szCs w:val="22"/>
        </w:rPr>
        <w:t>. tra semplificazione, liberalizzazione e complicazione</w:t>
      </w:r>
      <w:r w:rsidRPr="00010023">
        <w:rPr>
          <w:rFonts w:ascii="Times New Roman" w:hAnsi="Times New Roman" w:cs="Times New Roman"/>
          <w:sz w:val="22"/>
          <w:szCs w:val="22"/>
        </w:rPr>
        <w:t xml:space="preserve">, 2020; S. PUGLIESE, </w:t>
      </w:r>
      <w:r w:rsidRPr="00010023">
        <w:rPr>
          <w:rFonts w:ascii="Times New Roman" w:hAnsi="Times New Roman" w:cs="Times New Roman"/>
          <w:i/>
          <w:iCs/>
          <w:sz w:val="22"/>
          <w:szCs w:val="22"/>
        </w:rPr>
        <w:t>L’evoluzione della nozione di sicurezza nell’Unione europea</w:t>
      </w:r>
      <w:r w:rsidRPr="00010023">
        <w:rPr>
          <w:rFonts w:ascii="Times New Roman" w:hAnsi="Times New Roman" w:cs="Times New Roman"/>
          <w:sz w:val="22"/>
          <w:szCs w:val="22"/>
        </w:rPr>
        <w:t>, Bari, 2025.</w:t>
      </w:r>
      <w:bookmarkEnd w:id="54"/>
    </w:p>
    <w:bookmarkEnd w:id="55"/>
  </w:footnote>
  <w:footnote w:id="104">
    <w:p w14:paraId="4764CABF" w14:textId="72BFA4A6"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Come anticipato, il fondamento giuridico della politica energetica europea risiede nell’art. 4 del TFUE, in base al quale l’energia rientra nelle competenze concorrenti tra l’UE e gli Stati Membri, e nell’art. 194 del TFUE, secondo cui il Parlamento europeo e il Consiglio dell’UE, deliberando in ottemperanza alla procedura legislativa ordinaria e previa consultazione del Comitato Economico e Sociale e del Comitato delle Regioni, stabiliscono le</w:t>
      </w:r>
      <w:r w:rsidRPr="00010023">
        <w:rPr>
          <w:rFonts w:ascii="Times New Roman" w:eastAsia="Times New Roman" w:hAnsi="Times New Roman" w:cs="Times New Roman"/>
          <w:color w:val="272626"/>
          <w:sz w:val="22"/>
          <w:szCs w:val="22"/>
        </w:rPr>
        <w:t xml:space="preserve"> </w:t>
      </w:r>
      <w:r w:rsidRPr="00010023">
        <w:rPr>
          <w:rFonts w:ascii="Times New Roman" w:hAnsi="Times New Roman" w:cs="Times New Roman"/>
          <w:sz w:val="22"/>
          <w:szCs w:val="22"/>
        </w:rPr>
        <w:t>misure necessarie per conseguire gli obiettivi. Tuttavia, tali misure non incidono sul diritto di uno Stato Membro di determinare le condizioni di utilizzo delle sue fonti energetiche, sulla scelta tra varie fonti energetiche e sulla struttura generale del suo approvvigionamento energetico. Dunque, la gestione dell’energia rimane ancora fortemente dipendente dalla volontà politica degli Stati e difficilmente uniformabile a livello europeo, determinando una differenziazione della tipologia delle fonti energetiche, dei loro costi di produzione e di vendita. Nonostante la gestione dell’energia rimanga ancora dipendente dagli Stati Membri, esiste una clausola, rappresentata dalla lettera c, art. 194 del TFUE, secondo cui il Consiglio dell’UE, deliberando all’unanimità, può adottare misure aventi una sensibile incidenza sulla scelta di uno Stato Membro tra diverse fonti di energia e sulla struttura generale dell’approvvigionamento energetico del medesimo. Detta condizione potrebbe costituire la legittimità giuridica che permetterebbe di avviare un’intensificazione del peso delle istituzioni europee sulla politica energetica senza dover necessariamente modificare i trattati. Infatti, il Consiglio, anche in virtù dell’attuale crisi energetica, potrebbe adottare una misura per mettere in comune le risorse energetiche di ciascuno Stato Membro, in modo da creare un Bacino Energetico Europeo gestito direttamente a livello centrale, da Bruxelles. In un tale contesto, la Commissione Europea, attraverso la DG Energia, gestirebbe gli aspetti del fabbisogno energetico e dell’efficienza energetica europea, elaborando dei regolamenti e delle direttive comuni da seguire e gestendo gli scambi commerciali con i paesi terzi fornitori di energia. Gli Stati Membri, sgravati dal peso della gestione del fabbisogno energetico, potrebbero incrementare l’utilizzo delle fonti rinnovabili con l’obiettivo di contribuire alla creazione di energia </w:t>
      </w:r>
      <w:r w:rsidRPr="00010023">
        <w:rPr>
          <w:rFonts w:ascii="Times New Roman" w:hAnsi="Times New Roman" w:cs="Times New Roman"/>
          <w:i/>
          <w:iCs/>
          <w:sz w:val="22"/>
          <w:szCs w:val="22"/>
        </w:rPr>
        <w:t>made in Europe</w:t>
      </w:r>
      <w:r w:rsidRPr="00010023">
        <w:rPr>
          <w:rFonts w:ascii="Times New Roman" w:hAnsi="Times New Roman" w:cs="Times New Roman"/>
          <w:sz w:val="22"/>
          <w:szCs w:val="22"/>
        </w:rPr>
        <w:t xml:space="preserve"> e, allo stesso tempo, investire nella ricerca per affinare le tecniche di produzione, trasporto e conservazione dell’energia verde. La politica energetica europea potrebbe essere gestita in maniera simile alla politica di coesione, ovvero verrebbe inserita come voce assestante nel Quadro Finanziario Pluriennale e finanziata dai contributi degli Stati Membri. In questo senso, quindi, i fondi della politica europea avrebbero un duplice scopo: assicurare la ripartizione dell’energia in base al fabbisogno di ciascuno Stato e finanziare la ricerca, l’innovazione e lo sviluppo di impianti energetici che possano creare le condizioni per un’autosufficienza energetica europea di lungo periodo. </w:t>
      </w:r>
    </w:p>
  </w:footnote>
  <w:footnote w:id="105">
    <w:p w14:paraId="3BE83D72" w14:textId="6B9FDF7A" w:rsidR="00DF358B" w:rsidRPr="00010023" w:rsidRDefault="00DF358B" w:rsidP="00010023">
      <w:pPr>
        <w:pStyle w:val="Testonotaapidipagina"/>
        <w:spacing w:line="240" w:lineRule="exact"/>
        <w:contextualSpacing/>
        <w:jc w:val="both"/>
        <w:rPr>
          <w:rFonts w:ascii="Times New Roman" w:hAnsi="Times New Roman" w:cs="Times New Roman"/>
          <w:sz w:val="22"/>
          <w:szCs w:val="22"/>
          <w:highlight w:val="yellow"/>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Sul punto, si vedano, in ordine cronologico: </w:t>
      </w:r>
      <w:bookmarkStart w:id="56" w:name="_Hlk233820758"/>
      <w:r w:rsidRPr="00010023">
        <w:rPr>
          <w:rFonts w:ascii="Times New Roman" w:hAnsi="Times New Roman" w:cs="Times New Roman"/>
          <w:sz w:val="22"/>
          <w:szCs w:val="22"/>
        </w:rPr>
        <w:t xml:space="preserve">il </w:t>
      </w:r>
      <w:bookmarkStart w:id="57" w:name="_Hlk233883881"/>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16 luglio 2020, n. 76,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11 settembre 2020, n. 120 (cd. </w:t>
      </w:r>
      <w:r w:rsidRPr="00010023">
        <w:rPr>
          <w:rFonts w:ascii="Times New Roman" w:hAnsi="Times New Roman" w:cs="Times New Roman"/>
          <w:i/>
          <w:iCs/>
          <w:sz w:val="22"/>
          <w:szCs w:val="22"/>
        </w:rPr>
        <w:t>Decreto Semplificazioni</w:t>
      </w:r>
      <w:r w:rsidRPr="00010023">
        <w:rPr>
          <w:rFonts w:ascii="Times New Roman" w:hAnsi="Times New Roman" w:cs="Times New Roman"/>
          <w:sz w:val="22"/>
          <w:szCs w:val="22"/>
        </w:rPr>
        <w:t xml:space="preserve">); il </w:t>
      </w:r>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31 maggio 2021, n. 77,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29 luglio 2021, n. 108 (cd. </w:t>
      </w:r>
      <w:r w:rsidRPr="00010023">
        <w:rPr>
          <w:rFonts w:ascii="Times New Roman" w:hAnsi="Times New Roman" w:cs="Times New Roman"/>
          <w:i/>
          <w:iCs/>
          <w:sz w:val="22"/>
          <w:szCs w:val="22"/>
        </w:rPr>
        <w:t>Decreto Semplificazioni-bis</w:t>
      </w:r>
      <w:r w:rsidRPr="00010023">
        <w:rPr>
          <w:rFonts w:ascii="Times New Roman" w:hAnsi="Times New Roman" w:cs="Times New Roman"/>
          <w:sz w:val="22"/>
          <w:szCs w:val="22"/>
        </w:rPr>
        <w:t xml:space="preserve">); il </w:t>
      </w:r>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1° marzo 2022, n. 17,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27 aprile 2022, n. 34 (cd. </w:t>
      </w:r>
      <w:r w:rsidRPr="00010023">
        <w:rPr>
          <w:rFonts w:ascii="Times New Roman" w:hAnsi="Times New Roman" w:cs="Times New Roman"/>
          <w:i/>
          <w:iCs/>
          <w:sz w:val="22"/>
          <w:szCs w:val="22"/>
        </w:rPr>
        <w:t>Decreto Energia</w:t>
      </w:r>
      <w:r w:rsidRPr="00010023">
        <w:rPr>
          <w:rFonts w:ascii="Times New Roman" w:hAnsi="Times New Roman" w:cs="Times New Roman"/>
          <w:sz w:val="22"/>
          <w:szCs w:val="22"/>
        </w:rPr>
        <w:t xml:space="preserve">); il </w:t>
      </w:r>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21 marzo 2022, n. 21,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20 maggio 2022, n. 51 (cd. </w:t>
      </w:r>
      <w:r w:rsidRPr="00010023">
        <w:rPr>
          <w:rFonts w:ascii="Times New Roman" w:hAnsi="Times New Roman" w:cs="Times New Roman"/>
          <w:i/>
          <w:iCs/>
          <w:sz w:val="22"/>
          <w:szCs w:val="22"/>
        </w:rPr>
        <w:t>Decreto Ucraina</w:t>
      </w:r>
      <w:r w:rsidRPr="00010023">
        <w:rPr>
          <w:rFonts w:ascii="Times New Roman" w:hAnsi="Times New Roman" w:cs="Times New Roman"/>
          <w:sz w:val="22"/>
          <w:szCs w:val="22"/>
        </w:rPr>
        <w:t xml:space="preserve">); il </w:t>
      </w:r>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17 maggio 2022, n. 50,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15 luglio 2022, n. 91 (cd. </w:t>
      </w:r>
      <w:r w:rsidRPr="00010023">
        <w:rPr>
          <w:rFonts w:ascii="Times New Roman" w:hAnsi="Times New Roman" w:cs="Times New Roman"/>
          <w:i/>
          <w:iCs/>
          <w:sz w:val="22"/>
          <w:szCs w:val="22"/>
        </w:rPr>
        <w:t>Decreto Aiuti</w:t>
      </w:r>
      <w:r w:rsidRPr="00010023">
        <w:rPr>
          <w:rFonts w:ascii="Times New Roman" w:hAnsi="Times New Roman" w:cs="Times New Roman"/>
          <w:sz w:val="22"/>
          <w:szCs w:val="22"/>
        </w:rPr>
        <w:t xml:space="preserve">); il </w:t>
      </w:r>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24 febbraio 2023, n. 13,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21 aprile 2023, n. 41 (cd. </w:t>
      </w:r>
      <w:r w:rsidRPr="00010023">
        <w:rPr>
          <w:rFonts w:ascii="Times New Roman" w:hAnsi="Times New Roman" w:cs="Times New Roman"/>
          <w:i/>
          <w:iCs/>
          <w:sz w:val="22"/>
          <w:szCs w:val="22"/>
        </w:rPr>
        <w:t>Decreto PNRR</w:t>
      </w:r>
      <w:r w:rsidRPr="00010023">
        <w:rPr>
          <w:rFonts w:ascii="Times New Roman" w:hAnsi="Times New Roman" w:cs="Times New Roman"/>
          <w:sz w:val="22"/>
          <w:szCs w:val="22"/>
        </w:rPr>
        <w:t xml:space="preserve">); il </w:t>
      </w:r>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9 dicembre 2023, n. 181, </w:t>
      </w:r>
      <w:proofErr w:type="spellStart"/>
      <w:r w:rsidRPr="00010023">
        <w:rPr>
          <w:rFonts w:ascii="Times New Roman" w:hAnsi="Times New Roman" w:cs="Times New Roman"/>
          <w:sz w:val="22"/>
          <w:szCs w:val="22"/>
        </w:rPr>
        <w:t>conv</w:t>
      </w:r>
      <w:proofErr w:type="spellEnd"/>
      <w:r w:rsidRPr="00010023">
        <w:rPr>
          <w:rFonts w:ascii="Times New Roman" w:hAnsi="Times New Roman" w:cs="Times New Roman"/>
          <w:sz w:val="22"/>
          <w:szCs w:val="22"/>
        </w:rPr>
        <w:t xml:space="preserve">. con </w:t>
      </w:r>
      <w:proofErr w:type="spellStart"/>
      <w:r w:rsidRPr="00010023">
        <w:rPr>
          <w:rFonts w:ascii="Times New Roman" w:hAnsi="Times New Roman" w:cs="Times New Roman"/>
          <w:sz w:val="22"/>
          <w:szCs w:val="22"/>
        </w:rPr>
        <w:t>modif</w:t>
      </w:r>
      <w:proofErr w:type="spellEnd"/>
      <w:r w:rsidRPr="00010023">
        <w:rPr>
          <w:rFonts w:ascii="Times New Roman" w:hAnsi="Times New Roman" w:cs="Times New Roman"/>
          <w:sz w:val="22"/>
          <w:szCs w:val="22"/>
        </w:rPr>
        <w:t xml:space="preserve">. dalla l. 2 febbraio 2024, n. 11 (cd. </w:t>
      </w:r>
      <w:r w:rsidRPr="00010023">
        <w:rPr>
          <w:rFonts w:ascii="Times New Roman" w:hAnsi="Times New Roman" w:cs="Times New Roman"/>
          <w:i/>
          <w:iCs/>
          <w:sz w:val="22"/>
          <w:szCs w:val="22"/>
        </w:rPr>
        <w:t>Decreto Energia</w:t>
      </w:r>
      <w:r w:rsidRPr="00010023">
        <w:rPr>
          <w:rFonts w:ascii="Times New Roman" w:hAnsi="Times New Roman" w:cs="Times New Roman"/>
          <w:sz w:val="22"/>
          <w:szCs w:val="22"/>
        </w:rPr>
        <w:t xml:space="preserve">). </w:t>
      </w:r>
      <w:bookmarkEnd w:id="57"/>
      <w:r w:rsidRPr="00010023">
        <w:rPr>
          <w:rFonts w:ascii="Times New Roman" w:hAnsi="Times New Roman" w:cs="Times New Roman"/>
          <w:sz w:val="22"/>
          <w:szCs w:val="22"/>
        </w:rPr>
        <w:t xml:space="preserve">Tali interventi, prevalentemente dettati da esigenze contingenti (semplificazione amministrativa, attuazione del PNRR, crisi energetica e conseguenze del conflitto russo-ucraino), hanno </w:t>
      </w:r>
      <w:bookmarkEnd w:id="56"/>
      <w:r w:rsidRPr="00A214EF">
        <w:rPr>
          <w:rFonts w:ascii="Times New Roman" w:hAnsi="Times New Roman" w:cs="Times New Roman"/>
          <w:sz w:val="22"/>
          <w:szCs w:val="22"/>
        </w:rPr>
        <w:t>inciso in modo progressivo e non sempre coordinato sulla disciplina autorizzatoria, determinando una stratificazione n</w:t>
      </w:r>
      <w:r w:rsidRPr="00010023">
        <w:rPr>
          <w:rFonts w:ascii="Times New Roman" w:hAnsi="Times New Roman" w:cs="Times New Roman"/>
          <w:sz w:val="22"/>
          <w:szCs w:val="22"/>
        </w:rPr>
        <w:t xml:space="preserve">ormativa che ha accentuato le difficoltà interpretative e applicative, soprattutto con riguardo al coordinamento tra procedimenti urbanistico-edilizi, paesaggistici e ambientali, alimentando un significativo contenzioso dinanzi al giudice amministrativo. In tema di semplificazione amministrativa, in dottrina, si v. </w:t>
      </w:r>
      <w:bookmarkStart w:id="58" w:name="_Hlk233883899"/>
      <w:r w:rsidRPr="00010023">
        <w:rPr>
          <w:rFonts w:ascii="Times New Roman" w:hAnsi="Times New Roman" w:cs="Times New Roman"/>
          <w:sz w:val="22"/>
          <w:szCs w:val="22"/>
        </w:rPr>
        <w:t>M</w:t>
      </w:r>
      <w:bookmarkStart w:id="59" w:name="_Hlk233820808"/>
      <w:r w:rsidRPr="00010023">
        <w:rPr>
          <w:rFonts w:ascii="Times New Roman" w:hAnsi="Times New Roman" w:cs="Times New Roman"/>
          <w:sz w:val="22"/>
          <w:szCs w:val="22"/>
        </w:rPr>
        <w:t>.A. SANDULLI, ‘</w:t>
      </w:r>
      <w:r w:rsidRPr="00010023">
        <w:rPr>
          <w:rFonts w:ascii="Times New Roman" w:hAnsi="Times New Roman" w:cs="Times New Roman"/>
          <w:i/>
          <w:iCs/>
          <w:sz w:val="22"/>
          <w:szCs w:val="22"/>
        </w:rPr>
        <w:t>Principi e regole dell'azione amministrativa': riflessioni sul rapporto tra diritto scritto e realtà giurisprudenziale</w:t>
      </w:r>
      <w:r w:rsidRPr="00010023">
        <w:rPr>
          <w:rFonts w:ascii="Times New Roman" w:hAnsi="Times New Roman" w:cs="Times New Roman"/>
          <w:sz w:val="22"/>
          <w:szCs w:val="22"/>
        </w:rPr>
        <w:t>, in</w:t>
      </w:r>
      <w:r w:rsidRPr="00010023">
        <w:rPr>
          <w:rFonts w:ascii="Times New Roman" w:hAnsi="Times New Roman" w:cs="Times New Roman"/>
          <w:i/>
          <w:iCs/>
          <w:sz w:val="22"/>
          <w:szCs w:val="22"/>
        </w:rPr>
        <w:t>Federalismi.it</w:t>
      </w:r>
      <w:r w:rsidRPr="00010023">
        <w:rPr>
          <w:rFonts w:ascii="Times New Roman" w:hAnsi="Times New Roman" w:cs="Times New Roman"/>
          <w:sz w:val="22"/>
          <w:szCs w:val="22"/>
        </w:rPr>
        <w:t xml:space="preserve">, 2017 e </w:t>
      </w:r>
      <w:r w:rsidRPr="00010023">
        <w:rPr>
          <w:rFonts w:ascii="Times New Roman" w:hAnsi="Times New Roman" w:cs="Times New Roman"/>
          <w:i/>
          <w:iCs/>
          <w:sz w:val="22"/>
          <w:szCs w:val="22"/>
        </w:rPr>
        <w:t>Processo amministrativo, sicurezza giuridica e garanzia di buona amministrazione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processo</w:t>
      </w:r>
      <w:r w:rsidRPr="00010023">
        <w:rPr>
          <w:rFonts w:ascii="Times New Roman" w:hAnsi="Times New Roman" w:cs="Times New Roman"/>
          <w:sz w:val="22"/>
          <w:szCs w:val="22"/>
        </w:rPr>
        <w:t xml:space="preserve">, 2018 e in </w:t>
      </w:r>
      <w:r w:rsidRPr="00010023">
        <w:rPr>
          <w:rFonts w:ascii="Times New Roman" w:hAnsi="Times New Roman" w:cs="Times New Roman"/>
          <w:i/>
          <w:iCs/>
          <w:sz w:val="22"/>
          <w:szCs w:val="22"/>
        </w:rPr>
        <w:t>Giustizia-amministrativa.it</w:t>
      </w:r>
      <w:r w:rsidRPr="00010023">
        <w:rPr>
          <w:rFonts w:ascii="Times New Roman" w:hAnsi="Times New Roman" w:cs="Times New Roman"/>
          <w:sz w:val="22"/>
          <w:szCs w:val="22"/>
        </w:rPr>
        <w:t xml:space="preserve">, 2018 e </w:t>
      </w:r>
      <w:r w:rsidRPr="00010023">
        <w:rPr>
          <w:rFonts w:ascii="Times New Roman" w:hAnsi="Times New Roman" w:cs="Times New Roman"/>
          <w:i/>
          <w:iCs/>
          <w:sz w:val="22"/>
          <w:szCs w:val="22"/>
        </w:rPr>
        <w:t xml:space="preserve">Il ruolo dei principi nel diritto amministrativo. Introduzione </w:t>
      </w:r>
      <w:r w:rsidRPr="00010023">
        <w:rPr>
          <w:rFonts w:ascii="Times New Roman" w:hAnsi="Times New Roman" w:cs="Times New Roman"/>
          <w:sz w:val="22"/>
          <w:szCs w:val="22"/>
        </w:rPr>
        <w:t xml:space="preserve">al volume </w:t>
      </w:r>
      <w:r w:rsidRPr="00010023">
        <w:rPr>
          <w:rFonts w:ascii="Times New Roman" w:hAnsi="Times New Roman" w:cs="Times New Roman"/>
          <w:i/>
          <w:iCs/>
          <w:sz w:val="22"/>
          <w:szCs w:val="22"/>
        </w:rPr>
        <w:t>Principi e regole dell’azione amministrativa</w:t>
      </w:r>
      <w:r w:rsidRPr="00010023">
        <w:rPr>
          <w:rFonts w:ascii="Times New Roman" w:hAnsi="Times New Roman" w:cs="Times New Roman"/>
          <w:sz w:val="22"/>
          <w:szCs w:val="22"/>
        </w:rPr>
        <w:t xml:space="preserve">, Milano, IV ed., 2023 (leggibile anche su </w:t>
      </w:r>
      <w:r w:rsidRPr="00010023">
        <w:rPr>
          <w:rFonts w:ascii="Times New Roman" w:hAnsi="Times New Roman" w:cs="Times New Roman"/>
          <w:i/>
          <w:iCs/>
          <w:sz w:val="22"/>
          <w:szCs w:val="22"/>
        </w:rPr>
        <w:t>Giustiziainsieme.it</w:t>
      </w:r>
      <w:r w:rsidRPr="00010023">
        <w:rPr>
          <w:rFonts w:ascii="Times New Roman" w:hAnsi="Times New Roman" w:cs="Times New Roman"/>
          <w:sz w:val="22"/>
          <w:szCs w:val="22"/>
        </w:rPr>
        <w:t xml:space="preserve">, 2023), e da ultimo </w:t>
      </w:r>
      <w:r w:rsidRPr="00010023">
        <w:rPr>
          <w:rFonts w:ascii="Times New Roman" w:hAnsi="Times New Roman" w:cs="Times New Roman"/>
          <w:i/>
          <w:iCs/>
          <w:sz w:val="22"/>
          <w:szCs w:val="22"/>
        </w:rPr>
        <w:t>Principio di legalità e magistratura amministrativa</w:t>
      </w:r>
      <w:r w:rsidRPr="00010023">
        <w:rPr>
          <w:rFonts w:ascii="Times New Roman" w:hAnsi="Times New Roman" w:cs="Times New Roman"/>
          <w:sz w:val="22"/>
          <w:szCs w:val="22"/>
        </w:rPr>
        <w:t>, relazione al Convegno “Giustizia al Servizio del Paese – Il principio di legalità”,</w:t>
      </w:r>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 xml:space="preserve">Firenze, 21 novembre 2024, in </w:t>
      </w:r>
      <w:r w:rsidRPr="00010023">
        <w:rPr>
          <w:rFonts w:ascii="Times New Roman" w:hAnsi="Times New Roman" w:cs="Times New Roman"/>
          <w:i/>
          <w:iCs/>
          <w:sz w:val="22"/>
          <w:szCs w:val="22"/>
        </w:rPr>
        <w:t>Riv. Giur. Edil</w:t>
      </w:r>
      <w:r w:rsidRPr="00010023">
        <w:rPr>
          <w:rFonts w:ascii="Times New Roman" w:hAnsi="Times New Roman" w:cs="Times New Roman"/>
          <w:sz w:val="22"/>
          <w:szCs w:val="22"/>
        </w:rPr>
        <w:t xml:space="preserve">., 2025, fasc. 2 e in </w:t>
      </w:r>
      <w:r w:rsidRPr="00010023">
        <w:rPr>
          <w:rFonts w:ascii="Times New Roman" w:hAnsi="Times New Roman" w:cs="Times New Roman"/>
          <w:i/>
          <w:iCs/>
          <w:sz w:val="22"/>
          <w:szCs w:val="22"/>
        </w:rPr>
        <w:t>Riv. Corte dei conti</w:t>
      </w:r>
      <w:r w:rsidRPr="00010023">
        <w:rPr>
          <w:rFonts w:ascii="Times New Roman" w:hAnsi="Times New Roman" w:cs="Times New Roman"/>
          <w:sz w:val="22"/>
          <w:szCs w:val="22"/>
        </w:rPr>
        <w:t>, Quad. 1/2025.</w:t>
      </w:r>
    </w:p>
    <w:bookmarkEnd w:id="58"/>
    <w:bookmarkEnd w:id="59"/>
  </w:footnote>
  <w:footnote w:id="106">
    <w:p w14:paraId="1B5C8823" w14:textId="1AEB0F3F"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Il TU FER, emanato in attuazione della delega conferita al Governo dall’art. 26, co. 4, della legge sulla concorrenza 2021 (l. 5 agosto 2022 n. 118), mira, almeno sulla carta, a razionalizzare i regimi amministrativi per la realizzazione e l’esercizio di impianti FER, ponendosi il duplice obiettivo di riordinare tutta la normativa previgente e di semplificare ulteriormente tali regimi.</w:t>
      </w:r>
    </w:p>
  </w:footnote>
  <w:footnote w:id="107">
    <w:p w14:paraId="292C9C0C" w14:textId="02C16F94"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Un primo profilo problematico ha riguardato il regime transitorio delineato dal d.lgs. n. 190/2024. Anche sotto questo aspetto il legislatore ha seguito il modello già adottato in precedenti interventi di riordino, introducendo tuttavia, all'art. 1 del Testo unico – dedicato all'oggetto e alle finalità del decreto – una disposizione concernente l'obbligo di adeguamento della normativa regionale e locale che, se interpretata in senso strettamente letterale, appariva porsi in tensione con la disciplina transitoria dettata dall'art. 15. Occorre anzitutto considerare che l'art. 17, quale disposizione finale, ha fissato al 30 dicembre 2024 la data di entrata in vigore del Testo unico. L'art. 15 ha disciplinato il regime transitorio mediante due distinte previsioni. Il comma 1 ha stabilito che, a decorrere dal 30 dicembre 2024, fossero abrogate le disposizioni elencate nell'Allegato D, facendo inoltre salva la generale abrogazione di ogni altra disposizione incompatibile con il nuovo Testo unico. La medesima</w:t>
      </w:r>
      <w:r w:rsidRPr="00010023">
        <w:rPr>
          <w:rFonts w:ascii="Times New Roman" w:eastAsia="Times New Roman" w:hAnsi="Times New Roman" w:cs="Times New Roman"/>
          <w:sz w:val="22"/>
          <w:szCs w:val="22"/>
        </w:rPr>
        <w:t xml:space="preserve"> </w:t>
      </w:r>
      <w:r w:rsidRPr="00010023">
        <w:rPr>
          <w:rFonts w:ascii="Times New Roman" w:hAnsi="Times New Roman" w:cs="Times New Roman"/>
          <w:sz w:val="22"/>
          <w:szCs w:val="22"/>
        </w:rPr>
        <w:t>disposizione ha altresì previsto che, dalla stessa data, ogni rinvio contenuto nella normativa vigente alle previgenti disposizioni in materia di regimi amministrativi dovesse intendersi riferito alle corrispondenti disposizioni del Testo unico. Il comma 2 ha introdotto, invece, una disciplina specifica per i procedimenti pendenti, disponendo che alle procedure in corso alla data di entrata in vigore del decreto continuassero ad applicarsi le disposizioni previgenti indicate nell'Allegato D, salvo che il proponente esercitasse l'opzione per l'applicazione della nuova disciplina. A tale quadro si affiancava, tuttavia, la previsione contenuta nell'art. 1, comma 3, secondo cui le Regioni e gli enti locali erano tenuti ad adeguare i propri ordinamenti ai principi del decreto entro centottanta giorni dalla sua entrata in vigore. La disposizione aggiungeva che, nelle more dell'adeguamento, «si applica la disciplina previgente» e che, decorso inutilmente il termine di centottanta giorni, avrebbe trovato diretta applicazione il Testo unico. Era inoltre riconosciuta alle Regioni e agli enti locali, in sede di adeguamento, la facoltà di introdurre ulteriori misure di semplificazione dei regimi amministrativi disciplinati dal decreto, anche mediante l'innalzamento delle soglie di potenza previste negli Allegati A e B, nel rispetto dei limiti fissati dall'art. 13, comma 1. Proprio il riferimento, contenuto nell'art. 1, comma 3, all'applicazione della «disciplina previgente» fino all'adeguamento regionale appariva suscettibile di generare un potenziale contrasto con il regime transitorio delineato dall'art. 15. Mentre quest'ultimo individuava nel 30 dicembre 2024 la data a partire dalla quale il nuovo Testo unico diveniva la disciplina generale di riferimento, limitando la sopravvivenza della normativa previgente ai soli procedimenti già pendenti (salva l'opzione del proponente), l'art. 1, comma 3, sembrava consentire una più ampia ultrattività della disciplina anteriore fino allo spirare del termine di centottanta giorni previsto per l'adeguamento regionale. Sul potenziale contrasto interpretativo tra l'art. 15 e l'art. 1, comma 3, è intervenuto il MASE, in risposta all'interrogazione parlamentare n. 5-04780, pubblicata il 27 marzo 2025 nell'allegato al Bollettino della X Commissione (Attività produttive) della Camera dei deputati. Il Ministero ha chiarito che, a decorrere dal 30 dicembre 2024, ogni nuova iniziativa per la quale, alla medesima data, non risulti conclusa la verifica di completezza della documentazione progettuale è soggetta alle disposizioni del d.lgs. n. 190/2024, sia con riguardo all'individuazione del regime amministrativo applicabile – compresa l'eventuale assoggettabilità alla valutazione di impatto ambientale – sia con riferimento all'autorità competente, secondo il riparto delineato dagli artt. 8 e 9 e dagli Allegati B e C del Testo unico. Con specifico riferimento all'art. 1, comma 3, il MASE ha inoltre precisato che la disposizione è finalizzata esclusivamente a consentire alle Regioni e agli enti locali di adeguare i propri assetti organizzativi ai principi del Testo unico, tra i quali assume particolare rilievo la completa digitalizzazione delle procedure amministrative e l'adozione dei modelli unici. La</w:t>
      </w:r>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previsione transitoria, pertanto, non è destinata a differire l'applicazione</w:t>
      </w:r>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della nuova disciplina sostanziale, ma unicamente a consentire alle amministrazioni competenti il tempo necessario per predisporre gli</w:t>
      </w:r>
      <w:r w:rsidRPr="00010023">
        <w:rPr>
          <w:rFonts w:ascii="Times New Roman" w:hAnsi="Times New Roman" w:cs="Times New Roman"/>
          <w:i/>
          <w:iCs/>
          <w:sz w:val="22"/>
          <w:szCs w:val="22"/>
        </w:rPr>
        <w:t xml:space="preserve"> </w:t>
      </w:r>
      <w:r w:rsidRPr="00010023">
        <w:rPr>
          <w:rFonts w:ascii="Times New Roman" w:hAnsi="Times New Roman" w:cs="Times New Roman"/>
          <w:sz w:val="22"/>
          <w:szCs w:val="22"/>
        </w:rPr>
        <w:t>strumenti organizzativi indispensabili alla sua attuazione.</w:t>
      </w:r>
    </w:p>
  </w:footnote>
  <w:footnote w:id="108">
    <w:p w14:paraId="27672A44" w14:textId="1E990385"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Tra le sue principali novità del D. lgs. 190/2024 si annoverano: (i) la riduzione dei regimi amministrativi, i quali sono stati razionalizzati e distinti in tre principali modelli (</w:t>
      </w:r>
      <w:r w:rsidRPr="00010023">
        <w:rPr>
          <w:rFonts w:ascii="Times New Roman" w:hAnsi="Times New Roman" w:cs="Times New Roman"/>
          <w:i/>
          <w:iCs/>
          <w:sz w:val="22"/>
          <w:szCs w:val="22"/>
        </w:rPr>
        <w:t xml:space="preserve">Attività libera, Procedura Abilitativa Semplificata </w:t>
      </w:r>
      <w:r w:rsidRPr="00010023">
        <w:rPr>
          <w:rFonts w:ascii="Times New Roman" w:hAnsi="Times New Roman" w:cs="Times New Roman"/>
          <w:sz w:val="22"/>
          <w:szCs w:val="22"/>
        </w:rPr>
        <w:t xml:space="preserve">e </w:t>
      </w:r>
      <w:r w:rsidRPr="00010023">
        <w:rPr>
          <w:rFonts w:ascii="Times New Roman" w:hAnsi="Times New Roman" w:cs="Times New Roman"/>
          <w:i/>
          <w:iCs/>
          <w:sz w:val="22"/>
          <w:szCs w:val="22"/>
        </w:rPr>
        <w:t>Autorizzazione Unica</w:t>
      </w:r>
      <w:r w:rsidRPr="00010023">
        <w:rPr>
          <w:rFonts w:ascii="Times New Roman" w:hAnsi="Times New Roman" w:cs="Times New Roman"/>
          <w:sz w:val="22"/>
          <w:szCs w:val="22"/>
        </w:rPr>
        <w:t>) – superando il precedente sistema articolato in cinque livelli, che includeva, anche la CIL (</w:t>
      </w:r>
      <w:r w:rsidRPr="00010023">
        <w:rPr>
          <w:rFonts w:ascii="Times New Roman" w:hAnsi="Times New Roman" w:cs="Times New Roman"/>
          <w:i/>
          <w:iCs/>
          <w:sz w:val="22"/>
          <w:szCs w:val="22"/>
        </w:rPr>
        <w:t>Comunicazione Inizio Lavori</w:t>
      </w:r>
      <w:r w:rsidRPr="00010023">
        <w:rPr>
          <w:rFonts w:ascii="Times New Roman" w:hAnsi="Times New Roman" w:cs="Times New Roman"/>
          <w:sz w:val="22"/>
          <w:szCs w:val="22"/>
        </w:rPr>
        <w:t>) e la DILA (</w:t>
      </w:r>
      <w:r w:rsidRPr="00010023">
        <w:rPr>
          <w:rFonts w:ascii="Times New Roman" w:hAnsi="Times New Roman" w:cs="Times New Roman"/>
          <w:i/>
          <w:iCs/>
          <w:sz w:val="22"/>
          <w:szCs w:val="22"/>
        </w:rPr>
        <w:t>Dichiarazione Inizio Lavori Asseverata</w:t>
      </w:r>
      <w:r w:rsidRPr="00010023">
        <w:rPr>
          <w:rFonts w:ascii="Times New Roman" w:hAnsi="Times New Roman" w:cs="Times New Roman"/>
          <w:sz w:val="22"/>
          <w:szCs w:val="22"/>
        </w:rPr>
        <w:t>) – per ciascuno dei quali è stato predisposto uno specifico allegato11, contenente la descrizione degli interventi (di nuova costruzione o di modifica di impianti – a seconda dei casi – già esistenti o comunque abilitati o autorizzati) che ne determinano l’ambito di applicazione; (ii) la revisione delle soglie di potenza per le valutazioni ambientali: sono state, infatti, modificate le soglie di potenza per l’applicazione delle procedure, regionali e statali, di VIA o di verifica di assoggettabilità alla stessa e l’introduzione della regola che gli interventi liberi o soggetti a regime semplificato (PAS) siano esclusi da tali procedure.</w:t>
      </w:r>
    </w:p>
  </w:footnote>
  <w:footnote w:id="109">
    <w:p w14:paraId="38F74137" w14:textId="25A2FF6A"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 progressivo decentramento amministrativo nel settore energetico, già prima della riforma del Titolo V della Costituzione, si vedano </w:t>
      </w:r>
      <w:bookmarkStart w:id="60" w:name="_Hlk233883932"/>
      <w:r w:rsidRPr="00010023">
        <w:rPr>
          <w:rFonts w:ascii="Times New Roman" w:hAnsi="Times New Roman" w:cs="Times New Roman"/>
          <w:sz w:val="22"/>
          <w:szCs w:val="22"/>
        </w:rPr>
        <w:t>R</w:t>
      </w:r>
      <w:bookmarkStart w:id="61" w:name="_Hlk233820922"/>
      <w:r w:rsidRPr="00010023">
        <w:rPr>
          <w:rFonts w:ascii="Times New Roman" w:hAnsi="Times New Roman" w:cs="Times New Roman"/>
          <w:sz w:val="22"/>
          <w:szCs w:val="22"/>
        </w:rPr>
        <w:t xml:space="preserve">. GALBIATI, G. VACIAGO, L.R. PERFETTI, </w:t>
      </w:r>
      <w:r w:rsidRPr="00010023">
        <w:rPr>
          <w:rFonts w:ascii="Times New Roman" w:hAnsi="Times New Roman" w:cs="Times New Roman"/>
          <w:i/>
          <w:iCs/>
          <w:sz w:val="22"/>
          <w:szCs w:val="22"/>
        </w:rPr>
        <w:t>Il governo dell'energia dal decentramento alla riforma costituzionale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Mercato concorrenza regole</w:t>
      </w:r>
      <w:r w:rsidRPr="00010023">
        <w:rPr>
          <w:rFonts w:ascii="Times New Roman" w:hAnsi="Times New Roman" w:cs="Times New Roman"/>
          <w:sz w:val="22"/>
          <w:szCs w:val="22"/>
        </w:rPr>
        <w:t xml:space="preserve">, 2002, 2, pp. 353 ss., spec. pp. 362 </w:t>
      </w:r>
      <w:bookmarkEnd w:id="60"/>
      <w:r w:rsidRPr="00010023">
        <w:rPr>
          <w:rFonts w:ascii="Times New Roman" w:hAnsi="Times New Roman" w:cs="Times New Roman"/>
          <w:sz w:val="22"/>
          <w:szCs w:val="22"/>
        </w:rPr>
        <w:t xml:space="preserve">ss. </w:t>
      </w:r>
      <w:bookmarkEnd w:id="61"/>
      <w:r w:rsidRPr="00010023">
        <w:rPr>
          <w:rFonts w:ascii="Times New Roman" w:hAnsi="Times New Roman" w:cs="Times New Roman"/>
          <w:sz w:val="22"/>
          <w:szCs w:val="22"/>
        </w:rPr>
        <w:t xml:space="preserve">Gli Autori individuano le principali tappe del processo nella l. 9 gennaio 1991, n. 9, e nella l. 9 gennaio 1991, n. 10, che inserirono stabilmente le Regioni nel Piano energetico nazionale, superando la loro originaria funzione di mera gestione dei contributi e attribuendo loro un ruolo di governo del settore; </w:t>
      </w:r>
      <w:bookmarkStart w:id="62" w:name="_Hlk233820947"/>
      <w:r w:rsidRPr="00010023">
        <w:rPr>
          <w:rFonts w:ascii="Times New Roman" w:hAnsi="Times New Roman" w:cs="Times New Roman"/>
          <w:sz w:val="22"/>
          <w:szCs w:val="22"/>
        </w:rPr>
        <w:t xml:space="preserve">nella l. 9 gennaio 1991, n. 10, e nella l. 29 maggio 1982, n. 308 (come modificata), che ampliarono le competenze regionali in materia di risparmio energetico e fonti rinnovabili; e, soprattutto, nella l. 15 marzo 1997, n. 59 (cd. legge Bassanini), </w:t>
      </w:r>
      <w:bookmarkEnd w:id="62"/>
      <w:r w:rsidRPr="00010023">
        <w:rPr>
          <w:rFonts w:ascii="Times New Roman" w:hAnsi="Times New Roman" w:cs="Times New Roman"/>
          <w:sz w:val="22"/>
          <w:szCs w:val="22"/>
        </w:rPr>
        <w:t>che avviò un più ampio processo di conferimento di funzioni amministrative alle Regioni e agli enti locali, pur in assenza di una competenza legislativa regionale espressamente prevista dall'allora art. 117 Costituzione.</w:t>
      </w:r>
    </w:p>
  </w:footnote>
  <w:footnote w:id="110">
    <w:p w14:paraId="4363843D" w14:textId="560E95C6" w:rsidR="00DF358B" w:rsidRPr="00010023" w:rsidRDefault="00DF358B" w:rsidP="00010023">
      <w:pPr>
        <w:pStyle w:val="Testonotaapidipagina"/>
        <w:spacing w:line="240" w:lineRule="exact"/>
        <w:contextualSpacing/>
        <w:jc w:val="both"/>
        <w:rPr>
          <w:rFonts w:ascii="Times New Roman" w:hAnsi="Times New Roman" w:cs="Times New Roman"/>
          <w:i/>
          <w:iCs/>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Il riferimento va, segnatamente, al co. 2 dell’art. 31, nella parte in cui stabilisce che «</w:t>
      </w:r>
      <w:r w:rsidRPr="00010023">
        <w:rPr>
          <w:rFonts w:ascii="Times New Roman" w:hAnsi="Times New Roman" w:cs="Times New Roman"/>
          <w:i/>
          <w:iCs/>
          <w:sz w:val="22"/>
          <w:szCs w:val="22"/>
        </w:rPr>
        <w:t>[…] c) i membri della comunità utilizzano la rete di distribuzione per condividere l'energia prodotta, anche ricorrendo a impianti di stoccaggio, con le medesime modalità stabilite per le comunità energetiche dei cittadini. L'energia può essere condivisa nell'ambito della stessa zona di mercato, ferma restando la sussistenza del requisito di connessione alla medesima cabina primaria per l'accesso agli incentivi di cui all'articolo 8, e alle restituzioni di cui all'articolo 32, comma 3, lettera a), secondo le modalità e alle condizioni ivi stabilite; d) gli impianti a fonti rinnovabili per la produzione di energia elettrica realizzati dalla comunità sono entrati in esercizio dopo la data di entrata in vigore del presente decreto legislativo, fermo restando la possibilità di adesione per impianti esistenti, sempre di produzione di energia elettrica rinnovabile, per una misura comunque non superiore al 30 per cento della potenza complessiva che fa capo alla comunità; e) i membri delle comunità possono accedere agli incentivi di cui al Titolo II alle condizioni e con le modalità ivi stabilite; f) nel rispetto delle finalità di cui al comma 1, lettera a), la comunità può produrre altre forme di energia da fonti rinnovabili finalizzate all'utilizzo da parte dei membri, può promuovere interventi integrati di domotica, interventi di efficienza energetica, nonché offrire servizi di ricarica dei veicoli elettrici ai propri membri e assumere il ruolo di società di vendita al dettaglio e può offrire servizi ancillari e di flessibilità</w:t>
      </w:r>
      <w:r w:rsidRPr="00010023">
        <w:rPr>
          <w:rFonts w:ascii="Times New Roman" w:hAnsi="Times New Roman" w:cs="Times New Roman"/>
          <w:sz w:val="22"/>
          <w:szCs w:val="22"/>
        </w:rPr>
        <w:t>…».</w:t>
      </w:r>
    </w:p>
  </w:footnote>
  <w:footnote w:id="111">
    <w:p w14:paraId="18260047" w14:textId="4B7B1FC9"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In particolare, l’art. 20 del citato decreto ha profondamente innovato il sistema previgente di localizzazione degli impianti alimentati da fonti rinnovabili, superando il modello delineato </w:t>
      </w:r>
      <w:bookmarkStart w:id="63" w:name="_Hlk233821001"/>
      <w:r w:rsidRPr="00010023">
        <w:rPr>
          <w:rFonts w:ascii="Times New Roman" w:hAnsi="Times New Roman" w:cs="Times New Roman"/>
          <w:sz w:val="22"/>
          <w:szCs w:val="22"/>
        </w:rPr>
        <w:t xml:space="preserve">dall'art. 12 del D.lgs. 29 dicembre 2003, n. 387. </w:t>
      </w:r>
      <w:bookmarkEnd w:id="63"/>
      <w:r w:rsidRPr="00010023">
        <w:rPr>
          <w:rFonts w:ascii="Times New Roman" w:hAnsi="Times New Roman" w:cs="Times New Roman"/>
          <w:sz w:val="22"/>
          <w:szCs w:val="22"/>
        </w:rPr>
        <w:t xml:space="preserve">La nuova disciplina, infatti, prevede un procedimento articolato su due livelli: in una prima fase, uno o più decreti del MASE, adottati di concerto con gli altri Ministri competenti e previa intesa in sede di Conferenza unificata, definiscono principi e criteri omogenei per l'individuazione delle aree idonee e non idonee; in una seconda fase, le Regioni, entro centottanta giorni dall'entrata in vigore dei decreti, provvedono con legge all'individuazione delle aree, nel rispetto dei criteri stabiliti a livello statale. In caso di inerzia o di mancato rispetto dei principi e degli obiettivi fissati dai decreti ministeriali, trova applicazione il potere sostitutivo dello Stato ai sensi dell'art. 41 della L. 24 dicembre 2012, n. 234. Si cfr. </w:t>
      </w:r>
      <w:bookmarkStart w:id="64" w:name="_Hlk233883971"/>
      <w:r w:rsidRPr="00010023">
        <w:rPr>
          <w:rFonts w:ascii="Times New Roman" w:hAnsi="Times New Roman" w:cs="Times New Roman"/>
          <w:sz w:val="22"/>
          <w:szCs w:val="22"/>
        </w:rPr>
        <w:t>N</w:t>
      </w:r>
      <w:bookmarkStart w:id="65" w:name="_Hlk233821062"/>
      <w:r w:rsidRPr="00010023">
        <w:rPr>
          <w:rFonts w:ascii="Times New Roman" w:hAnsi="Times New Roman" w:cs="Times New Roman"/>
          <w:sz w:val="22"/>
          <w:szCs w:val="22"/>
        </w:rPr>
        <w:t xml:space="preserve">. BERTI, A. BONAITI, </w:t>
      </w:r>
      <w:r w:rsidRPr="00010023">
        <w:rPr>
          <w:rFonts w:ascii="Times New Roman" w:hAnsi="Times New Roman" w:cs="Times New Roman"/>
          <w:i/>
          <w:iCs/>
          <w:sz w:val="22"/>
          <w:szCs w:val="22"/>
        </w:rPr>
        <w:t>Aspetti e problemi delle recenti riforme in tema di realizzazione degli impianti di produzione di energia da fonti rinnovabili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AmbienteDiritto.it</w:t>
      </w:r>
      <w:r w:rsidRPr="00010023">
        <w:rPr>
          <w:rFonts w:ascii="Times New Roman" w:hAnsi="Times New Roman" w:cs="Times New Roman"/>
          <w:sz w:val="22"/>
          <w:szCs w:val="22"/>
        </w:rPr>
        <w:t>, n. 1, 2023.</w:t>
      </w:r>
    </w:p>
    <w:bookmarkEnd w:id="64"/>
    <w:bookmarkEnd w:id="65"/>
  </w:footnote>
  <w:footnote w:id="112">
    <w:p w14:paraId="683E23C0" w14:textId="58E5B0B9"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Segnatamente, il citato art. 20 </w:t>
      </w:r>
      <w:r w:rsidRPr="00010023">
        <w:rPr>
          <w:rFonts w:ascii="Times New Roman" w:hAnsi="Times New Roman" w:cs="Times New Roman"/>
          <w:i/>
          <w:iCs/>
          <w:sz w:val="22"/>
          <w:szCs w:val="22"/>
        </w:rPr>
        <w:t xml:space="preserve">Disciplina per l'individuazione di superfici e aree idonee per l'installazione di impianti a fonti rinnovabili, </w:t>
      </w:r>
      <w:r w:rsidRPr="00010023">
        <w:rPr>
          <w:rFonts w:ascii="Times New Roman" w:hAnsi="Times New Roman" w:cs="Times New Roman"/>
          <w:sz w:val="22"/>
          <w:szCs w:val="22"/>
        </w:rPr>
        <w:t>stabiliva espressamente che «</w:t>
      </w:r>
      <w:r w:rsidRPr="00010023">
        <w:rPr>
          <w:rFonts w:ascii="Times New Roman" w:hAnsi="Times New Roman" w:cs="Times New Roman"/>
          <w:i/>
          <w:iCs/>
          <w:sz w:val="22"/>
          <w:szCs w:val="22"/>
        </w:rPr>
        <w:t xml:space="preserve">Con uno o </w:t>
      </w:r>
      <w:proofErr w:type="spellStart"/>
      <w:r w:rsidRPr="00010023">
        <w:rPr>
          <w:rFonts w:ascii="Times New Roman" w:hAnsi="Times New Roman" w:cs="Times New Roman"/>
          <w:i/>
          <w:iCs/>
          <w:sz w:val="22"/>
          <w:szCs w:val="22"/>
        </w:rPr>
        <w:t>piu'</w:t>
      </w:r>
      <w:proofErr w:type="spellEnd"/>
      <w:r w:rsidRPr="00010023">
        <w:rPr>
          <w:rFonts w:ascii="Times New Roman" w:hAnsi="Times New Roman" w:cs="Times New Roman"/>
          <w:i/>
          <w:iCs/>
          <w:sz w:val="22"/>
          <w:szCs w:val="22"/>
        </w:rPr>
        <w:t xml:space="preserve"> decreti del Ministro della transizione ecologica di concerto con il Ministro della cultura, e il Ministro delle politiche agricole, alimentari e forestali, previa intesa in sede di Conferenza unificata di cui all'articolo 8 del decreto legislativo 28 agosto 1997, n. 281, da adottare entro centottanta giorni dalla data di entrata in vigore del presente decreto, sono stabiliti principi e criteri omogenei per l'individuazione delle superfici e delle aree idonee e non idonee all'installazione di impianti a fonti rinnovabili aventi una potenza complessiva almeno pari a quella individuata come necessaria dal PNIEC per il raggiungimento degli obiettivi di sviluppo delle fonti rinnovabili. In via prioritaria, con i decreti di cui al presente comma si provvede a: a) dettare i criteri per l'individuazione delle aree idonee all'installazione della potenza eolica e fotovoltaica indicata nel PNIEC, stabilendo le </w:t>
      </w:r>
      <w:proofErr w:type="spellStart"/>
      <w:r w:rsidRPr="00010023">
        <w:rPr>
          <w:rFonts w:ascii="Times New Roman" w:hAnsi="Times New Roman" w:cs="Times New Roman"/>
          <w:i/>
          <w:iCs/>
          <w:sz w:val="22"/>
          <w:szCs w:val="22"/>
        </w:rPr>
        <w:t>modalita'</w:t>
      </w:r>
      <w:proofErr w:type="spellEnd"/>
      <w:r w:rsidRPr="00010023">
        <w:rPr>
          <w:rFonts w:ascii="Times New Roman" w:hAnsi="Times New Roman" w:cs="Times New Roman"/>
          <w:i/>
          <w:iCs/>
          <w:sz w:val="22"/>
          <w:szCs w:val="22"/>
        </w:rPr>
        <w:t xml:space="preserve"> per minimizzare il relativo impatto ambientale e la massima porzione di suolo occupabile dai suddetti impianti per </w:t>
      </w:r>
      <w:proofErr w:type="spellStart"/>
      <w:r w:rsidRPr="00010023">
        <w:rPr>
          <w:rFonts w:ascii="Times New Roman" w:hAnsi="Times New Roman" w:cs="Times New Roman"/>
          <w:i/>
          <w:iCs/>
          <w:sz w:val="22"/>
          <w:szCs w:val="22"/>
        </w:rPr>
        <w:t>unita'</w:t>
      </w:r>
      <w:proofErr w:type="spellEnd"/>
      <w:r w:rsidRPr="00010023">
        <w:rPr>
          <w:rFonts w:ascii="Times New Roman" w:hAnsi="Times New Roman" w:cs="Times New Roman"/>
          <w:i/>
          <w:iCs/>
          <w:sz w:val="22"/>
          <w:szCs w:val="22"/>
        </w:rPr>
        <w:t xml:space="preserve"> di superficie, </w:t>
      </w:r>
      <w:proofErr w:type="spellStart"/>
      <w:r w:rsidRPr="00010023">
        <w:rPr>
          <w:rFonts w:ascii="Times New Roman" w:hAnsi="Times New Roman" w:cs="Times New Roman"/>
          <w:i/>
          <w:iCs/>
          <w:sz w:val="22"/>
          <w:szCs w:val="22"/>
        </w:rPr>
        <w:t>nonche</w:t>
      </w:r>
      <w:proofErr w:type="spellEnd"/>
      <w:r w:rsidRPr="00010023">
        <w:rPr>
          <w:rFonts w:ascii="Times New Roman" w:hAnsi="Times New Roman" w:cs="Times New Roman"/>
          <w:i/>
          <w:iCs/>
          <w:sz w:val="22"/>
          <w:szCs w:val="22"/>
        </w:rPr>
        <w:t xml:space="preserve">' dagli impianti a fonti rinnovabili di produzione di energia elettrica </w:t>
      </w:r>
      <w:proofErr w:type="spellStart"/>
      <w:r w:rsidRPr="00010023">
        <w:rPr>
          <w:rFonts w:ascii="Times New Roman" w:hAnsi="Times New Roman" w:cs="Times New Roman"/>
          <w:i/>
          <w:iCs/>
          <w:sz w:val="22"/>
          <w:szCs w:val="22"/>
        </w:rPr>
        <w:t>gia'</w:t>
      </w:r>
      <w:proofErr w:type="spellEnd"/>
      <w:r w:rsidRPr="00010023">
        <w:rPr>
          <w:rFonts w:ascii="Times New Roman" w:hAnsi="Times New Roman" w:cs="Times New Roman"/>
          <w:i/>
          <w:iCs/>
          <w:sz w:val="22"/>
          <w:szCs w:val="22"/>
        </w:rPr>
        <w:t xml:space="preserve"> installati e le superfici tecnicamente disponibili; b) indicare le </w:t>
      </w:r>
      <w:proofErr w:type="spellStart"/>
      <w:r w:rsidRPr="00010023">
        <w:rPr>
          <w:rFonts w:ascii="Times New Roman" w:hAnsi="Times New Roman" w:cs="Times New Roman"/>
          <w:i/>
          <w:iCs/>
          <w:sz w:val="22"/>
          <w:szCs w:val="22"/>
        </w:rPr>
        <w:t>modalita'</w:t>
      </w:r>
      <w:proofErr w:type="spellEnd"/>
      <w:r w:rsidRPr="00010023">
        <w:rPr>
          <w:rFonts w:ascii="Times New Roman" w:hAnsi="Times New Roman" w:cs="Times New Roman"/>
          <w:i/>
          <w:iCs/>
          <w:sz w:val="22"/>
          <w:szCs w:val="22"/>
        </w:rPr>
        <w:t xml:space="preserve"> per individuare superfici, aree industriali dismesse e altre aree compromesse, aree abbandonate e marginali idonee alla installazione di impianti a fonti rinnovabili. 2. Ai fini del concreto raggiungimento degli obiettivi di sviluppo delle fonti rinnovabili previsti dal PNIEC, i decreti di cui al comma 1, stabiliscono </w:t>
      </w:r>
      <w:proofErr w:type="spellStart"/>
      <w:r w:rsidRPr="00010023">
        <w:rPr>
          <w:rFonts w:ascii="Times New Roman" w:hAnsi="Times New Roman" w:cs="Times New Roman"/>
          <w:i/>
          <w:iCs/>
          <w:sz w:val="22"/>
          <w:szCs w:val="22"/>
        </w:rPr>
        <w:t>altresi'</w:t>
      </w:r>
      <w:proofErr w:type="spellEnd"/>
      <w:r w:rsidRPr="00010023">
        <w:rPr>
          <w:rFonts w:ascii="Times New Roman" w:hAnsi="Times New Roman" w:cs="Times New Roman"/>
          <w:i/>
          <w:iCs/>
          <w:sz w:val="22"/>
          <w:szCs w:val="22"/>
        </w:rPr>
        <w:t xml:space="preserve"> la ripartizione della potenza installata fra Regioni e Province autonome, prevedendo sistemi di monitoraggio sul corretto adempimento degli impegni assunti e criteri per il trasferimento statistico fra le medesime Regioni e Province autonome, da effettuare secondo le regole generali di cui all'Allegato I, fermo restando che il trasferimento statistico non </w:t>
      </w:r>
      <w:proofErr w:type="spellStart"/>
      <w:r w:rsidRPr="00010023">
        <w:rPr>
          <w:rFonts w:ascii="Times New Roman" w:hAnsi="Times New Roman" w:cs="Times New Roman"/>
          <w:i/>
          <w:iCs/>
          <w:sz w:val="22"/>
          <w:szCs w:val="22"/>
        </w:rPr>
        <w:t>puo'</w:t>
      </w:r>
      <w:proofErr w:type="spellEnd"/>
      <w:r w:rsidRPr="00010023">
        <w:rPr>
          <w:rFonts w:ascii="Times New Roman" w:hAnsi="Times New Roman" w:cs="Times New Roman"/>
          <w:i/>
          <w:iCs/>
          <w:sz w:val="22"/>
          <w:szCs w:val="22"/>
        </w:rPr>
        <w:t xml:space="preserve"> pregiudicare il conseguimento dell'obiettivo della Regione o della Provincia autonoma che effettua il trasferimento. 3. Ai sensi dell'articolo 5, comma 1, lettere a) e b), della legge 22 aprile 2021, n. 53, nella definizione della disciplina inerente le aree idonee, i decreti di cui al comma 1, tengono conto delle esigenze di tutela del patrimonio culturale e del paesaggio, delle aree agricole e forestali, della </w:t>
      </w:r>
      <w:proofErr w:type="spellStart"/>
      <w:r w:rsidRPr="00010023">
        <w:rPr>
          <w:rFonts w:ascii="Times New Roman" w:hAnsi="Times New Roman" w:cs="Times New Roman"/>
          <w:i/>
          <w:iCs/>
          <w:sz w:val="22"/>
          <w:szCs w:val="22"/>
        </w:rPr>
        <w:t>qualita'</w:t>
      </w:r>
      <w:proofErr w:type="spellEnd"/>
      <w:r w:rsidRPr="00010023">
        <w:rPr>
          <w:rFonts w:ascii="Times New Roman" w:hAnsi="Times New Roman" w:cs="Times New Roman"/>
          <w:i/>
          <w:iCs/>
          <w:sz w:val="22"/>
          <w:szCs w:val="22"/>
        </w:rPr>
        <w:t xml:space="preserve"> dell'aria e dei corpi idrici, privilegiando l'utilizzo di superfici di strutture edificate, quali capannoni industriali e parcheggi, e verificando </w:t>
      </w:r>
      <w:proofErr w:type="spellStart"/>
      <w:r w:rsidRPr="00010023">
        <w:rPr>
          <w:rFonts w:ascii="Times New Roman" w:hAnsi="Times New Roman" w:cs="Times New Roman"/>
          <w:i/>
          <w:iCs/>
          <w:sz w:val="22"/>
          <w:szCs w:val="22"/>
        </w:rPr>
        <w:t>l'idoneita'</w:t>
      </w:r>
      <w:proofErr w:type="spellEnd"/>
      <w:r w:rsidRPr="00010023">
        <w:rPr>
          <w:rFonts w:ascii="Times New Roman" w:hAnsi="Times New Roman" w:cs="Times New Roman"/>
          <w:i/>
          <w:iCs/>
          <w:sz w:val="22"/>
          <w:szCs w:val="22"/>
        </w:rPr>
        <w:t xml:space="preserve"> di aree non utilizzabili per altri scopi, ivi incluse le superfici agricole non utilizzabili, compatibilmente con le caratteristiche e le </w:t>
      </w:r>
      <w:proofErr w:type="spellStart"/>
      <w:r w:rsidRPr="00010023">
        <w:rPr>
          <w:rFonts w:ascii="Times New Roman" w:hAnsi="Times New Roman" w:cs="Times New Roman"/>
          <w:i/>
          <w:iCs/>
          <w:sz w:val="22"/>
          <w:szCs w:val="22"/>
        </w:rPr>
        <w:t>disponibilita'</w:t>
      </w:r>
      <w:proofErr w:type="spellEnd"/>
      <w:r w:rsidRPr="00010023">
        <w:rPr>
          <w:rFonts w:ascii="Times New Roman" w:hAnsi="Times New Roman" w:cs="Times New Roman"/>
          <w:i/>
          <w:iCs/>
          <w:sz w:val="22"/>
          <w:szCs w:val="22"/>
        </w:rPr>
        <w:t xml:space="preserve"> delle risorse rinnovabili, delle infrastrutture di rete e della domanda elettrica, </w:t>
      </w:r>
      <w:proofErr w:type="spellStart"/>
      <w:r w:rsidRPr="00010023">
        <w:rPr>
          <w:rFonts w:ascii="Times New Roman" w:hAnsi="Times New Roman" w:cs="Times New Roman"/>
          <w:i/>
          <w:iCs/>
          <w:sz w:val="22"/>
          <w:szCs w:val="22"/>
        </w:rPr>
        <w:t>nonche</w:t>
      </w:r>
      <w:proofErr w:type="spellEnd"/>
      <w:r w:rsidRPr="00010023">
        <w:rPr>
          <w:rFonts w:ascii="Times New Roman" w:hAnsi="Times New Roman" w:cs="Times New Roman"/>
          <w:i/>
          <w:iCs/>
          <w:sz w:val="22"/>
          <w:szCs w:val="22"/>
        </w:rPr>
        <w:t xml:space="preserve">' tenendo in considerazione la dislocazione della domanda, gli eventuali vincoli di rete e il potenziale di sviluppo della rete stessa. 4. Conformemente ai principi e criteri stabiliti dai decreti di cui al comma 1, entro centottanta giorni dalla data di entrata in vigore dei medesimi decreti, le Regioni individuano con legge le aree idonee, anche con il supporto della piattaforma di cui all'articolo 21. Nel caso di mancata adozione della legge di cui al periodo precedente, ovvero di mancata ottemperanza ai principi, ai criteri e agli obiettivi stabiliti dai decreti di cui al comma 1, si applica l'articolo 41 della legge 24 dicembre 2012, n. 234. Le Province autonome provvedono al processo programmatorio di individuazione delle aree idonee ai sensi dello Statuto speciale e delle relative norme di attuazione. 5. In sede di individuazione delle superfici e delle aree idonee per l'installazione di impianti a fonti rinnovabili sono rispettati i principi della minimizzazione degli impatti sull'ambiente, sul territorio, sul patrimonio culturale e sul paesaggio, fermo restando il vincolo del raggiungimento degli obiettivi di decarbonizzazione al 2030 e tenendo conto della </w:t>
      </w:r>
      <w:proofErr w:type="spellStart"/>
      <w:r w:rsidRPr="00010023">
        <w:rPr>
          <w:rFonts w:ascii="Times New Roman" w:hAnsi="Times New Roman" w:cs="Times New Roman"/>
          <w:i/>
          <w:iCs/>
          <w:sz w:val="22"/>
          <w:szCs w:val="22"/>
        </w:rPr>
        <w:t>sostenibilita'</w:t>
      </w:r>
      <w:proofErr w:type="spellEnd"/>
      <w:r w:rsidRPr="00010023">
        <w:rPr>
          <w:rFonts w:ascii="Times New Roman" w:hAnsi="Times New Roman" w:cs="Times New Roman"/>
          <w:i/>
          <w:iCs/>
          <w:sz w:val="22"/>
          <w:szCs w:val="22"/>
        </w:rPr>
        <w:t xml:space="preserve"> dei costi correlati al raggiungimento di tale obiettivo. 6. Nelle more dell'individuazione delle aree idonee, non possono essere disposte moratorie ovvero sospensioni dei termini dei procedimenti di autorizzazione. 7. Le aree non incluse tra le aree idonee non possono essere dichiarate non idonee all'installazione di impianti di produzione di energia rinnovabile, in sede di pianificazione territoriale ovvero nell'ambito di singoli procedimenti, in ragione della sola mancata inclusione nel novero delle aree idonee. 8. Nelle more dell'individuazione delle aree idonee sulla base dei criteri e delle </w:t>
      </w:r>
      <w:proofErr w:type="spellStart"/>
      <w:r w:rsidRPr="00010023">
        <w:rPr>
          <w:rFonts w:ascii="Times New Roman" w:hAnsi="Times New Roman" w:cs="Times New Roman"/>
          <w:i/>
          <w:iCs/>
          <w:sz w:val="22"/>
          <w:szCs w:val="22"/>
        </w:rPr>
        <w:t>modalita'</w:t>
      </w:r>
      <w:proofErr w:type="spellEnd"/>
      <w:r w:rsidRPr="00010023">
        <w:rPr>
          <w:rFonts w:ascii="Times New Roman" w:hAnsi="Times New Roman" w:cs="Times New Roman"/>
          <w:i/>
          <w:iCs/>
          <w:sz w:val="22"/>
          <w:szCs w:val="22"/>
        </w:rPr>
        <w:t xml:space="preserve"> stabiliti dai decreti di cui al comma 1, sono considerate aree idonee, ai fini di cui al comma 1 del presente articolo: a) i siti ove sono </w:t>
      </w:r>
      <w:proofErr w:type="spellStart"/>
      <w:r w:rsidRPr="00010023">
        <w:rPr>
          <w:rFonts w:ascii="Times New Roman" w:hAnsi="Times New Roman" w:cs="Times New Roman"/>
          <w:i/>
          <w:iCs/>
          <w:sz w:val="22"/>
          <w:szCs w:val="22"/>
        </w:rPr>
        <w:t>gia'</w:t>
      </w:r>
      <w:proofErr w:type="spellEnd"/>
      <w:r w:rsidRPr="00010023">
        <w:rPr>
          <w:rFonts w:ascii="Times New Roman" w:hAnsi="Times New Roman" w:cs="Times New Roman"/>
          <w:i/>
          <w:iCs/>
          <w:sz w:val="22"/>
          <w:szCs w:val="22"/>
        </w:rPr>
        <w:t xml:space="preserve"> installati impianti della stessa fonte e in cui vengono realizzati interventi di modifica non sostanziale ai sensi dell'articolo 5, commi 3 e seguenti, del decreto legislativo 3 marzo 2011 n. 28; b) le aree dei siti oggetto di bonifica individuate ai sensi del Titolo V, Parte quarta, del decreto legislativo 3 aprile 2006, n. 152; c) le cave e miniere cessate, non recuperate o abbandonate o in condizioni di degrado ambientale</w:t>
      </w:r>
      <w:r w:rsidRPr="00010023">
        <w:rPr>
          <w:rFonts w:ascii="Times New Roman" w:hAnsi="Times New Roman" w:cs="Times New Roman"/>
          <w:sz w:val="22"/>
          <w:szCs w:val="22"/>
        </w:rPr>
        <w:t>».</w:t>
      </w:r>
    </w:p>
  </w:footnote>
  <w:footnote w:id="113">
    <w:p w14:paraId="6D0EE162"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dottrina ha evidenziato come il nuovo modello persegua una logica di pianificazione anticipata, spostando il bilanciamento tra gli interessi coinvolti – energetici, ambientali, paesaggistici e territoriali – dalla fase di autorizzazione del singolo impianto a quella, preventiva e generale, dell'individuazione delle aree idonee. In tale prospettiva, la definizione preventiva delle aree suscettibili di ospitare impianti FER consente di concentrare la valutazione degli interessi pubblici in sede programmatoria, riducendo il contenzioso e favorendo procedure autorizzative più rapide e prevedibili per gli interventi localizzati nelle aree previamente individuate. Sul punto, si v. </w:t>
      </w:r>
      <w:bookmarkStart w:id="66" w:name="_Hlk233821081"/>
      <w:r w:rsidRPr="00A214EF">
        <w:rPr>
          <w:rFonts w:ascii="Times New Roman" w:hAnsi="Times New Roman" w:cs="Times New Roman"/>
          <w:sz w:val="22"/>
          <w:szCs w:val="22"/>
        </w:rPr>
        <w:t>AROZZI REGGIANI</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Il principio di massima diffusione delle energie rinnovabili e il bilanciamento tra valori costituzionalmente rilevanti nella disciplina delle c.d. “aree idonee”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giuridica dell’ambiente</w:t>
      </w:r>
      <w:r w:rsidRPr="00010023">
        <w:rPr>
          <w:rFonts w:ascii="Times New Roman" w:hAnsi="Times New Roman" w:cs="Times New Roman"/>
          <w:sz w:val="22"/>
          <w:szCs w:val="22"/>
        </w:rPr>
        <w:t xml:space="preserve">, n. 3, 2022, pp. 597 ss. </w:t>
      </w:r>
    </w:p>
    <w:bookmarkEnd w:id="66"/>
  </w:footnote>
  <w:footnote w:id="114">
    <w:p w14:paraId="2BE36A36" w14:textId="15768531"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Il comma 7 dell'art. 20 stabilisce inoltre che le aree non ricomprese tra quelle idonee non possono essere qualificate come non idonee alla realizzazione di impianti da fonti rinnovabili, né in sede di pianificazione territoriale né nell'ambito dei singoli procedimenti, per la sola ragione della mancata inclusione nel perimetro delle aree idonee. In tale direzione si è espressa anche la Corte costituzionale, che ha chiarito come l'esclusione dalle aree idonee non comporti una preclusione assoluta all'installazione degli impianti, restando ferma la sottoposizione degli stessi al procedimento autorizzatorio ordinario di cui all'art. 12, comma 3, del d.lgs. n. 387/2003 (</w:t>
      </w:r>
      <w:bookmarkStart w:id="67" w:name="_Hlk233821140"/>
      <w:r w:rsidRPr="00010023">
        <w:rPr>
          <w:rFonts w:ascii="Times New Roman" w:hAnsi="Times New Roman" w:cs="Times New Roman"/>
          <w:sz w:val="22"/>
          <w:szCs w:val="22"/>
        </w:rPr>
        <w:t>Corte cost., 7 giugno 2024, n. 103</w:t>
      </w:r>
      <w:bookmarkEnd w:id="67"/>
      <w:r w:rsidRPr="00010023">
        <w:rPr>
          <w:rFonts w:ascii="Times New Roman" w:hAnsi="Times New Roman" w:cs="Times New Roman"/>
          <w:sz w:val="22"/>
          <w:szCs w:val="22"/>
        </w:rPr>
        <w:t>).</w:t>
      </w:r>
    </w:p>
  </w:footnote>
  <w:footnote w:id="115">
    <w:p w14:paraId="2534AA76" w14:textId="79ED4CC9"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Il legislatore è successivamente intervenuto più volte in materia, sia individuando talune aree come «idonee di diritto», sia modificando l'art. 20 del d.lgs. n. 199/2021. In particolare, l'art. 5, comma 1, del </w:t>
      </w:r>
      <w:bookmarkStart w:id="68" w:name="_Hlk233821161"/>
      <w:proofErr w:type="spellStart"/>
      <w:r w:rsidRPr="00010023">
        <w:rPr>
          <w:rFonts w:ascii="Times New Roman" w:hAnsi="Times New Roman" w:cs="Times New Roman"/>
          <w:sz w:val="22"/>
          <w:szCs w:val="22"/>
        </w:rPr>
        <w:t>d.l.</w:t>
      </w:r>
      <w:proofErr w:type="spellEnd"/>
      <w:r w:rsidRPr="00010023">
        <w:rPr>
          <w:rFonts w:ascii="Times New Roman" w:hAnsi="Times New Roman" w:cs="Times New Roman"/>
          <w:sz w:val="22"/>
          <w:szCs w:val="22"/>
        </w:rPr>
        <w:t xml:space="preserve"> 15 maggio 2024, n. 63 </w:t>
      </w:r>
      <w:bookmarkEnd w:id="68"/>
      <w:r w:rsidRPr="00010023">
        <w:rPr>
          <w:rFonts w:ascii="Times New Roman" w:hAnsi="Times New Roman" w:cs="Times New Roman"/>
          <w:sz w:val="22"/>
          <w:szCs w:val="22"/>
        </w:rPr>
        <w:t>ha introdotto il comma 1-bis, che pone specifiche limitazioni all'installazione di impianti fotovoltaici con moduli collocati a terra in zone classificate agricole dagli strumenti urbanistici vigenti. La disposizione impone, infatti, di privilegiare l'utilizzo di superfici già edificate o infrastrutturate, quali capannoni industriali e parcheggi, nonché di aree a destinazione industriale, artigianale, per servizi e logistica, prevedendo altresì la possibilità di impiegare aree non diversamente utilizzabili, incluse le superfici agricole inutilizzabili, in funzione delle caratteristiche delle risorse rinnovabili disponibili, delle infrastrutture di rete e della domanda elettrica, nonché tenendo conto della localizzazione dei consumi, dei vincoli di rete e delle prospettive di sviluppo infrastrutturale.</w:t>
      </w:r>
    </w:p>
  </w:footnote>
  <w:footnote w:id="116">
    <w:p w14:paraId="592FAAFC"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Principio desunto dall’interpretazione dell’art. 97 Cost. e progressivamente elaborato dalla giurisprudenza costituzionale a partire da </w:t>
      </w:r>
      <w:bookmarkStart w:id="69" w:name="_Hlk233821202"/>
      <w:r w:rsidRPr="00010023">
        <w:rPr>
          <w:rFonts w:ascii="Times New Roman" w:hAnsi="Times New Roman" w:cs="Times New Roman"/>
          <w:sz w:val="22"/>
          <w:szCs w:val="22"/>
        </w:rPr>
        <w:t xml:space="preserve">Corte cost., 5 aprile 2018, n. 69, cui hanno fatto seguito </w:t>
      </w:r>
      <w:bookmarkStart w:id="70" w:name="_Hlk233884058"/>
      <w:r w:rsidRPr="00010023">
        <w:rPr>
          <w:rFonts w:ascii="Times New Roman" w:hAnsi="Times New Roman" w:cs="Times New Roman"/>
          <w:sz w:val="22"/>
          <w:szCs w:val="22"/>
        </w:rPr>
        <w:t>Corte cost., 28 febbraio 2019, n. 28; Corte cost., 23 giugno 2020, n. 116; Corte cost., 7 luglio 2021, n. 177; Corte cost., 13 maggio 2022, n. 121; e Corte cost., 13 settembre 2022, n. 221.</w:t>
      </w:r>
      <w:bookmarkEnd w:id="69"/>
      <w:r w:rsidRPr="00010023">
        <w:rPr>
          <w:rFonts w:ascii="Times New Roman" w:hAnsi="Times New Roman" w:cs="Times New Roman"/>
          <w:sz w:val="22"/>
          <w:szCs w:val="22"/>
        </w:rPr>
        <w:t xml:space="preserve"> Si v. in dottrina, cfr. </w:t>
      </w:r>
      <w:bookmarkStart w:id="71" w:name="_Hlk233821240"/>
      <w:r w:rsidRPr="00010023">
        <w:rPr>
          <w:rFonts w:ascii="Times New Roman" w:hAnsi="Times New Roman" w:cs="Times New Roman"/>
          <w:sz w:val="22"/>
          <w:szCs w:val="22"/>
        </w:rPr>
        <w:t xml:space="preserve">G. MORBIDELLI, </w:t>
      </w:r>
      <w:r w:rsidRPr="00010023">
        <w:rPr>
          <w:rFonts w:ascii="Times New Roman" w:hAnsi="Times New Roman" w:cs="Times New Roman"/>
          <w:i/>
          <w:iCs/>
          <w:sz w:val="22"/>
          <w:szCs w:val="22"/>
        </w:rPr>
        <w:t>Note sulla riserva di procedimento amministrativo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Studi in memoria di F. Piga</w:t>
      </w:r>
      <w:r w:rsidRPr="00010023">
        <w:rPr>
          <w:rFonts w:ascii="Times New Roman" w:hAnsi="Times New Roman" w:cs="Times New Roman"/>
          <w:sz w:val="22"/>
          <w:szCs w:val="22"/>
        </w:rPr>
        <w:t xml:space="preserve">, Vol. I, Giuffrè, Milano, 1992; M.R. SPASIANO, </w:t>
      </w:r>
      <w:r w:rsidRPr="00010023">
        <w:rPr>
          <w:rFonts w:ascii="Times New Roman" w:hAnsi="Times New Roman" w:cs="Times New Roman"/>
          <w:i/>
          <w:iCs/>
          <w:sz w:val="22"/>
          <w:szCs w:val="22"/>
        </w:rPr>
        <w:t>La partecipazione al procedimento amministrativo quale fonte di legittimazione dell’esercizio del potere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amministrativo</w:t>
      </w:r>
      <w:r w:rsidRPr="00010023">
        <w:rPr>
          <w:rFonts w:ascii="Times New Roman" w:hAnsi="Times New Roman" w:cs="Times New Roman"/>
          <w:sz w:val="22"/>
          <w:szCs w:val="22"/>
        </w:rPr>
        <w:t xml:space="preserve">, 2002; A. ROMANO TASSONE, </w:t>
      </w:r>
      <w:r w:rsidRPr="00010023">
        <w:rPr>
          <w:rFonts w:ascii="Times New Roman" w:hAnsi="Times New Roman" w:cs="Times New Roman"/>
          <w:i/>
          <w:iCs/>
          <w:sz w:val="22"/>
          <w:szCs w:val="22"/>
        </w:rPr>
        <w:t>Sui rapporti tra legittimazione politica e regime giuridico degli atti dei pubblici poteri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e processo amministrativo</w:t>
      </w:r>
      <w:r w:rsidRPr="00010023">
        <w:rPr>
          <w:rFonts w:ascii="Times New Roman" w:hAnsi="Times New Roman" w:cs="Times New Roman"/>
          <w:sz w:val="22"/>
          <w:szCs w:val="22"/>
        </w:rPr>
        <w:t>, n. 1, 2007;</w:t>
      </w:r>
      <w:r w:rsidRPr="00010023">
        <w:rPr>
          <w:rFonts w:ascii="Times New Roman" w:eastAsiaTheme="minorHAnsi" w:hAnsi="Times New Roman" w:cs="Times New Roman"/>
          <w:sz w:val="22"/>
          <w:szCs w:val="22"/>
          <w:lang w:eastAsia="en-US"/>
        </w:rPr>
        <w:t xml:space="preserve"> </w:t>
      </w:r>
      <w:r w:rsidRPr="00010023">
        <w:rPr>
          <w:rFonts w:ascii="Times New Roman" w:hAnsi="Times New Roman" w:cs="Times New Roman"/>
          <w:sz w:val="22"/>
          <w:szCs w:val="22"/>
        </w:rPr>
        <w:t xml:space="preserve">L. CUOCOLO, </w:t>
      </w:r>
      <w:r w:rsidRPr="00010023">
        <w:rPr>
          <w:rFonts w:ascii="Times New Roman" w:hAnsi="Times New Roman" w:cs="Times New Roman"/>
          <w:i/>
          <w:iCs/>
          <w:sz w:val="22"/>
          <w:szCs w:val="22"/>
        </w:rPr>
        <w:t>Le energie rinnovabili tra Stato e Regioni. Un equilibrio instabile tra mercato, autonomia e ambiente</w:t>
      </w:r>
      <w:r w:rsidRPr="00010023">
        <w:rPr>
          <w:rFonts w:ascii="Times New Roman" w:hAnsi="Times New Roman" w:cs="Times New Roman"/>
          <w:sz w:val="22"/>
          <w:szCs w:val="22"/>
        </w:rPr>
        <w:t>, Giuffrè, Milano, 2011;</w:t>
      </w:r>
      <w:r w:rsidRPr="00010023">
        <w:rPr>
          <w:rFonts w:ascii="Times New Roman" w:eastAsiaTheme="minorHAnsi" w:hAnsi="Times New Roman" w:cs="Times New Roman"/>
          <w:sz w:val="22"/>
          <w:szCs w:val="22"/>
          <w:lang w:eastAsia="en-US"/>
        </w:rPr>
        <w:t xml:space="preserve"> </w:t>
      </w:r>
      <w:r w:rsidRPr="00010023">
        <w:rPr>
          <w:rFonts w:ascii="Times New Roman" w:hAnsi="Times New Roman" w:cs="Times New Roman"/>
          <w:sz w:val="22"/>
          <w:szCs w:val="22"/>
        </w:rPr>
        <w:t xml:space="preserve">G. COZZOLINO, </w:t>
      </w:r>
      <w:r w:rsidRPr="00010023">
        <w:rPr>
          <w:rFonts w:ascii="Times New Roman" w:hAnsi="Times New Roman" w:cs="Times New Roman"/>
          <w:i/>
          <w:iCs/>
          <w:sz w:val="22"/>
          <w:szCs w:val="22"/>
        </w:rPr>
        <w:t>Natura giuridica delle linee guida per l’autorizzazione degli impianti alimentati da fonti rinnovabili e</w:t>
      </w:r>
      <w:r w:rsidRPr="00010023">
        <w:rPr>
          <w:rFonts w:ascii="Times New Roman" w:eastAsia="Times New Roman" w:hAnsi="Times New Roman" w:cs="Times New Roman"/>
          <w:sz w:val="22"/>
          <w:szCs w:val="22"/>
        </w:rPr>
        <w:t xml:space="preserve"> </w:t>
      </w:r>
      <w:r w:rsidRPr="00010023">
        <w:rPr>
          <w:rFonts w:ascii="Times New Roman" w:hAnsi="Times New Roman" w:cs="Times New Roman"/>
          <w:i/>
          <w:iCs/>
          <w:sz w:val="22"/>
          <w:szCs w:val="22"/>
        </w:rPr>
        <w:t>«ripensamento del parametro del giudizio di costituzionalità (Note a margine della sentenza 27 gennaio 2014, n. 11 della corte costituzionale)»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Amministrazione in Cammino</w:t>
      </w:r>
      <w:r w:rsidRPr="00010023">
        <w:rPr>
          <w:rFonts w:ascii="Times New Roman" w:hAnsi="Times New Roman" w:cs="Times New Roman"/>
          <w:sz w:val="22"/>
          <w:szCs w:val="22"/>
        </w:rPr>
        <w:t>, 2014.</w:t>
      </w:r>
    </w:p>
    <w:p w14:paraId="097AC032" w14:textId="3CC6E01F"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 xml:space="preserve">In particolare, V. CERULLI IRELLI, </w:t>
      </w:r>
      <w:r w:rsidRPr="00010023">
        <w:rPr>
          <w:rFonts w:ascii="Times New Roman" w:hAnsi="Times New Roman" w:cs="Times New Roman"/>
          <w:i/>
          <w:iCs/>
          <w:sz w:val="22"/>
          <w:szCs w:val="22"/>
        </w:rPr>
        <w:t>Per uno statuto costituzionale sulla pubblica amministrazione (da alcune sentenze costituzionali del Presidente Coraggio)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Italiana di Diritto Pubblico Comunitario</w:t>
      </w:r>
      <w:r w:rsidRPr="00010023">
        <w:rPr>
          <w:rFonts w:ascii="Times New Roman" w:hAnsi="Times New Roman" w:cs="Times New Roman"/>
          <w:sz w:val="22"/>
          <w:szCs w:val="22"/>
        </w:rPr>
        <w:t xml:space="preserve">, </w:t>
      </w:r>
      <w:proofErr w:type="spellStart"/>
      <w:r w:rsidRPr="00010023">
        <w:rPr>
          <w:rFonts w:ascii="Times New Roman" w:hAnsi="Times New Roman" w:cs="Times New Roman"/>
          <w:sz w:val="22"/>
          <w:szCs w:val="22"/>
        </w:rPr>
        <w:t>nn</w:t>
      </w:r>
      <w:proofErr w:type="spellEnd"/>
      <w:r w:rsidRPr="00010023">
        <w:rPr>
          <w:rFonts w:ascii="Times New Roman" w:hAnsi="Times New Roman" w:cs="Times New Roman"/>
          <w:sz w:val="22"/>
          <w:szCs w:val="22"/>
        </w:rPr>
        <w:t xml:space="preserve">. 2-3, 2022; ora anche in </w:t>
      </w:r>
      <w:r w:rsidRPr="00010023">
        <w:rPr>
          <w:rFonts w:ascii="Times New Roman" w:hAnsi="Times New Roman" w:cs="Times New Roman"/>
          <w:i/>
          <w:iCs/>
          <w:sz w:val="22"/>
          <w:szCs w:val="22"/>
        </w:rPr>
        <w:t>Costituzione e amministrazione</w:t>
      </w:r>
      <w:r w:rsidRPr="00010023">
        <w:rPr>
          <w:rFonts w:ascii="Times New Roman" w:hAnsi="Times New Roman" w:cs="Times New Roman"/>
          <w:sz w:val="22"/>
          <w:szCs w:val="22"/>
        </w:rPr>
        <w:t>, Saggi II, Giappichelli, Torino, 2024</w:t>
      </w:r>
      <w:bookmarkEnd w:id="71"/>
      <w:r w:rsidRPr="00010023">
        <w:rPr>
          <w:rFonts w:ascii="Times New Roman" w:hAnsi="Times New Roman" w:cs="Times New Roman"/>
          <w:sz w:val="22"/>
          <w:szCs w:val="22"/>
        </w:rPr>
        <w:t xml:space="preserve">, </w:t>
      </w:r>
      <w:bookmarkEnd w:id="70"/>
      <w:r w:rsidRPr="00010023">
        <w:rPr>
          <w:rFonts w:ascii="Times New Roman" w:hAnsi="Times New Roman" w:cs="Times New Roman"/>
          <w:sz w:val="22"/>
          <w:szCs w:val="22"/>
        </w:rPr>
        <w:t>attribuisce particolare rilievo alla sentenza n. 116 del 2020, osservando come essa rivesta un valore sistematico maggiore rispetto alla precedente n. 69 del 2018, poiché investe direttamente una legge statale, mentre quest'ultima, pur affermando con chiarezza i principi in materia, avrebbe potuto essere letta nell'ambito del sindacato sui limiti della legislazione regionale rispetto ai principi fondamentali stabiliti dalla legge statale.</w:t>
      </w:r>
    </w:p>
  </w:footnote>
  <w:footnote w:id="117">
    <w:p w14:paraId="35F99B66" w14:textId="7EC3236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Si cfr. V. CRISAFULLI, </w:t>
      </w:r>
      <w:r w:rsidRPr="00010023">
        <w:rPr>
          <w:rFonts w:ascii="Times New Roman" w:hAnsi="Times New Roman" w:cs="Times New Roman"/>
          <w:i/>
          <w:iCs/>
          <w:sz w:val="22"/>
          <w:szCs w:val="22"/>
        </w:rPr>
        <w:t>Principio di legalità e giusto procedimento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Giurisprudenza Costituzionale</w:t>
      </w:r>
      <w:r w:rsidRPr="00010023">
        <w:rPr>
          <w:rFonts w:ascii="Times New Roman" w:hAnsi="Times New Roman" w:cs="Times New Roman"/>
          <w:sz w:val="22"/>
          <w:szCs w:val="22"/>
        </w:rPr>
        <w:t xml:space="preserve">, 1962; M. NIGRO, </w:t>
      </w:r>
      <w:r w:rsidRPr="00010023">
        <w:rPr>
          <w:rFonts w:ascii="Times New Roman" w:hAnsi="Times New Roman" w:cs="Times New Roman"/>
          <w:i/>
          <w:iCs/>
          <w:sz w:val="22"/>
          <w:szCs w:val="22"/>
        </w:rPr>
        <w:t>Studi sulla funzione organizzativa della pubblica amministrazione</w:t>
      </w:r>
      <w:r w:rsidRPr="00010023">
        <w:rPr>
          <w:rFonts w:ascii="Times New Roman" w:hAnsi="Times New Roman" w:cs="Times New Roman"/>
          <w:sz w:val="22"/>
          <w:szCs w:val="22"/>
        </w:rPr>
        <w:t xml:space="preserve">, Giuffrè, 1966; L. PALADIN, </w:t>
      </w:r>
      <w:r w:rsidRPr="00010023">
        <w:rPr>
          <w:rFonts w:ascii="Times New Roman" w:hAnsi="Times New Roman" w:cs="Times New Roman"/>
          <w:i/>
          <w:iCs/>
          <w:sz w:val="22"/>
          <w:szCs w:val="22"/>
        </w:rPr>
        <w:t>Legge come norma e come provvedimento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Giurisprudenza Costituzionale</w:t>
      </w:r>
      <w:r w:rsidRPr="00010023">
        <w:rPr>
          <w:rFonts w:ascii="Times New Roman" w:hAnsi="Times New Roman" w:cs="Times New Roman"/>
          <w:sz w:val="22"/>
          <w:szCs w:val="22"/>
        </w:rPr>
        <w:t>, 1969; G. SCIULLO, «Il principio del “giusto procedimento” fra giudice costituzionale e giudice amministrativo», </w:t>
      </w:r>
      <w:r w:rsidRPr="00010023">
        <w:rPr>
          <w:rFonts w:ascii="Times New Roman" w:hAnsi="Times New Roman" w:cs="Times New Roman"/>
          <w:i/>
          <w:iCs/>
          <w:sz w:val="22"/>
          <w:szCs w:val="22"/>
        </w:rPr>
        <w:t>Jus</w:t>
      </w:r>
      <w:r w:rsidRPr="00010023">
        <w:rPr>
          <w:rFonts w:ascii="Times New Roman" w:hAnsi="Times New Roman" w:cs="Times New Roman"/>
          <w:sz w:val="22"/>
          <w:szCs w:val="22"/>
        </w:rPr>
        <w:t xml:space="preserve">, 1986, n. 3; G. ROEHRSSEN, </w:t>
      </w:r>
      <w:r w:rsidRPr="00010023">
        <w:rPr>
          <w:rFonts w:ascii="Times New Roman" w:hAnsi="Times New Roman" w:cs="Times New Roman"/>
          <w:i/>
          <w:iCs/>
          <w:sz w:val="22"/>
          <w:szCs w:val="22"/>
        </w:rPr>
        <w:t>Il giusto procedimento nel quadro dei principi costituzionali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Atti del Convegno di Varenna</w:t>
      </w:r>
      <w:r w:rsidRPr="00010023">
        <w:rPr>
          <w:rFonts w:ascii="Times New Roman" w:hAnsi="Times New Roman" w:cs="Times New Roman"/>
          <w:sz w:val="22"/>
          <w:szCs w:val="22"/>
        </w:rPr>
        <w:t xml:space="preserve">, 1989; D. VAIANO, </w:t>
      </w:r>
      <w:r w:rsidRPr="00010023">
        <w:rPr>
          <w:rFonts w:ascii="Times New Roman" w:hAnsi="Times New Roman" w:cs="Times New Roman"/>
          <w:i/>
          <w:iCs/>
          <w:sz w:val="22"/>
          <w:szCs w:val="22"/>
        </w:rPr>
        <w:t>La riserva di funzione amministrativa</w:t>
      </w:r>
      <w:r w:rsidRPr="00010023">
        <w:rPr>
          <w:rFonts w:ascii="Times New Roman" w:hAnsi="Times New Roman" w:cs="Times New Roman"/>
          <w:sz w:val="22"/>
          <w:szCs w:val="22"/>
        </w:rPr>
        <w:t xml:space="preserve">, Giuffrè, Milano, 1996;   M. DOGLIANI, </w:t>
      </w:r>
      <w:r w:rsidRPr="00010023">
        <w:rPr>
          <w:rFonts w:ascii="Times New Roman" w:hAnsi="Times New Roman" w:cs="Times New Roman"/>
          <w:i/>
          <w:iCs/>
          <w:sz w:val="22"/>
          <w:szCs w:val="22"/>
        </w:rPr>
        <w:t>Riserva di amministrazione?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Pubblico</w:t>
      </w:r>
      <w:r w:rsidRPr="00010023">
        <w:rPr>
          <w:rFonts w:ascii="Times New Roman" w:hAnsi="Times New Roman" w:cs="Times New Roman"/>
          <w:sz w:val="22"/>
          <w:szCs w:val="22"/>
        </w:rPr>
        <w:t xml:space="preserve">, n. 3, 2000; M.C. CAVALLARO, </w:t>
      </w:r>
      <w:r w:rsidRPr="00010023">
        <w:rPr>
          <w:rFonts w:ascii="Times New Roman" w:hAnsi="Times New Roman" w:cs="Times New Roman"/>
          <w:i/>
          <w:iCs/>
          <w:sz w:val="22"/>
          <w:szCs w:val="22"/>
        </w:rPr>
        <w:t>Il giusto procedimento come principio costituzionale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Foro Amministrativo</w:t>
      </w:r>
      <w:r w:rsidRPr="00010023">
        <w:rPr>
          <w:rFonts w:ascii="Times New Roman" w:hAnsi="Times New Roman" w:cs="Times New Roman"/>
          <w:sz w:val="22"/>
          <w:szCs w:val="22"/>
        </w:rPr>
        <w:t xml:space="preserve">, 2001; G. MANFREDI, </w:t>
      </w:r>
      <w:r w:rsidRPr="00010023">
        <w:rPr>
          <w:rFonts w:ascii="Times New Roman" w:hAnsi="Times New Roman" w:cs="Times New Roman"/>
          <w:i/>
          <w:iCs/>
          <w:sz w:val="22"/>
          <w:szCs w:val="22"/>
        </w:rPr>
        <w:t>Leggi provvedimento, forma di Stato, riserva di amministrazione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 xml:space="preserve">Il Foro </w:t>
      </w:r>
      <w:proofErr w:type="spellStart"/>
      <w:r w:rsidRPr="00010023">
        <w:rPr>
          <w:rFonts w:ascii="Times New Roman" w:hAnsi="Times New Roman" w:cs="Times New Roman"/>
          <w:i/>
          <w:iCs/>
          <w:sz w:val="22"/>
          <w:szCs w:val="22"/>
        </w:rPr>
        <w:t>Amm</w:t>
      </w:r>
      <w:proofErr w:type="spellEnd"/>
      <w:r w:rsidRPr="00010023">
        <w:rPr>
          <w:rFonts w:ascii="Times New Roman" w:hAnsi="Times New Roman" w:cs="Times New Roman"/>
          <w:i/>
          <w:iCs/>
          <w:sz w:val="22"/>
          <w:szCs w:val="22"/>
        </w:rPr>
        <w:t>.</w:t>
      </w:r>
      <w:r w:rsidRPr="00010023">
        <w:rPr>
          <w:rFonts w:ascii="Times New Roman" w:hAnsi="Times New Roman" w:cs="Times New Roman"/>
          <w:sz w:val="22"/>
          <w:szCs w:val="22"/>
        </w:rPr>
        <w:t>, n. 4, 2003.</w:t>
      </w:r>
    </w:p>
  </w:footnote>
  <w:footnote w:id="118">
    <w:p w14:paraId="43CB59D8" w14:textId="682B7F70"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In dottrina, si v. S. AMOROSINO, </w:t>
      </w:r>
      <w:r w:rsidRPr="00010023">
        <w:rPr>
          <w:rFonts w:ascii="Times New Roman" w:hAnsi="Times New Roman" w:cs="Times New Roman"/>
          <w:i/>
          <w:iCs/>
          <w:sz w:val="22"/>
          <w:szCs w:val="22"/>
        </w:rPr>
        <w:t>Leggi e programmazioni amministrative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amministrativo</w:t>
      </w:r>
      <w:r w:rsidRPr="00010023">
        <w:rPr>
          <w:rFonts w:ascii="Times New Roman" w:hAnsi="Times New Roman" w:cs="Times New Roman"/>
          <w:sz w:val="22"/>
          <w:szCs w:val="22"/>
        </w:rPr>
        <w:t xml:space="preserve">, n. 1, 2006; id. </w:t>
      </w:r>
      <w:r w:rsidRPr="00010023">
        <w:rPr>
          <w:rFonts w:ascii="Times New Roman" w:hAnsi="Times New Roman" w:cs="Times New Roman"/>
          <w:i/>
          <w:iCs/>
          <w:sz w:val="22"/>
          <w:szCs w:val="22"/>
        </w:rPr>
        <w:t>Beni naturali, energie rinnovabili e paesaggio</w:t>
      </w:r>
      <w:r w:rsidRPr="00010023">
        <w:rPr>
          <w:rFonts w:ascii="Times New Roman" w:hAnsi="Times New Roman" w:cs="Times New Roman"/>
          <w:sz w:val="22"/>
          <w:szCs w:val="22"/>
        </w:rPr>
        <w:t xml:space="preserve">, Editoriale Scientifica, Napoli, 2012; G.U. RESCIGNO, </w:t>
      </w:r>
      <w:r w:rsidRPr="00010023">
        <w:rPr>
          <w:rFonts w:ascii="Times New Roman" w:hAnsi="Times New Roman" w:cs="Times New Roman"/>
          <w:i/>
          <w:iCs/>
          <w:sz w:val="22"/>
          <w:szCs w:val="22"/>
        </w:rPr>
        <w:t>Leggi-provvedimento costituzionalmente ammesse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Diritto pubblico</w:t>
      </w:r>
      <w:r w:rsidRPr="00010023">
        <w:rPr>
          <w:rFonts w:ascii="Times New Roman" w:hAnsi="Times New Roman" w:cs="Times New Roman"/>
          <w:sz w:val="22"/>
          <w:szCs w:val="22"/>
        </w:rPr>
        <w:t xml:space="preserve">, 2007; F. CINTIOLI, </w:t>
      </w:r>
      <w:r w:rsidRPr="00010023">
        <w:rPr>
          <w:rFonts w:ascii="Times New Roman" w:hAnsi="Times New Roman" w:cs="Times New Roman"/>
          <w:i/>
          <w:iCs/>
          <w:sz w:val="22"/>
          <w:szCs w:val="22"/>
        </w:rPr>
        <w:t>La riserva di amministrazione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Giurisprudenza costituzionale</w:t>
      </w:r>
      <w:r w:rsidRPr="00010023">
        <w:rPr>
          <w:rFonts w:ascii="Times New Roman" w:hAnsi="Times New Roman" w:cs="Times New Roman"/>
          <w:sz w:val="22"/>
          <w:szCs w:val="22"/>
        </w:rPr>
        <w:t xml:space="preserve">, n. 4, 2008; G. ARCONZO, </w:t>
      </w:r>
      <w:r w:rsidRPr="00010023">
        <w:rPr>
          <w:rFonts w:ascii="Times New Roman" w:hAnsi="Times New Roman" w:cs="Times New Roman"/>
          <w:i/>
          <w:iCs/>
          <w:sz w:val="22"/>
          <w:szCs w:val="22"/>
        </w:rPr>
        <w:t>Contributo allo studio sulla funzione legislativa provvedimentale</w:t>
      </w:r>
      <w:r w:rsidRPr="00010023">
        <w:rPr>
          <w:rFonts w:ascii="Times New Roman" w:hAnsi="Times New Roman" w:cs="Times New Roman"/>
          <w:sz w:val="22"/>
          <w:szCs w:val="22"/>
        </w:rPr>
        <w:t xml:space="preserve">, Giuffrè, Milano, 2013; M. LOSANA, </w:t>
      </w:r>
      <w:r w:rsidRPr="00010023">
        <w:rPr>
          <w:rFonts w:ascii="Times New Roman" w:hAnsi="Times New Roman" w:cs="Times New Roman"/>
          <w:i/>
          <w:iCs/>
          <w:sz w:val="22"/>
          <w:szCs w:val="22"/>
        </w:rPr>
        <w:t>Leggi provvedimento? La giurisprudenza costituzionale</w:t>
      </w:r>
      <w:r w:rsidRPr="00010023">
        <w:rPr>
          <w:rFonts w:ascii="Times New Roman" w:hAnsi="Times New Roman" w:cs="Times New Roman"/>
          <w:sz w:val="22"/>
          <w:szCs w:val="22"/>
        </w:rPr>
        <w:t xml:space="preserve">, Giappichelli, Torino, 2015; A. CARDONE, </w:t>
      </w:r>
      <w:r w:rsidRPr="00010023">
        <w:rPr>
          <w:rFonts w:ascii="Times New Roman" w:hAnsi="Times New Roman" w:cs="Times New Roman"/>
          <w:i/>
          <w:iCs/>
          <w:sz w:val="22"/>
          <w:szCs w:val="22"/>
        </w:rPr>
        <w:t>Riserva di amministrazione in materia di piani regionali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Le Regioni</w:t>
      </w:r>
      <w:r w:rsidRPr="00010023">
        <w:rPr>
          <w:rFonts w:ascii="Times New Roman" w:hAnsi="Times New Roman" w:cs="Times New Roman"/>
          <w:sz w:val="22"/>
          <w:szCs w:val="22"/>
        </w:rPr>
        <w:t xml:space="preserve">, n. 4, 2018; F. CORTESE, </w:t>
      </w:r>
      <w:r w:rsidRPr="00010023">
        <w:rPr>
          <w:rFonts w:ascii="Times New Roman" w:hAnsi="Times New Roman" w:cs="Times New Roman"/>
          <w:i/>
          <w:iCs/>
          <w:sz w:val="22"/>
          <w:szCs w:val="22"/>
        </w:rPr>
        <w:t>Sulla riserva preferenziale di procedimento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Le Regioni</w:t>
      </w:r>
      <w:r w:rsidRPr="00010023">
        <w:rPr>
          <w:rFonts w:ascii="Times New Roman" w:hAnsi="Times New Roman" w:cs="Times New Roman"/>
          <w:sz w:val="22"/>
          <w:szCs w:val="22"/>
        </w:rPr>
        <w:t xml:space="preserve">, n. 4, 2018; F. GORGERINO, </w:t>
      </w:r>
      <w:r w:rsidRPr="00010023">
        <w:rPr>
          <w:rFonts w:ascii="Times New Roman" w:hAnsi="Times New Roman" w:cs="Times New Roman"/>
          <w:i/>
          <w:iCs/>
          <w:sz w:val="22"/>
          <w:szCs w:val="22"/>
        </w:rPr>
        <w:t>Problemi attuali della riserva di amministrazione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giuridica dell'edilizia</w:t>
      </w:r>
      <w:r w:rsidRPr="00010023">
        <w:rPr>
          <w:rFonts w:ascii="Times New Roman" w:hAnsi="Times New Roman" w:cs="Times New Roman"/>
          <w:sz w:val="22"/>
          <w:szCs w:val="22"/>
        </w:rPr>
        <w:t xml:space="preserve">, n. 6, 2019; L.R. PERFETTI, </w:t>
      </w:r>
      <w:r w:rsidRPr="00010023">
        <w:rPr>
          <w:rFonts w:ascii="Times New Roman" w:hAnsi="Times New Roman" w:cs="Times New Roman"/>
          <w:i/>
          <w:iCs/>
          <w:sz w:val="22"/>
          <w:szCs w:val="22"/>
        </w:rPr>
        <w:t>Legge-provvedimento, emergenza e giurisdizione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Il diritto processuale amministrativo</w:t>
      </w:r>
      <w:r w:rsidRPr="00010023">
        <w:rPr>
          <w:rFonts w:ascii="Times New Roman" w:hAnsi="Times New Roman" w:cs="Times New Roman"/>
          <w:sz w:val="22"/>
          <w:szCs w:val="22"/>
        </w:rPr>
        <w:t xml:space="preserve">, n. 3, 2019; F. FERRARI, </w:t>
      </w:r>
      <w:r w:rsidRPr="00010023">
        <w:rPr>
          <w:rFonts w:ascii="Times New Roman" w:hAnsi="Times New Roman" w:cs="Times New Roman"/>
          <w:i/>
          <w:iCs/>
          <w:sz w:val="22"/>
          <w:szCs w:val="22"/>
        </w:rPr>
        <w:t>Riserva di amministrazione o giudizio comparativo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Le Regioni</w:t>
      </w:r>
      <w:r w:rsidRPr="00010023">
        <w:rPr>
          <w:rFonts w:ascii="Times New Roman" w:hAnsi="Times New Roman" w:cs="Times New Roman"/>
          <w:sz w:val="22"/>
          <w:szCs w:val="22"/>
        </w:rPr>
        <w:t>, n. 3, 2020.</w:t>
      </w:r>
    </w:p>
  </w:footnote>
  <w:footnote w:id="119">
    <w:p w14:paraId="3D4AE5F4" w14:textId="6F439574"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72" w:name="_Hlk225153227"/>
      <w:r w:rsidRPr="00010023">
        <w:rPr>
          <w:rFonts w:ascii="Times New Roman" w:hAnsi="Times New Roman" w:cs="Times New Roman"/>
          <w:sz w:val="22"/>
          <w:szCs w:val="22"/>
        </w:rPr>
        <w:t xml:space="preserve">B. CELATI, </w:t>
      </w:r>
      <w:r w:rsidRPr="00010023">
        <w:rPr>
          <w:rFonts w:ascii="Times New Roman" w:hAnsi="Times New Roman" w:cs="Times New Roman"/>
          <w:i/>
          <w:iCs/>
          <w:sz w:val="22"/>
          <w:szCs w:val="22"/>
        </w:rPr>
        <w:t>La localizzazione degli impianti energetici da fonti rinnovabili nel difficile bilanciamento tra interessi locali e finalità di tipo sistemico</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Le Regioni</w:t>
      </w:r>
      <w:r w:rsidRPr="00010023">
        <w:rPr>
          <w:rFonts w:ascii="Times New Roman" w:hAnsi="Times New Roman" w:cs="Times New Roman"/>
          <w:sz w:val="22"/>
          <w:szCs w:val="22"/>
        </w:rPr>
        <w:t xml:space="preserve">, n. 5, 2023; G. BAROZZI REGGIANI, </w:t>
      </w:r>
      <w:r w:rsidRPr="00010023">
        <w:rPr>
          <w:rFonts w:ascii="Times New Roman" w:hAnsi="Times New Roman" w:cs="Times New Roman"/>
          <w:i/>
          <w:iCs/>
          <w:sz w:val="22"/>
          <w:szCs w:val="22"/>
        </w:rPr>
        <w:t>Il principio di massima diffusione delle energie rinnovabili e il bilanciamento tra valori costituzionalmente rilevanti nella disciplina delle c.d. “aree idonee”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giuridica dell’ambiente</w:t>
      </w:r>
      <w:r w:rsidRPr="00010023">
        <w:rPr>
          <w:rFonts w:ascii="Times New Roman" w:hAnsi="Times New Roman" w:cs="Times New Roman"/>
          <w:sz w:val="22"/>
          <w:szCs w:val="22"/>
        </w:rPr>
        <w:t xml:space="preserve">, n. 3, 2022; F. SCALIA, </w:t>
      </w:r>
      <w:r w:rsidRPr="00010023">
        <w:rPr>
          <w:rFonts w:ascii="Times New Roman" w:hAnsi="Times New Roman" w:cs="Times New Roman"/>
          <w:i/>
          <w:iCs/>
          <w:sz w:val="22"/>
          <w:szCs w:val="22"/>
        </w:rPr>
        <w:t>La contraddittorietà intrinseca dei limiti posti dal “decreto agricoltura” per gli impianti fotovoltaici nelle aree agricole,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dgai.it</w:t>
      </w:r>
      <w:r w:rsidRPr="00010023">
        <w:rPr>
          <w:rFonts w:ascii="Times New Roman" w:hAnsi="Times New Roman" w:cs="Times New Roman"/>
          <w:sz w:val="22"/>
          <w:szCs w:val="22"/>
        </w:rPr>
        <w:t>, n. 1/2024.</w:t>
      </w:r>
      <w:bookmarkEnd w:id="72"/>
    </w:p>
  </w:footnote>
  <w:footnote w:id="120">
    <w:p w14:paraId="4AD96910" w14:textId="5B766B20" w:rsidR="00DF358B" w:rsidRPr="00F95A01" w:rsidRDefault="00DF358B" w:rsidP="00F95A01">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giurisprudenza costituzionale più recente conferma che la discrezionalità amministrativa e normativa riconosciuta alle Regioni e, per quanto di competenza, agli enti locali nella pianificazione territoriale e nei procedimenti autorizzatori relativi agli impianti alimentati da fonti di energia rinnovabile non costituisce uno spazio decisionale libero, bensì una discrezionalità costituzionalmente vincolata. In particolare, le sentenze della </w:t>
      </w:r>
      <w:bookmarkStart w:id="73" w:name="_Hlk233884225"/>
      <w:r w:rsidRPr="00010023">
        <w:rPr>
          <w:rFonts w:ascii="Times New Roman" w:hAnsi="Times New Roman" w:cs="Times New Roman"/>
          <w:sz w:val="22"/>
          <w:szCs w:val="22"/>
        </w:rPr>
        <w:t xml:space="preserve">Corte costituzionale n. 134 del 2025 e n. 184 del 2025 </w:t>
      </w:r>
      <w:bookmarkEnd w:id="73"/>
      <w:r w:rsidRPr="00010023">
        <w:rPr>
          <w:rFonts w:ascii="Times New Roman" w:hAnsi="Times New Roman" w:cs="Times New Roman"/>
          <w:sz w:val="22"/>
          <w:szCs w:val="22"/>
        </w:rPr>
        <w:t xml:space="preserve">ribadiscono che le Regioni non possono introdurre divieti generalizzati o assoluti alla localizzazione degli impianti FER, neppure nelle aree qualificate come "non idonee". La classificazione di un'area come non idonea, infatti, non determina un'incompatibilità automatica dell'intervento, ma rappresenta esclusivamente un elemento di valutazione destinato a essere apprezzato nell'ambito del procedimento autorizzatorio, attraverso un bilanciamento concreto degli interessi coinvolti. Ne consegue che anche l'esercizio della discrezionalità amministrativa da parte delle amministrazioni regionali e comunali incontra precisi limiti derivanti dai principi costituzionali, come progressivamente definiti dalla Corte. L'autorità competente conserva certamente un margine di apprezzamento nella ponderazione tra tutela del paesaggio, dell'ambiente, del patrimonio culturale e sviluppo delle energie rinnovabili, ma tale potere non può tradursi nell'introduzione di preclusioni aprioristiche o di discipline che, in via generale e astratta, rendano impossibile l'insediamento degli impianti. Diversamente, la discrezionalità degenererebbe in arbitrio, frustrando il principio della massima diffusione delle fonti rinnovabili, ormai riconosciuto dalla giurisprudenza costituzionale quale criterio conformativo dell'intero sistema autorizzatorio. In tale prospettiva, la discrezionalità degli enti territoriali deve essere esercitata secondo i canoni di ragionevolezza, proporzionalità e adeguatezza, attraverso una motivazione che dia conto delle specifiche caratteristiche del sito e dell'effettiva incidenza dell'intervento sugli interessi pubblici coinvolti. La valutazione amministrativa resta, dunque, essenzialmente caso per caso, non essendo consentito sostituire il giudizio concreto con automatismi fondati sulla sola classificazione urbanistica o territoriale dell'area. La Corte costituzionale conferma così che il favor </w:t>
      </w:r>
      <w:r w:rsidRPr="00F95A01">
        <w:rPr>
          <w:rFonts w:ascii="Times New Roman" w:hAnsi="Times New Roman" w:cs="Times New Roman"/>
          <w:sz w:val="22"/>
          <w:szCs w:val="22"/>
        </w:rPr>
        <w:t>per la diffusione delle energie rinnovabili costituisce un parametro conformativo anche dell'azione amministrativa, limitando la discrezionalità regionale e comunale entro un perimetro definito dai principi costituzionali di tutela dell'ambiente, di leale collaborazione e di perseguimento degli obiettivi nazionali ed europei di decarbonizzazione.</w:t>
      </w:r>
    </w:p>
    <w:p w14:paraId="534D54CD" w14:textId="77777777" w:rsidR="00DF358B" w:rsidRPr="00F95A01" w:rsidRDefault="00DF358B" w:rsidP="00F95A01">
      <w:pPr>
        <w:pStyle w:val="Testonotaapidipagina"/>
        <w:numPr>
          <w:ilvl w:val="0"/>
          <w:numId w:val="1"/>
        </w:numPr>
        <w:spacing w:line="240" w:lineRule="exact"/>
        <w:contextualSpacing/>
        <w:jc w:val="both"/>
        <w:rPr>
          <w:rFonts w:ascii="Times New Roman" w:hAnsi="Times New Roman" w:cs="Times New Roman"/>
          <w:vanish/>
          <w:sz w:val="22"/>
          <w:szCs w:val="22"/>
        </w:rPr>
      </w:pPr>
      <w:r w:rsidRPr="00F95A01">
        <w:rPr>
          <w:rFonts w:ascii="Times New Roman" w:hAnsi="Times New Roman" w:cs="Times New Roman"/>
          <w:vanish/>
          <w:sz w:val="22"/>
          <w:szCs w:val="22"/>
        </w:rPr>
        <w:t>Inizio modulo</w:t>
      </w:r>
    </w:p>
    <w:p w14:paraId="6F8D79D3" w14:textId="67670A2E" w:rsidR="00DF358B" w:rsidRPr="00F95A01" w:rsidRDefault="00DF358B" w:rsidP="00F95A01">
      <w:pPr>
        <w:pStyle w:val="Testonotaapidipagina"/>
        <w:spacing w:line="240" w:lineRule="exact"/>
        <w:contextualSpacing/>
        <w:jc w:val="both"/>
        <w:rPr>
          <w:rFonts w:ascii="Times New Roman" w:hAnsi="Times New Roman" w:cs="Times New Roman"/>
          <w:sz w:val="22"/>
          <w:szCs w:val="22"/>
        </w:rPr>
      </w:pPr>
    </w:p>
  </w:footnote>
  <w:footnote w:id="121">
    <w:p w14:paraId="34D40731" w14:textId="62D0118A" w:rsidR="00DF358B" w:rsidRPr="00A42C16" w:rsidRDefault="00DF358B" w:rsidP="00A42C16">
      <w:pPr>
        <w:pStyle w:val="Testonotaapidipagina"/>
        <w:spacing w:line="240" w:lineRule="exact"/>
        <w:contextualSpacing/>
        <w:jc w:val="both"/>
        <w:rPr>
          <w:sz w:val="22"/>
          <w:szCs w:val="22"/>
        </w:rPr>
      </w:pPr>
      <w:r w:rsidRPr="00F95A01">
        <w:rPr>
          <w:rStyle w:val="Rimandonotaapidipagina"/>
          <w:rFonts w:ascii="Times New Roman" w:hAnsi="Times New Roman" w:cs="Times New Roman"/>
          <w:sz w:val="22"/>
          <w:szCs w:val="22"/>
        </w:rPr>
        <w:footnoteRef/>
      </w:r>
      <w:r w:rsidRPr="00F95A01">
        <w:rPr>
          <w:rFonts w:ascii="Times New Roman" w:hAnsi="Times New Roman" w:cs="Times New Roman"/>
          <w:sz w:val="22"/>
          <w:szCs w:val="22"/>
        </w:rPr>
        <w:t>In particolare, si segnala una recentissima pronuncia del TRGA Bolzano, n. 131/</w:t>
      </w:r>
      <w:proofErr w:type="gramStart"/>
      <w:r w:rsidRPr="00F95A01">
        <w:rPr>
          <w:rFonts w:ascii="Times New Roman" w:hAnsi="Times New Roman" w:cs="Times New Roman"/>
          <w:sz w:val="22"/>
          <w:szCs w:val="22"/>
        </w:rPr>
        <w:t>2026 ,</w:t>
      </w:r>
      <w:proofErr w:type="gramEnd"/>
      <w:r w:rsidRPr="00F95A01">
        <w:rPr>
          <w:rFonts w:ascii="Times New Roman" w:hAnsi="Times New Roman" w:cs="Times New Roman"/>
          <w:sz w:val="22"/>
          <w:szCs w:val="22"/>
        </w:rPr>
        <w:t xml:space="preserve"> la quale, si inserisce nel più ampio e ormai consolidato dibattito relativo ai limiti della discrezionalità amministrativa nella regolazione degli impianti alimentati da fonti energetiche rinnovabili, con particolare riferimento al settore agrivoltaico. Il caso trae origine da una disciplina provinciale che subordinava l’installazione di impianti agrivoltaici su suoli agricoli al rispetto di due parametri cumulativi: da un lato, l’ubicazione entro una determinata fascia altimetrica rispetto ai corsi d’acqua principali; dall’altro, il superamento di una soglia massima di pendenza del terreno. Tali condizioni, pur formalmente riconducibili a finalità di tutela paesaggistico-ambientale e di corretta pianificazione del territorio, risultavano tuttavia introdotte mediante la fissazione di valori numerici rigidi, non accompagnati da un’esplicitazione delle relative basi istruttorie o tecnico-scientifiche. È proprio su tale profilo che si innesta la critica del giudice amministrativo, il quale evidenzia come la legittimità di scelte regolatorie fortemente incidenti sull’iniziativa economica privata e sullo sviluppo delle fonti rinnovabili presupponga un apparato motivazionale e istruttorio idoneo a giustificare la ragionevolezza e la proporzionalità delle soglie prescelte. In assenza di una puntuale dimostrazione delle ragioni sottese alla determinazione dei limiti quantitativi introdotti, la disciplina rischia di tradursi in una compressione non adeguatamente giustificata delle possibilità localizzative degli impianti. La pronuncia valorizza, dunque, il principio secondo cui la discrezionalità amministrativa, pur ampia in materia di governo del territorio e tutela del paesaggio, non può degenerare in scelte meramente assertive o autoreferenziali, dovendo invece esplicarsi entro un perimetro di verificabilità esterna fondato su un’istruttoria effettiva e su criteri coerenti con i principi di proporzionalità e ragionevolezza. Ne deriva che la previsione di vincoli “numerici” o soglie rigide non è di per sé preclusa all’amministrazione, ma richiede una dimostrazione particolarmente rigorosa della loro necessità e adeguatezza rispetto agli obiettivi perseguiti, pena la loro trasformazione in limiti sostanzialmente arbitrari all’installazione degli impianti FER.</w:t>
      </w:r>
      <w:r>
        <w:rPr>
          <w:rFonts w:ascii="Times New Roman" w:hAnsi="Times New Roman" w:cs="Times New Roman"/>
          <w:sz w:val="22"/>
          <w:szCs w:val="22"/>
        </w:rPr>
        <w:t xml:space="preserve"> </w:t>
      </w:r>
      <w:r w:rsidRPr="00C64DAB">
        <w:rPr>
          <w:rFonts w:ascii="Times New Roman" w:hAnsi="Times New Roman" w:cs="Times New Roman"/>
          <w:i/>
          <w:iCs/>
          <w:sz w:val="22"/>
          <w:szCs w:val="22"/>
        </w:rPr>
        <w:t xml:space="preserve">Ex </w:t>
      </w:r>
      <w:proofErr w:type="spellStart"/>
      <w:r w:rsidRPr="00C64DAB">
        <w:rPr>
          <w:rFonts w:ascii="Times New Roman" w:hAnsi="Times New Roman" w:cs="Times New Roman"/>
          <w:i/>
          <w:iCs/>
          <w:sz w:val="22"/>
          <w:szCs w:val="22"/>
        </w:rPr>
        <w:t>multis</w:t>
      </w:r>
      <w:proofErr w:type="spellEnd"/>
      <w:r>
        <w:rPr>
          <w:rFonts w:ascii="Times New Roman" w:hAnsi="Times New Roman" w:cs="Times New Roman"/>
          <w:sz w:val="22"/>
          <w:szCs w:val="22"/>
        </w:rPr>
        <w:t xml:space="preserve">, </w:t>
      </w:r>
      <w:r w:rsidRPr="00A42C16">
        <w:rPr>
          <w:rFonts w:ascii="Times New Roman" w:hAnsi="Times New Roman" w:cs="Times New Roman"/>
          <w:sz w:val="22"/>
          <w:szCs w:val="22"/>
        </w:rPr>
        <w:t xml:space="preserve">TAR Lecce, </w:t>
      </w:r>
      <w:proofErr w:type="spellStart"/>
      <w:r w:rsidRPr="00A42C16">
        <w:rPr>
          <w:rFonts w:ascii="Times New Roman" w:hAnsi="Times New Roman" w:cs="Times New Roman"/>
          <w:sz w:val="22"/>
          <w:szCs w:val="22"/>
        </w:rPr>
        <w:t>sent</w:t>
      </w:r>
      <w:proofErr w:type="spellEnd"/>
      <w:r w:rsidRPr="00A42C16">
        <w:rPr>
          <w:rFonts w:ascii="Times New Roman" w:hAnsi="Times New Roman" w:cs="Times New Roman"/>
          <w:sz w:val="22"/>
          <w:szCs w:val="22"/>
        </w:rPr>
        <w:t xml:space="preserve">. n. 516/2026; TAR Campobasso, </w:t>
      </w:r>
      <w:proofErr w:type="spellStart"/>
      <w:r w:rsidRPr="00A42C16">
        <w:rPr>
          <w:rFonts w:ascii="Times New Roman" w:hAnsi="Times New Roman" w:cs="Times New Roman"/>
          <w:sz w:val="22"/>
          <w:szCs w:val="22"/>
        </w:rPr>
        <w:t>sent</w:t>
      </w:r>
      <w:proofErr w:type="spellEnd"/>
      <w:r w:rsidRPr="00A42C16">
        <w:rPr>
          <w:rFonts w:ascii="Times New Roman" w:hAnsi="Times New Roman" w:cs="Times New Roman"/>
          <w:sz w:val="22"/>
          <w:szCs w:val="22"/>
        </w:rPr>
        <w:t xml:space="preserve">. n. 143/2026; TAR Venezia, n. 754/2026; TAR Venezia, n. 772/2026; TAR </w:t>
      </w:r>
      <w:proofErr w:type="gramStart"/>
      <w:r w:rsidRPr="00A42C16">
        <w:rPr>
          <w:rFonts w:ascii="Times New Roman" w:hAnsi="Times New Roman" w:cs="Times New Roman"/>
          <w:sz w:val="22"/>
          <w:szCs w:val="22"/>
        </w:rPr>
        <w:t>Venezia,.</w:t>
      </w:r>
      <w:proofErr w:type="gramEnd"/>
      <w:r w:rsidRPr="00A42C16">
        <w:rPr>
          <w:rFonts w:ascii="Times New Roman" w:hAnsi="Times New Roman" w:cs="Times New Roman"/>
          <w:sz w:val="22"/>
          <w:szCs w:val="22"/>
        </w:rPr>
        <w:t xml:space="preserve"> 825/2026; TAR Torino, n. 897/2026; TAR Salerno, n. 724/2026; TAR Ancona, n. 527/2026; TAR Torino, n. 924/2026; TAR Bologna, n. 762/2026; TAR Bologna, n. 771/2026; TAR Roma, n. 7692/2026.</w:t>
      </w:r>
    </w:p>
    <w:p w14:paraId="577E1F3E" w14:textId="4524C256" w:rsidR="00DF358B" w:rsidRPr="00F95A01" w:rsidRDefault="00DF358B" w:rsidP="00F95A01">
      <w:pPr>
        <w:pStyle w:val="Testonotaapidipagina"/>
        <w:spacing w:line="240" w:lineRule="exact"/>
        <w:contextualSpacing/>
        <w:jc w:val="both"/>
        <w:rPr>
          <w:rFonts w:ascii="Times New Roman" w:hAnsi="Times New Roman" w:cs="Times New Roman"/>
          <w:sz w:val="22"/>
          <w:szCs w:val="22"/>
        </w:rPr>
      </w:pPr>
    </w:p>
    <w:p w14:paraId="464BF757" w14:textId="1C817214" w:rsidR="00DF358B" w:rsidRDefault="00DF358B">
      <w:pPr>
        <w:pStyle w:val="Testonotaapidipagina"/>
      </w:pPr>
    </w:p>
  </w:footnote>
  <w:footnote w:id="122">
    <w:p w14:paraId="2A735E7B" w14:textId="16ACF378"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74" w:name="_Hlk233821289"/>
      <w:bookmarkStart w:id="75" w:name="_Hlk233884361"/>
      <w:r w:rsidRPr="00010023">
        <w:rPr>
          <w:rFonts w:ascii="Times New Roman" w:hAnsi="Times New Roman" w:cs="Times New Roman"/>
          <w:sz w:val="22"/>
          <w:szCs w:val="22"/>
        </w:rPr>
        <w:t xml:space="preserve">P. MADDALENA, </w:t>
      </w:r>
      <w:r w:rsidRPr="00010023">
        <w:rPr>
          <w:rFonts w:ascii="Times New Roman" w:hAnsi="Times New Roman" w:cs="Times New Roman"/>
          <w:i/>
          <w:iCs/>
          <w:sz w:val="22"/>
          <w:szCs w:val="22"/>
        </w:rPr>
        <w:t>La legge quadro sulle aree protette, in Rivista trimestrale di diritto pubblico</w:t>
      </w:r>
      <w:r w:rsidRPr="00010023">
        <w:rPr>
          <w:rFonts w:ascii="Times New Roman" w:hAnsi="Times New Roman" w:cs="Times New Roman"/>
          <w:sz w:val="22"/>
          <w:szCs w:val="22"/>
        </w:rPr>
        <w:t>, n. 3, 1992, pp. 679 ss.; A. CROSETTI</w:t>
      </w:r>
      <w:r w:rsidRPr="00010023">
        <w:rPr>
          <w:rFonts w:ascii="Times New Roman" w:hAnsi="Times New Roman" w:cs="Times New Roman"/>
          <w:i/>
          <w:iCs/>
          <w:sz w:val="22"/>
          <w:szCs w:val="22"/>
        </w:rPr>
        <w:t>, Aree naturali protette</w:t>
      </w:r>
      <w:r w:rsidRPr="00010023">
        <w:rPr>
          <w:rFonts w:ascii="Times New Roman" w:hAnsi="Times New Roman" w:cs="Times New Roman"/>
          <w:sz w:val="22"/>
          <w:szCs w:val="22"/>
        </w:rPr>
        <w:t xml:space="preserve"> (voce), in </w:t>
      </w:r>
      <w:r w:rsidRPr="00010023">
        <w:rPr>
          <w:rFonts w:ascii="Times New Roman" w:hAnsi="Times New Roman" w:cs="Times New Roman"/>
          <w:i/>
          <w:iCs/>
          <w:sz w:val="22"/>
          <w:szCs w:val="22"/>
        </w:rPr>
        <w:t>Digesto delle discipline pubblicistiche</w:t>
      </w:r>
      <w:r w:rsidRPr="00010023">
        <w:rPr>
          <w:rFonts w:ascii="Times New Roman" w:hAnsi="Times New Roman" w:cs="Times New Roman"/>
          <w:sz w:val="22"/>
          <w:szCs w:val="22"/>
        </w:rPr>
        <w:t xml:space="preserve">, 2008; G. BELLOMO, I </w:t>
      </w:r>
      <w:r w:rsidRPr="00010023">
        <w:rPr>
          <w:rFonts w:ascii="Times New Roman" w:hAnsi="Times New Roman" w:cs="Times New Roman"/>
          <w:i/>
          <w:iCs/>
          <w:sz w:val="22"/>
          <w:szCs w:val="22"/>
        </w:rPr>
        <w:t>modelli di conservazione e valorizzazione nelle aree naturali protette: profili italiani e comparati,</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Rivista giuridica dell’ambiente</w:t>
      </w:r>
      <w:r w:rsidRPr="00010023">
        <w:rPr>
          <w:rFonts w:ascii="Times New Roman" w:hAnsi="Times New Roman" w:cs="Times New Roman"/>
          <w:sz w:val="22"/>
          <w:szCs w:val="22"/>
        </w:rPr>
        <w:t>, n. 2, 2008, pp. 291</w:t>
      </w:r>
      <w:bookmarkEnd w:id="74"/>
      <w:r w:rsidRPr="00010023">
        <w:rPr>
          <w:rFonts w:ascii="Times New Roman" w:hAnsi="Times New Roman" w:cs="Times New Roman"/>
          <w:sz w:val="22"/>
          <w:szCs w:val="22"/>
        </w:rPr>
        <w:t>.</w:t>
      </w:r>
    </w:p>
    <w:bookmarkEnd w:id="75"/>
  </w:footnote>
  <w:footnote w:id="123">
    <w:p w14:paraId="3ABD62CF" w14:textId="2B36780B"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Nel contesto del progressivo processo di semplificazione del regime amministrativo degli impianti alimentati da fonti rinnovabili (FER), il legislatore ha consolidato il modello dell’AU, attribuita alle Regioni o alle Province delegate, quale procedimento unitario volto a concentrare in un’unica sede tutte le autorizzazioni necessarie alla realizzazione e all’esercizio degli impianti. In tale prospettiva si colloca anche l’istituzione, ad opera del MASE con decreto 23 ottobre 2024, della Piattaforma “Sportello Unico per le Energie Rinnovabili” (SUER), destinata alla gestione digitale delle istanze. Come chiarito in sede di risposta ministeriale a interrogazione parlamentare, la definizione dei modelli unici originariamente prevista in tale fase è stata rinviata, in sede di Conferenza unificata del 2 settembre, a un momento successivo all’entrata in vigore del Testo unico, in ragione del carattere innovativo della nuova disciplina e delle esigenze di coordinamento applicativo. Il procedimento di AU supera il precedente modello disciplinato dall’art. 12 del D.lgs. n. 387/2003 rappresenta il primo riferimento organico in materia, avendo introdotto un procedimento unico per il rilascio dell’autorizzazione alla realizzazione e all’esercizio degli impianti alimentati da fonti rinnovabili, in attuazione delle direttive europee volte a favorire procedure amministrative coordinate e accelerate. Il modello originario prevedeva la concentrazione in un unico procedimento dei diversi interessi pubblici coinvolti (urbanistici, ambientali, paesaggistici, di sicurezza, ecc.), includendo anche le opere connesse alla rete elettrica, e si fondava sulla conferenza di servizi decisoria quale sede di composizione degli interessi antagonisti.</w:t>
      </w:r>
    </w:p>
    <w:p w14:paraId="7138273C" w14:textId="6C804240"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 xml:space="preserve">Nel tempo, la disciplina è stata oggetto di numerosi interventi modificativi, che hanno introdotto ulteriori strumenti procedimentali (DILA, PAS e AU), nonché misure di semplificazione quali termini acceleratori, silenzio-assenso e digitalizzazione. Tuttavia, la stratificazione normativa ha determinato un sistema complesso e disomogeneo, spesso qualificato in dottrina come un vero e proprio “labirinto normativo”, nel quale l’AU ha continuato a rappresentare il modello procedimentale principale in cui far confluire tutti i titoli abilitativi connessi alla realizzazione degli impianti da fonti rinnovabili, talvolta scelto anche in via opzionale dagli operatori per la maggiore solidità giuridica. </w:t>
      </w:r>
      <w:r w:rsidRPr="00010023">
        <w:rPr>
          <w:rFonts w:ascii="Times New Roman" w:hAnsi="Times New Roman" w:cs="Times New Roman"/>
          <w:i/>
          <w:iCs/>
          <w:sz w:val="22"/>
          <w:szCs w:val="22"/>
        </w:rPr>
        <w:t xml:space="preserve">Ex </w:t>
      </w:r>
      <w:proofErr w:type="spellStart"/>
      <w:r w:rsidRPr="00010023">
        <w:rPr>
          <w:rFonts w:ascii="Times New Roman" w:hAnsi="Times New Roman" w:cs="Times New Roman"/>
          <w:i/>
          <w:iCs/>
          <w:sz w:val="22"/>
          <w:szCs w:val="22"/>
        </w:rPr>
        <w:t>multis</w:t>
      </w:r>
      <w:proofErr w:type="spellEnd"/>
      <w:r w:rsidRPr="00010023">
        <w:rPr>
          <w:rFonts w:ascii="Times New Roman" w:hAnsi="Times New Roman" w:cs="Times New Roman"/>
          <w:sz w:val="22"/>
          <w:szCs w:val="22"/>
        </w:rPr>
        <w:t xml:space="preserve">, </w:t>
      </w:r>
      <w:bookmarkStart w:id="76" w:name="_Hlk233821324"/>
      <w:r w:rsidRPr="00010023">
        <w:rPr>
          <w:rFonts w:ascii="Times New Roman" w:hAnsi="Times New Roman" w:cs="Times New Roman"/>
          <w:sz w:val="22"/>
          <w:szCs w:val="22"/>
        </w:rPr>
        <w:t xml:space="preserve">Consiglio di Stato, </w:t>
      </w:r>
      <w:proofErr w:type="spellStart"/>
      <w:r w:rsidRPr="00010023">
        <w:rPr>
          <w:rFonts w:ascii="Times New Roman" w:hAnsi="Times New Roman" w:cs="Times New Roman"/>
          <w:sz w:val="22"/>
          <w:szCs w:val="22"/>
        </w:rPr>
        <w:t>nn</w:t>
      </w:r>
      <w:proofErr w:type="spellEnd"/>
      <w:r w:rsidRPr="00010023">
        <w:rPr>
          <w:rFonts w:ascii="Times New Roman" w:hAnsi="Times New Roman" w:cs="Times New Roman"/>
          <w:sz w:val="22"/>
          <w:szCs w:val="22"/>
        </w:rPr>
        <w:t>. 6273/2018 e 6336/2021; TAR Veneto, n. 194/202</w:t>
      </w:r>
      <w:bookmarkEnd w:id="76"/>
      <w:r w:rsidRPr="00010023">
        <w:rPr>
          <w:rFonts w:ascii="Times New Roman" w:hAnsi="Times New Roman" w:cs="Times New Roman"/>
          <w:sz w:val="22"/>
          <w:szCs w:val="22"/>
        </w:rPr>
        <w:t>3, il quale ha rilevato una significativa distinzione tra i titoli c.d. “assorbibili” nell’Autorizzazione Unica e gli atti di natura specialistica che, per il loro contenuto tecnico e settoriale, possono risultare estranei al perimetro applicativo del procedimento unico.</w:t>
      </w:r>
    </w:p>
  </w:footnote>
  <w:footnote w:id="124">
    <w:p w14:paraId="2DBF9B44" w14:textId="772633EB"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bookmarkStart w:id="77" w:name="_Hlk233821413"/>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78" w:name="_Hlk233884394"/>
      <w:r w:rsidRPr="00010023">
        <w:rPr>
          <w:rFonts w:ascii="Times New Roman" w:hAnsi="Times New Roman" w:cs="Times New Roman"/>
          <w:sz w:val="22"/>
          <w:szCs w:val="22"/>
        </w:rPr>
        <w:t xml:space="preserve">G.M. ESPOSITO, </w:t>
      </w:r>
      <w:r w:rsidRPr="00010023">
        <w:rPr>
          <w:rFonts w:ascii="Times New Roman" w:hAnsi="Times New Roman" w:cs="Times New Roman"/>
          <w:i/>
          <w:iCs/>
          <w:sz w:val="22"/>
          <w:szCs w:val="22"/>
        </w:rPr>
        <w:t>Il governo delle programmazioni. Linee evolutive</w:t>
      </w:r>
      <w:r w:rsidRPr="00010023">
        <w:rPr>
          <w:rFonts w:ascii="Times New Roman" w:hAnsi="Times New Roman" w:cs="Times New Roman"/>
          <w:sz w:val="22"/>
          <w:szCs w:val="22"/>
        </w:rPr>
        <w:t xml:space="preserve">, Il Mulino, Bologna, 2019; A. MITROTTI, </w:t>
      </w:r>
      <w:r w:rsidRPr="00010023">
        <w:rPr>
          <w:rFonts w:ascii="Times New Roman" w:hAnsi="Times New Roman" w:cs="Times New Roman"/>
          <w:i/>
          <w:iCs/>
          <w:sz w:val="22"/>
          <w:szCs w:val="22"/>
        </w:rPr>
        <w:t>“Riserva di amministrazione” versus “Amministrazione per Legge”</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Nomos</w:t>
      </w:r>
      <w:r w:rsidRPr="00010023">
        <w:rPr>
          <w:rFonts w:ascii="Times New Roman" w:hAnsi="Times New Roman" w:cs="Times New Roman"/>
          <w:sz w:val="22"/>
          <w:szCs w:val="22"/>
        </w:rPr>
        <w:t xml:space="preserve">, n. 3, 2020; F.G. SCOCA, </w:t>
      </w:r>
      <w:r w:rsidRPr="00010023">
        <w:rPr>
          <w:rFonts w:ascii="Times New Roman" w:hAnsi="Times New Roman" w:cs="Times New Roman"/>
          <w:i/>
          <w:iCs/>
          <w:sz w:val="22"/>
          <w:szCs w:val="22"/>
        </w:rPr>
        <w:t>La riserva di amministrazione come problema</w:t>
      </w:r>
      <w:r w:rsidRPr="00010023">
        <w:rPr>
          <w:rFonts w:ascii="Times New Roman" w:hAnsi="Times New Roman" w:cs="Times New Roman"/>
          <w:sz w:val="22"/>
          <w:szCs w:val="22"/>
        </w:rPr>
        <w:t xml:space="preserve">, in </w:t>
      </w:r>
      <w:r w:rsidRPr="00010023">
        <w:rPr>
          <w:rFonts w:ascii="Times New Roman" w:hAnsi="Times New Roman" w:cs="Times New Roman"/>
          <w:i/>
          <w:iCs/>
          <w:sz w:val="22"/>
          <w:szCs w:val="22"/>
        </w:rPr>
        <w:t>Liber Amicorum per Marco D’Alberti</w:t>
      </w:r>
      <w:r w:rsidRPr="00010023">
        <w:rPr>
          <w:rFonts w:ascii="Times New Roman" w:hAnsi="Times New Roman" w:cs="Times New Roman"/>
          <w:sz w:val="22"/>
          <w:szCs w:val="22"/>
        </w:rPr>
        <w:t xml:space="preserve">, Giappichelli, Torino, 2022; M. LUCIANI, </w:t>
      </w:r>
      <w:r w:rsidRPr="00010023">
        <w:rPr>
          <w:rFonts w:ascii="Times New Roman" w:hAnsi="Times New Roman" w:cs="Times New Roman"/>
          <w:i/>
          <w:iCs/>
          <w:sz w:val="22"/>
          <w:szCs w:val="22"/>
        </w:rPr>
        <w:t>Ogni cosa al suo posto</w:t>
      </w:r>
      <w:r w:rsidRPr="00010023">
        <w:rPr>
          <w:rFonts w:ascii="Times New Roman" w:hAnsi="Times New Roman" w:cs="Times New Roman"/>
          <w:sz w:val="22"/>
          <w:szCs w:val="22"/>
        </w:rPr>
        <w:t xml:space="preserve">, Giuffrè, Milano, 2024; G. Gargano, </w:t>
      </w:r>
      <w:r w:rsidRPr="00010023">
        <w:rPr>
          <w:rFonts w:ascii="Times New Roman" w:hAnsi="Times New Roman" w:cs="Times New Roman"/>
          <w:i/>
          <w:iCs/>
          <w:sz w:val="22"/>
          <w:szCs w:val="22"/>
        </w:rPr>
        <w:t>La riserva di procedimento amministrativo</w:t>
      </w:r>
      <w:r w:rsidRPr="00010023">
        <w:rPr>
          <w:rFonts w:ascii="Times New Roman" w:hAnsi="Times New Roman" w:cs="Times New Roman"/>
          <w:sz w:val="22"/>
          <w:szCs w:val="22"/>
        </w:rPr>
        <w:t>, Editoriale Scientifica, Napoli, 2023.</w:t>
      </w:r>
    </w:p>
    <w:bookmarkEnd w:id="77"/>
    <w:bookmarkEnd w:id="78"/>
  </w:footnote>
  <w:footnote w:id="125">
    <w:p w14:paraId="40EDBAAC"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giurisprudenza della Corte costituzionale manifesta, ormai da tempo, una crescente sensibilità nei confronti delle esigenze sottese alla transizione energetica, delineando un orientamento interpretativo che, ben prima della riforma costituzionale del 2022, aveva individuato nella promozione delle fonti energetiche rinnovabili un interesse di rilievo costituzionale, destinato a incidere profondamente sul bilanciamento tra i diversi valori coinvolti nei procedimenti autorizzatori. Si tratta di un percorso giurisprudenziale che testimonia come il diritto costituzionale italiano abbia progressivamente accompagnato l'evoluzione delle politiche climatiche ed energetiche europee, contribuendo ad una rilettura dinamica dei principi costituzionali alla luce delle nuove sfide ambientali.</w:t>
      </w:r>
    </w:p>
    <w:p w14:paraId="7B1F26B5"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In questa prospettiva, la sentenza n. 46 del 2021 rappresenta uno dei passaggi più significativi. La Corte afferma espressamente il «</w:t>
      </w:r>
      <w:r w:rsidRPr="00010023">
        <w:rPr>
          <w:rFonts w:ascii="Times New Roman" w:hAnsi="Times New Roman" w:cs="Times New Roman"/>
          <w:i/>
          <w:iCs/>
          <w:sz w:val="22"/>
          <w:szCs w:val="22"/>
        </w:rPr>
        <w:t>preminente rilievo del principio della massima diffusione delle energie rinnovabili</w:t>
      </w:r>
      <w:r w:rsidRPr="00010023">
        <w:rPr>
          <w:rFonts w:ascii="Times New Roman" w:hAnsi="Times New Roman" w:cs="Times New Roman"/>
          <w:sz w:val="22"/>
          <w:szCs w:val="22"/>
        </w:rPr>
        <w:t>», riconoscendo che tale principio costituisce il fondamento della necessaria semplificazione dei procedimenti autorizzatori. La promozione delle fonti rinnovabili non è dunque configurata come un mero obiettivo di politica economica o industriale, ma come un interesse pubblico di rango costituzionale che orienta l'interpretazione della disciplina amministrativa e impone al legislatore e alle amministrazioni di evitare ostacoli procedimentali non giustificati.</w:t>
      </w:r>
    </w:p>
    <w:p w14:paraId="120FD2D4" w14:textId="2D9F8DD8"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Tale approdo si inserisce in una linea interpretativa già consolidata. La sentenza n. 148 del 2019 aveva infatti chiarito che il principio della massima diffusione delle fonti energetiche rinnovabili, di diretta derivazione dal diritto dell'Unione europea, trova concreta attuazione nella generale utilizzabilità del territorio nazionale per l'installazione degli impianti, ammettendo limitazioni soltanto quando risultino puntualmente giustificate dalla tutela di altri interessi costituzionalmente rilevanti. Ne deriva il divieto di introdurre preclusioni generalizzate o divieti assoluti, incompatibili con l'obiettivo di favorire la produzione di energia da fonti rinnovabili. In questa prospettiva, il territorio non costituisce uno spazio preventivamente sottratto allo sviluppo degli impianti, bensì il luogo nel quale deve realizzarsi un concreto bilanciamento tra interessi costituzionali concorrenti.</w:t>
      </w:r>
    </w:p>
  </w:footnote>
  <w:footnote w:id="126">
    <w:p w14:paraId="04858E94" w14:textId="683A4999"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Già con la sentenza n. 44 del 2011 la Corte Costituzionale aveva anticipato tale impostazione relativa al divieto di introdurre vincoli generalizzati alla realizzazione di impianti da fonti rinnovabili, censurando le discipline regionali che introducevano limiti indiscriminati o individuavano aree indiscriminatamente precluse all'installazione degli impianti in assenza del necessario coordinamento con la normativa statale e con le linee guida nazionali. La Corte evidenziava come simili discipline regionali risultassero incompatibili con l'esigenza, di rilievo costituzionale ed europeo, di favorire la più ampia diffusione delle energie rinnovabili, riaffermando la necessità di un esercizio coordinato delle competenze legislative volto a garantire l'effettività degli obiettivi energetici nazionali. La più recente sentenza n. 184 del 2025 conferma la piena continuità di questo orientamento anche nel nuovo quadro normativo successivo all'individuazione delle aree idonee e non idonee. La Corte ribadisce che la qualificazione di un'area come "non idonea" non può mai tradursi in un divieto automatico e aprioristico di realizzazione degli impianti, poiché la valutazione definitiva deve comunque essere rimessa al procedimento autorizzatorio concreto, nel quale l'amministrazione è chiamata a svolgere un'effettiva ponderazione degli interessi coinvolti. Anche in questa occasione emerge con chiarezza come il principio della massima diffusione delle fonti rinnovabili costituisca un criterio ermeneutico destinato a permeare l'intero sistema autorizzatorio.</w:t>
      </w:r>
    </w:p>
    <w:p w14:paraId="3C6D1C1C" w14:textId="0472CB5B"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L'esame complessivo di tali pronunce evidenzia, dunque, come la Corte costituzionale abbia progressivamente elaborato una vera e propria "costituzionalizzazione" della transizione energetica. Il favor per le fonti rinnovabili non viene concepito quale interesse settoriale, bensì come espressione di un paradigma costituzionale in evoluzione, nel quale la tutela dell'ambiente, la sicurezza energetica, la sostenibilità dello sviluppo e la protezione delle generazioni future assumono un peso crescente nell'interpretazione dell'ordinamento. Sotto questo profilo, la riforma degli artt. 9 e 41 Cost. del 2022 non appare tanto una cesura quanto il punto di approdo di un'evoluzione già chiaramente leggibile nella giurisprudenza costituzionale. Le nuove disposizioni costituzionali, che impongono la tutela dell'ambiente, della biodiversità e degli ecosistemi anche nell'interesse delle future generazioni e subordinano l'iniziativa economica privata al rispetto della salute e dell'ambiente, rafforzano un indirizzo interpretativo già consolidato, conferendo espresso fondamento costituzionale a quella rilettura dei rapporti tra sviluppo economico, tutela ambientale e politiche energetiche che la Corte aveva progressivamente costruito nel corso degli anni.</w:t>
      </w:r>
    </w:p>
    <w:p w14:paraId="74800F49" w14:textId="6A7B44E6"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In questa prospettiva, il principio della massima diffusione delle energie rinnovabili assume una funzione sistemica: esso non implica la prevalenza assoluta dell'interesse energetico sugli altri valori costituzionali, ma impone che il bilanciamento tra interessi avvenga secondo criteri di proporzionalità, ragionevolezza e valutazione caso per caso, escludendo preclusioni generalizzate e automatismi incompatibili con gli obiettivi della decarbonizzazione. La giurisprudenza costituzionale mostra così una significativa vicinanza alle esigenze della transizione ecologica, contribuendo a ridefinire il contenuto assiologico della Costituzione in senso coerente con le trasformazioni imposte dalla crisi climatica e dagli impegni europei e internazionali in materia ambientale. La transizione energetica emerge, pertanto, non come un obiettivo esclusivamente legislativo o amministrativo, ma come una direttrice interpretativa dell'intero sistema costituzionale, capace di orientare il bilanciamento tra diritti, competenze e interessi pubblici nella prospettiva di uno sviluppo realmente sostenibile.</w:t>
      </w:r>
    </w:p>
  </w:footnote>
  <w:footnote w:id="127">
    <w:p w14:paraId="3D95FADA" w14:textId="4EB241C3"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Sulla scia dell'elaborazione della Corte costituzionale, anche la giurisprudenza amministrativa ha progressivamente consolidato un orientamento uniforme volto a delimitare l'esercizio della discrezionalità amministrativa nella localizzazione e autorizzazione degli impianti alimentati da fonti di energia rinnovabile. Il Consiglio di Stato e i giudici amministrativi di primo grado hanno, infatti, recepito i principi elaborati dalla Consulta, trasformandoli in veri e propri parametri di legittimità dell'azione amministrativa e restringendo gli spazi entro i quali Regioni, Comuni e amministrazioni competenti possono esercitare il proprio potere valutativo.</w:t>
      </w:r>
    </w:p>
  </w:footnote>
  <w:footnote w:id="128">
    <w:p w14:paraId="770A2B19" w14:textId="18AF09C2"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Particolarmente significativa è la sentenza del Consiglio di Stato n. 2464 del 2022, che qualifica il principio della massima diffusione delle fonti energetiche rinnovabili come principio fondamentale della materia "energia", chiarendo che il corretto luogo di composizione tra gli interessi costituzionali potenzialmente confliggenti non è rappresentato dalla pianificazione astratta o dall'imposizione di divieti preventivi, bensì dal procedimento autorizzatorio, nel quale l'amministrazione è chiamata a svolgere un'effettiva comparazione tra gli interessi pubblici e privati coinvolti. La discrezionalità amministrativa viene così ricondotta entro un modello procedimentale di bilanciamento concreto, incompatibile con automatismi o preclusioni generalizzate. Nello stesso solco si collocano le successive pronunce del Consiglio di Stato. La sentenza n. 8260 del 2023 ribadisce che l'art. 12 del d.lgs. n. 387 del 2003 realizza un punto di equilibrio tra valori costituzionali concorrenti, senza tuttavia consentire limitazioni aprioristiche all'installazione degli impianti FER, mentre la sentenza n. 4871 del 2024, richiamando espressamente la giurisprudenza costituzionale, afferma che le linee guida nazionali costituiscono criteri di orientamento dell'azione amministrativa e che il favor ordinamentale per le energie rinnovabili impedisce esclusioni preventive di intere categorie di aree. Già in precedenza, la sentenza n. 1020 del 2010 aveva escluso la possibilità per le Regioni di sottrarre unilateralmente porzioni del territorio all'installazione degli impianti in assenza del necessario coordinamento statale, mentre la sentenza n. 3990 del 2012 aveva evidenziato che la produzione di energia da fonti rinnovabili si svolge in un contesto di libero mercato, nel quale le esigenze paesaggistiche e ambientali devono trovare adeguata considerazione all'interno del procedimento autorizzatorio e della valutazione di impatto ambientale, senza tradursi in divieti generalizzati. Anche la giurisprudenza dei Tribunali amministrativi regionali si è pienamente allineata a tale indirizzo. Il TAR Umbria, con la sentenza n. 591 del 2024, valorizza il favor euro-unitario per la diffusione delle energie rinnovabili, richiamando il quadro normativo europeo che attribuisce priorità alla realizzazione degli impianti FER nella ponderazione degli interessi pubblici. Le pronunce del TAR Sicilia (Palermo) </w:t>
      </w:r>
      <w:proofErr w:type="spellStart"/>
      <w:r w:rsidRPr="00010023">
        <w:rPr>
          <w:rFonts w:ascii="Times New Roman" w:hAnsi="Times New Roman" w:cs="Times New Roman"/>
          <w:sz w:val="22"/>
          <w:szCs w:val="22"/>
        </w:rPr>
        <w:t>nn</w:t>
      </w:r>
      <w:proofErr w:type="spellEnd"/>
      <w:r w:rsidRPr="00010023">
        <w:rPr>
          <w:rFonts w:ascii="Times New Roman" w:hAnsi="Times New Roman" w:cs="Times New Roman"/>
          <w:sz w:val="22"/>
          <w:szCs w:val="22"/>
        </w:rPr>
        <w:t xml:space="preserve">. 2482 e 2475 del 2024 ribadiscono che il principio della massima diffusione delle fonti rinnovabili non determina una gerarchia assoluta rispetto alla tutela paesaggistica, ma impone che il relativo bilanciamento avvenga esclusivamente nell'ambito del procedimento amministrativo, escludendo che il dissenso delle amministrazioni preposte alla tutela del paesaggio possa trasformarsi in un veto automatico e insuperabile. Particolarmente rilevante appare, inoltre, la più recente giurisprudenza del TAR Lazio in materia di aree non idonee&lt;; invero con la sentenza n. 9155 del 2025 il Tribunale amministrativo afferma che il principio della massima diffusione delle fonti rinnovabili, pur non assumendo carattere di assoluta prevalenza rispetto agli altri interessi costituzionali, impedisce comunque la sottrazione indiscriminata di porzioni del territorio alla realizzazione degli impianti. Le aree classificate come non idonee costituiscono esclusivamente un indice di maggiore complessità istruttoria e impongono una motivazione più rigorosa nel singolo procedimento, senza determinare alcuna inedificabilità automatica. </w:t>
      </w:r>
    </w:p>
    <w:p w14:paraId="5D3ACF83" w14:textId="68DCBB4B"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 xml:space="preserve">Lo stesso principio viene ribadito dalle sentenze </w:t>
      </w:r>
      <w:proofErr w:type="spellStart"/>
      <w:r w:rsidRPr="00010023">
        <w:rPr>
          <w:rFonts w:ascii="Times New Roman" w:hAnsi="Times New Roman" w:cs="Times New Roman"/>
          <w:sz w:val="22"/>
          <w:szCs w:val="22"/>
        </w:rPr>
        <w:t>nn</w:t>
      </w:r>
      <w:proofErr w:type="spellEnd"/>
      <w:r w:rsidRPr="00010023">
        <w:rPr>
          <w:rFonts w:ascii="Times New Roman" w:hAnsi="Times New Roman" w:cs="Times New Roman"/>
          <w:sz w:val="22"/>
          <w:szCs w:val="22"/>
        </w:rPr>
        <w:t>. 9160, 9165, 9166 e 9167 del 2025, nelle quali si afferma che il diniego autorizzatorio non può essere fondato esclusivamente sulla classificazione territoriale dell'area, ma deve essere sostenuto da una puntuale comparazione degli interessi concretamente coinvolti. La successiva sentenza n. 16241 del 2025 conferma ulteriormente tale impostazione, precisando che il favor per la diffusione delle energie rinnovabili non elimina la necessità di tutelare ambiente e paesaggio, ma impedisce che tali interessi siano utilizzati per giustificare preclusioni generalizzate o indiscriminate.</w:t>
      </w:r>
    </w:p>
    <w:p w14:paraId="12C46187" w14:textId="566DCC2B"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In termini ancora più significativi, il TAR Sardegna, con la sentenza n. 1163 del 2025, ha ritenuto non manifestamente infondata la questione di legittimità costituzionale di una disciplina regionale suscettibile di produrre effetti assimilabili a una moratoria generalizzata, ritenendo che simili meccanismi possano porsi in contrasto con il principio della massima diffusione delle fonti energetiche rinnovabili, come elaborato dalla Corte costituzionale, nonché con gli obblighi derivanti dall'ordinamento dell'Unione europea in materia di decarbonizzazione. L'esame complessivo di tale giurisprudenza consente di affermare che il principio della massima diffusione delle fonti energetiche rinnovabili, di matrice eurounitaria e ormai stabilmente recepito nell'ordinamento interno, costituisce un parametro conformativo dell'azione amministrativa. Esso non attribuisce alle esigenze di produzione energetica una posizione di assoluta prevalenza rispetto alla tutela dell'ambiente, del paesaggio o del patrimonio culturale, ma impone che il relativo bilanciamento sia sempre svolto in concreto, all'interno del procedimento autorizzatorio, mediante un'istruttoria completa e una motivazione adeguata. Ne consegue una significativa compressione della discrezionalità amministrativa degli enti territoriali, i quali non possono ricorrere a divieti generalizzati, automatismi pianificatori o presunzioni assolute di incompatibilità territoriale, ma sono tenuti a esercitare il proprio potere conformemente ai principi di proporzionalità, ragionevolezza e adeguatezza elaborati dalla giurisprudenza costituzionale e amministrativa. La nozione stessa di "area non idonea" perde, così, ogni valenza interdittiva automatica, assumendo esclusivamente la funzione di parametro istruttorio che impone una valutazione maggiormente approfondita nel caso concreto, senza mai esonerare l'amministrazione dall'obbligo di una ponderazione effettiva e individualizzata degli interessi coinvolti.</w:t>
      </w:r>
    </w:p>
  </w:footnote>
  <w:footnote w:id="129">
    <w:p w14:paraId="52C87434" w14:textId="77777777" w:rsidR="00DF358B" w:rsidRPr="002F61DD" w:rsidRDefault="00DF358B" w:rsidP="002F61DD">
      <w:pPr>
        <w:pStyle w:val="Testonotaapidipagina"/>
        <w:spacing w:line="240" w:lineRule="exact"/>
        <w:contextualSpacing/>
        <w:jc w:val="both"/>
        <w:rPr>
          <w:rFonts w:ascii="Times New Roman" w:hAnsi="Times New Roman" w:cs="Times New Roman"/>
          <w:sz w:val="22"/>
          <w:szCs w:val="22"/>
        </w:rPr>
      </w:pPr>
      <w:r>
        <w:rPr>
          <w:rStyle w:val="Rimandonotaapidipagina"/>
        </w:rPr>
        <w:footnoteRef/>
      </w:r>
      <w:r>
        <w:t xml:space="preserve"> </w:t>
      </w:r>
      <w:r w:rsidRPr="002F61DD">
        <w:rPr>
          <w:rFonts w:ascii="Times New Roman" w:hAnsi="Times New Roman" w:cs="Times New Roman"/>
          <w:sz w:val="22"/>
          <w:szCs w:val="22"/>
        </w:rPr>
        <w:t>Sul punto, si richiamano i più recenti orientamenti della giurisprudenza amministrativa, i quali risultano particolarmente significativi ai fini della presente ricostruzione.</w:t>
      </w:r>
    </w:p>
    <w:p w14:paraId="6F1ECF3F" w14:textId="77777777" w:rsidR="00DF358B" w:rsidRPr="002F61DD" w:rsidRDefault="00DF358B" w:rsidP="002F61DD">
      <w:pPr>
        <w:pStyle w:val="Testonotaapidipagina"/>
        <w:spacing w:line="240" w:lineRule="exact"/>
        <w:contextualSpacing/>
        <w:jc w:val="both"/>
        <w:rPr>
          <w:rFonts w:ascii="Times New Roman" w:hAnsi="Times New Roman" w:cs="Times New Roman"/>
          <w:sz w:val="22"/>
          <w:szCs w:val="22"/>
        </w:rPr>
      </w:pPr>
      <w:r w:rsidRPr="002F61DD">
        <w:rPr>
          <w:rFonts w:ascii="Times New Roman" w:hAnsi="Times New Roman" w:cs="Times New Roman"/>
          <w:sz w:val="22"/>
          <w:szCs w:val="22"/>
        </w:rPr>
        <w:t xml:space="preserve">In particolare, il Consiglio di Stato ha precisato che, in materia di impianti soggetti ad autorizzazione integrata ambientale, il rilascio dell’AIA può comportare, ove necessario, una variante automatica allo strumento urbanistico vigente (Cons. Stato,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xml:space="preserve">. n. 4447/2026); nonché che, con riferimento allo sviluppo delle fonti energetiche rinnovabili, sussiste l’esigenza di una motivazione rafforzata nell’ambito del bilanciamento tra gli interessi pubblici e privati coinvolti (Cons. Stato,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n. 4906/2026).</w:t>
      </w:r>
    </w:p>
    <w:p w14:paraId="33A53343" w14:textId="2240466A" w:rsidR="00DF358B" w:rsidRPr="002F61DD" w:rsidRDefault="00DF358B" w:rsidP="002F61DD">
      <w:pPr>
        <w:pStyle w:val="Testonotaapidipagina"/>
        <w:spacing w:line="240" w:lineRule="exact"/>
        <w:contextualSpacing/>
        <w:jc w:val="both"/>
        <w:rPr>
          <w:rFonts w:ascii="Times New Roman" w:hAnsi="Times New Roman" w:cs="Times New Roman"/>
          <w:sz w:val="22"/>
          <w:szCs w:val="22"/>
        </w:rPr>
      </w:pPr>
      <w:r w:rsidRPr="002F61DD">
        <w:rPr>
          <w:rFonts w:ascii="Times New Roman" w:hAnsi="Times New Roman" w:cs="Times New Roman"/>
          <w:sz w:val="22"/>
          <w:szCs w:val="22"/>
        </w:rPr>
        <w:t xml:space="preserve">In materia regolatoria, la giurisprudenza amministrativa ha inoltre rilevato, con riferimento alla disciplina tariffaria degli impianti a biomassa da rifiuto legnoso, l’illegittimità della deliberazione ARERA sui PMG per carenza dei presupposti giuridici e istruttori (TAR Firenze,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xml:space="preserve">. n. 1280/2026; TAR Milano,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n. 3278/2026).</w:t>
      </w:r>
      <w:r>
        <w:rPr>
          <w:rFonts w:ascii="Times New Roman" w:hAnsi="Times New Roman" w:cs="Times New Roman"/>
          <w:sz w:val="22"/>
          <w:szCs w:val="22"/>
        </w:rPr>
        <w:t xml:space="preserve"> Inoltre</w:t>
      </w:r>
      <w:r w:rsidRPr="002F61DD">
        <w:rPr>
          <w:rFonts w:ascii="Times New Roman" w:hAnsi="Times New Roman" w:cs="Times New Roman"/>
          <w:sz w:val="22"/>
          <w:szCs w:val="22"/>
        </w:rPr>
        <w:t xml:space="preserve">, è stato riconosciuto l’effetto conformativo derivante da una pronuncia di incostituzionalità di una legge regionale, con conseguente obbligo per l’amministrazione di adeguare la propria azione ai principi enunciati dal giudice delle leggi (TAR Cagliari,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n. 935/2026).</w:t>
      </w:r>
    </w:p>
    <w:p w14:paraId="63AC60C3" w14:textId="77777777" w:rsidR="00DF358B" w:rsidRPr="002F61DD" w:rsidRDefault="00DF358B" w:rsidP="002F61DD">
      <w:pPr>
        <w:pStyle w:val="Testonotaapidipagina"/>
        <w:spacing w:line="240" w:lineRule="exact"/>
        <w:contextualSpacing/>
        <w:jc w:val="both"/>
        <w:rPr>
          <w:rFonts w:ascii="Times New Roman" w:hAnsi="Times New Roman" w:cs="Times New Roman"/>
          <w:sz w:val="22"/>
          <w:szCs w:val="22"/>
        </w:rPr>
      </w:pPr>
      <w:r w:rsidRPr="002F61DD">
        <w:rPr>
          <w:rFonts w:ascii="Times New Roman" w:hAnsi="Times New Roman" w:cs="Times New Roman"/>
          <w:sz w:val="22"/>
          <w:szCs w:val="22"/>
        </w:rPr>
        <w:t xml:space="preserve">Con specifico riguardo al regime autorizzatorio, il TAR Roma ha ribadito che, in presenza di parere della Soprintendenza reso su area qualificata come idonea, il diniego della amministrazione procedente richiede una motivazione rafforzata, non potendo limitarsi al mero recepimento del parere non vincolante (TAR Roma,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xml:space="preserve">. n. 11395/2026). Inoltre, in relazione al regime transitorio del Testo Unico FER, è stata affrontata l’applicazione delle nuove disposizioni ai procedimenti pendenti, con particolare attenzione ai criteri di coordinamento normativo (TAR Palermo,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n. 1856/2026).</w:t>
      </w:r>
    </w:p>
    <w:p w14:paraId="6709075B" w14:textId="77777777" w:rsidR="00DF358B" w:rsidRPr="002F61DD" w:rsidRDefault="00DF358B" w:rsidP="002F61DD">
      <w:pPr>
        <w:pStyle w:val="Testonotaapidipagina"/>
        <w:spacing w:line="240" w:lineRule="exact"/>
        <w:contextualSpacing/>
        <w:jc w:val="both"/>
        <w:rPr>
          <w:rFonts w:ascii="Times New Roman" w:hAnsi="Times New Roman" w:cs="Times New Roman"/>
          <w:sz w:val="22"/>
          <w:szCs w:val="22"/>
        </w:rPr>
      </w:pPr>
      <w:r w:rsidRPr="002F61DD">
        <w:rPr>
          <w:rFonts w:ascii="Times New Roman" w:hAnsi="Times New Roman" w:cs="Times New Roman"/>
          <w:sz w:val="22"/>
          <w:szCs w:val="22"/>
        </w:rPr>
        <w:t xml:space="preserve">Quanto alla materia impiantistica, il TAR Bologna ha chiarito i criteri interpretativi relativi al frazionamento degli impianti ai fini dell’assoggettamento a PAS o autorizzazione unica, nonché la sua incidenza sull’esenzione dal divieto di impianti fotovoltaici a terra nell’ambito delle Comunità Energetiche Rinnovabili (TAR Bologna,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n. 1198/2026).</w:t>
      </w:r>
    </w:p>
    <w:p w14:paraId="606C2B30" w14:textId="77777777" w:rsidR="00DF358B" w:rsidRPr="002F61DD" w:rsidRDefault="00DF358B" w:rsidP="002F61DD">
      <w:pPr>
        <w:pStyle w:val="Testonotaapidipagina"/>
        <w:spacing w:line="240" w:lineRule="exact"/>
        <w:contextualSpacing/>
        <w:jc w:val="both"/>
        <w:rPr>
          <w:rFonts w:ascii="Times New Roman" w:hAnsi="Times New Roman" w:cs="Times New Roman"/>
          <w:sz w:val="22"/>
          <w:szCs w:val="22"/>
        </w:rPr>
      </w:pPr>
      <w:r w:rsidRPr="002F61DD">
        <w:rPr>
          <w:rFonts w:ascii="Times New Roman" w:hAnsi="Times New Roman" w:cs="Times New Roman"/>
          <w:sz w:val="22"/>
          <w:szCs w:val="22"/>
        </w:rPr>
        <w:t xml:space="preserve">Infine, con riferimento alla tutela paesaggistica e territoriale, il TAR Lecce ha ribadito che la valutazione paesaggistica deve essere svolta mediante un’analisi concreta, complessiva e non meramente atomistica dell’intervento progettuale (TAR Lecce,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xml:space="preserve">. n. 807/2026), mentre il TAR Trento ha affermato l’illegittimità di divieti generalizzati e aprioristici in materia di aree agricole di pregio, in assenza di una puntuale verifica della compatibilità del singolo intervento (TAR Trento, </w:t>
      </w:r>
      <w:proofErr w:type="spellStart"/>
      <w:r w:rsidRPr="002F61DD">
        <w:rPr>
          <w:rFonts w:ascii="Times New Roman" w:hAnsi="Times New Roman" w:cs="Times New Roman"/>
          <w:sz w:val="22"/>
          <w:szCs w:val="22"/>
        </w:rPr>
        <w:t>sent</w:t>
      </w:r>
      <w:proofErr w:type="spellEnd"/>
      <w:r w:rsidRPr="002F61DD">
        <w:rPr>
          <w:rFonts w:ascii="Times New Roman" w:hAnsi="Times New Roman" w:cs="Times New Roman"/>
          <w:sz w:val="22"/>
          <w:szCs w:val="22"/>
        </w:rPr>
        <w:t>. n. 1035/2026).</w:t>
      </w:r>
    </w:p>
    <w:p w14:paraId="2B00B143" w14:textId="30C1B751" w:rsidR="00DF358B" w:rsidRPr="00FE74C1" w:rsidRDefault="00DF358B" w:rsidP="00FE74C1">
      <w:pPr>
        <w:pStyle w:val="Testonotaapidipagina"/>
        <w:spacing w:line="240" w:lineRule="exact"/>
        <w:contextualSpacing/>
        <w:jc w:val="both"/>
        <w:rPr>
          <w:rFonts w:ascii="Times New Roman" w:hAnsi="Times New Roman" w:cs="Times New Roman"/>
          <w:sz w:val="22"/>
          <w:szCs w:val="22"/>
        </w:rPr>
      </w:pPr>
    </w:p>
    <w:p w14:paraId="6A950FA1" w14:textId="1A7BD17C" w:rsidR="00DF358B" w:rsidRDefault="00DF358B" w:rsidP="00FE74C1">
      <w:pPr>
        <w:pStyle w:val="Testonotaapidipagina"/>
      </w:pPr>
    </w:p>
  </w:footnote>
  <w:footnote w:id="130">
    <w:p w14:paraId="3E71BE19" w14:textId="2E946D3F"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citata sentenza costituisce il primo arresto della Consulta dedicato specificamente alle CER e rappresenta un precedente di particolare rilievo nel delineare il riparto delle competenze legislative tra Stato e Regioni in un settore caratterizzato da una forte integrazione tra diritto interno e diritto dell'Unione europea. La decisione trae origine dall'impugnazione, da parte del Presidente del Consiglio dei ministri, della Legge della Regione Abruzzo 17 maggio 2022, n. 8, recante «Interventi regionali di promozione dei gruppi di </w:t>
      </w:r>
      <w:proofErr w:type="spellStart"/>
      <w:r w:rsidRPr="00010023">
        <w:rPr>
          <w:rFonts w:ascii="Times New Roman" w:hAnsi="Times New Roman" w:cs="Times New Roman"/>
          <w:sz w:val="22"/>
          <w:szCs w:val="22"/>
        </w:rPr>
        <w:t>autoconsumatori</w:t>
      </w:r>
      <w:proofErr w:type="spellEnd"/>
      <w:r w:rsidRPr="00010023">
        <w:rPr>
          <w:rFonts w:ascii="Times New Roman" w:hAnsi="Times New Roman" w:cs="Times New Roman"/>
          <w:sz w:val="22"/>
          <w:szCs w:val="22"/>
        </w:rPr>
        <w:t xml:space="preserve"> di energia rinnovabile e delle comunità energetiche rinnovabili e modifiche alla </w:t>
      </w:r>
      <w:proofErr w:type="spellStart"/>
      <w:r w:rsidRPr="00010023">
        <w:rPr>
          <w:rFonts w:ascii="Times New Roman" w:hAnsi="Times New Roman" w:cs="Times New Roman"/>
          <w:sz w:val="22"/>
          <w:szCs w:val="22"/>
        </w:rPr>
        <w:t>l.r</w:t>
      </w:r>
      <w:proofErr w:type="spellEnd"/>
      <w:r w:rsidRPr="00010023">
        <w:rPr>
          <w:rFonts w:ascii="Times New Roman" w:hAnsi="Times New Roman" w:cs="Times New Roman"/>
          <w:sz w:val="22"/>
          <w:szCs w:val="22"/>
        </w:rPr>
        <w:t xml:space="preserve">. n. 6/2022», con la quale il legislatore regionale aveva introdotto una disciplina di sostegno alle CER, attribuendo tuttavia alla Giunta regionale anche il potere di individuare i requisiti dei soggetti legittimati a partecipare alle comunità energetiche. La Corte riconosce preliminarmente che la disciplina delle CER si colloca nell'ambito della materia della «produzione, trasporto e distribuzione nazionale dell'energia», di cui all'art. 117, terzo comma, Cost., e che, pertanto, le Regioni possono certamente esercitare la propria potestà legislativa concorrente, purché nel rispetto dei principi fondamentali fissati dal legislatore statale. Proprio tale premessa costituisce il nucleo della decisione: la Consulta ribadisce che il sistema delineato dal legislatore nazionale in attuazione della disciplina europea mira ad assicurare un quadro uniforme di funzionamento delle comunità energetiche sull'intero territorio nazionale e che tale uniformità non può essere compromessa dall'introduzione di discipline regionali difformi. </w:t>
      </w:r>
    </w:p>
    <w:p w14:paraId="2C969A80"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 xml:space="preserve">Muovendo da tali presupposti, la Corte dichiara costituzionalmente illegittimo l'art. 9, comma 1, lett. b), della legge regionale, limitatamente alla previsione che demandava alla Giunta regionale la definizione «dei requisiti dei soggetti che possono partecipare alle CER». Secondo la Consulta, l'individuazione dei soggetti legittimati a partecipare a una comunità energetica rinnovabile costituisce uno dei principi fondamentali della materia, già integralmente disciplinato dagli artt. 31 e 32 del d.lgs. n. 199 del 2021 in attuazione della direttiva (UE) 2018/2001 (RED II). Ne consegue che la Regione non può introdurre criteri ulteriori o differenziati, poiché ciò determinerebbe una frammentazione incompatibile con l'esigenza di assicurare condizioni uniformi di accesso al modello delle CER su tutto il territorio nazionale. </w:t>
      </w:r>
    </w:p>
    <w:p w14:paraId="4F45289F" w14:textId="11D02578"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Di particolare interesse è anche ciò che la Corte non censura. Vengono infatti dichiarate non fondate le questioni relative alla facoltà delle CER di stipulare accordi con l'ARERA e con i gestori della rete, ritenendosi che tale previsione non interferisca con le competenze statali né introduca obblighi ulteriori rispetto a quelli previsti dal legislatore nazionale. Analogamente, risultano non fondate le censure concernenti la copertura finanziaria della legge regionale, mentre numerose altre questioni vengono dichiarate inammissibili per difetto di motivazione del ricorso governativo. La pronuncia, pertanto, non mette in discussione il potere delle Regioni di promuovere e sostenere le comunità energetiche mediante strumenti di incentivazione, formazione, coordinamento e assistenza agli enti locali, ma circoscrive rigorosamente l'ambito entro il quale tale potestà può essere esercitata. La sentenza assume così una portata sistematica che trascende il caso concreto poiché chiarisce che le Regioni possono svolgere un ruolo essenziale nella promozione delle CER, ma non possono incidere sugli elementi strutturali del modello normativo predisposto dal legislatore statale. I requisiti soggettivi di partecipazione, la definizione della comunità energetica, i criteri di funzionamento e gli elementi essenziali dell'istituto costituiscono infatti principi fondamentali della materia energetica, la cui uniformità rappresenta una condizione imprescindibile per garantire l'effettiva diffusione delle CER e il perseguimento degli obiettivi europei di decarbonizzazione. Si v</w:t>
      </w:r>
      <w:bookmarkStart w:id="80" w:name="_Hlk233825686"/>
      <w:r w:rsidRPr="00010023">
        <w:rPr>
          <w:rFonts w:ascii="Times New Roman" w:hAnsi="Times New Roman" w:cs="Times New Roman"/>
          <w:sz w:val="22"/>
          <w:szCs w:val="22"/>
        </w:rPr>
        <w:t xml:space="preserve">. </w:t>
      </w:r>
      <w:bookmarkStart w:id="81" w:name="_Hlk233884438"/>
      <w:r w:rsidRPr="00010023">
        <w:rPr>
          <w:rFonts w:ascii="Times New Roman" w:hAnsi="Times New Roman" w:cs="Times New Roman"/>
          <w:sz w:val="22"/>
          <w:szCs w:val="22"/>
        </w:rPr>
        <w:t xml:space="preserve">F. SANCHINI, </w:t>
      </w:r>
      <w:r w:rsidRPr="00010023">
        <w:rPr>
          <w:rFonts w:ascii="Times New Roman" w:hAnsi="Times New Roman" w:cs="Times New Roman"/>
          <w:i/>
          <w:iCs/>
          <w:sz w:val="22"/>
          <w:szCs w:val="22"/>
        </w:rPr>
        <w:t>Le comunità energetiche rinnovabili tra fondamento costituzionale e riparto di competenze legislative Stato-Regioni. Riflessioni alla luce della sentenza n. 48 del 2023 della Corte costituzionale</w:t>
      </w:r>
      <w:r w:rsidRPr="00010023">
        <w:rPr>
          <w:rFonts w:ascii="Times New Roman" w:hAnsi="Times New Roman" w:cs="Times New Roman"/>
          <w:sz w:val="22"/>
          <w:szCs w:val="22"/>
        </w:rPr>
        <w:t xml:space="preserve">, </w:t>
      </w:r>
      <w:r w:rsidRPr="00010023">
        <w:rPr>
          <w:rFonts w:ascii="Times New Roman" w:hAnsi="Times New Roman" w:cs="Times New Roman"/>
          <w:i/>
          <w:iCs/>
          <w:sz w:val="22"/>
          <w:szCs w:val="22"/>
        </w:rPr>
        <w:t>Federalismi.it</w:t>
      </w:r>
      <w:r w:rsidRPr="00010023">
        <w:rPr>
          <w:rFonts w:ascii="Times New Roman" w:hAnsi="Times New Roman" w:cs="Times New Roman"/>
          <w:sz w:val="22"/>
          <w:szCs w:val="22"/>
        </w:rPr>
        <w:t>, 2024, 8.</w:t>
      </w:r>
    </w:p>
    <w:bookmarkEnd w:id="80"/>
    <w:bookmarkEnd w:id="81"/>
    <w:p w14:paraId="2DAEEE92" w14:textId="33156951"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p>
  </w:footnote>
  <w:footnote w:id="131">
    <w:p w14:paraId="145CB28B" w14:textId="77777777"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w:t>
      </w:r>
      <w:bookmarkStart w:id="82" w:name="_Hlk233884449"/>
      <w:r w:rsidRPr="00010023">
        <w:rPr>
          <w:rFonts w:ascii="Times New Roman" w:hAnsi="Times New Roman" w:cs="Times New Roman"/>
          <w:sz w:val="22"/>
          <w:szCs w:val="22"/>
        </w:rPr>
        <w:t xml:space="preserve">Legge regionale 27 maggio 2022, n. 5, Promozione e sostegno delle comunità energetiche rinnovabili e degli </w:t>
      </w:r>
      <w:proofErr w:type="spellStart"/>
      <w:r w:rsidRPr="00010023">
        <w:rPr>
          <w:rFonts w:ascii="Times New Roman" w:hAnsi="Times New Roman" w:cs="Times New Roman"/>
          <w:sz w:val="22"/>
          <w:szCs w:val="22"/>
        </w:rPr>
        <w:t>autoconsumatori</w:t>
      </w:r>
      <w:proofErr w:type="spellEnd"/>
      <w:r w:rsidRPr="00010023">
        <w:rPr>
          <w:rFonts w:ascii="Times New Roman" w:hAnsi="Times New Roman" w:cs="Times New Roman"/>
          <w:sz w:val="22"/>
          <w:szCs w:val="22"/>
        </w:rPr>
        <w:t xml:space="preserve"> di energia rinnovabile che agiscono collettivamente, Bollettino Ufficiale della Regione Emilia-Romagna n. 233 del 29 luglio 2022, in particolare si vedano gli artt. 3 e 4.</w:t>
      </w:r>
    </w:p>
    <w:bookmarkEnd w:id="82"/>
  </w:footnote>
  <w:footnote w:id="132">
    <w:p w14:paraId="6B5299E9" w14:textId="3D65A620"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Giunta regionale, con l'atto di cui all'articolo 7, determina i criteri e le modalità per il sostegno finanziario di cui alla lettera a) del comma 1, individuando, «</w:t>
      </w:r>
      <w:r w:rsidRPr="00010023">
        <w:rPr>
          <w:rFonts w:ascii="Times New Roman" w:hAnsi="Times New Roman" w:cs="Times New Roman"/>
          <w:i/>
          <w:iCs/>
          <w:sz w:val="22"/>
          <w:szCs w:val="22"/>
        </w:rPr>
        <w:t>ove compatibili, le CER ed i gruppi di autoconsumo collettivo quali beneficiari ammissibili dei provvedimenti regionali diretti a finanziare lo sviluppo delle fonti energetiche rinnovabili nei diversi settori di intervento delle politiche regionali, anche mediante utilizzo di risorse provenienti dalle assegnazioni dell'Unione europea e dello Stato</w:t>
      </w:r>
      <w:r w:rsidRPr="00010023">
        <w:rPr>
          <w:rFonts w:ascii="Times New Roman" w:hAnsi="Times New Roman" w:cs="Times New Roman"/>
          <w:sz w:val="22"/>
          <w:szCs w:val="22"/>
        </w:rPr>
        <w:t>». Art. 5, 2 comma, legge regionale 11 giugno 2021, n. 10. All’Art. 6, comma 3, legge regionale che: «</w:t>
      </w:r>
      <w:r w:rsidRPr="00010023">
        <w:rPr>
          <w:rFonts w:ascii="Times New Roman" w:hAnsi="Times New Roman" w:cs="Times New Roman"/>
          <w:i/>
          <w:iCs/>
          <w:sz w:val="22"/>
          <w:szCs w:val="22"/>
        </w:rPr>
        <w:t>il Tavolo svolge le seguenti attività: a) acquisisce i dati relativi alla quota di autoconsumo di energia rinnovabile e quelli relativi alla riduzione dei consumi di energia; b) promuove la risoluzione di problematiche relative alla gestione delle reti elettriche; c) analizza i risultati in termini energetici conseguiti dai gruppi di autoconsumo collettivo da fonti rinnovabili e dalle CER, sulla base rispettivamente dei risultati dell'attività di monitoraggio svolta dal Gestore dei Servizi energetici (GSE) e dei documenti ricevuti; d) individua le "migliori pratiche" al fine di promuoverne la promozione e la diffusione sul territorio</w:t>
      </w:r>
      <w:r w:rsidRPr="00010023">
        <w:rPr>
          <w:rFonts w:ascii="Times New Roman" w:hAnsi="Times New Roman" w:cs="Times New Roman"/>
          <w:sz w:val="22"/>
          <w:szCs w:val="22"/>
        </w:rPr>
        <w:t>».</w:t>
      </w:r>
    </w:p>
  </w:footnote>
  <w:footnote w:id="133">
    <w:p w14:paraId="376D7FA7" w14:textId="5D4B61A8"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La suddetta legge interviene sulla definizione dei requisiti soggettivi o sul funzionamento delle comunità energetiche, ma si limita a promuoverne la diffusione mediante strumenti di sostegno e coordinamento amministrativo. In particolare, l'art. 3 attribuisce agli enti locali un ruolo propulsivo, prevedendo che la comunità energetica possa essere costituita anche su iniziativa di uno o più Comuni mediante l'adozione di un protocollo d'intesa predisposto secondo uno schema approvato dalla Giunta regionale. La disposizione è generalmente considerata coerente con il riparto costituzionale delle competenze, poiché non altera la disciplina sostanziale delle CER, rimessa alla normativa statale, ma si limita a disciplinare modalità organizzative e strumenti di promozione territoriale.</w:t>
      </w:r>
    </w:p>
    <w:p w14:paraId="2508926A" w14:textId="64AA7895" w:rsidR="00DF358B" w:rsidRPr="00010023" w:rsidRDefault="00DF358B" w:rsidP="00010023">
      <w:pPr>
        <w:pStyle w:val="Testonotaapidipagina"/>
        <w:spacing w:line="240" w:lineRule="exact"/>
        <w:contextualSpacing/>
        <w:jc w:val="both"/>
        <w:rPr>
          <w:rFonts w:ascii="Times New Roman" w:hAnsi="Times New Roman" w:cs="Times New Roman"/>
          <w:sz w:val="22"/>
          <w:szCs w:val="22"/>
        </w:rPr>
      </w:pPr>
      <w:r w:rsidRPr="00010023">
        <w:rPr>
          <w:rFonts w:ascii="Times New Roman" w:hAnsi="Times New Roman" w:cs="Times New Roman"/>
          <w:sz w:val="22"/>
          <w:szCs w:val="22"/>
        </w:rPr>
        <w:t>Tale impostazione è stata valorizzata anche dalla giurisprudenza contabile: invero, la Corte dei conti, Sezione regionale di controllo per le Marche, deliberazione n. 141/2025/PASP, pur riconoscendo la funzione promozionale attribuita dalla legge regionale agli enti locali, ha ribadito che la partecipazione dei Comuni alle CER, specie mediante società cooperative, resta integralmente assoggettata ai presupposti previsti dal d.lgs. 19 agosto 2016, n. 175 (TUSP). Ne consegue che l'amministrazione è tenuta a motivare puntualmente la scelta partecipativa, dimostrando la sussistenza di un interesse pubblico concreto, la sostenibilità economico-finanziaria dell'operazione, la compatibilità con i principi di efficienza, efficacia ed economicità dell'azione amministrativa e l'assenza di effetti pregiudizievoli per gli equilibri di bilancio. Nella medesima prospettiva si colloca la deliberazione n. 161/2024/PAR della stessa Sezione regionale, secondo cui il favor legislativo per le CER non esonera gli enti pubblici dal rispetto dei principi di corretta gestione patrimoniale e finanziaria, imponendo un'adeguata motivazione anche nell'ipotesi di concessione gratuita di beni pubblici destinati alla realizzazione degli impianti.</w:t>
      </w:r>
    </w:p>
  </w:footnote>
  <w:footnote w:id="134">
    <w:p w14:paraId="24841207" w14:textId="26189CF3" w:rsidR="00DF358B" w:rsidRPr="004A53C4" w:rsidRDefault="00DF358B" w:rsidP="00010023">
      <w:pPr>
        <w:pStyle w:val="Testonotaapidipagina"/>
        <w:spacing w:line="240" w:lineRule="exact"/>
        <w:contextualSpacing/>
        <w:jc w:val="both"/>
        <w:rPr>
          <w:rFonts w:ascii="Times New Roman" w:hAnsi="Times New Roman" w:cs="Times New Roman"/>
          <w:sz w:val="22"/>
          <w:szCs w:val="22"/>
        </w:rPr>
      </w:pPr>
      <w:r w:rsidRPr="00010023">
        <w:rPr>
          <w:rStyle w:val="Rimandonotaapidipagina"/>
          <w:rFonts w:ascii="Times New Roman" w:hAnsi="Times New Roman" w:cs="Times New Roman"/>
          <w:sz w:val="22"/>
          <w:szCs w:val="22"/>
        </w:rPr>
        <w:footnoteRef/>
      </w:r>
      <w:r w:rsidRPr="00010023">
        <w:rPr>
          <w:rFonts w:ascii="Times New Roman" w:hAnsi="Times New Roman" w:cs="Times New Roman"/>
          <w:sz w:val="22"/>
          <w:szCs w:val="22"/>
        </w:rPr>
        <w:t xml:space="preserve"> Legge regionale 28 novembre 2022, n. 42, Promozione e sostegno delle comunità energetiche rinnovabili, Bollettino Ufficiale della Regione Toscana n. 58, parte</w:t>
      </w:r>
      <w:r w:rsidRPr="00C57281">
        <w:rPr>
          <w:rFonts w:ascii="Times New Roman" w:hAnsi="Times New Roman" w:cs="Times New Roman"/>
          <w:sz w:val="22"/>
          <w:szCs w:val="22"/>
        </w:rPr>
        <w:t xml:space="preserve"> prima, del 28.11.2022.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4927"/>
    <w:multiLevelType w:val="multilevel"/>
    <w:tmpl w:val="42F8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42B77"/>
    <w:multiLevelType w:val="multilevel"/>
    <w:tmpl w:val="6186D4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B73E3"/>
    <w:multiLevelType w:val="hybridMultilevel"/>
    <w:tmpl w:val="117E65CA"/>
    <w:lvl w:ilvl="0" w:tplc="7F0A133A">
      <w:start w:val="1"/>
      <w:numFmt w:val="decimal"/>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8C4B37"/>
    <w:multiLevelType w:val="multilevel"/>
    <w:tmpl w:val="8068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44D2B"/>
    <w:multiLevelType w:val="hybridMultilevel"/>
    <w:tmpl w:val="75E8C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306607"/>
    <w:multiLevelType w:val="multilevel"/>
    <w:tmpl w:val="AF3C3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041B87"/>
    <w:multiLevelType w:val="multilevel"/>
    <w:tmpl w:val="84681406"/>
    <w:lvl w:ilvl="0">
      <w:start w:val="1"/>
      <w:numFmt w:val="decimal"/>
      <w:lvlText w:val="%1."/>
      <w:lvlJc w:val="left"/>
      <w:pPr>
        <w:ind w:left="720" w:hanging="360"/>
      </w:pPr>
      <w:rPr>
        <w:rFonts w:hint="default"/>
        <w:b/>
        <w:bCs/>
        <w:i w:val="0"/>
        <w:iCs w:val="0"/>
      </w:rPr>
    </w:lvl>
    <w:lvl w:ilvl="1">
      <w:start w:val="1"/>
      <w:numFmt w:val="decimal"/>
      <w:isLgl/>
      <w:lvlText w:val="%1.%2."/>
      <w:lvlJc w:val="left"/>
      <w:pPr>
        <w:ind w:left="780" w:hanging="420"/>
      </w:pPr>
      <w:rPr>
        <w:rFonts w:hint="default"/>
        <w:b/>
      </w:rPr>
    </w:lvl>
    <w:lvl w:ilvl="2">
      <w:start w:val="1"/>
      <w:numFmt w:val="decimal"/>
      <w:isLgl/>
      <w:lvlText w:val="%1.%2.%3."/>
      <w:lvlJc w:val="left"/>
      <w:pPr>
        <w:ind w:left="780" w:hanging="4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7" w15:restartNumberingAfterBreak="0">
    <w:nsid w:val="120D22A8"/>
    <w:multiLevelType w:val="multilevel"/>
    <w:tmpl w:val="5DCE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85BBD"/>
    <w:multiLevelType w:val="multilevel"/>
    <w:tmpl w:val="709A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86B91"/>
    <w:multiLevelType w:val="multilevel"/>
    <w:tmpl w:val="DB60AA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AE7A07"/>
    <w:multiLevelType w:val="hybridMultilevel"/>
    <w:tmpl w:val="218E9AA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8B44B0"/>
    <w:multiLevelType w:val="multilevel"/>
    <w:tmpl w:val="B046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D25AB"/>
    <w:multiLevelType w:val="multilevel"/>
    <w:tmpl w:val="196EF26C"/>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80" w:hanging="420"/>
      </w:pPr>
      <w:rPr>
        <w:rFonts w:hint="default"/>
        <w:b/>
      </w:rPr>
    </w:lvl>
    <w:lvl w:ilvl="2">
      <w:start w:val="1"/>
      <w:numFmt w:val="decimal"/>
      <w:isLgl/>
      <w:lvlText w:val="%1.%2.%3."/>
      <w:lvlJc w:val="left"/>
      <w:pPr>
        <w:ind w:left="780" w:hanging="4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13" w15:restartNumberingAfterBreak="0">
    <w:nsid w:val="2D8B69B7"/>
    <w:multiLevelType w:val="hybridMultilevel"/>
    <w:tmpl w:val="BD3C4AD8"/>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14" w15:restartNumberingAfterBreak="0">
    <w:nsid w:val="3008707A"/>
    <w:multiLevelType w:val="multilevel"/>
    <w:tmpl w:val="A22ABE3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70B5711"/>
    <w:multiLevelType w:val="multilevel"/>
    <w:tmpl w:val="E5D6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464AE"/>
    <w:multiLevelType w:val="multilevel"/>
    <w:tmpl w:val="76B8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B275E7"/>
    <w:multiLevelType w:val="multilevel"/>
    <w:tmpl w:val="87F8B800"/>
    <w:lvl w:ilvl="0">
      <w:start w:val="1"/>
      <w:numFmt w:val="decimal"/>
      <w:pStyle w:val="Stil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99168AE"/>
    <w:multiLevelType w:val="hybridMultilevel"/>
    <w:tmpl w:val="AD62FBE8"/>
    <w:lvl w:ilvl="0" w:tplc="A03A700A">
      <w:start w:val="1"/>
      <w:numFmt w:val="decimal"/>
      <w:lvlText w:val="%1."/>
      <w:lvlJc w:val="left"/>
      <w:pPr>
        <w:ind w:left="700" w:hanging="360"/>
      </w:pPr>
      <w:rPr>
        <w:rFonts w:ascii="Times New Roman" w:eastAsia="Calibri" w:hAnsi="Times New Roman" w:cs="Times New Roman"/>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19" w15:restartNumberingAfterBreak="0">
    <w:nsid w:val="5A5663CE"/>
    <w:multiLevelType w:val="multilevel"/>
    <w:tmpl w:val="865858F4"/>
    <w:lvl w:ilvl="0">
      <w:start w:val="1"/>
      <w:numFmt w:val="decimal"/>
      <w:pStyle w:val="Stil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B255336"/>
    <w:multiLevelType w:val="multilevel"/>
    <w:tmpl w:val="2526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BA056E"/>
    <w:multiLevelType w:val="multilevel"/>
    <w:tmpl w:val="174A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74AA2"/>
    <w:multiLevelType w:val="hybridMultilevel"/>
    <w:tmpl w:val="845644C2"/>
    <w:lvl w:ilvl="0" w:tplc="792CF040">
      <w:start w:val="4"/>
      <w:numFmt w:val="bullet"/>
      <w:lvlText w:val="-"/>
      <w:lvlJc w:val="left"/>
      <w:pPr>
        <w:ind w:left="757" w:hanging="360"/>
      </w:pPr>
      <w:rPr>
        <w:rFonts w:ascii="Times New Roman" w:eastAsiaTheme="minorEastAsia" w:hAnsi="Times New Roman" w:cs="Times New Roman"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3" w15:restartNumberingAfterBreak="0">
    <w:nsid w:val="6D2860EF"/>
    <w:multiLevelType w:val="multilevel"/>
    <w:tmpl w:val="E3E4370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0966D79"/>
    <w:multiLevelType w:val="multilevel"/>
    <w:tmpl w:val="343C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642DE"/>
    <w:multiLevelType w:val="multilevel"/>
    <w:tmpl w:val="E556CA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8E7566"/>
    <w:multiLevelType w:val="multilevel"/>
    <w:tmpl w:val="9F0E89C4"/>
    <w:lvl w:ilvl="0">
      <w:start w:val="1"/>
      <w:numFmt w:val="decimal"/>
      <w:pStyle w:val="Stil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870245E"/>
    <w:multiLevelType w:val="multilevel"/>
    <w:tmpl w:val="DAE8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8691F"/>
    <w:multiLevelType w:val="multilevel"/>
    <w:tmpl w:val="4A68D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F10CC4"/>
    <w:multiLevelType w:val="hybridMultilevel"/>
    <w:tmpl w:val="D3587C74"/>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30" w15:restartNumberingAfterBreak="0">
    <w:nsid w:val="7E79404F"/>
    <w:multiLevelType w:val="multilevel"/>
    <w:tmpl w:val="D04E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7"/>
  </w:num>
  <w:num w:numId="3">
    <w:abstractNumId w:val="19"/>
  </w:num>
  <w:num w:numId="4">
    <w:abstractNumId w:val="10"/>
  </w:num>
  <w:num w:numId="5">
    <w:abstractNumId w:val="23"/>
  </w:num>
  <w:num w:numId="6">
    <w:abstractNumId w:val="25"/>
  </w:num>
  <w:num w:numId="7">
    <w:abstractNumId w:val="6"/>
  </w:num>
  <w:num w:numId="8">
    <w:abstractNumId w:val="12"/>
  </w:num>
  <w:num w:numId="9">
    <w:abstractNumId w:val="14"/>
  </w:num>
  <w:num w:numId="10">
    <w:abstractNumId w:val="2"/>
  </w:num>
  <w:num w:numId="11">
    <w:abstractNumId w:val="28"/>
  </w:num>
  <w:num w:numId="12">
    <w:abstractNumId w:val="18"/>
  </w:num>
  <w:num w:numId="13">
    <w:abstractNumId w:val="22"/>
  </w:num>
  <w:num w:numId="14">
    <w:abstractNumId w:val="27"/>
  </w:num>
  <w:num w:numId="15">
    <w:abstractNumId w:val="5"/>
  </w:num>
  <w:num w:numId="16">
    <w:abstractNumId w:val="1"/>
  </w:num>
  <w:num w:numId="17">
    <w:abstractNumId w:val="9"/>
  </w:num>
  <w:num w:numId="18">
    <w:abstractNumId w:val="16"/>
  </w:num>
  <w:num w:numId="19">
    <w:abstractNumId w:val="0"/>
  </w:num>
  <w:num w:numId="20">
    <w:abstractNumId w:val="15"/>
  </w:num>
  <w:num w:numId="21">
    <w:abstractNumId w:val="7"/>
  </w:num>
  <w:num w:numId="22">
    <w:abstractNumId w:val="3"/>
  </w:num>
  <w:num w:numId="23">
    <w:abstractNumId w:val="24"/>
  </w:num>
  <w:num w:numId="24">
    <w:abstractNumId w:val="11"/>
  </w:num>
  <w:num w:numId="25">
    <w:abstractNumId w:val="30"/>
  </w:num>
  <w:num w:numId="26">
    <w:abstractNumId w:val="8"/>
  </w:num>
  <w:num w:numId="27">
    <w:abstractNumId w:val="21"/>
  </w:num>
  <w:num w:numId="28">
    <w:abstractNumId w:val="20"/>
  </w:num>
  <w:num w:numId="29">
    <w:abstractNumId w:val="29"/>
  </w:num>
  <w:num w:numId="30">
    <w:abstractNumId w:val="13"/>
  </w:num>
  <w:num w:numId="3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986"/>
    <w:rsid w:val="000007BB"/>
    <w:rsid w:val="00010023"/>
    <w:rsid w:val="000244D0"/>
    <w:rsid w:val="00026542"/>
    <w:rsid w:val="000415D7"/>
    <w:rsid w:val="00044FB3"/>
    <w:rsid w:val="00055986"/>
    <w:rsid w:val="000569BA"/>
    <w:rsid w:val="00063A11"/>
    <w:rsid w:val="00073C2A"/>
    <w:rsid w:val="0007598B"/>
    <w:rsid w:val="00080127"/>
    <w:rsid w:val="00082D44"/>
    <w:rsid w:val="00087971"/>
    <w:rsid w:val="0009634F"/>
    <w:rsid w:val="000A65BE"/>
    <w:rsid w:val="000C4083"/>
    <w:rsid w:val="000F6D25"/>
    <w:rsid w:val="00111F1E"/>
    <w:rsid w:val="001154A3"/>
    <w:rsid w:val="00121D77"/>
    <w:rsid w:val="00125BE7"/>
    <w:rsid w:val="001345A3"/>
    <w:rsid w:val="00144194"/>
    <w:rsid w:val="0015014A"/>
    <w:rsid w:val="0016133C"/>
    <w:rsid w:val="0018088E"/>
    <w:rsid w:val="00190DD9"/>
    <w:rsid w:val="00196B80"/>
    <w:rsid w:val="001A3358"/>
    <w:rsid w:val="001A4583"/>
    <w:rsid w:val="001B382E"/>
    <w:rsid w:val="001B6A78"/>
    <w:rsid w:val="001B6B68"/>
    <w:rsid w:val="001C4115"/>
    <w:rsid w:val="001C65CA"/>
    <w:rsid w:val="001D4DC2"/>
    <w:rsid w:val="001E378E"/>
    <w:rsid w:val="001F1A80"/>
    <w:rsid w:val="001F2CCD"/>
    <w:rsid w:val="00201A0E"/>
    <w:rsid w:val="00206130"/>
    <w:rsid w:val="002202D8"/>
    <w:rsid w:val="002304A0"/>
    <w:rsid w:val="00240FA1"/>
    <w:rsid w:val="002448F7"/>
    <w:rsid w:val="00256A1B"/>
    <w:rsid w:val="00263721"/>
    <w:rsid w:val="002728F8"/>
    <w:rsid w:val="002809B3"/>
    <w:rsid w:val="002827DD"/>
    <w:rsid w:val="00285579"/>
    <w:rsid w:val="002910F4"/>
    <w:rsid w:val="002A462B"/>
    <w:rsid w:val="002A492D"/>
    <w:rsid w:val="002A4F92"/>
    <w:rsid w:val="002B7A90"/>
    <w:rsid w:val="002C4054"/>
    <w:rsid w:val="002C7681"/>
    <w:rsid w:val="002D0552"/>
    <w:rsid w:val="002F61DD"/>
    <w:rsid w:val="00305DE2"/>
    <w:rsid w:val="003068A0"/>
    <w:rsid w:val="00313700"/>
    <w:rsid w:val="0032212B"/>
    <w:rsid w:val="00324E73"/>
    <w:rsid w:val="00331474"/>
    <w:rsid w:val="00346A8D"/>
    <w:rsid w:val="0037458C"/>
    <w:rsid w:val="00374D10"/>
    <w:rsid w:val="00377C7E"/>
    <w:rsid w:val="0038131E"/>
    <w:rsid w:val="003A1EE2"/>
    <w:rsid w:val="003C4307"/>
    <w:rsid w:val="003D4E50"/>
    <w:rsid w:val="003D5EA7"/>
    <w:rsid w:val="003E1306"/>
    <w:rsid w:val="003F40C8"/>
    <w:rsid w:val="003F7263"/>
    <w:rsid w:val="003F7724"/>
    <w:rsid w:val="00437D0A"/>
    <w:rsid w:val="0044709D"/>
    <w:rsid w:val="00456ECA"/>
    <w:rsid w:val="00465FCE"/>
    <w:rsid w:val="00466D70"/>
    <w:rsid w:val="00471AD1"/>
    <w:rsid w:val="00472152"/>
    <w:rsid w:val="00472451"/>
    <w:rsid w:val="004808EB"/>
    <w:rsid w:val="00490F58"/>
    <w:rsid w:val="004932F3"/>
    <w:rsid w:val="00495A7F"/>
    <w:rsid w:val="004A0E0C"/>
    <w:rsid w:val="004A39FC"/>
    <w:rsid w:val="004A53C4"/>
    <w:rsid w:val="004B431F"/>
    <w:rsid w:val="004C1A3C"/>
    <w:rsid w:val="004F02EB"/>
    <w:rsid w:val="004F08D9"/>
    <w:rsid w:val="004F2ECD"/>
    <w:rsid w:val="004F49AC"/>
    <w:rsid w:val="004F60A0"/>
    <w:rsid w:val="00504398"/>
    <w:rsid w:val="00506CC7"/>
    <w:rsid w:val="005259F9"/>
    <w:rsid w:val="005359E4"/>
    <w:rsid w:val="005461AC"/>
    <w:rsid w:val="00553A6D"/>
    <w:rsid w:val="00562000"/>
    <w:rsid w:val="005724F3"/>
    <w:rsid w:val="005753B0"/>
    <w:rsid w:val="0058170A"/>
    <w:rsid w:val="00594FD0"/>
    <w:rsid w:val="005B1A01"/>
    <w:rsid w:val="005B21DA"/>
    <w:rsid w:val="005B5113"/>
    <w:rsid w:val="005D3134"/>
    <w:rsid w:val="005E42A2"/>
    <w:rsid w:val="005E4C19"/>
    <w:rsid w:val="005F26D4"/>
    <w:rsid w:val="006156E5"/>
    <w:rsid w:val="00620B2D"/>
    <w:rsid w:val="006346FF"/>
    <w:rsid w:val="006406FE"/>
    <w:rsid w:val="00642E6E"/>
    <w:rsid w:val="0064588F"/>
    <w:rsid w:val="00670E3E"/>
    <w:rsid w:val="0067267E"/>
    <w:rsid w:val="006810A2"/>
    <w:rsid w:val="00681AA9"/>
    <w:rsid w:val="00691A6A"/>
    <w:rsid w:val="00692718"/>
    <w:rsid w:val="006A43EE"/>
    <w:rsid w:val="006C5789"/>
    <w:rsid w:val="006D5201"/>
    <w:rsid w:val="006E178F"/>
    <w:rsid w:val="006E4EED"/>
    <w:rsid w:val="006E68BD"/>
    <w:rsid w:val="006F0084"/>
    <w:rsid w:val="006F1CFF"/>
    <w:rsid w:val="006F1FA6"/>
    <w:rsid w:val="006F50A7"/>
    <w:rsid w:val="0071052C"/>
    <w:rsid w:val="00713670"/>
    <w:rsid w:val="00717E4C"/>
    <w:rsid w:val="00724709"/>
    <w:rsid w:val="007275A1"/>
    <w:rsid w:val="00736EEB"/>
    <w:rsid w:val="00740492"/>
    <w:rsid w:val="00747CD6"/>
    <w:rsid w:val="00752CFE"/>
    <w:rsid w:val="007567BF"/>
    <w:rsid w:val="00757124"/>
    <w:rsid w:val="00771139"/>
    <w:rsid w:val="00782919"/>
    <w:rsid w:val="00787A3E"/>
    <w:rsid w:val="00791303"/>
    <w:rsid w:val="007913C7"/>
    <w:rsid w:val="00793FD3"/>
    <w:rsid w:val="00796FA9"/>
    <w:rsid w:val="007D041F"/>
    <w:rsid w:val="007D2C64"/>
    <w:rsid w:val="00800DEA"/>
    <w:rsid w:val="0081712D"/>
    <w:rsid w:val="0081729D"/>
    <w:rsid w:val="00820CDE"/>
    <w:rsid w:val="00826B59"/>
    <w:rsid w:val="00831DC3"/>
    <w:rsid w:val="008322E1"/>
    <w:rsid w:val="008414C9"/>
    <w:rsid w:val="008420C2"/>
    <w:rsid w:val="008433A5"/>
    <w:rsid w:val="00864063"/>
    <w:rsid w:val="00885487"/>
    <w:rsid w:val="00891FF0"/>
    <w:rsid w:val="008966FB"/>
    <w:rsid w:val="008B07EE"/>
    <w:rsid w:val="008B51B3"/>
    <w:rsid w:val="008C25B7"/>
    <w:rsid w:val="008D106D"/>
    <w:rsid w:val="008E0D11"/>
    <w:rsid w:val="008E1170"/>
    <w:rsid w:val="008E2C11"/>
    <w:rsid w:val="008F06DD"/>
    <w:rsid w:val="00920448"/>
    <w:rsid w:val="009217CA"/>
    <w:rsid w:val="0092267F"/>
    <w:rsid w:val="00925B9E"/>
    <w:rsid w:val="00934C7E"/>
    <w:rsid w:val="00940549"/>
    <w:rsid w:val="00950F36"/>
    <w:rsid w:val="00954BAA"/>
    <w:rsid w:val="00984F5D"/>
    <w:rsid w:val="009857D4"/>
    <w:rsid w:val="009A4043"/>
    <w:rsid w:val="009A7683"/>
    <w:rsid w:val="009C2592"/>
    <w:rsid w:val="009C4D6A"/>
    <w:rsid w:val="009C57EB"/>
    <w:rsid w:val="009D06EE"/>
    <w:rsid w:val="009D438D"/>
    <w:rsid w:val="009D76AE"/>
    <w:rsid w:val="009F47EC"/>
    <w:rsid w:val="009F4816"/>
    <w:rsid w:val="00A0484A"/>
    <w:rsid w:val="00A0626E"/>
    <w:rsid w:val="00A204C5"/>
    <w:rsid w:val="00A214EF"/>
    <w:rsid w:val="00A35257"/>
    <w:rsid w:val="00A42C16"/>
    <w:rsid w:val="00A437BD"/>
    <w:rsid w:val="00A52C5C"/>
    <w:rsid w:val="00A561D8"/>
    <w:rsid w:val="00A6051A"/>
    <w:rsid w:val="00A66ABF"/>
    <w:rsid w:val="00A740EF"/>
    <w:rsid w:val="00A77768"/>
    <w:rsid w:val="00A93E9C"/>
    <w:rsid w:val="00A96F6C"/>
    <w:rsid w:val="00AA0F31"/>
    <w:rsid w:val="00AA13AB"/>
    <w:rsid w:val="00AA5812"/>
    <w:rsid w:val="00AC27F5"/>
    <w:rsid w:val="00AD74AB"/>
    <w:rsid w:val="00AE09D5"/>
    <w:rsid w:val="00AE0B03"/>
    <w:rsid w:val="00AF02DD"/>
    <w:rsid w:val="00AF4341"/>
    <w:rsid w:val="00AF796D"/>
    <w:rsid w:val="00B17ED8"/>
    <w:rsid w:val="00B26907"/>
    <w:rsid w:val="00B30DA1"/>
    <w:rsid w:val="00B4300A"/>
    <w:rsid w:val="00B9114C"/>
    <w:rsid w:val="00B934EA"/>
    <w:rsid w:val="00B96247"/>
    <w:rsid w:val="00BB0765"/>
    <w:rsid w:val="00BB5733"/>
    <w:rsid w:val="00BD078D"/>
    <w:rsid w:val="00BE5E29"/>
    <w:rsid w:val="00BF1E81"/>
    <w:rsid w:val="00BF7F59"/>
    <w:rsid w:val="00C113B2"/>
    <w:rsid w:val="00C12907"/>
    <w:rsid w:val="00C1708D"/>
    <w:rsid w:val="00C178E2"/>
    <w:rsid w:val="00C22C58"/>
    <w:rsid w:val="00C37813"/>
    <w:rsid w:val="00C50B65"/>
    <w:rsid w:val="00C57281"/>
    <w:rsid w:val="00C603EC"/>
    <w:rsid w:val="00C61EA7"/>
    <w:rsid w:val="00C64DAB"/>
    <w:rsid w:val="00C722D5"/>
    <w:rsid w:val="00C726D6"/>
    <w:rsid w:val="00C74539"/>
    <w:rsid w:val="00C75668"/>
    <w:rsid w:val="00C77833"/>
    <w:rsid w:val="00C93964"/>
    <w:rsid w:val="00CA2EB3"/>
    <w:rsid w:val="00CE0512"/>
    <w:rsid w:val="00CE5B3A"/>
    <w:rsid w:val="00D04336"/>
    <w:rsid w:val="00D0548C"/>
    <w:rsid w:val="00D1521B"/>
    <w:rsid w:val="00D16C47"/>
    <w:rsid w:val="00D200FB"/>
    <w:rsid w:val="00D27D42"/>
    <w:rsid w:val="00D344E2"/>
    <w:rsid w:val="00D34771"/>
    <w:rsid w:val="00D36132"/>
    <w:rsid w:val="00D44180"/>
    <w:rsid w:val="00D45936"/>
    <w:rsid w:val="00D465D3"/>
    <w:rsid w:val="00D53989"/>
    <w:rsid w:val="00D540B7"/>
    <w:rsid w:val="00D6596A"/>
    <w:rsid w:val="00D87791"/>
    <w:rsid w:val="00DA4D85"/>
    <w:rsid w:val="00DC2FC9"/>
    <w:rsid w:val="00DC7634"/>
    <w:rsid w:val="00DD489A"/>
    <w:rsid w:val="00DE77DB"/>
    <w:rsid w:val="00DF358B"/>
    <w:rsid w:val="00DF3D05"/>
    <w:rsid w:val="00E0221D"/>
    <w:rsid w:val="00E217DA"/>
    <w:rsid w:val="00E31573"/>
    <w:rsid w:val="00E317F0"/>
    <w:rsid w:val="00E436A9"/>
    <w:rsid w:val="00E522E0"/>
    <w:rsid w:val="00E540C2"/>
    <w:rsid w:val="00E54EB5"/>
    <w:rsid w:val="00E73495"/>
    <w:rsid w:val="00E76A3E"/>
    <w:rsid w:val="00E84123"/>
    <w:rsid w:val="00E90527"/>
    <w:rsid w:val="00EA64DC"/>
    <w:rsid w:val="00EB1DD6"/>
    <w:rsid w:val="00EB3E60"/>
    <w:rsid w:val="00EB56CB"/>
    <w:rsid w:val="00EC5DF9"/>
    <w:rsid w:val="00ED4B20"/>
    <w:rsid w:val="00EE5C50"/>
    <w:rsid w:val="00F02A21"/>
    <w:rsid w:val="00F03C7C"/>
    <w:rsid w:val="00F07E8B"/>
    <w:rsid w:val="00F10387"/>
    <w:rsid w:val="00F22214"/>
    <w:rsid w:val="00F230B4"/>
    <w:rsid w:val="00F27930"/>
    <w:rsid w:val="00F33ED5"/>
    <w:rsid w:val="00F37B6F"/>
    <w:rsid w:val="00F404A1"/>
    <w:rsid w:val="00F42101"/>
    <w:rsid w:val="00F95A01"/>
    <w:rsid w:val="00FA364E"/>
    <w:rsid w:val="00FC0D6A"/>
    <w:rsid w:val="00FD3784"/>
    <w:rsid w:val="00FE74C1"/>
    <w:rsid w:val="00FF03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D059"/>
  <w15:chartTrackingRefBased/>
  <w15:docId w15:val="{C75E8446-3F3D-4B0E-BF71-332DC5EE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331474"/>
    <w:pPr>
      <w:spacing w:after="200" w:line="276" w:lineRule="auto"/>
    </w:pPr>
    <w:rPr>
      <w:rFonts w:eastAsiaTheme="minorEastAsia"/>
      <w:kern w:val="0"/>
      <w:lang w:eastAsia="it-IT"/>
      <w14:ligatures w14:val="none"/>
    </w:rPr>
  </w:style>
  <w:style w:type="paragraph" w:styleId="Titolo1">
    <w:name w:val="heading 1"/>
    <w:basedOn w:val="Normale"/>
    <w:next w:val="Normale"/>
    <w:link w:val="Titolo1Carattere"/>
    <w:uiPriority w:val="9"/>
    <w:qFormat/>
    <w:rsid w:val="00044FB3"/>
    <w:pPr>
      <w:keepNext/>
      <w:keepLines/>
      <w:spacing w:before="240"/>
      <w:outlineLvl w:val="0"/>
    </w:pPr>
    <w:rPr>
      <w:rFonts w:eastAsiaTheme="majorEastAsia" w:cstheme="majorBidi"/>
      <w:color w:val="000000" w:themeColor="text1"/>
      <w:sz w:val="28"/>
      <w:szCs w:val="32"/>
    </w:rPr>
  </w:style>
  <w:style w:type="paragraph" w:styleId="Titolo2">
    <w:name w:val="heading 2"/>
    <w:basedOn w:val="Normale"/>
    <w:next w:val="Normale"/>
    <w:link w:val="Titolo2Carattere"/>
    <w:uiPriority w:val="9"/>
    <w:unhideWhenUsed/>
    <w:qFormat/>
    <w:rsid w:val="006E4EED"/>
    <w:pPr>
      <w:keepNext/>
      <w:keepLines/>
      <w:spacing w:before="40" w:after="120"/>
      <w:outlineLvl w:val="1"/>
    </w:pPr>
    <w:rPr>
      <w:rFonts w:eastAsiaTheme="majorEastAsia" w:cstheme="majorBidi"/>
      <w:i/>
      <w:color w:val="000000" w:themeColor="text1"/>
      <w:szCs w:val="26"/>
    </w:rPr>
  </w:style>
  <w:style w:type="paragraph" w:styleId="Titolo3">
    <w:name w:val="heading 3"/>
    <w:basedOn w:val="Normale"/>
    <w:next w:val="Normale"/>
    <w:link w:val="Titolo3Carattere"/>
    <w:uiPriority w:val="9"/>
    <w:unhideWhenUsed/>
    <w:qFormat/>
    <w:rsid w:val="006E4EED"/>
    <w:pPr>
      <w:keepNext/>
      <w:keepLines/>
      <w:spacing w:before="40" w:after="120"/>
      <w:outlineLvl w:val="2"/>
    </w:pPr>
    <w:rPr>
      <w:rFonts w:eastAsiaTheme="majorEastAsia" w:cstheme="majorBidi"/>
      <w:i/>
      <w:color w:val="000000" w:themeColor="text1"/>
      <w:szCs w:val="24"/>
    </w:rPr>
  </w:style>
  <w:style w:type="paragraph" w:styleId="Titolo6">
    <w:name w:val="heading 6"/>
    <w:basedOn w:val="Normale"/>
    <w:next w:val="Normale"/>
    <w:link w:val="Titolo6Carattere"/>
    <w:uiPriority w:val="9"/>
    <w:semiHidden/>
    <w:unhideWhenUsed/>
    <w:qFormat/>
    <w:rsid w:val="00044FB3"/>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ile1">
    <w:name w:val="Stile1"/>
    <w:basedOn w:val="Tabellanormale"/>
    <w:uiPriority w:val="99"/>
    <w:rsid w:val="00044FB3"/>
    <w:pPr>
      <w:spacing w:after="0" w:line="240" w:lineRule="auto"/>
      <w:jc w:val="center"/>
    </w:pPr>
    <w:rPr>
      <w:lang w:val="en-US"/>
    </w:rPr>
    <w:tblPr/>
  </w:style>
  <w:style w:type="paragraph" w:customStyle="1" w:styleId="TITOLO">
    <w:name w:val="TITOLO"/>
    <w:basedOn w:val="Normale"/>
    <w:link w:val="TITOLOCarattere"/>
    <w:qFormat/>
    <w:rsid w:val="00044FB3"/>
    <w:pPr>
      <w:widowControl w:val="0"/>
      <w:autoSpaceDE w:val="0"/>
      <w:autoSpaceDN w:val="0"/>
      <w:spacing w:after="120"/>
    </w:pPr>
    <w:rPr>
      <w:rFonts w:ascii="Calibri" w:eastAsia="Calibri" w:hAnsi="Calibri" w:cs="Calibri"/>
      <w:caps/>
    </w:rPr>
  </w:style>
  <w:style w:type="character" w:customStyle="1" w:styleId="TITOLOCarattere">
    <w:name w:val="TITOLO Carattere"/>
    <w:basedOn w:val="Carpredefinitoparagrafo"/>
    <w:link w:val="TITOLO"/>
    <w:rsid w:val="00044FB3"/>
    <w:rPr>
      <w:rFonts w:ascii="Calibri" w:eastAsia="Calibri" w:hAnsi="Calibri" w:cs="Calibri"/>
      <w:caps/>
    </w:rPr>
  </w:style>
  <w:style w:type="paragraph" w:customStyle="1" w:styleId="Stile2">
    <w:name w:val="Stile2"/>
    <w:basedOn w:val="Paragrafoelenco"/>
    <w:link w:val="Stile2Carattere"/>
    <w:uiPriority w:val="99"/>
    <w:unhideWhenUsed/>
    <w:qFormat/>
    <w:rsid w:val="00044FB3"/>
    <w:pPr>
      <w:numPr>
        <w:numId w:val="1"/>
      </w:numPr>
      <w:autoSpaceDE w:val="0"/>
      <w:autoSpaceDN w:val="0"/>
      <w:adjustRightInd w:val="0"/>
      <w:spacing w:after="120"/>
    </w:pPr>
    <w:rPr>
      <w:rFonts w:cstheme="minorHAnsi"/>
      <w:i/>
      <w:iCs/>
      <w:color w:val="000000"/>
    </w:rPr>
  </w:style>
  <w:style w:type="character" w:customStyle="1" w:styleId="Stile2Carattere">
    <w:name w:val="Stile2 Carattere"/>
    <w:basedOn w:val="Carpredefinitoparagrafo"/>
    <w:link w:val="Stile2"/>
    <w:uiPriority w:val="99"/>
    <w:rsid w:val="00044FB3"/>
    <w:rPr>
      <w:rFonts w:eastAsiaTheme="minorEastAsia" w:cstheme="minorHAnsi"/>
      <w:i/>
      <w:iCs/>
      <w:color w:val="000000"/>
      <w:kern w:val="0"/>
      <w:lang w:eastAsia="it-IT"/>
      <w14:ligatures w14:val="none"/>
    </w:rPr>
  </w:style>
  <w:style w:type="paragraph" w:styleId="Paragrafoelenco">
    <w:name w:val="List Paragraph"/>
    <w:basedOn w:val="Normale"/>
    <w:uiPriority w:val="34"/>
    <w:qFormat/>
    <w:rsid w:val="00044FB3"/>
    <w:pPr>
      <w:ind w:left="720"/>
    </w:pPr>
  </w:style>
  <w:style w:type="paragraph" w:customStyle="1" w:styleId="Stile3">
    <w:name w:val="Stile3"/>
    <w:basedOn w:val="Normale"/>
    <w:next w:val="Normale"/>
    <w:link w:val="Stile3Carattere"/>
    <w:uiPriority w:val="99"/>
    <w:qFormat/>
    <w:rsid w:val="00044FB3"/>
    <w:pPr>
      <w:widowControl w:val="0"/>
      <w:numPr>
        <w:numId w:val="2"/>
      </w:numPr>
      <w:autoSpaceDE w:val="0"/>
      <w:autoSpaceDN w:val="0"/>
    </w:pPr>
    <w:rPr>
      <w:rFonts w:ascii="Calibri" w:eastAsia="Calibri" w:hAnsi="Calibri" w:cs="Calibri"/>
      <w:w w:val="105"/>
    </w:rPr>
  </w:style>
  <w:style w:type="character" w:customStyle="1" w:styleId="Stile3Carattere">
    <w:name w:val="Stile3 Carattere"/>
    <w:basedOn w:val="Carpredefinitoparagrafo"/>
    <w:link w:val="Stile3"/>
    <w:uiPriority w:val="99"/>
    <w:rsid w:val="00044FB3"/>
    <w:rPr>
      <w:rFonts w:ascii="Calibri" w:eastAsia="Calibri" w:hAnsi="Calibri" w:cs="Calibri"/>
      <w:w w:val="105"/>
      <w:kern w:val="0"/>
      <w:lang w:eastAsia="it-IT"/>
      <w14:ligatures w14:val="none"/>
    </w:rPr>
  </w:style>
  <w:style w:type="paragraph" w:customStyle="1" w:styleId="Stile4">
    <w:name w:val="Stile4"/>
    <w:basedOn w:val="Paragrafoelenco"/>
    <w:link w:val="Stile4Carattere"/>
    <w:uiPriority w:val="99"/>
    <w:unhideWhenUsed/>
    <w:qFormat/>
    <w:rsid w:val="00044FB3"/>
    <w:pPr>
      <w:widowControl w:val="0"/>
      <w:numPr>
        <w:numId w:val="3"/>
      </w:numPr>
      <w:autoSpaceDE w:val="0"/>
      <w:autoSpaceDN w:val="0"/>
      <w:spacing w:after="120"/>
    </w:pPr>
    <w:rPr>
      <w:rFonts w:ascii="Calibri" w:eastAsia="Calibri" w:hAnsi="Calibri" w:cs="Calibri"/>
      <w:w w:val="105"/>
    </w:rPr>
  </w:style>
  <w:style w:type="character" w:customStyle="1" w:styleId="Stile4Carattere">
    <w:name w:val="Stile4 Carattere"/>
    <w:basedOn w:val="Carpredefinitoparagrafo"/>
    <w:link w:val="Stile4"/>
    <w:uiPriority w:val="99"/>
    <w:rsid w:val="00044FB3"/>
    <w:rPr>
      <w:rFonts w:ascii="Calibri" w:eastAsia="Calibri" w:hAnsi="Calibri" w:cs="Calibri"/>
      <w:w w:val="105"/>
      <w:kern w:val="0"/>
      <w:lang w:eastAsia="it-IT"/>
      <w14:ligatures w14:val="none"/>
    </w:rPr>
  </w:style>
  <w:style w:type="paragraph" w:styleId="Bibliografia">
    <w:name w:val="Bibliography"/>
    <w:basedOn w:val="Normale"/>
    <w:next w:val="Normale"/>
    <w:link w:val="BibliografiaCarattere"/>
    <w:uiPriority w:val="37"/>
    <w:unhideWhenUsed/>
    <w:qFormat/>
    <w:rsid w:val="00A561D8"/>
  </w:style>
  <w:style w:type="character" w:customStyle="1" w:styleId="BibliografiaCarattere">
    <w:name w:val="Bibliografia Carattere"/>
    <w:basedOn w:val="Carpredefinitoparagrafo"/>
    <w:link w:val="Bibliografia"/>
    <w:uiPriority w:val="37"/>
    <w:rsid w:val="00A561D8"/>
    <w:rPr>
      <w:rFonts w:ascii="Times New Roman" w:hAnsi="Times New Roman"/>
      <w:sz w:val="24"/>
    </w:rPr>
  </w:style>
  <w:style w:type="paragraph" w:customStyle="1" w:styleId="TESI">
    <w:name w:val="TESI"/>
    <w:basedOn w:val="Normale"/>
    <w:link w:val="TESICarattere"/>
    <w:qFormat/>
    <w:rsid w:val="00044FB3"/>
  </w:style>
  <w:style w:type="character" w:customStyle="1" w:styleId="TESICarattere">
    <w:name w:val="TESI Carattere"/>
    <w:basedOn w:val="Carpredefinitoparagrafo"/>
    <w:link w:val="TESI"/>
    <w:rsid w:val="00044FB3"/>
    <w:rPr>
      <w:rFonts w:ascii="Times New Roman" w:hAnsi="Times New Roman"/>
      <w:sz w:val="24"/>
    </w:rPr>
  </w:style>
  <w:style w:type="character" w:customStyle="1" w:styleId="Titolo1Carattere">
    <w:name w:val="Titolo 1 Carattere"/>
    <w:basedOn w:val="Carpredefinitoparagrafo"/>
    <w:link w:val="Titolo1"/>
    <w:uiPriority w:val="9"/>
    <w:rsid w:val="00044FB3"/>
    <w:rPr>
      <w:rFonts w:ascii="Times New Roman" w:eastAsiaTheme="majorEastAsia" w:hAnsi="Times New Roman" w:cstheme="majorBidi"/>
      <w:color w:val="000000" w:themeColor="text1"/>
      <w:sz w:val="28"/>
      <w:szCs w:val="32"/>
    </w:rPr>
  </w:style>
  <w:style w:type="table" w:styleId="Tabellasemplice5">
    <w:name w:val="Plain Table 5"/>
    <w:basedOn w:val="Tabellanormale"/>
    <w:uiPriority w:val="45"/>
    <w:rsid w:val="00044FB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olo6Carattere">
    <w:name w:val="Titolo 6 Carattere"/>
    <w:basedOn w:val="Carpredefinitoparagrafo"/>
    <w:link w:val="Titolo6"/>
    <w:uiPriority w:val="9"/>
    <w:semiHidden/>
    <w:rsid w:val="00044FB3"/>
    <w:rPr>
      <w:rFonts w:asciiTheme="majorHAnsi" w:eastAsiaTheme="majorEastAsia" w:hAnsiTheme="majorHAnsi" w:cstheme="majorBidi"/>
      <w:color w:val="1F3763" w:themeColor="accent1" w:themeShade="7F"/>
    </w:rPr>
  </w:style>
  <w:style w:type="character" w:styleId="Enfasigrassetto">
    <w:name w:val="Strong"/>
    <w:basedOn w:val="Carpredefinitoparagrafo"/>
    <w:uiPriority w:val="22"/>
    <w:qFormat/>
    <w:rsid w:val="00044FB3"/>
    <w:rPr>
      <w:b/>
      <w:bCs/>
    </w:rPr>
  </w:style>
  <w:style w:type="character" w:styleId="Collegamentoipertestuale">
    <w:name w:val="Hyperlink"/>
    <w:basedOn w:val="Carpredefinitoparagrafo"/>
    <w:uiPriority w:val="99"/>
    <w:unhideWhenUsed/>
    <w:rsid w:val="00044FB3"/>
    <w:rPr>
      <w:color w:val="0563C1" w:themeColor="hyperlink"/>
      <w:u w:val="single"/>
    </w:rPr>
  </w:style>
  <w:style w:type="table" w:styleId="Grigliatabella">
    <w:name w:val="Table Grid"/>
    <w:basedOn w:val="Tabellanormale"/>
    <w:uiPriority w:val="39"/>
    <w:rsid w:val="00044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44FB3"/>
    <w:rPr>
      <w:color w:val="605E5C"/>
      <w:shd w:val="clear" w:color="auto" w:fill="E1DFDD"/>
    </w:rPr>
  </w:style>
  <w:style w:type="character" w:customStyle="1" w:styleId="Titolo2Carattere">
    <w:name w:val="Titolo 2 Carattere"/>
    <w:basedOn w:val="Carpredefinitoparagrafo"/>
    <w:link w:val="Titolo2"/>
    <w:uiPriority w:val="9"/>
    <w:rsid w:val="006E4EED"/>
    <w:rPr>
      <w:rFonts w:ascii="Times New Roman" w:eastAsiaTheme="majorEastAsia" w:hAnsi="Times New Roman" w:cstheme="majorBidi"/>
      <w:i/>
      <w:color w:val="000000" w:themeColor="text1"/>
      <w:sz w:val="24"/>
      <w:szCs w:val="26"/>
    </w:rPr>
  </w:style>
  <w:style w:type="character" w:customStyle="1" w:styleId="Titolo3Carattere">
    <w:name w:val="Titolo 3 Carattere"/>
    <w:basedOn w:val="Carpredefinitoparagrafo"/>
    <w:link w:val="Titolo3"/>
    <w:uiPriority w:val="9"/>
    <w:rsid w:val="006E4EED"/>
    <w:rPr>
      <w:rFonts w:ascii="Times New Roman" w:eastAsiaTheme="majorEastAsia" w:hAnsi="Times New Roman" w:cstheme="majorBidi"/>
      <w:i/>
      <w:color w:val="000000" w:themeColor="text1"/>
      <w:sz w:val="24"/>
      <w:szCs w:val="24"/>
    </w:rPr>
  </w:style>
  <w:style w:type="paragraph" w:styleId="Indice1">
    <w:name w:val="index 1"/>
    <w:basedOn w:val="Normale"/>
    <w:next w:val="Normale"/>
    <w:autoRedefine/>
    <w:uiPriority w:val="99"/>
    <w:unhideWhenUsed/>
    <w:rsid w:val="009A7683"/>
    <w:pPr>
      <w:spacing w:after="0" w:line="360" w:lineRule="auto"/>
      <w:ind w:left="220" w:hanging="220"/>
      <w:jc w:val="center"/>
    </w:pPr>
    <w:rPr>
      <w:rFonts w:ascii="Times New Roman" w:eastAsiaTheme="minorHAnsi" w:hAnsi="Times New Roman" w:cstheme="minorHAnsi"/>
      <w:b/>
      <w:bCs/>
      <w:sz w:val="28"/>
      <w:szCs w:val="28"/>
      <w:lang w:eastAsia="en-US"/>
    </w:rPr>
  </w:style>
  <w:style w:type="paragraph" w:styleId="Indice2">
    <w:name w:val="index 2"/>
    <w:basedOn w:val="Normale"/>
    <w:next w:val="Normale"/>
    <w:autoRedefine/>
    <w:uiPriority w:val="99"/>
    <w:unhideWhenUsed/>
    <w:rsid w:val="00044FB3"/>
    <w:pPr>
      <w:ind w:left="440" w:hanging="220"/>
    </w:pPr>
    <w:rPr>
      <w:rFonts w:cstheme="minorHAnsi"/>
      <w:sz w:val="18"/>
      <w:szCs w:val="18"/>
    </w:rPr>
  </w:style>
  <w:style w:type="paragraph" w:styleId="Indice3">
    <w:name w:val="index 3"/>
    <w:basedOn w:val="Normale"/>
    <w:next w:val="Normale"/>
    <w:autoRedefine/>
    <w:uiPriority w:val="99"/>
    <w:unhideWhenUsed/>
    <w:rsid w:val="00044FB3"/>
    <w:pPr>
      <w:ind w:left="660" w:hanging="220"/>
    </w:pPr>
    <w:rPr>
      <w:rFonts w:cstheme="minorHAnsi"/>
      <w:sz w:val="18"/>
      <w:szCs w:val="18"/>
    </w:rPr>
  </w:style>
  <w:style w:type="paragraph" w:styleId="Indice4">
    <w:name w:val="index 4"/>
    <w:basedOn w:val="Normale"/>
    <w:next w:val="Normale"/>
    <w:autoRedefine/>
    <w:uiPriority w:val="99"/>
    <w:unhideWhenUsed/>
    <w:rsid w:val="00044FB3"/>
    <w:pPr>
      <w:ind w:left="880" w:hanging="220"/>
    </w:pPr>
    <w:rPr>
      <w:rFonts w:cstheme="minorHAnsi"/>
      <w:sz w:val="18"/>
      <w:szCs w:val="18"/>
    </w:rPr>
  </w:style>
  <w:style w:type="paragraph" w:styleId="Indice5">
    <w:name w:val="index 5"/>
    <w:basedOn w:val="Normale"/>
    <w:next w:val="Normale"/>
    <w:autoRedefine/>
    <w:uiPriority w:val="99"/>
    <w:unhideWhenUsed/>
    <w:rsid w:val="00044FB3"/>
    <w:pPr>
      <w:ind w:left="1100" w:hanging="220"/>
    </w:pPr>
    <w:rPr>
      <w:rFonts w:cstheme="minorHAnsi"/>
      <w:sz w:val="18"/>
      <w:szCs w:val="18"/>
    </w:rPr>
  </w:style>
  <w:style w:type="paragraph" w:styleId="Indice6">
    <w:name w:val="index 6"/>
    <w:basedOn w:val="Normale"/>
    <w:next w:val="Normale"/>
    <w:autoRedefine/>
    <w:uiPriority w:val="99"/>
    <w:unhideWhenUsed/>
    <w:rsid w:val="00044FB3"/>
    <w:pPr>
      <w:ind w:left="1320" w:hanging="220"/>
    </w:pPr>
    <w:rPr>
      <w:rFonts w:cstheme="minorHAnsi"/>
      <w:sz w:val="18"/>
      <w:szCs w:val="18"/>
    </w:rPr>
  </w:style>
  <w:style w:type="paragraph" w:styleId="Indice7">
    <w:name w:val="index 7"/>
    <w:basedOn w:val="Normale"/>
    <w:next w:val="Normale"/>
    <w:autoRedefine/>
    <w:uiPriority w:val="99"/>
    <w:unhideWhenUsed/>
    <w:rsid w:val="00044FB3"/>
    <w:pPr>
      <w:ind w:left="1540" w:hanging="220"/>
    </w:pPr>
    <w:rPr>
      <w:rFonts w:cstheme="minorHAnsi"/>
      <w:sz w:val="18"/>
      <w:szCs w:val="18"/>
    </w:rPr>
  </w:style>
  <w:style w:type="paragraph" w:styleId="Indice8">
    <w:name w:val="index 8"/>
    <w:basedOn w:val="Normale"/>
    <w:next w:val="Normale"/>
    <w:autoRedefine/>
    <w:uiPriority w:val="99"/>
    <w:unhideWhenUsed/>
    <w:rsid w:val="00044FB3"/>
    <w:pPr>
      <w:ind w:left="1760" w:hanging="220"/>
    </w:pPr>
    <w:rPr>
      <w:rFonts w:cstheme="minorHAnsi"/>
      <w:sz w:val="18"/>
      <w:szCs w:val="18"/>
    </w:rPr>
  </w:style>
  <w:style w:type="paragraph" w:styleId="Indice9">
    <w:name w:val="index 9"/>
    <w:basedOn w:val="Normale"/>
    <w:next w:val="Normale"/>
    <w:autoRedefine/>
    <w:uiPriority w:val="99"/>
    <w:unhideWhenUsed/>
    <w:rsid w:val="00044FB3"/>
    <w:pPr>
      <w:ind w:left="1980" w:hanging="220"/>
    </w:pPr>
    <w:rPr>
      <w:rFonts w:cstheme="minorHAnsi"/>
      <w:sz w:val="18"/>
      <w:szCs w:val="18"/>
    </w:rPr>
  </w:style>
  <w:style w:type="paragraph" w:styleId="Sommario1">
    <w:name w:val="toc 1"/>
    <w:basedOn w:val="Normale"/>
    <w:next w:val="Normale"/>
    <w:autoRedefine/>
    <w:uiPriority w:val="39"/>
    <w:unhideWhenUsed/>
    <w:rsid w:val="004F60A0"/>
    <w:pPr>
      <w:spacing w:before="120" w:after="120" w:line="480" w:lineRule="auto"/>
    </w:pPr>
    <w:rPr>
      <w:rFonts w:cstheme="minorHAnsi"/>
      <w:bCs/>
      <w:szCs w:val="20"/>
    </w:rPr>
  </w:style>
  <w:style w:type="paragraph" w:styleId="Sommario2">
    <w:name w:val="toc 2"/>
    <w:basedOn w:val="Normale"/>
    <w:next w:val="Normale"/>
    <w:autoRedefine/>
    <w:uiPriority w:val="39"/>
    <w:unhideWhenUsed/>
    <w:rsid w:val="004F60A0"/>
    <w:pPr>
      <w:tabs>
        <w:tab w:val="right" w:leader="dot" w:pos="9628"/>
      </w:tabs>
      <w:ind w:left="220"/>
    </w:pPr>
    <w:rPr>
      <w:rFonts w:cstheme="minorHAnsi"/>
      <w:noProof/>
      <w:szCs w:val="20"/>
    </w:rPr>
  </w:style>
  <w:style w:type="paragraph" w:styleId="Sommario3">
    <w:name w:val="toc 3"/>
    <w:basedOn w:val="Normale"/>
    <w:next w:val="Normale"/>
    <w:autoRedefine/>
    <w:uiPriority w:val="39"/>
    <w:unhideWhenUsed/>
    <w:rsid w:val="004F60A0"/>
    <w:pPr>
      <w:tabs>
        <w:tab w:val="right" w:leader="dot" w:pos="9628"/>
      </w:tabs>
      <w:ind w:left="440"/>
    </w:pPr>
    <w:rPr>
      <w:rFonts w:cstheme="minorHAnsi"/>
      <w:i/>
      <w:iCs/>
      <w:noProof/>
      <w:szCs w:val="20"/>
    </w:rPr>
  </w:style>
  <w:style w:type="paragraph" w:styleId="Titoloindice">
    <w:name w:val="index heading"/>
    <w:basedOn w:val="Normale"/>
    <w:next w:val="Indice1"/>
    <w:uiPriority w:val="99"/>
    <w:unhideWhenUsed/>
    <w:rsid w:val="00044FB3"/>
    <w:pPr>
      <w:pBdr>
        <w:top w:val="single" w:sz="12" w:space="0" w:color="auto"/>
      </w:pBdr>
      <w:spacing w:before="360" w:after="240"/>
    </w:pPr>
    <w:rPr>
      <w:rFonts w:cstheme="minorHAnsi"/>
      <w:b/>
      <w:bCs/>
      <w:i/>
      <w:iCs/>
      <w:sz w:val="26"/>
      <w:szCs w:val="26"/>
    </w:rPr>
  </w:style>
  <w:style w:type="paragraph" w:styleId="Titolosommario">
    <w:name w:val="TOC Heading"/>
    <w:basedOn w:val="Titolo1"/>
    <w:next w:val="Normale"/>
    <w:uiPriority w:val="39"/>
    <w:unhideWhenUsed/>
    <w:qFormat/>
    <w:rsid w:val="00044FB3"/>
    <w:pPr>
      <w:spacing w:line="259" w:lineRule="auto"/>
      <w:outlineLvl w:val="9"/>
    </w:pPr>
    <w:rPr>
      <w:rFonts w:asciiTheme="majorHAnsi" w:hAnsiTheme="majorHAnsi"/>
      <w:color w:val="2F5496" w:themeColor="accent1" w:themeShade="BF"/>
      <w:sz w:val="32"/>
    </w:rPr>
  </w:style>
  <w:style w:type="paragraph" w:styleId="Testonotaapidipagina">
    <w:name w:val="footnote text"/>
    <w:basedOn w:val="Normale"/>
    <w:link w:val="TestonotaapidipaginaCarattere"/>
    <w:uiPriority w:val="99"/>
    <w:unhideWhenUsed/>
    <w:rsid w:val="005359E4"/>
    <w:rPr>
      <w:sz w:val="20"/>
      <w:szCs w:val="20"/>
    </w:rPr>
  </w:style>
  <w:style w:type="character" w:customStyle="1" w:styleId="TestonotaapidipaginaCarattere">
    <w:name w:val="Testo nota a piè di pagina Carattere"/>
    <w:basedOn w:val="Carpredefinitoparagrafo"/>
    <w:link w:val="Testonotaapidipagina"/>
    <w:uiPriority w:val="99"/>
    <w:rsid w:val="005359E4"/>
    <w:rPr>
      <w:rFonts w:ascii="Times New Roman" w:hAnsi="Times New Roman"/>
      <w:sz w:val="20"/>
      <w:szCs w:val="20"/>
    </w:rPr>
  </w:style>
  <w:style w:type="character" w:styleId="Rimandonotaapidipagina">
    <w:name w:val="footnote reference"/>
    <w:basedOn w:val="Carpredefinitoparagrafo"/>
    <w:uiPriority w:val="99"/>
    <w:semiHidden/>
    <w:unhideWhenUsed/>
    <w:rsid w:val="00757124"/>
    <w:rPr>
      <w:vertAlign w:val="superscript"/>
    </w:rPr>
  </w:style>
  <w:style w:type="paragraph" w:styleId="Testofumetto">
    <w:name w:val="Balloon Text"/>
    <w:basedOn w:val="Normale"/>
    <w:link w:val="TestofumettoCarattere"/>
    <w:uiPriority w:val="99"/>
    <w:semiHidden/>
    <w:unhideWhenUsed/>
    <w:rsid w:val="00E7349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73495"/>
    <w:rPr>
      <w:rFonts w:ascii="Segoe UI" w:eastAsiaTheme="minorEastAsia" w:hAnsi="Segoe UI" w:cs="Segoe UI"/>
      <w:kern w:val="0"/>
      <w:sz w:val="18"/>
      <w:szCs w:val="18"/>
      <w:lang w:eastAsia="it-IT"/>
      <w14:ligatures w14:val="none"/>
    </w:rPr>
  </w:style>
  <w:style w:type="paragraph" w:styleId="Intestazione">
    <w:name w:val="header"/>
    <w:basedOn w:val="Normale"/>
    <w:link w:val="IntestazioneCarattere"/>
    <w:uiPriority w:val="99"/>
    <w:unhideWhenUsed/>
    <w:rsid w:val="00C745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4539"/>
    <w:rPr>
      <w:rFonts w:eastAsiaTheme="minorEastAsia"/>
      <w:kern w:val="0"/>
      <w:lang w:eastAsia="it-IT"/>
      <w14:ligatures w14:val="none"/>
    </w:rPr>
  </w:style>
  <w:style w:type="paragraph" w:styleId="Pidipagina">
    <w:name w:val="footer"/>
    <w:basedOn w:val="Normale"/>
    <w:link w:val="PidipaginaCarattere"/>
    <w:uiPriority w:val="99"/>
    <w:unhideWhenUsed/>
    <w:rsid w:val="00C745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4539"/>
    <w:rPr>
      <w:rFonts w:eastAsiaTheme="minorEastAsia"/>
      <w:kern w:val="0"/>
      <w:lang w:eastAsia="it-IT"/>
      <w14:ligatures w14:val="none"/>
    </w:rPr>
  </w:style>
  <w:style w:type="paragraph" w:styleId="NormaleWeb">
    <w:name w:val="Normal (Web)"/>
    <w:basedOn w:val="Normale"/>
    <w:uiPriority w:val="99"/>
    <w:semiHidden/>
    <w:unhideWhenUsed/>
    <w:rsid w:val="00747CD6"/>
    <w:rPr>
      <w:rFonts w:ascii="Times New Roman" w:hAnsi="Times New Roman" w:cs="Times New Roman"/>
      <w:sz w:val="24"/>
      <w:szCs w:val="24"/>
    </w:rPr>
  </w:style>
  <w:style w:type="paragraph" w:styleId="PreformattatoHTML">
    <w:name w:val="HTML Preformatted"/>
    <w:basedOn w:val="Normale"/>
    <w:link w:val="PreformattatoHTMLCarattere"/>
    <w:uiPriority w:val="99"/>
    <w:semiHidden/>
    <w:unhideWhenUsed/>
    <w:rsid w:val="001A458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1A4583"/>
    <w:rPr>
      <w:rFonts w:ascii="Consolas" w:eastAsiaTheme="minorEastAsia" w:hAnsi="Consola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7819">
      <w:bodyDiv w:val="1"/>
      <w:marLeft w:val="0"/>
      <w:marRight w:val="0"/>
      <w:marTop w:val="0"/>
      <w:marBottom w:val="0"/>
      <w:divBdr>
        <w:top w:val="none" w:sz="0" w:space="0" w:color="auto"/>
        <w:left w:val="none" w:sz="0" w:space="0" w:color="auto"/>
        <w:bottom w:val="none" w:sz="0" w:space="0" w:color="auto"/>
        <w:right w:val="none" w:sz="0" w:space="0" w:color="auto"/>
      </w:divBdr>
    </w:div>
    <w:div w:id="18044264">
      <w:bodyDiv w:val="1"/>
      <w:marLeft w:val="0"/>
      <w:marRight w:val="0"/>
      <w:marTop w:val="0"/>
      <w:marBottom w:val="0"/>
      <w:divBdr>
        <w:top w:val="none" w:sz="0" w:space="0" w:color="auto"/>
        <w:left w:val="none" w:sz="0" w:space="0" w:color="auto"/>
        <w:bottom w:val="none" w:sz="0" w:space="0" w:color="auto"/>
        <w:right w:val="none" w:sz="0" w:space="0" w:color="auto"/>
      </w:divBdr>
    </w:div>
    <w:div w:id="19481213">
      <w:bodyDiv w:val="1"/>
      <w:marLeft w:val="0"/>
      <w:marRight w:val="0"/>
      <w:marTop w:val="0"/>
      <w:marBottom w:val="0"/>
      <w:divBdr>
        <w:top w:val="none" w:sz="0" w:space="0" w:color="auto"/>
        <w:left w:val="none" w:sz="0" w:space="0" w:color="auto"/>
        <w:bottom w:val="none" w:sz="0" w:space="0" w:color="auto"/>
        <w:right w:val="none" w:sz="0" w:space="0" w:color="auto"/>
      </w:divBdr>
    </w:div>
    <w:div w:id="36904870">
      <w:bodyDiv w:val="1"/>
      <w:marLeft w:val="0"/>
      <w:marRight w:val="0"/>
      <w:marTop w:val="0"/>
      <w:marBottom w:val="0"/>
      <w:divBdr>
        <w:top w:val="none" w:sz="0" w:space="0" w:color="auto"/>
        <w:left w:val="none" w:sz="0" w:space="0" w:color="auto"/>
        <w:bottom w:val="none" w:sz="0" w:space="0" w:color="auto"/>
        <w:right w:val="none" w:sz="0" w:space="0" w:color="auto"/>
      </w:divBdr>
    </w:div>
    <w:div w:id="87653917">
      <w:bodyDiv w:val="1"/>
      <w:marLeft w:val="0"/>
      <w:marRight w:val="0"/>
      <w:marTop w:val="0"/>
      <w:marBottom w:val="0"/>
      <w:divBdr>
        <w:top w:val="none" w:sz="0" w:space="0" w:color="auto"/>
        <w:left w:val="none" w:sz="0" w:space="0" w:color="auto"/>
        <w:bottom w:val="none" w:sz="0" w:space="0" w:color="auto"/>
        <w:right w:val="none" w:sz="0" w:space="0" w:color="auto"/>
      </w:divBdr>
    </w:div>
    <w:div w:id="96291518">
      <w:bodyDiv w:val="1"/>
      <w:marLeft w:val="0"/>
      <w:marRight w:val="0"/>
      <w:marTop w:val="0"/>
      <w:marBottom w:val="0"/>
      <w:divBdr>
        <w:top w:val="none" w:sz="0" w:space="0" w:color="auto"/>
        <w:left w:val="none" w:sz="0" w:space="0" w:color="auto"/>
        <w:bottom w:val="none" w:sz="0" w:space="0" w:color="auto"/>
        <w:right w:val="none" w:sz="0" w:space="0" w:color="auto"/>
      </w:divBdr>
    </w:div>
    <w:div w:id="104812734">
      <w:bodyDiv w:val="1"/>
      <w:marLeft w:val="0"/>
      <w:marRight w:val="0"/>
      <w:marTop w:val="0"/>
      <w:marBottom w:val="0"/>
      <w:divBdr>
        <w:top w:val="none" w:sz="0" w:space="0" w:color="auto"/>
        <w:left w:val="none" w:sz="0" w:space="0" w:color="auto"/>
        <w:bottom w:val="none" w:sz="0" w:space="0" w:color="auto"/>
        <w:right w:val="none" w:sz="0" w:space="0" w:color="auto"/>
      </w:divBdr>
    </w:div>
    <w:div w:id="114906274">
      <w:bodyDiv w:val="1"/>
      <w:marLeft w:val="0"/>
      <w:marRight w:val="0"/>
      <w:marTop w:val="0"/>
      <w:marBottom w:val="0"/>
      <w:divBdr>
        <w:top w:val="none" w:sz="0" w:space="0" w:color="auto"/>
        <w:left w:val="none" w:sz="0" w:space="0" w:color="auto"/>
        <w:bottom w:val="none" w:sz="0" w:space="0" w:color="auto"/>
        <w:right w:val="none" w:sz="0" w:space="0" w:color="auto"/>
      </w:divBdr>
      <w:divsChild>
        <w:div w:id="530848229">
          <w:marLeft w:val="0"/>
          <w:marRight w:val="0"/>
          <w:marTop w:val="0"/>
          <w:marBottom w:val="0"/>
          <w:divBdr>
            <w:top w:val="none" w:sz="0" w:space="0" w:color="auto"/>
            <w:left w:val="none" w:sz="0" w:space="0" w:color="auto"/>
            <w:bottom w:val="none" w:sz="0" w:space="0" w:color="auto"/>
            <w:right w:val="none" w:sz="0" w:space="0" w:color="auto"/>
          </w:divBdr>
          <w:divsChild>
            <w:div w:id="708845364">
              <w:marLeft w:val="0"/>
              <w:marRight w:val="0"/>
              <w:marTop w:val="0"/>
              <w:marBottom w:val="0"/>
              <w:divBdr>
                <w:top w:val="none" w:sz="0" w:space="0" w:color="auto"/>
                <w:left w:val="none" w:sz="0" w:space="0" w:color="auto"/>
                <w:bottom w:val="none" w:sz="0" w:space="0" w:color="auto"/>
                <w:right w:val="none" w:sz="0" w:space="0" w:color="auto"/>
              </w:divBdr>
              <w:divsChild>
                <w:div w:id="145754794">
                  <w:marLeft w:val="0"/>
                  <w:marRight w:val="0"/>
                  <w:marTop w:val="0"/>
                  <w:marBottom w:val="0"/>
                  <w:divBdr>
                    <w:top w:val="none" w:sz="0" w:space="0" w:color="auto"/>
                    <w:left w:val="none" w:sz="0" w:space="0" w:color="auto"/>
                    <w:bottom w:val="none" w:sz="0" w:space="0" w:color="auto"/>
                    <w:right w:val="none" w:sz="0" w:space="0" w:color="auto"/>
                  </w:divBdr>
                  <w:divsChild>
                    <w:div w:id="1536693346">
                      <w:marLeft w:val="0"/>
                      <w:marRight w:val="0"/>
                      <w:marTop w:val="0"/>
                      <w:marBottom w:val="0"/>
                      <w:divBdr>
                        <w:top w:val="none" w:sz="0" w:space="0" w:color="auto"/>
                        <w:left w:val="none" w:sz="0" w:space="0" w:color="auto"/>
                        <w:bottom w:val="none" w:sz="0" w:space="0" w:color="auto"/>
                        <w:right w:val="none" w:sz="0" w:space="0" w:color="auto"/>
                      </w:divBdr>
                      <w:divsChild>
                        <w:div w:id="1875190272">
                          <w:marLeft w:val="0"/>
                          <w:marRight w:val="0"/>
                          <w:marTop w:val="0"/>
                          <w:marBottom w:val="0"/>
                          <w:divBdr>
                            <w:top w:val="none" w:sz="0" w:space="0" w:color="auto"/>
                            <w:left w:val="none" w:sz="0" w:space="0" w:color="auto"/>
                            <w:bottom w:val="none" w:sz="0" w:space="0" w:color="auto"/>
                            <w:right w:val="none" w:sz="0" w:space="0" w:color="auto"/>
                          </w:divBdr>
                          <w:divsChild>
                            <w:div w:id="431122926">
                              <w:marLeft w:val="0"/>
                              <w:marRight w:val="0"/>
                              <w:marTop w:val="0"/>
                              <w:marBottom w:val="0"/>
                              <w:divBdr>
                                <w:top w:val="none" w:sz="0" w:space="0" w:color="auto"/>
                                <w:left w:val="none" w:sz="0" w:space="0" w:color="auto"/>
                                <w:bottom w:val="none" w:sz="0" w:space="0" w:color="auto"/>
                                <w:right w:val="none" w:sz="0" w:space="0" w:color="auto"/>
                              </w:divBdr>
                              <w:divsChild>
                                <w:div w:id="586109738">
                                  <w:marLeft w:val="0"/>
                                  <w:marRight w:val="0"/>
                                  <w:marTop w:val="0"/>
                                  <w:marBottom w:val="0"/>
                                  <w:divBdr>
                                    <w:top w:val="none" w:sz="0" w:space="0" w:color="auto"/>
                                    <w:left w:val="none" w:sz="0" w:space="0" w:color="auto"/>
                                    <w:bottom w:val="none" w:sz="0" w:space="0" w:color="auto"/>
                                    <w:right w:val="none" w:sz="0" w:space="0" w:color="auto"/>
                                  </w:divBdr>
                                  <w:divsChild>
                                    <w:div w:id="2088841414">
                                      <w:marLeft w:val="0"/>
                                      <w:marRight w:val="0"/>
                                      <w:marTop w:val="0"/>
                                      <w:marBottom w:val="0"/>
                                      <w:divBdr>
                                        <w:top w:val="none" w:sz="0" w:space="0" w:color="auto"/>
                                        <w:left w:val="none" w:sz="0" w:space="0" w:color="auto"/>
                                        <w:bottom w:val="none" w:sz="0" w:space="0" w:color="auto"/>
                                        <w:right w:val="none" w:sz="0" w:space="0" w:color="auto"/>
                                      </w:divBdr>
                                      <w:divsChild>
                                        <w:div w:id="605697571">
                                          <w:marLeft w:val="0"/>
                                          <w:marRight w:val="0"/>
                                          <w:marTop w:val="0"/>
                                          <w:marBottom w:val="0"/>
                                          <w:divBdr>
                                            <w:top w:val="none" w:sz="0" w:space="0" w:color="auto"/>
                                            <w:left w:val="none" w:sz="0" w:space="0" w:color="auto"/>
                                            <w:bottom w:val="none" w:sz="0" w:space="0" w:color="auto"/>
                                            <w:right w:val="none" w:sz="0" w:space="0" w:color="auto"/>
                                          </w:divBdr>
                                          <w:divsChild>
                                            <w:div w:id="228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978358">
          <w:marLeft w:val="0"/>
          <w:marRight w:val="0"/>
          <w:marTop w:val="0"/>
          <w:marBottom w:val="0"/>
          <w:divBdr>
            <w:top w:val="none" w:sz="0" w:space="0" w:color="auto"/>
            <w:left w:val="none" w:sz="0" w:space="0" w:color="auto"/>
            <w:bottom w:val="none" w:sz="0" w:space="0" w:color="auto"/>
            <w:right w:val="none" w:sz="0" w:space="0" w:color="auto"/>
          </w:divBdr>
          <w:divsChild>
            <w:div w:id="1349020630">
              <w:marLeft w:val="0"/>
              <w:marRight w:val="0"/>
              <w:marTop w:val="0"/>
              <w:marBottom w:val="0"/>
              <w:divBdr>
                <w:top w:val="none" w:sz="0" w:space="0" w:color="auto"/>
                <w:left w:val="none" w:sz="0" w:space="0" w:color="auto"/>
                <w:bottom w:val="none" w:sz="0" w:space="0" w:color="auto"/>
                <w:right w:val="none" w:sz="0" w:space="0" w:color="auto"/>
              </w:divBdr>
              <w:divsChild>
                <w:div w:id="363945739">
                  <w:marLeft w:val="0"/>
                  <w:marRight w:val="0"/>
                  <w:marTop w:val="0"/>
                  <w:marBottom w:val="0"/>
                  <w:divBdr>
                    <w:top w:val="none" w:sz="0" w:space="0" w:color="auto"/>
                    <w:left w:val="none" w:sz="0" w:space="0" w:color="auto"/>
                    <w:bottom w:val="none" w:sz="0" w:space="0" w:color="auto"/>
                    <w:right w:val="none" w:sz="0" w:space="0" w:color="auto"/>
                  </w:divBdr>
                  <w:divsChild>
                    <w:div w:id="1362822508">
                      <w:marLeft w:val="0"/>
                      <w:marRight w:val="0"/>
                      <w:marTop w:val="0"/>
                      <w:marBottom w:val="0"/>
                      <w:divBdr>
                        <w:top w:val="none" w:sz="0" w:space="0" w:color="auto"/>
                        <w:left w:val="none" w:sz="0" w:space="0" w:color="auto"/>
                        <w:bottom w:val="none" w:sz="0" w:space="0" w:color="auto"/>
                        <w:right w:val="none" w:sz="0" w:space="0" w:color="auto"/>
                      </w:divBdr>
                      <w:divsChild>
                        <w:div w:id="107823110">
                          <w:marLeft w:val="0"/>
                          <w:marRight w:val="0"/>
                          <w:marTop w:val="0"/>
                          <w:marBottom w:val="0"/>
                          <w:divBdr>
                            <w:top w:val="none" w:sz="0" w:space="0" w:color="auto"/>
                            <w:left w:val="none" w:sz="0" w:space="0" w:color="auto"/>
                            <w:bottom w:val="none" w:sz="0" w:space="0" w:color="auto"/>
                            <w:right w:val="none" w:sz="0" w:space="0" w:color="auto"/>
                          </w:divBdr>
                          <w:divsChild>
                            <w:div w:id="615218435">
                              <w:marLeft w:val="0"/>
                              <w:marRight w:val="0"/>
                              <w:marTop w:val="0"/>
                              <w:marBottom w:val="0"/>
                              <w:divBdr>
                                <w:top w:val="none" w:sz="0" w:space="0" w:color="auto"/>
                                <w:left w:val="none" w:sz="0" w:space="0" w:color="auto"/>
                                <w:bottom w:val="none" w:sz="0" w:space="0" w:color="auto"/>
                                <w:right w:val="none" w:sz="0" w:space="0" w:color="auto"/>
                              </w:divBdr>
                              <w:divsChild>
                                <w:div w:id="1421103150">
                                  <w:marLeft w:val="0"/>
                                  <w:marRight w:val="0"/>
                                  <w:marTop w:val="0"/>
                                  <w:marBottom w:val="0"/>
                                  <w:divBdr>
                                    <w:top w:val="none" w:sz="0" w:space="0" w:color="auto"/>
                                    <w:left w:val="none" w:sz="0" w:space="0" w:color="auto"/>
                                    <w:bottom w:val="none" w:sz="0" w:space="0" w:color="auto"/>
                                    <w:right w:val="none" w:sz="0" w:space="0" w:color="auto"/>
                                  </w:divBdr>
                                  <w:divsChild>
                                    <w:div w:id="4204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354">
      <w:bodyDiv w:val="1"/>
      <w:marLeft w:val="0"/>
      <w:marRight w:val="0"/>
      <w:marTop w:val="0"/>
      <w:marBottom w:val="0"/>
      <w:divBdr>
        <w:top w:val="none" w:sz="0" w:space="0" w:color="auto"/>
        <w:left w:val="none" w:sz="0" w:space="0" w:color="auto"/>
        <w:bottom w:val="none" w:sz="0" w:space="0" w:color="auto"/>
        <w:right w:val="none" w:sz="0" w:space="0" w:color="auto"/>
      </w:divBdr>
    </w:div>
    <w:div w:id="124273303">
      <w:bodyDiv w:val="1"/>
      <w:marLeft w:val="0"/>
      <w:marRight w:val="0"/>
      <w:marTop w:val="0"/>
      <w:marBottom w:val="0"/>
      <w:divBdr>
        <w:top w:val="none" w:sz="0" w:space="0" w:color="auto"/>
        <w:left w:val="none" w:sz="0" w:space="0" w:color="auto"/>
        <w:bottom w:val="none" w:sz="0" w:space="0" w:color="auto"/>
        <w:right w:val="none" w:sz="0" w:space="0" w:color="auto"/>
      </w:divBdr>
    </w:div>
    <w:div w:id="130372163">
      <w:bodyDiv w:val="1"/>
      <w:marLeft w:val="0"/>
      <w:marRight w:val="0"/>
      <w:marTop w:val="0"/>
      <w:marBottom w:val="0"/>
      <w:divBdr>
        <w:top w:val="none" w:sz="0" w:space="0" w:color="auto"/>
        <w:left w:val="none" w:sz="0" w:space="0" w:color="auto"/>
        <w:bottom w:val="none" w:sz="0" w:space="0" w:color="auto"/>
        <w:right w:val="none" w:sz="0" w:space="0" w:color="auto"/>
      </w:divBdr>
    </w:div>
    <w:div w:id="148209519">
      <w:bodyDiv w:val="1"/>
      <w:marLeft w:val="0"/>
      <w:marRight w:val="0"/>
      <w:marTop w:val="0"/>
      <w:marBottom w:val="0"/>
      <w:divBdr>
        <w:top w:val="none" w:sz="0" w:space="0" w:color="auto"/>
        <w:left w:val="none" w:sz="0" w:space="0" w:color="auto"/>
        <w:bottom w:val="none" w:sz="0" w:space="0" w:color="auto"/>
        <w:right w:val="none" w:sz="0" w:space="0" w:color="auto"/>
      </w:divBdr>
      <w:divsChild>
        <w:div w:id="1183669003">
          <w:marLeft w:val="0"/>
          <w:marRight w:val="0"/>
          <w:marTop w:val="0"/>
          <w:marBottom w:val="0"/>
          <w:divBdr>
            <w:top w:val="none" w:sz="0" w:space="0" w:color="auto"/>
            <w:left w:val="none" w:sz="0" w:space="0" w:color="auto"/>
            <w:bottom w:val="none" w:sz="0" w:space="0" w:color="auto"/>
            <w:right w:val="none" w:sz="0" w:space="0" w:color="auto"/>
          </w:divBdr>
        </w:div>
        <w:div w:id="1264656396">
          <w:marLeft w:val="0"/>
          <w:marRight w:val="0"/>
          <w:marTop w:val="0"/>
          <w:marBottom w:val="0"/>
          <w:divBdr>
            <w:top w:val="none" w:sz="0" w:space="0" w:color="auto"/>
            <w:left w:val="none" w:sz="0" w:space="0" w:color="auto"/>
            <w:bottom w:val="none" w:sz="0" w:space="0" w:color="auto"/>
            <w:right w:val="none" w:sz="0" w:space="0" w:color="auto"/>
          </w:divBdr>
        </w:div>
        <w:div w:id="168562112">
          <w:marLeft w:val="0"/>
          <w:marRight w:val="0"/>
          <w:marTop w:val="0"/>
          <w:marBottom w:val="0"/>
          <w:divBdr>
            <w:top w:val="none" w:sz="0" w:space="0" w:color="auto"/>
            <w:left w:val="none" w:sz="0" w:space="0" w:color="auto"/>
            <w:bottom w:val="none" w:sz="0" w:space="0" w:color="auto"/>
            <w:right w:val="none" w:sz="0" w:space="0" w:color="auto"/>
          </w:divBdr>
        </w:div>
        <w:div w:id="269245607">
          <w:marLeft w:val="0"/>
          <w:marRight w:val="0"/>
          <w:marTop w:val="0"/>
          <w:marBottom w:val="0"/>
          <w:divBdr>
            <w:top w:val="none" w:sz="0" w:space="0" w:color="auto"/>
            <w:left w:val="none" w:sz="0" w:space="0" w:color="auto"/>
            <w:bottom w:val="none" w:sz="0" w:space="0" w:color="auto"/>
            <w:right w:val="none" w:sz="0" w:space="0" w:color="auto"/>
          </w:divBdr>
        </w:div>
      </w:divsChild>
    </w:div>
    <w:div w:id="174420669">
      <w:bodyDiv w:val="1"/>
      <w:marLeft w:val="0"/>
      <w:marRight w:val="0"/>
      <w:marTop w:val="0"/>
      <w:marBottom w:val="0"/>
      <w:divBdr>
        <w:top w:val="none" w:sz="0" w:space="0" w:color="auto"/>
        <w:left w:val="none" w:sz="0" w:space="0" w:color="auto"/>
        <w:bottom w:val="none" w:sz="0" w:space="0" w:color="auto"/>
        <w:right w:val="none" w:sz="0" w:space="0" w:color="auto"/>
      </w:divBdr>
    </w:div>
    <w:div w:id="188837214">
      <w:bodyDiv w:val="1"/>
      <w:marLeft w:val="0"/>
      <w:marRight w:val="0"/>
      <w:marTop w:val="0"/>
      <w:marBottom w:val="0"/>
      <w:divBdr>
        <w:top w:val="none" w:sz="0" w:space="0" w:color="auto"/>
        <w:left w:val="none" w:sz="0" w:space="0" w:color="auto"/>
        <w:bottom w:val="none" w:sz="0" w:space="0" w:color="auto"/>
        <w:right w:val="none" w:sz="0" w:space="0" w:color="auto"/>
      </w:divBdr>
    </w:div>
    <w:div w:id="189034472">
      <w:bodyDiv w:val="1"/>
      <w:marLeft w:val="0"/>
      <w:marRight w:val="0"/>
      <w:marTop w:val="0"/>
      <w:marBottom w:val="0"/>
      <w:divBdr>
        <w:top w:val="none" w:sz="0" w:space="0" w:color="auto"/>
        <w:left w:val="none" w:sz="0" w:space="0" w:color="auto"/>
        <w:bottom w:val="none" w:sz="0" w:space="0" w:color="auto"/>
        <w:right w:val="none" w:sz="0" w:space="0" w:color="auto"/>
      </w:divBdr>
    </w:div>
    <w:div w:id="191500211">
      <w:bodyDiv w:val="1"/>
      <w:marLeft w:val="0"/>
      <w:marRight w:val="0"/>
      <w:marTop w:val="0"/>
      <w:marBottom w:val="0"/>
      <w:divBdr>
        <w:top w:val="none" w:sz="0" w:space="0" w:color="auto"/>
        <w:left w:val="none" w:sz="0" w:space="0" w:color="auto"/>
        <w:bottom w:val="none" w:sz="0" w:space="0" w:color="auto"/>
        <w:right w:val="none" w:sz="0" w:space="0" w:color="auto"/>
      </w:divBdr>
    </w:div>
    <w:div w:id="263659049">
      <w:bodyDiv w:val="1"/>
      <w:marLeft w:val="0"/>
      <w:marRight w:val="0"/>
      <w:marTop w:val="0"/>
      <w:marBottom w:val="0"/>
      <w:divBdr>
        <w:top w:val="none" w:sz="0" w:space="0" w:color="auto"/>
        <w:left w:val="none" w:sz="0" w:space="0" w:color="auto"/>
        <w:bottom w:val="none" w:sz="0" w:space="0" w:color="auto"/>
        <w:right w:val="none" w:sz="0" w:space="0" w:color="auto"/>
      </w:divBdr>
    </w:div>
    <w:div w:id="264732251">
      <w:bodyDiv w:val="1"/>
      <w:marLeft w:val="0"/>
      <w:marRight w:val="0"/>
      <w:marTop w:val="0"/>
      <w:marBottom w:val="0"/>
      <w:divBdr>
        <w:top w:val="none" w:sz="0" w:space="0" w:color="auto"/>
        <w:left w:val="none" w:sz="0" w:space="0" w:color="auto"/>
        <w:bottom w:val="none" w:sz="0" w:space="0" w:color="auto"/>
        <w:right w:val="none" w:sz="0" w:space="0" w:color="auto"/>
      </w:divBdr>
    </w:div>
    <w:div w:id="288784072">
      <w:bodyDiv w:val="1"/>
      <w:marLeft w:val="0"/>
      <w:marRight w:val="0"/>
      <w:marTop w:val="0"/>
      <w:marBottom w:val="0"/>
      <w:divBdr>
        <w:top w:val="none" w:sz="0" w:space="0" w:color="auto"/>
        <w:left w:val="none" w:sz="0" w:space="0" w:color="auto"/>
        <w:bottom w:val="none" w:sz="0" w:space="0" w:color="auto"/>
        <w:right w:val="none" w:sz="0" w:space="0" w:color="auto"/>
      </w:divBdr>
    </w:div>
    <w:div w:id="290595728">
      <w:bodyDiv w:val="1"/>
      <w:marLeft w:val="0"/>
      <w:marRight w:val="0"/>
      <w:marTop w:val="0"/>
      <w:marBottom w:val="0"/>
      <w:divBdr>
        <w:top w:val="none" w:sz="0" w:space="0" w:color="auto"/>
        <w:left w:val="none" w:sz="0" w:space="0" w:color="auto"/>
        <w:bottom w:val="none" w:sz="0" w:space="0" w:color="auto"/>
        <w:right w:val="none" w:sz="0" w:space="0" w:color="auto"/>
      </w:divBdr>
    </w:div>
    <w:div w:id="290786634">
      <w:bodyDiv w:val="1"/>
      <w:marLeft w:val="0"/>
      <w:marRight w:val="0"/>
      <w:marTop w:val="0"/>
      <w:marBottom w:val="0"/>
      <w:divBdr>
        <w:top w:val="none" w:sz="0" w:space="0" w:color="auto"/>
        <w:left w:val="none" w:sz="0" w:space="0" w:color="auto"/>
        <w:bottom w:val="none" w:sz="0" w:space="0" w:color="auto"/>
        <w:right w:val="none" w:sz="0" w:space="0" w:color="auto"/>
      </w:divBdr>
    </w:div>
    <w:div w:id="296842467">
      <w:bodyDiv w:val="1"/>
      <w:marLeft w:val="0"/>
      <w:marRight w:val="0"/>
      <w:marTop w:val="0"/>
      <w:marBottom w:val="0"/>
      <w:divBdr>
        <w:top w:val="none" w:sz="0" w:space="0" w:color="auto"/>
        <w:left w:val="none" w:sz="0" w:space="0" w:color="auto"/>
        <w:bottom w:val="none" w:sz="0" w:space="0" w:color="auto"/>
        <w:right w:val="none" w:sz="0" w:space="0" w:color="auto"/>
      </w:divBdr>
    </w:div>
    <w:div w:id="301664862">
      <w:bodyDiv w:val="1"/>
      <w:marLeft w:val="0"/>
      <w:marRight w:val="0"/>
      <w:marTop w:val="0"/>
      <w:marBottom w:val="0"/>
      <w:divBdr>
        <w:top w:val="none" w:sz="0" w:space="0" w:color="auto"/>
        <w:left w:val="none" w:sz="0" w:space="0" w:color="auto"/>
        <w:bottom w:val="none" w:sz="0" w:space="0" w:color="auto"/>
        <w:right w:val="none" w:sz="0" w:space="0" w:color="auto"/>
      </w:divBdr>
    </w:div>
    <w:div w:id="323778126">
      <w:bodyDiv w:val="1"/>
      <w:marLeft w:val="0"/>
      <w:marRight w:val="0"/>
      <w:marTop w:val="0"/>
      <w:marBottom w:val="0"/>
      <w:divBdr>
        <w:top w:val="none" w:sz="0" w:space="0" w:color="auto"/>
        <w:left w:val="none" w:sz="0" w:space="0" w:color="auto"/>
        <w:bottom w:val="none" w:sz="0" w:space="0" w:color="auto"/>
        <w:right w:val="none" w:sz="0" w:space="0" w:color="auto"/>
      </w:divBdr>
    </w:div>
    <w:div w:id="324358905">
      <w:bodyDiv w:val="1"/>
      <w:marLeft w:val="0"/>
      <w:marRight w:val="0"/>
      <w:marTop w:val="0"/>
      <w:marBottom w:val="0"/>
      <w:divBdr>
        <w:top w:val="none" w:sz="0" w:space="0" w:color="auto"/>
        <w:left w:val="none" w:sz="0" w:space="0" w:color="auto"/>
        <w:bottom w:val="none" w:sz="0" w:space="0" w:color="auto"/>
        <w:right w:val="none" w:sz="0" w:space="0" w:color="auto"/>
      </w:divBdr>
    </w:div>
    <w:div w:id="468865911">
      <w:bodyDiv w:val="1"/>
      <w:marLeft w:val="0"/>
      <w:marRight w:val="0"/>
      <w:marTop w:val="0"/>
      <w:marBottom w:val="0"/>
      <w:divBdr>
        <w:top w:val="none" w:sz="0" w:space="0" w:color="auto"/>
        <w:left w:val="none" w:sz="0" w:space="0" w:color="auto"/>
        <w:bottom w:val="none" w:sz="0" w:space="0" w:color="auto"/>
        <w:right w:val="none" w:sz="0" w:space="0" w:color="auto"/>
      </w:divBdr>
    </w:div>
    <w:div w:id="480082868">
      <w:bodyDiv w:val="1"/>
      <w:marLeft w:val="0"/>
      <w:marRight w:val="0"/>
      <w:marTop w:val="0"/>
      <w:marBottom w:val="0"/>
      <w:divBdr>
        <w:top w:val="none" w:sz="0" w:space="0" w:color="auto"/>
        <w:left w:val="none" w:sz="0" w:space="0" w:color="auto"/>
        <w:bottom w:val="none" w:sz="0" w:space="0" w:color="auto"/>
        <w:right w:val="none" w:sz="0" w:space="0" w:color="auto"/>
      </w:divBdr>
      <w:divsChild>
        <w:div w:id="496699880">
          <w:marLeft w:val="0"/>
          <w:marRight w:val="0"/>
          <w:marTop w:val="0"/>
          <w:marBottom w:val="0"/>
          <w:divBdr>
            <w:top w:val="none" w:sz="0" w:space="0" w:color="auto"/>
            <w:left w:val="none" w:sz="0" w:space="0" w:color="auto"/>
            <w:bottom w:val="none" w:sz="0" w:space="0" w:color="auto"/>
            <w:right w:val="none" w:sz="0" w:space="0" w:color="auto"/>
          </w:divBdr>
          <w:divsChild>
            <w:div w:id="2088719790">
              <w:marLeft w:val="0"/>
              <w:marRight w:val="0"/>
              <w:marTop w:val="0"/>
              <w:marBottom w:val="0"/>
              <w:divBdr>
                <w:top w:val="none" w:sz="0" w:space="0" w:color="auto"/>
                <w:left w:val="none" w:sz="0" w:space="0" w:color="auto"/>
                <w:bottom w:val="none" w:sz="0" w:space="0" w:color="auto"/>
                <w:right w:val="none" w:sz="0" w:space="0" w:color="auto"/>
              </w:divBdr>
              <w:divsChild>
                <w:div w:id="1321228955">
                  <w:marLeft w:val="0"/>
                  <w:marRight w:val="0"/>
                  <w:marTop w:val="0"/>
                  <w:marBottom w:val="0"/>
                  <w:divBdr>
                    <w:top w:val="none" w:sz="0" w:space="0" w:color="auto"/>
                    <w:left w:val="none" w:sz="0" w:space="0" w:color="auto"/>
                    <w:bottom w:val="none" w:sz="0" w:space="0" w:color="auto"/>
                    <w:right w:val="none" w:sz="0" w:space="0" w:color="auto"/>
                  </w:divBdr>
                  <w:divsChild>
                    <w:div w:id="1263732135">
                      <w:marLeft w:val="0"/>
                      <w:marRight w:val="0"/>
                      <w:marTop w:val="0"/>
                      <w:marBottom w:val="0"/>
                      <w:divBdr>
                        <w:top w:val="none" w:sz="0" w:space="0" w:color="auto"/>
                        <w:left w:val="none" w:sz="0" w:space="0" w:color="auto"/>
                        <w:bottom w:val="none" w:sz="0" w:space="0" w:color="auto"/>
                        <w:right w:val="none" w:sz="0" w:space="0" w:color="auto"/>
                      </w:divBdr>
                      <w:divsChild>
                        <w:div w:id="583535355">
                          <w:marLeft w:val="0"/>
                          <w:marRight w:val="0"/>
                          <w:marTop w:val="0"/>
                          <w:marBottom w:val="0"/>
                          <w:divBdr>
                            <w:top w:val="none" w:sz="0" w:space="0" w:color="auto"/>
                            <w:left w:val="none" w:sz="0" w:space="0" w:color="auto"/>
                            <w:bottom w:val="none" w:sz="0" w:space="0" w:color="auto"/>
                            <w:right w:val="none" w:sz="0" w:space="0" w:color="auto"/>
                          </w:divBdr>
                          <w:divsChild>
                            <w:div w:id="1272316776">
                              <w:marLeft w:val="0"/>
                              <w:marRight w:val="0"/>
                              <w:marTop w:val="0"/>
                              <w:marBottom w:val="0"/>
                              <w:divBdr>
                                <w:top w:val="none" w:sz="0" w:space="0" w:color="auto"/>
                                <w:left w:val="none" w:sz="0" w:space="0" w:color="auto"/>
                                <w:bottom w:val="none" w:sz="0" w:space="0" w:color="auto"/>
                                <w:right w:val="none" w:sz="0" w:space="0" w:color="auto"/>
                              </w:divBdr>
                              <w:divsChild>
                                <w:div w:id="53169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927824">
      <w:bodyDiv w:val="1"/>
      <w:marLeft w:val="0"/>
      <w:marRight w:val="0"/>
      <w:marTop w:val="0"/>
      <w:marBottom w:val="0"/>
      <w:divBdr>
        <w:top w:val="none" w:sz="0" w:space="0" w:color="auto"/>
        <w:left w:val="none" w:sz="0" w:space="0" w:color="auto"/>
        <w:bottom w:val="none" w:sz="0" w:space="0" w:color="auto"/>
        <w:right w:val="none" w:sz="0" w:space="0" w:color="auto"/>
      </w:divBdr>
    </w:div>
    <w:div w:id="528765464">
      <w:bodyDiv w:val="1"/>
      <w:marLeft w:val="0"/>
      <w:marRight w:val="0"/>
      <w:marTop w:val="0"/>
      <w:marBottom w:val="0"/>
      <w:divBdr>
        <w:top w:val="none" w:sz="0" w:space="0" w:color="auto"/>
        <w:left w:val="none" w:sz="0" w:space="0" w:color="auto"/>
        <w:bottom w:val="none" w:sz="0" w:space="0" w:color="auto"/>
        <w:right w:val="none" w:sz="0" w:space="0" w:color="auto"/>
      </w:divBdr>
    </w:div>
    <w:div w:id="542523175">
      <w:bodyDiv w:val="1"/>
      <w:marLeft w:val="0"/>
      <w:marRight w:val="0"/>
      <w:marTop w:val="0"/>
      <w:marBottom w:val="0"/>
      <w:divBdr>
        <w:top w:val="none" w:sz="0" w:space="0" w:color="auto"/>
        <w:left w:val="none" w:sz="0" w:space="0" w:color="auto"/>
        <w:bottom w:val="none" w:sz="0" w:space="0" w:color="auto"/>
        <w:right w:val="none" w:sz="0" w:space="0" w:color="auto"/>
      </w:divBdr>
    </w:div>
    <w:div w:id="551965824">
      <w:bodyDiv w:val="1"/>
      <w:marLeft w:val="0"/>
      <w:marRight w:val="0"/>
      <w:marTop w:val="0"/>
      <w:marBottom w:val="0"/>
      <w:divBdr>
        <w:top w:val="none" w:sz="0" w:space="0" w:color="auto"/>
        <w:left w:val="none" w:sz="0" w:space="0" w:color="auto"/>
        <w:bottom w:val="none" w:sz="0" w:space="0" w:color="auto"/>
        <w:right w:val="none" w:sz="0" w:space="0" w:color="auto"/>
      </w:divBdr>
      <w:divsChild>
        <w:div w:id="81025249">
          <w:marLeft w:val="0"/>
          <w:marRight w:val="0"/>
          <w:marTop w:val="0"/>
          <w:marBottom w:val="0"/>
          <w:divBdr>
            <w:top w:val="none" w:sz="0" w:space="0" w:color="auto"/>
            <w:left w:val="none" w:sz="0" w:space="0" w:color="auto"/>
            <w:bottom w:val="none" w:sz="0" w:space="0" w:color="auto"/>
            <w:right w:val="none" w:sz="0" w:space="0" w:color="auto"/>
          </w:divBdr>
        </w:div>
        <w:div w:id="98334577">
          <w:marLeft w:val="0"/>
          <w:marRight w:val="0"/>
          <w:marTop w:val="0"/>
          <w:marBottom w:val="0"/>
          <w:divBdr>
            <w:top w:val="none" w:sz="0" w:space="0" w:color="auto"/>
            <w:left w:val="none" w:sz="0" w:space="0" w:color="auto"/>
            <w:bottom w:val="none" w:sz="0" w:space="0" w:color="auto"/>
            <w:right w:val="none" w:sz="0" w:space="0" w:color="auto"/>
          </w:divBdr>
        </w:div>
        <w:div w:id="407574610">
          <w:marLeft w:val="0"/>
          <w:marRight w:val="0"/>
          <w:marTop w:val="0"/>
          <w:marBottom w:val="0"/>
          <w:divBdr>
            <w:top w:val="none" w:sz="0" w:space="0" w:color="auto"/>
            <w:left w:val="none" w:sz="0" w:space="0" w:color="auto"/>
            <w:bottom w:val="none" w:sz="0" w:space="0" w:color="auto"/>
            <w:right w:val="none" w:sz="0" w:space="0" w:color="auto"/>
          </w:divBdr>
        </w:div>
        <w:div w:id="517306635">
          <w:marLeft w:val="0"/>
          <w:marRight w:val="0"/>
          <w:marTop w:val="0"/>
          <w:marBottom w:val="0"/>
          <w:divBdr>
            <w:top w:val="none" w:sz="0" w:space="0" w:color="auto"/>
            <w:left w:val="none" w:sz="0" w:space="0" w:color="auto"/>
            <w:bottom w:val="none" w:sz="0" w:space="0" w:color="auto"/>
            <w:right w:val="none" w:sz="0" w:space="0" w:color="auto"/>
          </w:divBdr>
        </w:div>
        <w:div w:id="672531733">
          <w:marLeft w:val="0"/>
          <w:marRight w:val="0"/>
          <w:marTop w:val="0"/>
          <w:marBottom w:val="0"/>
          <w:divBdr>
            <w:top w:val="none" w:sz="0" w:space="0" w:color="auto"/>
            <w:left w:val="none" w:sz="0" w:space="0" w:color="auto"/>
            <w:bottom w:val="none" w:sz="0" w:space="0" w:color="auto"/>
            <w:right w:val="none" w:sz="0" w:space="0" w:color="auto"/>
          </w:divBdr>
        </w:div>
        <w:div w:id="792022627">
          <w:marLeft w:val="0"/>
          <w:marRight w:val="0"/>
          <w:marTop w:val="0"/>
          <w:marBottom w:val="0"/>
          <w:divBdr>
            <w:top w:val="none" w:sz="0" w:space="0" w:color="auto"/>
            <w:left w:val="none" w:sz="0" w:space="0" w:color="auto"/>
            <w:bottom w:val="none" w:sz="0" w:space="0" w:color="auto"/>
            <w:right w:val="none" w:sz="0" w:space="0" w:color="auto"/>
          </w:divBdr>
        </w:div>
        <w:div w:id="829718265">
          <w:marLeft w:val="0"/>
          <w:marRight w:val="0"/>
          <w:marTop w:val="0"/>
          <w:marBottom w:val="0"/>
          <w:divBdr>
            <w:top w:val="none" w:sz="0" w:space="0" w:color="auto"/>
            <w:left w:val="none" w:sz="0" w:space="0" w:color="auto"/>
            <w:bottom w:val="none" w:sz="0" w:space="0" w:color="auto"/>
            <w:right w:val="none" w:sz="0" w:space="0" w:color="auto"/>
          </w:divBdr>
        </w:div>
        <w:div w:id="1172337556">
          <w:marLeft w:val="0"/>
          <w:marRight w:val="0"/>
          <w:marTop w:val="0"/>
          <w:marBottom w:val="0"/>
          <w:divBdr>
            <w:top w:val="none" w:sz="0" w:space="0" w:color="auto"/>
            <w:left w:val="none" w:sz="0" w:space="0" w:color="auto"/>
            <w:bottom w:val="none" w:sz="0" w:space="0" w:color="auto"/>
            <w:right w:val="none" w:sz="0" w:space="0" w:color="auto"/>
          </w:divBdr>
        </w:div>
        <w:div w:id="1233078049">
          <w:marLeft w:val="0"/>
          <w:marRight w:val="0"/>
          <w:marTop w:val="0"/>
          <w:marBottom w:val="0"/>
          <w:divBdr>
            <w:top w:val="none" w:sz="0" w:space="0" w:color="auto"/>
            <w:left w:val="none" w:sz="0" w:space="0" w:color="auto"/>
            <w:bottom w:val="none" w:sz="0" w:space="0" w:color="auto"/>
            <w:right w:val="none" w:sz="0" w:space="0" w:color="auto"/>
          </w:divBdr>
        </w:div>
        <w:div w:id="1274707115">
          <w:marLeft w:val="0"/>
          <w:marRight w:val="0"/>
          <w:marTop w:val="0"/>
          <w:marBottom w:val="0"/>
          <w:divBdr>
            <w:top w:val="none" w:sz="0" w:space="0" w:color="auto"/>
            <w:left w:val="none" w:sz="0" w:space="0" w:color="auto"/>
            <w:bottom w:val="none" w:sz="0" w:space="0" w:color="auto"/>
            <w:right w:val="none" w:sz="0" w:space="0" w:color="auto"/>
          </w:divBdr>
        </w:div>
        <w:div w:id="1365523147">
          <w:marLeft w:val="0"/>
          <w:marRight w:val="0"/>
          <w:marTop w:val="0"/>
          <w:marBottom w:val="0"/>
          <w:divBdr>
            <w:top w:val="none" w:sz="0" w:space="0" w:color="auto"/>
            <w:left w:val="none" w:sz="0" w:space="0" w:color="auto"/>
            <w:bottom w:val="none" w:sz="0" w:space="0" w:color="auto"/>
            <w:right w:val="none" w:sz="0" w:space="0" w:color="auto"/>
          </w:divBdr>
        </w:div>
        <w:div w:id="1374381570">
          <w:marLeft w:val="0"/>
          <w:marRight w:val="0"/>
          <w:marTop w:val="0"/>
          <w:marBottom w:val="0"/>
          <w:divBdr>
            <w:top w:val="none" w:sz="0" w:space="0" w:color="auto"/>
            <w:left w:val="none" w:sz="0" w:space="0" w:color="auto"/>
            <w:bottom w:val="none" w:sz="0" w:space="0" w:color="auto"/>
            <w:right w:val="none" w:sz="0" w:space="0" w:color="auto"/>
          </w:divBdr>
        </w:div>
        <w:div w:id="1404330027">
          <w:marLeft w:val="0"/>
          <w:marRight w:val="0"/>
          <w:marTop w:val="0"/>
          <w:marBottom w:val="0"/>
          <w:divBdr>
            <w:top w:val="none" w:sz="0" w:space="0" w:color="auto"/>
            <w:left w:val="none" w:sz="0" w:space="0" w:color="auto"/>
            <w:bottom w:val="none" w:sz="0" w:space="0" w:color="auto"/>
            <w:right w:val="none" w:sz="0" w:space="0" w:color="auto"/>
          </w:divBdr>
        </w:div>
        <w:div w:id="1441951666">
          <w:marLeft w:val="0"/>
          <w:marRight w:val="0"/>
          <w:marTop w:val="0"/>
          <w:marBottom w:val="0"/>
          <w:divBdr>
            <w:top w:val="none" w:sz="0" w:space="0" w:color="auto"/>
            <w:left w:val="none" w:sz="0" w:space="0" w:color="auto"/>
            <w:bottom w:val="none" w:sz="0" w:space="0" w:color="auto"/>
            <w:right w:val="none" w:sz="0" w:space="0" w:color="auto"/>
          </w:divBdr>
        </w:div>
        <w:div w:id="1527212060">
          <w:marLeft w:val="0"/>
          <w:marRight w:val="0"/>
          <w:marTop w:val="0"/>
          <w:marBottom w:val="0"/>
          <w:divBdr>
            <w:top w:val="none" w:sz="0" w:space="0" w:color="auto"/>
            <w:left w:val="none" w:sz="0" w:space="0" w:color="auto"/>
            <w:bottom w:val="none" w:sz="0" w:space="0" w:color="auto"/>
            <w:right w:val="none" w:sz="0" w:space="0" w:color="auto"/>
          </w:divBdr>
        </w:div>
        <w:div w:id="1606034374">
          <w:marLeft w:val="0"/>
          <w:marRight w:val="0"/>
          <w:marTop w:val="0"/>
          <w:marBottom w:val="0"/>
          <w:divBdr>
            <w:top w:val="none" w:sz="0" w:space="0" w:color="auto"/>
            <w:left w:val="none" w:sz="0" w:space="0" w:color="auto"/>
            <w:bottom w:val="none" w:sz="0" w:space="0" w:color="auto"/>
            <w:right w:val="none" w:sz="0" w:space="0" w:color="auto"/>
          </w:divBdr>
        </w:div>
        <w:div w:id="1762606433">
          <w:marLeft w:val="0"/>
          <w:marRight w:val="0"/>
          <w:marTop w:val="0"/>
          <w:marBottom w:val="0"/>
          <w:divBdr>
            <w:top w:val="none" w:sz="0" w:space="0" w:color="auto"/>
            <w:left w:val="none" w:sz="0" w:space="0" w:color="auto"/>
            <w:bottom w:val="none" w:sz="0" w:space="0" w:color="auto"/>
            <w:right w:val="none" w:sz="0" w:space="0" w:color="auto"/>
          </w:divBdr>
        </w:div>
        <w:div w:id="1904368478">
          <w:marLeft w:val="0"/>
          <w:marRight w:val="0"/>
          <w:marTop w:val="0"/>
          <w:marBottom w:val="0"/>
          <w:divBdr>
            <w:top w:val="none" w:sz="0" w:space="0" w:color="auto"/>
            <w:left w:val="none" w:sz="0" w:space="0" w:color="auto"/>
            <w:bottom w:val="none" w:sz="0" w:space="0" w:color="auto"/>
            <w:right w:val="none" w:sz="0" w:space="0" w:color="auto"/>
          </w:divBdr>
        </w:div>
        <w:div w:id="2072653542">
          <w:marLeft w:val="0"/>
          <w:marRight w:val="0"/>
          <w:marTop w:val="0"/>
          <w:marBottom w:val="0"/>
          <w:divBdr>
            <w:top w:val="none" w:sz="0" w:space="0" w:color="auto"/>
            <w:left w:val="none" w:sz="0" w:space="0" w:color="auto"/>
            <w:bottom w:val="none" w:sz="0" w:space="0" w:color="auto"/>
            <w:right w:val="none" w:sz="0" w:space="0" w:color="auto"/>
          </w:divBdr>
        </w:div>
      </w:divsChild>
    </w:div>
    <w:div w:id="585960206">
      <w:bodyDiv w:val="1"/>
      <w:marLeft w:val="0"/>
      <w:marRight w:val="0"/>
      <w:marTop w:val="0"/>
      <w:marBottom w:val="0"/>
      <w:divBdr>
        <w:top w:val="none" w:sz="0" w:space="0" w:color="auto"/>
        <w:left w:val="none" w:sz="0" w:space="0" w:color="auto"/>
        <w:bottom w:val="none" w:sz="0" w:space="0" w:color="auto"/>
        <w:right w:val="none" w:sz="0" w:space="0" w:color="auto"/>
      </w:divBdr>
    </w:div>
    <w:div w:id="586234934">
      <w:bodyDiv w:val="1"/>
      <w:marLeft w:val="0"/>
      <w:marRight w:val="0"/>
      <w:marTop w:val="0"/>
      <w:marBottom w:val="0"/>
      <w:divBdr>
        <w:top w:val="none" w:sz="0" w:space="0" w:color="auto"/>
        <w:left w:val="none" w:sz="0" w:space="0" w:color="auto"/>
        <w:bottom w:val="none" w:sz="0" w:space="0" w:color="auto"/>
        <w:right w:val="none" w:sz="0" w:space="0" w:color="auto"/>
      </w:divBdr>
    </w:div>
    <w:div w:id="612400624">
      <w:bodyDiv w:val="1"/>
      <w:marLeft w:val="0"/>
      <w:marRight w:val="0"/>
      <w:marTop w:val="0"/>
      <w:marBottom w:val="0"/>
      <w:divBdr>
        <w:top w:val="none" w:sz="0" w:space="0" w:color="auto"/>
        <w:left w:val="none" w:sz="0" w:space="0" w:color="auto"/>
        <w:bottom w:val="none" w:sz="0" w:space="0" w:color="auto"/>
        <w:right w:val="none" w:sz="0" w:space="0" w:color="auto"/>
      </w:divBdr>
    </w:div>
    <w:div w:id="666861565">
      <w:bodyDiv w:val="1"/>
      <w:marLeft w:val="0"/>
      <w:marRight w:val="0"/>
      <w:marTop w:val="0"/>
      <w:marBottom w:val="0"/>
      <w:divBdr>
        <w:top w:val="none" w:sz="0" w:space="0" w:color="auto"/>
        <w:left w:val="none" w:sz="0" w:space="0" w:color="auto"/>
        <w:bottom w:val="none" w:sz="0" w:space="0" w:color="auto"/>
        <w:right w:val="none" w:sz="0" w:space="0" w:color="auto"/>
      </w:divBdr>
      <w:divsChild>
        <w:div w:id="1458521369">
          <w:marLeft w:val="0"/>
          <w:marRight w:val="0"/>
          <w:marTop w:val="0"/>
          <w:marBottom w:val="0"/>
          <w:divBdr>
            <w:top w:val="none" w:sz="0" w:space="0" w:color="auto"/>
            <w:left w:val="none" w:sz="0" w:space="0" w:color="auto"/>
            <w:bottom w:val="none" w:sz="0" w:space="0" w:color="auto"/>
            <w:right w:val="none" w:sz="0" w:space="0" w:color="auto"/>
          </w:divBdr>
          <w:divsChild>
            <w:div w:id="1625424795">
              <w:marLeft w:val="0"/>
              <w:marRight w:val="0"/>
              <w:marTop w:val="0"/>
              <w:marBottom w:val="0"/>
              <w:divBdr>
                <w:top w:val="none" w:sz="0" w:space="0" w:color="auto"/>
                <w:left w:val="none" w:sz="0" w:space="0" w:color="auto"/>
                <w:bottom w:val="none" w:sz="0" w:space="0" w:color="auto"/>
                <w:right w:val="none" w:sz="0" w:space="0" w:color="auto"/>
              </w:divBdr>
              <w:divsChild>
                <w:div w:id="1038244469">
                  <w:marLeft w:val="0"/>
                  <w:marRight w:val="0"/>
                  <w:marTop w:val="0"/>
                  <w:marBottom w:val="0"/>
                  <w:divBdr>
                    <w:top w:val="none" w:sz="0" w:space="0" w:color="auto"/>
                    <w:left w:val="none" w:sz="0" w:space="0" w:color="auto"/>
                    <w:bottom w:val="none" w:sz="0" w:space="0" w:color="auto"/>
                    <w:right w:val="none" w:sz="0" w:space="0" w:color="auto"/>
                  </w:divBdr>
                  <w:divsChild>
                    <w:div w:id="1755272900">
                      <w:marLeft w:val="0"/>
                      <w:marRight w:val="0"/>
                      <w:marTop w:val="0"/>
                      <w:marBottom w:val="0"/>
                      <w:divBdr>
                        <w:top w:val="none" w:sz="0" w:space="0" w:color="auto"/>
                        <w:left w:val="none" w:sz="0" w:space="0" w:color="auto"/>
                        <w:bottom w:val="none" w:sz="0" w:space="0" w:color="auto"/>
                        <w:right w:val="none" w:sz="0" w:space="0" w:color="auto"/>
                      </w:divBdr>
                      <w:divsChild>
                        <w:div w:id="933324980">
                          <w:marLeft w:val="0"/>
                          <w:marRight w:val="0"/>
                          <w:marTop w:val="0"/>
                          <w:marBottom w:val="0"/>
                          <w:divBdr>
                            <w:top w:val="none" w:sz="0" w:space="0" w:color="auto"/>
                            <w:left w:val="none" w:sz="0" w:space="0" w:color="auto"/>
                            <w:bottom w:val="none" w:sz="0" w:space="0" w:color="auto"/>
                            <w:right w:val="none" w:sz="0" w:space="0" w:color="auto"/>
                          </w:divBdr>
                          <w:divsChild>
                            <w:div w:id="1765179342">
                              <w:marLeft w:val="0"/>
                              <w:marRight w:val="0"/>
                              <w:marTop w:val="0"/>
                              <w:marBottom w:val="0"/>
                              <w:divBdr>
                                <w:top w:val="none" w:sz="0" w:space="0" w:color="auto"/>
                                <w:left w:val="none" w:sz="0" w:space="0" w:color="auto"/>
                                <w:bottom w:val="none" w:sz="0" w:space="0" w:color="auto"/>
                                <w:right w:val="none" w:sz="0" w:space="0" w:color="auto"/>
                              </w:divBdr>
                              <w:divsChild>
                                <w:div w:id="123816864">
                                  <w:marLeft w:val="0"/>
                                  <w:marRight w:val="0"/>
                                  <w:marTop w:val="0"/>
                                  <w:marBottom w:val="0"/>
                                  <w:divBdr>
                                    <w:top w:val="none" w:sz="0" w:space="0" w:color="auto"/>
                                    <w:left w:val="none" w:sz="0" w:space="0" w:color="auto"/>
                                    <w:bottom w:val="none" w:sz="0" w:space="0" w:color="auto"/>
                                    <w:right w:val="none" w:sz="0" w:space="0" w:color="auto"/>
                                  </w:divBdr>
                                  <w:divsChild>
                                    <w:div w:id="661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735684">
          <w:marLeft w:val="0"/>
          <w:marRight w:val="0"/>
          <w:marTop w:val="0"/>
          <w:marBottom w:val="0"/>
          <w:divBdr>
            <w:top w:val="none" w:sz="0" w:space="0" w:color="auto"/>
            <w:left w:val="none" w:sz="0" w:space="0" w:color="auto"/>
            <w:bottom w:val="none" w:sz="0" w:space="0" w:color="auto"/>
            <w:right w:val="none" w:sz="0" w:space="0" w:color="auto"/>
          </w:divBdr>
          <w:divsChild>
            <w:div w:id="448814356">
              <w:marLeft w:val="0"/>
              <w:marRight w:val="0"/>
              <w:marTop w:val="0"/>
              <w:marBottom w:val="0"/>
              <w:divBdr>
                <w:top w:val="none" w:sz="0" w:space="0" w:color="auto"/>
                <w:left w:val="none" w:sz="0" w:space="0" w:color="auto"/>
                <w:bottom w:val="none" w:sz="0" w:space="0" w:color="auto"/>
                <w:right w:val="none" w:sz="0" w:space="0" w:color="auto"/>
              </w:divBdr>
              <w:divsChild>
                <w:div w:id="1666781102">
                  <w:marLeft w:val="0"/>
                  <w:marRight w:val="0"/>
                  <w:marTop w:val="0"/>
                  <w:marBottom w:val="0"/>
                  <w:divBdr>
                    <w:top w:val="none" w:sz="0" w:space="0" w:color="auto"/>
                    <w:left w:val="none" w:sz="0" w:space="0" w:color="auto"/>
                    <w:bottom w:val="none" w:sz="0" w:space="0" w:color="auto"/>
                    <w:right w:val="none" w:sz="0" w:space="0" w:color="auto"/>
                  </w:divBdr>
                  <w:divsChild>
                    <w:div w:id="618534272">
                      <w:marLeft w:val="0"/>
                      <w:marRight w:val="0"/>
                      <w:marTop w:val="0"/>
                      <w:marBottom w:val="0"/>
                      <w:divBdr>
                        <w:top w:val="none" w:sz="0" w:space="0" w:color="auto"/>
                        <w:left w:val="none" w:sz="0" w:space="0" w:color="auto"/>
                        <w:bottom w:val="none" w:sz="0" w:space="0" w:color="auto"/>
                        <w:right w:val="none" w:sz="0" w:space="0" w:color="auto"/>
                      </w:divBdr>
                      <w:divsChild>
                        <w:div w:id="2074888638">
                          <w:marLeft w:val="0"/>
                          <w:marRight w:val="0"/>
                          <w:marTop w:val="0"/>
                          <w:marBottom w:val="0"/>
                          <w:divBdr>
                            <w:top w:val="none" w:sz="0" w:space="0" w:color="auto"/>
                            <w:left w:val="none" w:sz="0" w:space="0" w:color="auto"/>
                            <w:bottom w:val="none" w:sz="0" w:space="0" w:color="auto"/>
                            <w:right w:val="none" w:sz="0" w:space="0" w:color="auto"/>
                          </w:divBdr>
                          <w:divsChild>
                            <w:div w:id="1755008058">
                              <w:marLeft w:val="0"/>
                              <w:marRight w:val="0"/>
                              <w:marTop w:val="0"/>
                              <w:marBottom w:val="0"/>
                              <w:divBdr>
                                <w:top w:val="none" w:sz="0" w:space="0" w:color="auto"/>
                                <w:left w:val="none" w:sz="0" w:space="0" w:color="auto"/>
                                <w:bottom w:val="none" w:sz="0" w:space="0" w:color="auto"/>
                                <w:right w:val="none" w:sz="0" w:space="0" w:color="auto"/>
                              </w:divBdr>
                              <w:divsChild>
                                <w:div w:id="1416590430">
                                  <w:marLeft w:val="0"/>
                                  <w:marRight w:val="0"/>
                                  <w:marTop w:val="0"/>
                                  <w:marBottom w:val="0"/>
                                  <w:divBdr>
                                    <w:top w:val="none" w:sz="0" w:space="0" w:color="auto"/>
                                    <w:left w:val="none" w:sz="0" w:space="0" w:color="auto"/>
                                    <w:bottom w:val="none" w:sz="0" w:space="0" w:color="auto"/>
                                    <w:right w:val="none" w:sz="0" w:space="0" w:color="auto"/>
                                  </w:divBdr>
                                  <w:divsChild>
                                    <w:div w:id="687876828">
                                      <w:marLeft w:val="0"/>
                                      <w:marRight w:val="0"/>
                                      <w:marTop w:val="0"/>
                                      <w:marBottom w:val="0"/>
                                      <w:divBdr>
                                        <w:top w:val="none" w:sz="0" w:space="0" w:color="auto"/>
                                        <w:left w:val="none" w:sz="0" w:space="0" w:color="auto"/>
                                        <w:bottom w:val="none" w:sz="0" w:space="0" w:color="auto"/>
                                        <w:right w:val="none" w:sz="0" w:space="0" w:color="auto"/>
                                      </w:divBdr>
                                      <w:divsChild>
                                        <w:div w:id="1637488706">
                                          <w:marLeft w:val="0"/>
                                          <w:marRight w:val="0"/>
                                          <w:marTop w:val="0"/>
                                          <w:marBottom w:val="0"/>
                                          <w:divBdr>
                                            <w:top w:val="none" w:sz="0" w:space="0" w:color="auto"/>
                                            <w:left w:val="none" w:sz="0" w:space="0" w:color="auto"/>
                                            <w:bottom w:val="none" w:sz="0" w:space="0" w:color="auto"/>
                                            <w:right w:val="none" w:sz="0" w:space="0" w:color="auto"/>
                                          </w:divBdr>
                                          <w:divsChild>
                                            <w:div w:id="2119450117">
                                              <w:marLeft w:val="0"/>
                                              <w:marRight w:val="0"/>
                                              <w:marTop w:val="0"/>
                                              <w:marBottom w:val="0"/>
                                              <w:divBdr>
                                                <w:top w:val="none" w:sz="0" w:space="0" w:color="auto"/>
                                                <w:left w:val="none" w:sz="0" w:space="0" w:color="auto"/>
                                                <w:bottom w:val="none" w:sz="0" w:space="0" w:color="auto"/>
                                                <w:right w:val="none" w:sz="0" w:space="0" w:color="auto"/>
                                              </w:divBdr>
                                              <w:divsChild>
                                                <w:div w:id="1950771384">
                                                  <w:marLeft w:val="0"/>
                                                  <w:marRight w:val="0"/>
                                                  <w:marTop w:val="0"/>
                                                  <w:marBottom w:val="0"/>
                                                  <w:divBdr>
                                                    <w:top w:val="none" w:sz="0" w:space="0" w:color="auto"/>
                                                    <w:left w:val="none" w:sz="0" w:space="0" w:color="auto"/>
                                                    <w:bottom w:val="none" w:sz="0" w:space="0" w:color="auto"/>
                                                    <w:right w:val="none" w:sz="0" w:space="0" w:color="auto"/>
                                                  </w:divBdr>
                                                  <w:divsChild>
                                                    <w:div w:id="767194553">
                                                      <w:marLeft w:val="0"/>
                                                      <w:marRight w:val="0"/>
                                                      <w:marTop w:val="0"/>
                                                      <w:marBottom w:val="0"/>
                                                      <w:divBdr>
                                                        <w:top w:val="none" w:sz="0" w:space="0" w:color="auto"/>
                                                        <w:left w:val="none" w:sz="0" w:space="0" w:color="auto"/>
                                                        <w:bottom w:val="none" w:sz="0" w:space="0" w:color="auto"/>
                                                        <w:right w:val="none" w:sz="0" w:space="0" w:color="auto"/>
                                                      </w:divBdr>
                                                      <w:divsChild>
                                                        <w:div w:id="20208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7408670">
      <w:bodyDiv w:val="1"/>
      <w:marLeft w:val="0"/>
      <w:marRight w:val="0"/>
      <w:marTop w:val="0"/>
      <w:marBottom w:val="0"/>
      <w:divBdr>
        <w:top w:val="none" w:sz="0" w:space="0" w:color="auto"/>
        <w:left w:val="none" w:sz="0" w:space="0" w:color="auto"/>
        <w:bottom w:val="none" w:sz="0" w:space="0" w:color="auto"/>
        <w:right w:val="none" w:sz="0" w:space="0" w:color="auto"/>
      </w:divBdr>
    </w:div>
    <w:div w:id="688872578">
      <w:bodyDiv w:val="1"/>
      <w:marLeft w:val="0"/>
      <w:marRight w:val="0"/>
      <w:marTop w:val="0"/>
      <w:marBottom w:val="0"/>
      <w:divBdr>
        <w:top w:val="none" w:sz="0" w:space="0" w:color="auto"/>
        <w:left w:val="none" w:sz="0" w:space="0" w:color="auto"/>
        <w:bottom w:val="none" w:sz="0" w:space="0" w:color="auto"/>
        <w:right w:val="none" w:sz="0" w:space="0" w:color="auto"/>
      </w:divBdr>
      <w:divsChild>
        <w:div w:id="1042940419">
          <w:marLeft w:val="0"/>
          <w:marRight w:val="0"/>
          <w:marTop w:val="0"/>
          <w:marBottom w:val="0"/>
          <w:divBdr>
            <w:top w:val="none" w:sz="0" w:space="0" w:color="auto"/>
            <w:left w:val="none" w:sz="0" w:space="0" w:color="auto"/>
            <w:bottom w:val="none" w:sz="0" w:space="0" w:color="auto"/>
            <w:right w:val="none" w:sz="0" w:space="0" w:color="auto"/>
          </w:divBdr>
          <w:divsChild>
            <w:div w:id="268391848">
              <w:marLeft w:val="0"/>
              <w:marRight w:val="0"/>
              <w:marTop w:val="0"/>
              <w:marBottom w:val="0"/>
              <w:divBdr>
                <w:top w:val="none" w:sz="0" w:space="0" w:color="auto"/>
                <w:left w:val="none" w:sz="0" w:space="0" w:color="auto"/>
                <w:bottom w:val="none" w:sz="0" w:space="0" w:color="auto"/>
                <w:right w:val="none" w:sz="0" w:space="0" w:color="auto"/>
              </w:divBdr>
              <w:divsChild>
                <w:div w:id="1817524472">
                  <w:marLeft w:val="0"/>
                  <w:marRight w:val="0"/>
                  <w:marTop w:val="0"/>
                  <w:marBottom w:val="0"/>
                  <w:divBdr>
                    <w:top w:val="none" w:sz="0" w:space="0" w:color="auto"/>
                    <w:left w:val="none" w:sz="0" w:space="0" w:color="auto"/>
                    <w:bottom w:val="none" w:sz="0" w:space="0" w:color="auto"/>
                    <w:right w:val="none" w:sz="0" w:space="0" w:color="auto"/>
                  </w:divBdr>
                  <w:divsChild>
                    <w:div w:id="221985802">
                      <w:marLeft w:val="0"/>
                      <w:marRight w:val="0"/>
                      <w:marTop w:val="0"/>
                      <w:marBottom w:val="0"/>
                      <w:divBdr>
                        <w:top w:val="none" w:sz="0" w:space="0" w:color="auto"/>
                        <w:left w:val="none" w:sz="0" w:space="0" w:color="auto"/>
                        <w:bottom w:val="none" w:sz="0" w:space="0" w:color="auto"/>
                        <w:right w:val="none" w:sz="0" w:space="0" w:color="auto"/>
                      </w:divBdr>
                      <w:divsChild>
                        <w:div w:id="703024811">
                          <w:marLeft w:val="0"/>
                          <w:marRight w:val="0"/>
                          <w:marTop w:val="0"/>
                          <w:marBottom w:val="0"/>
                          <w:divBdr>
                            <w:top w:val="none" w:sz="0" w:space="0" w:color="auto"/>
                            <w:left w:val="none" w:sz="0" w:space="0" w:color="auto"/>
                            <w:bottom w:val="none" w:sz="0" w:space="0" w:color="auto"/>
                            <w:right w:val="none" w:sz="0" w:space="0" w:color="auto"/>
                          </w:divBdr>
                          <w:divsChild>
                            <w:div w:id="203033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702413">
      <w:bodyDiv w:val="1"/>
      <w:marLeft w:val="0"/>
      <w:marRight w:val="0"/>
      <w:marTop w:val="0"/>
      <w:marBottom w:val="0"/>
      <w:divBdr>
        <w:top w:val="none" w:sz="0" w:space="0" w:color="auto"/>
        <w:left w:val="none" w:sz="0" w:space="0" w:color="auto"/>
        <w:bottom w:val="none" w:sz="0" w:space="0" w:color="auto"/>
        <w:right w:val="none" w:sz="0" w:space="0" w:color="auto"/>
      </w:divBdr>
      <w:divsChild>
        <w:div w:id="223566858">
          <w:marLeft w:val="0"/>
          <w:marRight w:val="240"/>
          <w:marTop w:val="0"/>
          <w:marBottom w:val="0"/>
          <w:divBdr>
            <w:top w:val="none" w:sz="0" w:space="0" w:color="auto"/>
            <w:left w:val="none" w:sz="0" w:space="0" w:color="auto"/>
            <w:bottom w:val="none" w:sz="0" w:space="0" w:color="auto"/>
            <w:right w:val="none" w:sz="0" w:space="0" w:color="auto"/>
          </w:divBdr>
        </w:div>
        <w:div w:id="734200536">
          <w:marLeft w:val="0"/>
          <w:marRight w:val="0"/>
          <w:marTop w:val="0"/>
          <w:marBottom w:val="0"/>
          <w:divBdr>
            <w:top w:val="none" w:sz="0" w:space="0" w:color="auto"/>
            <w:left w:val="none" w:sz="0" w:space="0" w:color="auto"/>
            <w:bottom w:val="none" w:sz="0" w:space="0" w:color="auto"/>
            <w:right w:val="none" w:sz="0" w:space="0" w:color="auto"/>
          </w:divBdr>
        </w:div>
      </w:divsChild>
    </w:div>
    <w:div w:id="702824594">
      <w:bodyDiv w:val="1"/>
      <w:marLeft w:val="0"/>
      <w:marRight w:val="0"/>
      <w:marTop w:val="0"/>
      <w:marBottom w:val="0"/>
      <w:divBdr>
        <w:top w:val="none" w:sz="0" w:space="0" w:color="auto"/>
        <w:left w:val="none" w:sz="0" w:space="0" w:color="auto"/>
        <w:bottom w:val="none" w:sz="0" w:space="0" w:color="auto"/>
        <w:right w:val="none" w:sz="0" w:space="0" w:color="auto"/>
      </w:divBdr>
    </w:div>
    <w:div w:id="703214431">
      <w:bodyDiv w:val="1"/>
      <w:marLeft w:val="0"/>
      <w:marRight w:val="0"/>
      <w:marTop w:val="0"/>
      <w:marBottom w:val="0"/>
      <w:divBdr>
        <w:top w:val="none" w:sz="0" w:space="0" w:color="auto"/>
        <w:left w:val="none" w:sz="0" w:space="0" w:color="auto"/>
        <w:bottom w:val="none" w:sz="0" w:space="0" w:color="auto"/>
        <w:right w:val="none" w:sz="0" w:space="0" w:color="auto"/>
      </w:divBdr>
    </w:div>
    <w:div w:id="706681014">
      <w:bodyDiv w:val="1"/>
      <w:marLeft w:val="0"/>
      <w:marRight w:val="0"/>
      <w:marTop w:val="0"/>
      <w:marBottom w:val="0"/>
      <w:divBdr>
        <w:top w:val="none" w:sz="0" w:space="0" w:color="auto"/>
        <w:left w:val="none" w:sz="0" w:space="0" w:color="auto"/>
        <w:bottom w:val="none" w:sz="0" w:space="0" w:color="auto"/>
        <w:right w:val="none" w:sz="0" w:space="0" w:color="auto"/>
      </w:divBdr>
    </w:div>
    <w:div w:id="736440018">
      <w:bodyDiv w:val="1"/>
      <w:marLeft w:val="0"/>
      <w:marRight w:val="0"/>
      <w:marTop w:val="0"/>
      <w:marBottom w:val="0"/>
      <w:divBdr>
        <w:top w:val="none" w:sz="0" w:space="0" w:color="auto"/>
        <w:left w:val="none" w:sz="0" w:space="0" w:color="auto"/>
        <w:bottom w:val="none" w:sz="0" w:space="0" w:color="auto"/>
        <w:right w:val="none" w:sz="0" w:space="0" w:color="auto"/>
      </w:divBdr>
      <w:divsChild>
        <w:div w:id="789669198">
          <w:marLeft w:val="0"/>
          <w:marRight w:val="0"/>
          <w:marTop w:val="0"/>
          <w:marBottom w:val="0"/>
          <w:divBdr>
            <w:top w:val="none" w:sz="0" w:space="0" w:color="auto"/>
            <w:left w:val="none" w:sz="0" w:space="0" w:color="auto"/>
            <w:bottom w:val="none" w:sz="0" w:space="0" w:color="auto"/>
            <w:right w:val="none" w:sz="0" w:space="0" w:color="auto"/>
          </w:divBdr>
          <w:divsChild>
            <w:div w:id="1053430987">
              <w:marLeft w:val="0"/>
              <w:marRight w:val="0"/>
              <w:marTop w:val="0"/>
              <w:marBottom w:val="0"/>
              <w:divBdr>
                <w:top w:val="none" w:sz="0" w:space="0" w:color="auto"/>
                <w:left w:val="none" w:sz="0" w:space="0" w:color="auto"/>
                <w:bottom w:val="none" w:sz="0" w:space="0" w:color="auto"/>
                <w:right w:val="none" w:sz="0" w:space="0" w:color="auto"/>
              </w:divBdr>
              <w:divsChild>
                <w:div w:id="1283801358">
                  <w:marLeft w:val="0"/>
                  <w:marRight w:val="0"/>
                  <w:marTop w:val="0"/>
                  <w:marBottom w:val="0"/>
                  <w:divBdr>
                    <w:top w:val="none" w:sz="0" w:space="0" w:color="auto"/>
                    <w:left w:val="none" w:sz="0" w:space="0" w:color="auto"/>
                    <w:bottom w:val="none" w:sz="0" w:space="0" w:color="auto"/>
                    <w:right w:val="none" w:sz="0" w:space="0" w:color="auto"/>
                  </w:divBdr>
                  <w:divsChild>
                    <w:div w:id="1311128592">
                      <w:marLeft w:val="0"/>
                      <w:marRight w:val="0"/>
                      <w:marTop w:val="0"/>
                      <w:marBottom w:val="0"/>
                      <w:divBdr>
                        <w:top w:val="none" w:sz="0" w:space="0" w:color="auto"/>
                        <w:left w:val="none" w:sz="0" w:space="0" w:color="auto"/>
                        <w:bottom w:val="none" w:sz="0" w:space="0" w:color="auto"/>
                        <w:right w:val="none" w:sz="0" w:space="0" w:color="auto"/>
                      </w:divBdr>
                      <w:divsChild>
                        <w:div w:id="689331085">
                          <w:marLeft w:val="0"/>
                          <w:marRight w:val="0"/>
                          <w:marTop w:val="0"/>
                          <w:marBottom w:val="0"/>
                          <w:divBdr>
                            <w:top w:val="none" w:sz="0" w:space="0" w:color="auto"/>
                            <w:left w:val="none" w:sz="0" w:space="0" w:color="auto"/>
                            <w:bottom w:val="none" w:sz="0" w:space="0" w:color="auto"/>
                            <w:right w:val="none" w:sz="0" w:space="0" w:color="auto"/>
                          </w:divBdr>
                          <w:divsChild>
                            <w:div w:id="759445666">
                              <w:marLeft w:val="0"/>
                              <w:marRight w:val="0"/>
                              <w:marTop w:val="0"/>
                              <w:marBottom w:val="0"/>
                              <w:divBdr>
                                <w:top w:val="none" w:sz="0" w:space="0" w:color="auto"/>
                                <w:left w:val="none" w:sz="0" w:space="0" w:color="auto"/>
                                <w:bottom w:val="none" w:sz="0" w:space="0" w:color="auto"/>
                                <w:right w:val="none" w:sz="0" w:space="0" w:color="auto"/>
                              </w:divBdr>
                              <w:divsChild>
                                <w:div w:id="1329140268">
                                  <w:marLeft w:val="0"/>
                                  <w:marRight w:val="0"/>
                                  <w:marTop w:val="0"/>
                                  <w:marBottom w:val="0"/>
                                  <w:divBdr>
                                    <w:top w:val="none" w:sz="0" w:space="0" w:color="auto"/>
                                    <w:left w:val="none" w:sz="0" w:space="0" w:color="auto"/>
                                    <w:bottom w:val="none" w:sz="0" w:space="0" w:color="auto"/>
                                    <w:right w:val="none" w:sz="0" w:space="0" w:color="auto"/>
                                  </w:divBdr>
                                  <w:divsChild>
                                    <w:div w:id="1366634181">
                                      <w:marLeft w:val="0"/>
                                      <w:marRight w:val="0"/>
                                      <w:marTop w:val="0"/>
                                      <w:marBottom w:val="0"/>
                                      <w:divBdr>
                                        <w:top w:val="none" w:sz="0" w:space="0" w:color="auto"/>
                                        <w:left w:val="none" w:sz="0" w:space="0" w:color="auto"/>
                                        <w:bottom w:val="none" w:sz="0" w:space="0" w:color="auto"/>
                                        <w:right w:val="none" w:sz="0" w:space="0" w:color="auto"/>
                                      </w:divBdr>
                                      <w:divsChild>
                                        <w:div w:id="1868643201">
                                          <w:marLeft w:val="0"/>
                                          <w:marRight w:val="0"/>
                                          <w:marTop w:val="0"/>
                                          <w:marBottom w:val="0"/>
                                          <w:divBdr>
                                            <w:top w:val="none" w:sz="0" w:space="0" w:color="auto"/>
                                            <w:left w:val="none" w:sz="0" w:space="0" w:color="auto"/>
                                            <w:bottom w:val="none" w:sz="0" w:space="0" w:color="auto"/>
                                            <w:right w:val="none" w:sz="0" w:space="0" w:color="auto"/>
                                          </w:divBdr>
                                          <w:divsChild>
                                            <w:div w:id="961569541">
                                              <w:marLeft w:val="0"/>
                                              <w:marRight w:val="0"/>
                                              <w:marTop w:val="0"/>
                                              <w:marBottom w:val="0"/>
                                              <w:divBdr>
                                                <w:top w:val="none" w:sz="0" w:space="0" w:color="auto"/>
                                                <w:left w:val="none" w:sz="0" w:space="0" w:color="auto"/>
                                                <w:bottom w:val="none" w:sz="0" w:space="0" w:color="auto"/>
                                                <w:right w:val="none" w:sz="0" w:space="0" w:color="auto"/>
                                              </w:divBdr>
                                              <w:divsChild>
                                                <w:div w:id="622657784">
                                                  <w:marLeft w:val="0"/>
                                                  <w:marRight w:val="0"/>
                                                  <w:marTop w:val="0"/>
                                                  <w:marBottom w:val="0"/>
                                                  <w:divBdr>
                                                    <w:top w:val="none" w:sz="0" w:space="0" w:color="auto"/>
                                                    <w:left w:val="none" w:sz="0" w:space="0" w:color="auto"/>
                                                    <w:bottom w:val="none" w:sz="0" w:space="0" w:color="auto"/>
                                                    <w:right w:val="none" w:sz="0" w:space="0" w:color="auto"/>
                                                  </w:divBdr>
                                                  <w:divsChild>
                                                    <w:div w:id="540630660">
                                                      <w:marLeft w:val="0"/>
                                                      <w:marRight w:val="0"/>
                                                      <w:marTop w:val="0"/>
                                                      <w:marBottom w:val="0"/>
                                                      <w:divBdr>
                                                        <w:top w:val="none" w:sz="0" w:space="0" w:color="auto"/>
                                                        <w:left w:val="none" w:sz="0" w:space="0" w:color="auto"/>
                                                        <w:bottom w:val="none" w:sz="0" w:space="0" w:color="auto"/>
                                                        <w:right w:val="none" w:sz="0" w:space="0" w:color="auto"/>
                                                      </w:divBdr>
                                                      <w:divsChild>
                                                        <w:div w:id="170996884">
                                                          <w:marLeft w:val="0"/>
                                                          <w:marRight w:val="0"/>
                                                          <w:marTop w:val="0"/>
                                                          <w:marBottom w:val="0"/>
                                                          <w:divBdr>
                                                            <w:top w:val="none" w:sz="0" w:space="0" w:color="auto"/>
                                                            <w:left w:val="none" w:sz="0" w:space="0" w:color="auto"/>
                                                            <w:bottom w:val="none" w:sz="0" w:space="0" w:color="auto"/>
                                                            <w:right w:val="none" w:sz="0" w:space="0" w:color="auto"/>
                                                          </w:divBdr>
                                                          <w:divsChild>
                                                            <w:div w:id="33820333">
                                                              <w:marLeft w:val="0"/>
                                                              <w:marRight w:val="0"/>
                                                              <w:marTop w:val="0"/>
                                                              <w:marBottom w:val="0"/>
                                                              <w:divBdr>
                                                                <w:top w:val="none" w:sz="0" w:space="0" w:color="auto"/>
                                                                <w:left w:val="none" w:sz="0" w:space="0" w:color="auto"/>
                                                                <w:bottom w:val="none" w:sz="0" w:space="0" w:color="auto"/>
                                                                <w:right w:val="none" w:sz="0" w:space="0" w:color="auto"/>
                                                              </w:divBdr>
                                                              <w:divsChild>
                                                                <w:div w:id="579943088">
                                                                  <w:marLeft w:val="0"/>
                                                                  <w:marRight w:val="0"/>
                                                                  <w:marTop w:val="0"/>
                                                                  <w:marBottom w:val="0"/>
                                                                  <w:divBdr>
                                                                    <w:top w:val="none" w:sz="0" w:space="0" w:color="auto"/>
                                                                    <w:left w:val="none" w:sz="0" w:space="0" w:color="auto"/>
                                                                    <w:bottom w:val="none" w:sz="0" w:space="0" w:color="auto"/>
                                                                    <w:right w:val="none" w:sz="0" w:space="0" w:color="auto"/>
                                                                  </w:divBdr>
                                                                  <w:divsChild>
                                                                    <w:div w:id="1440956081">
                                                                      <w:marLeft w:val="0"/>
                                                                      <w:marRight w:val="0"/>
                                                                      <w:marTop w:val="0"/>
                                                                      <w:marBottom w:val="0"/>
                                                                      <w:divBdr>
                                                                        <w:top w:val="none" w:sz="0" w:space="0" w:color="auto"/>
                                                                        <w:left w:val="none" w:sz="0" w:space="0" w:color="auto"/>
                                                                        <w:bottom w:val="none" w:sz="0" w:space="0" w:color="auto"/>
                                                                        <w:right w:val="none" w:sz="0" w:space="0" w:color="auto"/>
                                                                      </w:divBdr>
                                                                      <w:divsChild>
                                                                        <w:div w:id="1447113630">
                                                                          <w:marLeft w:val="0"/>
                                                                          <w:marRight w:val="0"/>
                                                                          <w:marTop w:val="0"/>
                                                                          <w:marBottom w:val="0"/>
                                                                          <w:divBdr>
                                                                            <w:top w:val="none" w:sz="0" w:space="0" w:color="auto"/>
                                                                            <w:left w:val="none" w:sz="0" w:space="0" w:color="auto"/>
                                                                            <w:bottom w:val="none" w:sz="0" w:space="0" w:color="auto"/>
                                                                            <w:right w:val="none" w:sz="0" w:space="0" w:color="auto"/>
                                                                          </w:divBdr>
                                                                          <w:divsChild>
                                                                            <w:div w:id="2011056933">
                                                                              <w:marLeft w:val="0"/>
                                                                              <w:marRight w:val="0"/>
                                                                              <w:marTop w:val="0"/>
                                                                              <w:marBottom w:val="0"/>
                                                                              <w:divBdr>
                                                                                <w:top w:val="none" w:sz="0" w:space="0" w:color="auto"/>
                                                                                <w:left w:val="none" w:sz="0" w:space="0" w:color="auto"/>
                                                                                <w:bottom w:val="none" w:sz="0" w:space="0" w:color="auto"/>
                                                                                <w:right w:val="none" w:sz="0" w:space="0" w:color="auto"/>
                                                                              </w:divBdr>
                                                                              <w:divsChild>
                                                                                <w:div w:id="2027515408">
                                                                                  <w:marLeft w:val="0"/>
                                                                                  <w:marRight w:val="0"/>
                                                                                  <w:marTop w:val="0"/>
                                                                                  <w:marBottom w:val="0"/>
                                                                                  <w:divBdr>
                                                                                    <w:top w:val="none" w:sz="0" w:space="0" w:color="auto"/>
                                                                                    <w:left w:val="none" w:sz="0" w:space="0" w:color="auto"/>
                                                                                    <w:bottom w:val="none" w:sz="0" w:space="0" w:color="auto"/>
                                                                                    <w:right w:val="none" w:sz="0" w:space="0" w:color="auto"/>
                                                                                  </w:divBdr>
                                                                                  <w:divsChild>
                                                                                    <w:div w:id="1379431442">
                                                                                      <w:marLeft w:val="0"/>
                                                                                      <w:marRight w:val="0"/>
                                                                                      <w:marTop w:val="0"/>
                                                                                      <w:marBottom w:val="0"/>
                                                                                      <w:divBdr>
                                                                                        <w:top w:val="none" w:sz="0" w:space="0" w:color="auto"/>
                                                                                        <w:left w:val="none" w:sz="0" w:space="0" w:color="auto"/>
                                                                                        <w:bottom w:val="none" w:sz="0" w:space="0" w:color="auto"/>
                                                                                        <w:right w:val="none" w:sz="0" w:space="0" w:color="auto"/>
                                                                                      </w:divBdr>
                                                                                      <w:divsChild>
                                                                                        <w:div w:id="2132087578">
                                                                                          <w:marLeft w:val="0"/>
                                                                                          <w:marRight w:val="0"/>
                                                                                          <w:marTop w:val="0"/>
                                                                                          <w:marBottom w:val="0"/>
                                                                                          <w:divBdr>
                                                                                            <w:top w:val="none" w:sz="0" w:space="0" w:color="auto"/>
                                                                                            <w:left w:val="none" w:sz="0" w:space="0" w:color="auto"/>
                                                                                            <w:bottom w:val="none" w:sz="0" w:space="0" w:color="auto"/>
                                                                                            <w:right w:val="none" w:sz="0" w:space="0" w:color="auto"/>
                                                                                          </w:divBdr>
                                                                                          <w:divsChild>
                                                                                            <w:div w:id="286394402">
                                                                                              <w:marLeft w:val="0"/>
                                                                                              <w:marRight w:val="0"/>
                                                                                              <w:marTop w:val="0"/>
                                                                                              <w:marBottom w:val="0"/>
                                                                                              <w:divBdr>
                                                                                                <w:top w:val="none" w:sz="0" w:space="0" w:color="auto"/>
                                                                                                <w:left w:val="none" w:sz="0" w:space="0" w:color="auto"/>
                                                                                                <w:bottom w:val="none" w:sz="0" w:space="0" w:color="auto"/>
                                                                                                <w:right w:val="none" w:sz="0" w:space="0" w:color="auto"/>
                                                                                              </w:divBdr>
                                                                                              <w:divsChild>
                                                                                                <w:div w:id="1510170407">
                                                                                                  <w:marLeft w:val="0"/>
                                                                                                  <w:marRight w:val="0"/>
                                                                                                  <w:marTop w:val="0"/>
                                                                                                  <w:marBottom w:val="0"/>
                                                                                                  <w:divBdr>
                                                                                                    <w:top w:val="none" w:sz="0" w:space="0" w:color="auto"/>
                                                                                                    <w:left w:val="none" w:sz="0" w:space="0" w:color="auto"/>
                                                                                                    <w:bottom w:val="none" w:sz="0" w:space="0" w:color="auto"/>
                                                                                                    <w:right w:val="none" w:sz="0" w:space="0" w:color="auto"/>
                                                                                                  </w:divBdr>
                                                                                                  <w:divsChild>
                                                                                                    <w:div w:id="1827474975">
                                                                                                      <w:marLeft w:val="0"/>
                                                                                                      <w:marRight w:val="0"/>
                                                                                                      <w:marTop w:val="0"/>
                                                                                                      <w:marBottom w:val="0"/>
                                                                                                      <w:divBdr>
                                                                                                        <w:top w:val="none" w:sz="0" w:space="0" w:color="auto"/>
                                                                                                        <w:left w:val="none" w:sz="0" w:space="0" w:color="auto"/>
                                                                                                        <w:bottom w:val="none" w:sz="0" w:space="0" w:color="auto"/>
                                                                                                        <w:right w:val="none" w:sz="0" w:space="0" w:color="auto"/>
                                                                                                      </w:divBdr>
                                                                                                      <w:divsChild>
                                                                                                        <w:div w:id="5591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7726137">
                                                  <w:marLeft w:val="0"/>
                                                  <w:marRight w:val="0"/>
                                                  <w:marTop w:val="0"/>
                                                  <w:marBottom w:val="0"/>
                                                  <w:divBdr>
                                                    <w:top w:val="none" w:sz="0" w:space="0" w:color="auto"/>
                                                    <w:left w:val="none" w:sz="0" w:space="0" w:color="auto"/>
                                                    <w:bottom w:val="none" w:sz="0" w:space="0" w:color="auto"/>
                                                    <w:right w:val="none" w:sz="0" w:space="0" w:color="auto"/>
                                                  </w:divBdr>
                                                  <w:divsChild>
                                                    <w:div w:id="790321880">
                                                      <w:marLeft w:val="0"/>
                                                      <w:marRight w:val="0"/>
                                                      <w:marTop w:val="0"/>
                                                      <w:marBottom w:val="0"/>
                                                      <w:divBdr>
                                                        <w:top w:val="none" w:sz="0" w:space="0" w:color="auto"/>
                                                        <w:left w:val="none" w:sz="0" w:space="0" w:color="auto"/>
                                                        <w:bottom w:val="none" w:sz="0" w:space="0" w:color="auto"/>
                                                        <w:right w:val="none" w:sz="0" w:space="0" w:color="auto"/>
                                                      </w:divBdr>
                                                      <w:divsChild>
                                                        <w:div w:id="1741710671">
                                                          <w:marLeft w:val="0"/>
                                                          <w:marRight w:val="0"/>
                                                          <w:marTop w:val="0"/>
                                                          <w:marBottom w:val="0"/>
                                                          <w:divBdr>
                                                            <w:top w:val="none" w:sz="0" w:space="0" w:color="auto"/>
                                                            <w:left w:val="none" w:sz="0" w:space="0" w:color="auto"/>
                                                            <w:bottom w:val="none" w:sz="0" w:space="0" w:color="auto"/>
                                                            <w:right w:val="none" w:sz="0" w:space="0" w:color="auto"/>
                                                          </w:divBdr>
                                                          <w:divsChild>
                                                            <w:div w:id="1015031780">
                                                              <w:marLeft w:val="0"/>
                                                              <w:marRight w:val="0"/>
                                                              <w:marTop w:val="0"/>
                                                              <w:marBottom w:val="0"/>
                                                              <w:divBdr>
                                                                <w:top w:val="none" w:sz="0" w:space="0" w:color="auto"/>
                                                                <w:left w:val="none" w:sz="0" w:space="0" w:color="auto"/>
                                                                <w:bottom w:val="none" w:sz="0" w:space="0" w:color="auto"/>
                                                                <w:right w:val="none" w:sz="0" w:space="0" w:color="auto"/>
                                                              </w:divBdr>
                                                              <w:divsChild>
                                                                <w:div w:id="329525252">
                                                                  <w:marLeft w:val="0"/>
                                                                  <w:marRight w:val="0"/>
                                                                  <w:marTop w:val="0"/>
                                                                  <w:marBottom w:val="0"/>
                                                                  <w:divBdr>
                                                                    <w:top w:val="none" w:sz="0" w:space="0" w:color="auto"/>
                                                                    <w:left w:val="none" w:sz="0" w:space="0" w:color="auto"/>
                                                                    <w:bottom w:val="none" w:sz="0" w:space="0" w:color="auto"/>
                                                                    <w:right w:val="none" w:sz="0" w:space="0" w:color="auto"/>
                                                                  </w:divBdr>
                                                                  <w:divsChild>
                                                                    <w:div w:id="2126122152">
                                                                      <w:marLeft w:val="0"/>
                                                                      <w:marRight w:val="0"/>
                                                                      <w:marTop w:val="0"/>
                                                                      <w:marBottom w:val="0"/>
                                                                      <w:divBdr>
                                                                        <w:top w:val="none" w:sz="0" w:space="0" w:color="auto"/>
                                                                        <w:left w:val="none" w:sz="0" w:space="0" w:color="auto"/>
                                                                        <w:bottom w:val="none" w:sz="0" w:space="0" w:color="auto"/>
                                                                        <w:right w:val="none" w:sz="0" w:space="0" w:color="auto"/>
                                                                      </w:divBdr>
                                                                      <w:divsChild>
                                                                        <w:div w:id="1987588403">
                                                                          <w:marLeft w:val="0"/>
                                                                          <w:marRight w:val="0"/>
                                                                          <w:marTop w:val="0"/>
                                                                          <w:marBottom w:val="0"/>
                                                                          <w:divBdr>
                                                                            <w:top w:val="none" w:sz="0" w:space="0" w:color="auto"/>
                                                                            <w:left w:val="none" w:sz="0" w:space="0" w:color="auto"/>
                                                                            <w:bottom w:val="none" w:sz="0" w:space="0" w:color="auto"/>
                                                                            <w:right w:val="none" w:sz="0" w:space="0" w:color="auto"/>
                                                                          </w:divBdr>
                                                                          <w:divsChild>
                                                                            <w:div w:id="1174879886">
                                                                              <w:marLeft w:val="0"/>
                                                                              <w:marRight w:val="0"/>
                                                                              <w:marTop w:val="0"/>
                                                                              <w:marBottom w:val="0"/>
                                                                              <w:divBdr>
                                                                                <w:top w:val="none" w:sz="0" w:space="0" w:color="auto"/>
                                                                                <w:left w:val="none" w:sz="0" w:space="0" w:color="auto"/>
                                                                                <w:bottom w:val="none" w:sz="0" w:space="0" w:color="auto"/>
                                                                                <w:right w:val="none" w:sz="0" w:space="0" w:color="auto"/>
                                                                              </w:divBdr>
                                                                              <w:divsChild>
                                                                                <w:div w:id="1103259303">
                                                                                  <w:marLeft w:val="0"/>
                                                                                  <w:marRight w:val="0"/>
                                                                                  <w:marTop w:val="0"/>
                                                                                  <w:marBottom w:val="0"/>
                                                                                  <w:divBdr>
                                                                                    <w:top w:val="none" w:sz="0" w:space="0" w:color="auto"/>
                                                                                    <w:left w:val="none" w:sz="0" w:space="0" w:color="auto"/>
                                                                                    <w:bottom w:val="none" w:sz="0" w:space="0" w:color="auto"/>
                                                                                    <w:right w:val="none" w:sz="0" w:space="0" w:color="auto"/>
                                                                                  </w:divBdr>
                                                                                  <w:divsChild>
                                                                                    <w:div w:id="1162352903">
                                                                                      <w:marLeft w:val="0"/>
                                                                                      <w:marRight w:val="0"/>
                                                                                      <w:marTop w:val="0"/>
                                                                                      <w:marBottom w:val="0"/>
                                                                                      <w:divBdr>
                                                                                        <w:top w:val="none" w:sz="0" w:space="0" w:color="auto"/>
                                                                                        <w:left w:val="none" w:sz="0" w:space="0" w:color="auto"/>
                                                                                        <w:bottom w:val="none" w:sz="0" w:space="0" w:color="auto"/>
                                                                                        <w:right w:val="none" w:sz="0" w:space="0" w:color="auto"/>
                                                                                      </w:divBdr>
                                                                                      <w:divsChild>
                                                                                        <w:div w:id="466508418">
                                                                                          <w:marLeft w:val="0"/>
                                                                                          <w:marRight w:val="0"/>
                                                                                          <w:marTop w:val="0"/>
                                                                                          <w:marBottom w:val="0"/>
                                                                                          <w:divBdr>
                                                                                            <w:top w:val="none" w:sz="0" w:space="0" w:color="auto"/>
                                                                                            <w:left w:val="none" w:sz="0" w:space="0" w:color="auto"/>
                                                                                            <w:bottom w:val="none" w:sz="0" w:space="0" w:color="auto"/>
                                                                                            <w:right w:val="none" w:sz="0" w:space="0" w:color="auto"/>
                                                                                          </w:divBdr>
                                                                                          <w:divsChild>
                                                                                            <w:div w:id="1844003869">
                                                                                              <w:marLeft w:val="0"/>
                                                                                              <w:marRight w:val="0"/>
                                                                                              <w:marTop w:val="0"/>
                                                                                              <w:marBottom w:val="0"/>
                                                                                              <w:divBdr>
                                                                                                <w:top w:val="none" w:sz="0" w:space="0" w:color="auto"/>
                                                                                                <w:left w:val="none" w:sz="0" w:space="0" w:color="auto"/>
                                                                                                <w:bottom w:val="none" w:sz="0" w:space="0" w:color="auto"/>
                                                                                                <w:right w:val="none" w:sz="0" w:space="0" w:color="auto"/>
                                                                                              </w:divBdr>
                                                                                              <w:divsChild>
                                                                                                <w:div w:id="80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022436">
                      <w:marLeft w:val="0"/>
                      <w:marRight w:val="0"/>
                      <w:marTop w:val="0"/>
                      <w:marBottom w:val="0"/>
                      <w:divBdr>
                        <w:top w:val="none" w:sz="0" w:space="0" w:color="auto"/>
                        <w:left w:val="none" w:sz="0" w:space="0" w:color="auto"/>
                        <w:bottom w:val="none" w:sz="0" w:space="0" w:color="auto"/>
                        <w:right w:val="none" w:sz="0" w:space="0" w:color="auto"/>
                      </w:divBdr>
                      <w:divsChild>
                        <w:div w:id="267932354">
                          <w:marLeft w:val="0"/>
                          <w:marRight w:val="0"/>
                          <w:marTop w:val="0"/>
                          <w:marBottom w:val="0"/>
                          <w:divBdr>
                            <w:top w:val="none" w:sz="0" w:space="0" w:color="auto"/>
                            <w:left w:val="none" w:sz="0" w:space="0" w:color="auto"/>
                            <w:bottom w:val="none" w:sz="0" w:space="0" w:color="auto"/>
                            <w:right w:val="none" w:sz="0" w:space="0" w:color="auto"/>
                          </w:divBdr>
                          <w:divsChild>
                            <w:div w:id="1099913336">
                              <w:marLeft w:val="0"/>
                              <w:marRight w:val="0"/>
                              <w:marTop w:val="0"/>
                              <w:marBottom w:val="0"/>
                              <w:divBdr>
                                <w:top w:val="none" w:sz="0" w:space="0" w:color="auto"/>
                                <w:left w:val="none" w:sz="0" w:space="0" w:color="auto"/>
                                <w:bottom w:val="none" w:sz="0" w:space="0" w:color="auto"/>
                                <w:right w:val="none" w:sz="0" w:space="0" w:color="auto"/>
                              </w:divBdr>
                              <w:divsChild>
                                <w:div w:id="1061899904">
                                  <w:marLeft w:val="0"/>
                                  <w:marRight w:val="0"/>
                                  <w:marTop w:val="0"/>
                                  <w:marBottom w:val="0"/>
                                  <w:divBdr>
                                    <w:top w:val="none" w:sz="0" w:space="0" w:color="auto"/>
                                    <w:left w:val="none" w:sz="0" w:space="0" w:color="auto"/>
                                    <w:bottom w:val="none" w:sz="0" w:space="0" w:color="auto"/>
                                    <w:right w:val="none" w:sz="0" w:space="0" w:color="auto"/>
                                  </w:divBdr>
                                </w:div>
                                <w:div w:id="1172338485">
                                  <w:marLeft w:val="0"/>
                                  <w:marRight w:val="0"/>
                                  <w:marTop w:val="0"/>
                                  <w:marBottom w:val="0"/>
                                  <w:divBdr>
                                    <w:top w:val="none" w:sz="0" w:space="0" w:color="auto"/>
                                    <w:left w:val="none" w:sz="0" w:space="0" w:color="auto"/>
                                    <w:bottom w:val="none" w:sz="0" w:space="0" w:color="auto"/>
                                    <w:right w:val="none" w:sz="0" w:space="0" w:color="auto"/>
                                  </w:divBdr>
                                  <w:divsChild>
                                    <w:div w:id="400374676">
                                      <w:marLeft w:val="0"/>
                                      <w:marRight w:val="0"/>
                                      <w:marTop w:val="0"/>
                                      <w:marBottom w:val="0"/>
                                      <w:divBdr>
                                        <w:top w:val="none" w:sz="0" w:space="0" w:color="auto"/>
                                        <w:left w:val="none" w:sz="0" w:space="0" w:color="auto"/>
                                        <w:bottom w:val="none" w:sz="0" w:space="0" w:color="auto"/>
                                        <w:right w:val="none" w:sz="0" w:space="0" w:color="auto"/>
                                      </w:divBdr>
                                    </w:div>
                                  </w:divsChild>
                                </w:div>
                                <w:div w:id="1189563271">
                                  <w:marLeft w:val="0"/>
                                  <w:marRight w:val="0"/>
                                  <w:marTop w:val="0"/>
                                  <w:marBottom w:val="0"/>
                                  <w:divBdr>
                                    <w:top w:val="none" w:sz="0" w:space="0" w:color="auto"/>
                                    <w:left w:val="none" w:sz="0" w:space="0" w:color="auto"/>
                                    <w:bottom w:val="none" w:sz="0" w:space="0" w:color="auto"/>
                                    <w:right w:val="none" w:sz="0" w:space="0" w:color="auto"/>
                                  </w:divBdr>
                                  <w:divsChild>
                                    <w:div w:id="597979534">
                                      <w:marLeft w:val="0"/>
                                      <w:marRight w:val="0"/>
                                      <w:marTop w:val="0"/>
                                      <w:marBottom w:val="0"/>
                                      <w:divBdr>
                                        <w:top w:val="none" w:sz="0" w:space="0" w:color="auto"/>
                                        <w:left w:val="none" w:sz="0" w:space="0" w:color="auto"/>
                                        <w:bottom w:val="none" w:sz="0" w:space="0" w:color="auto"/>
                                        <w:right w:val="none" w:sz="0" w:space="0" w:color="auto"/>
                                      </w:divBdr>
                                    </w:div>
                                    <w:div w:id="1846633469">
                                      <w:marLeft w:val="0"/>
                                      <w:marRight w:val="0"/>
                                      <w:marTop w:val="0"/>
                                      <w:marBottom w:val="0"/>
                                      <w:divBdr>
                                        <w:top w:val="none" w:sz="0" w:space="0" w:color="auto"/>
                                        <w:left w:val="none" w:sz="0" w:space="0" w:color="auto"/>
                                        <w:bottom w:val="none" w:sz="0" w:space="0" w:color="auto"/>
                                        <w:right w:val="none" w:sz="0" w:space="0" w:color="auto"/>
                                      </w:divBdr>
                                    </w:div>
                                    <w:div w:id="2098746045">
                                      <w:marLeft w:val="0"/>
                                      <w:marRight w:val="0"/>
                                      <w:marTop w:val="0"/>
                                      <w:marBottom w:val="0"/>
                                      <w:divBdr>
                                        <w:top w:val="none" w:sz="0" w:space="0" w:color="auto"/>
                                        <w:left w:val="none" w:sz="0" w:space="0" w:color="auto"/>
                                        <w:bottom w:val="none" w:sz="0" w:space="0" w:color="auto"/>
                                        <w:right w:val="none" w:sz="0" w:space="0" w:color="auto"/>
                                      </w:divBdr>
                                    </w:div>
                                  </w:divsChild>
                                </w:div>
                                <w:div w:id="12967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815964">
          <w:marLeft w:val="0"/>
          <w:marRight w:val="0"/>
          <w:marTop w:val="0"/>
          <w:marBottom w:val="0"/>
          <w:divBdr>
            <w:top w:val="none" w:sz="0" w:space="0" w:color="auto"/>
            <w:left w:val="none" w:sz="0" w:space="0" w:color="auto"/>
            <w:bottom w:val="none" w:sz="0" w:space="0" w:color="auto"/>
            <w:right w:val="none" w:sz="0" w:space="0" w:color="auto"/>
          </w:divBdr>
          <w:divsChild>
            <w:div w:id="1772777244">
              <w:marLeft w:val="0"/>
              <w:marRight w:val="0"/>
              <w:marTop w:val="0"/>
              <w:marBottom w:val="0"/>
              <w:divBdr>
                <w:top w:val="none" w:sz="0" w:space="0" w:color="auto"/>
                <w:left w:val="none" w:sz="0" w:space="0" w:color="auto"/>
                <w:bottom w:val="none" w:sz="0" w:space="0" w:color="auto"/>
                <w:right w:val="none" w:sz="0" w:space="0" w:color="auto"/>
              </w:divBdr>
              <w:divsChild>
                <w:div w:id="102277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4227">
          <w:marLeft w:val="0"/>
          <w:marRight w:val="0"/>
          <w:marTop w:val="0"/>
          <w:marBottom w:val="0"/>
          <w:divBdr>
            <w:top w:val="none" w:sz="0" w:space="0" w:color="auto"/>
            <w:left w:val="none" w:sz="0" w:space="0" w:color="auto"/>
            <w:bottom w:val="none" w:sz="0" w:space="0" w:color="auto"/>
            <w:right w:val="none" w:sz="0" w:space="0" w:color="auto"/>
          </w:divBdr>
          <w:divsChild>
            <w:div w:id="900365643">
              <w:marLeft w:val="0"/>
              <w:marRight w:val="0"/>
              <w:marTop w:val="0"/>
              <w:marBottom w:val="0"/>
              <w:divBdr>
                <w:top w:val="none" w:sz="0" w:space="0" w:color="auto"/>
                <w:left w:val="none" w:sz="0" w:space="0" w:color="auto"/>
                <w:bottom w:val="none" w:sz="0" w:space="0" w:color="auto"/>
                <w:right w:val="none" w:sz="0" w:space="0" w:color="auto"/>
              </w:divBdr>
              <w:divsChild>
                <w:div w:id="368994519">
                  <w:marLeft w:val="0"/>
                  <w:marRight w:val="0"/>
                  <w:marTop w:val="0"/>
                  <w:marBottom w:val="0"/>
                  <w:divBdr>
                    <w:top w:val="none" w:sz="0" w:space="0" w:color="auto"/>
                    <w:left w:val="none" w:sz="0" w:space="0" w:color="auto"/>
                    <w:bottom w:val="none" w:sz="0" w:space="0" w:color="auto"/>
                    <w:right w:val="none" w:sz="0" w:space="0" w:color="auto"/>
                  </w:divBdr>
                  <w:divsChild>
                    <w:div w:id="652565701">
                      <w:marLeft w:val="0"/>
                      <w:marRight w:val="0"/>
                      <w:marTop w:val="0"/>
                      <w:marBottom w:val="0"/>
                      <w:divBdr>
                        <w:top w:val="none" w:sz="0" w:space="0" w:color="auto"/>
                        <w:left w:val="none" w:sz="0" w:space="0" w:color="auto"/>
                        <w:bottom w:val="none" w:sz="0" w:space="0" w:color="auto"/>
                        <w:right w:val="none" w:sz="0" w:space="0" w:color="auto"/>
                      </w:divBdr>
                    </w:div>
                    <w:div w:id="20967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361486">
      <w:bodyDiv w:val="1"/>
      <w:marLeft w:val="0"/>
      <w:marRight w:val="0"/>
      <w:marTop w:val="0"/>
      <w:marBottom w:val="0"/>
      <w:divBdr>
        <w:top w:val="none" w:sz="0" w:space="0" w:color="auto"/>
        <w:left w:val="none" w:sz="0" w:space="0" w:color="auto"/>
        <w:bottom w:val="none" w:sz="0" w:space="0" w:color="auto"/>
        <w:right w:val="none" w:sz="0" w:space="0" w:color="auto"/>
      </w:divBdr>
    </w:div>
    <w:div w:id="821123028">
      <w:bodyDiv w:val="1"/>
      <w:marLeft w:val="0"/>
      <w:marRight w:val="0"/>
      <w:marTop w:val="0"/>
      <w:marBottom w:val="0"/>
      <w:divBdr>
        <w:top w:val="none" w:sz="0" w:space="0" w:color="auto"/>
        <w:left w:val="none" w:sz="0" w:space="0" w:color="auto"/>
        <w:bottom w:val="none" w:sz="0" w:space="0" w:color="auto"/>
        <w:right w:val="none" w:sz="0" w:space="0" w:color="auto"/>
      </w:divBdr>
    </w:div>
    <w:div w:id="843402511">
      <w:bodyDiv w:val="1"/>
      <w:marLeft w:val="0"/>
      <w:marRight w:val="0"/>
      <w:marTop w:val="0"/>
      <w:marBottom w:val="0"/>
      <w:divBdr>
        <w:top w:val="none" w:sz="0" w:space="0" w:color="auto"/>
        <w:left w:val="none" w:sz="0" w:space="0" w:color="auto"/>
        <w:bottom w:val="none" w:sz="0" w:space="0" w:color="auto"/>
        <w:right w:val="none" w:sz="0" w:space="0" w:color="auto"/>
      </w:divBdr>
    </w:div>
    <w:div w:id="859661343">
      <w:bodyDiv w:val="1"/>
      <w:marLeft w:val="0"/>
      <w:marRight w:val="0"/>
      <w:marTop w:val="0"/>
      <w:marBottom w:val="0"/>
      <w:divBdr>
        <w:top w:val="none" w:sz="0" w:space="0" w:color="auto"/>
        <w:left w:val="none" w:sz="0" w:space="0" w:color="auto"/>
        <w:bottom w:val="none" w:sz="0" w:space="0" w:color="auto"/>
        <w:right w:val="none" w:sz="0" w:space="0" w:color="auto"/>
      </w:divBdr>
    </w:div>
    <w:div w:id="863707751">
      <w:bodyDiv w:val="1"/>
      <w:marLeft w:val="0"/>
      <w:marRight w:val="0"/>
      <w:marTop w:val="0"/>
      <w:marBottom w:val="0"/>
      <w:divBdr>
        <w:top w:val="none" w:sz="0" w:space="0" w:color="auto"/>
        <w:left w:val="none" w:sz="0" w:space="0" w:color="auto"/>
        <w:bottom w:val="none" w:sz="0" w:space="0" w:color="auto"/>
        <w:right w:val="none" w:sz="0" w:space="0" w:color="auto"/>
      </w:divBdr>
    </w:div>
    <w:div w:id="889652817">
      <w:bodyDiv w:val="1"/>
      <w:marLeft w:val="0"/>
      <w:marRight w:val="0"/>
      <w:marTop w:val="0"/>
      <w:marBottom w:val="0"/>
      <w:divBdr>
        <w:top w:val="none" w:sz="0" w:space="0" w:color="auto"/>
        <w:left w:val="none" w:sz="0" w:space="0" w:color="auto"/>
        <w:bottom w:val="none" w:sz="0" w:space="0" w:color="auto"/>
        <w:right w:val="none" w:sz="0" w:space="0" w:color="auto"/>
      </w:divBdr>
    </w:div>
    <w:div w:id="891042786">
      <w:bodyDiv w:val="1"/>
      <w:marLeft w:val="0"/>
      <w:marRight w:val="0"/>
      <w:marTop w:val="0"/>
      <w:marBottom w:val="0"/>
      <w:divBdr>
        <w:top w:val="none" w:sz="0" w:space="0" w:color="auto"/>
        <w:left w:val="none" w:sz="0" w:space="0" w:color="auto"/>
        <w:bottom w:val="none" w:sz="0" w:space="0" w:color="auto"/>
        <w:right w:val="none" w:sz="0" w:space="0" w:color="auto"/>
      </w:divBdr>
    </w:div>
    <w:div w:id="892814411">
      <w:bodyDiv w:val="1"/>
      <w:marLeft w:val="0"/>
      <w:marRight w:val="0"/>
      <w:marTop w:val="0"/>
      <w:marBottom w:val="0"/>
      <w:divBdr>
        <w:top w:val="none" w:sz="0" w:space="0" w:color="auto"/>
        <w:left w:val="none" w:sz="0" w:space="0" w:color="auto"/>
        <w:bottom w:val="none" w:sz="0" w:space="0" w:color="auto"/>
        <w:right w:val="none" w:sz="0" w:space="0" w:color="auto"/>
      </w:divBdr>
    </w:div>
    <w:div w:id="904803655">
      <w:bodyDiv w:val="1"/>
      <w:marLeft w:val="0"/>
      <w:marRight w:val="0"/>
      <w:marTop w:val="0"/>
      <w:marBottom w:val="0"/>
      <w:divBdr>
        <w:top w:val="none" w:sz="0" w:space="0" w:color="auto"/>
        <w:left w:val="none" w:sz="0" w:space="0" w:color="auto"/>
        <w:bottom w:val="none" w:sz="0" w:space="0" w:color="auto"/>
        <w:right w:val="none" w:sz="0" w:space="0" w:color="auto"/>
      </w:divBdr>
      <w:divsChild>
        <w:div w:id="1311204223">
          <w:marLeft w:val="0"/>
          <w:marRight w:val="0"/>
          <w:marTop w:val="0"/>
          <w:marBottom w:val="0"/>
          <w:divBdr>
            <w:top w:val="none" w:sz="0" w:space="0" w:color="auto"/>
            <w:left w:val="none" w:sz="0" w:space="0" w:color="auto"/>
            <w:bottom w:val="none" w:sz="0" w:space="0" w:color="auto"/>
            <w:right w:val="none" w:sz="0" w:space="0" w:color="auto"/>
          </w:divBdr>
          <w:divsChild>
            <w:div w:id="458378234">
              <w:marLeft w:val="0"/>
              <w:marRight w:val="0"/>
              <w:marTop w:val="0"/>
              <w:marBottom w:val="0"/>
              <w:divBdr>
                <w:top w:val="none" w:sz="0" w:space="0" w:color="auto"/>
                <w:left w:val="none" w:sz="0" w:space="0" w:color="auto"/>
                <w:bottom w:val="none" w:sz="0" w:space="0" w:color="auto"/>
                <w:right w:val="none" w:sz="0" w:space="0" w:color="auto"/>
              </w:divBdr>
              <w:divsChild>
                <w:div w:id="1272400732">
                  <w:marLeft w:val="0"/>
                  <w:marRight w:val="0"/>
                  <w:marTop w:val="0"/>
                  <w:marBottom w:val="0"/>
                  <w:divBdr>
                    <w:top w:val="none" w:sz="0" w:space="0" w:color="auto"/>
                    <w:left w:val="none" w:sz="0" w:space="0" w:color="auto"/>
                    <w:bottom w:val="none" w:sz="0" w:space="0" w:color="auto"/>
                    <w:right w:val="none" w:sz="0" w:space="0" w:color="auto"/>
                  </w:divBdr>
                  <w:divsChild>
                    <w:div w:id="897472153">
                      <w:marLeft w:val="0"/>
                      <w:marRight w:val="0"/>
                      <w:marTop w:val="0"/>
                      <w:marBottom w:val="0"/>
                      <w:divBdr>
                        <w:top w:val="none" w:sz="0" w:space="0" w:color="auto"/>
                        <w:left w:val="none" w:sz="0" w:space="0" w:color="auto"/>
                        <w:bottom w:val="none" w:sz="0" w:space="0" w:color="auto"/>
                        <w:right w:val="none" w:sz="0" w:space="0" w:color="auto"/>
                      </w:divBdr>
                      <w:divsChild>
                        <w:div w:id="1699164798">
                          <w:marLeft w:val="0"/>
                          <w:marRight w:val="0"/>
                          <w:marTop w:val="0"/>
                          <w:marBottom w:val="0"/>
                          <w:divBdr>
                            <w:top w:val="none" w:sz="0" w:space="0" w:color="auto"/>
                            <w:left w:val="none" w:sz="0" w:space="0" w:color="auto"/>
                            <w:bottom w:val="none" w:sz="0" w:space="0" w:color="auto"/>
                            <w:right w:val="none" w:sz="0" w:space="0" w:color="auto"/>
                          </w:divBdr>
                          <w:divsChild>
                            <w:div w:id="42133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126894">
      <w:bodyDiv w:val="1"/>
      <w:marLeft w:val="0"/>
      <w:marRight w:val="0"/>
      <w:marTop w:val="0"/>
      <w:marBottom w:val="0"/>
      <w:divBdr>
        <w:top w:val="none" w:sz="0" w:space="0" w:color="auto"/>
        <w:left w:val="none" w:sz="0" w:space="0" w:color="auto"/>
        <w:bottom w:val="none" w:sz="0" w:space="0" w:color="auto"/>
        <w:right w:val="none" w:sz="0" w:space="0" w:color="auto"/>
      </w:divBdr>
    </w:div>
    <w:div w:id="929462920">
      <w:bodyDiv w:val="1"/>
      <w:marLeft w:val="0"/>
      <w:marRight w:val="0"/>
      <w:marTop w:val="0"/>
      <w:marBottom w:val="0"/>
      <w:divBdr>
        <w:top w:val="none" w:sz="0" w:space="0" w:color="auto"/>
        <w:left w:val="none" w:sz="0" w:space="0" w:color="auto"/>
        <w:bottom w:val="none" w:sz="0" w:space="0" w:color="auto"/>
        <w:right w:val="none" w:sz="0" w:space="0" w:color="auto"/>
      </w:divBdr>
    </w:div>
    <w:div w:id="933441763">
      <w:bodyDiv w:val="1"/>
      <w:marLeft w:val="0"/>
      <w:marRight w:val="0"/>
      <w:marTop w:val="0"/>
      <w:marBottom w:val="0"/>
      <w:divBdr>
        <w:top w:val="none" w:sz="0" w:space="0" w:color="auto"/>
        <w:left w:val="none" w:sz="0" w:space="0" w:color="auto"/>
        <w:bottom w:val="none" w:sz="0" w:space="0" w:color="auto"/>
        <w:right w:val="none" w:sz="0" w:space="0" w:color="auto"/>
      </w:divBdr>
    </w:div>
    <w:div w:id="983437636">
      <w:bodyDiv w:val="1"/>
      <w:marLeft w:val="0"/>
      <w:marRight w:val="0"/>
      <w:marTop w:val="0"/>
      <w:marBottom w:val="0"/>
      <w:divBdr>
        <w:top w:val="none" w:sz="0" w:space="0" w:color="auto"/>
        <w:left w:val="none" w:sz="0" w:space="0" w:color="auto"/>
        <w:bottom w:val="none" w:sz="0" w:space="0" w:color="auto"/>
        <w:right w:val="none" w:sz="0" w:space="0" w:color="auto"/>
      </w:divBdr>
    </w:div>
    <w:div w:id="986514195">
      <w:bodyDiv w:val="1"/>
      <w:marLeft w:val="0"/>
      <w:marRight w:val="0"/>
      <w:marTop w:val="0"/>
      <w:marBottom w:val="0"/>
      <w:divBdr>
        <w:top w:val="none" w:sz="0" w:space="0" w:color="auto"/>
        <w:left w:val="none" w:sz="0" w:space="0" w:color="auto"/>
        <w:bottom w:val="none" w:sz="0" w:space="0" w:color="auto"/>
        <w:right w:val="none" w:sz="0" w:space="0" w:color="auto"/>
      </w:divBdr>
    </w:div>
    <w:div w:id="1003703026">
      <w:bodyDiv w:val="1"/>
      <w:marLeft w:val="0"/>
      <w:marRight w:val="0"/>
      <w:marTop w:val="0"/>
      <w:marBottom w:val="0"/>
      <w:divBdr>
        <w:top w:val="none" w:sz="0" w:space="0" w:color="auto"/>
        <w:left w:val="none" w:sz="0" w:space="0" w:color="auto"/>
        <w:bottom w:val="none" w:sz="0" w:space="0" w:color="auto"/>
        <w:right w:val="none" w:sz="0" w:space="0" w:color="auto"/>
      </w:divBdr>
    </w:div>
    <w:div w:id="1029331983">
      <w:bodyDiv w:val="1"/>
      <w:marLeft w:val="0"/>
      <w:marRight w:val="0"/>
      <w:marTop w:val="0"/>
      <w:marBottom w:val="0"/>
      <w:divBdr>
        <w:top w:val="none" w:sz="0" w:space="0" w:color="auto"/>
        <w:left w:val="none" w:sz="0" w:space="0" w:color="auto"/>
        <w:bottom w:val="none" w:sz="0" w:space="0" w:color="auto"/>
        <w:right w:val="none" w:sz="0" w:space="0" w:color="auto"/>
      </w:divBdr>
      <w:divsChild>
        <w:div w:id="77290845">
          <w:marLeft w:val="0"/>
          <w:marRight w:val="0"/>
          <w:marTop w:val="0"/>
          <w:marBottom w:val="0"/>
          <w:divBdr>
            <w:top w:val="none" w:sz="0" w:space="0" w:color="auto"/>
            <w:left w:val="none" w:sz="0" w:space="0" w:color="auto"/>
            <w:bottom w:val="none" w:sz="0" w:space="0" w:color="auto"/>
            <w:right w:val="none" w:sz="0" w:space="0" w:color="auto"/>
          </w:divBdr>
        </w:div>
        <w:div w:id="88821681">
          <w:marLeft w:val="0"/>
          <w:marRight w:val="0"/>
          <w:marTop w:val="0"/>
          <w:marBottom w:val="0"/>
          <w:divBdr>
            <w:top w:val="none" w:sz="0" w:space="0" w:color="auto"/>
            <w:left w:val="none" w:sz="0" w:space="0" w:color="auto"/>
            <w:bottom w:val="none" w:sz="0" w:space="0" w:color="auto"/>
            <w:right w:val="none" w:sz="0" w:space="0" w:color="auto"/>
          </w:divBdr>
        </w:div>
        <w:div w:id="143937508">
          <w:marLeft w:val="0"/>
          <w:marRight w:val="0"/>
          <w:marTop w:val="0"/>
          <w:marBottom w:val="0"/>
          <w:divBdr>
            <w:top w:val="none" w:sz="0" w:space="0" w:color="auto"/>
            <w:left w:val="none" w:sz="0" w:space="0" w:color="auto"/>
            <w:bottom w:val="none" w:sz="0" w:space="0" w:color="auto"/>
            <w:right w:val="none" w:sz="0" w:space="0" w:color="auto"/>
          </w:divBdr>
        </w:div>
        <w:div w:id="512843615">
          <w:marLeft w:val="0"/>
          <w:marRight w:val="0"/>
          <w:marTop w:val="0"/>
          <w:marBottom w:val="0"/>
          <w:divBdr>
            <w:top w:val="none" w:sz="0" w:space="0" w:color="auto"/>
            <w:left w:val="none" w:sz="0" w:space="0" w:color="auto"/>
            <w:bottom w:val="none" w:sz="0" w:space="0" w:color="auto"/>
            <w:right w:val="none" w:sz="0" w:space="0" w:color="auto"/>
          </w:divBdr>
        </w:div>
        <w:div w:id="852066017">
          <w:marLeft w:val="0"/>
          <w:marRight w:val="0"/>
          <w:marTop w:val="0"/>
          <w:marBottom w:val="0"/>
          <w:divBdr>
            <w:top w:val="none" w:sz="0" w:space="0" w:color="auto"/>
            <w:left w:val="none" w:sz="0" w:space="0" w:color="auto"/>
            <w:bottom w:val="none" w:sz="0" w:space="0" w:color="auto"/>
            <w:right w:val="none" w:sz="0" w:space="0" w:color="auto"/>
          </w:divBdr>
        </w:div>
        <w:div w:id="981813902">
          <w:marLeft w:val="0"/>
          <w:marRight w:val="0"/>
          <w:marTop w:val="0"/>
          <w:marBottom w:val="0"/>
          <w:divBdr>
            <w:top w:val="none" w:sz="0" w:space="0" w:color="auto"/>
            <w:left w:val="none" w:sz="0" w:space="0" w:color="auto"/>
            <w:bottom w:val="none" w:sz="0" w:space="0" w:color="auto"/>
            <w:right w:val="none" w:sz="0" w:space="0" w:color="auto"/>
          </w:divBdr>
        </w:div>
        <w:div w:id="988631993">
          <w:marLeft w:val="0"/>
          <w:marRight w:val="0"/>
          <w:marTop w:val="0"/>
          <w:marBottom w:val="0"/>
          <w:divBdr>
            <w:top w:val="none" w:sz="0" w:space="0" w:color="auto"/>
            <w:left w:val="none" w:sz="0" w:space="0" w:color="auto"/>
            <w:bottom w:val="none" w:sz="0" w:space="0" w:color="auto"/>
            <w:right w:val="none" w:sz="0" w:space="0" w:color="auto"/>
          </w:divBdr>
        </w:div>
        <w:div w:id="1001814423">
          <w:marLeft w:val="0"/>
          <w:marRight w:val="0"/>
          <w:marTop w:val="0"/>
          <w:marBottom w:val="0"/>
          <w:divBdr>
            <w:top w:val="none" w:sz="0" w:space="0" w:color="auto"/>
            <w:left w:val="none" w:sz="0" w:space="0" w:color="auto"/>
            <w:bottom w:val="none" w:sz="0" w:space="0" w:color="auto"/>
            <w:right w:val="none" w:sz="0" w:space="0" w:color="auto"/>
          </w:divBdr>
        </w:div>
        <w:div w:id="1128470538">
          <w:marLeft w:val="0"/>
          <w:marRight w:val="0"/>
          <w:marTop w:val="0"/>
          <w:marBottom w:val="0"/>
          <w:divBdr>
            <w:top w:val="none" w:sz="0" w:space="0" w:color="auto"/>
            <w:left w:val="none" w:sz="0" w:space="0" w:color="auto"/>
            <w:bottom w:val="none" w:sz="0" w:space="0" w:color="auto"/>
            <w:right w:val="none" w:sz="0" w:space="0" w:color="auto"/>
          </w:divBdr>
        </w:div>
        <w:div w:id="1387411518">
          <w:marLeft w:val="0"/>
          <w:marRight w:val="0"/>
          <w:marTop w:val="0"/>
          <w:marBottom w:val="0"/>
          <w:divBdr>
            <w:top w:val="none" w:sz="0" w:space="0" w:color="auto"/>
            <w:left w:val="none" w:sz="0" w:space="0" w:color="auto"/>
            <w:bottom w:val="none" w:sz="0" w:space="0" w:color="auto"/>
            <w:right w:val="none" w:sz="0" w:space="0" w:color="auto"/>
          </w:divBdr>
        </w:div>
        <w:div w:id="1554004863">
          <w:marLeft w:val="0"/>
          <w:marRight w:val="0"/>
          <w:marTop w:val="0"/>
          <w:marBottom w:val="0"/>
          <w:divBdr>
            <w:top w:val="none" w:sz="0" w:space="0" w:color="auto"/>
            <w:left w:val="none" w:sz="0" w:space="0" w:color="auto"/>
            <w:bottom w:val="none" w:sz="0" w:space="0" w:color="auto"/>
            <w:right w:val="none" w:sz="0" w:space="0" w:color="auto"/>
          </w:divBdr>
        </w:div>
        <w:div w:id="1561405086">
          <w:marLeft w:val="0"/>
          <w:marRight w:val="0"/>
          <w:marTop w:val="0"/>
          <w:marBottom w:val="0"/>
          <w:divBdr>
            <w:top w:val="none" w:sz="0" w:space="0" w:color="auto"/>
            <w:left w:val="none" w:sz="0" w:space="0" w:color="auto"/>
            <w:bottom w:val="none" w:sz="0" w:space="0" w:color="auto"/>
            <w:right w:val="none" w:sz="0" w:space="0" w:color="auto"/>
          </w:divBdr>
        </w:div>
        <w:div w:id="1991714078">
          <w:marLeft w:val="0"/>
          <w:marRight w:val="0"/>
          <w:marTop w:val="0"/>
          <w:marBottom w:val="0"/>
          <w:divBdr>
            <w:top w:val="none" w:sz="0" w:space="0" w:color="auto"/>
            <w:left w:val="none" w:sz="0" w:space="0" w:color="auto"/>
            <w:bottom w:val="none" w:sz="0" w:space="0" w:color="auto"/>
            <w:right w:val="none" w:sz="0" w:space="0" w:color="auto"/>
          </w:divBdr>
        </w:div>
        <w:div w:id="2133015699">
          <w:marLeft w:val="0"/>
          <w:marRight w:val="0"/>
          <w:marTop w:val="0"/>
          <w:marBottom w:val="0"/>
          <w:divBdr>
            <w:top w:val="none" w:sz="0" w:space="0" w:color="auto"/>
            <w:left w:val="none" w:sz="0" w:space="0" w:color="auto"/>
            <w:bottom w:val="none" w:sz="0" w:space="0" w:color="auto"/>
            <w:right w:val="none" w:sz="0" w:space="0" w:color="auto"/>
          </w:divBdr>
        </w:div>
        <w:div w:id="2141066486">
          <w:marLeft w:val="0"/>
          <w:marRight w:val="0"/>
          <w:marTop w:val="0"/>
          <w:marBottom w:val="0"/>
          <w:divBdr>
            <w:top w:val="none" w:sz="0" w:space="0" w:color="auto"/>
            <w:left w:val="none" w:sz="0" w:space="0" w:color="auto"/>
            <w:bottom w:val="none" w:sz="0" w:space="0" w:color="auto"/>
            <w:right w:val="none" w:sz="0" w:space="0" w:color="auto"/>
          </w:divBdr>
        </w:div>
      </w:divsChild>
    </w:div>
    <w:div w:id="1069689155">
      <w:bodyDiv w:val="1"/>
      <w:marLeft w:val="0"/>
      <w:marRight w:val="0"/>
      <w:marTop w:val="0"/>
      <w:marBottom w:val="0"/>
      <w:divBdr>
        <w:top w:val="none" w:sz="0" w:space="0" w:color="auto"/>
        <w:left w:val="none" w:sz="0" w:space="0" w:color="auto"/>
        <w:bottom w:val="none" w:sz="0" w:space="0" w:color="auto"/>
        <w:right w:val="none" w:sz="0" w:space="0" w:color="auto"/>
      </w:divBdr>
    </w:div>
    <w:div w:id="1108235628">
      <w:bodyDiv w:val="1"/>
      <w:marLeft w:val="0"/>
      <w:marRight w:val="0"/>
      <w:marTop w:val="0"/>
      <w:marBottom w:val="0"/>
      <w:divBdr>
        <w:top w:val="none" w:sz="0" w:space="0" w:color="auto"/>
        <w:left w:val="none" w:sz="0" w:space="0" w:color="auto"/>
        <w:bottom w:val="none" w:sz="0" w:space="0" w:color="auto"/>
        <w:right w:val="none" w:sz="0" w:space="0" w:color="auto"/>
      </w:divBdr>
    </w:div>
    <w:div w:id="1140615086">
      <w:bodyDiv w:val="1"/>
      <w:marLeft w:val="0"/>
      <w:marRight w:val="0"/>
      <w:marTop w:val="0"/>
      <w:marBottom w:val="0"/>
      <w:divBdr>
        <w:top w:val="none" w:sz="0" w:space="0" w:color="auto"/>
        <w:left w:val="none" w:sz="0" w:space="0" w:color="auto"/>
        <w:bottom w:val="none" w:sz="0" w:space="0" w:color="auto"/>
        <w:right w:val="none" w:sz="0" w:space="0" w:color="auto"/>
      </w:divBdr>
      <w:divsChild>
        <w:div w:id="1642537271">
          <w:marLeft w:val="0"/>
          <w:marRight w:val="0"/>
          <w:marTop w:val="0"/>
          <w:marBottom w:val="0"/>
          <w:divBdr>
            <w:top w:val="none" w:sz="0" w:space="0" w:color="auto"/>
            <w:left w:val="none" w:sz="0" w:space="0" w:color="auto"/>
            <w:bottom w:val="none" w:sz="0" w:space="0" w:color="auto"/>
            <w:right w:val="none" w:sz="0" w:space="0" w:color="auto"/>
          </w:divBdr>
          <w:divsChild>
            <w:div w:id="1139499247">
              <w:marLeft w:val="0"/>
              <w:marRight w:val="0"/>
              <w:marTop w:val="0"/>
              <w:marBottom w:val="0"/>
              <w:divBdr>
                <w:top w:val="none" w:sz="0" w:space="0" w:color="auto"/>
                <w:left w:val="none" w:sz="0" w:space="0" w:color="auto"/>
                <w:bottom w:val="none" w:sz="0" w:space="0" w:color="auto"/>
                <w:right w:val="none" w:sz="0" w:space="0" w:color="auto"/>
              </w:divBdr>
              <w:divsChild>
                <w:div w:id="400254498">
                  <w:marLeft w:val="0"/>
                  <w:marRight w:val="0"/>
                  <w:marTop w:val="0"/>
                  <w:marBottom w:val="0"/>
                  <w:divBdr>
                    <w:top w:val="none" w:sz="0" w:space="0" w:color="auto"/>
                    <w:left w:val="none" w:sz="0" w:space="0" w:color="auto"/>
                    <w:bottom w:val="none" w:sz="0" w:space="0" w:color="auto"/>
                    <w:right w:val="none" w:sz="0" w:space="0" w:color="auto"/>
                  </w:divBdr>
                  <w:divsChild>
                    <w:div w:id="1301156866">
                      <w:marLeft w:val="0"/>
                      <w:marRight w:val="0"/>
                      <w:marTop w:val="0"/>
                      <w:marBottom w:val="0"/>
                      <w:divBdr>
                        <w:top w:val="none" w:sz="0" w:space="0" w:color="auto"/>
                        <w:left w:val="none" w:sz="0" w:space="0" w:color="auto"/>
                        <w:bottom w:val="none" w:sz="0" w:space="0" w:color="auto"/>
                        <w:right w:val="none" w:sz="0" w:space="0" w:color="auto"/>
                      </w:divBdr>
                      <w:divsChild>
                        <w:div w:id="695279400">
                          <w:marLeft w:val="0"/>
                          <w:marRight w:val="0"/>
                          <w:marTop w:val="0"/>
                          <w:marBottom w:val="0"/>
                          <w:divBdr>
                            <w:top w:val="none" w:sz="0" w:space="0" w:color="auto"/>
                            <w:left w:val="none" w:sz="0" w:space="0" w:color="auto"/>
                            <w:bottom w:val="none" w:sz="0" w:space="0" w:color="auto"/>
                            <w:right w:val="none" w:sz="0" w:space="0" w:color="auto"/>
                          </w:divBdr>
                          <w:divsChild>
                            <w:div w:id="1450511098">
                              <w:marLeft w:val="0"/>
                              <w:marRight w:val="0"/>
                              <w:marTop w:val="0"/>
                              <w:marBottom w:val="0"/>
                              <w:divBdr>
                                <w:top w:val="none" w:sz="0" w:space="0" w:color="auto"/>
                                <w:left w:val="none" w:sz="0" w:space="0" w:color="auto"/>
                                <w:bottom w:val="none" w:sz="0" w:space="0" w:color="auto"/>
                                <w:right w:val="none" w:sz="0" w:space="0" w:color="auto"/>
                              </w:divBdr>
                              <w:divsChild>
                                <w:div w:id="2107189370">
                                  <w:marLeft w:val="0"/>
                                  <w:marRight w:val="0"/>
                                  <w:marTop w:val="0"/>
                                  <w:marBottom w:val="0"/>
                                  <w:divBdr>
                                    <w:top w:val="none" w:sz="0" w:space="0" w:color="auto"/>
                                    <w:left w:val="none" w:sz="0" w:space="0" w:color="auto"/>
                                    <w:bottom w:val="none" w:sz="0" w:space="0" w:color="auto"/>
                                    <w:right w:val="none" w:sz="0" w:space="0" w:color="auto"/>
                                  </w:divBdr>
                                  <w:divsChild>
                                    <w:div w:id="1576629359">
                                      <w:marLeft w:val="0"/>
                                      <w:marRight w:val="0"/>
                                      <w:marTop w:val="0"/>
                                      <w:marBottom w:val="0"/>
                                      <w:divBdr>
                                        <w:top w:val="none" w:sz="0" w:space="0" w:color="auto"/>
                                        <w:left w:val="none" w:sz="0" w:space="0" w:color="auto"/>
                                        <w:bottom w:val="none" w:sz="0" w:space="0" w:color="auto"/>
                                        <w:right w:val="none" w:sz="0" w:space="0" w:color="auto"/>
                                      </w:divBdr>
                                      <w:divsChild>
                                        <w:div w:id="1575623574">
                                          <w:marLeft w:val="0"/>
                                          <w:marRight w:val="0"/>
                                          <w:marTop w:val="0"/>
                                          <w:marBottom w:val="0"/>
                                          <w:divBdr>
                                            <w:top w:val="none" w:sz="0" w:space="0" w:color="auto"/>
                                            <w:left w:val="none" w:sz="0" w:space="0" w:color="auto"/>
                                            <w:bottom w:val="none" w:sz="0" w:space="0" w:color="auto"/>
                                            <w:right w:val="none" w:sz="0" w:space="0" w:color="auto"/>
                                          </w:divBdr>
                                          <w:divsChild>
                                            <w:div w:id="131290787">
                                              <w:marLeft w:val="0"/>
                                              <w:marRight w:val="0"/>
                                              <w:marTop w:val="0"/>
                                              <w:marBottom w:val="0"/>
                                              <w:divBdr>
                                                <w:top w:val="none" w:sz="0" w:space="0" w:color="auto"/>
                                                <w:left w:val="none" w:sz="0" w:space="0" w:color="auto"/>
                                                <w:bottom w:val="none" w:sz="0" w:space="0" w:color="auto"/>
                                                <w:right w:val="none" w:sz="0" w:space="0" w:color="auto"/>
                                              </w:divBdr>
                                              <w:divsChild>
                                                <w:div w:id="611673525">
                                                  <w:marLeft w:val="0"/>
                                                  <w:marRight w:val="0"/>
                                                  <w:marTop w:val="0"/>
                                                  <w:marBottom w:val="0"/>
                                                  <w:divBdr>
                                                    <w:top w:val="none" w:sz="0" w:space="0" w:color="auto"/>
                                                    <w:left w:val="none" w:sz="0" w:space="0" w:color="auto"/>
                                                    <w:bottom w:val="none" w:sz="0" w:space="0" w:color="auto"/>
                                                    <w:right w:val="none" w:sz="0" w:space="0" w:color="auto"/>
                                                  </w:divBdr>
                                                  <w:divsChild>
                                                    <w:div w:id="792215124">
                                                      <w:marLeft w:val="0"/>
                                                      <w:marRight w:val="0"/>
                                                      <w:marTop w:val="0"/>
                                                      <w:marBottom w:val="0"/>
                                                      <w:divBdr>
                                                        <w:top w:val="none" w:sz="0" w:space="0" w:color="auto"/>
                                                        <w:left w:val="none" w:sz="0" w:space="0" w:color="auto"/>
                                                        <w:bottom w:val="none" w:sz="0" w:space="0" w:color="auto"/>
                                                        <w:right w:val="none" w:sz="0" w:space="0" w:color="auto"/>
                                                      </w:divBdr>
                                                      <w:divsChild>
                                                        <w:div w:id="1320882699">
                                                          <w:marLeft w:val="0"/>
                                                          <w:marRight w:val="0"/>
                                                          <w:marTop w:val="0"/>
                                                          <w:marBottom w:val="0"/>
                                                          <w:divBdr>
                                                            <w:top w:val="none" w:sz="0" w:space="0" w:color="auto"/>
                                                            <w:left w:val="none" w:sz="0" w:space="0" w:color="auto"/>
                                                            <w:bottom w:val="none" w:sz="0" w:space="0" w:color="auto"/>
                                                            <w:right w:val="none" w:sz="0" w:space="0" w:color="auto"/>
                                                          </w:divBdr>
                                                          <w:divsChild>
                                                            <w:div w:id="14239190">
                                                              <w:marLeft w:val="0"/>
                                                              <w:marRight w:val="0"/>
                                                              <w:marTop w:val="0"/>
                                                              <w:marBottom w:val="0"/>
                                                              <w:divBdr>
                                                                <w:top w:val="none" w:sz="0" w:space="0" w:color="auto"/>
                                                                <w:left w:val="none" w:sz="0" w:space="0" w:color="auto"/>
                                                                <w:bottom w:val="none" w:sz="0" w:space="0" w:color="auto"/>
                                                                <w:right w:val="none" w:sz="0" w:space="0" w:color="auto"/>
                                                              </w:divBdr>
                                                              <w:divsChild>
                                                                <w:div w:id="1459227388">
                                                                  <w:marLeft w:val="0"/>
                                                                  <w:marRight w:val="0"/>
                                                                  <w:marTop w:val="0"/>
                                                                  <w:marBottom w:val="0"/>
                                                                  <w:divBdr>
                                                                    <w:top w:val="none" w:sz="0" w:space="0" w:color="auto"/>
                                                                    <w:left w:val="none" w:sz="0" w:space="0" w:color="auto"/>
                                                                    <w:bottom w:val="none" w:sz="0" w:space="0" w:color="auto"/>
                                                                    <w:right w:val="none" w:sz="0" w:space="0" w:color="auto"/>
                                                                  </w:divBdr>
                                                                  <w:divsChild>
                                                                    <w:div w:id="942810297">
                                                                      <w:marLeft w:val="0"/>
                                                                      <w:marRight w:val="0"/>
                                                                      <w:marTop w:val="0"/>
                                                                      <w:marBottom w:val="0"/>
                                                                      <w:divBdr>
                                                                        <w:top w:val="none" w:sz="0" w:space="0" w:color="auto"/>
                                                                        <w:left w:val="none" w:sz="0" w:space="0" w:color="auto"/>
                                                                        <w:bottom w:val="none" w:sz="0" w:space="0" w:color="auto"/>
                                                                        <w:right w:val="none" w:sz="0" w:space="0" w:color="auto"/>
                                                                      </w:divBdr>
                                                                      <w:divsChild>
                                                                        <w:div w:id="1373456197">
                                                                          <w:marLeft w:val="0"/>
                                                                          <w:marRight w:val="0"/>
                                                                          <w:marTop w:val="0"/>
                                                                          <w:marBottom w:val="0"/>
                                                                          <w:divBdr>
                                                                            <w:top w:val="none" w:sz="0" w:space="0" w:color="auto"/>
                                                                            <w:left w:val="none" w:sz="0" w:space="0" w:color="auto"/>
                                                                            <w:bottom w:val="none" w:sz="0" w:space="0" w:color="auto"/>
                                                                            <w:right w:val="none" w:sz="0" w:space="0" w:color="auto"/>
                                                                          </w:divBdr>
                                                                          <w:divsChild>
                                                                            <w:div w:id="683169657">
                                                                              <w:marLeft w:val="0"/>
                                                                              <w:marRight w:val="0"/>
                                                                              <w:marTop w:val="0"/>
                                                                              <w:marBottom w:val="0"/>
                                                                              <w:divBdr>
                                                                                <w:top w:val="none" w:sz="0" w:space="0" w:color="auto"/>
                                                                                <w:left w:val="none" w:sz="0" w:space="0" w:color="auto"/>
                                                                                <w:bottom w:val="none" w:sz="0" w:space="0" w:color="auto"/>
                                                                                <w:right w:val="none" w:sz="0" w:space="0" w:color="auto"/>
                                                                              </w:divBdr>
                                                                              <w:divsChild>
                                                                                <w:div w:id="4217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478524">
                                          <w:marLeft w:val="0"/>
                                          <w:marRight w:val="0"/>
                                          <w:marTop w:val="0"/>
                                          <w:marBottom w:val="0"/>
                                          <w:divBdr>
                                            <w:top w:val="none" w:sz="0" w:space="0" w:color="auto"/>
                                            <w:left w:val="none" w:sz="0" w:space="0" w:color="auto"/>
                                            <w:bottom w:val="none" w:sz="0" w:space="0" w:color="auto"/>
                                            <w:right w:val="none" w:sz="0" w:space="0" w:color="auto"/>
                                          </w:divBdr>
                                          <w:divsChild>
                                            <w:div w:id="1375034835">
                                              <w:marLeft w:val="0"/>
                                              <w:marRight w:val="0"/>
                                              <w:marTop w:val="0"/>
                                              <w:marBottom w:val="0"/>
                                              <w:divBdr>
                                                <w:top w:val="none" w:sz="0" w:space="0" w:color="auto"/>
                                                <w:left w:val="none" w:sz="0" w:space="0" w:color="auto"/>
                                                <w:bottom w:val="none" w:sz="0" w:space="0" w:color="auto"/>
                                                <w:right w:val="none" w:sz="0" w:space="0" w:color="auto"/>
                                              </w:divBdr>
                                              <w:divsChild>
                                                <w:div w:id="970746099">
                                                  <w:marLeft w:val="0"/>
                                                  <w:marRight w:val="0"/>
                                                  <w:marTop w:val="0"/>
                                                  <w:marBottom w:val="0"/>
                                                  <w:divBdr>
                                                    <w:top w:val="none" w:sz="0" w:space="0" w:color="auto"/>
                                                    <w:left w:val="none" w:sz="0" w:space="0" w:color="auto"/>
                                                    <w:bottom w:val="none" w:sz="0" w:space="0" w:color="auto"/>
                                                    <w:right w:val="none" w:sz="0" w:space="0" w:color="auto"/>
                                                  </w:divBdr>
                                                  <w:divsChild>
                                                    <w:div w:id="1167358446">
                                                      <w:marLeft w:val="0"/>
                                                      <w:marRight w:val="0"/>
                                                      <w:marTop w:val="0"/>
                                                      <w:marBottom w:val="0"/>
                                                      <w:divBdr>
                                                        <w:top w:val="none" w:sz="0" w:space="0" w:color="auto"/>
                                                        <w:left w:val="none" w:sz="0" w:space="0" w:color="auto"/>
                                                        <w:bottom w:val="none" w:sz="0" w:space="0" w:color="auto"/>
                                                        <w:right w:val="none" w:sz="0" w:space="0" w:color="auto"/>
                                                      </w:divBdr>
                                                      <w:divsChild>
                                                        <w:div w:id="664161604">
                                                          <w:marLeft w:val="0"/>
                                                          <w:marRight w:val="0"/>
                                                          <w:marTop w:val="0"/>
                                                          <w:marBottom w:val="0"/>
                                                          <w:divBdr>
                                                            <w:top w:val="none" w:sz="0" w:space="0" w:color="auto"/>
                                                            <w:left w:val="none" w:sz="0" w:space="0" w:color="auto"/>
                                                            <w:bottom w:val="none" w:sz="0" w:space="0" w:color="auto"/>
                                                            <w:right w:val="none" w:sz="0" w:space="0" w:color="auto"/>
                                                          </w:divBdr>
                                                          <w:divsChild>
                                                            <w:div w:id="63375672">
                                                              <w:marLeft w:val="0"/>
                                                              <w:marRight w:val="0"/>
                                                              <w:marTop w:val="0"/>
                                                              <w:marBottom w:val="0"/>
                                                              <w:divBdr>
                                                                <w:top w:val="none" w:sz="0" w:space="0" w:color="auto"/>
                                                                <w:left w:val="none" w:sz="0" w:space="0" w:color="auto"/>
                                                                <w:bottom w:val="none" w:sz="0" w:space="0" w:color="auto"/>
                                                                <w:right w:val="none" w:sz="0" w:space="0" w:color="auto"/>
                                                              </w:divBdr>
                                                              <w:divsChild>
                                                                <w:div w:id="1491403206">
                                                                  <w:marLeft w:val="0"/>
                                                                  <w:marRight w:val="0"/>
                                                                  <w:marTop w:val="0"/>
                                                                  <w:marBottom w:val="0"/>
                                                                  <w:divBdr>
                                                                    <w:top w:val="none" w:sz="0" w:space="0" w:color="auto"/>
                                                                    <w:left w:val="none" w:sz="0" w:space="0" w:color="auto"/>
                                                                    <w:bottom w:val="none" w:sz="0" w:space="0" w:color="auto"/>
                                                                    <w:right w:val="none" w:sz="0" w:space="0" w:color="auto"/>
                                                                  </w:divBdr>
                                                                  <w:divsChild>
                                                                    <w:div w:id="3784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2744984">
      <w:bodyDiv w:val="1"/>
      <w:marLeft w:val="0"/>
      <w:marRight w:val="0"/>
      <w:marTop w:val="0"/>
      <w:marBottom w:val="0"/>
      <w:divBdr>
        <w:top w:val="none" w:sz="0" w:space="0" w:color="auto"/>
        <w:left w:val="none" w:sz="0" w:space="0" w:color="auto"/>
        <w:bottom w:val="none" w:sz="0" w:space="0" w:color="auto"/>
        <w:right w:val="none" w:sz="0" w:space="0" w:color="auto"/>
      </w:divBdr>
    </w:div>
    <w:div w:id="1168206583">
      <w:bodyDiv w:val="1"/>
      <w:marLeft w:val="0"/>
      <w:marRight w:val="0"/>
      <w:marTop w:val="0"/>
      <w:marBottom w:val="0"/>
      <w:divBdr>
        <w:top w:val="none" w:sz="0" w:space="0" w:color="auto"/>
        <w:left w:val="none" w:sz="0" w:space="0" w:color="auto"/>
        <w:bottom w:val="none" w:sz="0" w:space="0" w:color="auto"/>
        <w:right w:val="none" w:sz="0" w:space="0" w:color="auto"/>
      </w:divBdr>
    </w:div>
    <w:div w:id="1200439575">
      <w:bodyDiv w:val="1"/>
      <w:marLeft w:val="0"/>
      <w:marRight w:val="0"/>
      <w:marTop w:val="0"/>
      <w:marBottom w:val="0"/>
      <w:divBdr>
        <w:top w:val="none" w:sz="0" w:space="0" w:color="auto"/>
        <w:left w:val="none" w:sz="0" w:space="0" w:color="auto"/>
        <w:bottom w:val="none" w:sz="0" w:space="0" w:color="auto"/>
        <w:right w:val="none" w:sz="0" w:space="0" w:color="auto"/>
      </w:divBdr>
    </w:div>
    <w:div w:id="1206940485">
      <w:bodyDiv w:val="1"/>
      <w:marLeft w:val="0"/>
      <w:marRight w:val="0"/>
      <w:marTop w:val="0"/>
      <w:marBottom w:val="0"/>
      <w:divBdr>
        <w:top w:val="none" w:sz="0" w:space="0" w:color="auto"/>
        <w:left w:val="none" w:sz="0" w:space="0" w:color="auto"/>
        <w:bottom w:val="none" w:sz="0" w:space="0" w:color="auto"/>
        <w:right w:val="none" w:sz="0" w:space="0" w:color="auto"/>
      </w:divBdr>
      <w:divsChild>
        <w:div w:id="1226138115">
          <w:marLeft w:val="0"/>
          <w:marRight w:val="0"/>
          <w:marTop w:val="0"/>
          <w:marBottom w:val="0"/>
          <w:divBdr>
            <w:top w:val="single" w:sz="2" w:space="0" w:color="E5E7EB"/>
            <w:left w:val="single" w:sz="2" w:space="0" w:color="E5E7EB"/>
            <w:bottom w:val="single" w:sz="2" w:space="0" w:color="E5E7EB"/>
            <w:right w:val="single" w:sz="2" w:space="0" w:color="E5E7EB"/>
          </w:divBdr>
          <w:divsChild>
            <w:div w:id="1167860547">
              <w:marLeft w:val="0"/>
              <w:marRight w:val="0"/>
              <w:marTop w:val="0"/>
              <w:marBottom w:val="0"/>
              <w:divBdr>
                <w:top w:val="single" w:sz="2" w:space="0" w:color="E5E7EB"/>
                <w:left w:val="single" w:sz="2" w:space="0" w:color="E5E7EB"/>
                <w:bottom w:val="single" w:sz="2" w:space="0" w:color="E5E7EB"/>
                <w:right w:val="single" w:sz="2" w:space="0" w:color="E5E7EB"/>
              </w:divBdr>
              <w:divsChild>
                <w:div w:id="1161236776">
                  <w:marLeft w:val="0"/>
                  <w:marRight w:val="0"/>
                  <w:marTop w:val="0"/>
                  <w:marBottom w:val="0"/>
                  <w:divBdr>
                    <w:top w:val="single" w:sz="2" w:space="0" w:color="E5E7EB"/>
                    <w:left w:val="single" w:sz="2" w:space="0" w:color="E5E7EB"/>
                    <w:bottom w:val="single" w:sz="2" w:space="0" w:color="E5E7EB"/>
                    <w:right w:val="single" w:sz="2" w:space="0" w:color="E5E7EB"/>
                  </w:divBdr>
                  <w:divsChild>
                    <w:div w:id="983005638">
                      <w:marLeft w:val="0"/>
                      <w:marRight w:val="0"/>
                      <w:marTop w:val="0"/>
                      <w:marBottom w:val="0"/>
                      <w:divBdr>
                        <w:top w:val="single" w:sz="2" w:space="0" w:color="E5E7EB"/>
                        <w:left w:val="single" w:sz="2" w:space="0" w:color="E5E7EB"/>
                        <w:bottom w:val="single" w:sz="2" w:space="0" w:color="E5E7EB"/>
                        <w:right w:val="single" w:sz="2" w:space="0" w:color="E5E7EB"/>
                      </w:divBdr>
                      <w:divsChild>
                        <w:div w:id="1298339519">
                          <w:marLeft w:val="0"/>
                          <w:marRight w:val="0"/>
                          <w:marTop w:val="0"/>
                          <w:marBottom w:val="0"/>
                          <w:divBdr>
                            <w:top w:val="single" w:sz="2" w:space="0" w:color="E5E7EB"/>
                            <w:left w:val="single" w:sz="2" w:space="0" w:color="E5E7EB"/>
                            <w:bottom w:val="single" w:sz="2" w:space="0" w:color="E5E7EB"/>
                            <w:right w:val="single" w:sz="2" w:space="0" w:color="E5E7EB"/>
                          </w:divBdr>
                          <w:divsChild>
                            <w:div w:id="1469862790">
                              <w:marLeft w:val="0"/>
                              <w:marRight w:val="0"/>
                              <w:marTop w:val="0"/>
                              <w:marBottom w:val="0"/>
                              <w:divBdr>
                                <w:top w:val="single" w:sz="2" w:space="0" w:color="E5E7EB"/>
                                <w:left w:val="single" w:sz="2" w:space="0" w:color="E5E7EB"/>
                                <w:bottom w:val="single" w:sz="2" w:space="0" w:color="E5E7EB"/>
                                <w:right w:val="single" w:sz="2" w:space="0" w:color="E5E7EB"/>
                              </w:divBdr>
                              <w:divsChild>
                                <w:div w:id="1547913477">
                                  <w:marLeft w:val="0"/>
                                  <w:marRight w:val="0"/>
                                  <w:marTop w:val="0"/>
                                  <w:marBottom w:val="0"/>
                                  <w:divBdr>
                                    <w:top w:val="single" w:sz="2" w:space="0" w:color="E5E7EB"/>
                                    <w:left w:val="single" w:sz="2" w:space="0" w:color="E5E7EB"/>
                                    <w:bottom w:val="single" w:sz="2" w:space="0" w:color="E5E7EB"/>
                                    <w:right w:val="single" w:sz="2" w:space="0" w:color="E5E7EB"/>
                                  </w:divBdr>
                                  <w:divsChild>
                                    <w:div w:id="7347374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144345045">
          <w:marLeft w:val="0"/>
          <w:marRight w:val="0"/>
          <w:marTop w:val="0"/>
          <w:marBottom w:val="0"/>
          <w:divBdr>
            <w:top w:val="single" w:sz="2" w:space="0" w:color="E5E7EB"/>
            <w:left w:val="single" w:sz="2" w:space="0" w:color="E5E7EB"/>
            <w:bottom w:val="single" w:sz="2" w:space="0" w:color="E5E7EB"/>
            <w:right w:val="single" w:sz="2" w:space="0" w:color="E5E7EB"/>
          </w:divBdr>
          <w:divsChild>
            <w:div w:id="329215711">
              <w:marLeft w:val="0"/>
              <w:marRight w:val="0"/>
              <w:marTop w:val="0"/>
              <w:marBottom w:val="0"/>
              <w:divBdr>
                <w:top w:val="single" w:sz="2" w:space="0" w:color="E5E7EB"/>
                <w:left w:val="single" w:sz="2" w:space="0" w:color="E5E7EB"/>
                <w:bottom w:val="single" w:sz="2" w:space="0" w:color="E5E7EB"/>
                <w:right w:val="single" w:sz="2" w:space="0" w:color="E5E7EB"/>
              </w:divBdr>
              <w:divsChild>
                <w:div w:id="721179544">
                  <w:marLeft w:val="0"/>
                  <w:marRight w:val="0"/>
                  <w:marTop w:val="0"/>
                  <w:marBottom w:val="0"/>
                  <w:divBdr>
                    <w:top w:val="single" w:sz="2" w:space="0" w:color="E5E7EB"/>
                    <w:left w:val="single" w:sz="2" w:space="0" w:color="E5E7EB"/>
                    <w:bottom w:val="single" w:sz="2" w:space="0" w:color="E5E7EB"/>
                    <w:right w:val="single" w:sz="2" w:space="0" w:color="E5E7EB"/>
                  </w:divBdr>
                  <w:divsChild>
                    <w:div w:id="882719335">
                      <w:marLeft w:val="0"/>
                      <w:marRight w:val="0"/>
                      <w:marTop w:val="0"/>
                      <w:marBottom w:val="0"/>
                      <w:divBdr>
                        <w:top w:val="single" w:sz="2" w:space="0" w:color="E5E7EB"/>
                        <w:left w:val="single" w:sz="2" w:space="0" w:color="E5E7EB"/>
                        <w:bottom w:val="single" w:sz="2" w:space="0" w:color="E5E7EB"/>
                        <w:right w:val="single" w:sz="2" w:space="0" w:color="E5E7EB"/>
                      </w:divBdr>
                      <w:divsChild>
                        <w:div w:id="2137866486">
                          <w:marLeft w:val="0"/>
                          <w:marRight w:val="0"/>
                          <w:marTop w:val="0"/>
                          <w:marBottom w:val="0"/>
                          <w:divBdr>
                            <w:top w:val="single" w:sz="2" w:space="0" w:color="E5E7EB"/>
                            <w:left w:val="single" w:sz="2" w:space="0" w:color="E5E7EB"/>
                            <w:bottom w:val="single" w:sz="2" w:space="0" w:color="E5E7EB"/>
                            <w:right w:val="single" w:sz="2" w:space="0" w:color="E5E7EB"/>
                          </w:divBdr>
                          <w:divsChild>
                            <w:div w:id="2080320004">
                              <w:marLeft w:val="0"/>
                              <w:marRight w:val="0"/>
                              <w:marTop w:val="0"/>
                              <w:marBottom w:val="0"/>
                              <w:divBdr>
                                <w:top w:val="single" w:sz="2" w:space="0" w:color="E5E7EB"/>
                                <w:left w:val="single" w:sz="2" w:space="0" w:color="E5E7EB"/>
                                <w:bottom w:val="single" w:sz="2" w:space="0" w:color="E5E7EB"/>
                                <w:right w:val="single" w:sz="2" w:space="0" w:color="E5E7EB"/>
                              </w:divBdr>
                              <w:divsChild>
                                <w:div w:id="756512910">
                                  <w:marLeft w:val="0"/>
                                  <w:marRight w:val="0"/>
                                  <w:marTop w:val="0"/>
                                  <w:marBottom w:val="0"/>
                                  <w:divBdr>
                                    <w:top w:val="single" w:sz="2" w:space="0" w:color="E5E7EB"/>
                                    <w:left w:val="single" w:sz="2" w:space="0" w:color="E5E7EB"/>
                                    <w:bottom w:val="single" w:sz="2" w:space="0" w:color="E5E7EB"/>
                                    <w:right w:val="single" w:sz="2" w:space="0" w:color="E5E7EB"/>
                                  </w:divBdr>
                                  <w:divsChild>
                                    <w:div w:id="549918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231229600">
      <w:bodyDiv w:val="1"/>
      <w:marLeft w:val="0"/>
      <w:marRight w:val="0"/>
      <w:marTop w:val="0"/>
      <w:marBottom w:val="0"/>
      <w:divBdr>
        <w:top w:val="none" w:sz="0" w:space="0" w:color="auto"/>
        <w:left w:val="none" w:sz="0" w:space="0" w:color="auto"/>
        <w:bottom w:val="none" w:sz="0" w:space="0" w:color="auto"/>
        <w:right w:val="none" w:sz="0" w:space="0" w:color="auto"/>
      </w:divBdr>
    </w:div>
    <w:div w:id="1241601486">
      <w:bodyDiv w:val="1"/>
      <w:marLeft w:val="0"/>
      <w:marRight w:val="0"/>
      <w:marTop w:val="0"/>
      <w:marBottom w:val="0"/>
      <w:divBdr>
        <w:top w:val="none" w:sz="0" w:space="0" w:color="auto"/>
        <w:left w:val="none" w:sz="0" w:space="0" w:color="auto"/>
        <w:bottom w:val="none" w:sz="0" w:space="0" w:color="auto"/>
        <w:right w:val="none" w:sz="0" w:space="0" w:color="auto"/>
      </w:divBdr>
    </w:div>
    <w:div w:id="1370187180">
      <w:bodyDiv w:val="1"/>
      <w:marLeft w:val="0"/>
      <w:marRight w:val="0"/>
      <w:marTop w:val="0"/>
      <w:marBottom w:val="0"/>
      <w:divBdr>
        <w:top w:val="none" w:sz="0" w:space="0" w:color="auto"/>
        <w:left w:val="none" w:sz="0" w:space="0" w:color="auto"/>
        <w:bottom w:val="none" w:sz="0" w:space="0" w:color="auto"/>
        <w:right w:val="none" w:sz="0" w:space="0" w:color="auto"/>
      </w:divBdr>
      <w:divsChild>
        <w:div w:id="1699355872">
          <w:marLeft w:val="0"/>
          <w:marRight w:val="0"/>
          <w:marTop w:val="0"/>
          <w:marBottom w:val="0"/>
          <w:divBdr>
            <w:top w:val="none" w:sz="0" w:space="0" w:color="auto"/>
            <w:left w:val="none" w:sz="0" w:space="0" w:color="auto"/>
            <w:bottom w:val="none" w:sz="0" w:space="0" w:color="auto"/>
            <w:right w:val="none" w:sz="0" w:space="0" w:color="auto"/>
          </w:divBdr>
          <w:divsChild>
            <w:div w:id="1776828393">
              <w:marLeft w:val="0"/>
              <w:marRight w:val="0"/>
              <w:marTop w:val="0"/>
              <w:marBottom w:val="0"/>
              <w:divBdr>
                <w:top w:val="none" w:sz="0" w:space="0" w:color="auto"/>
                <w:left w:val="none" w:sz="0" w:space="0" w:color="auto"/>
                <w:bottom w:val="none" w:sz="0" w:space="0" w:color="auto"/>
                <w:right w:val="none" w:sz="0" w:space="0" w:color="auto"/>
              </w:divBdr>
              <w:divsChild>
                <w:div w:id="538325885">
                  <w:marLeft w:val="0"/>
                  <w:marRight w:val="0"/>
                  <w:marTop w:val="0"/>
                  <w:marBottom w:val="0"/>
                  <w:divBdr>
                    <w:top w:val="none" w:sz="0" w:space="0" w:color="auto"/>
                    <w:left w:val="none" w:sz="0" w:space="0" w:color="auto"/>
                    <w:bottom w:val="none" w:sz="0" w:space="0" w:color="auto"/>
                    <w:right w:val="none" w:sz="0" w:space="0" w:color="auto"/>
                  </w:divBdr>
                  <w:divsChild>
                    <w:div w:id="271059776">
                      <w:marLeft w:val="0"/>
                      <w:marRight w:val="0"/>
                      <w:marTop w:val="0"/>
                      <w:marBottom w:val="0"/>
                      <w:divBdr>
                        <w:top w:val="none" w:sz="0" w:space="0" w:color="auto"/>
                        <w:left w:val="none" w:sz="0" w:space="0" w:color="auto"/>
                        <w:bottom w:val="none" w:sz="0" w:space="0" w:color="auto"/>
                        <w:right w:val="none" w:sz="0" w:space="0" w:color="auto"/>
                      </w:divBdr>
                      <w:divsChild>
                        <w:div w:id="1980837882">
                          <w:marLeft w:val="0"/>
                          <w:marRight w:val="0"/>
                          <w:marTop w:val="0"/>
                          <w:marBottom w:val="0"/>
                          <w:divBdr>
                            <w:top w:val="none" w:sz="0" w:space="0" w:color="auto"/>
                            <w:left w:val="none" w:sz="0" w:space="0" w:color="auto"/>
                            <w:bottom w:val="none" w:sz="0" w:space="0" w:color="auto"/>
                            <w:right w:val="none" w:sz="0" w:space="0" w:color="auto"/>
                          </w:divBdr>
                          <w:divsChild>
                            <w:div w:id="1447113181">
                              <w:marLeft w:val="0"/>
                              <w:marRight w:val="0"/>
                              <w:marTop w:val="0"/>
                              <w:marBottom w:val="0"/>
                              <w:divBdr>
                                <w:top w:val="none" w:sz="0" w:space="0" w:color="auto"/>
                                <w:left w:val="none" w:sz="0" w:space="0" w:color="auto"/>
                                <w:bottom w:val="none" w:sz="0" w:space="0" w:color="auto"/>
                                <w:right w:val="none" w:sz="0" w:space="0" w:color="auto"/>
                              </w:divBdr>
                              <w:divsChild>
                                <w:div w:id="19931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203903">
      <w:bodyDiv w:val="1"/>
      <w:marLeft w:val="0"/>
      <w:marRight w:val="0"/>
      <w:marTop w:val="0"/>
      <w:marBottom w:val="0"/>
      <w:divBdr>
        <w:top w:val="none" w:sz="0" w:space="0" w:color="auto"/>
        <w:left w:val="none" w:sz="0" w:space="0" w:color="auto"/>
        <w:bottom w:val="none" w:sz="0" w:space="0" w:color="auto"/>
        <w:right w:val="none" w:sz="0" w:space="0" w:color="auto"/>
      </w:divBdr>
    </w:div>
    <w:div w:id="1415663607">
      <w:bodyDiv w:val="1"/>
      <w:marLeft w:val="0"/>
      <w:marRight w:val="0"/>
      <w:marTop w:val="0"/>
      <w:marBottom w:val="0"/>
      <w:divBdr>
        <w:top w:val="none" w:sz="0" w:space="0" w:color="auto"/>
        <w:left w:val="none" w:sz="0" w:space="0" w:color="auto"/>
        <w:bottom w:val="none" w:sz="0" w:space="0" w:color="auto"/>
        <w:right w:val="none" w:sz="0" w:space="0" w:color="auto"/>
      </w:divBdr>
    </w:div>
    <w:div w:id="1429421957">
      <w:bodyDiv w:val="1"/>
      <w:marLeft w:val="0"/>
      <w:marRight w:val="0"/>
      <w:marTop w:val="0"/>
      <w:marBottom w:val="0"/>
      <w:divBdr>
        <w:top w:val="none" w:sz="0" w:space="0" w:color="auto"/>
        <w:left w:val="none" w:sz="0" w:space="0" w:color="auto"/>
        <w:bottom w:val="none" w:sz="0" w:space="0" w:color="auto"/>
        <w:right w:val="none" w:sz="0" w:space="0" w:color="auto"/>
      </w:divBdr>
    </w:div>
    <w:div w:id="1453399279">
      <w:bodyDiv w:val="1"/>
      <w:marLeft w:val="0"/>
      <w:marRight w:val="0"/>
      <w:marTop w:val="0"/>
      <w:marBottom w:val="0"/>
      <w:divBdr>
        <w:top w:val="none" w:sz="0" w:space="0" w:color="auto"/>
        <w:left w:val="none" w:sz="0" w:space="0" w:color="auto"/>
        <w:bottom w:val="none" w:sz="0" w:space="0" w:color="auto"/>
        <w:right w:val="none" w:sz="0" w:space="0" w:color="auto"/>
      </w:divBdr>
      <w:divsChild>
        <w:div w:id="1810245023">
          <w:marLeft w:val="0"/>
          <w:marRight w:val="0"/>
          <w:marTop w:val="0"/>
          <w:marBottom w:val="0"/>
          <w:divBdr>
            <w:top w:val="none" w:sz="0" w:space="0" w:color="auto"/>
            <w:left w:val="none" w:sz="0" w:space="0" w:color="auto"/>
            <w:bottom w:val="none" w:sz="0" w:space="0" w:color="auto"/>
            <w:right w:val="none" w:sz="0" w:space="0" w:color="auto"/>
          </w:divBdr>
          <w:divsChild>
            <w:div w:id="1699162424">
              <w:marLeft w:val="0"/>
              <w:marRight w:val="0"/>
              <w:marTop w:val="0"/>
              <w:marBottom w:val="0"/>
              <w:divBdr>
                <w:top w:val="none" w:sz="0" w:space="0" w:color="auto"/>
                <w:left w:val="none" w:sz="0" w:space="0" w:color="auto"/>
                <w:bottom w:val="none" w:sz="0" w:space="0" w:color="auto"/>
                <w:right w:val="none" w:sz="0" w:space="0" w:color="auto"/>
              </w:divBdr>
              <w:divsChild>
                <w:div w:id="769007434">
                  <w:marLeft w:val="0"/>
                  <w:marRight w:val="0"/>
                  <w:marTop w:val="0"/>
                  <w:marBottom w:val="0"/>
                  <w:divBdr>
                    <w:top w:val="none" w:sz="0" w:space="0" w:color="auto"/>
                    <w:left w:val="none" w:sz="0" w:space="0" w:color="auto"/>
                    <w:bottom w:val="none" w:sz="0" w:space="0" w:color="auto"/>
                    <w:right w:val="none" w:sz="0" w:space="0" w:color="auto"/>
                  </w:divBdr>
                  <w:divsChild>
                    <w:div w:id="845485862">
                      <w:marLeft w:val="0"/>
                      <w:marRight w:val="0"/>
                      <w:marTop w:val="0"/>
                      <w:marBottom w:val="0"/>
                      <w:divBdr>
                        <w:top w:val="none" w:sz="0" w:space="0" w:color="auto"/>
                        <w:left w:val="none" w:sz="0" w:space="0" w:color="auto"/>
                        <w:bottom w:val="none" w:sz="0" w:space="0" w:color="auto"/>
                        <w:right w:val="none" w:sz="0" w:space="0" w:color="auto"/>
                      </w:divBdr>
                      <w:divsChild>
                        <w:div w:id="1464495456">
                          <w:marLeft w:val="0"/>
                          <w:marRight w:val="0"/>
                          <w:marTop w:val="0"/>
                          <w:marBottom w:val="0"/>
                          <w:divBdr>
                            <w:top w:val="none" w:sz="0" w:space="0" w:color="auto"/>
                            <w:left w:val="none" w:sz="0" w:space="0" w:color="auto"/>
                            <w:bottom w:val="none" w:sz="0" w:space="0" w:color="auto"/>
                            <w:right w:val="none" w:sz="0" w:space="0" w:color="auto"/>
                          </w:divBdr>
                          <w:divsChild>
                            <w:div w:id="1714647464">
                              <w:marLeft w:val="0"/>
                              <w:marRight w:val="0"/>
                              <w:marTop w:val="0"/>
                              <w:marBottom w:val="0"/>
                              <w:divBdr>
                                <w:top w:val="none" w:sz="0" w:space="0" w:color="auto"/>
                                <w:left w:val="none" w:sz="0" w:space="0" w:color="auto"/>
                                <w:bottom w:val="none" w:sz="0" w:space="0" w:color="auto"/>
                                <w:right w:val="none" w:sz="0" w:space="0" w:color="auto"/>
                              </w:divBdr>
                              <w:divsChild>
                                <w:div w:id="1008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81715">
      <w:bodyDiv w:val="1"/>
      <w:marLeft w:val="0"/>
      <w:marRight w:val="0"/>
      <w:marTop w:val="0"/>
      <w:marBottom w:val="0"/>
      <w:divBdr>
        <w:top w:val="none" w:sz="0" w:space="0" w:color="auto"/>
        <w:left w:val="none" w:sz="0" w:space="0" w:color="auto"/>
        <w:bottom w:val="none" w:sz="0" w:space="0" w:color="auto"/>
        <w:right w:val="none" w:sz="0" w:space="0" w:color="auto"/>
      </w:divBdr>
    </w:div>
    <w:div w:id="1467549339">
      <w:bodyDiv w:val="1"/>
      <w:marLeft w:val="0"/>
      <w:marRight w:val="0"/>
      <w:marTop w:val="0"/>
      <w:marBottom w:val="0"/>
      <w:divBdr>
        <w:top w:val="none" w:sz="0" w:space="0" w:color="auto"/>
        <w:left w:val="none" w:sz="0" w:space="0" w:color="auto"/>
        <w:bottom w:val="none" w:sz="0" w:space="0" w:color="auto"/>
        <w:right w:val="none" w:sz="0" w:space="0" w:color="auto"/>
      </w:divBdr>
    </w:div>
    <w:div w:id="1530680731">
      <w:bodyDiv w:val="1"/>
      <w:marLeft w:val="0"/>
      <w:marRight w:val="0"/>
      <w:marTop w:val="0"/>
      <w:marBottom w:val="0"/>
      <w:divBdr>
        <w:top w:val="none" w:sz="0" w:space="0" w:color="auto"/>
        <w:left w:val="none" w:sz="0" w:space="0" w:color="auto"/>
        <w:bottom w:val="none" w:sz="0" w:space="0" w:color="auto"/>
        <w:right w:val="none" w:sz="0" w:space="0" w:color="auto"/>
      </w:divBdr>
    </w:div>
    <w:div w:id="1554123574">
      <w:bodyDiv w:val="1"/>
      <w:marLeft w:val="0"/>
      <w:marRight w:val="0"/>
      <w:marTop w:val="0"/>
      <w:marBottom w:val="0"/>
      <w:divBdr>
        <w:top w:val="none" w:sz="0" w:space="0" w:color="auto"/>
        <w:left w:val="none" w:sz="0" w:space="0" w:color="auto"/>
        <w:bottom w:val="none" w:sz="0" w:space="0" w:color="auto"/>
        <w:right w:val="none" w:sz="0" w:space="0" w:color="auto"/>
      </w:divBdr>
    </w:div>
    <w:div w:id="1569995989">
      <w:bodyDiv w:val="1"/>
      <w:marLeft w:val="0"/>
      <w:marRight w:val="0"/>
      <w:marTop w:val="0"/>
      <w:marBottom w:val="0"/>
      <w:divBdr>
        <w:top w:val="none" w:sz="0" w:space="0" w:color="auto"/>
        <w:left w:val="none" w:sz="0" w:space="0" w:color="auto"/>
        <w:bottom w:val="none" w:sz="0" w:space="0" w:color="auto"/>
        <w:right w:val="none" w:sz="0" w:space="0" w:color="auto"/>
      </w:divBdr>
    </w:div>
    <w:div w:id="1603102231">
      <w:bodyDiv w:val="1"/>
      <w:marLeft w:val="0"/>
      <w:marRight w:val="0"/>
      <w:marTop w:val="0"/>
      <w:marBottom w:val="0"/>
      <w:divBdr>
        <w:top w:val="none" w:sz="0" w:space="0" w:color="auto"/>
        <w:left w:val="none" w:sz="0" w:space="0" w:color="auto"/>
        <w:bottom w:val="none" w:sz="0" w:space="0" w:color="auto"/>
        <w:right w:val="none" w:sz="0" w:space="0" w:color="auto"/>
      </w:divBdr>
      <w:divsChild>
        <w:div w:id="30352165">
          <w:marLeft w:val="0"/>
          <w:marRight w:val="0"/>
          <w:marTop w:val="0"/>
          <w:marBottom w:val="0"/>
          <w:divBdr>
            <w:top w:val="none" w:sz="0" w:space="0" w:color="auto"/>
            <w:left w:val="none" w:sz="0" w:space="0" w:color="auto"/>
            <w:bottom w:val="none" w:sz="0" w:space="0" w:color="auto"/>
            <w:right w:val="none" w:sz="0" w:space="0" w:color="auto"/>
          </w:divBdr>
        </w:div>
        <w:div w:id="145900330">
          <w:marLeft w:val="0"/>
          <w:marRight w:val="0"/>
          <w:marTop w:val="0"/>
          <w:marBottom w:val="0"/>
          <w:divBdr>
            <w:top w:val="none" w:sz="0" w:space="0" w:color="auto"/>
            <w:left w:val="none" w:sz="0" w:space="0" w:color="auto"/>
            <w:bottom w:val="none" w:sz="0" w:space="0" w:color="auto"/>
            <w:right w:val="none" w:sz="0" w:space="0" w:color="auto"/>
          </w:divBdr>
        </w:div>
        <w:div w:id="378089035">
          <w:marLeft w:val="0"/>
          <w:marRight w:val="0"/>
          <w:marTop w:val="0"/>
          <w:marBottom w:val="0"/>
          <w:divBdr>
            <w:top w:val="none" w:sz="0" w:space="0" w:color="auto"/>
            <w:left w:val="none" w:sz="0" w:space="0" w:color="auto"/>
            <w:bottom w:val="none" w:sz="0" w:space="0" w:color="auto"/>
            <w:right w:val="none" w:sz="0" w:space="0" w:color="auto"/>
          </w:divBdr>
        </w:div>
        <w:div w:id="659387991">
          <w:marLeft w:val="0"/>
          <w:marRight w:val="0"/>
          <w:marTop w:val="0"/>
          <w:marBottom w:val="0"/>
          <w:divBdr>
            <w:top w:val="none" w:sz="0" w:space="0" w:color="auto"/>
            <w:left w:val="none" w:sz="0" w:space="0" w:color="auto"/>
            <w:bottom w:val="none" w:sz="0" w:space="0" w:color="auto"/>
            <w:right w:val="none" w:sz="0" w:space="0" w:color="auto"/>
          </w:divBdr>
        </w:div>
        <w:div w:id="768504502">
          <w:marLeft w:val="0"/>
          <w:marRight w:val="0"/>
          <w:marTop w:val="0"/>
          <w:marBottom w:val="0"/>
          <w:divBdr>
            <w:top w:val="none" w:sz="0" w:space="0" w:color="auto"/>
            <w:left w:val="none" w:sz="0" w:space="0" w:color="auto"/>
            <w:bottom w:val="none" w:sz="0" w:space="0" w:color="auto"/>
            <w:right w:val="none" w:sz="0" w:space="0" w:color="auto"/>
          </w:divBdr>
        </w:div>
        <w:div w:id="1583880504">
          <w:marLeft w:val="0"/>
          <w:marRight w:val="0"/>
          <w:marTop w:val="0"/>
          <w:marBottom w:val="0"/>
          <w:divBdr>
            <w:top w:val="none" w:sz="0" w:space="0" w:color="auto"/>
            <w:left w:val="none" w:sz="0" w:space="0" w:color="auto"/>
            <w:bottom w:val="none" w:sz="0" w:space="0" w:color="auto"/>
            <w:right w:val="none" w:sz="0" w:space="0" w:color="auto"/>
          </w:divBdr>
        </w:div>
        <w:div w:id="1696693477">
          <w:marLeft w:val="0"/>
          <w:marRight w:val="0"/>
          <w:marTop w:val="0"/>
          <w:marBottom w:val="0"/>
          <w:divBdr>
            <w:top w:val="none" w:sz="0" w:space="0" w:color="auto"/>
            <w:left w:val="none" w:sz="0" w:space="0" w:color="auto"/>
            <w:bottom w:val="none" w:sz="0" w:space="0" w:color="auto"/>
            <w:right w:val="none" w:sz="0" w:space="0" w:color="auto"/>
          </w:divBdr>
        </w:div>
        <w:div w:id="1894535505">
          <w:marLeft w:val="0"/>
          <w:marRight w:val="0"/>
          <w:marTop w:val="0"/>
          <w:marBottom w:val="0"/>
          <w:divBdr>
            <w:top w:val="none" w:sz="0" w:space="0" w:color="auto"/>
            <w:left w:val="none" w:sz="0" w:space="0" w:color="auto"/>
            <w:bottom w:val="none" w:sz="0" w:space="0" w:color="auto"/>
            <w:right w:val="none" w:sz="0" w:space="0" w:color="auto"/>
          </w:divBdr>
        </w:div>
        <w:div w:id="1924604936">
          <w:marLeft w:val="0"/>
          <w:marRight w:val="0"/>
          <w:marTop w:val="0"/>
          <w:marBottom w:val="0"/>
          <w:divBdr>
            <w:top w:val="none" w:sz="0" w:space="0" w:color="auto"/>
            <w:left w:val="none" w:sz="0" w:space="0" w:color="auto"/>
            <w:bottom w:val="none" w:sz="0" w:space="0" w:color="auto"/>
            <w:right w:val="none" w:sz="0" w:space="0" w:color="auto"/>
          </w:divBdr>
        </w:div>
        <w:div w:id="2008438649">
          <w:marLeft w:val="0"/>
          <w:marRight w:val="0"/>
          <w:marTop w:val="0"/>
          <w:marBottom w:val="0"/>
          <w:divBdr>
            <w:top w:val="none" w:sz="0" w:space="0" w:color="auto"/>
            <w:left w:val="none" w:sz="0" w:space="0" w:color="auto"/>
            <w:bottom w:val="none" w:sz="0" w:space="0" w:color="auto"/>
            <w:right w:val="none" w:sz="0" w:space="0" w:color="auto"/>
          </w:divBdr>
        </w:div>
      </w:divsChild>
    </w:div>
    <w:div w:id="1704088362">
      <w:bodyDiv w:val="1"/>
      <w:marLeft w:val="0"/>
      <w:marRight w:val="0"/>
      <w:marTop w:val="0"/>
      <w:marBottom w:val="0"/>
      <w:divBdr>
        <w:top w:val="none" w:sz="0" w:space="0" w:color="auto"/>
        <w:left w:val="none" w:sz="0" w:space="0" w:color="auto"/>
        <w:bottom w:val="none" w:sz="0" w:space="0" w:color="auto"/>
        <w:right w:val="none" w:sz="0" w:space="0" w:color="auto"/>
      </w:divBdr>
    </w:div>
    <w:div w:id="1707484210">
      <w:bodyDiv w:val="1"/>
      <w:marLeft w:val="0"/>
      <w:marRight w:val="0"/>
      <w:marTop w:val="0"/>
      <w:marBottom w:val="0"/>
      <w:divBdr>
        <w:top w:val="none" w:sz="0" w:space="0" w:color="auto"/>
        <w:left w:val="none" w:sz="0" w:space="0" w:color="auto"/>
        <w:bottom w:val="none" w:sz="0" w:space="0" w:color="auto"/>
        <w:right w:val="none" w:sz="0" w:space="0" w:color="auto"/>
      </w:divBdr>
    </w:div>
    <w:div w:id="1772969603">
      <w:bodyDiv w:val="1"/>
      <w:marLeft w:val="0"/>
      <w:marRight w:val="0"/>
      <w:marTop w:val="0"/>
      <w:marBottom w:val="0"/>
      <w:divBdr>
        <w:top w:val="none" w:sz="0" w:space="0" w:color="auto"/>
        <w:left w:val="none" w:sz="0" w:space="0" w:color="auto"/>
        <w:bottom w:val="none" w:sz="0" w:space="0" w:color="auto"/>
        <w:right w:val="none" w:sz="0" w:space="0" w:color="auto"/>
      </w:divBdr>
    </w:div>
    <w:div w:id="1796369958">
      <w:bodyDiv w:val="1"/>
      <w:marLeft w:val="0"/>
      <w:marRight w:val="0"/>
      <w:marTop w:val="0"/>
      <w:marBottom w:val="0"/>
      <w:divBdr>
        <w:top w:val="none" w:sz="0" w:space="0" w:color="auto"/>
        <w:left w:val="none" w:sz="0" w:space="0" w:color="auto"/>
        <w:bottom w:val="none" w:sz="0" w:space="0" w:color="auto"/>
        <w:right w:val="none" w:sz="0" w:space="0" w:color="auto"/>
      </w:divBdr>
    </w:div>
    <w:div w:id="1796870724">
      <w:bodyDiv w:val="1"/>
      <w:marLeft w:val="0"/>
      <w:marRight w:val="0"/>
      <w:marTop w:val="0"/>
      <w:marBottom w:val="0"/>
      <w:divBdr>
        <w:top w:val="none" w:sz="0" w:space="0" w:color="auto"/>
        <w:left w:val="none" w:sz="0" w:space="0" w:color="auto"/>
        <w:bottom w:val="none" w:sz="0" w:space="0" w:color="auto"/>
        <w:right w:val="none" w:sz="0" w:space="0" w:color="auto"/>
      </w:divBdr>
      <w:divsChild>
        <w:div w:id="878782529">
          <w:marLeft w:val="0"/>
          <w:marRight w:val="0"/>
          <w:marTop w:val="0"/>
          <w:marBottom w:val="0"/>
          <w:divBdr>
            <w:top w:val="none" w:sz="0" w:space="0" w:color="auto"/>
            <w:left w:val="none" w:sz="0" w:space="0" w:color="auto"/>
            <w:bottom w:val="none" w:sz="0" w:space="0" w:color="auto"/>
            <w:right w:val="none" w:sz="0" w:space="0" w:color="auto"/>
          </w:divBdr>
          <w:divsChild>
            <w:div w:id="650255046">
              <w:marLeft w:val="0"/>
              <w:marRight w:val="0"/>
              <w:marTop w:val="0"/>
              <w:marBottom w:val="0"/>
              <w:divBdr>
                <w:top w:val="none" w:sz="0" w:space="0" w:color="auto"/>
                <w:left w:val="none" w:sz="0" w:space="0" w:color="auto"/>
                <w:bottom w:val="none" w:sz="0" w:space="0" w:color="auto"/>
                <w:right w:val="none" w:sz="0" w:space="0" w:color="auto"/>
              </w:divBdr>
              <w:divsChild>
                <w:div w:id="202489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0702">
          <w:marLeft w:val="0"/>
          <w:marRight w:val="0"/>
          <w:marTop w:val="0"/>
          <w:marBottom w:val="0"/>
          <w:divBdr>
            <w:top w:val="none" w:sz="0" w:space="0" w:color="auto"/>
            <w:left w:val="none" w:sz="0" w:space="0" w:color="auto"/>
            <w:bottom w:val="none" w:sz="0" w:space="0" w:color="auto"/>
            <w:right w:val="none" w:sz="0" w:space="0" w:color="auto"/>
          </w:divBdr>
          <w:divsChild>
            <w:div w:id="927419413">
              <w:marLeft w:val="0"/>
              <w:marRight w:val="0"/>
              <w:marTop w:val="0"/>
              <w:marBottom w:val="0"/>
              <w:divBdr>
                <w:top w:val="none" w:sz="0" w:space="0" w:color="auto"/>
                <w:left w:val="none" w:sz="0" w:space="0" w:color="auto"/>
                <w:bottom w:val="none" w:sz="0" w:space="0" w:color="auto"/>
                <w:right w:val="none" w:sz="0" w:space="0" w:color="auto"/>
              </w:divBdr>
              <w:divsChild>
                <w:div w:id="728071969">
                  <w:marLeft w:val="0"/>
                  <w:marRight w:val="0"/>
                  <w:marTop w:val="0"/>
                  <w:marBottom w:val="0"/>
                  <w:divBdr>
                    <w:top w:val="none" w:sz="0" w:space="0" w:color="auto"/>
                    <w:left w:val="none" w:sz="0" w:space="0" w:color="auto"/>
                    <w:bottom w:val="none" w:sz="0" w:space="0" w:color="auto"/>
                    <w:right w:val="none" w:sz="0" w:space="0" w:color="auto"/>
                  </w:divBdr>
                  <w:divsChild>
                    <w:div w:id="267085634">
                      <w:marLeft w:val="0"/>
                      <w:marRight w:val="0"/>
                      <w:marTop w:val="0"/>
                      <w:marBottom w:val="0"/>
                      <w:divBdr>
                        <w:top w:val="none" w:sz="0" w:space="0" w:color="auto"/>
                        <w:left w:val="none" w:sz="0" w:space="0" w:color="auto"/>
                        <w:bottom w:val="none" w:sz="0" w:space="0" w:color="auto"/>
                        <w:right w:val="none" w:sz="0" w:space="0" w:color="auto"/>
                      </w:divBdr>
                    </w:div>
                    <w:div w:id="203503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4174">
          <w:marLeft w:val="0"/>
          <w:marRight w:val="0"/>
          <w:marTop w:val="0"/>
          <w:marBottom w:val="0"/>
          <w:divBdr>
            <w:top w:val="none" w:sz="0" w:space="0" w:color="auto"/>
            <w:left w:val="none" w:sz="0" w:space="0" w:color="auto"/>
            <w:bottom w:val="none" w:sz="0" w:space="0" w:color="auto"/>
            <w:right w:val="none" w:sz="0" w:space="0" w:color="auto"/>
          </w:divBdr>
          <w:divsChild>
            <w:div w:id="1552645972">
              <w:marLeft w:val="0"/>
              <w:marRight w:val="0"/>
              <w:marTop w:val="0"/>
              <w:marBottom w:val="0"/>
              <w:divBdr>
                <w:top w:val="none" w:sz="0" w:space="0" w:color="auto"/>
                <w:left w:val="none" w:sz="0" w:space="0" w:color="auto"/>
                <w:bottom w:val="none" w:sz="0" w:space="0" w:color="auto"/>
                <w:right w:val="none" w:sz="0" w:space="0" w:color="auto"/>
              </w:divBdr>
              <w:divsChild>
                <w:div w:id="1692563597">
                  <w:marLeft w:val="0"/>
                  <w:marRight w:val="0"/>
                  <w:marTop w:val="0"/>
                  <w:marBottom w:val="0"/>
                  <w:divBdr>
                    <w:top w:val="none" w:sz="0" w:space="0" w:color="auto"/>
                    <w:left w:val="none" w:sz="0" w:space="0" w:color="auto"/>
                    <w:bottom w:val="none" w:sz="0" w:space="0" w:color="auto"/>
                    <w:right w:val="none" w:sz="0" w:space="0" w:color="auto"/>
                  </w:divBdr>
                  <w:divsChild>
                    <w:div w:id="819004769">
                      <w:marLeft w:val="0"/>
                      <w:marRight w:val="0"/>
                      <w:marTop w:val="0"/>
                      <w:marBottom w:val="0"/>
                      <w:divBdr>
                        <w:top w:val="none" w:sz="0" w:space="0" w:color="auto"/>
                        <w:left w:val="none" w:sz="0" w:space="0" w:color="auto"/>
                        <w:bottom w:val="none" w:sz="0" w:space="0" w:color="auto"/>
                        <w:right w:val="none" w:sz="0" w:space="0" w:color="auto"/>
                      </w:divBdr>
                      <w:divsChild>
                        <w:div w:id="1755786604">
                          <w:marLeft w:val="0"/>
                          <w:marRight w:val="0"/>
                          <w:marTop w:val="0"/>
                          <w:marBottom w:val="0"/>
                          <w:divBdr>
                            <w:top w:val="none" w:sz="0" w:space="0" w:color="auto"/>
                            <w:left w:val="none" w:sz="0" w:space="0" w:color="auto"/>
                            <w:bottom w:val="none" w:sz="0" w:space="0" w:color="auto"/>
                            <w:right w:val="none" w:sz="0" w:space="0" w:color="auto"/>
                          </w:divBdr>
                          <w:divsChild>
                            <w:div w:id="1572502569">
                              <w:marLeft w:val="0"/>
                              <w:marRight w:val="0"/>
                              <w:marTop w:val="0"/>
                              <w:marBottom w:val="0"/>
                              <w:divBdr>
                                <w:top w:val="none" w:sz="0" w:space="0" w:color="auto"/>
                                <w:left w:val="none" w:sz="0" w:space="0" w:color="auto"/>
                                <w:bottom w:val="none" w:sz="0" w:space="0" w:color="auto"/>
                                <w:right w:val="none" w:sz="0" w:space="0" w:color="auto"/>
                              </w:divBdr>
                              <w:divsChild>
                                <w:div w:id="493837959">
                                  <w:marLeft w:val="0"/>
                                  <w:marRight w:val="0"/>
                                  <w:marTop w:val="0"/>
                                  <w:marBottom w:val="0"/>
                                  <w:divBdr>
                                    <w:top w:val="none" w:sz="0" w:space="0" w:color="auto"/>
                                    <w:left w:val="none" w:sz="0" w:space="0" w:color="auto"/>
                                    <w:bottom w:val="none" w:sz="0" w:space="0" w:color="auto"/>
                                    <w:right w:val="none" w:sz="0" w:space="0" w:color="auto"/>
                                  </w:divBdr>
                                </w:div>
                                <w:div w:id="1351222185">
                                  <w:marLeft w:val="0"/>
                                  <w:marRight w:val="0"/>
                                  <w:marTop w:val="0"/>
                                  <w:marBottom w:val="0"/>
                                  <w:divBdr>
                                    <w:top w:val="none" w:sz="0" w:space="0" w:color="auto"/>
                                    <w:left w:val="none" w:sz="0" w:space="0" w:color="auto"/>
                                    <w:bottom w:val="none" w:sz="0" w:space="0" w:color="auto"/>
                                    <w:right w:val="none" w:sz="0" w:space="0" w:color="auto"/>
                                  </w:divBdr>
                                  <w:divsChild>
                                    <w:div w:id="444883790">
                                      <w:marLeft w:val="0"/>
                                      <w:marRight w:val="0"/>
                                      <w:marTop w:val="0"/>
                                      <w:marBottom w:val="0"/>
                                      <w:divBdr>
                                        <w:top w:val="none" w:sz="0" w:space="0" w:color="auto"/>
                                        <w:left w:val="none" w:sz="0" w:space="0" w:color="auto"/>
                                        <w:bottom w:val="none" w:sz="0" w:space="0" w:color="auto"/>
                                        <w:right w:val="none" w:sz="0" w:space="0" w:color="auto"/>
                                      </w:divBdr>
                                    </w:div>
                                    <w:div w:id="1933929574">
                                      <w:marLeft w:val="0"/>
                                      <w:marRight w:val="0"/>
                                      <w:marTop w:val="0"/>
                                      <w:marBottom w:val="0"/>
                                      <w:divBdr>
                                        <w:top w:val="none" w:sz="0" w:space="0" w:color="auto"/>
                                        <w:left w:val="none" w:sz="0" w:space="0" w:color="auto"/>
                                        <w:bottom w:val="none" w:sz="0" w:space="0" w:color="auto"/>
                                        <w:right w:val="none" w:sz="0" w:space="0" w:color="auto"/>
                                      </w:divBdr>
                                    </w:div>
                                    <w:div w:id="2120829553">
                                      <w:marLeft w:val="0"/>
                                      <w:marRight w:val="0"/>
                                      <w:marTop w:val="0"/>
                                      <w:marBottom w:val="0"/>
                                      <w:divBdr>
                                        <w:top w:val="none" w:sz="0" w:space="0" w:color="auto"/>
                                        <w:left w:val="none" w:sz="0" w:space="0" w:color="auto"/>
                                        <w:bottom w:val="none" w:sz="0" w:space="0" w:color="auto"/>
                                        <w:right w:val="none" w:sz="0" w:space="0" w:color="auto"/>
                                      </w:divBdr>
                                    </w:div>
                                  </w:divsChild>
                                </w:div>
                                <w:div w:id="1442604832">
                                  <w:marLeft w:val="0"/>
                                  <w:marRight w:val="0"/>
                                  <w:marTop w:val="0"/>
                                  <w:marBottom w:val="0"/>
                                  <w:divBdr>
                                    <w:top w:val="none" w:sz="0" w:space="0" w:color="auto"/>
                                    <w:left w:val="none" w:sz="0" w:space="0" w:color="auto"/>
                                    <w:bottom w:val="none" w:sz="0" w:space="0" w:color="auto"/>
                                    <w:right w:val="none" w:sz="0" w:space="0" w:color="auto"/>
                                  </w:divBdr>
                                </w:div>
                                <w:div w:id="1755010480">
                                  <w:marLeft w:val="0"/>
                                  <w:marRight w:val="0"/>
                                  <w:marTop w:val="0"/>
                                  <w:marBottom w:val="0"/>
                                  <w:divBdr>
                                    <w:top w:val="none" w:sz="0" w:space="0" w:color="auto"/>
                                    <w:left w:val="none" w:sz="0" w:space="0" w:color="auto"/>
                                    <w:bottom w:val="none" w:sz="0" w:space="0" w:color="auto"/>
                                    <w:right w:val="none" w:sz="0" w:space="0" w:color="auto"/>
                                  </w:divBdr>
                                  <w:divsChild>
                                    <w:div w:id="16247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993564">
                      <w:marLeft w:val="0"/>
                      <w:marRight w:val="0"/>
                      <w:marTop w:val="0"/>
                      <w:marBottom w:val="0"/>
                      <w:divBdr>
                        <w:top w:val="none" w:sz="0" w:space="0" w:color="auto"/>
                        <w:left w:val="none" w:sz="0" w:space="0" w:color="auto"/>
                        <w:bottom w:val="none" w:sz="0" w:space="0" w:color="auto"/>
                        <w:right w:val="none" w:sz="0" w:space="0" w:color="auto"/>
                      </w:divBdr>
                      <w:divsChild>
                        <w:div w:id="588544327">
                          <w:marLeft w:val="0"/>
                          <w:marRight w:val="0"/>
                          <w:marTop w:val="0"/>
                          <w:marBottom w:val="0"/>
                          <w:divBdr>
                            <w:top w:val="none" w:sz="0" w:space="0" w:color="auto"/>
                            <w:left w:val="none" w:sz="0" w:space="0" w:color="auto"/>
                            <w:bottom w:val="none" w:sz="0" w:space="0" w:color="auto"/>
                            <w:right w:val="none" w:sz="0" w:space="0" w:color="auto"/>
                          </w:divBdr>
                          <w:divsChild>
                            <w:div w:id="511648391">
                              <w:marLeft w:val="0"/>
                              <w:marRight w:val="0"/>
                              <w:marTop w:val="0"/>
                              <w:marBottom w:val="0"/>
                              <w:divBdr>
                                <w:top w:val="none" w:sz="0" w:space="0" w:color="auto"/>
                                <w:left w:val="none" w:sz="0" w:space="0" w:color="auto"/>
                                <w:bottom w:val="none" w:sz="0" w:space="0" w:color="auto"/>
                                <w:right w:val="none" w:sz="0" w:space="0" w:color="auto"/>
                              </w:divBdr>
                              <w:divsChild>
                                <w:div w:id="1210193759">
                                  <w:marLeft w:val="0"/>
                                  <w:marRight w:val="0"/>
                                  <w:marTop w:val="0"/>
                                  <w:marBottom w:val="0"/>
                                  <w:divBdr>
                                    <w:top w:val="none" w:sz="0" w:space="0" w:color="auto"/>
                                    <w:left w:val="none" w:sz="0" w:space="0" w:color="auto"/>
                                    <w:bottom w:val="none" w:sz="0" w:space="0" w:color="auto"/>
                                    <w:right w:val="none" w:sz="0" w:space="0" w:color="auto"/>
                                  </w:divBdr>
                                  <w:divsChild>
                                    <w:div w:id="1614288619">
                                      <w:marLeft w:val="0"/>
                                      <w:marRight w:val="0"/>
                                      <w:marTop w:val="0"/>
                                      <w:marBottom w:val="0"/>
                                      <w:divBdr>
                                        <w:top w:val="none" w:sz="0" w:space="0" w:color="auto"/>
                                        <w:left w:val="none" w:sz="0" w:space="0" w:color="auto"/>
                                        <w:bottom w:val="none" w:sz="0" w:space="0" w:color="auto"/>
                                        <w:right w:val="none" w:sz="0" w:space="0" w:color="auto"/>
                                      </w:divBdr>
                                      <w:divsChild>
                                        <w:div w:id="1011221443">
                                          <w:marLeft w:val="0"/>
                                          <w:marRight w:val="0"/>
                                          <w:marTop w:val="0"/>
                                          <w:marBottom w:val="0"/>
                                          <w:divBdr>
                                            <w:top w:val="none" w:sz="0" w:space="0" w:color="auto"/>
                                            <w:left w:val="none" w:sz="0" w:space="0" w:color="auto"/>
                                            <w:bottom w:val="none" w:sz="0" w:space="0" w:color="auto"/>
                                            <w:right w:val="none" w:sz="0" w:space="0" w:color="auto"/>
                                          </w:divBdr>
                                          <w:divsChild>
                                            <w:div w:id="188491417">
                                              <w:marLeft w:val="0"/>
                                              <w:marRight w:val="0"/>
                                              <w:marTop w:val="0"/>
                                              <w:marBottom w:val="0"/>
                                              <w:divBdr>
                                                <w:top w:val="none" w:sz="0" w:space="0" w:color="auto"/>
                                                <w:left w:val="none" w:sz="0" w:space="0" w:color="auto"/>
                                                <w:bottom w:val="none" w:sz="0" w:space="0" w:color="auto"/>
                                                <w:right w:val="none" w:sz="0" w:space="0" w:color="auto"/>
                                              </w:divBdr>
                                              <w:divsChild>
                                                <w:div w:id="66459481">
                                                  <w:marLeft w:val="0"/>
                                                  <w:marRight w:val="0"/>
                                                  <w:marTop w:val="0"/>
                                                  <w:marBottom w:val="0"/>
                                                  <w:divBdr>
                                                    <w:top w:val="none" w:sz="0" w:space="0" w:color="auto"/>
                                                    <w:left w:val="none" w:sz="0" w:space="0" w:color="auto"/>
                                                    <w:bottom w:val="none" w:sz="0" w:space="0" w:color="auto"/>
                                                    <w:right w:val="none" w:sz="0" w:space="0" w:color="auto"/>
                                                  </w:divBdr>
                                                  <w:divsChild>
                                                    <w:div w:id="1130591507">
                                                      <w:marLeft w:val="0"/>
                                                      <w:marRight w:val="0"/>
                                                      <w:marTop w:val="0"/>
                                                      <w:marBottom w:val="0"/>
                                                      <w:divBdr>
                                                        <w:top w:val="none" w:sz="0" w:space="0" w:color="auto"/>
                                                        <w:left w:val="none" w:sz="0" w:space="0" w:color="auto"/>
                                                        <w:bottom w:val="none" w:sz="0" w:space="0" w:color="auto"/>
                                                        <w:right w:val="none" w:sz="0" w:space="0" w:color="auto"/>
                                                      </w:divBdr>
                                                      <w:divsChild>
                                                        <w:div w:id="1481845014">
                                                          <w:marLeft w:val="0"/>
                                                          <w:marRight w:val="0"/>
                                                          <w:marTop w:val="0"/>
                                                          <w:marBottom w:val="0"/>
                                                          <w:divBdr>
                                                            <w:top w:val="none" w:sz="0" w:space="0" w:color="auto"/>
                                                            <w:left w:val="none" w:sz="0" w:space="0" w:color="auto"/>
                                                            <w:bottom w:val="none" w:sz="0" w:space="0" w:color="auto"/>
                                                            <w:right w:val="none" w:sz="0" w:space="0" w:color="auto"/>
                                                          </w:divBdr>
                                                          <w:divsChild>
                                                            <w:div w:id="1787239892">
                                                              <w:marLeft w:val="0"/>
                                                              <w:marRight w:val="0"/>
                                                              <w:marTop w:val="0"/>
                                                              <w:marBottom w:val="0"/>
                                                              <w:divBdr>
                                                                <w:top w:val="none" w:sz="0" w:space="0" w:color="auto"/>
                                                                <w:left w:val="none" w:sz="0" w:space="0" w:color="auto"/>
                                                                <w:bottom w:val="none" w:sz="0" w:space="0" w:color="auto"/>
                                                                <w:right w:val="none" w:sz="0" w:space="0" w:color="auto"/>
                                                              </w:divBdr>
                                                              <w:divsChild>
                                                                <w:div w:id="617415276">
                                                                  <w:marLeft w:val="0"/>
                                                                  <w:marRight w:val="0"/>
                                                                  <w:marTop w:val="0"/>
                                                                  <w:marBottom w:val="0"/>
                                                                  <w:divBdr>
                                                                    <w:top w:val="none" w:sz="0" w:space="0" w:color="auto"/>
                                                                    <w:left w:val="none" w:sz="0" w:space="0" w:color="auto"/>
                                                                    <w:bottom w:val="none" w:sz="0" w:space="0" w:color="auto"/>
                                                                    <w:right w:val="none" w:sz="0" w:space="0" w:color="auto"/>
                                                                  </w:divBdr>
                                                                  <w:divsChild>
                                                                    <w:div w:id="410665883">
                                                                      <w:marLeft w:val="0"/>
                                                                      <w:marRight w:val="0"/>
                                                                      <w:marTop w:val="0"/>
                                                                      <w:marBottom w:val="0"/>
                                                                      <w:divBdr>
                                                                        <w:top w:val="none" w:sz="0" w:space="0" w:color="auto"/>
                                                                        <w:left w:val="none" w:sz="0" w:space="0" w:color="auto"/>
                                                                        <w:bottom w:val="none" w:sz="0" w:space="0" w:color="auto"/>
                                                                        <w:right w:val="none" w:sz="0" w:space="0" w:color="auto"/>
                                                                      </w:divBdr>
                                                                      <w:divsChild>
                                                                        <w:div w:id="1785927926">
                                                                          <w:marLeft w:val="0"/>
                                                                          <w:marRight w:val="0"/>
                                                                          <w:marTop w:val="0"/>
                                                                          <w:marBottom w:val="0"/>
                                                                          <w:divBdr>
                                                                            <w:top w:val="none" w:sz="0" w:space="0" w:color="auto"/>
                                                                            <w:left w:val="none" w:sz="0" w:space="0" w:color="auto"/>
                                                                            <w:bottom w:val="none" w:sz="0" w:space="0" w:color="auto"/>
                                                                            <w:right w:val="none" w:sz="0" w:space="0" w:color="auto"/>
                                                                          </w:divBdr>
                                                                          <w:divsChild>
                                                                            <w:div w:id="1448966866">
                                                                              <w:marLeft w:val="0"/>
                                                                              <w:marRight w:val="0"/>
                                                                              <w:marTop w:val="0"/>
                                                                              <w:marBottom w:val="0"/>
                                                                              <w:divBdr>
                                                                                <w:top w:val="none" w:sz="0" w:space="0" w:color="auto"/>
                                                                                <w:left w:val="none" w:sz="0" w:space="0" w:color="auto"/>
                                                                                <w:bottom w:val="none" w:sz="0" w:space="0" w:color="auto"/>
                                                                                <w:right w:val="none" w:sz="0" w:space="0" w:color="auto"/>
                                                                              </w:divBdr>
                                                                              <w:divsChild>
                                                                                <w:div w:id="649870699">
                                                                                  <w:marLeft w:val="0"/>
                                                                                  <w:marRight w:val="0"/>
                                                                                  <w:marTop w:val="0"/>
                                                                                  <w:marBottom w:val="0"/>
                                                                                  <w:divBdr>
                                                                                    <w:top w:val="none" w:sz="0" w:space="0" w:color="auto"/>
                                                                                    <w:left w:val="none" w:sz="0" w:space="0" w:color="auto"/>
                                                                                    <w:bottom w:val="none" w:sz="0" w:space="0" w:color="auto"/>
                                                                                    <w:right w:val="none" w:sz="0" w:space="0" w:color="auto"/>
                                                                                  </w:divBdr>
                                                                                  <w:divsChild>
                                                                                    <w:div w:id="1773084078">
                                                                                      <w:marLeft w:val="0"/>
                                                                                      <w:marRight w:val="0"/>
                                                                                      <w:marTop w:val="0"/>
                                                                                      <w:marBottom w:val="0"/>
                                                                                      <w:divBdr>
                                                                                        <w:top w:val="none" w:sz="0" w:space="0" w:color="auto"/>
                                                                                        <w:left w:val="none" w:sz="0" w:space="0" w:color="auto"/>
                                                                                        <w:bottom w:val="none" w:sz="0" w:space="0" w:color="auto"/>
                                                                                        <w:right w:val="none" w:sz="0" w:space="0" w:color="auto"/>
                                                                                      </w:divBdr>
                                                                                      <w:divsChild>
                                                                                        <w:div w:id="251397830">
                                                                                          <w:marLeft w:val="0"/>
                                                                                          <w:marRight w:val="0"/>
                                                                                          <w:marTop w:val="0"/>
                                                                                          <w:marBottom w:val="0"/>
                                                                                          <w:divBdr>
                                                                                            <w:top w:val="none" w:sz="0" w:space="0" w:color="auto"/>
                                                                                            <w:left w:val="none" w:sz="0" w:space="0" w:color="auto"/>
                                                                                            <w:bottom w:val="none" w:sz="0" w:space="0" w:color="auto"/>
                                                                                            <w:right w:val="none" w:sz="0" w:space="0" w:color="auto"/>
                                                                                          </w:divBdr>
                                                                                          <w:divsChild>
                                                                                            <w:div w:id="404962969">
                                                                                              <w:marLeft w:val="0"/>
                                                                                              <w:marRight w:val="0"/>
                                                                                              <w:marTop w:val="0"/>
                                                                                              <w:marBottom w:val="0"/>
                                                                                              <w:divBdr>
                                                                                                <w:top w:val="none" w:sz="0" w:space="0" w:color="auto"/>
                                                                                                <w:left w:val="none" w:sz="0" w:space="0" w:color="auto"/>
                                                                                                <w:bottom w:val="none" w:sz="0" w:space="0" w:color="auto"/>
                                                                                                <w:right w:val="none" w:sz="0" w:space="0" w:color="auto"/>
                                                                                              </w:divBdr>
                                                                                              <w:divsChild>
                                                                                                <w:div w:id="1182816633">
                                                                                                  <w:marLeft w:val="0"/>
                                                                                                  <w:marRight w:val="0"/>
                                                                                                  <w:marTop w:val="0"/>
                                                                                                  <w:marBottom w:val="0"/>
                                                                                                  <w:divBdr>
                                                                                                    <w:top w:val="none" w:sz="0" w:space="0" w:color="auto"/>
                                                                                                    <w:left w:val="none" w:sz="0" w:space="0" w:color="auto"/>
                                                                                                    <w:bottom w:val="none" w:sz="0" w:space="0" w:color="auto"/>
                                                                                                    <w:right w:val="none" w:sz="0" w:space="0" w:color="auto"/>
                                                                                                  </w:divBdr>
                                                                                                  <w:divsChild>
                                                                                                    <w:div w:id="1576089749">
                                                                                                      <w:marLeft w:val="0"/>
                                                                                                      <w:marRight w:val="0"/>
                                                                                                      <w:marTop w:val="0"/>
                                                                                                      <w:marBottom w:val="0"/>
                                                                                                      <w:divBdr>
                                                                                                        <w:top w:val="none" w:sz="0" w:space="0" w:color="auto"/>
                                                                                                        <w:left w:val="none" w:sz="0" w:space="0" w:color="auto"/>
                                                                                                        <w:bottom w:val="none" w:sz="0" w:space="0" w:color="auto"/>
                                                                                                        <w:right w:val="none" w:sz="0" w:space="0" w:color="auto"/>
                                                                                                      </w:divBdr>
                                                                                                      <w:divsChild>
                                                                                                        <w:div w:id="20990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3830234">
                                                  <w:marLeft w:val="0"/>
                                                  <w:marRight w:val="0"/>
                                                  <w:marTop w:val="0"/>
                                                  <w:marBottom w:val="0"/>
                                                  <w:divBdr>
                                                    <w:top w:val="none" w:sz="0" w:space="0" w:color="auto"/>
                                                    <w:left w:val="none" w:sz="0" w:space="0" w:color="auto"/>
                                                    <w:bottom w:val="none" w:sz="0" w:space="0" w:color="auto"/>
                                                    <w:right w:val="none" w:sz="0" w:space="0" w:color="auto"/>
                                                  </w:divBdr>
                                                  <w:divsChild>
                                                    <w:div w:id="302078037">
                                                      <w:marLeft w:val="0"/>
                                                      <w:marRight w:val="0"/>
                                                      <w:marTop w:val="0"/>
                                                      <w:marBottom w:val="0"/>
                                                      <w:divBdr>
                                                        <w:top w:val="none" w:sz="0" w:space="0" w:color="auto"/>
                                                        <w:left w:val="none" w:sz="0" w:space="0" w:color="auto"/>
                                                        <w:bottom w:val="none" w:sz="0" w:space="0" w:color="auto"/>
                                                        <w:right w:val="none" w:sz="0" w:space="0" w:color="auto"/>
                                                      </w:divBdr>
                                                      <w:divsChild>
                                                        <w:div w:id="1002314264">
                                                          <w:marLeft w:val="0"/>
                                                          <w:marRight w:val="0"/>
                                                          <w:marTop w:val="0"/>
                                                          <w:marBottom w:val="0"/>
                                                          <w:divBdr>
                                                            <w:top w:val="none" w:sz="0" w:space="0" w:color="auto"/>
                                                            <w:left w:val="none" w:sz="0" w:space="0" w:color="auto"/>
                                                            <w:bottom w:val="none" w:sz="0" w:space="0" w:color="auto"/>
                                                            <w:right w:val="none" w:sz="0" w:space="0" w:color="auto"/>
                                                          </w:divBdr>
                                                          <w:divsChild>
                                                            <w:div w:id="1992245074">
                                                              <w:marLeft w:val="0"/>
                                                              <w:marRight w:val="0"/>
                                                              <w:marTop w:val="0"/>
                                                              <w:marBottom w:val="0"/>
                                                              <w:divBdr>
                                                                <w:top w:val="none" w:sz="0" w:space="0" w:color="auto"/>
                                                                <w:left w:val="none" w:sz="0" w:space="0" w:color="auto"/>
                                                                <w:bottom w:val="none" w:sz="0" w:space="0" w:color="auto"/>
                                                                <w:right w:val="none" w:sz="0" w:space="0" w:color="auto"/>
                                                              </w:divBdr>
                                                              <w:divsChild>
                                                                <w:div w:id="1526864404">
                                                                  <w:marLeft w:val="0"/>
                                                                  <w:marRight w:val="0"/>
                                                                  <w:marTop w:val="0"/>
                                                                  <w:marBottom w:val="0"/>
                                                                  <w:divBdr>
                                                                    <w:top w:val="none" w:sz="0" w:space="0" w:color="auto"/>
                                                                    <w:left w:val="none" w:sz="0" w:space="0" w:color="auto"/>
                                                                    <w:bottom w:val="none" w:sz="0" w:space="0" w:color="auto"/>
                                                                    <w:right w:val="none" w:sz="0" w:space="0" w:color="auto"/>
                                                                  </w:divBdr>
                                                                  <w:divsChild>
                                                                    <w:div w:id="291443142">
                                                                      <w:marLeft w:val="0"/>
                                                                      <w:marRight w:val="0"/>
                                                                      <w:marTop w:val="0"/>
                                                                      <w:marBottom w:val="0"/>
                                                                      <w:divBdr>
                                                                        <w:top w:val="none" w:sz="0" w:space="0" w:color="auto"/>
                                                                        <w:left w:val="none" w:sz="0" w:space="0" w:color="auto"/>
                                                                        <w:bottom w:val="none" w:sz="0" w:space="0" w:color="auto"/>
                                                                        <w:right w:val="none" w:sz="0" w:space="0" w:color="auto"/>
                                                                      </w:divBdr>
                                                                      <w:divsChild>
                                                                        <w:div w:id="396980663">
                                                                          <w:marLeft w:val="0"/>
                                                                          <w:marRight w:val="0"/>
                                                                          <w:marTop w:val="0"/>
                                                                          <w:marBottom w:val="0"/>
                                                                          <w:divBdr>
                                                                            <w:top w:val="none" w:sz="0" w:space="0" w:color="auto"/>
                                                                            <w:left w:val="none" w:sz="0" w:space="0" w:color="auto"/>
                                                                            <w:bottom w:val="none" w:sz="0" w:space="0" w:color="auto"/>
                                                                            <w:right w:val="none" w:sz="0" w:space="0" w:color="auto"/>
                                                                          </w:divBdr>
                                                                          <w:divsChild>
                                                                            <w:div w:id="2122801369">
                                                                              <w:marLeft w:val="0"/>
                                                                              <w:marRight w:val="0"/>
                                                                              <w:marTop w:val="0"/>
                                                                              <w:marBottom w:val="0"/>
                                                                              <w:divBdr>
                                                                                <w:top w:val="none" w:sz="0" w:space="0" w:color="auto"/>
                                                                                <w:left w:val="none" w:sz="0" w:space="0" w:color="auto"/>
                                                                                <w:bottom w:val="none" w:sz="0" w:space="0" w:color="auto"/>
                                                                                <w:right w:val="none" w:sz="0" w:space="0" w:color="auto"/>
                                                                              </w:divBdr>
                                                                              <w:divsChild>
                                                                                <w:div w:id="1408111170">
                                                                                  <w:marLeft w:val="0"/>
                                                                                  <w:marRight w:val="0"/>
                                                                                  <w:marTop w:val="0"/>
                                                                                  <w:marBottom w:val="0"/>
                                                                                  <w:divBdr>
                                                                                    <w:top w:val="none" w:sz="0" w:space="0" w:color="auto"/>
                                                                                    <w:left w:val="none" w:sz="0" w:space="0" w:color="auto"/>
                                                                                    <w:bottom w:val="none" w:sz="0" w:space="0" w:color="auto"/>
                                                                                    <w:right w:val="none" w:sz="0" w:space="0" w:color="auto"/>
                                                                                  </w:divBdr>
                                                                                  <w:divsChild>
                                                                                    <w:div w:id="926117044">
                                                                                      <w:marLeft w:val="0"/>
                                                                                      <w:marRight w:val="0"/>
                                                                                      <w:marTop w:val="0"/>
                                                                                      <w:marBottom w:val="0"/>
                                                                                      <w:divBdr>
                                                                                        <w:top w:val="none" w:sz="0" w:space="0" w:color="auto"/>
                                                                                        <w:left w:val="none" w:sz="0" w:space="0" w:color="auto"/>
                                                                                        <w:bottom w:val="none" w:sz="0" w:space="0" w:color="auto"/>
                                                                                        <w:right w:val="none" w:sz="0" w:space="0" w:color="auto"/>
                                                                                      </w:divBdr>
                                                                                      <w:divsChild>
                                                                                        <w:div w:id="1810396003">
                                                                                          <w:marLeft w:val="0"/>
                                                                                          <w:marRight w:val="0"/>
                                                                                          <w:marTop w:val="0"/>
                                                                                          <w:marBottom w:val="0"/>
                                                                                          <w:divBdr>
                                                                                            <w:top w:val="none" w:sz="0" w:space="0" w:color="auto"/>
                                                                                            <w:left w:val="none" w:sz="0" w:space="0" w:color="auto"/>
                                                                                            <w:bottom w:val="none" w:sz="0" w:space="0" w:color="auto"/>
                                                                                            <w:right w:val="none" w:sz="0" w:space="0" w:color="auto"/>
                                                                                          </w:divBdr>
                                                                                          <w:divsChild>
                                                                                            <w:div w:id="41180309">
                                                                                              <w:marLeft w:val="0"/>
                                                                                              <w:marRight w:val="0"/>
                                                                                              <w:marTop w:val="0"/>
                                                                                              <w:marBottom w:val="0"/>
                                                                                              <w:divBdr>
                                                                                                <w:top w:val="none" w:sz="0" w:space="0" w:color="auto"/>
                                                                                                <w:left w:val="none" w:sz="0" w:space="0" w:color="auto"/>
                                                                                                <w:bottom w:val="none" w:sz="0" w:space="0" w:color="auto"/>
                                                                                                <w:right w:val="none" w:sz="0" w:space="0" w:color="auto"/>
                                                                                              </w:divBdr>
                                                                                              <w:divsChild>
                                                                                                <w:div w:id="11092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879373">
      <w:bodyDiv w:val="1"/>
      <w:marLeft w:val="0"/>
      <w:marRight w:val="0"/>
      <w:marTop w:val="0"/>
      <w:marBottom w:val="0"/>
      <w:divBdr>
        <w:top w:val="none" w:sz="0" w:space="0" w:color="auto"/>
        <w:left w:val="none" w:sz="0" w:space="0" w:color="auto"/>
        <w:bottom w:val="none" w:sz="0" w:space="0" w:color="auto"/>
        <w:right w:val="none" w:sz="0" w:space="0" w:color="auto"/>
      </w:divBdr>
      <w:divsChild>
        <w:div w:id="598173469">
          <w:marLeft w:val="0"/>
          <w:marRight w:val="0"/>
          <w:marTop w:val="0"/>
          <w:marBottom w:val="0"/>
          <w:divBdr>
            <w:top w:val="none" w:sz="0" w:space="0" w:color="auto"/>
            <w:left w:val="none" w:sz="0" w:space="0" w:color="auto"/>
            <w:bottom w:val="none" w:sz="0" w:space="0" w:color="auto"/>
            <w:right w:val="none" w:sz="0" w:space="0" w:color="auto"/>
          </w:divBdr>
          <w:divsChild>
            <w:div w:id="807674032">
              <w:marLeft w:val="0"/>
              <w:marRight w:val="0"/>
              <w:marTop w:val="0"/>
              <w:marBottom w:val="0"/>
              <w:divBdr>
                <w:top w:val="none" w:sz="0" w:space="0" w:color="auto"/>
                <w:left w:val="none" w:sz="0" w:space="0" w:color="auto"/>
                <w:bottom w:val="none" w:sz="0" w:space="0" w:color="auto"/>
                <w:right w:val="none" w:sz="0" w:space="0" w:color="auto"/>
              </w:divBdr>
              <w:divsChild>
                <w:div w:id="63139255">
                  <w:marLeft w:val="0"/>
                  <w:marRight w:val="0"/>
                  <w:marTop w:val="0"/>
                  <w:marBottom w:val="0"/>
                  <w:divBdr>
                    <w:top w:val="none" w:sz="0" w:space="0" w:color="auto"/>
                    <w:left w:val="none" w:sz="0" w:space="0" w:color="auto"/>
                    <w:bottom w:val="none" w:sz="0" w:space="0" w:color="auto"/>
                    <w:right w:val="none" w:sz="0" w:space="0" w:color="auto"/>
                  </w:divBdr>
                  <w:divsChild>
                    <w:div w:id="766314513">
                      <w:marLeft w:val="0"/>
                      <w:marRight w:val="0"/>
                      <w:marTop w:val="0"/>
                      <w:marBottom w:val="0"/>
                      <w:divBdr>
                        <w:top w:val="none" w:sz="0" w:space="0" w:color="auto"/>
                        <w:left w:val="none" w:sz="0" w:space="0" w:color="auto"/>
                        <w:bottom w:val="none" w:sz="0" w:space="0" w:color="auto"/>
                        <w:right w:val="none" w:sz="0" w:space="0" w:color="auto"/>
                      </w:divBdr>
                      <w:divsChild>
                        <w:div w:id="1307589847">
                          <w:marLeft w:val="0"/>
                          <w:marRight w:val="0"/>
                          <w:marTop w:val="0"/>
                          <w:marBottom w:val="0"/>
                          <w:divBdr>
                            <w:top w:val="none" w:sz="0" w:space="0" w:color="auto"/>
                            <w:left w:val="none" w:sz="0" w:space="0" w:color="auto"/>
                            <w:bottom w:val="none" w:sz="0" w:space="0" w:color="auto"/>
                            <w:right w:val="none" w:sz="0" w:space="0" w:color="auto"/>
                          </w:divBdr>
                          <w:divsChild>
                            <w:div w:id="1585071825">
                              <w:marLeft w:val="0"/>
                              <w:marRight w:val="0"/>
                              <w:marTop w:val="0"/>
                              <w:marBottom w:val="0"/>
                              <w:divBdr>
                                <w:top w:val="none" w:sz="0" w:space="0" w:color="auto"/>
                                <w:left w:val="none" w:sz="0" w:space="0" w:color="auto"/>
                                <w:bottom w:val="none" w:sz="0" w:space="0" w:color="auto"/>
                                <w:right w:val="none" w:sz="0" w:space="0" w:color="auto"/>
                              </w:divBdr>
                              <w:divsChild>
                                <w:div w:id="128419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141576">
      <w:bodyDiv w:val="1"/>
      <w:marLeft w:val="0"/>
      <w:marRight w:val="0"/>
      <w:marTop w:val="0"/>
      <w:marBottom w:val="0"/>
      <w:divBdr>
        <w:top w:val="none" w:sz="0" w:space="0" w:color="auto"/>
        <w:left w:val="none" w:sz="0" w:space="0" w:color="auto"/>
        <w:bottom w:val="none" w:sz="0" w:space="0" w:color="auto"/>
        <w:right w:val="none" w:sz="0" w:space="0" w:color="auto"/>
      </w:divBdr>
      <w:divsChild>
        <w:div w:id="1971091494">
          <w:marLeft w:val="0"/>
          <w:marRight w:val="0"/>
          <w:marTop w:val="0"/>
          <w:marBottom w:val="0"/>
          <w:divBdr>
            <w:top w:val="none" w:sz="0" w:space="0" w:color="auto"/>
            <w:left w:val="none" w:sz="0" w:space="0" w:color="auto"/>
            <w:bottom w:val="none" w:sz="0" w:space="0" w:color="auto"/>
            <w:right w:val="none" w:sz="0" w:space="0" w:color="auto"/>
          </w:divBdr>
          <w:divsChild>
            <w:div w:id="16777896">
              <w:marLeft w:val="0"/>
              <w:marRight w:val="0"/>
              <w:marTop w:val="0"/>
              <w:marBottom w:val="0"/>
              <w:divBdr>
                <w:top w:val="none" w:sz="0" w:space="0" w:color="auto"/>
                <w:left w:val="none" w:sz="0" w:space="0" w:color="auto"/>
                <w:bottom w:val="none" w:sz="0" w:space="0" w:color="auto"/>
                <w:right w:val="none" w:sz="0" w:space="0" w:color="auto"/>
              </w:divBdr>
              <w:divsChild>
                <w:div w:id="1646351352">
                  <w:marLeft w:val="0"/>
                  <w:marRight w:val="0"/>
                  <w:marTop w:val="0"/>
                  <w:marBottom w:val="0"/>
                  <w:divBdr>
                    <w:top w:val="none" w:sz="0" w:space="0" w:color="auto"/>
                    <w:left w:val="none" w:sz="0" w:space="0" w:color="auto"/>
                    <w:bottom w:val="none" w:sz="0" w:space="0" w:color="auto"/>
                    <w:right w:val="none" w:sz="0" w:space="0" w:color="auto"/>
                  </w:divBdr>
                  <w:divsChild>
                    <w:div w:id="222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910899">
      <w:bodyDiv w:val="1"/>
      <w:marLeft w:val="0"/>
      <w:marRight w:val="0"/>
      <w:marTop w:val="0"/>
      <w:marBottom w:val="0"/>
      <w:divBdr>
        <w:top w:val="none" w:sz="0" w:space="0" w:color="auto"/>
        <w:left w:val="none" w:sz="0" w:space="0" w:color="auto"/>
        <w:bottom w:val="none" w:sz="0" w:space="0" w:color="auto"/>
        <w:right w:val="none" w:sz="0" w:space="0" w:color="auto"/>
      </w:divBdr>
    </w:div>
    <w:div w:id="1833980441">
      <w:bodyDiv w:val="1"/>
      <w:marLeft w:val="0"/>
      <w:marRight w:val="0"/>
      <w:marTop w:val="0"/>
      <w:marBottom w:val="0"/>
      <w:divBdr>
        <w:top w:val="none" w:sz="0" w:space="0" w:color="auto"/>
        <w:left w:val="none" w:sz="0" w:space="0" w:color="auto"/>
        <w:bottom w:val="none" w:sz="0" w:space="0" w:color="auto"/>
        <w:right w:val="none" w:sz="0" w:space="0" w:color="auto"/>
      </w:divBdr>
    </w:div>
    <w:div w:id="1839808332">
      <w:bodyDiv w:val="1"/>
      <w:marLeft w:val="0"/>
      <w:marRight w:val="0"/>
      <w:marTop w:val="0"/>
      <w:marBottom w:val="0"/>
      <w:divBdr>
        <w:top w:val="none" w:sz="0" w:space="0" w:color="auto"/>
        <w:left w:val="none" w:sz="0" w:space="0" w:color="auto"/>
        <w:bottom w:val="none" w:sz="0" w:space="0" w:color="auto"/>
        <w:right w:val="none" w:sz="0" w:space="0" w:color="auto"/>
      </w:divBdr>
    </w:div>
    <w:div w:id="1901863266">
      <w:bodyDiv w:val="1"/>
      <w:marLeft w:val="0"/>
      <w:marRight w:val="0"/>
      <w:marTop w:val="0"/>
      <w:marBottom w:val="0"/>
      <w:divBdr>
        <w:top w:val="none" w:sz="0" w:space="0" w:color="auto"/>
        <w:left w:val="none" w:sz="0" w:space="0" w:color="auto"/>
        <w:bottom w:val="none" w:sz="0" w:space="0" w:color="auto"/>
        <w:right w:val="none" w:sz="0" w:space="0" w:color="auto"/>
      </w:divBdr>
    </w:div>
    <w:div w:id="1904026350">
      <w:bodyDiv w:val="1"/>
      <w:marLeft w:val="0"/>
      <w:marRight w:val="0"/>
      <w:marTop w:val="0"/>
      <w:marBottom w:val="0"/>
      <w:divBdr>
        <w:top w:val="none" w:sz="0" w:space="0" w:color="auto"/>
        <w:left w:val="none" w:sz="0" w:space="0" w:color="auto"/>
        <w:bottom w:val="none" w:sz="0" w:space="0" w:color="auto"/>
        <w:right w:val="none" w:sz="0" w:space="0" w:color="auto"/>
      </w:divBdr>
    </w:div>
    <w:div w:id="1922567988">
      <w:bodyDiv w:val="1"/>
      <w:marLeft w:val="0"/>
      <w:marRight w:val="0"/>
      <w:marTop w:val="0"/>
      <w:marBottom w:val="0"/>
      <w:divBdr>
        <w:top w:val="none" w:sz="0" w:space="0" w:color="auto"/>
        <w:left w:val="none" w:sz="0" w:space="0" w:color="auto"/>
        <w:bottom w:val="none" w:sz="0" w:space="0" w:color="auto"/>
        <w:right w:val="none" w:sz="0" w:space="0" w:color="auto"/>
      </w:divBdr>
    </w:div>
    <w:div w:id="1927227804">
      <w:bodyDiv w:val="1"/>
      <w:marLeft w:val="0"/>
      <w:marRight w:val="0"/>
      <w:marTop w:val="0"/>
      <w:marBottom w:val="0"/>
      <w:divBdr>
        <w:top w:val="none" w:sz="0" w:space="0" w:color="auto"/>
        <w:left w:val="none" w:sz="0" w:space="0" w:color="auto"/>
        <w:bottom w:val="none" w:sz="0" w:space="0" w:color="auto"/>
        <w:right w:val="none" w:sz="0" w:space="0" w:color="auto"/>
      </w:divBdr>
    </w:div>
    <w:div w:id="1940404763">
      <w:bodyDiv w:val="1"/>
      <w:marLeft w:val="0"/>
      <w:marRight w:val="0"/>
      <w:marTop w:val="0"/>
      <w:marBottom w:val="0"/>
      <w:divBdr>
        <w:top w:val="none" w:sz="0" w:space="0" w:color="auto"/>
        <w:left w:val="none" w:sz="0" w:space="0" w:color="auto"/>
        <w:bottom w:val="none" w:sz="0" w:space="0" w:color="auto"/>
        <w:right w:val="none" w:sz="0" w:space="0" w:color="auto"/>
      </w:divBdr>
      <w:divsChild>
        <w:div w:id="1130825384">
          <w:marLeft w:val="0"/>
          <w:marRight w:val="0"/>
          <w:marTop w:val="0"/>
          <w:marBottom w:val="0"/>
          <w:divBdr>
            <w:top w:val="none" w:sz="0" w:space="0" w:color="auto"/>
            <w:left w:val="none" w:sz="0" w:space="0" w:color="auto"/>
            <w:bottom w:val="none" w:sz="0" w:space="0" w:color="auto"/>
            <w:right w:val="none" w:sz="0" w:space="0" w:color="auto"/>
          </w:divBdr>
          <w:divsChild>
            <w:div w:id="678507335">
              <w:marLeft w:val="0"/>
              <w:marRight w:val="0"/>
              <w:marTop w:val="0"/>
              <w:marBottom w:val="0"/>
              <w:divBdr>
                <w:top w:val="none" w:sz="0" w:space="0" w:color="auto"/>
                <w:left w:val="none" w:sz="0" w:space="0" w:color="auto"/>
                <w:bottom w:val="none" w:sz="0" w:space="0" w:color="auto"/>
                <w:right w:val="none" w:sz="0" w:space="0" w:color="auto"/>
              </w:divBdr>
              <w:divsChild>
                <w:div w:id="1377395153">
                  <w:marLeft w:val="0"/>
                  <w:marRight w:val="0"/>
                  <w:marTop w:val="0"/>
                  <w:marBottom w:val="0"/>
                  <w:divBdr>
                    <w:top w:val="none" w:sz="0" w:space="0" w:color="auto"/>
                    <w:left w:val="none" w:sz="0" w:space="0" w:color="auto"/>
                    <w:bottom w:val="none" w:sz="0" w:space="0" w:color="auto"/>
                    <w:right w:val="none" w:sz="0" w:space="0" w:color="auto"/>
                  </w:divBdr>
                  <w:divsChild>
                    <w:div w:id="1677537839">
                      <w:marLeft w:val="0"/>
                      <w:marRight w:val="0"/>
                      <w:marTop w:val="0"/>
                      <w:marBottom w:val="0"/>
                      <w:divBdr>
                        <w:top w:val="none" w:sz="0" w:space="0" w:color="auto"/>
                        <w:left w:val="none" w:sz="0" w:space="0" w:color="auto"/>
                        <w:bottom w:val="none" w:sz="0" w:space="0" w:color="auto"/>
                        <w:right w:val="none" w:sz="0" w:space="0" w:color="auto"/>
                      </w:divBdr>
                      <w:divsChild>
                        <w:div w:id="1866358553">
                          <w:marLeft w:val="0"/>
                          <w:marRight w:val="0"/>
                          <w:marTop w:val="0"/>
                          <w:marBottom w:val="0"/>
                          <w:divBdr>
                            <w:top w:val="none" w:sz="0" w:space="0" w:color="auto"/>
                            <w:left w:val="none" w:sz="0" w:space="0" w:color="auto"/>
                            <w:bottom w:val="none" w:sz="0" w:space="0" w:color="auto"/>
                            <w:right w:val="none" w:sz="0" w:space="0" w:color="auto"/>
                          </w:divBdr>
                          <w:divsChild>
                            <w:div w:id="282418472">
                              <w:marLeft w:val="0"/>
                              <w:marRight w:val="0"/>
                              <w:marTop w:val="0"/>
                              <w:marBottom w:val="0"/>
                              <w:divBdr>
                                <w:top w:val="none" w:sz="0" w:space="0" w:color="auto"/>
                                <w:left w:val="none" w:sz="0" w:space="0" w:color="auto"/>
                                <w:bottom w:val="none" w:sz="0" w:space="0" w:color="auto"/>
                                <w:right w:val="none" w:sz="0" w:space="0" w:color="auto"/>
                              </w:divBdr>
                              <w:divsChild>
                                <w:div w:id="8496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519433">
      <w:bodyDiv w:val="1"/>
      <w:marLeft w:val="0"/>
      <w:marRight w:val="0"/>
      <w:marTop w:val="0"/>
      <w:marBottom w:val="0"/>
      <w:divBdr>
        <w:top w:val="none" w:sz="0" w:space="0" w:color="auto"/>
        <w:left w:val="none" w:sz="0" w:space="0" w:color="auto"/>
        <w:bottom w:val="none" w:sz="0" w:space="0" w:color="auto"/>
        <w:right w:val="none" w:sz="0" w:space="0" w:color="auto"/>
      </w:divBdr>
    </w:div>
    <w:div w:id="1977249095">
      <w:bodyDiv w:val="1"/>
      <w:marLeft w:val="0"/>
      <w:marRight w:val="0"/>
      <w:marTop w:val="0"/>
      <w:marBottom w:val="0"/>
      <w:divBdr>
        <w:top w:val="none" w:sz="0" w:space="0" w:color="auto"/>
        <w:left w:val="none" w:sz="0" w:space="0" w:color="auto"/>
        <w:bottom w:val="none" w:sz="0" w:space="0" w:color="auto"/>
        <w:right w:val="none" w:sz="0" w:space="0" w:color="auto"/>
      </w:divBdr>
    </w:div>
    <w:div w:id="2010599943">
      <w:bodyDiv w:val="1"/>
      <w:marLeft w:val="0"/>
      <w:marRight w:val="0"/>
      <w:marTop w:val="0"/>
      <w:marBottom w:val="0"/>
      <w:divBdr>
        <w:top w:val="none" w:sz="0" w:space="0" w:color="auto"/>
        <w:left w:val="none" w:sz="0" w:space="0" w:color="auto"/>
        <w:bottom w:val="none" w:sz="0" w:space="0" w:color="auto"/>
        <w:right w:val="none" w:sz="0" w:space="0" w:color="auto"/>
      </w:divBdr>
      <w:divsChild>
        <w:div w:id="2022470801">
          <w:marLeft w:val="0"/>
          <w:marRight w:val="0"/>
          <w:marTop w:val="0"/>
          <w:marBottom w:val="0"/>
          <w:divBdr>
            <w:top w:val="none" w:sz="0" w:space="0" w:color="auto"/>
            <w:left w:val="none" w:sz="0" w:space="0" w:color="auto"/>
            <w:bottom w:val="none" w:sz="0" w:space="0" w:color="auto"/>
            <w:right w:val="none" w:sz="0" w:space="0" w:color="auto"/>
          </w:divBdr>
          <w:divsChild>
            <w:div w:id="308823842">
              <w:marLeft w:val="0"/>
              <w:marRight w:val="0"/>
              <w:marTop w:val="0"/>
              <w:marBottom w:val="0"/>
              <w:divBdr>
                <w:top w:val="none" w:sz="0" w:space="0" w:color="auto"/>
                <w:left w:val="none" w:sz="0" w:space="0" w:color="auto"/>
                <w:bottom w:val="none" w:sz="0" w:space="0" w:color="auto"/>
                <w:right w:val="none" w:sz="0" w:space="0" w:color="auto"/>
              </w:divBdr>
              <w:divsChild>
                <w:div w:id="315384219">
                  <w:marLeft w:val="0"/>
                  <w:marRight w:val="0"/>
                  <w:marTop w:val="0"/>
                  <w:marBottom w:val="0"/>
                  <w:divBdr>
                    <w:top w:val="none" w:sz="0" w:space="0" w:color="auto"/>
                    <w:left w:val="none" w:sz="0" w:space="0" w:color="auto"/>
                    <w:bottom w:val="none" w:sz="0" w:space="0" w:color="auto"/>
                    <w:right w:val="none" w:sz="0" w:space="0" w:color="auto"/>
                  </w:divBdr>
                  <w:divsChild>
                    <w:div w:id="1003630639">
                      <w:marLeft w:val="0"/>
                      <w:marRight w:val="0"/>
                      <w:marTop w:val="0"/>
                      <w:marBottom w:val="0"/>
                      <w:divBdr>
                        <w:top w:val="none" w:sz="0" w:space="0" w:color="auto"/>
                        <w:left w:val="none" w:sz="0" w:space="0" w:color="auto"/>
                        <w:bottom w:val="none" w:sz="0" w:space="0" w:color="auto"/>
                        <w:right w:val="none" w:sz="0" w:space="0" w:color="auto"/>
                      </w:divBdr>
                      <w:divsChild>
                        <w:div w:id="1311522992">
                          <w:marLeft w:val="0"/>
                          <w:marRight w:val="0"/>
                          <w:marTop w:val="0"/>
                          <w:marBottom w:val="0"/>
                          <w:divBdr>
                            <w:top w:val="none" w:sz="0" w:space="0" w:color="auto"/>
                            <w:left w:val="none" w:sz="0" w:space="0" w:color="auto"/>
                            <w:bottom w:val="none" w:sz="0" w:space="0" w:color="auto"/>
                            <w:right w:val="none" w:sz="0" w:space="0" w:color="auto"/>
                          </w:divBdr>
                          <w:divsChild>
                            <w:div w:id="1702975259">
                              <w:marLeft w:val="0"/>
                              <w:marRight w:val="0"/>
                              <w:marTop w:val="0"/>
                              <w:marBottom w:val="0"/>
                              <w:divBdr>
                                <w:top w:val="none" w:sz="0" w:space="0" w:color="auto"/>
                                <w:left w:val="none" w:sz="0" w:space="0" w:color="auto"/>
                                <w:bottom w:val="none" w:sz="0" w:space="0" w:color="auto"/>
                                <w:right w:val="none" w:sz="0" w:space="0" w:color="auto"/>
                              </w:divBdr>
                              <w:divsChild>
                                <w:div w:id="1953585991">
                                  <w:marLeft w:val="0"/>
                                  <w:marRight w:val="0"/>
                                  <w:marTop w:val="0"/>
                                  <w:marBottom w:val="0"/>
                                  <w:divBdr>
                                    <w:top w:val="none" w:sz="0" w:space="0" w:color="auto"/>
                                    <w:left w:val="none" w:sz="0" w:space="0" w:color="auto"/>
                                    <w:bottom w:val="none" w:sz="0" w:space="0" w:color="auto"/>
                                    <w:right w:val="none" w:sz="0" w:space="0" w:color="auto"/>
                                  </w:divBdr>
                                  <w:divsChild>
                                    <w:div w:id="7805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568923">
      <w:bodyDiv w:val="1"/>
      <w:marLeft w:val="0"/>
      <w:marRight w:val="0"/>
      <w:marTop w:val="0"/>
      <w:marBottom w:val="0"/>
      <w:divBdr>
        <w:top w:val="none" w:sz="0" w:space="0" w:color="auto"/>
        <w:left w:val="none" w:sz="0" w:space="0" w:color="auto"/>
        <w:bottom w:val="none" w:sz="0" w:space="0" w:color="auto"/>
        <w:right w:val="none" w:sz="0" w:space="0" w:color="auto"/>
      </w:divBdr>
      <w:divsChild>
        <w:div w:id="653529352">
          <w:marLeft w:val="0"/>
          <w:marRight w:val="0"/>
          <w:marTop w:val="0"/>
          <w:marBottom w:val="0"/>
          <w:divBdr>
            <w:top w:val="none" w:sz="0" w:space="0" w:color="auto"/>
            <w:left w:val="none" w:sz="0" w:space="0" w:color="auto"/>
            <w:bottom w:val="none" w:sz="0" w:space="0" w:color="auto"/>
            <w:right w:val="none" w:sz="0" w:space="0" w:color="auto"/>
          </w:divBdr>
        </w:div>
        <w:div w:id="1158300359">
          <w:marLeft w:val="0"/>
          <w:marRight w:val="0"/>
          <w:marTop w:val="0"/>
          <w:marBottom w:val="0"/>
          <w:divBdr>
            <w:top w:val="none" w:sz="0" w:space="0" w:color="auto"/>
            <w:left w:val="none" w:sz="0" w:space="0" w:color="auto"/>
            <w:bottom w:val="none" w:sz="0" w:space="0" w:color="auto"/>
            <w:right w:val="none" w:sz="0" w:space="0" w:color="auto"/>
          </w:divBdr>
        </w:div>
        <w:div w:id="1792624661">
          <w:marLeft w:val="0"/>
          <w:marRight w:val="0"/>
          <w:marTop w:val="0"/>
          <w:marBottom w:val="0"/>
          <w:divBdr>
            <w:top w:val="none" w:sz="0" w:space="0" w:color="auto"/>
            <w:left w:val="none" w:sz="0" w:space="0" w:color="auto"/>
            <w:bottom w:val="none" w:sz="0" w:space="0" w:color="auto"/>
            <w:right w:val="none" w:sz="0" w:space="0" w:color="auto"/>
          </w:divBdr>
        </w:div>
        <w:div w:id="1894851551">
          <w:marLeft w:val="0"/>
          <w:marRight w:val="0"/>
          <w:marTop w:val="0"/>
          <w:marBottom w:val="0"/>
          <w:divBdr>
            <w:top w:val="none" w:sz="0" w:space="0" w:color="auto"/>
            <w:left w:val="none" w:sz="0" w:space="0" w:color="auto"/>
            <w:bottom w:val="none" w:sz="0" w:space="0" w:color="auto"/>
            <w:right w:val="none" w:sz="0" w:space="0" w:color="auto"/>
          </w:divBdr>
        </w:div>
        <w:div w:id="1943680984">
          <w:marLeft w:val="0"/>
          <w:marRight w:val="0"/>
          <w:marTop w:val="0"/>
          <w:marBottom w:val="0"/>
          <w:divBdr>
            <w:top w:val="none" w:sz="0" w:space="0" w:color="auto"/>
            <w:left w:val="none" w:sz="0" w:space="0" w:color="auto"/>
            <w:bottom w:val="none" w:sz="0" w:space="0" w:color="auto"/>
            <w:right w:val="none" w:sz="0" w:space="0" w:color="auto"/>
          </w:divBdr>
        </w:div>
      </w:divsChild>
    </w:div>
    <w:div w:id="2032101765">
      <w:bodyDiv w:val="1"/>
      <w:marLeft w:val="0"/>
      <w:marRight w:val="0"/>
      <w:marTop w:val="0"/>
      <w:marBottom w:val="0"/>
      <w:divBdr>
        <w:top w:val="none" w:sz="0" w:space="0" w:color="auto"/>
        <w:left w:val="none" w:sz="0" w:space="0" w:color="auto"/>
        <w:bottom w:val="none" w:sz="0" w:space="0" w:color="auto"/>
        <w:right w:val="none" w:sz="0" w:space="0" w:color="auto"/>
      </w:divBdr>
    </w:div>
    <w:div w:id="2039503374">
      <w:bodyDiv w:val="1"/>
      <w:marLeft w:val="0"/>
      <w:marRight w:val="0"/>
      <w:marTop w:val="0"/>
      <w:marBottom w:val="0"/>
      <w:divBdr>
        <w:top w:val="none" w:sz="0" w:space="0" w:color="auto"/>
        <w:left w:val="none" w:sz="0" w:space="0" w:color="auto"/>
        <w:bottom w:val="none" w:sz="0" w:space="0" w:color="auto"/>
        <w:right w:val="none" w:sz="0" w:space="0" w:color="auto"/>
      </w:divBdr>
      <w:divsChild>
        <w:div w:id="12614222">
          <w:marLeft w:val="0"/>
          <w:marRight w:val="0"/>
          <w:marTop w:val="0"/>
          <w:marBottom w:val="0"/>
          <w:divBdr>
            <w:top w:val="none" w:sz="0" w:space="0" w:color="auto"/>
            <w:left w:val="none" w:sz="0" w:space="0" w:color="auto"/>
            <w:bottom w:val="none" w:sz="0" w:space="0" w:color="auto"/>
            <w:right w:val="none" w:sz="0" w:space="0" w:color="auto"/>
          </w:divBdr>
        </w:div>
        <w:div w:id="102000830">
          <w:marLeft w:val="0"/>
          <w:marRight w:val="0"/>
          <w:marTop w:val="0"/>
          <w:marBottom w:val="0"/>
          <w:divBdr>
            <w:top w:val="none" w:sz="0" w:space="0" w:color="auto"/>
            <w:left w:val="none" w:sz="0" w:space="0" w:color="auto"/>
            <w:bottom w:val="none" w:sz="0" w:space="0" w:color="auto"/>
            <w:right w:val="none" w:sz="0" w:space="0" w:color="auto"/>
          </w:divBdr>
        </w:div>
        <w:div w:id="167404266">
          <w:marLeft w:val="0"/>
          <w:marRight w:val="0"/>
          <w:marTop w:val="0"/>
          <w:marBottom w:val="0"/>
          <w:divBdr>
            <w:top w:val="none" w:sz="0" w:space="0" w:color="auto"/>
            <w:left w:val="none" w:sz="0" w:space="0" w:color="auto"/>
            <w:bottom w:val="none" w:sz="0" w:space="0" w:color="auto"/>
            <w:right w:val="none" w:sz="0" w:space="0" w:color="auto"/>
          </w:divBdr>
        </w:div>
        <w:div w:id="215822184">
          <w:marLeft w:val="0"/>
          <w:marRight w:val="0"/>
          <w:marTop w:val="0"/>
          <w:marBottom w:val="0"/>
          <w:divBdr>
            <w:top w:val="none" w:sz="0" w:space="0" w:color="auto"/>
            <w:left w:val="none" w:sz="0" w:space="0" w:color="auto"/>
            <w:bottom w:val="none" w:sz="0" w:space="0" w:color="auto"/>
            <w:right w:val="none" w:sz="0" w:space="0" w:color="auto"/>
          </w:divBdr>
        </w:div>
        <w:div w:id="365107341">
          <w:marLeft w:val="0"/>
          <w:marRight w:val="0"/>
          <w:marTop w:val="0"/>
          <w:marBottom w:val="0"/>
          <w:divBdr>
            <w:top w:val="none" w:sz="0" w:space="0" w:color="auto"/>
            <w:left w:val="none" w:sz="0" w:space="0" w:color="auto"/>
            <w:bottom w:val="none" w:sz="0" w:space="0" w:color="auto"/>
            <w:right w:val="none" w:sz="0" w:space="0" w:color="auto"/>
          </w:divBdr>
        </w:div>
        <w:div w:id="486626479">
          <w:marLeft w:val="0"/>
          <w:marRight w:val="0"/>
          <w:marTop w:val="0"/>
          <w:marBottom w:val="0"/>
          <w:divBdr>
            <w:top w:val="none" w:sz="0" w:space="0" w:color="auto"/>
            <w:left w:val="none" w:sz="0" w:space="0" w:color="auto"/>
            <w:bottom w:val="none" w:sz="0" w:space="0" w:color="auto"/>
            <w:right w:val="none" w:sz="0" w:space="0" w:color="auto"/>
          </w:divBdr>
        </w:div>
        <w:div w:id="547835737">
          <w:marLeft w:val="0"/>
          <w:marRight w:val="0"/>
          <w:marTop w:val="0"/>
          <w:marBottom w:val="0"/>
          <w:divBdr>
            <w:top w:val="none" w:sz="0" w:space="0" w:color="auto"/>
            <w:left w:val="none" w:sz="0" w:space="0" w:color="auto"/>
            <w:bottom w:val="none" w:sz="0" w:space="0" w:color="auto"/>
            <w:right w:val="none" w:sz="0" w:space="0" w:color="auto"/>
          </w:divBdr>
        </w:div>
        <w:div w:id="599607381">
          <w:marLeft w:val="0"/>
          <w:marRight w:val="0"/>
          <w:marTop w:val="0"/>
          <w:marBottom w:val="0"/>
          <w:divBdr>
            <w:top w:val="none" w:sz="0" w:space="0" w:color="auto"/>
            <w:left w:val="none" w:sz="0" w:space="0" w:color="auto"/>
            <w:bottom w:val="none" w:sz="0" w:space="0" w:color="auto"/>
            <w:right w:val="none" w:sz="0" w:space="0" w:color="auto"/>
          </w:divBdr>
        </w:div>
        <w:div w:id="778571442">
          <w:marLeft w:val="0"/>
          <w:marRight w:val="0"/>
          <w:marTop w:val="0"/>
          <w:marBottom w:val="0"/>
          <w:divBdr>
            <w:top w:val="none" w:sz="0" w:space="0" w:color="auto"/>
            <w:left w:val="none" w:sz="0" w:space="0" w:color="auto"/>
            <w:bottom w:val="none" w:sz="0" w:space="0" w:color="auto"/>
            <w:right w:val="none" w:sz="0" w:space="0" w:color="auto"/>
          </w:divBdr>
        </w:div>
        <w:div w:id="842089852">
          <w:marLeft w:val="0"/>
          <w:marRight w:val="0"/>
          <w:marTop w:val="0"/>
          <w:marBottom w:val="0"/>
          <w:divBdr>
            <w:top w:val="none" w:sz="0" w:space="0" w:color="auto"/>
            <w:left w:val="none" w:sz="0" w:space="0" w:color="auto"/>
            <w:bottom w:val="none" w:sz="0" w:space="0" w:color="auto"/>
            <w:right w:val="none" w:sz="0" w:space="0" w:color="auto"/>
          </w:divBdr>
        </w:div>
        <w:div w:id="921838351">
          <w:marLeft w:val="0"/>
          <w:marRight w:val="0"/>
          <w:marTop w:val="0"/>
          <w:marBottom w:val="0"/>
          <w:divBdr>
            <w:top w:val="none" w:sz="0" w:space="0" w:color="auto"/>
            <w:left w:val="none" w:sz="0" w:space="0" w:color="auto"/>
            <w:bottom w:val="none" w:sz="0" w:space="0" w:color="auto"/>
            <w:right w:val="none" w:sz="0" w:space="0" w:color="auto"/>
          </w:divBdr>
        </w:div>
        <w:div w:id="962881472">
          <w:marLeft w:val="0"/>
          <w:marRight w:val="0"/>
          <w:marTop w:val="0"/>
          <w:marBottom w:val="0"/>
          <w:divBdr>
            <w:top w:val="none" w:sz="0" w:space="0" w:color="auto"/>
            <w:left w:val="none" w:sz="0" w:space="0" w:color="auto"/>
            <w:bottom w:val="none" w:sz="0" w:space="0" w:color="auto"/>
            <w:right w:val="none" w:sz="0" w:space="0" w:color="auto"/>
          </w:divBdr>
        </w:div>
        <w:div w:id="1023482399">
          <w:marLeft w:val="0"/>
          <w:marRight w:val="0"/>
          <w:marTop w:val="0"/>
          <w:marBottom w:val="0"/>
          <w:divBdr>
            <w:top w:val="none" w:sz="0" w:space="0" w:color="auto"/>
            <w:left w:val="none" w:sz="0" w:space="0" w:color="auto"/>
            <w:bottom w:val="none" w:sz="0" w:space="0" w:color="auto"/>
            <w:right w:val="none" w:sz="0" w:space="0" w:color="auto"/>
          </w:divBdr>
        </w:div>
        <w:div w:id="1092824549">
          <w:marLeft w:val="0"/>
          <w:marRight w:val="0"/>
          <w:marTop w:val="0"/>
          <w:marBottom w:val="0"/>
          <w:divBdr>
            <w:top w:val="none" w:sz="0" w:space="0" w:color="auto"/>
            <w:left w:val="none" w:sz="0" w:space="0" w:color="auto"/>
            <w:bottom w:val="none" w:sz="0" w:space="0" w:color="auto"/>
            <w:right w:val="none" w:sz="0" w:space="0" w:color="auto"/>
          </w:divBdr>
        </w:div>
        <w:div w:id="1202015340">
          <w:marLeft w:val="0"/>
          <w:marRight w:val="0"/>
          <w:marTop w:val="0"/>
          <w:marBottom w:val="0"/>
          <w:divBdr>
            <w:top w:val="none" w:sz="0" w:space="0" w:color="auto"/>
            <w:left w:val="none" w:sz="0" w:space="0" w:color="auto"/>
            <w:bottom w:val="none" w:sz="0" w:space="0" w:color="auto"/>
            <w:right w:val="none" w:sz="0" w:space="0" w:color="auto"/>
          </w:divBdr>
        </w:div>
        <w:div w:id="1315258029">
          <w:marLeft w:val="0"/>
          <w:marRight w:val="0"/>
          <w:marTop w:val="0"/>
          <w:marBottom w:val="0"/>
          <w:divBdr>
            <w:top w:val="none" w:sz="0" w:space="0" w:color="auto"/>
            <w:left w:val="none" w:sz="0" w:space="0" w:color="auto"/>
            <w:bottom w:val="none" w:sz="0" w:space="0" w:color="auto"/>
            <w:right w:val="none" w:sz="0" w:space="0" w:color="auto"/>
          </w:divBdr>
        </w:div>
        <w:div w:id="1327443772">
          <w:marLeft w:val="0"/>
          <w:marRight w:val="0"/>
          <w:marTop w:val="0"/>
          <w:marBottom w:val="0"/>
          <w:divBdr>
            <w:top w:val="none" w:sz="0" w:space="0" w:color="auto"/>
            <w:left w:val="none" w:sz="0" w:space="0" w:color="auto"/>
            <w:bottom w:val="none" w:sz="0" w:space="0" w:color="auto"/>
            <w:right w:val="none" w:sz="0" w:space="0" w:color="auto"/>
          </w:divBdr>
        </w:div>
        <w:div w:id="1343431122">
          <w:marLeft w:val="0"/>
          <w:marRight w:val="0"/>
          <w:marTop w:val="0"/>
          <w:marBottom w:val="0"/>
          <w:divBdr>
            <w:top w:val="none" w:sz="0" w:space="0" w:color="auto"/>
            <w:left w:val="none" w:sz="0" w:space="0" w:color="auto"/>
            <w:bottom w:val="none" w:sz="0" w:space="0" w:color="auto"/>
            <w:right w:val="none" w:sz="0" w:space="0" w:color="auto"/>
          </w:divBdr>
        </w:div>
        <w:div w:id="1517772729">
          <w:marLeft w:val="0"/>
          <w:marRight w:val="0"/>
          <w:marTop w:val="0"/>
          <w:marBottom w:val="0"/>
          <w:divBdr>
            <w:top w:val="none" w:sz="0" w:space="0" w:color="auto"/>
            <w:left w:val="none" w:sz="0" w:space="0" w:color="auto"/>
            <w:bottom w:val="none" w:sz="0" w:space="0" w:color="auto"/>
            <w:right w:val="none" w:sz="0" w:space="0" w:color="auto"/>
          </w:divBdr>
        </w:div>
        <w:div w:id="1595285890">
          <w:marLeft w:val="0"/>
          <w:marRight w:val="0"/>
          <w:marTop w:val="0"/>
          <w:marBottom w:val="0"/>
          <w:divBdr>
            <w:top w:val="none" w:sz="0" w:space="0" w:color="auto"/>
            <w:left w:val="none" w:sz="0" w:space="0" w:color="auto"/>
            <w:bottom w:val="none" w:sz="0" w:space="0" w:color="auto"/>
            <w:right w:val="none" w:sz="0" w:space="0" w:color="auto"/>
          </w:divBdr>
        </w:div>
        <w:div w:id="1839151303">
          <w:marLeft w:val="0"/>
          <w:marRight w:val="0"/>
          <w:marTop w:val="0"/>
          <w:marBottom w:val="0"/>
          <w:divBdr>
            <w:top w:val="none" w:sz="0" w:space="0" w:color="auto"/>
            <w:left w:val="none" w:sz="0" w:space="0" w:color="auto"/>
            <w:bottom w:val="none" w:sz="0" w:space="0" w:color="auto"/>
            <w:right w:val="none" w:sz="0" w:space="0" w:color="auto"/>
          </w:divBdr>
        </w:div>
        <w:div w:id="1867138855">
          <w:marLeft w:val="0"/>
          <w:marRight w:val="0"/>
          <w:marTop w:val="0"/>
          <w:marBottom w:val="0"/>
          <w:divBdr>
            <w:top w:val="none" w:sz="0" w:space="0" w:color="auto"/>
            <w:left w:val="none" w:sz="0" w:space="0" w:color="auto"/>
            <w:bottom w:val="none" w:sz="0" w:space="0" w:color="auto"/>
            <w:right w:val="none" w:sz="0" w:space="0" w:color="auto"/>
          </w:divBdr>
        </w:div>
        <w:div w:id="2004353611">
          <w:marLeft w:val="0"/>
          <w:marRight w:val="0"/>
          <w:marTop w:val="0"/>
          <w:marBottom w:val="0"/>
          <w:divBdr>
            <w:top w:val="none" w:sz="0" w:space="0" w:color="auto"/>
            <w:left w:val="none" w:sz="0" w:space="0" w:color="auto"/>
            <w:bottom w:val="none" w:sz="0" w:space="0" w:color="auto"/>
            <w:right w:val="none" w:sz="0" w:space="0" w:color="auto"/>
          </w:divBdr>
        </w:div>
        <w:div w:id="2058239280">
          <w:marLeft w:val="0"/>
          <w:marRight w:val="0"/>
          <w:marTop w:val="0"/>
          <w:marBottom w:val="0"/>
          <w:divBdr>
            <w:top w:val="none" w:sz="0" w:space="0" w:color="auto"/>
            <w:left w:val="none" w:sz="0" w:space="0" w:color="auto"/>
            <w:bottom w:val="none" w:sz="0" w:space="0" w:color="auto"/>
            <w:right w:val="none" w:sz="0" w:space="0" w:color="auto"/>
          </w:divBdr>
        </w:div>
        <w:div w:id="2125150671">
          <w:marLeft w:val="0"/>
          <w:marRight w:val="0"/>
          <w:marTop w:val="0"/>
          <w:marBottom w:val="0"/>
          <w:divBdr>
            <w:top w:val="none" w:sz="0" w:space="0" w:color="auto"/>
            <w:left w:val="none" w:sz="0" w:space="0" w:color="auto"/>
            <w:bottom w:val="none" w:sz="0" w:space="0" w:color="auto"/>
            <w:right w:val="none" w:sz="0" w:space="0" w:color="auto"/>
          </w:divBdr>
        </w:div>
        <w:div w:id="2144879554">
          <w:marLeft w:val="0"/>
          <w:marRight w:val="0"/>
          <w:marTop w:val="0"/>
          <w:marBottom w:val="0"/>
          <w:divBdr>
            <w:top w:val="none" w:sz="0" w:space="0" w:color="auto"/>
            <w:left w:val="none" w:sz="0" w:space="0" w:color="auto"/>
            <w:bottom w:val="none" w:sz="0" w:space="0" w:color="auto"/>
            <w:right w:val="none" w:sz="0" w:space="0" w:color="auto"/>
          </w:divBdr>
        </w:div>
      </w:divsChild>
    </w:div>
    <w:div w:id="2079397890">
      <w:bodyDiv w:val="1"/>
      <w:marLeft w:val="0"/>
      <w:marRight w:val="0"/>
      <w:marTop w:val="0"/>
      <w:marBottom w:val="0"/>
      <w:divBdr>
        <w:top w:val="none" w:sz="0" w:space="0" w:color="auto"/>
        <w:left w:val="none" w:sz="0" w:space="0" w:color="auto"/>
        <w:bottom w:val="none" w:sz="0" w:space="0" w:color="auto"/>
        <w:right w:val="none" w:sz="0" w:space="0" w:color="auto"/>
      </w:divBdr>
    </w:div>
    <w:div w:id="2088651459">
      <w:bodyDiv w:val="1"/>
      <w:marLeft w:val="0"/>
      <w:marRight w:val="0"/>
      <w:marTop w:val="0"/>
      <w:marBottom w:val="0"/>
      <w:divBdr>
        <w:top w:val="none" w:sz="0" w:space="0" w:color="auto"/>
        <w:left w:val="none" w:sz="0" w:space="0" w:color="auto"/>
        <w:bottom w:val="none" w:sz="0" w:space="0" w:color="auto"/>
        <w:right w:val="none" w:sz="0" w:space="0" w:color="auto"/>
      </w:divBdr>
    </w:div>
    <w:div w:id="2115589186">
      <w:bodyDiv w:val="1"/>
      <w:marLeft w:val="0"/>
      <w:marRight w:val="0"/>
      <w:marTop w:val="0"/>
      <w:marBottom w:val="0"/>
      <w:divBdr>
        <w:top w:val="none" w:sz="0" w:space="0" w:color="auto"/>
        <w:left w:val="none" w:sz="0" w:space="0" w:color="auto"/>
        <w:bottom w:val="none" w:sz="0" w:space="0" w:color="auto"/>
        <w:right w:val="none" w:sz="0" w:space="0" w:color="auto"/>
      </w:divBdr>
      <w:divsChild>
        <w:div w:id="105344735">
          <w:marLeft w:val="0"/>
          <w:marRight w:val="0"/>
          <w:marTop w:val="0"/>
          <w:marBottom w:val="0"/>
          <w:divBdr>
            <w:top w:val="none" w:sz="0" w:space="0" w:color="auto"/>
            <w:left w:val="none" w:sz="0" w:space="0" w:color="auto"/>
            <w:bottom w:val="none" w:sz="0" w:space="0" w:color="auto"/>
            <w:right w:val="none" w:sz="0" w:space="0" w:color="auto"/>
          </w:divBdr>
        </w:div>
        <w:div w:id="115873422">
          <w:marLeft w:val="0"/>
          <w:marRight w:val="0"/>
          <w:marTop w:val="0"/>
          <w:marBottom w:val="0"/>
          <w:divBdr>
            <w:top w:val="none" w:sz="0" w:space="0" w:color="auto"/>
            <w:left w:val="none" w:sz="0" w:space="0" w:color="auto"/>
            <w:bottom w:val="none" w:sz="0" w:space="0" w:color="auto"/>
            <w:right w:val="none" w:sz="0" w:space="0" w:color="auto"/>
          </w:divBdr>
        </w:div>
        <w:div w:id="228032448">
          <w:marLeft w:val="0"/>
          <w:marRight w:val="0"/>
          <w:marTop w:val="0"/>
          <w:marBottom w:val="0"/>
          <w:divBdr>
            <w:top w:val="none" w:sz="0" w:space="0" w:color="auto"/>
            <w:left w:val="none" w:sz="0" w:space="0" w:color="auto"/>
            <w:bottom w:val="none" w:sz="0" w:space="0" w:color="auto"/>
            <w:right w:val="none" w:sz="0" w:space="0" w:color="auto"/>
          </w:divBdr>
        </w:div>
        <w:div w:id="228347382">
          <w:marLeft w:val="0"/>
          <w:marRight w:val="0"/>
          <w:marTop w:val="0"/>
          <w:marBottom w:val="0"/>
          <w:divBdr>
            <w:top w:val="none" w:sz="0" w:space="0" w:color="auto"/>
            <w:left w:val="none" w:sz="0" w:space="0" w:color="auto"/>
            <w:bottom w:val="none" w:sz="0" w:space="0" w:color="auto"/>
            <w:right w:val="none" w:sz="0" w:space="0" w:color="auto"/>
          </w:divBdr>
        </w:div>
        <w:div w:id="237445943">
          <w:marLeft w:val="0"/>
          <w:marRight w:val="0"/>
          <w:marTop w:val="0"/>
          <w:marBottom w:val="0"/>
          <w:divBdr>
            <w:top w:val="none" w:sz="0" w:space="0" w:color="auto"/>
            <w:left w:val="none" w:sz="0" w:space="0" w:color="auto"/>
            <w:bottom w:val="none" w:sz="0" w:space="0" w:color="auto"/>
            <w:right w:val="none" w:sz="0" w:space="0" w:color="auto"/>
          </w:divBdr>
        </w:div>
        <w:div w:id="241568003">
          <w:marLeft w:val="0"/>
          <w:marRight w:val="0"/>
          <w:marTop w:val="0"/>
          <w:marBottom w:val="0"/>
          <w:divBdr>
            <w:top w:val="none" w:sz="0" w:space="0" w:color="auto"/>
            <w:left w:val="none" w:sz="0" w:space="0" w:color="auto"/>
            <w:bottom w:val="none" w:sz="0" w:space="0" w:color="auto"/>
            <w:right w:val="none" w:sz="0" w:space="0" w:color="auto"/>
          </w:divBdr>
        </w:div>
        <w:div w:id="331374400">
          <w:marLeft w:val="0"/>
          <w:marRight w:val="0"/>
          <w:marTop w:val="0"/>
          <w:marBottom w:val="0"/>
          <w:divBdr>
            <w:top w:val="none" w:sz="0" w:space="0" w:color="auto"/>
            <w:left w:val="none" w:sz="0" w:space="0" w:color="auto"/>
            <w:bottom w:val="none" w:sz="0" w:space="0" w:color="auto"/>
            <w:right w:val="none" w:sz="0" w:space="0" w:color="auto"/>
          </w:divBdr>
        </w:div>
        <w:div w:id="345712138">
          <w:marLeft w:val="0"/>
          <w:marRight w:val="0"/>
          <w:marTop w:val="0"/>
          <w:marBottom w:val="0"/>
          <w:divBdr>
            <w:top w:val="none" w:sz="0" w:space="0" w:color="auto"/>
            <w:left w:val="none" w:sz="0" w:space="0" w:color="auto"/>
            <w:bottom w:val="none" w:sz="0" w:space="0" w:color="auto"/>
            <w:right w:val="none" w:sz="0" w:space="0" w:color="auto"/>
          </w:divBdr>
        </w:div>
        <w:div w:id="359162724">
          <w:marLeft w:val="0"/>
          <w:marRight w:val="0"/>
          <w:marTop w:val="0"/>
          <w:marBottom w:val="0"/>
          <w:divBdr>
            <w:top w:val="none" w:sz="0" w:space="0" w:color="auto"/>
            <w:left w:val="none" w:sz="0" w:space="0" w:color="auto"/>
            <w:bottom w:val="none" w:sz="0" w:space="0" w:color="auto"/>
            <w:right w:val="none" w:sz="0" w:space="0" w:color="auto"/>
          </w:divBdr>
        </w:div>
        <w:div w:id="369916865">
          <w:marLeft w:val="0"/>
          <w:marRight w:val="0"/>
          <w:marTop w:val="0"/>
          <w:marBottom w:val="0"/>
          <w:divBdr>
            <w:top w:val="none" w:sz="0" w:space="0" w:color="auto"/>
            <w:left w:val="none" w:sz="0" w:space="0" w:color="auto"/>
            <w:bottom w:val="none" w:sz="0" w:space="0" w:color="auto"/>
            <w:right w:val="none" w:sz="0" w:space="0" w:color="auto"/>
          </w:divBdr>
        </w:div>
        <w:div w:id="483397398">
          <w:marLeft w:val="0"/>
          <w:marRight w:val="0"/>
          <w:marTop w:val="0"/>
          <w:marBottom w:val="0"/>
          <w:divBdr>
            <w:top w:val="none" w:sz="0" w:space="0" w:color="auto"/>
            <w:left w:val="none" w:sz="0" w:space="0" w:color="auto"/>
            <w:bottom w:val="none" w:sz="0" w:space="0" w:color="auto"/>
            <w:right w:val="none" w:sz="0" w:space="0" w:color="auto"/>
          </w:divBdr>
        </w:div>
        <w:div w:id="490608790">
          <w:marLeft w:val="0"/>
          <w:marRight w:val="0"/>
          <w:marTop w:val="0"/>
          <w:marBottom w:val="0"/>
          <w:divBdr>
            <w:top w:val="none" w:sz="0" w:space="0" w:color="auto"/>
            <w:left w:val="none" w:sz="0" w:space="0" w:color="auto"/>
            <w:bottom w:val="none" w:sz="0" w:space="0" w:color="auto"/>
            <w:right w:val="none" w:sz="0" w:space="0" w:color="auto"/>
          </w:divBdr>
        </w:div>
        <w:div w:id="492186795">
          <w:marLeft w:val="0"/>
          <w:marRight w:val="0"/>
          <w:marTop w:val="0"/>
          <w:marBottom w:val="0"/>
          <w:divBdr>
            <w:top w:val="none" w:sz="0" w:space="0" w:color="auto"/>
            <w:left w:val="none" w:sz="0" w:space="0" w:color="auto"/>
            <w:bottom w:val="none" w:sz="0" w:space="0" w:color="auto"/>
            <w:right w:val="none" w:sz="0" w:space="0" w:color="auto"/>
          </w:divBdr>
        </w:div>
        <w:div w:id="559828121">
          <w:marLeft w:val="0"/>
          <w:marRight w:val="0"/>
          <w:marTop w:val="0"/>
          <w:marBottom w:val="0"/>
          <w:divBdr>
            <w:top w:val="none" w:sz="0" w:space="0" w:color="auto"/>
            <w:left w:val="none" w:sz="0" w:space="0" w:color="auto"/>
            <w:bottom w:val="none" w:sz="0" w:space="0" w:color="auto"/>
            <w:right w:val="none" w:sz="0" w:space="0" w:color="auto"/>
          </w:divBdr>
        </w:div>
        <w:div w:id="582028242">
          <w:marLeft w:val="0"/>
          <w:marRight w:val="0"/>
          <w:marTop w:val="0"/>
          <w:marBottom w:val="0"/>
          <w:divBdr>
            <w:top w:val="none" w:sz="0" w:space="0" w:color="auto"/>
            <w:left w:val="none" w:sz="0" w:space="0" w:color="auto"/>
            <w:bottom w:val="none" w:sz="0" w:space="0" w:color="auto"/>
            <w:right w:val="none" w:sz="0" w:space="0" w:color="auto"/>
          </w:divBdr>
        </w:div>
        <w:div w:id="624627087">
          <w:marLeft w:val="0"/>
          <w:marRight w:val="0"/>
          <w:marTop w:val="0"/>
          <w:marBottom w:val="0"/>
          <w:divBdr>
            <w:top w:val="none" w:sz="0" w:space="0" w:color="auto"/>
            <w:left w:val="none" w:sz="0" w:space="0" w:color="auto"/>
            <w:bottom w:val="none" w:sz="0" w:space="0" w:color="auto"/>
            <w:right w:val="none" w:sz="0" w:space="0" w:color="auto"/>
          </w:divBdr>
        </w:div>
        <w:div w:id="644437034">
          <w:marLeft w:val="0"/>
          <w:marRight w:val="0"/>
          <w:marTop w:val="0"/>
          <w:marBottom w:val="0"/>
          <w:divBdr>
            <w:top w:val="none" w:sz="0" w:space="0" w:color="auto"/>
            <w:left w:val="none" w:sz="0" w:space="0" w:color="auto"/>
            <w:bottom w:val="none" w:sz="0" w:space="0" w:color="auto"/>
            <w:right w:val="none" w:sz="0" w:space="0" w:color="auto"/>
          </w:divBdr>
        </w:div>
        <w:div w:id="732966566">
          <w:marLeft w:val="0"/>
          <w:marRight w:val="0"/>
          <w:marTop w:val="0"/>
          <w:marBottom w:val="0"/>
          <w:divBdr>
            <w:top w:val="none" w:sz="0" w:space="0" w:color="auto"/>
            <w:left w:val="none" w:sz="0" w:space="0" w:color="auto"/>
            <w:bottom w:val="none" w:sz="0" w:space="0" w:color="auto"/>
            <w:right w:val="none" w:sz="0" w:space="0" w:color="auto"/>
          </w:divBdr>
        </w:div>
        <w:div w:id="843789126">
          <w:marLeft w:val="0"/>
          <w:marRight w:val="0"/>
          <w:marTop w:val="0"/>
          <w:marBottom w:val="0"/>
          <w:divBdr>
            <w:top w:val="none" w:sz="0" w:space="0" w:color="auto"/>
            <w:left w:val="none" w:sz="0" w:space="0" w:color="auto"/>
            <w:bottom w:val="none" w:sz="0" w:space="0" w:color="auto"/>
            <w:right w:val="none" w:sz="0" w:space="0" w:color="auto"/>
          </w:divBdr>
        </w:div>
        <w:div w:id="855771843">
          <w:marLeft w:val="0"/>
          <w:marRight w:val="0"/>
          <w:marTop w:val="0"/>
          <w:marBottom w:val="0"/>
          <w:divBdr>
            <w:top w:val="none" w:sz="0" w:space="0" w:color="auto"/>
            <w:left w:val="none" w:sz="0" w:space="0" w:color="auto"/>
            <w:bottom w:val="none" w:sz="0" w:space="0" w:color="auto"/>
            <w:right w:val="none" w:sz="0" w:space="0" w:color="auto"/>
          </w:divBdr>
        </w:div>
        <w:div w:id="929629421">
          <w:marLeft w:val="0"/>
          <w:marRight w:val="0"/>
          <w:marTop w:val="0"/>
          <w:marBottom w:val="0"/>
          <w:divBdr>
            <w:top w:val="none" w:sz="0" w:space="0" w:color="auto"/>
            <w:left w:val="none" w:sz="0" w:space="0" w:color="auto"/>
            <w:bottom w:val="none" w:sz="0" w:space="0" w:color="auto"/>
            <w:right w:val="none" w:sz="0" w:space="0" w:color="auto"/>
          </w:divBdr>
        </w:div>
        <w:div w:id="937713134">
          <w:marLeft w:val="0"/>
          <w:marRight w:val="0"/>
          <w:marTop w:val="0"/>
          <w:marBottom w:val="0"/>
          <w:divBdr>
            <w:top w:val="none" w:sz="0" w:space="0" w:color="auto"/>
            <w:left w:val="none" w:sz="0" w:space="0" w:color="auto"/>
            <w:bottom w:val="none" w:sz="0" w:space="0" w:color="auto"/>
            <w:right w:val="none" w:sz="0" w:space="0" w:color="auto"/>
          </w:divBdr>
        </w:div>
        <w:div w:id="952248147">
          <w:marLeft w:val="0"/>
          <w:marRight w:val="0"/>
          <w:marTop w:val="0"/>
          <w:marBottom w:val="0"/>
          <w:divBdr>
            <w:top w:val="none" w:sz="0" w:space="0" w:color="auto"/>
            <w:left w:val="none" w:sz="0" w:space="0" w:color="auto"/>
            <w:bottom w:val="none" w:sz="0" w:space="0" w:color="auto"/>
            <w:right w:val="none" w:sz="0" w:space="0" w:color="auto"/>
          </w:divBdr>
        </w:div>
        <w:div w:id="957488111">
          <w:marLeft w:val="0"/>
          <w:marRight w:val="0"/>
          <w:marTop w:val="0"/>
          <w:marBottom w:val="0"/>
          <w:divBdr>
            <w:top w:val="none" w:sz="0" w:space="0" w:color="auto"/>
            <w:left w:val="none" w:sz="0" w:space="0" w:color="auto"/>
            <w:bottom w:val="none" w:sz="0" w:space="0" w:color="auto"/>
            <w:right w:val="none" w:sz="0" w:space="0" w:color="auto"/>
          </w:divBdr>
        </w:div>
        <w:div w:id="1005207336">
          <w:marLeft w:val="0"/>
          <w:marRight w:val="0"/>
          <w:marTop w:val="0"/>
          <w:marBottom w:val="0"/>
          <w:divBdr>
            <w:top w:val="none" w:sz="0" w:space="0" w:color="auto"/>
            <w:left w:val="none" w:sz="0" w:space="0" w:color="auto"/>
            <w:bottom w:val="none" w:sz="0" w:space="0" w:color="auto"/>
            <w:right w:val="none" w:sz="0" w:space="0" w:color="auto"/>
          </w:divBdr>
        </w:div>
        <w:div w:id="1104375666">
          <w:marLeft w:val="0"/>
          <w:marRight w:val="0"/>
          <w:marTop w:val="0"/>
          <w:marBottom w:val="0"/>
          <w:divBdr>
            <w:top w:val="none" w:sz="0" w:space="0" w:color="auto"/>
            <w:left w:val="none" w:sz="0" w:space="0" w:color="auto"/>
            <w:bottom w:val="none" w:sz="0" w:space="0" w:color="auto"/>
            <w:right w:val="none" w:sz="0" w:space="0" w:color="auto"/>
          </w:divBdr>
        </w:div>
        <w:div w:id="1117405330">
          <w:marLeft w:val="0"/>
          <w:marRight w:val="0"/>
          <w:marTop w:val="0"/>
          <w:marBottom w:val="0"/>
          <w:divBdr>
            <w:top w:val="none" w:sz="0" w:space="0" w:color="auto"/>
            <w:left w:val="none" w:sz="0" w:space="0" w:color="auto"/>
            <w:bottom w:val="none" w:sz="0" w:space="0" w:color="auto"/>
            <w:right w:val="none" w:sz="0" w:space="0" w:color="auto"/>
          </w:divBdr>
        </w:div>
        <w:div w:id="1217618497">
          <w:marLeft w:val="0"/>
          <w:marRight w:val="0"/>
          <w:marTop w:val="0"/>
          <w:marBottom w:val="0"/>
          <w:divBdr>
            <w:top w:val="none" w:sz="0" w:space="0" w:color="auto"/>
            <w:left w:val="none" w:sz="0" w:space="0" w:color="auto"/>
            <w:bottom w:val="none" w:sz="0" w:space="0" w:color="auto"/>
            <w:right w:val="none" w:sz="0" w:space="0" w:color="auto"/>
          </w:divBdr>
        </w:div>
        <w:div w:id="1267807136">
          <w:marLeft w:val="0"/>
          <w:marRight w:val="0"/>
          <w:marTop w:val="0"/>
          <w:marBottom w:val="0"/>
          <w:divBdr>
            <w:top w:val="none" w:sz="0" w:space="0" w:color="auto"/>
            <w:left w:val="none" w:sz="0" w:space="0" w:color="auto"/>
            <w:bottom w:val="none" w:sz="0" w:space="0" w:color="auto"/>
            <w:right w:val="none" w:sz="0" w:space="0" w:color="auto"/>
          </w:divBdr>
        </w:div>
        <w:div w:id="1345205933">
          <w:marLeft w:val="0"/>
          <w:marRight w:val="0"/>
          <w:marTop w:val="0"/>
          <w:marBottom w:val="0"/>
          <w:divBdr>
            <w:top w:val="none" w:sz="0" w:space="0" w:color="auto"/>
            <w:left w:val="none" w:sz="0" w:space="0" w:color="auto"/>
            <w:bottom w:val="none" w:sz="0" w:space="0" w:color="auto"/>
            <w:right w:val="none" w:sz="0" w:space="0" w:color="auto"/>
          </w:divBdr>
        </w:div>
        <w:div w:id="1351909099">
          <w:marLeft w:val="0"/>
          <w:marRight w:val="0"/>
          <w:marTop w:val="0"/>
          <w:marBottom w:val="0"/>
          <w:divBdr>
            <w:top w:val="none" w:sz="0" w:space="0" w:color="auto"/>
            <w:left w:val="none" w:sz="0" w:space="0" w:color="auto"/>
            <w:bottom w:val="none" w:sz="0" w:space="0" w:color="auto"/>
            <w:right w:val="none" w:sz="0" w:space="0" w:color="auto"/>
          </w:divBdr>
        </w:div>
        <w:div w:id="1428501537">
          <w:marLeft w:val="0"/>
          <w:marRight w:val="0"/>
          <w:marTop w:val="0"/>
          <w:marBottom w:val="0"/>
          <w:divBdr>
            <w:top w:val="none" w:sz="0" w:space="0" w:color="auto"/>
            <w:left w:val="none" w:sz="0" w:space="0" w:color="auto"/>
            <w:bottom w:val="none" w:sz="0" w:space="0" w:color="auto"/>
            <w:right w:val="none" w:sz="0" w:space="0" w:color="auto"/>
          </w:divBdr>
        </w:div>
        <w:div w:id="1528641537">
          <w:marLeft w:val="0"/>
          <w:marRight w:val="0"/>
          <w:marTop w:val="0"/>
          <w:marBottom w:val="0"/>
          <w:divBdr>
            <w:top w:val="none" w:sz="0" w:space="0" w:color="auto"/>
            <w:left w:val="none" w:sz="0" w:space="0" w:color="auto"/>
            <w:bottom w:val="none" w:sz="0" w:space="0" w:color="auto"/>
            <w:right w:val="none" w:sz="0" w:space="0" w:color="auto"/>
          </w:divBdr>
        </w:div>
        <w:div w:id="1567260022">
          <w:marLeft w:val="0"/>
          <w:marRight w:val="0"/>
          <w:marTop w:val="0"/>
          <w:marBottom w:val="0"/>
          <w:divBdr>
            <w:top w:val="none" w:sz="0" w:space="0" w:color="auto"/>
            <w:left w:val="none" w:sz="0" w:space="0" w:color="auto"/>
            <w:bottom w:val="none" w:sz="0" w:space="0" w:color="auto"/>
            <w:right w:val="none" w:sz="0" w:space="0" w:color="auto"/>
          </w:divBdr>
        </w:div>
        <w:div w:id="1650553217">
          <w:marLeft w:val="0"/>
          <w:marRight w:val="0"/>
          <w:marTop w:val="0"/>
          <w:marBottom w:val="0"/>
          <w:divBdr>
            <w:top w:val="none" w:sz="0" w:space="0" w:color="auto"/>
            <w:left w:val="none" w:sz="0" w:space="0" w:color="auto"/>
            <w:bottom w:val="none" w:sz="0" w:space="0" w:color="auto"/>
            <w:right w:val="none" w:sz="0" w:space="0" w:color="auto"/>
          </w:divBdr>
        </w:div>
        <w:div w:id="1795976015">
          <w:marLeft w:val="0"/>
          <w:marRight w:val="0"/>
          <w:marTop w:val="0"/>
          <w:marBottom w:val="0"/>
          <w:divBdr>
            <w:top w:val="none" w:sz="0" w:space="0" w:color="auto"/>
            <w:left w:val="none" w:sz="0" w:space="0" w:color="auto"/>
            <w:bottom w:val="none" w:sz="0" w:space="0" w:color="auto"/>
            <w:right w:val="none" w:sz="0" w:space="0" w:color="auto"/>
          </w:divBdr>
        </w:div>
        <w:div w:id="1806464629">
          <w:marLeft w:val="0"/>
          <w:marRight w:val="0"/>
          <w:marTop w:val="0"/>
          <w:marBottom w:val="0"/>
          <w:divBdr>
            <w:top w:val="none" w:sz="0" w:space="0" w:color="auto"/>
            <w:left w:val="none" w:sz="0" w:space="0" w:color="auto"/>
            <w:bottom w:val="none" w:sz="0" w:space="0" w:color="auto"/>
            <w:right w:val="none" w:sz="0" w:space="0" w:color="auto"/>
          </w:divBdr>
        </w:div>
        <w:div w:id="1871797683">
          <w:marLeft w:val="0"/>
          <w:marRight w:val="0"/>
          <w:marTop w:val="0"/>
          <w:marBottom w:val="0"/>
          <w:divBdr>
            <w:top w:val="none" w:sz="0" w:space="0" w:color="auto"/>
            <w:left w:val="none" w:sz="0" w:space="0" w:color="auto"/>
            <w:bottom w:val="none" w:sz="0" w:space="0" w:color="auto"/>
            <w:right w:val="none" w:sz="0" w:space="0" w:color="auto"/>
          </w:divBdr>
        </w:div>
        <w:div w:id="2047826965">
          <w:marLeft w:val="0"/>
          <w:marRight w:val="0"/>
          <w:marTop w:val="0"/>
          <w:marBottom w:val="0"/>
          <w:divBdr>
            <w:top w:val="none" w:sz="0" w:space="0" w:color="auto"/>
            <w:left w:val="none" w:sz="0" w:space="0" w:color="auto"/>
            <w:bottom w:val="none" w:sz="0" w:space="0" w:color="auto"/>
            <w:right w:val="none" w:sz="0" w:space="0" w:color="auto"/>
          </w:divBdr>
        </w:div>
      </w:divsChild>
    </w:div>
    <w:div w:id="2125227557">
      <w:bodyDiv w:val="1"/>
      <w:marLeft w:val="0"/>
      <w:marRight w:val="0"/>
      <w:marTop w:val="0"/>
      <w:marBottom w:val="0"/>
      <w:divBdr>
        <w:top w:val="none" w:sz="0" w:space="0" w:color="auto"/>
        <w:left w:val="none" w:sz="0" w:space="0" w:color="auto"/>
        <w:bottom w:val="none" w:sz="0" w:space="0" w:color="auto"/>
        <w:right w:val="none" w:sz="0" w:space="0" w:color="auto"/>
      </w:divBdr>
      <w:divsChild>
        <w:div w:id="704985729">
          <w:marLeft w:val="0"/>
          <w:marRight w:val="0"/>
          <w:marTop w:val="0"/>
          <w:marBottom w:val="0"/>
          <w:divBdr>
            <w:top w:val="none" w:sz="0" w:space="0" w:color="auto"/>
            <w:left w:val="none" w:sz="0" w:space="0" w:color="auto"/>
            <w:bottom w:val="none" w:sz="0" w:space="0" w:color="auto"/>
            <w:right w:val="none" w:sz="0" w:space="0" w:color="auto"/>
          </w:divBdr>
          <w:divsChild>
            <w:div w:id="455293397">
              <w:marLeft w:val="0"/>
              <w:marRight w:val="0"/>
              <w:marTop w:val="0"/>
              <w:marBottom w:val="0"/>
              <w:divBdr>
                <w:top w:val="none" w:sz="0" w:space="0" w:color="auto"/>
                <w:left w:val="none" w:sz="0" w:space="0" w:color="auto"/>
                <w:bottom w:val="none" w:sz="0" w:space="0" w:color="auto"/>
                <w:right w:val="none" w:sz="0" w:space="0" w:color="auto"/>
              </w:divBdr>
              <w:divsChild>
                <w:div w:id="1630237798">
                  <w:marLeft w:val="0"/>
                  <w:marRight w:val="0"/>
                  <w:marTop w:val="0"/>
                  <w:marBottom w:val="0"/>
                  <w:divBdr>
                    <w:top w:val="none" w:sz="0" w:space="0" w:color="auto"/>
                    <w:left w:val="none" w:sz="0" w:space="0" w:color="auto"/>
                    <w:bottom w:val="none" w:sz="0" w:space="0" w:color="auto"/>
                    <w:right w:val="none" w:sz="0" w:space="0" w:color="auto"/>
                  </w:divBdr>
                  <w:divsChild>
                    <w:div w:id="707725605">
                      <w:marLeft w:val="0"/>
                      <w:marRight w:val="0"/>
                      <w:marTop w:val="0"/>
                      <w:marBottom w:val="0"/>
                      <w:divBdr>
                        <w:top w:val="none" w:sz="0" w:space="0" w:color="auto"/>
                        <w:left w:val="none" w:sz="0" w:space="0" w:color="auto"/>
                        <w:bottom w:val="none" w:sz="0" w:space="0" w:color="auto"/>
                        <w:right w:val="none" w:sz="0" w:space="0" w:color="auto"/>
                      </w:divBdr>
                      <w:divsChild>
                        <w:div w:id="1866016672">
                          <w:marLeft w:val="0"/>
                          <w:marRight w:val="0"/>
                          <w:marTop w:val="0"/>
                          <w:marBottom w:val="0"/>
                          <w:divBdr>
                            <w:top w:val="none" w:sz="0" w:space="0" w:color="auto"/>
                            <w:left w:val="none" w:sz="0" w:space="0" w:color="auto"/>
                            <w:bottom w:val="none" w:sz="0" w:space="0" w:color="auto"/>
                            <w:right w:val="none" w:sz="0" w:space="0" w:color="auto"/>
                          </w:divBdr>
                          <w:divsChild>
                            <w:div w:id="507868518">
                              <w:marLeft w:val="0"/>
                              <w:marRight w:val="0"/>
                              <w:marTop w:val="0"/>
                              <w:marBottom w:val="0"/>
                              <w:divBdr>
                                <w:top w:val="none" w:sz="0" w:space="0" w:color="auto"/>
                                <w:left w:val="none" w:sz="0" w:space="0" w:color="auto"/>
                                <w:bottom w:val="none" w:sz="0" w:space="0" w:color="auto"/>
                                <w:right w:val="none" w:sz="0" w:space="0" w:color="auto"/>
                              </w:divBdr>
                              <w:divsChild>
                                <w:div w:id="1939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801090">
      <w:bodyDiv w:val="1"/>
      <w:marLeft w:val="0"/>
      <w:marRight w:val="0"/>
      <w:marTop w:val="0"/>
      <w:marBottom w:val="0"/>
      <w:divBdr>
        <w:top w:val="none" w:sz="0" w:space="0" w:color="auto"/>
        <w:left w:val="none" w:sz="0" w:space="0" w:color="auto"/>
        <w:bottom w:val="none" w:sz="0" w:space="0" w:color="auto"/>
        <w:right w:val="none" w:sz="0" w:space="0" w:color="auto"/>
      </w:divBdr>
    </w:div>
    <w:div w:id="21315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absus.org" TargetMode="External"/><Relationship Id="rId4" Type="http://schemas.openxmlformats.org/officeDocument/2006/relationships/settings" Target="settings.xml"/><Relationship Id="rId9" Type="http://schemas.openxmlformats.org/officeDocument/2006/relationships/hyperlink" Target="https://www.labsus.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se.it/documenti_site/Documenti%20GSE/Servizi%20per%20te/AUTOCONSUMO/Gruppi%20di%20autoconsumatori%20e%20comunita%20di%20energia%20rinnovabile/Normative/DL%20PNRR.pdf" TargetMode="External"/><Relationship Id="rId3" Type="http://schemas.openxmlformats.org/officeDocument/2006/relationships/hyperlink" Target="https://unric.org/it/agenda-2030/" TargetMode="External"/><Relationship Id="rId7" Type="http://schemas.openxmlformats.org/officeDocument/2006/relationships/hyperlink" Target="https://www.gse.it/servizi-per-te/news/cacer-aggiornate-le-regole-operative-e-pubblicato-il-decreto-corrispettivi" TargetMode="External"/><Relationship Id="rId2" Type="http://schemas.openxmlformats.org/officeDocument/2006/relationships/hyperlink" Target="http://www.unep.org/greeneconomy" TargetMode="External"/><Relationship Id="rId1" Type="http://schemas.openxmlformats.org/officeDocument/2006/relationships/hyperlink" Target="https://www.europarl.europa.eu/news/it/headlines/society/20190926STO62270/neutralita-carbonica-cos-e-e-come-raggiungerla" TargetMode="External"/><Relationship Id="rId6" Type="http://schemas.openxmlformats.org/officeDocument/2006/relationships/hyperlink" Target="https://www.labsus.org" TargetMode="External"/><Relationship Id="rId5" Type="http://schemas.openxmlformats.org/officeDocument/2006/relationships/hyperlink" Target="https://www.labsus.org" TargetMode="External"/><Relationship Id="rId10" Type="http://schemas.openxmlformats.org/officeDocument/2006/relationships/hyperlink" Target="https://www.gse.it/documenti_site/Documenti%20GSE/Servizi%20per%20te/AUTOCONSUMO/Altri%20contenuti/Decreto%20CER.pdf" TargetMode="External"/><Relationship Id="rId4" Type="http://schemas.openxmlformats.org/officeDocument/2006/relationships/hyperlink" Target="http://www.fondazionesvilupposostenibile.org" TargetMode="External"/><Relationship Id="rId9" Type="http://schemas.openxmlformats.org/officeDocument/2006/relationships/hyperlink" Target="https://www.gse.it/servizi-per-te/autoconsumo/gruppi-di-autoconsumatori-e-comunita-di-energia-rinnovabile/gruppi-di-autoconsumator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5694D-351B-4290-BF92-B57BB15C2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144</Pages>
  <Words>47212</Words>
  <Characters>269115</Characters>
  <Application>Microsoft Office Word</Application>
  <DocSecurity>0</DocSecurity>
  <Lines>2242</Lines>
  <Paragraphs>631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Ilenia Torella</dc:creator>
  <cp:keywords/>
  <dc:description/>
  <cp:lastModifiedBy>jiada domanico</cp:lastModifiedBy>
  <cp:revision>2</cp:revision>
  <dcterms:created xsi:type="dcterms:W3CDTF">2026-07-03T10:44:00Z</dcterms:created>
  <dcterms:modified xsi:type="dcterms:W3CDTF">2026-07-03T10:44:00Z</dcterms:modified>
</cp:coreProperties>
</file>