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BF1" w:rsidRDefault="000C5BF1" w:rsidP="000C5BF1">
      <w:pPr>
        <w:ind w:firstLine="0"/>
      </w:pPr>
      <w:r>
        <w:t xml:space="preserve">Guido Mattia </w:t>
      </w:r>
      <w:proofErr w:type="spellStart"/>
      <w:r>
        <w:t>Gallerani</w:t>
      </w:r>
      <w:proofErr w:type="spellEnd"/>
    </w:p>
    <w:p w:rsidR="00D3683B" w:rsidRDefault="000C5BF1" w:rsidP="000C5BF1">
      <w:pPr>
        <w:ind w:firstLine="0"/>
        <w:rPr>
          <w:i/>
        </w:rPr>
      </w:pPr>
      <w:r w:rsidRPr="000C5BF1">
        <w:rPr>
          <w:i/>
        </w:rPr>
        <w:t>Raccontare per saggi. Origine e modi di una contaminazione novecentesca: casi dalle letterature italiana e francese.</w:t>
      </w:r>
    </w:p>
    <w:p w:rsidR="003B1034" w:rsidRDefault="003B1034" w:rsidP="003B1034">
      <w:pPr>
        <w:ind w:firstLine="0"/>
      </w:pPr>
      <w:r>
        <w:t>Tesi di Dottorato in “</w:t>
      </w:r>
      <w:r w:rsidRPr="003B1034">
        <w:t>Lingue e Culture del Mediterraneo</w:t>
      </w:r>
      <w:r>
        <w:t>”</w:t>
      </w:r>
      <w:r w:rsidRPr="003B1034">
        <w:t xml:space="preserve"> </w:t>
      </w:r>
      <w:r>
        <w:t>(</w:t>
      </w:r>
      <w:r w:rsidRPr="003B1034">
        <w:t>XXV</w:t>
      </w:r>
      <w:r>
        <w:t>).</w:t>
      </w:r>
    </w:p>
    <w:p w:rsidR="003B1034" w:rsidRDefault="003B1034" w:rsidP="003B1034">
      <w:pPr>
        <w:ind w:firstLine="0"/>
      </w:pPr>
      <w:r>
        <w:t>Tutor: Prof.ssa Ernestina Pellegrini</w:t>
      </w:r>
    </w:p>
    <w:p w:rsidR="003B1034" w:rsidRPr="003B1034" w:rsidRDefault="003B1034" w:rsidP="003B1034">
      <w:pPr>
        <w:ind w:firstLine="0"/>
      </w:pPr>
      <w:r w:rsidRPr="003B1034">
        <w:t>SSD</w:t>
      </w:r>
      <w:r>
        <w:t xml:space="preserve"> </w:t>
      </w:r>
      <w:r w:rsidRPr="003B1034">
        <w:t>Critica Letteraria e Letterature Comparate</w:t>
      </w:r>
      <w:r>
        <w:t xml:space="preserve"> </w:t>
      </w:r>
      <w:r w:rsidRPr="003B1034">
        <w:t>L-FIL-LET/14</w:t>
      </w:r>
    </w:p>
    <w:p w:rsidR="000C5BF1" w:rsidRDefault="000C5BF1" w:rsidP="000C5BF1">
      <w:pPr>
        <w:spacing w:before="120" w:after="120"/>
        <w:ind w:firstLine="0"/>
        <w:rPr>
          <w:smallCaps/>
        </w:rPr>
      </w:pPr>
      <w:proofErr w:type="spellStart"/>
      <w:r w:rsidRPr="000C5BF1">
        <w:rPr>
          <w:smallCaps/>
        </w:rPr>
        <w:t>Abstract</w:t>
      </w:r>
      <w:proofErr w:type="spellEnd"/>
    </w:p>
    <w:p w:rsidR="00BC1B7D" w:rsidRDefault="0090219D" w:rsidP="005101A9">
      <w:pPr>
        <w:spacing w:line="360" w:lineRule="auto"/>
        <w:ind w:firstLine="0"/>
      </w:pPr>
      <w:r>
        <w:t xml:space="preserve">La tesi di dottorato concerne il problema della contaminazione come pratica di </w:t>
      </w:r>
      <w:r w:rsidR="00BC1B7D">
        <w:t>interrelazione dei generi letterari nelle opere, e in particolar modo</w:t>
      </w:r>
      <w:r w:rsidR="007B0440">
        <w:t xml:space="preserve"> delle componenti narrative rilevabili in un certo tipo di saggio novecentesco</w:t>
      </w:r>
      <w:r w:rsidR="00BC1B7D">
        <w:t>. L’analisi testuale ha privilegiato opere francesi ed italiane.</w:t>
      </w:r>
    </w:p>
    <w:p w:rsidR="00BC1B7D" w:rsidRPr="00BC1B7D" w:rsidRDefault="0090219D" w:rsidP="005101A9">
      <w:pPr>
        <w:spacing w:line="360" w:lineRule="auto"/>
        <w:ind w:firstLine="0"/>
      </w:pPr>
      <w:r>
        <w:t>Una prima parte del</w:t>
      </w:r>
      <w:r w:rsidR="00BC1B7D">
        <w:t xml:space="preserve"> lavoro ha affrontato la questione in </w:t>
      </w:r>
      <w:r w:rsidR="009B6ACE" w:rsidRPr="009B6ACE">
        <w:t>termini semantici: cosa intendiamo con la formula “genere letterario”, con le parole “contaminazione”, “saggio” e “narrazione” quando le usiamo in relazione alle opere letterarie che leggiamo?</w:t>
      </w:r>
      <w:r w:rsidR="00BC1B7D">
        <w:t xml:space="preserve"> Il problema del genere letterario è stato risolto nell’elaborazione teorica di una doppia</w:t>
      </w:r>
      <w:r w:rsidR="007B0440">
        <w:t xml:space="preserve"> sua</w:t>
      </w:r>
      <w:r w:rsidR="00BC1B7D">
        <w:t xml:space="preserve"> concezione. Si può</w:t>
      </w:r>
      <w:r w:rsidR="00BC1B7D" w:rsidRPr="00297F3C">
        <w:rPr>
          <w:bCs/>
        </w:rPr>
        <w:t xml:space="preserve"> </w:t>
      </w:r>
      <w:r w:rsidR="00BC1B7D">
        <w:rPr>
          <w:bCs/>
        </w:rPr>
        <w:t>comprendere</w:t>
      </w:r>
      <w:r w:rsidR="00BC1B7D" w:rsidRPr="009B6ACE">
        <w:rPr>
          <w:bCs/>
        </w:rPr>
        <w:t xml:space="preserve"> la situazione </w:t>
      </w:r>
      <w:r w:rsidR="00BC1B7D" w:rsidRPr="00BC1B7D">
        <w:rPr>
          <w:bCs/>
        </w:rPr>
        <w:t>storica</w:t>
      </w:r>
      <w:r w:rsidR="00BC1B7D" w:rsidRPr="009B6ACE">
        <w:rPr>
          <w:bCs/>
        </w:rPr>
        <w:t xml:space="preserve"> </w:t>
      </w:r>
      <w:r w:rsidR="00BC1B7D">
        <w:rPr>
          <w:bCs/>
        </w:rPr>
        <w:t>di un genere (il suo</w:t>
      </w:r>
      <w:r w:rsidR="00BC1B7D" w:rsidRPr="009B6ACE">
        <w:rPr>
          <w:bCs/>
        </w:rPr>
        <w:t xml:space="preserve"> cambiamento</w:t>
      </w:r>
      <w:r w:rsidR="00BC1B7D">
        <w:rPr>
          <w:bCs/>
        </w:rPr>
        <w:t xml:space="preserve"> nel tempo)</w:t>
      </w:r>
      <w:r w:rsidR="00BC1B7D" w:rsidRPr="009B6ACE">
        <w:rPr>
          <w:bCs/>
        </w:rPr>
        <w:t xml:space="preserve"> </w:t>
      </w:r>
      <w:r w:rsidR="00BC1B7D">
        <w:rPr>
          <w:bCs/>
        </w:rPr>
        <w:t>per mezzo di</w:t>
      </w:r>
      <w:r w:rsidR="00BC1B7D" w:rsidRPr="009B6ACE">
        <w:rPr>
          <w:bCs/>
        </w:rPr>
        <w:t xml:space="preserve"> una teoria </w:t>
      </w:r>
      <w:r w:rsidR="00BC1B7D" w:rsidRPr="009B6ACE">
        <w:rPr>
          <w:bCs/>
          <w:i/>
        </w:rPr>
        <w:t>nominalistica</w:t>
      </w:r>
      <w:r w:rsidR="00BC1B7D">
        <w:rPr>
          <w:bCs/>
        </w:rPr>
        <w:t>, che valuti</w:t>
      </w:r>
      <w:r w:rsidR="00BC1B7D" w:rsidRPr="009B6ACE">
        <w:rPr>
          <w:bCs/>
        </w:rPr>
        <w:t xml:space="preserve"> tutte le sue facoltà di orientamento </w:t>
      </w:r>
      <w:r w:rsidR="00BC1B7D" w:rsidRPr="00BC1B7D">
        <w:rPr>
          <w:bCs/>
        </w:rPr>
        <w:t>pragmatico</w:t>
      </w:r>
      <w:r w:rsidR="00BC1B7D" w:rsidRPr="009B6ACE">
        <w:rPr>
          <w:bCs/>
          <w:i/>
        </w:rPr>
        <w:t xml:space="preserve"> </w:t>
      </w:r>
      <w:r w:rsidR="00BC1B7D" w:rsidRPr="009B6ACE">
        <w:rPr>
          <w:bCs/>
        </w:rPr>
        <w:t>rispetto all’intera letteratura, cioè in relazione agli usi che ne fa uno scrittore, agli effetti che esso produce e alla connessione che il genere crea tra opera e pubblico (</w:t>
      </w:r>
      <w:r w:rsidR="007B0440">
        <w:rPr>
          <w:bCs/>
        </w:rPr>
        <w:t xml:space="preserve">considerando anche </w:t>
      </w:r>
      <w:r w:rsidR="00BC1B7D" w:rsidRPr="009B6ACE">
        <w:rPr>
          <w:bCs/>
        </w:rPr>
        <w:t xml:space="preserve">la sua </w:t>
      </w:r>
      <w:r w:rsidR="00BC1B7D" w:rsidRPr="00BC1B7D">
        <w:rPr>
          <w:bCs/>
        </w:rPr>
        <w:t>politica</w:t>
      </w:r>
      <w:r w:rsidR="00BC1B7D">
        <w:rPr>
          <w:bCs/>
        </w:rPr>
        <w:t xml:space="preserve">). </w:t>
      </w:r>
      <w:r w:rsidR="00BC1B7D">
        <w:rPr>
          <w:bCs/>
        </w:rPr>
        <w:t xml:space="preserve">Allo stesso tempo, si richiede un’analisi </w:t>
      </w:r>
      <w:r w:rsidR="00BC1B7D">
        <w:rPr>
          <w:bCs/>
          <w:i/>
        </w:rPr>
        <w:t xml:space="preserve">strutturale </w:t>
      </w:r>
      <w:r w:rsidR="007B0440">
        <w:rPr>
          <w:bCs/>
        </w:rPr>
        <w:t>d</w:t>
      </w:r>
      <w:r w:rsidR="00BC1B7D">
        <w:rPr>
          <w:bCs/>
        </w:rPr>
        <w:t xml:space="preserve">el genere, poiché </w:t>
      </w:r>
      <w:r w:rsidR="007B0440">
        <w:rPr>
          <w:bCs/>
        </w:rPr>
        <w:t>quel nome</w:t>
      </w:r>
      <w:r w:rsidR="00BC1B7D">
        <w:rPr>
          <w:bCs/>
        </w:rPr>
        <w:t xml:space="preserve"> </w:t>
      </w:r>
      <w:r w:rsidR="00BC1B7D" w:rsidRPr="00297F3C">
        <w:rPr>
          <w:bCs/>
        </w:rPr>
        <w:t>si applica a un dato gruppo di opere esistenti</w:t>
      </w:r>
      <w:r w:rsidR="00BC1B7D">
        <w:rPr>
          <w:bCs/>
        </w:rPr>
        <w:t xml:space="preserve">, </w:t>
      </w:r>
      <w:r w:rsidR="007B0440">
        <w:rPr>
          <w:bCs/>
        </w:rPr>
        <w:t>vale a dire</w:t>
      </w:r>
      <w:r w:rsidR="00BC1B7D">
        <w:rPr>
          <w:bCs/>
        </w:rPr>
        <w:t xml:space="preserve"> una sintesi dell</w:t>
      </w:r>
      <w:r w:rsidR="007B0440">
        <w:rPr>
          <w:bCs/>
        </w:rPr>
        <w:t>’</w:t>
      </w:r>
      <w:r w:rsidR="00BC1B7D">
        <w:rPr>
          <w:bCs/>
        </w:rPr>
        <w:t>intera classe</w:t>
      </w:r>
      <w:r w:rsidR="007B0440">
        <w:rPr>
          <w:bCs/>
        </w:rPr>
        <w:t xml:space="preserve"> di opere che vengono riferite a quel genere</w:t>
      </w:r>
      <w:r w:rsidR="00BC1B7D">
        <w:rPr>
          <w:bCs/>
        </w:rPr>
        <w:t>:</w:t>
      </w:r>
      <w:r w:rsidR="00BC1B7D" w:rsidRPr="00297F3C">
        <w:rPr>
          <w:bCs/>
        </w:rPr>
        <w:t xml:space="preserve"> un’omogeneità di caratteri, chiamati invarianti, divisa dalle altre possibili.</w:t>
      </w:r>
      <w:r w:rsidR="007C7DE0">
        <w:rPr>
          <w:bCs/>
        </w:rPr>
        <w:t xml:space="preserve"> </w:t>
      </w:r>
      <w:r w:rsidR="00BC1B7D" w:rsidRPr="00297F3C">
        <w:rPr>
          <w:bCs/>
        </w:rPr>
        <w:t>Il genere letterario è così un concetto pratico esplicativo della relazione di un’opera con il tempo storico-culturale che la attraversa: la tradizione.</w:t>
      </w:r>
      <w:r w:rsidR="00BC1B7D">
        <w:rPr>
          <w:bCs/>
        </w:rPr>
        <w:t xml:space="preserve"> </w:t>
      </w:r>
      <w:r w:rsidR="007C7DE0">
        <w:rPr>
          <w:bCs/>
        </w:rPr>
        <w:t>Successivamente, d</w:t>
      </w:r>
      <w:r w:rsidR="00BC1B7D" w:rsidRPr="009B6ACE">
        <w:rPr>
          <w:bCs/>
        </w:rPr>
        <w:t xml:space="preserve">all’idea di ibridazione, che comporta l’annullamento delle caratteristiche generiche di un’opera per affermare la trasversalità della scrittura, si passa a un concetto di contaminazione come interazione tra un genere letterario e un’altra derivazione generica, elaborata soprattutto a partire dalle indicazioni di Gérard Genette: la nozione di </w:t>
      </w:r>
      <w:r w:rsidR="00BC1B7D" w:rsidRPr="009B6ACE">
        <w:rPr>
          <w:bCs/>
          <w:i/>
        </w:rPr>
        <w:t>modo</w:t>
      </w:r>
      <w:r w:rsidR="00BC1B7D" w:rsidRPr="009B6ACE">
        <w:rPr>
          <w:bCs/>
        </w:rPr>
        <w:t>.</w:t>
      </w:r>
      <w:r w:rsidR="00BC1B7D">
        <w:rPr>
          <w:bCs/>
        </w:rPr>
        <w:t xml:space="preserve"> </w:t>
      </w:r>
      <w:r w:rsidR="00BC1B7D">
        <w:rPr>
          <w:bCs/>
        </w:rPr>
        <w:t>Per questo</w:t>
      </w:r>
      <w:r w:rsidR="00BC1B7D" w:rsidRPr="00297F3C">
        <w:rPr>
          <w:bCs/>
        </w:rPr>
        <w:t xml:space="preserve"> un’opera può contaminarsi con altri modi discorsivi senza che cambi il referente usato anche per </w:t>
      </w:r>
      <w:r w:rsidR="007C7DE0">
        <w:rPr>
          <w:bCs/>
        </w:rPr>
        <w:t>altri</w:t>
      </w:r>
      <w:r w:rsidR="00BC1B7D" w:rsidRPr="00297F3C">
        <w:rPr>
          <w:bCs/>
        </w:rPr>
        <w:t xml:space="preserve"> testi</w:t>
      </w:r>
      <w:r w:rsidR="007C7DE0">
        <w:rPr>
          <w:bCs/>
        </w:rPr>
        <w:t>, assai</w:t>
      </w:r>
      <w:r w:rsidR="00BC1B7D" w:rsidRPr="00297F3C">
        <w:rPr>
          <w:bCs/>
        </w:rPr>
        <w:t xml:space="preserve"> più conformi alla struttura del genere</w:t>
      </w:r>
      <w:r w:rsidR="007C7DE0">
        <w:rPr>
          <w:bCs/>
        </w:rPr>
        <w:t xml:space="preserve"> loro riferito</w:t>
      </w:r>
      <w:r w:rsidR="00BC1B7D" w:rsidRPr="00297F3C">
        <w:rPr>
          <w:bCs/>
        </w:rPr>
        <w:t>.</w:t>
      </w:r>
    </w:p>
    <w:p w:rsidR="009B6ACE" w:rsidRDefault="00BC1B7D" w:rsidP="005101A9">
      <w:pPr>
        <w:spacing w:line="360" w:lineRule="auto"/>
        <w:ind w:firstLine="0"/>
      </w:pPr>
      <w:r>
        <w:t>La seconda parte</w:t>
      </w:r>
      <w:r w:rsidR="007C7DE0">
        <w:t xml:space="preserve"> della tesi</w:t>
      </w:r>
      <w:r>
        <w:t xml:space="preserve"> </w:t>
      </w:r>
      <w:r w:rsidR="009B6ACE" w:rsidRPr="009B6ACE">
        <w:t>verifica la possibilità di teorizzare una forma per il genere del saggio e almeno alcuni moduli basilari dei prestiti narrativi che esso ha avanzato nel suo decorso novecentesco</w:t>
      </w:r>
      <w:r w:rsidR="009B6ACE">
        <w:t>.</w:t>
      </w:r>
      <w:r>
        <w:t xml:space="preserve"> </w:t>
      </w:r>
      <w:r w:rsidRPr="00297F3C">
        <w:t xml:space="preserve">L’individualismo scettico, orientato soprattutto dal punto di vista morale, </w:t>
      </w:r>
      <w:r w:rsidR="00E95499">
        <w:t xml:space="preserve">degli </w:t>
      </w:r>
      <w:proofErr w:type="spellStart"/>
      <w:r w:rsidR="00E95499">
        <w:rPr>
          <w:i/>
        </w:rPr>
        <w:t>Essais</w:t>
      </w:r>
      <w:proofErr w:type="spellEnd"/>
      <w:r w:rsidR="00E95499" w:rsidRPr="00297F3C">
        <w:t xml:space="preserve"> di </w:t>
      </w:r>
      <w:proofErr w:type="spellStart"/>
      <w:r w:rsidR="00E95499" w:rsidRPr="00297F3C">
        <w:t>Montaigne</w:t>
      </w:r>
      <w:proofErr w:type="spellEnd"/>
      <w:r w:rsidR="00E95499" w:rsidRPr="00297F3C">
        <w:t xml:space="preserve"> </w:t>
      </w:r>
      <w:r w:rsidRPr="00297F3C">
        <w:t>si sintetizza quasi subito in un nuovo individualismo, proprio della coscienza soggettiva proiettata al controllo e alla presa sul fenomeno oggettivo</w:t>
      </w:r>
      <w:r w:rsidR="00E95499">
        <w:t>, particolarmente visibile nella sua declinazione anglosassone</w:t>
      </w:r>
      <w:r w:rsidR="007C7DE0">
        <w:t xml:space="preserve"> durante il Seicento e Settecento</w:t>
      </w:r>
      <w:r>
        <w:t>.</w:t>
      </w:r>
      <w:r w:rsidR="00E63868" w:rsidRPr="00E63868">
        <w:t xml:space="preserve"> </w:t>
      </w:r>
      <w:r w:rsidR="00E95499">
        <w:t>L</w:t>
      </w:r>
      <w:r w:rsidR="00E63868" w:rsidRPr="00E63868">
        <w:t>’utilità che il genere saggistico dimostrò in t</w:t>
      </w:r>
      <w:r w:rsidR="007C7DE0">
        <w:t>ermini di divulgazione lo ha infatti</w:t>
      </w:r>
      <w:r w:rsidR="00E63868" w:rsidRPr="00E63868">
        <w:t xml:space="preserve"> trasformato</w:t>
      </w:r>
      <w:r w:rsidR="007C7DE0">
        <w:t xml:space="preserve"> rapidamente</w:t>
      </w:r>
      <w:r w:rsidR="00E63868" w:rsidRPr="00E63868">
        <w:t xml:space="preserve"> in uno strumento idoneo all’affermazione del prototipo culturale scientifico-borghese: il genere let</w:t>
      </w:r>
      <w:r w:rsidR="007C7DE0">
        <w:t>terario di una precisa comunità e</w:t>
      </w:r>
      <w:r w:rsidR="00E63868" w:rsidRPr="00E63868">
        <w:t xml:space="preserve"> della sua </w:t>
      </w:r>
      <w:r w:rsidR="00E63868" w:rsidRPr="00E95499">
        <w:rPr>
          <w:i/>
        </w:rPr>
        <w:t>ideologia</w:t>
      </w:r>
      <w:r w:rsidR="00E63868">
        <w:t>.</w:t>
      </w:r>
    </w:p>
    <w:p w:rsidR="009B6ACE" w:rsidRPr="009B6ACE" w:rsidRDefault="00E95499" w:rsidP="005101A9">
      <w:pPr>
        <w:spacing w:line="360" w:lineRule="auto"/>
        <w:ind w:firstLine="0"/>
      </w:pPr>
      <w:r>
        <w:lastRenderedPageBreak/>
        <w:t>La t</w:t>
      </w:r>
      <w:r w:rsidR="009B6ACE">
        <w:t>erza parte</w:t>
      </w:r>
      <w:r>
        <w:t xml:space="preserve"> e ultima parte</w:t>
      </w:r>
      <w:r w:rsidR="007C7DE0">
        <w:t xml:space="preserve"> del lavoro</w:t>
      </w:r>
      <w:r>
        <w:t xml:space="preserve"> ricava</w:t>
      </w:r>
      <w:r w:rsidR="007C7DE0">
        <w:t xml:space="preserve"> precisi</w:t>
      </w:r>
      <w:r>
        <w:t xml:space="preserve"> modelli di contaminazione dall’analisi dei seguenti saggi: </w:t>
      </w:r>
      <w:r w:rsidRPr="00E95499">
        <w:rPr>
          <w:bCs/>
          <w:i/>
        </w:rPr>
        <w:t>Ringraziamento a una ballata di Paul Fort</w:t>
      </w:r>
      <w:r w:rsidRPr="00E95499">
        <w:rPr>
          <w:bCs/>
        </w:rPr>
        <w:t xml:space="preserve"> di Renato Serra</w:t>
      </w:r>
      <w:r>
        <w:rPr>
          <w:bCs/>
        </w:rPr>
        <w:t>,</w:t>
      </w:r>
      <w:r w:rsidRPr="00E95499">
        <w:rPr>
          <w:bCs/>
        </w:rPr>
        <w:t xml:space="preserve"> </w:t>
      </w:r>
      <w:r w:rsidRPr="00E95499">
        <w:rPr>
          <w:bCs/>
          <w:i/>
        </w:rPr>
        <w:t>Saggi critici</w:t>
      </w:r>
      <w:r w:rsidRPr="00E95499">
        <w:rPr>
          <w:bCs/>
        </w:rPr>
        <w:t xml:space="preserve"> e </w:t>
      </w:r>
      <w:r w:rsidRPr="00E95499">
        <w:rPr>
          <w:bCs/>
          <w:i/>
        </w:rPr>
        <w:t xml:space="preserve">Commemorazione provvisoria del personaggio-uomo </w:t>
      </w:r>
      <w:r w:rsidRPr="00E95499">
        <w:rPr>
          <w:bCs/>
        </w:rPr>
        <w:t>di Giacomo Debenedetti</w:t>
      </w:r>
      <w:r>
        <w:rPr>
          <w:bCs/>
        </w:rPr>
        <w:t>,</w:t>
      </w:r>
      <w:r w:rsidRPr="00E95499">
        <w:rPr>
          <w:bCs/>
        </w:rPr>
        <w:t xml:space="preserve"> </w:t>
      </w:r>
      <w:r w:rsidRPr="00E95499">
        <w:rPr>
          <w:bCs/>
          <w:i/>
        </w:rPr>
        <w:t xml:space="preserve">S/Z </w:t>
      </w:r>
      <w:r w:rsidRPr="00E95499">
        <w:rPr>
          <w:bCs/>
        </w:rPr>
        <w:t xml:space="preserve">e </w:t>
      </w:r>
      <w:r w:rsidRPr="00E95499">
        <w:rPr>
          <w:bCs/>
          <w:i/>
        </w:rPr>
        <w:t xml:space="preserve">Sade, Fourier, Loyola </w:t>
      </w:r>
      <w:r w:rsidRPr="00E95499">
        <w:rPr>
          <w:bCs/>
        </w:rPr>
        <w:t xml:space="preserve">di Roland </w:t>
      </w:r>
      <w:proofErr w:type="spellStart"/>
      <w:r w:rsidRPr="00E95499">
        <w:rPr>
          <w:bCs/>
        </w:rPr>
        <w:t>Barthes</w:t>
      </w:r>
      <w:proofErr w:type="spellEnd"/>
      <w:r>
        <w:rPr>
          <w:bCs/>
        </w:rPr>
        <w:t>,</w:t>
      </w:r>
      <w:r w:rsidRPr="00E95499">
        <w:rPr>
          <w:bCs/>
        </w:rPr>
        <w:t xml:space="preserve"> </w:t>
      </w:r>
      <w:r w:rsidRPr="00E95499">
        <w:rPr>
          <w:bCs/>
          <w:i/>
        </w:rPr>
        <w:t>L’</w:t>
      </w:r>
      <w:proofErr w:type="spellStart"/>
      <w:r w:rsidRPr="00E95499">
        <w:rPr>
          <w:bCs/>
          <w:i/>
        </w:rPr>
        <w:t>Idiot</w:t>
      </w:r>
      <w:proofErr w:type="spellEnd"/>
      <w:r w:rsidRPr="00E95499">
        <w:rPr>
          <w:bCs/>
          <w:i/>
        </w:rPr>
        <w:t xml:space="preserve"> de la </w:t>
      </w:r>
      <w:proofErr w:type="spellStart"/>
      <w:r w:rsidRPr="00E95499">
        <w:rPr>
          <w:bCs/>
          <w:i/>
        </w:rPr>
        <w:t>famille</w:t>
      </w:r>
      <w:proofErr w:type="spellEnd"/>
      <w:r w:rsidRPr="00E95499">
        <w:rPr>
          <w:bCs/>
          <w:i/>
        </w:rPr>
        <w:t xml:space="preserve">: Gustave Flaubert </w:t>
      </w:r>
      <w:r w:rsidRPr="00E95499">
        <w:rPr>
          <w:bCs/>
        </w:rPr>
        <w:t>di Jean-Paul Sartre</w:t>
      </w:r>
      <w:r>
        <w:rPr>
          <w:bCs/>
        </w:rPr>
        <w:t>,</w:t>
      </w:r>
      <w:r w:rsidRPr="00E95499">
        <w:rPr>
          <w:bCs/>
        </w:rPr>
        <w:t xml:space="preserve"> </w:t>
      </w:r>
      <w:r w:rsidRPr="00E95499">
        <w:rPr>
          <w:bCs/>
          <w:i/>
        </w:rPr>
        <w:t xml:space="preserve">Pinocchio: un libro parallelo </w:t>
      </w:r>
      <w:r w:rsidRPr="00E95499">
        <w:rPr>
          <w:bCs/>
        </w:rPr>
        <w:t>di Giorgio Manganelli</w:t>
      </w:r>
      <w:r>
        <w:rPr>
          <w:bCs/>
        </w:rPr>
        <w:t>,</w:t>
      </w:r>
      <w:r w:rsidRPr="00E95499">
        <w:rPr>
          <w:bCs/>
        </w:rPr>
        <w:t xml:space="preserve"> </w:t>
      </w:r>
      <w:r w:rsidRPr="00E95499">
        <w:rPr>
          <w:bCs/>
          <w:i/>
        </w:rPr>
        <w:t>La macchina dell’errore</w:t>
      </w:r>
      <w:r w:rsidRPr="00E95499">
        <w:rPr>
          <w:bCs/>
        </w:rPr>
        <w:t xml:space="preserve"> di Mario </w:t>
      </w:r>
      <w:proofErr w:type="spellStart"/>
      <w:r w:rsidRPr="00E95499">
        <w:rPr>
          <w:bCs/>
        </w:rPr>
        <w:t>Lavagetto</w:t>
      </w:r>
      <w:proofErr w:type="spellEnd"/>
      <w:r>
        <w:rPr>
          <w:bCs/>
        </w:rPr>
        <w:t>.</w:t>
      </w:r>
      <w:r w:rsidR="009B6ACE">
        <w:t xml:space="preserve"> </w:t>
      </w:r>
      <w:r w:rsidR="007C7DE0">
        <w:t>In particolare, si individua</w:t>
      </w:r>
      <w:r>
        <w:t xml:space="preserve"> una struttura “a cornice” </w:t>
      </w:r>
      <w:r w:rsidR="009B6ACE" w:rsidRPr="009B6ACE">
        <w:rPr>
          <w:bCs/>
        </w:rPr>
        <w:t xml:space="preserve">– in cui una narrazione </w:t>
      </w:r>
      <w:r>
        <w:rPr>
          <w:bCs/>
        </w:rPr>
        <w:t>costruisce una storia a contorno di un dato discorso critico-argomentativo</w:t>
      </w:r>
      <w:r w:rsidR="009B6ACE" w:rsidRPr="009B6ACE">
        <w:rPr>
          <w:bCs/>
        </w:rPr>
        <w:t xml:space="preserve"> – e un’altra combinazione </w:t>
      </w:r>
      <w:r>
        <w:rPr>
          <w:bCs/>
        </w:rPr>
        <w:t>in</w:t>
      </w:r>
      <w:r w:rsidR="009B6ACE" w:rsidRPr="009B6ACE">
        <w:rPr>
          <w:bCs/>
        </w:rPr>
        <w:t xml:space="preserve"> “parallelo” – al cui interno il discorso argomentativo viene affiancato da singole sequenze narrative, le quali partecipano all’opera non come rappresentazione autonoma di una propria finzione, ma come ricostruzione </w:t>
      </w:r>
      <w:r w:rsidR="007C7DE0">
        <w:rPr>
          <w:bCs/>
        </w:rPr>
        <w:t>narrativa del materiale letterario che viene fatto oggetto dell’analisi critico-saggistica</w:t>
      </w:r>
      <w:r w:rsidR="009B6ACE" w:rsidRPr="009B6ACE">
        <w:rPr>
          <w:bCs/>
        </w:rPr>
        <w:t>.</w:t>
      </w:r>
      <w:r w:rsidR="00E63868">
        <w:rPr>
          <w:bCs/>
        </w:rPr>
        <w:t xml:space="preserve"> </w:t>
      </w:r>
      <w:r w:rsidR="0092586F" w:rsidRPr="0092586F">
        <w:rPr>
          <w:bCs/>
        </w:rPr>
        <w:t xml:space="preserve">La struttura a cornice assume una certa funzione all’interno della prima metà del secolo: la rappresentazione del disorientamento, del rifiuto e del superamento di certi sistemi epistemologici ed ermeneutici. Si tratta in sostanza di una forma non disgiunta dalla trasformazione </w:t>
      </w:r>
      <w:proofErr w:type="spellStart"/>
      <w:r w:rsidR="0092586F" w:rsidRPr="0092586F">
        <w:rPr>
          <w:bCs/>
        </w:rPr>
        <w:t>storica-politica</w:t>
      </w:r>
      <w:proofErr w:type="spellEnd"/>
      <w:r w:rsidR="0092586F" w:rsidRPr="0092586F">
        <w:rPr>
          <w:bCs/>
        </w:rPr>
        <w:t xml:space="preserve"> dell’immaginario culturale, nonché delle sue coordinate morali, che attraversa le guerre mondiali e in particolare il dopoguerra italiano.</w:t>
      </w:r>
      <w:r w:rsidR="0092586F">
        <w:rPr>
          <w:bCs/>
        </w:rPr>
        <w:t xml:space="preserve"> </w:t>
      </w:r>
      <w:r w:rsidR="0092586F" w:rsidRPr="0092586F">
        <w:rPr>
          <w:bCs/>
        </w:rPr>
        <w:t>Dall’altro, l’obiettivo del saggio parallelo è affrontare il problema di nuovi strumenti (come le teorie marxiste, la psicoanalisi, la semiologia, lo strutturalismo…), prontamente o tardivamente assimilati dalle scienze umane soprattutto negli anni Sessanta, che di nuovo deviano il genere verso l’affermazione di un’oggettività dell’investigazione ermeneutica</w:t>
      </w:r>
      <w:r w:rsidR="008A0F74">
        <w:rPr>
          <w:bCs/>
        </w:rPr>
        <w:t>.</w:t>
      </w:r>
      <w:r w:rsidR="007C7DE0">
        <w:rPr>
          <w:bCs/>
        </w:rPr>
        <w:t xml:space="preserve"> Pertanto, si può concludere affermando che, </w:t>
      </w:r>
      <w:r w:rsidR="007C7DE0">
        <w:rPr>
          <w:bCs/>
        </w:rPr>
        <w:t xml:space="preserve">in comune alle due varianti, </w:t>
      </w:r>
      <w:r w:rsidR="007C7DE0" w:rsidRPr="00E63868">
        <w:rPr>
          <w:bCs/>
        </w:rPr>
        <w:t>l’entrata nel discorso</w:t>
      </w:r>
      <w:r w:rsidR="007C7DE0">
        <w:rPr>
          <w:bCs/>
        </w:rPr>
        <w:t xml:space="preserve"> critico-argomentativo</w:t>
      </w:r>
      <w:r w:rsidR="007C7DE0" w:rsidRPr="00E63868">
        <w:rPr>
          <w:bCs/>
        </w:rPr>
        <w:t xml:space="preserve"> di elementi narrativi consente di spostare </w:t>
      </w:r>
      <w:r w:rsidR="007C7DE0">
        <w:rPr>
          <w:bCs/>
        </w:rPr>
        <w:t>l’enunciazione tipica del genere saggistico</w:t>
      </w:r>
      <w:r w:rsidR="007C7DE0" w:rsidRPr="00E63868">
        <w:rPr>
          <w:bCs/>
        </w:rPr>
        <w:t xml:space="preserve"> dall’oggetto al rapporto che il soggetto intrattiene con il suo fenomeno di studio</w:t>
      </w:r>
      <w:r w:rsidR="007C7DE0">
        <w:rPr>
          <w:bCs/>
        </w:rPr>
        <w:t xml:space="preserve">, recuperando in sostanza una sorta di “funzione </w:t>
      </w:r>
      <w:proofErr w:type="spellStart"/>
      <w:r w:rsidR="007C7DE0">
        <w:rPr>
          <w:bCs/>
        </w:rPr>
        <w:t>Montaigne</w:t>
      </w:r>
      <w:proofErr w:type="spellEnd"/>
      <w:r w:rsidR="007C7DE0">
        <w:rPr>
          <w:bCs/>
        </w:rPr>
        <w:t xml:space="preserve">” </w:t>
      </w:r>
      <w:bookmarkStart w:id="0" w:name="_GoBack"/>
      <w:bookmarkEnd w:id="0"/>
      <w:r w:rsidR="007C7DE0">
        <w:rPr>
          <w:bCs/>
        </w:rPr>
        <w:t>nel Novecento.</w:t>
      </w:r>
    </w:p>
    <w:sectPr w:rsidR="009B6ACE" w:rsidRPr="009B6ACE" w:rsidSect="005101A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alatino Light">
    <w:altName w:val="Palatino Ligh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DB8"/>
    <w:rsid w:val="000C5BF1"/>
    <w:rsid w:val="002703E5"/>
    <w:rsid w:val="00297F3C"/>
    <w:rsid w:val="002D3BE0"/>
    <w:rsid w:val="003B1034"/>
    <w:rsid w:val="005101A9"/>
    <w:rsid w:val="006413AA"/>
    <w:rsid w:val="007B0440"/>
    <w:rsid w:val="007C7DE0"/>
    <w:rsid w:val="008A0F74"/>
    <w:rsid w:val="0090219D"/>
    <w:rsid w:val="0092586F"/>
    <w:rsid w:val="009B6ACE"/>
    <w:rsid w:val="009E61E4"/>
    <w:rsid w:val="00A460EC"/>
    <w:rsid w:val="00A51DB8"/>
    <w:rsid w:val="00A64081"/>
    <w:rsid w:val="00BC1B7D"/>
    <w:rsid w:val="00D3683B"/>
    <w:rsid w:val="00E63868"/>
    <w:rsid w:val="00E95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413AA"/>
    <w:pPr>
      <w:spacing w:line="240" w:lineRule="auto"/>
    </w:pPr>
    <w:rPr>
      <w:rFonts w:ascii="Times New Roman" w:hAnsi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6413AA"/>
    <w:pPr>
      <w:autoSpaceDE w:val="0"/>
      <w:autoSpaceDN w:val="0"/>
      <w:adjustRightInd w:val="0"/>
      <w:spacing w:line="240" w:lineRule="auto"/>
    </w:pPr>
    <w:rPr>
      <w:rFonts w:ascii="Palatino Light" w:hAnsi="Palatino Light" w:cs="Palatino Light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413AA"/>
    <w:rPr>
      <w:rFonts w:eastAsia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413AA"/>
    <w:rPr>
      <w:rFonts w:ascii="Times New Roman" w:eastAsia="Times New Roman" w:hAnsi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413AA"/>
    <w:rPr>
      <w:vertAlign w:val="superscript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413AA"/>
    <w:pPr>
      <w:spacing w:before="120" w:after="120"/>
      <w:ind w:left="567"/>
    </w:pPr>
    <w:rPr>
      <w:iCs/>
      <w:color w:val="000000" w:themeColor="text1"/>
      <w:lang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413AA"/>
    <w:rPr>
      <w:rFonts w:ascii="Times New Roman" w:hAnsi="Times New Roman"/>
      <w:iCs/>
      <w:color w:val="000000" w:themeColor="text1"/>
      <w:sz w:val="24"/>
      <w:szCs w:val="24"/>
    </w:rPr>
  </w:style>
  <w:style w:type="paragraph" w:customStyle="1" w:styleId="StileGrigliaacolori-Colore1">
    <w:name w:val="Stile Griglia a colori - Colore 1"/>
    <w:aliases w:val="Citazione MLA + Times New Roman ..."/>
    <w:rsid w:val="00A460EC"/>
    <w:pPr>
      <w:suppressAutoHyphens/>
      <w:spacing w:before="240" w:after="240" w:line="480" w:lineRule="auto"/>
      <w:ind w:left="567"/>
      <w:contextualSpacing/>
    </w:pPr>
    <w:rPr>
      <w:rFonts w:ascii="Times New Roman" w:eastAsia="Times New Roman" w:hAnsi="Times New Roman" w:cs="Times New Roman"/>
      <w:sz w:val="24"/>
      <w:szCs w:val="20"/>
      <w:lang w:val="en-US"/>
    </w:rPr>
  </w:style>
  <w:style w:type="table" w:styleId="Grigliaacolori-Colore1">
    <w:name w:val="Colorful Grid Accent 1"/>
    <w:basedOn w:val="Tabellanormale"/>
    <w:uiPriority w:val="73"/>
    <w:rsid w:val="00A460EC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character" w:customStyle="1" w:styleId="Grigliaacolori-Colore1Carattere">
    <w:name w:val="Griglia a colori - Colore 1 Carattere"/>
    <w:aliases w:val="Citazione MLA Carattere"/>
    <w:rsid w:val="00A460EC"/>
    <w:rPr>
      <w:rFonts w:ascii="Palatino Linotype" w:hAnsi="Palatino Linotype"/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413AA"/>
    <w:pPr>
      <w:spacing w:line="240" w:lineRule="auto"/>
    </w:pPr>
    <w:rPr>
      <w:rFonts w:ascii="Times New Roman" w:hAnsi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6413AA"/>
    <w:pPr>
      <w:autoSpaceDE w:val="0"/>
      <w:autoSpaceDN w:val="0"/>
      <w:adjustRightInd w:val="0"/>
      <w:spacing w:line="240" w:lineRule="auto"/>
    </w:pPr>
    <w:rPr>
      <w:rFonts w:ascii="Palatino Light" w:hAnsi="Palatino Light" w:cs="Palatino Light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413AA"/>
    <w:rPr>
      <w:rFonts w:eastAsia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413AA"/>
    <w:rPr>
      <w:rFonts w:ascii="Times New Roman" w:eastAsia="Times New Roman" w:hAnsi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413AA"/>
    <w:rPr>
      <w:vertAlign w:val="superscript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413AA"/>
    <w:pPr>
      <w:spacing w:before="120" w:after="120"/>
      <w:ind w:left="567"/>
    </w:pPr>
    <w:rPr>
      <w:iCs/>
      <w:color w:val="000000" w:themeColor="text1"/>
      <w:lang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413AA"/>
    <w:rPr>
      <w:rFonts w:ascii="Times New Roman" w:hAnsi="Times New Roman"/>
      <w:iCs/>
      <w:color w:val="000000" w:themeColor="text1"/>
      <w:sz w:val="24"/>
      <w:szCs w:val="24"/>
    </w:rPr>
  </w:style>
  <w:style w:type="paragraph" w:customStyle="1" w:styleId="StileGrigliaacolori-Colore1">
    <w:name w:val="Stile Griglia a colori - Colore 1"/>
    <w:aliases w:val="Citazione MLA + Times New Roman ..."/>
    <w:rsid w:val="00A460EC"/>
    <w:pPr>
      <w:suppressAutoHyphens/>
      <w:spacing w:before="240" w:after="240" w:line="480" w:lineRule="auto"/>
      <w:ind w:left="567"/>
      <w:contextualSpacing/>
    </w:pPr>
    <w:rPr>
      <w:rFonts w:ascii="Times New Roman" w:eastAsia="Times New Roman" w:hAnsi="Times New Roman" w:cs="Times New Roman"/>
      <w:sz w:val="24"/>
      <w:szCs w:val="20"/>
      <w:lang w:val="en-US"/>
    </w:rPr>
  </w:style>
  <w:style w:type="table" w:styleId="Grigliaacolori-Colore1">
    <w:name w:val="Colorful Grid Accent 1"/>
    <w:basedOn w:val="Tabellanormale"/>
    <w:uiPriority w:val="73"/>
    <w:rsid w:val="00A460EC"/>
    <w:pPr>
      <w:spacing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character" w:customStyle="1" w:styleId="Grigliaacolori-Colore1Carattere">
    <w:name w:val="Griglia a colori - Colore 1 Carattere"/>
    <w:aliases w:val="Citazione MLA Carattere"/>
    <w:rsid w:val="00A460EC"/>
    <w:rPr>
      <w:rFonts w:ascii="Palatino Linotype" w:hAnsi="Palatino Linotype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7E5948-880F-4F4D-A927-BBE7DED87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789</Words>
  <Characters>4499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14</cp:revision>
  <dcterms:created xsi:type="dcterms:W3CDTF">2013-07-08T16:08:00Z</dcterms:created>
  <dcterms:modified xsi:type="dcterms:W3CDTF">2013-07-10T18:23:00Z</dcterms:modified>
</cp:coreProperties>
</file>